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F0192" w14:textId="55257F97" w:rsidR="005E3DB1" w:rsidRPr="00CC0016" w:rsidRDefault="34B096E2" w:rsidP="34B096E2">
      <w:pPr>
        <w:tabs>
          <w:tab w:val="left" w:pos="6379"/>
        </w:tabs>
        <w:ind w:left="-142" w:right="-1" w:firstLine="142"/>
        <w:jc w:val="left"/>
        <w:rPr>
          <w:b/>
          <w:bCs/>
          <w:smallCaps/>
          <w:sz w:val="32"/>
          <w:szCs w:val="32"/>
        </w:rPr>
      </w:pPr>
      <w:r w:rsidRPr="34B096E2">
        <w:rPr>
          <w:b/>
          <w:bCs/>
          <w:smallCaps/>
          <w:sz w:val="32"/>
          <w:szCs w:val="32"/>
        </w:rPr>
        <w:t>Pénzügyminisztérium</w:t>
      </w:r>
    </w:p>
    <w:p w14:paraId="5D4F0193" w14:textId="77777777" w:rsidR="005E3DB1" w:rsidRPr="00CC0016" w:rsidRDefault="005E3DB1" w:rsidP="00BD2597">
      <w:pPr>
        <w:ind w:left="-142" w:firstLine="142"/>
      </w:pPr>
    </w:p>
    <w:p w14:paraId="5D4F0194" w14:textId="77777777" w:rsidR="005E3DB1" w:rsidRPr="00CC0016" w:rsidRDefault="005E3DB1" w:rsidP="000556FC">
      <w:pPr>
        <w:pStyle w:val="Cm"/>
        <w:ind w:right="0"/>
      </w:pPr>
    </w:p>
    <w:p w14:paraId="5D4F0195" w14:textId="77777777" w:rsidR="005E3DB1" w:rsidRPr="00CC0016" w:rsidRDefault="005E3DB1" w:rsidP="000556FC">
      <w:pPr>
        <w:pStyle w:val="Cm"/>
        <w:ind w:right="0"/>
      </w:pPr>
    </w:p>
    <w:p w14:paraId="5D4F0197" w14:textId="77777777" w:rsidR="005E3DB1" w:rsidRDefault="005E3DB1" w:rsidP="000556FC">
      <w:pPr>
        <w:pStyle w:val="Cm"/>
        <w:ind w:right="0"/>
      </w:pPr>
    </w:p>
    <w:p w14:paraId="79075E45" w14:textId="77777777" w:rsidR="00171DAF" w:rsidRPr="00CC0016" w:rsidRDefault="00171DAF" w:rsidP="000556FC">
      <w:pPr>
        <w:pStyle w:val="Cm"/>
        <w:ind w:right="0"/>
      </w:pPr>
    </w:p>
    <w:p w14:paraId="5D4F0198" w14:textId="77777777" w:rsidR="005E3DB1" w:rsidRPr="00CC0016" w:rsidRDefault="005E3DB1" w:rsidP="000556FC">
      <w:pPr>
        <w:pStyle w:val="Cm"/>
        <w:ind w:right="0"/>
      </w:pPr>
    </w:p>
    <w:p w14:paraId="5D4F0199" w14:textId="77777777" w:rsidR="008D430E" w:rsidRPr="00BE0A0E" w:rsidRDefault="008D430E" w:rsidP="000556FC">
      <w:pPr>
        <w:pStyle w:val="Cm"/>
        <w:ind w:right="0"/>
        <w:rPr>
          <w:sz w:val="26"/>
          <w:szCs w:val="26"/>
        </w:rPr>
      </w:pPr>
    </w:p>
    <w:p w14:paraId="5D4F019A" w14:textId="77777777" w:rsidR="005E3DB1" w:rsidRPr="00CC0016" w:rsidRDefault="005E3DB1" w:rsidP="000556FC">
      <w:pPr>
        <w:pStyle w:val="Cm"/>
        <w:ind w:right="0"/>
      </w:pPr>
    </w:p>
    <w:p w14:paraId="5D4F019B" w14:textId="77777777" w:rsidR="005E3DB1" w:rsidRPr="00CC0016" w:rsidRDefault="005E3DB1" w:rsidP="000556FC">
      <w:pPr>
        <w:pStyle w:val="Cm"/>
        <w:ind w:right="0"/>
      </w:pPr>
    </w:p>
    <w:p w14:paraId="5D4F019C" w14:textId="77777777" w:rsidR="005E3DB1" w:rsidRPr="00CC0016" w:rsidRDefault="005E3DB1" w:rsidP="000556FC">
      <w:pPr>
        <w:pStyle w:val="Cm"/>
        <w:ind w:right="0"/>
      </w:pPr>
    </w:p>
    <w:p w14:paraId="5D4F019D" w14:textId="77777777" w:rsidR="00F630A3" w:rsidRPr="00CC0016" w:rsidRDefault="00F630A3" w:rsidP="000556FC">
      <w:pPr>
        <w:pStyle w:val="Cm"/>
        <w:ind w:right="0"/>
      </w:pPr>
    </w:p>
    <w:p w14:paraId="5D4F019E" w14:textId="77777777" w:rsidR="000C5968" w:rsidRPr="00CC0016" w:rsidRDefault="000C5968" w:rsidP="000556FC">
      <w:pPr>
        <w:pStyle w:val="Cm"/>
        <w:ind w:right="0"/>
      </w:pPr>
    </w:p>
    <w:p w14:paraId="5D4F019F" w14:textId="77777777" w:rsidR="005E3DB1" w:rsidRPr="00CC0016" w:rsidRDefault="005E3DB1" w:rsidP="000556FC">
      <w:pPr>
        <w:pStyle w:val="Cm"/>
        <w:ind w:right="0"/>
      </w:pPr>
      <w:r w:rsidRPr="00CC0016">
        <w:t>Tájékoztató</w:t>
      </w:r>
      <w:r w:rsidRPr="00164FAC">
        <w:footnoteReference w:customMarkFollows="1" w:id="2"/>
        <w:t>*</w:t>
      </w:r>
    </w:p>
    <w:p w14:paraId="10F9DBE6" w14:textId="6919BF82" w:rsidR="0083067D" w:rsidRPr="0030694B" w:rsidRDefault="34B096E2" w:rsidP="34B096E2">
      <w:pPr>
        <w:pStyle w:val="Cmsor2"/>
        <w:tabs>
          <w:tab w:val="left" w:pos="2694"/>
        </w:tabs>
        <w:spacing w:before="0" w:after="120"/>
        <w:ind w:right="-1"/>
        <w:rPr>
          <w:i/>
          <w:caps w:val="0"/>
          <w:szCs w:val="26"/>
        </w:rPr>
      </w:pPr>
      <w:proofErr w:type="gramStart"/>
      <w:r w:rsidRPr="0030694B">
        <w:rPr>
          <w:i/>
          <w:caps w:val="0"/>
          <w:szCs w:val="26"/>
        </w:rPr>
        <w:t>az</w:t>
      </w:r>
      <w:proofErr w:type="gramEnd"/>
      <w:r w:rsidRPr="0030694B">
        <w:rPr>
          <w:i/>
          <w:caps w:val="0"/>
          <w:szCs w:val="26"/>
        </w:rPr>
        <w:t xml:space="preserve"> államháztartás központi alrendszerének</w:t>
      </w:r>
      <w:r w:rsidR="48F15973" w:rsidRPr="0030694B">
        <w:rPr>
          <w:i/>
          <w:caps w:val="0"/>
          <w:szCs w:val="26"/>
        </w:rPr>
        <w:br/>
      </w:r>
      <w:r w:rsidRPr="0030694B">
        <w:rPr>
          <w:i/>
          <w:caps w:val="0"/>
          <w:szCs w:val="26"/>
        </w:rPr>
        <w:t>2020. november végi helyzetéről</w:t>
      </w:r>
    </w:p>
    <w:p w14:paraId="5D4F01A0" w14:textId="31227DFC" w:rsidR="00B93477" w:rsidRPr="00623930" w:rsidRDefault="00B93477" w:rsidP="7710508F">
      <w:pPr>
        <w:pStyle w:val="Cmsor2"/>
        <w:tabs>
          <w:tab w:val="left" w:pos="2694"/>
        </w:tabs>
        <w:spacing w:before="0" w:after="120"/>
        <w:ind w:right="-1"/>
        <w:rPr>
          <w:i/>
        </w:rPr>
      </w:pPr>
    </w:p>
    <w:p w14:paraId="5D4F01A1" w14:textId="77777777" w:rsidR="005E3DB1" w:rsidRPr="00275D19" w:rsidRDefault="005E3DB1" w:rsidP="00275D19">
      <w:pPr>
        <w:pStyle w:val="Cmsor2"/>
        <w:tabs>
          <w:tab w:val="left" w:pos="2694"/>
        </w:tabs>
        <w:spacing w:before="0" w:after="120"/>
        <w:ind w:right="-1"/>
        <w:rPr>
          <w:i/>
          <w:caps w:val="0"/>
          <w:szCs w:val="26"/>
        </w:rPr>
      </w:pPr>
    </w:p>
    <w:p w14:paraId="5D4F01A2" w14:textId="77777777" w:rsidR="005E3DB1" w:rsidRPr="00CC0016" w:rsidRDefault="005E3DB1" w:rsidP="000556FC">
      <w:pPr>
        <w:tabs>
          <w:tab w:val="left" w:pos="2694"/>
        </w:tabs>
      </w:pPr>
    </w:p>
    <w:p w14:paraId="5D4F01A3" w14:textId="77777777" w:rsidR="005E3DB1" w:rsidRPr="00CC0016" w:rsidRDefault="005E3DB1" w:rsidP="000556FC">
      <w:pPr>
        <w:pStyle w:val="lfej"/>
        <w:tabs>
          <w:tab w:val="clear" w:pos="4153"/>
          <w:tab w:val="clear" w:pos="8306"/>
          <w:tab w:val="left" w:pos="2694"/>
        </w:tabs>
      </w:pPr>
    </w:p>
    <w:p w14:paraId="5D4F01A4" w14:textId="77777777" w:rsidR="005E3DB1" w:rsidRPr="00CC0016" w:rsidRDefault="005E3DB1" w:rsidP="000556FC">
      <w:pPr>
        <w:tabs>
          <w:tab w:val="left" w:pos="2694"/>
        </w:tabs>
      </w:pPr>
    </w:p>
    <w:p w14:paraId="5D4F01A5" w14:textId="77777777" w:rsidR="005E3DB1" w:rsidRPr="00CC0016" w:rsidRDefault="005E3DB1" w:rsidP="000556FC">
      <w:pPr>
        <w:tabs>
          <w:tab w:val="left" w:pos="2694"/>
        </w:tabs>
      </w:pPr>
    </w:p>
    <w:p w14:paraId="5D4F01A6" w14:textId="77777777" w:rsidR="005E3DB1" w:rsidRPr="00CC0016" w:rsidRDefault="005E3DB1" w:rsidP="000556FC">
      <w:pPr>
        <w:tabs>
          <w:tab w:val="left" w:pos="2694"/>
        </w:tabs>
      </w:pPr>
    </w:p>
    <w:p w14:paraId="5D4F01A7" w14:textId="77777777" w:rsidR="005E3DB1" w:rsidRPr="00CC0016" w:rsidRDefault="005E3DB1" w:rsidP="000556FC"/>
    <w:p w14:paraId="5D4F01A8" w14:textId="77777777" w:rsidR="00771455" w:rsidRPr="00CC0016" w:rsidRDefault="00771455" w:rsidP="000556FC"/>
    <w:p w14:paraId="5D4F01A9" w14:textId="77777777" w:rsidR="00C37774" w:rsidRPr="00CC0016" w:rsidRDefault="00C37774" w:rsidP="000556FC"/>
    <w:p w14:paraId="5D4F01AB" w14:textId="77777777" w:rsidR="00C37774" w:rsidRPr="00CC0016" w:rsidRDefault="00C37774" w:rsidP="000556FC"/>
    <w:p w14:paraId="5D4F01AD" w14:textId="3E980B98" w:rsidR="007E4053" w:rsidRDefault="00FA7AFF" w:rsidP="34B096E2">
      <w:pPr>
        <w:tabs>
          <w:tab w:val="left" w:pos="2694"/>
        </w:tabs>
        <w:jc w:val="center"/>
        <w:rPr>
          <w:b/>
          <w:bCs/>
          <w:sz w:val="22"/>
          <w:szCs w:val="22"/>
        </w:rPr>
      </w:pPr>
      <w:r w:rsidRPr="00994A5F">
        <w:rPr>
          <w:b/>
          <w:bCs/>
          <w:noProof/>
          <w:sz w:val="22"/>
          <w:szCs w:val="22"/>
        </w:rPr>
        <mc:AlternateContent>
          <mc:Choice Requires="wps">
            <w:drawing>
              <wp:anchor distT="0" distB="0" distL="114300" distR="114300" simplePos="0" relativeHeight="251658240" behindDoc="0" locked="0" layoutInCell="1" allowOverlap="1" wp14:anchorId="5D4F0455" wp14:editId="6DDE0D92">
                <wp:simplePos x="0" y="0"/>
                <wp:positionH relativeFrom="column">
                  <wp:posOffset>2336732</wp:posOffset>
                </wp:positionH>
                <wp:positionV relativeFrom="paragraph">
                  <wp:posOffset>980217</wp:posOffset>
                </wp:positionV>
                <wp:extent cx="971550" cy="393065"/>
                <wp:effectExtent l="0" t="0" r="0"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93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54FAD3" id="Rectangle 2" o:spid="_x0000_s1026" style="position:absolute;margin-left:184pt;margin-top:77.2pt;width:76.5pt;height:3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uzDewIAAPo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" stroked="f"/>
            </w:pict>
          </mc:Fallback>
        </mc:AlternateContent>
      </w:r>
      <w:r w:rsidR="00A67C37" w:rsidRPr="00994A5F">
        <w:rPr>
          <w:b/>
          <w:bCs/>
          <w:sz w:val="22"/>
          <w:szCs w:val="22"/>
        </w:rPr>
        <w:t>20</w:t>
      </w:r>
      <w:r w:rsidR="00C90993">
        <w:rPr>
          <w:b/>
          <w:bCs/>
          <w:sz w:val="22"/>
          <w:szCs w:val="22"/>
        </w:rPr>
        <w:t>20</w:t>
      </w:r>
      <w:r w:rsidR="007E4053" w:rsidRPr="00994A5F">
        <w:rPr>
          <w:b/>
          <w:bCs/>
          <w:sz w:val="22"/>
          <w:szCs w:val="22"/>
        </w:rPr>
        <w:t>.</w:t>
      </w:r>
      <w:r w:rsidR="00F30C75">
        <w:rPr>
          <w:b/>
          <w:bCs/>
          <w:sz w:val="22"/>
          <w:szCs w:val="22"/>
        </w:rPr>
        <w:t xml:space="preserve"> </w:t>
      </w:r>
      <w:r w:rsidR="00297702">
        <w:rPr>
          <w:b/>
          <w:bCs/>
          <w:sz w:val="22"/>
          <w:szCs w:val="22"/>
        </w:rPr>
        <w:t>december</w:t>
      </w:r>
    </w:p>
    <w:p w14:paraId="5839958A" w14:textId="77777777" w:rsidR="00552E0E" w:rsidRPr="00CC0016" w:rsidRDefault="00552E0E" w:rsidP="000556FC">
      <w:pPr>
        <w:tabs>
          <w:tab w:val="left" w:pos="2694"/>
        </w:tabs>
        <w:jc w:val="center"/>
        <w:rPr>
          <w:b/>
          <w:bCs/>
          <w:szCs w:val="28"/>
        </w:rPr>
        <w:sectPr w:rsidR="00552E0E" w:rsidRPr="00CC0016" w:rsidSect="00D46179">
          <w:footerReference w:type="default" r:id="rId12"/>
          <w:footerReference w:type="first" r:id="rId13"/>
          <w:footnotePr>
            <w:numRestart w:val="eachPage"/>
          </w:footnotePr>
          <w:pgSz w:w="11907" w:h="16840" w:code="9"/>
          <w:pgMar w:top="1418" w:right="1418" w:bottom="1418" w:left="1418" w:header="709" w:footer="709" w:gutter="0"/>
          <w:pgNumType w:fmt="numberInDash" w:start="0"/>
          <w:cols w:space="708"/>
          <w:titlePg/>
          <w:docGrid w:linePitch="354"/>
        </w:sectPr>
      </w:pPr>
    </w:p>
    <w:p w14:paraId="5D4F01AE" w14:textId="77777777" w:rsidR="00B93477" w:rsidRDefault="34B096E2" w:rsidP="34B096E2">
      <w:pPr>
        <w:pStyle w:val="Cmsor4"/>
        <w:jc w:val="center"/>
        <w:rPr>
          <w:caps/>
        </w:rPr>
      </w:pPr>
      <w:r w:rsidRPr="34B096E2">
        <w:rPr>
          <w:caps/>
        </w:rPr>
        <w:lastRenderedPageBreak/>
        <w:t>Összefoglalás</w:t>
      </w:r>
    </w:p>
    <w:p w14:paraId="5D4F01AF" w14:textId="77777777" w:rsidR="00841735" w:rsidRPr="00841735" w:rsidRDefault="00841735" w:rsidP="00841735">
      <w:pPr>
        <w:spacing w:after="0"/>
      </w:pPr>
    </w:p>
    <w:p w14:paraId="144B6BA2" w14:textId="77777777" w:rsidR="00B60B83" w:rsidRPr="00B60B83" w:rsidRDefault="34B096E2" w:rsidP="00B60B83">
      <w:pPr>
        <w:rPr>
          <w:bCs/>
        </w:rPr>
      </w:pPr>
      <w:r>
        <w:t>A járvány második hullámának idején a kormány legfontosabb célja az életek védelme, a magyar gazdaság működőképességének megőrzése, a munkahelyek megvédése és a vállalkozások támogatása. Az ehhez szükséges intézkedések forrásai biztosítottak. A koronavírus-járvány gazdaságra gyakorolt hatása, és a meghozott gazdaságvédelmi intézkedések eredményeként a költségvetés hiánya november végéig meghaladta a 3298 milliárd forintot. Ebből következően az idei évre tervezett hiány a GDP-arányában 8-9%-on várható. A gazdaság újraindítását szolgáló intézkedések eredményes végrehajtásához a kormány 2021-re új, a GDP 6,5%-ának megfelelő hiánycélt tűzött ki.</w:t>
      </w:r>
    </w:p>
    <w:p w14:paraId="2C6CDDAD" w14:textId="62217887" w:rsidR="00B60B83" w:rsidRPr="00B60B83" w:rsidRDefault="34B096E2" w:rsidP="00B60B83">
      <w:pPr>
        <w:rPr>
          <w:bCs/>
        </w:rPr>
      </w:pPr>
      <w:r>
        <w:t>2020 első tizenegy hónapjában az államháztartás központi alrendszere 3298,1 milliárd forintos hiánnyal zárt. Ezen belül a központi költségvetés 2778,4 milliárd forintos hiányt, az elkülönített állami pénzalapok 53,0 milliárd forintos többletet, a társadalombiztosítás pénzügyi alapjai pedig 572,7 milliárd forintos hiányt értek el. Az előző év azonos időszakában a központi alrendszer hiánya 766,3 milliárd forintot tett ki. 2020</w:t>
      </w:r>
      <w:r w:rsidR="009E2503">
        <w:t> </w:t>
      </w:r>
      <w:r>
        <w:t xml:space="preserve">novemberében a központi alrendszer 693,9 milliárd forintos hiánnyal zárt, szemben az egy évvel korábbi 190,9 milliárd forintos </w:t>
      </w:r>
      <w:proofErr w:type="gramStart"/>
      <w:r>
        <w:t>deficittel</w:t>
      </w:r>
      <w:proofErr w:type="gramEnd"/>
      <w:r>
        <w:t>.</w:t>
      </w:r>
    </w:p>
    <w:p w14:paraId="6780F5AF" w14:textId="77777777" w:rsidR="00B60B83" w:rsidRPr="00B60B83" w:rsidRDefault="34B096E2" w:rsidP="00B60B83">
      <w:pPr>
        <w:rPr>
          <w:bCs/>
        </w:rPr>
      </w:pPr>
      <w:r>
        <w:t>2020 novemberében 22,1 milliárd forint uniós bevétel érkezett a költségvetésbe, így a 2020. évi tizenegy havi uniós bevétel összesen 1019,4 milliárd forintot tett ki. Ugyanakkor a 2020. évi november végi uniós kiadások meghaladták az 1804,5 milliárd forintot.</w:t>
      </w:r>
    </w:p>
    <w:p w14:paraId="595E317C" w14:textId="77777777" w:rsidR="00B60B83" w:rsidRPr="00B60B83" w:rsidRDefault="34B096E2" w:rsidP="00B60B83">
      <w:pPr>
        <w:rPr>
          <w:bCs/>
        </w:rPr>
      </w:pPr>
      <w:r>
        <w:t>Idén november végéig 599,4 milliárd forintot tettek ki a koronavírus-járványhoz kapcsolódó egészségügyi eszközbeszerzések. Emellett a hazai kiadások közül 2020. november végéig kiemelhetők a Turisztikai fejlesztési célelőirányzatból (202,0 milliárd forint), a kiemelt közúti projektekre (200,2 milliárd forint) és a koronavírus-járvány következtében szükségessé vált versenyképesség-növelő támogatásra (179,6 milliárd forint) fordított források. Fontos kiadásként jelentkezik a közúthálózat fenntartására és működtetésére (84,7 milliárd forint), a Falusi Útalapból (82,0 milliárd forint) kifizetett források. Jelentősek továbbá a Magyar Falu Program alprogramjainak támogatására (61,8 milliárd forint), a Beruházás ösztönzési célelőirányzatból (58,3 milliárd forint), kifizetett összegek. November 1-jétől sor került továbbá – 2020. január 1-jei visszamenőleges hatállyal – a nyugellátások és egyes más, nyugdíjszerű ellátások 1,2%-os kiegészítő emelésére, melyre közel 47 milliárd forint állt rendelkezésre.</w:t>
      </w:r>
    </w:p>
    <w:p w14:paraId="5D4F01B7" w14:textId="57BFBF6F" w:rsidR="000D0735" w:rsidRDefault="34B096E2" w:rsidP="002E4237">
      <w:pPr>
        <w:keepNext/>
      </w:pPr>
      <w:r>
        <w:lastRenderedPageBreak/>
        <w:t>Az államháztartás központi alrendszerének 2020. november végi főbb pénzforgalmi adatai a következők:</w:t>
      </w:r>
    </w:p>
    <w:p w14:paraId="37DFEAB3" w14:textId="6C335DD4" w:rsidR="007D7F6E" w:rsidRDefault="002B05B2" w:rsidP="002E4237">
      <w:pPr>
        <w:keepNext/>
      </w:pPr>
      <w:r>
        <w:rPr>
          <w:noProof/>
        </w:rPr>
        <w:drawing>
          <wp:inline distT="0" distB="0" distL="0" distR="0" wp14:anchorId="09A38B4D" wp14:editId="25028ACA">
            <wp:extent cx="5940425" cy="4053840"/>
            <wp:effectExtent l="0" t="0" r="3175" b="381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yenleg.png"/>
                    <pic:cNvPicPr/>
                  </pic:nvPicPr>
                  <pic:blipFill>
                    <a:blip r:embed="rId14">
                      <a:extLst>
                        <a:ext uri="{28A0092B-C50C-407E-A947-70E740481C1C}">
                          <a14:useLocalDpi xmlns:a14="http://schemas.microsoft.com/office/drawing/2010/main" val="0"/>
                        </a:ext>
                      </a:extLst>
                    </a:blip>
                    <a:stretch>
                      <a:fillRect/>
                    </a:stretch>
                  </pic:blipFill>
                  <pic:spPr>
                    <a:xfrm>
                      <a:off x="0" y="0"/>
                      <a:ext cx="5940425" cy="4053840"/>
                    </a:xfrm>
                    <a:prstGeom prst="rect">
                      <a:avLst/>
                    </a:prstGeom>
                  </pic:spPr>
                </pic:pic>
              </a:graphicData>
            </a:graphic>
          </wp:inline>
        </w:drawing>
      </w:r>
    </w:p>
    <w:p w14:paraId="3470B960" w14:textId="77777777" w:rsidR="002B05B2" w:rsidRDefault="002B05B2" w:rsidP="002E4237">
      <w:pPr>
        <w:keepNext/>
      </w:pPr>
    </w:p>
    <w:tbl>
      <w:tblPr>
        <w:tblW w:w="9560" w:type="dxa"/>
        <w:tblInd w:w="55" w:type="dxa"/>
        <w:tblCellMar>
          <w:left w:w="70" w:type="dxa"/>
          <w:right w:w="70" w:type="dxa"/>
        </w:tblCellMar>
        <w:tblLook w:val="04A0" w:firstRow="1" w:lastRow="0" w:firstColumn="1" w:lastColumn="0" w:noHBand="0" w:noVBand="1"/>
      </w:tblPr>
      <w:tblGrid>
        <w:gridCol w:w="1841"/>
        <w:gridCol w:w="1180"/>
        <w:gridCol w:w="1180"/>
        <w:gridCol w:w="1020"/>
        <w:gridCol w:w="1180"/>
        <w:gridCol w:w="1180"/>
        <w:gridCol w:w="1042"/>
        <w:gridCol w:w="1000"/>
      </w:tblGrid>
      <w:tr w:rsidR="007D7F6E" w:rsidRPr="007D7F6E" w14:paraId="6ED77AEB" w14:textId="77777777" w:rsidTr="34B096E2">
        <w:trPr>
          <w:trHeight w:val="1440"/>
        </w:trPr>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3DED5" w14:textId="77777777" w:rsidR="007D7F6E" w:rsidRPr="007D7F6E" w:rsidRDefault="007D7F6E" w:rsidP="34B096E2">
            <w:pPr>
              <w:spacing w:after="0"/>
              <w:jc w:val="left"/>
              <w:rPr>
                <w:sz w:val="18"/>
                <w:szCs w:val="18"/>
              </w:rPr>
            </w:pPr>
            <w:bookmarkStart w:id="0" w:name="RANGE!A1:H13"/>
            <w:r w:rsidRPr="007D7F6E">
              <w:rPr>
                <w:sz w:val="18"/>
                <w:szCs w:val="18"/>
              </w:rPr>
              <w:t> </w:t>
            </w:r>
            <w:bookmarkEnd w:id="0"/>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B786778" w14:textId="77777777" w:rsidR="007D7F6E" w:rsidRPr="007D7F6E" w:rsidRDefault="34B096E2" w:rsidP="34B096E2">
            <w:pPr>
              <w:spacing w:after="0"/>
              <w:jc w:val="center"/>
              <w:rPr>
                <w:sz w:val="18"/>
                <w:szCs w:val="18"/>
              </w:rPr>
            </w:pPr>
            <w:r w:rsidRPr="34B096E2">
              <w:rPr>
                <w:sz w:val="18"/>
                <w:szCs w:val="18"/>
              </w:rPr>
              <w:t xml:space="preserve">2019. évi </w:t>
            </w:r>
            <w:r w:rsidR="007D7F6E">
              <w:br/>
            </w:r>
            <w:r w:rsidRPr="34B096E2">
              <w:rPr>
                <w:sz w:val="18"/>
                <w:szCs w:val="18"/>
              </w:rPr>
              <w:t>tény</w:t>
            </w:r>
            <w:r w:rsidR="007D7F6E">
              <w:br/>
            </w:r>
            <w:r w:rsidRPr="34B096E2">
              <w:rPr>
                <w:sz w:val="18"/>
                <w:szCs w:val="18"/>
              </w:rPr>
              <w:t>milliárd forintban</w:t>
            </w:r>
            <w:r w:rsidR="007D7F6E">
              <w:br/>
            </w:r>
            <w:r w:rsidRPr="34B096E2">
              <w:rPr>
                <w:sz w:val="18"/>
                <w:szCs w:val="18"/>
              </w:rPr>
              <w:t>(1)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5265B7C" w14:textId="77777777" w:rsidR="007D7F6E" w:rsidRPr="007D7F6E" w:rsidRDefault="34B096E2" w:rsidP="34B096E2">
            <w:pPr>
              <w:spacing w:after="0"/>
              <w:jc w:val="center"/>
              <w:rPr>
                <w:sz w:val="18"/>
                <w:szCs w:val="18"/>
              </w:rPr>
            </w:pPr>
            <w:r w:rsidRPr="34B096E2">
              <w:rPr>
                <w:sz w:val="18"/>
                <w:szCs w:val="18"/>
              </w:rPr>
              <w:t>2019. I-XI. hó tény</w:t>
            </w:r>
            <w:r w:rsidR="007D7F6E">
              <w:br/>
            </w:r>
            <w:r w:rsidRPr="34B096E2">
              <w:rPr>
                <w:sz w:val="18"/>
                <w:szCs w:val="18"/>
              </w:rPr>
              <w:t>milliárd forintban</w:t>
            </w:r>
            <w:r w:rsidR="007D7F6E">
              <w:br/>
            </w:r>
            <w:r w:rsidRPr="34B096E2">
              <w:rPr>
                <w:sz w:val="18"/>
                <w:szCs w:val="18"/>
              </w:rPr>
              <w:t>(2)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1B906550" w14:textId="77777777" w:rsidR="007D7F6E" w:rsidRPr="007D7F6E" w:rsidRDefault="34B096E2" w:rsidP="34B096E2">
            <w:pPr>
              <w:spacing w:after="0"/>
              <w:jc w:val="center"/>
              <w:rPr>
                <w:sz w:val="18"/>
                <w:szCs w:val="18"/>
              </w:rPr>
            </w:pPr>
            <w:r w:rsidRPr="34B096E2">
              <w:rPr>
                <w:sz w:val="18"/>
                <w:szCs w:val="18"/>
              </w:rPr>
              <w:t>éves előzetes tény=100%</w:t>
            </w:r>
            <w:r w:rsidR="007D7F6E">
              <w:br/>
            </w:r>
            <w:r w:rsidRPr="34B096E2">
              <w:rPr>
                <w:sz w:val="18"/>
                <w:szCs w:val="18"/>
              </w:rPr>
              <w:t>Index (%)</w:t>
            </w:r>
            <w:r w:rsidR="007D7F6E">
              <w:br/>
            </w:r>
            <w:r w:rsidRPr="34B096E2">
              <w:rPr>
                <w:sz w:val="18"/>
                <w:szCs w:val="18"/>
              </w:rPr>
              <w:t>(2/1)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D8B698F" w14:textId="77777777" w:rsidR="007D7F6E" w:rsidRPr="007D7F6E" w:rsidRDefault="34B096E2" w:rsidP="34B096E2">
            <w:pPr>
              <w:spacing w:after="0"/>
              <w:jc w:val="center"/>
              <w:rPr>
                <w:sz w:val="18"/>
                <w:szCs w:val="18"/>
              </w:rPr>
            </w:pPr>
            <w:r w:rsidRPr="34B096E2">
              <w:rPr>
                <w:sz w:val="18"/>
                <w:szCs w:val="18"/>
              </w:rPr>
              <w:t>2020. évi törvényi előirányzat</w:t>
            </w:r>
            <w:r w:rsidR="007D7F6E">
              <w:br/>
            </w:r>
            <w:r w:rsidRPr="34B096E2">
              <w:rPr>
                <w:sz w:val="18"/>
                <w:szCs w:val="18"/>
              </w:rPr>
              <w:t>milliárd forintban</w:t>
            </w:r>
            <w:r w:rsidR="007D7F6E">
              <w:br/>
            </w:r>
            <w:r w:rsidRPr="34B096E2">
              <w:rPr>
                <w:sz w:val="18"/>
                <w:szCs w:val="18"/>
              </w:rPr>
              <w:t>(3)</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85D4EF8" w14:textId="77777777" w:rsidR="007D7F6E" w:rsidRPr="007D7F6E" w:rsidRDefault="34B096E2" w:rsidP="34B096E2">
            <w:pPr>
              <w:spacing w:after="0"/>
              <w:jc w:val="center"/>
              <w:rPr>
                <w:sz w:val="18"/>
                <w:szCs w:val="18"/>
              </w:rPr>
            </w:pPr>
            <w:r w:rsidRPr="34B096E2">
              <w:rPr>
                <w:sz w:val="18"/>
                <w:szCs w:val="18"/>
              </w:rPr>
              <w:t>2020. I- XI. hó tény</w:t>
            </w:r>
            <w:r w:rsidR="007D7F6E">
              <w:br/>
            </w:r>
            <w:r w:rsidRPr="34B096E2">
              <w:rPr>
                <w:sz w:val="18"/>
                <w:szCs w:val="18"/>
              </w:rPr>
              <w:t>milliárd forintban</w:t>
            </w:r>
            <w:r w:rsidR="007D7F6E">
              <w:br/>
            </w:r>
            <w:r w:rsidRPr="34B096E2">
              <w:rPr>
                <w:sz w:val="18"/>
                <w:szCs w:val="18"/>
              </w:rPr>
              <w:t>(4)</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6EAB4686" w14:textId="77777777" w:rsidR="007D7F6E" w:rsidRPr="007D7F6E" w:rsidRDefault="34B096E2" w:rsidP="34B096E2">
            <w:pPr>
              <w:spacing w:after="0"/>
              <w:jc w:val="center"/>
              <w:rPr>
                <w:sz w:val="18"/>
                <w:szCs w:val="18"/>
              </w:rPr>
            </w:pPr>
            <w:r w:rsidRPr="34B096E2">
              <w:rPr>
                <w:sz w:val="18"/>
                <w:szCs w:val="18"/>
              </w:rPr>
              <w:t>előirányzat=</w:t>
            </w:r>
            <w:r w:rsidR="007D7F6E">
              <w:br/>
            </w:r>
            <w:r w:rsidRPr="34B096E2">
              <w:rPr>
                <w:sz w:val="18"/>
                <w:szCs w:val="18"/>
              </w:rPr>
              <w:t>100%</w:t>
            </w:r>
            <w:r w:rsidR="007D7F6E">
              <w:br/>
            </w:r>
            <w:r w:rsidRPr="34B096E2">
              <w:rPr>
                <w:sz w:val="18"/>
                <w:szCs w:val="18"/>
              </w:rPr>
              <w:t>Index (%)</w:t>
            </w:r>
            <w:r w:rsidR="007D7F6E">
              <w:br/>
            </w:r>
            <w:r w:rsidRPr="34B096E2">
              <w:rPr>
                <w:sz w:val="18"/>
                <w:szCs w:val="18"/>
              </w:rPr>
              <w:t>(4/3)</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3BBD78FE" w14:textId="77777777" w:rsidR="007D7F6E" w:rsidRPr="007D7F6E" w:rsidRDefault="34B096E2" w:rsidP="34B096E2">
            <w:pPr>
              <w:spacing w:after="0"/>
              <w:jc w:val="center"/>
              <w:rPr>
                <w:sz w:val="18"/>
                <w:szCs w:val="18"/>
              </w:rPr>
            </w:pPr>
            <w:r w:rsidRPr="34B096E2">
              <w:rPr>
                <w:sz w:val="18"/>
                <w:szCs w:val="18"/>
              </w:rPr>
              <w:t>előző év=</w:t>
            </w:r>
            <w:r w:rsidR="007D7F6E">
              <w:br/>
            </w:r>
            <w:r w:rsidRPr="34B096E2">
              <w:rPr>
                <w:sz w:val="18"/>
                <w:szCs w:val="18"/>
              </w:rPr>
              <w:t>100%</w:t>
            </w:r>
            <w:r w:rsidR="007D7F6E">
              <w:br/>
            </w:r>
            <w:r w:rsidRPr="34B096E2">
              <w:rPr>
                <w:sz w:val="18"/>
                <w:szCs w:val="18"/>
              </w:rPr>
              <w:t>Index (%)</w:t>
            </w:r>
            <w:r w:rsidR="007D7F6E">
              <w:br/>
            </w:r>
            <w:r w:rsidRPr="34B096E2">
              <w:rPr>
                <w:sz w:val="18"/>
                <w:szCs w:val="18"/>
              </w:rPr>
              <w:t>(4/2)</w:t>
            </w:r>
          </w:p>
        </w:tc>
      </w:tr>
      <w:tr w:rsidR="007D7F6E" w:rsidRPr="007D7F6E" w14:paraId="76922AEE" w14:textId="77777777" w:rsidTr="34B096E2">
        <w:trPr>
          <w:trHeight w:val="720"/>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5B93709F" w14:textId="77777777" w:rsidR="007D7F6E" w:rsidRPr="007D7F6E" w:rsidRDefault="34B096E2" w:rsidP="34B096E2">
            <w:pPr>
              <w:spacing w:after="0"/>
              <w:jc w:val="left"/>
              <w:rPr>
                <w:b/>
                <w:bCs/>
                <w:sz w:val="18"/>
                <w:szCs w:val="18"/>
              </w:rPr>
            </w:pPr>
            <w:r w:rsidRPr="34B096E2">
              <w:rPr>
                <w:b/>
                <w:bCs/>
                <w:sz w:val="18"/>
                <w:szCs w:val="18"/>
              </w:rPr>
              <w:t>Központi költségvetés egyenlege</w:t>
            </w:r>
          </w:p>
        </w:tc>
        <w:tc>
          <w:tcPr>
            <w:tcW w:w="1180" w:type="dxa"/>
            <w:tcBorders>
              <w:top w:val="nil"/>
              <w:left w:val="nil"/>
              <w:bottom w:val="single" w:sz="4" w:space="0" w:color="auto"/>
              <w:right w:val="single" w:sz="4" w:space="0" w:color="auto"/>
            </w:tcBorders>
            <w:shd w:val="clear" w:color="auto" w:fill="auto"/>
            <w:noWrap/>
            <w:vAlign w:val="bottom"/>
            <w:hideMark/>
          </w:tcPr>
          <w:p w14:paraId="4254694A" w14:textId="77777777" w:rsidR="007D7F6E" w:rsidRPr="007D7F6E" w:rsidRDefault="34B096E2" w:rsidP="34B096E2">
            <w:pPr>
              <w:spacing w:after="0"/>
              <w:jc w:val="right"/>
              <w:rPr>
                <w:b/>
                <w:bCs/>
                <w:sz w:val="18"/>
                <w:szCs w:val="18"/>
              </w:rPr>
            </w:pPr>
            <w:r w:rsidRPr="34B096E2">
              <w:rPr>
                <w:b/>
                <w:bCs/>
                <w:sz w:val="18"/>
                <w:szCs w:val="18"/>
              </w:rPr>
              <w:t xml:space="preserve">-932,5 </w:t>
            </w:r>
          </w:p>
        </w:tc>
        <w:tc>
          <w:tcPr>
            <w:tcW w:w="1180" w:type="dxa"/>
            <w:tcBorders>
              <w:top w:val="nil"/>
              <w:left w:val="nil"/>
              <w:bottom w:val="single" w:sz="4" w:space="0" w:color="auto"/>
              <w:right w:val="single" w:sz="4" w:space="0" w:color="auto"/>
            </w:tcBorders>
            <w:shd w:val="clear" w:color="auto" w:fill="auto"/>
            <w:noWrap/>
            <w:vAlign w:val="bottom"/>
            <w:hideMark/>
          </w:tcPr>
          <w:p w14:paraId="3B581A71" w14:textId="77777777" w:rsidR="007D7F6E" w:rsidRPr="007D7F6E" w:rsidRDefault="34B096E2" w:rsidP="34B096E2">
            <w:pPr>
              <w:spacing w:after="0"/>
              <w:jc w:val="right"/>
              <w:rPr>
                <w:b/>
                <w:bCs/>
                <w:sz w:val="18"/>
                <w:szCs w:val="18"/>
              </w:rPr>
            </w:pPr>
            <w:r w:rsidRPr="34B096E2">
              <w:rPr>
                <w:b/>
                <w:bCs/>
                <w:sz w:val="18"/>
                <w:szCs w:val="18"/>
              </w:rPr>
              <w:t xml:space="preserve">-659,5 </w:t>
            </w:r>
          </w:p>
        </w:tc>
        <w:tc>
          <w:tcPr>
            <w:tcW w:w="1020" w:type="dxa"/>
            <w:tcBorders>
              <w:top w:val="nil"/>
              <w:left w:val="nil"/>
              <w:bottom w:val="single" w:sz="4" w:space="0" w:color="auto"/>
              <w:right w:val="single" w:sz="4" w:space="0" w:color="auto"/>
            </w:tcBorders>
            <w:shd w:val="clear" w:color="auto" w:fill="auto"/>
            <w:noWrap/>
            <w:vAlign w:val="bottom"/>
            <w:hideMark/>
          </w:tcPr>
          <w:p w14:paraId="3DFB43BB" w14:textId="77777777" w:rsidR="007D7F6E" w:rsidRPr="007D7F6E" w:rsidRDefault="34B096E2" w:rsidP="34B096E2">
            <w:pPr>
              <w:spacing w:after="0"/>
              <w:jc w:val="right"/>
              <w:rPr>
                <w:sz w:val="18"/>
                <w:szCs w:val="18"/>
              </w:rPr>
            </w:pPr>
            <w:r w:rsidRPr="34B096E2">
              <w:rPr>
                <w:sz w:val="18"/>
                <w:szCs w:val="18"/>
              </w:rPr>
              <w:t xml:space="preserve">70,7 </w:t>
            </w:r>
          </w:p>
        </w:tc>
        <w:tc>
          <w:tcPr>
            <w:tcW w:w="1180" w:type="dxa"/>
            <w:tcBorders>
              <w:top w:val="nil"/>
              <w:left w:val="nil"/>
              <w:bottom w:val="single" w:sz="4" w:space="0" w:color="auto"/>
              <w:right w:val="single" w:sz="4" w:space="0" w:color="auto"/>
            </w:tcBorders>
            <w:shd w:val="clear" w:color="auto" w:fill="auto"/>
            <w:noWrap/>
            <w:vAlign w:val="bottom"/>
            <w:hideMark/>
          </w:tcPr>
          <w:p w14:paraId="6B623F3D" w14:textId="77777777" w:rsidR="007D7F6E" w:rsidRPr="007D7F6E" w:rsidRDefault="34B096E2" w:rsidP="34B096E2">
            <w:pPr>
              <w:spacing w:after="0"/>
              <w:jc w:val="right"/>
              <w:rPr>
                <w:b/>
                <w:bCs/>
                <w:sz w:val="18"/>
                <w:szCs w:val="18"/>
              </w:rPr>
            </w:pPr>
            <w:r w:rsidRPr="34B096E2">
              <w:rPr>
                <w:b/>
                <w:bCs/>
                <w:sz w:val="18"/>
                <w:szCs w:val="18"/>
              </w:rPr>
              <w:t xml:space="preserve">-359,0 </w:t>
            </w:r>
          </w:p>
        </w:tc>
        <w:tc>
          <w:tcPr>
            <w:tcW w:w="1180" w:type="dxa"/>
            <w:tcBorders>
              <w:top w:val="nil"/>
              <w:left w:val="nil"/>
              <w:bottom w:val="single" w:sz="4" w:space="0" w:color="auto"/>
              <w:right w:val="single" w:sz="4" w:space="0" w:color="auto"/>
            </w:tcBorders>
            <w:shd w:val="clear" w:color="auto" w:fill="auto"/>
            <w:noWrap/>
            <w:vAlign w:val="bottom"/>
            <w:hideMark/>
          </w:tcPr>
          <w:p w14:paraId="3320ECFD" w14:textId="77777777" w:rsidR="007D7F6E" w:rsidRPr="007D7F6E" w:rsidRDefault="34B096E2" w:rsidP="34B096E2">
            <w:pPr>
              <w:spacing w:after="0"/>
              <w:jc w:val="right"/>
              <w:rPr>
                <w:b/>
                <w:bCs/>
                <w:sz w:val="18"/>
                <w:szCs w:val="18"/>
              </w:rPr>
            </w:pPr>
            <w:r w:rsidRPr="34B096E2">
              <w:rPr>
                <w:b/>
                <w:bCs/>
                <w:sz w:val="18"/>
                <w:szCs w:val="18"/>
              </w:rPr>
              <w:t xml:space="preserve">-2 778,4 </w:t>
            </w:r>
          </w:p>
        </w:tc>
        <w:tc>
          <w:tcPr>
            <w:tcW w:w="1020" w:type="dxa"/>
            <w:tcBorders>
              <w:top w:val="nil"/>
              <w:left w:val="nil"/>
              <w:bottom w:val="single" w:sz="4" w:space="0" w:color="auto"/>
              <w:right w:val="single" w:sz="4" w:space="0" w:color="auto"/>
            </w:tcBorders>
            <w:shd w:val="clear" w:color="auto" w:fill="auto"/>
            <w:noWrap/>
            <w:vAlign w:val="bottom"/>
            <w:hideMark/>
          </w:tcPr>
          <w:p w14:paraId="11307A0F" w14:textId="77777777" w:rsidR="007D7F6E" w:rsidRPr="007D7F6E" w:rsidRDefault="34B096E2" w:rsidP="34B096E2">
            <w:pPr>
              <w:spacing w:after="0"/>
              <w:jc w:val="right"/>
              <w:rPr>
                <w:sz w:val="18"/>
                <w:szCs w:val="18"/>
              </w:rPr>
            </w:pPr>
            <w:r w:rsidRPr="34B096E2">
              <w:rPr>
                <w:sz w:val="18"/>
                <w:szCs w:val="18"/>
              </w:rPr>
              <w:t xml:space="preserve">773,9 </w:t>
            </w:r>
          </w:p>
        </w:tc>
        <w:tc>
          <w:tcPr>
            <w:tcW w:w="1000" w:type="dxa"/>
            <w:tcBorders>
              <w:top w:val="nil"/>
              <w:left w:val="nil"/>
              <w:bottom w:val="single" w:sz="4" w:space="0" w:color="auto"/>
              <w:right w:val="single" w:sz="4" w:space="0" w:color="auto"/>
            </w:tcBorders>
            <w:shd w:val="clear" w:color="auto" w:fill="auto"/>
            <w:noWrap/>
            <w:vAlign w:val="bottom"/>
            <w:hideMark/>
          </w:tcPr>
          <w:p w14:paraId="0BC74441" w14:textId="77777777" w:rsidR="007D7F6E" w:rsidRPr="007D7F6E" w:rsidRDefault="34B096E2" w:rsidP="34B096E2">
            <w:pPr>
              <w:spacing w:after="0"/>
              <w:jc w:val="right"/>
              <w:rPr>
                <w:sz w:val="18"/>
                <w:szCs w:val="18"/>
              </w:rPr>
            </w:pPr>
            <w:r w:rsidRPr="34B096E2">
              <w:rPr>
                <w:sz w:val="18"/>
                <w:szCs w:val="18"/>
              </w:rPr>
              <w:t xml:space="preserve">421,3 </w:t>
            </w:r>
          </w:p>
        </w:tc>
      </w:tr>
      <w:tr w:rsidR="007D7F6E" w:rsidRPr="007D7F6E" w14:paraId="55563D5B" w14:textId="77777777" w:rsidTr="34B096E2">
        <w:trPr>
          <w:trHeight w:val="30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6085EAF0" w14:textId="77777777" w:rsidR="007D7F6E" w:rsidRPr="007D7F6E" w:rsidRDefault="34B096E2" w:rsidP="34B096E2">
            <w:pPr>
              <w:spacing w:after="0"/>
              <w:jc w:val="right"/>
              <w:rPr>
                <w:sz w:val="18"/>
                <w:szCs w:val="18"/>
              </w:rPr>
            </w:pPr>
            <w:r w:rsidRPr="34B096E2">
              <w:rPr>
                <w:sz w:val="18"/>
                <w:szCs w:val="18"/>
              </w:rPr>
              <w:t>bevétel:</w:t>
            </w:r>
          </w:p>
        </w:tc>
        <w:tc>
          <w:tcPr>
            <w:tcW w:w="1180" w:type="dxa"/>
            <w:tcBorders>
              <w:top w:val="nil"/>
              <w:left w:val="nil"/>
              <w:bottom w:val="single" w:sz="4" w:space="0" w:color="auto"/>
              <w:right w:val="single" w:sz="4" w:space="0" w:color="auto"/>
            </w:tcBorders>
            <w:shd w:val="clear" w:color="auto" w:fill="auto"/>
            <w:noWrap/>
            <w:vAlign w:val="bottom"/>
            <w:hideMark/>
          </w:tcPr>
          <w:p w14:paraId="0C92EA68" w14:textId="77777777" w:rsidR="007D7F6E" w:rsidRPr="007D7F6E" w:rsidRDefault="34B096E2" w:rsidP="34B096E2">
            <w:pPr>
              <w:spacing w:after="0"/>
              <w:jc w:val="right"/>
              <w:rPr>
                <w:sz w:val="18"/>
                <w:szCs w:val="18"/>
              </w:rPr>
            </w:pPr>
            <w:r w:rsidRPr="34B096E2">
              <w:rPr>
                <w:sz w:val="18"/>
                <w:szCs w:val="18"/>
              </w:rPr>
              <w:t xml:space="preserve">15 068,3 </w:t>
            </w:r>
          </w:p>
        </w:tc>
        <w:tc>
          <w:tcPr>
            <w:tcW w:w="1180" w:type="dxa"/>
            <w:tcBorders>
              <w:top w:val="nil"/>
              <w:left w:val="nil"/>
              <w:bottom w:val="single" w:sz="4" w:space="0" w:color="auto"/>
              <w:right w:val="single" w:sz="4" w:space="0" w:color="auto"/>
            </w:tcBorders>
            <w:shd w:val="clear" w:color="auto" w:fill="auto"/>
            <w:noWrap/>
            <w:vAlign w:val="bottom"/>
            <w:hideMark/>
          </w:tcPr>
          <w:p w14:paraId="7B375CDD" w14:textId="77777777" w:rsidR="007D7F6E" w:rsidRPr="007D7F6E" w:rsidRDefault="34B096E2" w:rsidP="34B096E2">
            <w:pPr>
              <w:spacing w:after="0"/>
              <w:jc w:val="right"/>
              <w:rPr>
                <w:sz w:val="18"/>
                <w:szCs w:val="18"/>
              </w:rPr>
            </w:pPr>
            <w:r w:rsidRPr="34B096E2">
              <w:rPr>
                <w:sz w:val="18"/>
                <w:szCs w:val="18"/>
              </w:rPr>
              <w:t xml:space="preserve">13 258,3 </w:t>
            </w:r>
          </w:p>
        </w:tc>
        <w:tc>
          <w:tcPr>
            <w:tcW w:w="1020" w:type="dxa"/>
            <w:tcBorders>
              <w:top w:val="nil"/>
              <w:left w:val="nil"/>
              <w:bottom w:val="single" w:sz="4" w:space="0" w:color="auto"/>
              <w:right w:val="single" w:sz="4" w:space="0" w:color="auto"/>
            </w:tcBorders>
            <w:shd w:val="clear" w:color="auto" w:fill="auto"/>
            <w:noWrap/>
            <w:vAlign w:val="bottom"/>
            <w:hideMark/>
          </w:tcPr>
          <w:p w14:paraId="15F27642" w14:textId="77777777" w:rsidR="007D7F6E" w:rsidRPr="007D7F6E" w:rsidRDefault="34B096E2" w:rsidP="34B096E2">
            <w:pPr>
              <w:spacing w:after="0"/>
              <w:jc w:val="right"/>
              <w:rPr>
                <w:sz w:val="18"/>
                <w:szCs w:val="18"/>
              </w:rPr>
            </w:pPr>
            <w:r w:rsidRPr="34B096E2">
              <w:rPr>
                <w:sz w:val="18"/>
                <w:szCs w:val="18"/>
              </w:rPr>
              <w:t xml:space="preserve">88,0 </w:t>
            </w:r>
          </w:p>
        </w:tc>
        <w:tc>
          <w:tcPr>
            <w:tcW w:w="1180" w:type="dxa"/>
            <w:tcBorders>
              <w:top w:val="nil"/>
              <w:left w:val="nil"/>
              <w:bottom w:val="single" w:sz="4" w:space="0" w:color="auto"/>
              <w:right w:val="single" w:sz="4" w:space="0" w:color="auto"/>
            </w:tcBorders>
            <w:shd w:val="clear" w:color="auto" w:fill="auto"/>
            <w:noWrap/>
            <w:vAlign w:val="bottom"/>
            <w:hideMark/>
          </w:tcPr>
          <w:p w14:paraId="11AF9214" w14:textId="77777777" w:rsidR="007D7F6E" w:rsidRPr="007D7F6E" w:rsidRDefault="34B096E2" w:rsidP="34B096E2">
            <w:pPr>
              <w:spacing w:after="0"/>
              <w:jc w:val="right"/>
              <w:rPr>
                <w:sz w:val="18"/>
                <w:szCs w:val="18"/>
              </w:rPr>
            </w:pPr>
            <w:r w:rsidRPr="34B096E2">
              <w:rPr>
                <w:sz w:val="18"/>
                <w:szCs w:val="18"/>
              </w:rPr>
              <w:t xml:space="preserve">14 522,8 </w:t>
            </w:r>
          </w:p>
        </w:tc>
        <w:tc>
          <w:tcPr>
            <w:tcW w:w="1180" w:type="dxa"/>
            <w:tcBorders>
              <w:top w:val="nil"/>
              <w:left w:val="nil"/>
              <w:bottom w:val="single" w:sz="4" w:space="0" w:color="auto"/>
              <w:right w:val="single" w:sz="4" w:space="0" w:color="auto"/>
            </w:tcBorders>
            <w:shd w:val="clear" w:color="auto" w:fill="auto"/>
            <w:noWrap/>
            <w:vAlign w:val="bottom"/>
            <w:hideMark/>
          </w:tcPr>
          <w:p w14:paraId="1783C36A" w14:textId="77777777" w:rsidR="007D7F6E" w:rsidRPr="007D7F6E" w:rsidRDefault="34B096E2" w:rsidP="34B096E2">
            <w:pPr>
              <w:spacing w:after="0"/>
              <w:jc w:val="right"/>
              <w:rPr>
                <w:sz w:val="18"/>
                <w:szCs w:val="18"/>
              </w:rPr>
            </w:pPr>
            <w:r w:rsidRPr="34B096E2">
              <w:rPr>
                <w:sz w:val="18"/>
                <w:szCs w:val="18"/>
              </w:rPr>
              <w:t xml:space="preserve">13 890,2 </w:t>
            </w:r>
          </w:p>
        </w:tc>
        <w:tc>
          <w:tcPr>
            <w:tcW w:w="1020" w:type="dxa"/>
            <w:tcBorders>
              <w:top w:val="nil"/>
              <w:left w:val="nil"/>
              <w:bottom w:val="single" w:sz="4" w:space="0" w:color="auto"/>
              <w:right w:val="single" w:sz="4" w:space="0" w:color="auto"/>
            </w:tcBorders>
            <w:shd w:val="clear" w:color="auto" w:fill="auto"/>
            <w:noWrap/>
            <w:vAlign w:val="bottom"/>
            <w:hideMark/>
          </w:tcPr>
          <w:p w14:paraId="34EC6B30" w14:textId="77777777" w:rsidR="007D7F6E" w:rsidRPr="007D7F6E" w:rsidRDefault="34B096E2" w:rsidP="34B096E2">
            <w:pPr>
              <w:spacing w:after="0"/>
              <w:jc w:val="right"/>
              <w:rPr>
                <w:sz w:val="18"/>
                <w:szCs w:val="18"/>
              </w:rPr>
            </w:pPr>
            <w:r w:rsidRPr="34B096E2">
              <w:rPr>
                <w:sz w:val="18"/>
                <w:szCs w:val="18"/>
              </w:rPr>
              <w:t xml:space="preserve">95,6 </w:t>
            </w:r>
          </w:p>
        </w:tc>
        <w:tc>
          <w:tcPr>
            <w:tcW w:w="1000" w:type="dxa"/>
            <w:tcBorders>
              <w:top w:val="nil"/>
              <w:left w:val="nil"/>
              <w:bottom w:val="single" w:sz="4" w:space="0" w:color="auto"/>
              <w:right w:val="single" w:sz="4" w:space="0" w:color="auto"/>
            </w:tcBorders>
            <w:shd w:val="clear" w:color="auto" w:fill="auto"/>
            <w:noWrap/>
            <w:vAlign w:val="bottom"/>
            <w:hideMark/>
          </w:tcPr>
          <w:p w14:paraId="6CD8D452" w14:textId="77777777" w:rsidR="007D7F6E" w:rsidRPr="007D7F6E" w:rsidRDefault="34B096E2" w:rsidP="34B096E2">
            <w:pPr>
              <w:spacing w:after="0"/>
              <w:jc w:val="right"/>
              <w:rPr>
                <w:sz w:val="18"/>
                <w:szCs w:val="18"/>
              </w:rPr>
            </w:pPr>
            <w:r w:rsidRPr="34B096E2">
              <w:rPr>
                <w:sz w:val="18"/>
                <w:szCs w:val="18"/>
              </w:rPr>
              <w:t xml:space="preserve">104,8 </w:t>
            </w:r>
          </w:p>
        </w:tc>
      </w:tr>
      <w:tr w:rsidR="007D7F6E" w:rsidRPr="007D7F6E" w14:paraId="7DBCCDF4" w14:textId="77777777" w:rsidTr="34B096E2">
        <w:trPr>
          <w:trHeight w:val="30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687CB7BA" w14:textId="77777777" w:rsidR="007D7F6E" w:rsidRPr="007D7F6E" w:rsidRDefault="34B096E2" w:rsidP="34B096E2">
            <w:pPr>
              <w:spacing w:after="0"/>
              <w:jc w:val="right"/>
              <w:rPr>
                <w:sz w:val="18"/>
                <w:szCs w:val="18"/>
              </w:rPr>
            </w:pPr>
            <w:r w:rsidRPr="34B096E2">
              <w:rPr>
                <w:sz w:val="18"/>
                <w:szCs w:val="18"/>
              </w:rPr>
              <w:t>kiadás:</w:t>
            </w:r>
          </w:p>
        </w:tc>
        <w:tc>
          <w:tcPr>
            <w:tcW w:w="1180" w:type="dxa"/>
            <w:tcBorders>
              <w:top w:val="nil"/>
              <w:left w:val="nil"/>
              <w:bottom w:val="single" w:sz="4" w:space="0" w:color="auto"/>
              <w:right w:val="single" w:sz="4" w:space="0" w:color="auto"/>
            </w:tcBorders>
            <w:shd w:val="clear" w:color="auto" w:fill="auto"/>
            <w:noWrap/>
            <w:vAlign w:val="bottom"/>
            <w:hideMark/>
          </w:tcPr>
          <w:p w14:paraId="13A15B73" w14:textId="77777777" w:rsidR="007D7F6E" w:rsidRPr="007D7F6E" w:rsidRDefault="34B096E2" w:rsidP="34B096E2">
            <w:pPr>
              <w:spacing w:after="0"/>
              <w:jc w:val="right"/>
              <w:rPr>
                <w:sz w:val="18"/>
                <w:szCs w:val="18"/>
              </w:rPr>
            </w:pPr>
            <w:r w:rsidRPr="34B096E2">
              <w:rPr>
                <w:sz w:val="18"/>
                <w:szCs w:val="18"/>
              </w:rPr>
              <w:t xml:space="preserve">16 000,8 </w:t>
            </w:r>
          </w:p>
        </w:tc>
        <w:tc>
          <w:tcPr>
            <w:tcW w:w="1180" w:type="dxa"/>
            <w:tcBorders>
              <w:top w:val="nil"/>
              <w:left w:val="nil"/>
              <w:bottom w:val="single" w:sz="4" w:space="0" w:color="auto"/>
              <w:right w:val="single" w:sz="4" w:space="0" w:color="auto"/>
            </w:tcBorders>
            <w:shd w:val="clear" w:color="auto" w:fill="auto"/>
            <w:noWrap/>
            <w:vAlign w:val="bottom"/>
            <w:hideMark/>
          </w:tcPr>
          <w:p w14:paraId="303E0E70" w14:textId="77777777" w:rsidR="007D7F6E" w:rsidRPr="007D7F6E" w:rsidRDefault="34B096E2" w:rsidP="34B096E2">
            <w:pPr>
              <w:spacing w:after="0"/>
              <w:jc w:val="right"/>
              <w:rPr>
                <w:sz w:val="18"/>
                <w:szCs w:val="18"/>
              </w:rPr>
            </w:pPr>
            <w:r w:rsidRPr="34B096E2">
              <w:rPr>
                <w:sz w:val="18"/>
                <w:szCs w:val="18"/>
              </w:rPr>
              <w:t xml:space="preserve">13 917,8 </w:t>
            </w:r>
          </w:p>
        </w:tc>
        <w:tc>
          <w:tcPr>
            <w:tcW w:w="1020" w:type="dxa"/>
            <w:tcBorders>
              <w:top w:val="nil"/>
              <w:left w:val="nil"/>
              <w:bottom w:val="single" w:sz="4" w:space="0" w:color="auto"/>
              <w:right w:val="single" w:sz="4" w:space="0" w:color="auto"/>
            </w:tcBorders>
            <w:shd w:val="clear" w:color="auto" w:fill="auto"/>
            <w:noWrap/>
            <w:vAlign w:val="bottom"/>
            <w:hideMark/>
          </w:tcPr>
          <w:p w14:paraId="57BCB95A" w14:textId="77777777" w:rsidR="007D7F6E" w:rsidRPr="007D7F6E" w:rsidRDefault="34B096E2" w:rsidP="34B096E2">
            <w:pPr>
              <w:spacing w:after="0"/>
              <w:jc w:val="right"/>
              <w:rPr>
                <w:sz w:val="18"/>
                <w:szCs w:val="18"/>
              </w:rPr>
            </w:pPr>
            <w:r w:rsidRPr="34B096E2">
              <w:rPr>
                <w:sz w:val="18"/>
                <w:szCs w:val="18"/>
              </w:rPr>
              <w:t xml:space="preserve">87,0 </w:t>
            </w:r>
          </w:p>
        </w:tc>
        <w:tc>
          <w:tcPr>
            <w:tcW w:w="1180" w:type="dxa"/>
            <w:tcBorders>
              <w:top w:val="nil"/>
              <w:left w:val="nil"/>
              <w:bottom w:val="single" w:sz="4" w:space="0" w:color="auto"/>
              <w:right w:val="single" w:sz="4" w:space="0" w:color="auto"/>
            </w:tcBorders>
            <w:shd w:val="clear" w:color="auto" w:fill="auto"/>
            <w:noWrap/>
            <w:vAlign w:val="bottom"/>
            <w:hideMark/>
          </w:tcPr>
          <w:p w14:paraId="7E1F834A" w14:textId="77777777" w:rsidR="007D7F6E" w:rsidRPr="007D7F6E" w:rsidRDefault="34B096E2" w:rsidP="34B096E2">
            <w:pPr>
              <w:spacing w:after="0"/>
              <w:jc w:val="right"/>
              <w:rPr>
                <w:sz w:val="18"/>
                <w:szCs w:val="18"/>
              </w:rPr>
            </w:pPr>
            <w:r w:rsidRPr="34B096E2">
              <w:rPr>
                <w:sz w:val="18"/>
                <w:szCs w:val="18"/>
              </w:rPr>
              <w:t xml:space="preserve">14 881,8 </w:t>
            </w:r>
          </w:p>
        </w:tc>
        <w:tc>
          <w:tcPr>
            <w:tcW w:w="1180" w:type="dxa"/>
            <w:tcBorders>
              <w:top w:val="nil"/>
              <w:left w:val="nil"/>
              <w:bottom w:val="single" w:sz="4" w:space="0" w:color="auto"/>
              <w:right w:val="single" w:sz="4" w:space="0" w:color="auto"/>
            </w:tcBorders>
            <w:shd w:val="clear" w:color="auto" w:fill="auto"/>
            <w:noWrap/>
            <w:vAlign w:val="bottom"/>
            <w:hideMark/>
          </w:tcPr>
          <w:p w14:paraId="19FCA6AB" w14:textId="77777777" w:rsidR="007D7F6E" w:rsidRPr="007D7F6E" w:rsidRDefault="34B096E2" w:rsidP="34B096E2">
            <w:pPr>
              <w:spacing w:after="0"/>
              <w:jc w:val="right"/>
              <w:rPr>
                <w:sz w:val="18"/>
                <w:szCs w:val="18"/>
              </w:rPr>
            </w:pPr>
            <w:r w:rsidRPr="34B096E2">
              <w:rPr>
                <w:sz w:val="18"/>
                <w:szCs w:val="18"/>
              </w:rPr>
              <w:t xml:space="preserve">16 668,6 </w:t>
            </w:r>
          </w:p>
        </w:tc>
        <w:tc>
          <w:tcPr>
            <w:tcW w:w="1020" w:type="dxa"/>
            <w:tcBorders>
              <w:top w:val="nil"/>
              <w:left w:val="nil"/>
              <w:bottom w:val="single" w:sz="4" w:space="0" w:color="auto"/>
              <w:right w:val="single" w:sz="4" w:space="0" w:color="auto"/>
            </w:tcBorders>
            <w:shd w:val="clear" w:color="auto" w:fill="auto"/>
            <w:noWrap/>
            <w:vAlign w:val="bottom"/>
            <w:hideMark/>
          </w:tcPr>
          <w:p w14:paraId="0C92C079" w14:textId="77777777" w:rsidR="007D7F6E" w:rsidRPr="007D7F6E" w:rsidRDefault="34B096E2" w:rsidP="34B096E2">
            <w:pPr>
              <w:spacing w:after="0"/>
              <w:jc w:val="right"/>
              <w:rPr>
                <w:sz w:val="18"/>
                <w:szCs w:val="18"/>
              </w:rPr>
            </w:pPr>
            <w:r w:rsidRPr="34B096E2">
              <w:rPr>
                <w:sz w:val="18"/>
                <w:szCs w:val="18"/>
              </w:rPr>
              <w:t xml:space="preserve">112,0 </w:t>
            </w:r>
          </w:p>
        </w:tc>
        <w:tc>
          <w:tcPr>
            <w:tcW w:w="1000" w:type="dxa"/>
            <w:tcBorders>
              <w:top w:val="nil"/>
              <w:left w:val="nil"/>
              <w:bottom w:val="single" w:sz="4" w:space="0" w:color="auto"/>
              <w:right w:val="single" w:sz="4" w:space="0" w:color="auto"/>
            </w:tcBorders>
            <w:shd w:val="clear" w:color="auto" w:fill="auto"/>
            <w:noWrap/>
            <w:vAlign w:val="bottom"/>
            <w:hideMark/>
          </w:tcPr>
          <w:p w14:paraId="74EE86F8" w14:textId="77777777" w:rsidR="007D7F6E" w:rsidRPr="007D7F6E" w:rsidRDefault="34B096E2" w:rsidP="34B096E2">
            <w:pPr>
              <w:spacing w:after="0"/>
              <w:jc w:val="right"/>
              <w:rPr>
                <w:sz w:val="18"/>
                <w:szCs w:val="18"/>
              </w:rPr>
            </w:pPr>
            <w:r w:rsidRPr="34B096E2">
              <w:rPr>
                <w:sz w:val="18"/>
                <w:szCs w:val="18"/>
              </w:rPr>
              <w:t xml:space="preserve">119,8 </w:t>
            </w:r>
          </w:p>
        </w:tc>
      </w:tr>
      <w:tr w:rsidR="007D7F6E" w:rsidRPr="007D7F6E" w14:paraId="398E0B4E" w14:textId="77777777" w:rsidTr="34B096E2">
        <w:trPr>
          <w:trHeight w:val="720"/>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4F35FF34" w14:textId="77777777" w:rsidR="007D7F6E" w:rsidRPr="007D7F6E" w:rsidRDefault="34B096E2" w:rsidP="34B096E2">
            <w:pPr>
              <w:spacing w:after="0"/>
              <w:jc w:val="left"/>
              <w:rPr>
                <w:b/>
                <w:bCs/>
                <w:sz w:val="18"/>
                <w:szCs w:val="18"/>
              </w:rPr>
            </w:pPr>
            <w:r w:rsidRPr="34B096E2">
              <w:rPr>
                <w:b/>
                <w:bCs/>
                <w:sz w:val="18"/>
                <w:szCs w:val="18"/>
              </w:rPr>
              <w:t>Elkülönített állami pénzalapok egyenlege</w:t>
            </w:r>
          </w:p>
        </w:tc>
        <w:tc>
          <w:tcPr>
            <w:tcW w:w="1180" w:type="dxa"/>
            <w:tcBorders>
              <w:top w:val="nil"/>
              <w:left w:val="nil"/>
              <w:bottom w:val="single" w:sz="4" w:space="0" w:color="auto"/>
              <w:right w:val="single" w:sz="4" w:space="0" w:color="auto"/>
            </w:tcBorders>
            <w:shd w:val="clear" w:color="auto" w:fill="auto"/>
            <w:noWrap/>
            <w:vAlign w:val="bottom"/>
            <w:hideMark/>
          </w:tcPr>
          <w:p w14:paraId="658C4794" w14:textId="77777777" w:rsidR="007D7F6E" w:rsidRPr="007D7F6E" w:rsidRDefault="34B096E2" w:rsidP="34B096E2">
            <w:pPr>
              <w:spacing w:after="0"/>
              <w:jc w:val="right"/>
              <w:rPr>
                <w:b/>
                <w:bCs/>
                <w:sz w:val="18"/>
                <w:szCs w:val="18"/>
              </w:rPr>
            </w:pPr>
            <w:r w:rsidRPr="34B096E2">
              <w:rPr>
                <w:b/>
                <w:bCs/>
                <w:sz w:val="18"/>
                <w:szCs w:val="18"/>
              </w:rPr>
              <w:t xml:space="preserve">39,5 </w:t>
            </w:r>
          </w:p>
        </w:tc>
        <w:tc>
          <w:tcPr>
            <w:tcW w:w="1180" w:type="dxa"/>
            <w:tcBorders>
              <w:top w:val="nil"/>
              <w:left w:val="nil"/>
              <w:bottom w:val="single" w:sz="4" w:space="0" w:color="auto"/>
              <w:right w:val="single" w:sz="4" w:space="0" w:color="auto"/>
            </w:tcBorders>
            <w:shd w:val="clear" w:color="auto" w:fill="auto"/>
            <w:noWrap/>
            <w:vAlign w:val="bottom"/>
            <w:hideMark/>
          </w:tcPr>
          <w:p w14:paraId="51A2E2DD" w14:textId="77777777" w:rsidR="007D7F6E" w:rsidRPr="007D7F6E" w:rsidRDefault="34B096E2" w:rsidP="34B096E2">
            <w:pPr>
              <w:spacing w:after="0"/>
              <w:jc w:val="right"/>
              <w:rPr>
                <w:b/>
                <w:bCs/>
                <w:sz w:val="18"/>
                <w:szCs w:val="18"/>
              </w:rPr>
            </w:pPr>
            <w:r w:rsidRPr="34B096E2">
              <w:rPr>
                <w:b/>
                <w:bCs/>
                <w:sz w:val="18"/>
                <w:szCs w:val="18"/>
              </w:rPr>
              <w:t xml:space="preserve">78,5 </w:t>
            </w:r>
          </w:p>
        </w:tc>
        <w:tc>
          <w:tcPr>
            <w:tcW w:w="1020" w:type="dxa"/>
            <w:tcBorders>
              <w:top w:val="nil"/>
              <w:left w:val="nil"/>
              <w:bottom w:val="single" w:sz="4" w:space="0" w:color="auto"/>
              <w:right w:val="single" w:sz="4" w:space="0" w:color="auto"/>
            </w:tcBorders>
            <w:shd w:val="clear" w:color="auto" w:fill="auto"/>
            <w:noWrap/>
            <w:vAlign w:val="bottom"/>
            <w:hideMark/>
          </w:tcPr>
          <w:p w14:paraId="70E619EA" w14:textId="77777777" w:rsidR="007D7F6E" w:rsidRPr="007D7F6E" w:rsidRDefault="34B096E2" w:rsidP="34B096E2">
            <w:pPr>
              <w:spacing w:after="0"/>
              <w:jc w:val="right"/>
              <w:rPr>
                <w:sz w:val="18"/>
                <w:szCs w:val="18"/>
              </w:rPr>
            </w:pPr>
            <w:r w:rsidRPr="34B096E2">
              <w:rPr>
                <w:sz w:val="18"/>
                <w:szCs w:val="18"/>
              </w:rPr>
              <w:t xml:space="preserve">198,7 </w:t>
            </w:r>
          </w:p>
        </w:tc>
        <w:tc>
          <w:tcPr>
            <w:tcW w:w="1180" w:type="dxa"/>
            <w:tcBorders>
              <w:top w:val="nil"/>
              <w:left w:val="nil"/>
              <w:bottom w:val="single" w:sz="4" w:space="0" w:color="auto"/>
              <w:right w:val="single" w:sz="4" w:space="0" w:color="auto"/>
            </w:tcBorders>
            <w:shd w:val="clear" w:color="auto" w:fill="auto"/>
            <w:noWrap/>
            <w:vAlign w:val="bottom"/>
            <w:hideMark/>
          </w:tcPr>
          <w:p w14:paraId="467D19D9" w14:textId="77777777" w:rsidR="007D7F6E" w:rsidRPr="007D7F6E" w:rsidRDefault="34B096E2" w:rsidP="34B096E2">
            <w:pPr>
              <w:spacing w:after="0"/>
              <w:jc w:val="right"/>
              <w:rPr>
                <w:b/>
                <w:bCs/>
                <w:sz w:val="18"/>
                <w:szCs w:val="18"/>
              </w:rPr>
            </w:pPr>
            <w:r w:rsidRPr="34B096E2">
              <w:rPr>
                <w:b/>
                <w:bCs/>
                <w:sz w:val="18"/>
                <w:szCs w:val="18"/>
              </w:rPr>
              <w:t xml:space="preserve">-8,0 </w:t>
            </w:r>
          </w:p>
        </w:tc>
        <w:tc>
          <w:tcPr>
            <w:tcW w:w="1180" w:type="dxa"/>
            <w:tcBorders>
              <w:top w:val="nil"/>
              <w:left w:val="nil"/>
              <w:bottom w:val="single" w:sz="4" w:space="0" w:color="auto"/>
              <w:right w:val="single" w:sz="4" w:space="0" w:color="auto"/>
            </w:tcBorders>
            <w:shd w:val="clear" w:color="auto" w:fill="auto"/>
            <w:noWrap/>
            <w:vAlign w:val="bottom"/>
            <w:hideMark/>
          </w:tcPr>
          <w:p w14:paraId="48556CC7" w14:textId="77777777" w:rsidR="007D7F6E" w:rsidRPr="007D7F6E" w:rsidRDefault="34B096E2" w:rsidP="34B096E2">
            <w:pPr>
              <w:spacing w:after="0"/>
              <w:jc w:val="right"/>
              <w:rPr>
                <w:b/>
                <w:bCs/>
                <w:sz w:val="18"/>
                <w:szCs w:val="18"/>
              </w:rPr>
            </w:pPr>
            <w:r w:rsidRPr="34B096E2">
              <w:rPr>
                <w:b/>
                <w:bCs/>
                <w:sz w:val="18"/>
                <w:szCs w:val="18"/>
              </w:rPr>
              <w:t xml:space="preserve">53,0 </w:t>
            </w:r>
          </w:p>
        </w:tc>
        <w:tc>
          <w:tcPr>
            <w:tcW w:w="1020" w:type="dxa"/>
            <w:tcBorders>
              <w:top w:val="nil"/>
              <w:left w:val="nil"/>
              <w:bottom w:val="single" w:sz="4" w:space="0" w:color="auto"/>
              <w:right w:val="single" w:sz="4" w:space="0" w:color="auto"/>
            </w:tcBorders>
            <w:shd w:val="clear" w:color="auto" w:fill="auto"/>
            <w:noWrap/>
            <w:vAlign w:val="bottom"/>
            <w:hideMark/>
          </w:tcPr>
          <w:p w14:paraId="103AEB0F" w14:textId="77777777" w:rsidR="007D7F6E" w:rsidRPr="007D7F6E" w:rsidRDefault="34B096E2" w:rsidP="34B096E2">
            <w:pPr>
              <w:spacing w:after="0"/>
              <w:jc w:val="left"/>
              <w:rPr>
                <w:sz w:val="18"/>
                <w:szCs w:val="18"/>
              </w:rPr>
            </w:pPr>
            <w:r w:rsidRPr="34B096E2">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3F584CFB" w14:textId="77777777" w:rsidR="007D7F6E" w:rsidRPr="007D7F6E" w:rsidRDefault="34B096E2" w:rsidP="34B096E2">
            <w:pPr>
              <w:spacing w:after="0"/>
              <w:jc w:val="right"/>
              <w:rPr>
                <w:sz w:val="18"/>
                <w:szCs w:val="18"/>
              </w:rPr>
            </w:pPr>
            <w:r w:rsidRPr="34B096E2">
              <w:rPr>
                <w:sz w:val="18"/>
                <w:szCs w:val="18"/>
              </w:rPr>
              <w:t xml:space="preserve">67,5 </w:t>
            </w:r>
          </w:p>
        </w:tc>
      </w:tr>
      <w:tr w:rsidR="007D7F6E" w:rsidRPr="007D7F6E" w14:paraId="221BE9A4" w14:textId="77777777" w:rsidTr="34B096E2">
        <w:trPr>
          <w:trHeight w:val="30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9548C2D" w14:textId="77777777" w:rsidR="007D7F6E" w:rsidRPr="007D7F6E" w:rsidRDefault="34B096E2" w:rsidP="34B096E2">
            <w:pPr>
              <w:spacing w:after="0"/>
              <w:jc w:val="right"/>
              <w:rPr>
                <w:sz w:val="18"/>
                <w:szCs w:val="18"/>
              </w:rPr>
            </w:pPr>
            <w:r w:rsidRPr="34B096E2">
              <w:rPr>
                <w:sz w:val="18"/>
                <w:szCs w:val="18"/>
              </w:rPr>
              <w:t>bevétel:</w:t>
            </w:r>
          </w:p>
        </w:tc>
        <w:tc>
          <w:tcPr>
            <w:tcW w:w="1180" w:type="dxa"/>
            <w:tcBorders>
              <w:top w:val="nil"/>
              <w:left w:val="nil"/>
              <w:bottom w:val="single" w:sz="4" w:space="0" w:color="auto"/>
              <w:right w:val="single" w:sz="4" w:space="0" w:color="auto"/>
            </w:tcBorders>
            <w:shd w:val="clear" w:color="auto" w:fill="auto"/>
            <w:noWrap/>
            <w:vAlign w:val="bottom"/>
            <w:hideMark/>
          </w:tcPr>
          <w:p w14:paraId="5B924FD8" w14:textId="77777777" w:rsidR="007D7F6E" w:rsidRPr="007D7F6E" w:rsidRDefault="34B096E2" w:rsidP="34B096E2">
            <w:pPr>
              <w:spacing w:after="0"/>
              <w:jc w:val="right"/>
              <w:rPr>
                <w:sz w:val="18"/>
                <w:szCs w:val="18"/>
              </w:rPr>
            </w:pPr>
            <w:r w:rsidRPr="34B096E2">
              <w:rPr>
                <w:sz w:val="18"/>
                <w:szCs w:val="18"/>
              </w:rPr>
              <w:t xml:space="preserve">658,2 </w:t>
            </w:r>
          </w:p>
        </w:tc>
        <w:tc>
          <w:tcPr>
            <w:tcW w:w="1180" w:type="dxa"/>
            <w:tcBorders>
              <w:top w:val="nil"/>
              <w:left w:val="nil"/>
              <w:bottom w:val="single" w:sz="4" w:space="0" w:color="auto"/>
              <w:right w:val="single" w:sz="4" w:space="0" w:color="auto"/>
            </w:tcBorders>
            <w:shd w:val="clear" w:color="auto" w:fill="auto"/>
            <w:noWrap/>
            <w:vAlign w:val="bottom"/>
            <w:hideMark/>
          </w:tcPr>
          <w:p w14:paraId="170E05D6" w14:textId="77777777" w:rsidR="007D7F6E" w:rsidRPr="007D7F6E" w:rsidRDefault="34B096E2" w:rsidP="34B096E2">
            <w:pPr>
              <w:spacing w:after="0"/>
              <w:jc w:val="right"/>
              <w:rPr>
                <w:sz w:val="18"/>
                <w:szCs w:val="18"/>
              </w:rPr>
            </w:pPr>
            <w:r w:rsidRPr="34B096E2">
              <w:rPr>
                <w:sz w:val="18"/>
                <w:szCs w:val="18"/>
              </w:rPr>
              <w:t xml:space="preserve">583,4 </w:t>
            </w:r>
          </w:p>
        </w:tc>
        <w:tc>
          <w:tcPr>
            <w:tcW w:w="1020" w:type="dxa"/>
            <w:tcBorders>
              <w:top w:val="nil"/>
              <w:left w:val="nil"/>
              <w:bottom w:val="single" w:sz="4" w:space="0" w:color="auto"/>
              <w:right w:val="single" w:sz="4" w:space="0" w:color="auto"/>
            </w:tcBorders>
            <w:shd w:val="clear" w:color="auto" w:fill="auto"/>
            <w:noWrap/>
            <w:vAlign w:val="bottom"/>
            <w:hideMark/>
          </w:tcPr>
          <w:p w14:paraId="10029998" w14:textId="77777777" w:rsidR="007D7F6E" w:rsidRPr="007D7F6E" w:rsidRDefault="34B096E2" w:rsidP="34B096E2">
            <w:pPr>
              <w:spacing w:after="0"/>
              <w:jc w:val="right"/>
              <w:rPr>
                <w:sz w:val="18"/>
                <w:szCs w:val="18"/>
              </w:rPr>
            </w:pPr>
            <w:r w:rsidRPr="34B096E2">
              <w:rPr>
                <w:sz w:val="18"/>
                <w:szCs w:val="18"/>
              </w:rPr>
              <w:t xml:space="preserve">88,6 </w:t>
            </w:r>
          </w:p>
        </w:tc>
        <w:tc>
          <w:tcPr>
            <w:tcW w:w="1180" w:type="dxa"/>
            <w:tcBorders>
              <w:top w:val="nil"/>
              <w:left w:val="nil"/>
              <w:bottom w:val="single" w:sz="4" w:space="0" w:color="auto"/>
              <w:right w:val="single" w:sz="4" w:space="0" w:color="auto"/>
            </w:tcBorders>
            <w:shd w:val="clear" w:color="auto" w:fill="auto"/>
            <w:noWrap/>
            <w:vAlign w:val="bottom"/>
            <w:hideMark/>
          </w:tcPr>
          <w:p w14:paraId="4ECB0E32" w14:textId="77777777" w:rsidR="007D7F6E" w:rsidRPr="007D7F6E" w:rsidRDefault="34B096E2" w:rsidP="34B096E2">
            <w:pPr>
              <w:spacing w:after="0"/>
              <w:jc w:val="right"/>
              <w:rPr>
                <w:sz w:val="18"/>
                <w:szCs w:val="18"/>
              </w:rPr>
            </w:pPr>
            <w:r w:rsidRPr="34B096E2">
              <w:rPr>
                <w:sz w:val="18"/>
                <w:szCs w:val="18"/>
              </w:rPr>
              <w:t xml:space="preserve">633,6 </w:t>
            </w:r>
          </w:p>
        </w:tc>
        <w:tc>
          <w:tcPr>
            <w:tcW w:w="1180" w:type="dxa"/>
            <w:tcBorders>
              <w:top w:val="nil"/>
              <w:left w:val="nil"/>
              <w:bottom w:val="single" w:sz="4" w:space="0" w:color="auto"/>
              <w:right w:val="single" w:sz="4" w:space="0" w:color="auto"/>
            </w:tcBorders>
            <w:shd w:val="clear" w:color="auto" w:fill="auto"/>
            <w:noWrap/>
            <w:vAlign w:val="bottom"/>
            <w:hideMark/>
          </w:tcPr>
          <w:p w14:paraId="5EEC73EC" w14:textId="77777777" w:rsidR="007D7F6E" w:rsidRPr="007D7F6E" w:rsidRDefault="34B096E2" w:rsidP="34B096E2">
            <w:pPr>
              <w:spacing w:after="0"/>
              <w:jc w:val="right"/>
              <w:rPr>
                <w:sz w:val="18"/>
                <w:szCs w:val="18"/>
              </w:rPr>
            </w:pPr>
            <w:r w:rsidRPr="34B096E2">
              <w:rPr>
                <w:sz w:val="18"/>
                <w:szCs w:val="18"/>
              </w:rPr>
              <w:t xml:space="preserve">618,6 </w:t>
            </w:r>
          </w:p>
        </w:tc>
        <w:tc>
          <w:tcPr>
            <w:tcW w:w="1020" w:type="dxa"/>
            <w:tcBorders>
              <w:top w:val="nil"/>
              <w:left w:val="nil"/>
              <w:bottom w:val="single" w:sz="4" w:space="0" w:color="auto"/>
              <w:right w:val="single" w:sz="4" w:space="0" w:color="auto"/>
            </w:tcBorders>
            <w:shd w:val="clear" w:color="auto" w:fill="auto"/>
            <w:noWrap/>
            <w:vAlign w:val="bottom"/>
            <w:hideMark/>
          </w:tcPr>
          <w:p w14:paraId="302803D2" w14:textId="77777777" w:rsidR="007D7F6E" w:rsidRPr="007D7F6E" w:rsidRDefault="34B096E2" w:rsidP="34B096E2">
            <w:pPr>
              <w:spacing w:after="0"/>
              <w:jc w:val="right"/>
              <w:rPr>
                <w:sz w:val="18"/>
                <w:szCs w:val="18"/>
              </w:rPr>
            </w:pPr>
            <w:r w:rsidRPr="34B096E2">
              <w:rPr>
                <w:sz w:val="18"/>
                <w:szCs w:val="18"/>
              </w:rPr>
              <w:t xml:space="preserve">97,6 </w:t>
            </w:r>
          </w:p>
        </w:tc>
        <w:tc>
          <w:tcPr>
            <w:tcW w:w="1000" w:type="dxa"/>
            <w:tcBorders>
              <w:top w:val="nil"/>
              <w:left w:val="nil"/>
              <w:bottom w:val="single" w:sz="4" w:space="0" w:color="auto"/>
              <w:right w:val="single" w:sz="4" w:space="0" w:color="auto"/>
            </w:tcBorders>
            <w:shd w:val="clear" w:color="auto" w:fill="auto"/>
            <w:noWrap/>
            <w:vAlign w:val="bottom"/>
            <w:hideMark/>
          </w:tcPr>
          <w:p w14:paraId="0A275606" w14:textId="77777777" w:rsidR="007D7F6E" w:rsidRPr="007D7F6E" w:rsidRDefault="34B096E2" w:rsidP="34B096E2">
            <w:pPr>
              <w:spacing w:after="0"/>
              <w:jc w:val="right"/>
              <w:rPr>
                <w:sz w:val="18"/>
                <w:szCs w:val="18"/>
              </w:rPr>
            </w:pPr>
            <w:r w:rsidRPr="34B096E2">
              <w:rPr>
                <w:sz w:val="18"/>
                <w:szCs w:val="18"/>
              </w:rPr>
              <w:t xml:space="preserve">106,0 </w:t>
            </w:r>
          </w:p>
        </w:tc>
      </w:tr>
      <w:tr w:rsidR="007D7F6E" w:rsidRPr="007D7F6E" w14:paraId="5E408523" w14:textId="77777777" w:rsidTr="34B096E2">
        <w:trPr>
          <w:trHeight w:val="30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23DEFAAB" w14:textId="77777777" w:rsidR="007D7F6E" w:rsidRPr="007D7F6E" w:rsidRDefault="34B096E2" w:rsidP="34B096E2">
            <w:pPr>
              <w:spacing w:after="0"/>
              <w:jc w:val="right"/>
              <w:rPr>
                <w:sz w:val="18"/>
                <w:szCs w:val="18"/>
              </w:rPr>
            </w:pPr>
            <w:r w:rsidRPr="34B096E2">
              <w:rPr>
                <w:sz w:val="18"/>
                <w:szCs w:val="18"/>
              </w:rPr>
              <w:t>kiadás:</w:t>
            </w:r>
          </w:p>
        </w:tc>
        <w:tc>
          <w:tcPr>
            <w:tcW w:w="1180" w:type="dxa"/>
            <w:tcBorders>
              <w:top w:val="nil"/>
              <w:left w:val="nil"/>
              <w:bottom w:val="single" w:sz="4" w:space="0" w:color="auto"/>
              <w:right w:val="single" w:sz="4" w:space="0" w:color="auto"/>
            </w:tcBorders>
            <w:shd w:val="clear" w:color="auto" w:fill="auto"/>
            <w:noWrap/>
            <w:vAlign w:val="bottom"/>
            <w:hideMark/>
          </w:tcPr>
          <w:p w14:paraId="3C432D8A" w14:textId="77777777" w:rsidR="007D7F6E" w:rsidRPr="007D7F6E" w:rsidRDefault="34B096E2" w:rsidP="34B096E2">
            <w:pPr>
              <w:spacing w:after="0"/>
              <w:jc w:val="right"/>
              <w:rPr>
                <w:sz w:val="18"/>
                <w:szCs w:val="18"/>
              </w:rPr>
            </w:pPr>
            <w:r w:rsidRPr="34B096E2">
              <w:rPr>
                <w:sz w:val="18"/>
                <w:szCs w:val="18"/>
              </w:rPr>
              <w:t xml:space="preserve">618,7 </w:t>
            </w:r>
          </w:p>
        </w:tc>
        <w:tc>
          <w:tcPr>
            <w:tcW w:w="1180" w:type="dxa"/>
            <w:tcBorders>
              <w:top w:val="nil"/>
              <w:left w:val="nil"/>
              <w:bottom w:val="single" w:sz="4" w:space="0" w:color="auto"/>
              <w:right w:val="single" w:sz="4" w:space="0" w:color="auto"/>
            </w:tcBorders>
            <w:shd w:val="clear" w:color="auto" w:fill="auto"/>
            <w:noWrap/>
            <w:vAlign w:val="bottom"/>
            <w:hideMark/>
          </w:tcPr>
          <w:p w14:paraId="7836E28B" w14:textId="77777777" w:rsidR="007D7F6E" w:rsidRPr="007D7F6E" w:rsidRDefault="34B096E2" w:rsidP="34B096E2">
            <w:pPr>
              <w:spacing w:after="0"/>
              <w:jc w:val="right"/>
              <w:rPr>
                <w:sz w:val="18"/>
                <w:szCs w:val="18"/>
              </w:rPr>
            </w:pPr>
            <w:r w:rsidRPr="34B096E2">
              <w:rPr>
                <w:sz w:val="18"/>
                <w:szCs w:val="18"/>
              </w:rPr>
              <w:t xml:space="preserve">504,9 </w:t>
            </w:r>
          </w:p>
        </w:tc>
        <w:tc>
          <w:tcPr>
            <w:tcW w:w="1020" w:type="dxa"/>
            <w:tcBorders>
              <w:top w:val="nil"/>
              <w:left w:val="nil"/>
              <w:bottom w:val="single" w:sz="4" w:space="0" w:color="auto"/>
              <w:right w:val="single" w:sz="4" w:space="0" w:color="auto"/>
            </w:tcBorders>
            <w:shd w:val="clear" w:color="auto" w:fill="auto"/>
            <w:noWrap/>
            <w:vAlign w:val="bottom"/>
            <w:hideMark/>
          </w:tcPr>
          <w:p w14:paraId="6C9DDF69" w14:textId="77777777" w:rsidR="007D7F6E" w:rsidRPr="007D7F6E" w:rsidRDefault="34B096E2" w:rsidP="34B096E2">
            <w:pPr>
              <w:spacing w:after="0"/>
              <w:jc w:val="right"/>
              <w:rPr>
                <w:sz w:val="18"/>
                <w:szCs w:val="18"/>
              </w:rPr>
            </w:pPr>
            <w:r w:rsidRPr="34B096E2">
              <w:rPr>
                <w:sz w:val="18"/>
                <w:szCs w:val="18"/>
              </w:rPr>
              <w:t xml:space="preserve">81,6 </w:t>
            </w:r>
          </w:p>
        </w:tc>
        <w:tc>
          <w:tcPr>
            <w:tcW w:w="1180" w:type="dxa"/>
            <w:tcBorders>
              <w:top w:val="nil"/>
              <w:left w:val="nil"/>
              <w:bottom w:val="single" w:sz="4" w:space="0" w:color="auto"/>
              <w:right w:val="single" w:sz="4" w:space="0" w:color="auto"/>
            </w:tcBorders>
            <w:shd w:val="clear" w:color="auto" w:fill="auto"/>
            <w:noWrap/>
            <w:vAlign w:val="bottom"/>
            <w:hideMark/>
          </w:tcPr>
          <w:p w14:paraId="7F90B527" w14:textId="77777777" w:rsidR="007D7F6E" w:rsidRPr="007D7F6E" w:rsidRDefault="34B096E2" w:rsidP="34B096E2">
            <w:pPr>
              <w:spacing w:after="0"/>
              <w:jc w:val="right"/>
              <w:rPr>
                <w:sz w:val="18"/>
                <w:szCs w:val="18"/>
              </w:rPr>
            </w:pPr>
            <w:r w:rsidRPr="34B096E2">
              <w:rPr>
                <w:sz w:val="18"/>
                <w:szCs w:val="18"/>
              </w:rPr>
              <w:t xml:space="preserve">641,6 </w:t>
            </w:r>
          </w:p>
        </w:tc>
        <w:tc>
          <w:tcPr>
            <w:tcW w:w="1180" w:type="dxa"/>
            <w:tcBorders>
              <w:top w:val="nil"/>
              <w:left w:val="nil"/>
              <w:bottom w:val="single" w:sz="4" w:space="0" w:color="auto"/>
              <w:right w:val="single" w:sz="4" w:space="0" w:color="auto"/>
            </w:tcBorders>
            <w:shd w:val="clear" w:color="auto" w:fill="auto"/>
            <w:noWrap/>
            <w:vAlign w:val="bottom"/>
            <w:hideMark/>
          </w:tcPr>
          <w:p w14:paraId="6D829CAA" w14:textId="77777777" w:rsidR="007D7F6E" w:rsidRPr="007D7F6E" w:rsidRDefault="34B096E2" w:rsidP="34B096E2">
            <w:pPr>
              <w:spacing w:after="0"/>
              <w:jc w:val="right"/>
              <w:rPr>
                <w:sz w:val="18"/>
                <w:szCs w:val="18"/>
              </w:rPr>
            </w:pPr>
            <w:r w:rsidRPr="34B096E2">
              <w:rPr>
                <w:sz w:val="18"/>
                <w:szCs w:val="18"/>
              </w:rPr>
              <w:t xml:space="preserve">565,6 </w:t>
            </w:r>
          </w:p>
        </w:tc>
        <w:tc>
          <w:tcPr>
            <w:tcW w:w="1020" w:type="dxa"/>
            <w:tcBorders>
              <w:top w:val="nil"/>
              <w:left w:val="nil"/>
              <w:bottom w:val="single" w:sz="4" w:space="0" w:color="auto"/>
              <w:right w:val="single" w:sz="4" w:space="0" w:color="auto"/>
            </w:tcBorders>
            <w:shd w:val="clear" w:color="auto" w:fill="auto"/>
            <w:noWrap/>
            <w:vAlign w:val="bottom"/>
            <w:hideMark/>
          </w:tcPr>
          <w:p w14:paraId="46C11D91" w14:textId="77777777" w:rsidR="007D7F6E" w:rsidRPr="007D7F6E" w:rsidRDefault="34B096E2" w:rsidP="34B096E2">
            <w:pPr>
              <w:spacing w:after="0"/>
              <w:jc w:val="right"/>
              <w:rPr>
                <w:sz w:val="18"/>
                <w:szCs w:val="18"/>
              </w:rPr>
            </w:pPr>
            <w:r w:rsidRPr="34B096E2">
              <w:rPr>
                <w:sz w:val="18"/>
                <w:szCs w:val="18"/>
              </w:rPr>
              <w:t xml:space="preserve">88,2 </w:t>
            </w:r>
          </w:p>
        </w:tc>
        <w:tc>
          <w:tcPr>
            <w:tcW w:w="1000" w:type="dxa"/>
            <w:tcBorders>
              <w:top w:val="nil"/>
              <w:left w:val="nil"/>
              <w:bottom w:val="single" w:sz="4" w:space="0" w:color="auto"/>
              <w:right w:val="single" w:sz="4" w:space="0" w:color="auto"/>
            </w:tcBorders>
            <w:shd w:val="clear" w:color="auto" w:fill="auto"/>
            <w:noWrap/>
            <w:vAlign w:val="bottom"/>
            <w:hideMark/>
          </w:tcPr>
          <w:p w14:paraId="79982E98" w14:textId="77777777" w:rsidR="007D7F6E" w:rsidRPr="007D7F6E" w:rsidRDefault="34B096E2" w:rsidP="34B096E2">
            <w:pPr>
              <w:spacing w:after="0"/>
              <w:jc w:val="right"/>
              <w:rPr>
                <w:sz w:val="18"/>
                <w:szCs w:val="18"/>
              </w:rPr>
            </w:pPr>
            <w:r w:rsidRPr="34B096E2">
              <w:rPr>
                <w:sz w:val="18"/>
                <w:szCs w:val="18"/>
              </w:rPr>
              <w:t xml:space="preserve">112,0 </w:t>
            </w:r>
          </w:p>
        </w:tc>
      </w:tr>
      <w:tr w:rsidR="007D7F6E" w:rsidRPr="007D7F6E" w14:paraId="4E218E86" w14:textId="77777777" w:rsidTr="34B096E2">
        <w:trPr>
          <w:trHeight w:val="480"/>
        </w:trPr>
        <w:tc>
          <w:tcPr>
            <w:tcW w:w="1800" w:type="dxa"/>
            <w:tcBorders>
              <w:top w:val="nil"/>
              <w:left w:val="single" w:sz="4" w:space="0" w:color="auto"/>
              <w:bottom w:val="single" w:sz="4" w:space="0" w:color="auto"/>
              <w:right w:val="single" w:sz="4" w:space="0" w:color="auto"/>
            </w:tcBorders>
            <w:shd w:val="clear" w:color="auto" w:fill="auto"/>
            <w:vAlign w:val="center"/>
            <w:hideMark/>
          </w:tcPr>
          <w:p w14:paraId="6C407CBC" w14:textId="77777777" w:rsidR="007D7F6E" w:rsidRPr="007D7F6E" w:rsidRDefault="34B096E2" w:rsidP="34B096E2">
            <w:pPr>
              <w:spacing w:after="0"/>
              <w:jc w:val="left"/>
              <w:rPr>
                <w:b/>
                <w:bCs/>
                <w:sz w:val="18"/>
                <w:szCs w:val="18"/>
              </w:rPr>
            </w:pPr>
            <w:r w:rsidRPr="34B096E2">
              <w:rPr>
                <w:b/>
                <w:bCs/>
                <w:sz w:val="18"/>
                <w:szCs w:val="18"/>
              </w:rPr>
              <w:t>Társadalombiztosítási alapok egyenlege</w:t>
            </w:r>
          </w:p>
        </w:tc>
        <w:tc>
          <w:tcPr>
            <w:tcW w:w="1180" w:type="dxa"/>
            <w:tcBorders>
              <w:top w:val="nil"/>
              <w:left w:val="nil"/>
              <w:bottom w:val="single" w:sz="4" w:space="0" w:color="auto"/>
              <w:right w:val="single" w:sz="4" w:space="0" w:color="auto"/>
            </w:tcBorders>
            <w:shd w:val="clear" w:color="auto" w:fill="auto"/>
            <w:noWrap/>
            <w:vAlign w:val="bottom"/>
            <w:hideMark/>
          </w:tcPr>
          <w:p w14:paraId="00FE1D28" w14:textId="77777777" w:rsidR="007D7F6E" w:rsidRPr="007D7F6E" w:rsidRDefault="34B096E2" w:rsidP="34B096E2">
            <w:pPr>
              <w:spacing w:after="0"/>
              <w:jc w:val="right"/>
              <w:rPr>
                <w:b/>
                <w:bCs/>
                <w:sz w:val="18"/>
                <w:szCs w:val="18"/>
              </w:rPr>
            </w:pPr>
            <w:r w:rsidRPr="34B096E2">
              <w:rPr>
                <w:b/>
                <w:bCs/>
                <w:sz w:val="18"/>
                <w:szCs w:val="18"/>
              </w:rPr>
              <w:t xml:space="preserve">-234,9 </w:t>
            </w:r>
          </w:p>
        </w:tc>
        <w:tc>
          <w:tcPr>
            <w:tcW w:w="1180" w:type="dxa"/>
            <w:tcBorders>
              <w:top w:val="nil"/>
              <w:left w:val="nil"/>
              <w:bottom w:val="single" w:sz="4" w:space="0" w:color="auto"/>
              <w:right w:val="single" w:sz="4" w:space="0" w:color="auto"/>
            </w:tcBorders>
            <w:shd w:val="clear" w:color="auto" w:fill="auto"/>
            <w:noWrap/>
            <w:vAlign w:val="bottom"/>
            <w:hideMark/>
          </w:tcPr>
          <w:p w14:paraId="2FB12787" w14:textId="77777777" w:rsidR="007D7F6E" w:rsidRPr="007D7F6E" w:rsidRDefault="34B096E2" w:rsidP="34B096E2">
            <w:pPr>
              <w:spacing w:after="0"/>
              <w:jc w:val="right"/>
              <w:rPr>
                <w:b/>
                <w:bCs/>
                <w:sz w:val="18"/>
                <w:szCs w:val="18"/>
              </w:rPr>
            </w:pPr>
            <w:r w:rsidRPr="34B096E2">
              <w:rPr>
                <w:b/>
                <w:bCs/>
                <w:sz w:val="18"/>
                <w:szCs w:val="18"/>
              </w:rPr>
              <w:t xml:space="preserve">-185,3 </w:t>
            </w:r>
          </w:p>
        </w:tc>
        <w:tc>
          <w:tcPr>
            <w:tcW w:w="1020" w:type="dxa"/>
            <w:tcBorders>
              <w:top w:val="nil"/>
              <w:left w:val="nil"/>
              <w:bottom w:val="single" w:sz="4" w:space="0" w:color="auto"/>
              <w:right w:val="single" w:sz="4" w:space="0" w:color="auto"/>
            </w:tcBorders>
            <w:shd w:val="clear" w:color="auto" w:fill="auto"/>
            <w:noWrap/>
            <w:vAlign w:val="bottom"/>
            <w:hideMark/>
          </w:tcPr>
          <w:p w14:paraId="3A462F06" w14:textId="77777777" w:rsidR="007D7F6E" w:rsidRPr="007D7F6E" w:rsidRDefault="34B096E2" w:rsidP="34B096E2">
            <w:pPr>
              <w:spacing w:after="0"/>
              <w:jc w:val="right"/>
              <w:rPr>
                <w:sz w:val="18"/>
                <w:szCs w:val="18"/>
              </w:rPr>
            </w:pPr>
            <w:r w:rsidRPr="34B096E2">
              <w:rPr>
                <w:sz w:val="18"/>
                <w:szCs w:val="18"/>
              </w:rPr>
              <w:t xml:space="preserve">78,9 </w:t>
            </w:r>
          </w:p>
        </w:tc>
        <w:tc>
          <w:tcPr>
            <w:tcW w:w="1180" w:type="dxa"/>
            <w:tcBorders>
              <w:top w:val="nil"/>
              <w:left w:val="nil"/>
              <w:bottom w:val="single" w:sz="4" w:space="0" w:color="auto"/>
              <w:right w:val="single" w:sz="4" w:space="0" w:color="auto"/>
            </w:tcBorders>
            <w:shd w:val="clear" w:color="auto" w:fill="auto"/>
            <w:noWrap/>
            <w:vAlign w:val="bottom"/>
            <w:hideMark/>
          </w:tcPr>
          <w:p w14:paraId="3186DB60" w14:textId="77777777" w:rsidR="007D7F6E" w:rsidRPr="007D7F6E" w:rsidRDefault="34B096E2" w:rsidP="34B096E2">
            <w:pPr>
              <w:spacing w:after="0"/>
              <w:jc w:val="right"/>
              <w:rPr>
                <w:b/>
                <w:bCs/>
                <w:sz w:val="18"/>
                <w:szCs w:val="18"/>
              </w:rPr>
            </w:pPr>
            <w:r w:rsidRPr="34B096E2">
              <w:rPr>
                <w:b/>
                <w:bCs/>
                <w:sz w:val="18"/>
                <w:szCs w:val="18"/>
              </w:rPr>
              <w:t>0,</w:t>
            </w:r>
            <w:proofErr w:type="spellStart"/>
            <w:r w:rsidRPr="34B096E2">
              <w:rPr>
                <w:b/>
                <w:bCs/>
                <w:sz w:val="18"/>
                <w:szCs w:val="18"/>
              </w:rPr>
              <w:t>0</w:t>
            </w:r>
            <w:proofErr w:type="spellEnd"/>
            <w:r w:rsidRPr="34B096E2">
              <w:rPr>
                <w:b/>
                <w:bCs/>
                <w:sz w:val="18"/>
                <w:szCs w:val="18"/>
              </w:rPr>
              <w:t xml:space="preserve"> </w:t>
            </w:r>
          </w:p>
        </w:tc>
        <w:tc>
          <w:tcPr>
            <w:tcW w:w="1180" w:type="dxa"/>
            <w:tcBorders>
              <w:top w:val="nil"/>
              <w:left w:val="nil"/>
              <w:bottom w:val="single" w:sz="4" w:space="0" w:color="auto"/>
              <w:right w:val="single" w:sz="4" w:space="0" w:color="auto"/>
            </w:tcBorders>
            <w:shd w:val="clear" w:color="auto" w:fill="auto"/>
            <w:noWrap/>
            <w:vAlign w:val="bottom"/>
            <w:hideMark/>
          </w:tcPr>
          <w:p w14:paraId="1D9ABA1C" w14:textId="77777777" w:rsidR="007D7F6E" w:rsidRPr="007D7F6E" w:rsidRDefault="34B096E2" w:rsidP="34B096E2">
            <w:pPr>
              <w:spacing w:after="0"/>
              <w:jc w:val="right"/>
              <w:rPr>
                <w:b/>
                <w:bCs/>
                <w:sz w:val="18"/>
                <w:szCs w:val="18"/>
              </w:rPr>
            </w:pPr>
            <w:r w:rsidRPr="34B096E2">
              <w:rPr>
                <w:b/>
                <w:bCs/>
                <w:sz w:val="18"/>
                <w:szCs w:val="18"/>
              </w:rPr>
              <w:t xml:space="preserve">-572,7 </w:t>
            </w:r>
          </w:p>
        </w:tc>
        <w:tc>
          <w:tcPr>
            <w:tcW w:w="1020" w:type="dxa"/>
            <w:tcBorders>
              <w:top w:val="nil"/>
              <w:left w:val="nil"/>
              <w:bottom w:val="single" w:sz="4" w:space="0" w:color="auto"/>
              <w:right w:val="single" w:sz="4" w:space="0" w:color="auto"/>
            </w:tcBorders>
            <w:shd w:val="clear" w:color="auto" w:fill="auto"/>
            <w:noWrap/>
            <w:vAlign w:val="bottom"/>
            <w:hideMark/>
          </w:tcPr>
          <w:p w14:paraId="53E27B8B" w14:textId="77777777" w:rsidR="007D7F6E" w:rsidRPr="007D7F6E" w:rsidRDefault="34B096E2" w:rsidP="34B096E2">
            <w:pPr>
              <w:spacing w:after="0"/>
              <w:jc w:val="right"/>
              <w:rPr>
                <w:sz w:val="18"/>
                <w:szCs w:val="18"/>
              </w:rPr>
            </w:pPr>
            <w:r w:rsidRPr="34B096E2">
              <w:rPr>
                <w:sz w:val="18"/>
                <w:szCs w:val="18"/>
              </w:rPr>
              <w:t> </w:t>
            </w:r>
          </w:p>
        </w:tc>
        <w:tc>
          <w:tcPr>
            <w:tcW w:w="1000" w:type="dxa"/>
            <w:tcBorders>
              <w:top w:val="nil"/>
              <w:left w:val="nil"/>
              <w:bottom w:val="single" w:sz="4" w:space="0" w:color="auto"/>
              <w:right w:val="single" w:sz="4" w:space="0" w:color="auto"/>
            </w:tcBorders>
            <w:shd w:val="clear" w:color="auto" w:fill="auto"/>
            <w:noWrap/>
            <w:vAlign w:val="bottom"/>
            <w:hideMark/>
          </w:tcPr>
          <w:p w14:paraId="32AA6641" w14:textId="77777777" w:rsidR="007D7F6E" w:rsidRPr="007D7F6E" w:rsidRDefault="34B096E2" w:rsidP="34B096E2">
            <w:pPr>
              <w:spacing w:after="0"/>
              <w:jc w:val="right"/>
              <w:rPr>
                <w:sz w:val="18"/>
                <w:szCs w:val="18"/>
              </w:rPr>
            </w:pPr>
            <w:r w:rsidRPr="34B096E2">
              <w:rPr>
                <w:sz w:val="18"/>
                <w:szCs w:val="18"/>
              </w:rPr>
              <w:t xml:space="preserve">309,1 </w:t>
            </w:r>
          </w:p>
        </w:tc>
      </w:tr>
      <w:tr w:rsidR="007D7F6E" w:rsidRPr="007D7F6E" w14:paraId="3C8597E7" w14:textId="77777777" w:rsidTr="34B096E2">
        <w:trPr>
          <w:trHeight w:val="30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78658C62" w14:textId="77777777" w:rsidR="007D7F6E" w:rsidRPr="007D7F6E" w:rsidRDefault="34B096E2" w:rsidP="34B096E2">
            <w:pPr>
              <w:spacing w:after="0"/>
              <w:jc w:val="right"/>
              <w:rPr>
                <w:sz w:val="18"/>
                <w:szCs w:val="18"/>
              </w:rPr>
            </w:pPr>
            <w:r w:rsidRPr="34B096E2">
              <w:rPr>
                <w:sz w:val="18"/>
                <w:szCs w:val="18"/>
              </w:rPr>
              <w:t>bevétel:</w:t>
            </w:r>
          </w:p>
        </w:tc>
        <w:tc>
          <w:tcPr>
            <w:tcW w:w="1180" w:type="dxa"/>
            <w:tcBorders>
              <w:top w:val="nil"/>
              <w:left w:val="nil"/>
              <w:bottom w:val="single" w:sz="4" w:space="0" w:color="auto"/>
              <w:right w:val="single" w:sz="4" w:space="0" w:color="auto"/>
            </w:tcBorders>
            <w:shd w:val="clear" w:color="auto" w:fill="auto"/>
            <w:noWrap/>
            <w:vAlign w:val="bottom"/>
            <w:hideMark/>
          </w:tcPr>
          <w:p w14:paraId="6AC78668" w14:textId="77777777" w:rsidR="007D7F6E" w:rsidRPr="007D7F6E" w:rsidRDefault="34B096E2" w:rsidP="34B096E2">
            <w:pPr>
              <w:spacing w:after="0"/>
              <w:jc w:val="right"/>
              <w:rPr>
                <w:sz w:val="18"/>
                <w:szCs w:val="18"/>
              </w:rPr>
            </w:pPr>
            <w:r w:rsidRPr="34B096E2">
              <w:rPr>
                <w:sz w:val="18"/>
                <w:szCs w:val="18"/>
              </w:rPr>
              <w:t xml:space="preserve">5 815,8 </w:t>
            </w:r>
          </w:p>
        </w:tc>
        <w:tc>
          <w:tcPr>
            <w:tcW w:w="1180" w:type="dxa"/>
            <w:tcBorders>
              <w:top w:val="nil"/>
              <w:left w:val="nil"/>
              <w:bottom w:val="single" w:sz="4" w:space="0" w:color="auto"/>
              <w:right w:val="single" w:sz="4" w:space="0" w:color="auto"/>
            </w:tcBorders>
            <w:shd w:val="clear" w:color="auto" w:fill="auto"/>
            <w:noWrap/>
            <w:vAlign w:val="bottom"/>
            <w:hideMark/>
          </w:tcPr>
          <w:p w14:paraId="037C38E6" w14:textId="77777777" w:rsidR="007D7F6E" w:rsidRPr="007D7F6E" w:rsidRDefault="34B096E2" w:rsidP="34B096E2">
            <w:pPr>
              <w:spacing w:after="0"/>
              <w:jc w:val="right"/>
              <w:rPr>
                <w:sz w:val="18"/>
                <w:szCs w:val="18"/>
              </w:rPr>
            </w:pPr>
            <w:r w:rsidRPr="34B096E2">
              <w:rPr>
                <w:sz w:val="18"/>
                <w:szCs w:val="18"/>
              </w:rPr>
              <w:t xml:space="preserve">5 293,4 </w:t>
            </w:r>
          </w:p>
        </w:tc>
        <w:tc>
          <w:tcPr>
            <w:tcW w:w="1020" w:type="dxa"/>
            <w:tcBorders>
              <w:top w:val="nil"/>
              <w:left w:val="nil"/>
              <w:bottom w:val="single" w:sz="4" w:space="0" w:color="auto"/>
              <w:right w:val="single" w:sz="4" w:space="0" w:color="auto"/>
            </w:tcBorders>
            <w:shd w:val="clear" w:color="auto" w:fill="auto"/>
            <w:noWrap/>
            <w:vAlign w:val="bottom"/>
            <w:hideMark/>
          </w:tcPr>
          <w:p w14:paraId="4F9F7F6F" w14:textId="77777777" w:rsidR="007D7F6E" w:rsidRPr="007D7F6E" w:rsidRDefault="34B096E2" w:rsidP="34B096E2">
            <w:pPr>
              <w:spacing w:after="0"/>
              <w:jc w:val="right"/>
              <w:rPr>
                <w:sz w:val="18"/>
                <w:szCs w:val="18"/>
              </w:rPr>
            </w:pPr>
            <w:r w:rsidRPr="34B096E2">
              <w:rPr>
                <w:sz w:val="18"/>
                <w:szCs w:val="18"/>
              </w:rPr>
              <w:t xml:space="preserve">91,0 </w:t>
            </w:r>
          </w:p>
        </w:tc>
        <w:tc>
          <w:tcPr>
            <w:tcW w:w="1180" w:type="dxa"/>
            <w:tcBorders>
              <w:top w:val="nil"/>
              <w:left w:val="nil"/>
              <w:bottom w:val="single" w:sz="4" w:space="0" w:color="auto"/>
              <w:right w:val="single" w:sz="4" w:space="0" w:color="auto"/>
            </w:tcBorders>
            <w:shd w:val="clear" w:color="auto" w:fill="auto"/>
            <w:noWrap/>
            <w:vAlign w:val="bottom"/>
            <w:hideMark/>
          </w:tcPr>
          <w:p w14:paraId="34E8A1C9" w14:textId="77777777" w:rsidR="007D7F6E" w:rsidRPr="007D7F6E" w:rsidRDefault="34B096E2" w:rsidP="34B096E2">
            <w:pPr>
              <w:spacing w:after="0"/>
              <w:jc w:val="right"/>
              <w:rPr>
                <w:sz w:val="18"/>
                <w:szCs w:val="18"/>
              </w:rPr>
            </w:pPr>
            <w:r w:rsidRPr="34B096E2">
              <w:rPr>
                <w:sz w:val="18"/>
                <w:szCs w:val="18"/>
              </w:rPr>
              <w:t xml:space="preserve">6 269,5 </w:t>
            </w:r>
          </w:p>
        </w:tc>
        <w:tc>
          <w:tcPr>
            <w:tcW w:w="1180" w:type="dxa"/>
            <w:tcBorders>
              <w:top w:val="nil"/>
              <w:left w:val="nil"/>
              <w:bottom w:val="single" w:sz="4" w:space="0" w:color="auto"/>
              <w:right w:val="single" w:sz="4" w:space="0" w:color="auto"/>
            </w:tcBorders>
            <w:shd w:val="clear" w:color="auto" w:fill="auto"/>
            <w:noWrap/>
            <w:vAlign w:val="bottom"/>
            <w:hideMark/>
          </w:tcPr>
          <w:p w14:paraId="5B937B67" w14:textId="77777777" w:rsidR="007D7F6E" w:rsidRPr="007D7F6E" w:rsidRDefault="34B096E2" w:rsidP="34B096E2">
            <w:pPr>
              <w:spacing w:after="0"/>
              <w:jc w:val="right"/>
              <w:rPr>
                <w:sz w:val="18"/>
                <w:szCs w:val="18"/>
              </w:rPr>
            </w:pPr>
            <w:r w:rsidRPr="34B096E2">
              <w:rPr>
                <w:sz w:val="18"/>
                <w:szCs w:val="18"/>
              </w:rPr>
              <w:t xml:space="preserve">5 350,2 </w:t>
            </w:r>
          </w:p>
        </w:tc>
        <w:tc>
          <w:tcPr>
            <w:tcW w:w="1020" w:type="dxa"/>
            <w:tcBorders>
              <w:top w:val="nil"/>
              <w:left w:val="nil"/>
              <w:bottom w:val="single" w:sz="4" w:space="0" w:color="auto"/>
              <w:right w:val="single" w:sz="4" w:space="0" w:color="auto"/>
            </w:tcBorders>
            <w:shd w:val="clear" w:color="auto" w:fill="auto"/>
            <w:noWrap/>
            <w:vAlign w:val="bottom"/>
            <w:hideMark/>
          </w:tcPr>
          <w:p w14:paraId="43F20106" w14:textId="77777777" w:rsidR="007D7F6E" w:rsidRPr="007D7F6E" w:rsidRDefault="34B096E2" w:rsidP="34B096E2">
            <w:pPr>
              <w:spacing w:after="0"/>
              <w:jc w:val="right"/>
              <w:rPr>
                <w:sz w:val="18"/>
                <w:szCs w:val="18"/>
              </w:rPr>
            </w:pPr>
            <w:r w:rsidRPr="34B096E2">
              <w:rPr>
                <w:sz w:val="18"/>
                <w:szCs w:val="18"/>
              </w:rPr>
              <w:t xml:space="preserve">85,3 </w:t>
            </w:r>
          </w:p>
        </w:tc>
        <w:tc>
          <w:tcPr>
            <w:tcW w:w="1000" w:type="dxa"/>
            <w:tcBorders>
              <w:top w:val="nil"/>
              <w:left w:val="nil"/>
              <w:bottom w:val="single" w:sz="4" w:space="0" w:color="auto"/>
              <w:right w:val="single" w:sz="4" w:space="0" w:color="auto"/>
            </w:tcBorders>
            <w:shd w:val="clear" w:color="auto" w:fill="auto"/>
            <w:noWrap/>
            <w:vAlign w:val="bottom"/>
            <w:hideMark/>
          </w:tcPr>
          <w:p w14:paraId="361E1E85" w14:textId="77777777" w:rsidR="007D7F6E" w:rsidRPr="007D7F6E" w:rsidRDefault="34B096E2" w:rsidP="34B096E2">
            <w:pPr>
              <w:spacing w:after="0"/>
              <w:jc w:val="right"/>
              <w:rPr>
                <w:sz w:val="18"/>
                <w:szCs w:val="18"/>
              </w:rPr>
            </w:pPr>
            <w:r w:rsidRPr="34B096E2">
              <w:rPr>
                <w:sz w:val="18"/>
                <w:szCs w:val="18"/>
              </w:rPr>
              <w:t xml:space="preserve">101,1 </w:t>
            </w:r>
          </w:p>
        </w:tc>
      </w:tr>
      <w:tr w:rsidR="007D7F6E" w:rsidRPr="007D7F6E" w14:paraId="0283E52A" w14:textId="77777777" w:rsidTr="34B096E2">
        <w:trPr>
          <w:trHeight w:val="30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6C214C9C" w14:textId="77777777" w:rsidR="007D7F6E" w:rsidRPr="007D7F6E" w:rsidRDefault="34B096E2" w:rsidP="34B096E2">
            <w:pPr>
              <w:spacing w:after="0"/>
              <w:jc w:val="right"/>
              <w:rPr>
                <w:sz w:val="18"/>
                <w:szCs w:val="18"/>
              </w:rPr>
            </w:pPr>
            <w:r w:rsidRPr="34B096E2">
              <w:rPr>
                <w:sz w:val="18"/>
                <w:szCs w:val="18"/>
              </w:rPr>
              <w:t>kiadás:</w:t>
            </w:r>
          </w:p>
        </w:tc>
        <w:tc>
          <w:tcPr>
            <w:tcW w:w="1180" w:type="dxa"/>
            <w:tcBorders>
              <w:top w:val="nil"/>
              <w:left w:val="nil"/>
              <w:bottom w:val="single" w:sz="4" w:space="0" w:color="auto"/>
              <w:right w:val="single" w:sz="4" w:space="0" w:color="auto"/>
            </w:tcBorders>
            <w:shd w:val="clear" w:color="auto" w:fill="auto"/>
            <w:noWrap/>
            <w:vAlign w:val="bottom"/>
            <w:hideMark/>
          </w:tcPr>
          <w:p w14:paraId="5484F8C1" w14:textId="77777777" w:rsidR="007D7F6E" w:rsidRPr="007D7F6E" w:rsidRDefault="34B096E2" w:rsidP="34B096E2">
            <w:pPr>
              <w:spacing w:after="0"/>
              <w:jc w:val="right"/>
              <w:rPr>
                <w:sz w:val="18"/>
                <w:szCs w:val="18"/>
              </w:rPr>
            </w:pPr>
            <w:r w:rsidRPr="34B096E2">
              <w:rPr>
                <w:sz w:val="18"/>
                <w:szCs w:val="18"/>
              </w:rPr>
              <w:t xml:space="preserve">6 050,7 </w:t>
            </w:r>
          </w:p>
        </w:tc>
        <w:tc>
          <w:tcPr>
            <w:tcW w:w="1180" w:type="dxa"/>
            <w:tcBorders>
              <w:top w:val="nil"/>
              <w:left w:val="nil"/>
              <w:bottom w:val="single" w:sz="4" w:space="0" w:color="auto"/>
              <w:right w:val="single" w:sz="4" w:space="0" w:color="auto"/>
            </w:tcBorders>
            <w:shd w:val="clear" w:color="auto" w:fill="auto"/>
            <w:noWrap/>
            <w:vAlign w:val="bottom"/>
            <w:hideMark/>
          </w:tcPr>
          <w:p w14:paraId="0C47D62A" w14:textId="77777777" w:rsidR="007D7F6E" w:rsidRPr="007D7F6E" w:rsidRDefault="34B096E2" w:rsidP="34B096E2">
            <w:pPr>
              <w:spacing w:after="0"/>
              <w:jc w:val="right"/>
              <w:rPr>
                <w:sz w:val="18"/>
                <w:szCs w:val="18"/>
              </w:rPr>
            </w:pPr>
            <w:r w:rsidRPr="34B096E2">
              <w:rPr>
                <w:sz w:val="18"/>
                <w:szCs w:val="18"/>
              </w:rPr>
              <w:t xml:space="preserve">5 478,7 </w:t>
            </w:r>
          </w:p>
        </w:tc>
        <w:tc>
          <w:tcPr>
            <w:tcW w:w="1020" w:type="dxa"/>
            <w:tcBorders>
              <w:top w:val="nil"/>
              <w:left w:val="nil"/>
              <w:bottom w:val="single" w:sz="4" w:space="0" w:color="auto"/>
              <w:right w:val="single" w:sz="4" w:space="0" w:color="auto"/>
            </w:tcBorders>
            <w:shd w:val="clear" w:color="auto" w:fill="auto"/>
            <w:noWrap/>
            <w:vAlign w:val="bottom"/>
            <w:hideMark/>
          </w:tcPr>
          <w:p w14:paraId="3AEFB8C3" w14:textId="77777777" w:rsidR="007D7F6E" w:rsidRPr="007D7F6E" w:rsidRDefault="34B096E2" w:rsidP="34B096E2">
            <w:pPr>
              <w:spacing w:after="0"/>
              <w:jc w:val="right"/>
              <w:rPr>
                <w:sz w:val="18"/>
                <w:szCs w:val="18"/>
              </w:rPr>
            </w:pPr>
            <w:r w:rsidRPr="34B096E2">
              <w:rPr>
                <w:sz w:val="18"/>
                <w:szCs w:val="18"/>
              </w:rPr>
              <w:t xml:space="preserve">90,5 </w:t>
            </w:r>
          </w:p>
        </w:tc>
        <w:tc>
          <w:tcPr>
            <w:tcW w:w="1180" w:type="dxa"/>
            <w:tcBorders>
              <w:top w:val="nil"/>
              <w:left w:val="nil"/>
              <w:bottom w:val="single" w:sz="4" w:space="0" w:color="auto"/>
              <w:right w:val="single" w:sz="4" w:space="0" w:color="auto"/>
            </w:tcBorders>
            <w:shd w:val="clear" w:color="auto" w:fill="auto"/>
            <w:noWrap/>
            <w:vAlign w:val="bottom"/>
            <w:hideMark/>
          </w:tcPr>
          <w:p w14:paraId="198FF0D3" w14:textId="77777777" w:rsidR="007D7F6E" w:rsidRPr="007D7F6E" w:rsidRDefault="34B096E2" w:rsidP="34B096E2">
            <w:pPr>
              <w:spacing w:after="0"/>
              <w:jc w:val="right"/>
              <w:rPr>
                <w:sz w:val="18"/>
                <w:szCs w:val="18"/>
              </w:rPr>
            </w:pPr>
            <w:r w:rsidRPr="34B096E2">
              <w:rPr>
                <w:sz w:val="18"/>
                <w:szCs w:val="18"/>
              </w:rPr>
              <w:t xml:space="preserve">6 269,5 </w:t>
            </w:r>
          </w:p>
        </w:tc>
        <w:tc>
          <w:tcPr>
            <w:tcW w:w="1180" w:type="dxa"/>
            <w:tcBorders>
              <w:top w:val="nil"/>
              <w:left w:val="nil"/>
              <w:bottom w:val="single" w:sz="4" w:space="0" w:color="auto"/>
              <w:right w:val="single" w:sz="4" w:space="0" w:color="auto"/>
            </w:tcBorders>
            <w:shd w:val="clear" w:color="auto" w:fill="auto"/>
            <w:noWrap/>
            <w:vAlign w:val="bottom"/>
            <w:hideMark/>
          </w:tcPr>
          <w:p w14:paraId="42169C47" w14:textId="77777777" w:rsidR="007D7F6E" w:rsidRPr="007D7F6E" w:rsidRDefault="34B096E2" w:rsidP="34B096E2">
            <w:pPr>
              <w:spacing w:after="0"/>
              <w:jc w:val="right"/>
              <w:rPr>
                <w:sz w:val="18"/>
                <w:szCs w:val="18"/>
              </w:rPr>
            </w:pPr>
            <w:r w:rsidRPr="34B096E2">
              <w:rPr>
                <w:sz w:val="18"/>
                <w:szCs w:val="18"/>
              </w:rPr>
              <w:t xml:space="preserve">5 922,9 </w:t>
            </w:r>
          </w:p>
        </w:tc>
        <w:tc>
          <w:tcPr>
            <w:tcW w:w="1020" w:type="dxa"/>
            <w:tcBorders>
              <w:top w:val="nil"/>
              <w:left w:val="nil"/>
              <w:bottom w:val="single" w:sz="4" w:space="0" w:color="auto"/>
              <w:right w:val="single" w:sz="4" w:space="0" w:color="auto"/>
            </w:tcBorders>
            <w:shd w:val="clear" w:color="auto" w:fill="auto"/>
            <w:noWrap/>
            <w:vAlign w:val="bottom"/>
            <w:hideMark/>
          </w:tcPr>
          <w:p w14:paraId="78763086" w14:textId="77777777" w:rsidR="007D7F6E" w:rsidRPr="007D7F6E" w:rsidRDefault="34B096E2" w:rsidP="34B096E2">
            <w:pPr>
              <w:spacing w:after="0"/>
              <w:jc w:val="right"/>
              <w:rPr>
                <w:sz w:val="18"/>
                <w:szCs w:val="18"/>
              </w:rPr>
            </w:pPr>
            <w:r w:rsidRPr="34B096E2">
              <w:rPr>
                <w:sz w:val="18"/>
                <w:szCs w:val="18"/>
              </w:rPr>
              <w:t xml:space="preserve">94,5 </w:t>
            </w:r>
          </w:p>
        </w:tc>
        <w:tc>
          <w:tcPr>
            <w:tcW w:w="1000" w:type="dxa"/>
            <w:tcBorders>
              <w:top w:val="nil"/>
              <w:left w:val="nil"/>
              <w:bottom w:val="single" w:sz="4" w:space="0" w:color="auto"/>
              <w:right w:val="single" w:sz="4" w:space="0" w:color="auto"/>
            </w:tcBorders>
            <w:shd w:val="clear" w:color="auto" w:fill="auto"/>
            <w:noWrap/>
            <w:vAlign w:val="bottom"/>
            <w:hideMark/>
          </w:tcPr>
          <w:p w14:paraId="693071A0" w14:textId="77777777" w:rsidR="007D7F6E" w:rsidRPr="007D7F6E" w:rsidRDefault="34B096E2" w:rsidP="34B096E2">
            <w:pPr>
              <w:spacing w:after="0"/>
              <w:jc w:val="right"/>
              <w:rPr>
                <w:sz w:val="18"/>
                <w:szCs w:val="18"/>
              </w:rPr>
            </w:pPr>
            <w:r w:rsidRPr="34B096E2">
              <w:rPr>
                <w:sz w:val="18"/>
                <w:szCs w:val="18"/>
              </w:rPr>
              <w:t xml:space="preserve">108,1 </w:t>
            </w:r>
          </w:p>
        </w:tc>
      </w:tr>
      <w:tr w:rsidR="007D7F6E" w:rsidRPr="007D7F6E" w14:paraId="59E8E2A2" w14:textId="77777777" w:rsidTr="34B096E2">
        <w:trPr>
          <w:trHeight w:val="30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18FB2E2A" w14:textId="77777777" w:rsidR="007D7F6E" w:rsidRPr="007D7F6E" w:rsidRDefault="34B096E2" w:rsidP="34B096E2">
            <w:pPr>
              <w:spacing w:after="0"/>
              <w:jc w:val="left"/>
              <w:rPr>
                <w:b/>
                <w:bCs/>
                <w:sz w:val="18"/>
                <w:szCs w:val="18"/>
              </w:rPr>
            </w:pPr>
            <w:r w:rsidRPr="34B096E2">
              <w:rPr>
                <w:b/>
                <w:bCs/>
                <w:sz w:val="18"/>
                <w:szCs w:val="18"/>
              </w:rPr>
              <w:t>Egyenleg összesen</w:t>
            </w:r>
          </w:p>
        </w:tc>
        <w:tc>
          <w:tcPr>
            <w:tcW w:w="1180" w:type="dxa"/>
            <w:tcBorders>
              <w:top w:val="nil"/>
              <w:left w:val="nil"/>
              <w:bottom w:val="single" w:sz="4" w:space="0" w:color="auto"/>
              <w:right w:val="single" w:sz="4" w:space="0" w:color="auto"/>
            </w:tcBorders>
            <w:shd w:val="clear" w:color="auto" w:fill="auto"/>
            <w:noWrap/>
            <w:vAlign w:val="bottom"/>
            <w:hideMark/>
          </w:tcPr>
          <w:p w14:paraId="7726B3AF" w14:textId="77777777" w:rsidR="007D7F6E" w:rsidRPr="007D7F6E" w:rsidRDefault="34B096E2" w:rsidP="34B096E2">
            <w:pPr>
              <w:spacing w:after="0"/>
              <w:jc w:val="right"/>
              <w:rPr>
                <w:b/>
                <w:bCs/>
                <w:sz w:val="18"/>
                <w:szCs w:val="18"/>
              </w:rPr>
            </w:pPr>
            <w:r w:rsidRPr="34B096E2">
              <w:rPr>
                <w:b/>
                <w:bCs/>
                <w:sz w:val="18"/>
                <w:szCs w:val="18"/>
              </w:rPr>
              <w:t xml:space="preserve">-1 127,9 </w:t>
            </w:r>
          </w:p>
        </w:tc>
        <w:tc>
          <w:tcPr>
            <w:tcW w:w="1180" w:type="dxa"/>
            <w:tcBorders>
              <w:top w:val="nil"/>
              <w:left w:val="nil"/>
              <w:bottom w:val="single" w:sz="4" w:space="0" w:color="auto"/>
              <w:right w:val="single" w:sz="4" w:space="0" w:color="auto"/>
            </w:tcBorders>
            <w:shd w:val="clear" w:color="auto" w:fill="auto"/>
            <w:noWrap/>
            <w:vAlign w:val="bottom"/>
            <w:hideMark/>
          </w:tcPr>
          <w:p w14:paraId="22C83AC9" w14:textId="77777777" w:rsidR="007D7F6E" w:rsidRPr="007D7F6E" w:rsidRDefault="34B096E2" w:rsidP="34B096E2">
            <w:pPr>
              <w:spacing w:after="0"/>
              <w:jc w:val="right"/>
              <w:rPr>
                <w:b/>
                <w:bCs/>
                <w:sz w:val="18"/>
                <w:szCs w:val="18"/>
              </w:rPr>
            </w:pPr>
            <w:r w:rsidRPr="34B096E2">
              <w:rPr>
                <w:b/>
                <w:bCs/>
                <w:sz w:val="18"/>
                <w:szCs w:val="18"/>
              </w:rPr>
              <w:t xml:space="preserve">-766,3 </w:t>
            </w:r>
          </w:p>
        </w:tc>
        <w:tc>
          <w:tcPr>
            <w:tcW w:w="1020" w:type="dxa"/>
            <w:tcBorders>
              <w:top w:val="nil"/>
              <w:left w:val="nil"/>
              <w:bottom w:val="single" w:sz="4" w:space="0" w:color="auto"/>
              <w:right w:val="single" w:sz="4" w:space="0" w:color="auto"/>
            </w:tcBorders>
            <w:shd w:val="clear" w:color="auto" w:fill="auto"/>
            <w:noWrap/>
            <w:vAlign w:val="bottom"/>
            <w:hideMark/>
          </w:tcPr>
          <w:p w14:paraId="7683EE62" w14:textId="77777777" w:rsidR="007D7F6E" w:rsidRPr="007D7F6E" w:rsidRDefault="34B096E2" w:rsidP="34B096E2">
            <w:pPr>
              <w:spacing w:after="0"/>
              <w:jc w:val="right"/>
              <w:rPr>
                <w:sz w:val="18"/>
                <w:szCs w:val="18"/>
              </w:rPr>
            </w:pPr>
            <w:r w:rsidRPr="34B096E2">
              <w:rPr>
                <w:sz w:val="18"/>
                <w:szCs w:val="18"/>
              </w:rPr>
              <w:t xml:space="preserve">67,9 </w:t>
            </w:r>
          </w:p>
        </w:tc>
        <w:tc>
          <w:tcPr>
            <w:tcW w:w="1180" w:type="dxa"/>
            <w:tcBorders>
              <w:top w:val="nil"/>
              <w:left w:val="nil"/>
              <w:bottom w:val="single" w:sz="4" w:space="0" w:color="auto"/>
              <w:right w:val="single" w:sz="4" w:space="0" w:color="auto"/>
            </w:tcBorders>
            <w:shd w:val="clear" w:color="auto" w:fill="auto"/>
            <w:noWrap/>
            <w:vAlign w:val="bottom"/>
            <w:hideMark/>
          </w:tcPr>
          <w:p w14:paraId="3E5D1CBD" w14:textId="77777777" w:rsidR="007D7F6E" w:rsidRPr="007D7F6E" w:rsidRDefault="34B096E2" w:rsidP="34B096E2">
            <w:pPr>
              <w:spacing w:after="0"/>
              <w:jc w:val="right"/>
              <w:rPr>
                <w:b/>
                <w:bCs/>
                <w:sz w:val="18"/>
                <w:szCs w:val="18"/>
              </w:rPr>
            </w:pPr>
            <w:r w:rsidRPr="34B096E2">
              <w:rPr>
                <w:b/>
                <w:bCs/>
                <w:sz w:val="18"/>
                <w:szCs w:val="18"/>
              </w:rPr>
              <w:t xml:space="preserve">-367,0 </w:t>
            </w:r>
          </w:p>
        </w:tc>
        <w:tc>
          <w:tcPr>
            <w:tcW w:w="1180" w:type="dxa"/>
            <w:tcBorders>
              <w:top w:val="nil"/>
              <w:left w:val="nil"/>
              <w:bottom w:val="single" w:sz="4" w:space="0" w:color="auto"/>
              <w:right w:val="single" w:sz="4" w:space="0" w:color="auto"/>
            </w:tcBorders>
            <w:shd w:val="clear" w:color="auto" w:fill="auto"/>
            <w:noWrap/>
            <w:vAlign w:val="bottom"/>
            <w:hideMark/>
          </w:tcPr>
          <w:p w14:paraId="1524514F" w14:textId="77777777" w:rsidR="007D7F6E" w:rsidRPr="007D7F6E" w:rsidRDefault="34B096E2" w:rsidP="34B096E2">
            <w:pPr>
              <w:spacing w:after="0"/>
              <w:jc w:val="right"/>
              <w:rPr>
                <w:b/>
                <w:bCs/>
                <w:sz w:val="18"/>
                <w:szCs w:val="18"/>
              </w:rPr>
            </w:pPr>
            <w:r w:rsidRPr="34B096E2">
              <w:rPr>
                <w:b/>
                <w:bCs/>
                <w:sz w:val="18"/>
                <w:szCs w:val="18"/>
              </w:rPr>
              <w:t xml:space="preserve">-3 298,1 </w:t>
            </w:r>
          </w:p>
        </w:tc>
        <w:tc>
          <w:tcPr>
            <w:tcW w:w="1020" w:type="dxa"/>
            <w:tcBorders>
              <w:top w:val="nil"/>
              <w:left w:val="nil"/>
              <w:bottom w:val="single" w:sz="4" w:space="0" w:color="auto"/>
              <w:right w:val="single" w:sz="4" w:space="0" w:color="auto"/>
            </w:tcBorders>
            <w:shd w:val="clear" w:color="auto" w:fill="auto"/>
            <w:noWrap/>
            <w:vAlign w:val="bottom"/>
            <w:hideMark/>
          </w:tcPr>
          <w:p w14:paraId="2D500497" w14:textId="787C3B21" w:rsidR="007D7F6E" w:rsidRPr="007D7F6E" w:rsidRDefault="34B096E2" w:rsidP="34B096E2">
            <w:pPr>
              <w:spacing w:after="0"/>
              <w:jc w:val="right"/>
              <w:rPr>
                <w:color w:val="FF0000"/>
                <w:sz w:val="18"/>
                <w:szCs w:val="18"/>
              </w:rPr>
            </w:pPr>
            <w:r w:rsidRPr="34B096E2">
              <w:rPr>
                <w:sz w:val="18"/>
                <w:szCs w:val="18"/>
              </w:rPr>
              <w:t xml:space="preserve">898,6 </w:t>
            </w:r>
          </w:p>
        </w:tc>
        <w:tc>
          <w:tcPr>
            <w:tcW w:w="1000" w:type="dxa"/>
            <w:tcBorders>
              <w:top w:val="nil"/>
              <w:left w:val="nil"/>
              <w:bottom w:val="single" w:sz="4" w:space="0" w:color="auto"/>
              <w:right w:val="single" w:sz="4" w:space="0" w:color="auto"/>
            </w:tcBorders>
            <w:shd w:val="clear" w:color="auto" w:fill="auto"/>
            <w:noWrap/>
            <w:vAlign w:val="bottom"/>
            <w:hideMark/>
          </w:tcPr>
          <w:p w14:paraId="71CCD3DE" w14:textId="77777777" w:rsidR="007D7F6E" w:rsidRPr="007D7F6E" w:rsidRDefault="34B096E2" w:rsidP="34B096E2">
            <w:pPr>
              <w:spacing w:after="0"/>
              <w:jc w:val="right"/>
              <w:rPr>
                <w:sz w:val="18"/>
                <w:szCs w:val="18"/>
              </w:rPr>
            </w:pPr>
            <w:r w:rsidRPr="34B096E2">
              <w:rPr>
                <w:sz w:val="18"/>
                <w:szCs w:val="18"/>
              </w:rPr>
              <w:t xml:space="preserve">430,4 </w:t>
            </w:r>
          </w:p>
        </w:tc>
      </w:tr>
      <w:tr w:rsidR="007D7F6E" w:rsidRPr="007D7F6E" w14:paraId="3625AFA6" w14:textId="77777777" w:rsidTr="34B096E2">
        <w:trPr>
          <w:trHeight w:val="30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564B4BC6" w14:textId="77777777" w:rsidR="007D7F6E" w:rsidRPr="007D7F6E" w:rsidRDefault="34B096E2" w:rsidP="34B096E2">
            <w:pPr>
              <w:spacing w:after="0"/>
              <w:jc w:val="right"/>
              <w:rPr>
                <w:sz w:val="18"/>
                <w:szCs w:val="18"/>
              </w:rPr>
            </w:pPr>
            <w:r w:rsidRPr="34B096E2">
              <w:rPr>
                <w:sz w:val="18"/>
                <w:szCs w:val="18"/>
              </w:rPr>
              <w:t>bevétel:</w:t>
            </w:r>
          </w:p>
        </w:tc>
        <w:tc>
          <w:tcPr>
            <w:tcW w:w="1180" w:type="dxa"/>
            <w:tcBorders>
              <w:top w:val="nil"/>
              <w:left w:val="nil"/>
              <w:bottom w:val="single" w:sz="4" w:space="0" w:color="auto"/>
              <w:right w:val="single" w:sz="4" w:space="0" w:color="auto"/>
            </w:tcBorders>
            <w:shd w:val="clear" w:color="auto" w:fill="auto"/>
            <w:noWrap/>
            <w:vAlign w:val="bottom"/>
            <w:hideMark/>
          </w:tcPr>
          <w:p w14:paraId="21A6CC7D" w14:textId="77777777" w:rsidR="007D7F6E" w:rsidRPr="007D7F6E" w:rsidRDefault="34B096E2" w:rsidP="34B096E2">
            <w:pPr>
              <w:spacing w:after="0"/>
              <w:jc w:val="right"/>
              <w:rPr>
                <w:sz w:val="18"/>
                <w:szCs w:val="18"/>
              </w:rPr>
            </w:pPr>
            <w:r w:rsidRPr="34B096E2">
              <w:rPr>
                <w:sz w:val="18"/>
                <w:szCs w:val="18"/>
              </w:rPr>
              <w:t xml:space="preserve">21 542,3 </w:t>
            </w:r>
          </w:p>
        </w:tc>
        <w:tc>
          <w:tcPr>
            <w:tcW w:w="1180" w:type="dxa"/>
            <w:tcBorders>
              <w:top w:val="nil"/>
              <w:left w:val="nil"/>
              <w:bottom w:val="single" w:sz="4" w:space="0" w:color="auto"/>
              <w:right w:val="single" w:sz="4" w:space="0" w:color="auto"/>
            </w:tcBorders>
            <w:shd w:val="clear" w:color="auto" w:fill="auto"/>
            <w:noWrap/>
            <w:vAlign w:val="bottom"/>
            <w:hideMark/>
          </w:tcPr>
          <w:p w14:paraId="16FF9DEC" w14:textId="77777777" w:rsidR="007D7F6E" w:rsidRPr="007D7F6E" w:rsidRDefault="34B096E2" w:rsidP="34B096E2">
            <w:pPr>
              <w:spacing w:after="0"/>
              <w:jc w:val="right"/>
              <w:rPr>
                <w:sz w:val="18"/>
                <w:szCs w:val="18"/>
              </w:rPr>
            </w:pPr>
            <w:r w:rsidRPr="34B096E2">
              <w:rPr>
                <w:sz w:val="18"/>
                <w:szCs w:val="18"/>
              </w:rPr>
              <w:t xml:space="preserve">19 135,1 </w:t>
            </w:r>
          </w:p>
        </w:tc>
        <w:tc>
          <w:tcPr>
            <w:tcW w:w="1020" w:type="dxa"/>
            <w:tcBorders>
              <w:top w:val="nil"/>
              <w:left w:val="nil"/>
              <w:bottom w:val="single" w:sz="4" w:space="0" w:color="auto"/>
              <w:right w:val="single" w:sz="4" w:space="0" w:color="auto"/>
            </w:tcBorders>
            <w:shd w:val="clear" w:color="auto" w:fill="auto"/>
            <w:noWrap/>
            <w:vAlign w:val="bottom"/>
            <w:hideMark/>
          </w:tcPr>
          <w:p w14:paraId="675A1749" w14:textId="77777777" w:rsidR="007D7F6E" w:rsidRPr="007D7F6E" w:rsidRDefault="34B096E2" w:rsidP="34B096E2">
            <w:pPr>
              <w:spacing w:after="0"/>
              <w:jc w:val="right"/>
              <w:rPr>
                <w:sz w:val="18"/>
                <w:szCs w:val="18"/>
              </w:rPr>
            </w:pPr>
            <w:r w:rsidRPr="34B096E2">
              <w:rPr>
                <w:sz w:val="18"/>
                <w:szCs w:val="18"/>
              </w:rPr>
              <w:t xml:space="preserve">88,8 </w:t>
            </w:r>
          </w:p>
        </w:tc>
        <w:tc>
          <w:tcPr>
            <w:tcW w:w="1180" w:type="dxa"/>
            <w:tcBorders>
              <w:top w:val="nil"/>
              <w:left w:val="nil"/>
              <w:bottom w:val="single" w:sz="4" w:space="0" w:color="auto"/>
              <w:right w:val="single" w:sz="4" w:space="0" w:color="auto"/>
            </w:tcBorders>
            <w:shd w:val="clear" w:color="auto" w:fill="auto"/>
            <w:noWrap/>
            <w:vAlign w:val="bottom"/>
            <w:hideMark/>
          </w:tcPr>
          <w:p w14:paraId="063C4056" w14:textId="77777777" w:rsidR="007D7F6E" w:rsidRPr="007D7F6E" w:rsidRDefault="34B096E2" w:rsidP="34B096E2">
            <w:pPr>
              <w:spacing w:after="0"/>
              <w:jc w:val="right"/>
              <w:rPr>
                <w:sz w:val="18"/>
                <w:szCs w:val="18"/>
              </w:rPr>
            </w:pPr>
            <w:r w:rsidRPr="34B096E2">
              <w:rPr>
                <w:sz w:val="18"/>
                <w:szCs w:val="18"/>
              </w:rPr>
              <w:t xml:space="preserve">21 425,9 </w:t>
            </w:r>
          </w:p>
        </w:tc>
        <w:tc>
          <w:tcPr>
            <w:tcW w:w="1180" w:type="dxa"/>
            <w:tcBorders>
              <w:top w:val="nil"/>
              <w:left w:val="nil"/>
              <w:bottom w:val="single" w:sz="4" w:space="0" w:color="auto"/>
              <w:right w:val="single" w:sz="4" w:space="0" w:color="auto"/>
            </w:tcBorders>
            <w:shd w:val="clear" w:color="auto" w:fill="auto"/>
            <w:noWrap/>
            <w:vAlign w:val="bottom"/>
            <w:hideMark/>
          </w:tcPr>
          <w:p w14:paraId="507CDD89" w14:textId="77777777" w:rsidR="007D7F6E" w:rsidRPr="007D7F6E" w:rsidRDefault="34B096E2" w:rsidP="34B096E2">
            <w:pPr>
              <w:spacing w:after="0"/>
              <w:jc w:val="right"/>
              <w:rPr>
                <w:sz w:val="18"/>
                <w:szCs w:val="18"/>
              </w:rPr>
            </w:pPr>
            <w:r w:rsidRPr="34B096E2">
              <w:rPr>
                <w:sz w:val="18"/>
                <w:szCs w:val="18"/>
              </w:rPr>
              <w:t xml:space="preserve">19 859,0 </w:t>
            </w:r>
          </w:p>
        </w:tc>
        <w:tc>
          <w:tcPr>
            <w:tcW w:w="1020" w:type="dxa"/>
            <w:tcBorders>
              <w:top w:val="nil"/>
              <w:left w:val="nil"/>
              <w:bottom w:val="single" w:sz="4" w:space="0" w:color="auto"/>
              <w:right w:val="single" w:sz="4" w:space="0" w:color="auto"/>
            </w:tcBorders>
            <w:shd w:val="clear" w:color="auto" w:fill="auto"/>
            <w:noWrap/>
            <w:vAlign w:val="bottom"/>
            <w:hideMark/>
          </w:tcPr>
          <w:p w14:paraId="614BB6BF" w14:textId="77777777" w:rsidR="007D7F6E" w:rsidRPr="007D7F6E" w:rsidRDefault="34B096E2" w:rsidP="34B096E2">
            <w:pPr>
              <w:spacing w:after="0"/>
              <w:jc w:val="right"/>
              <w:rPr>
                <w:sz w:val="18"/>
                <w:szCs w:val="18"/>
              </w:rPr>
            </w:pPr>
            <w:r w:rsidRPr="34B096E2">
              <w:rPr>
                <w:sz w:val="18"/>
                <w:szCs w:val="18"/>
              </w:rPr>
              <w:t xml:space="preserve">92,7 </w:t>
            </w:r>
          </w:p>
        </w:tc>
        <w:tc>
          <w:tcPr>
            <w:tcW w:w="1000" w:type="dxa"/>
            <w:tcBorders>
              <w:top w:val="nil"/>
              <w:left w:val="nil"/>
              <w:bottom w:val="single" w:sz="4" w:space="0" w:color="auto"/>
              <w:right w:val="single" w:sz="4" w:space="0" w:color="auto"/>
            </w:tcBorders>
            <w:shd w:val="clear" w:color="auto" w:fill="auto"/>
            <w:noWrap/>
            <w:vAlign w:val="bottom"/>
            <w:hideMark/>
          </w:tcPr>
          <w:p w14:paraId="30AE9F65" w14:textId="77777777" w:rsidR="007D7F6E" w:rsidRPr="007D7F6E" w:rsidRDefault="34B096E2" w:rsidP="34B096E2">
            <w:pPr>
              <w:spacing w:after="0"/>
              <w:jc w:val="right"/>
              <w:rPr>
                <w:sz w:val="18"/>
                <w:szCs w:val="18"/>
              </w:rPr>
            </w:pPr>
            <w:r w:rsidRPr="34B096E2">
              <w:rPr>
                <w:sz w:val="18"/>
                <w:szCs w:val="18"/>
              </w:rPr>
              <w:t xml:space="preserve">103,8 </w:t>
            </w:r>
          </w:p>
        </w:tc>
      </w:tr>
      <w:tr w:rsidR="007D7F6E" w:rsidRPr="007D7F6E" w14:paraId="73F74F97" w14:textId="77777777" w:rsidTr="34B096E2">
        <w:trPr>
          <w:trHeight w:val="300"/>
        </w:trPr>
        <w:tc>
          <w:tcPr>
            <w:tcW w:w="1800" w:type="dxa"/>
            <w:tcBorders>
              <w:top w:val="nil"/>
              <w:left w:val="single" w:sz="4" w:space="0" w:color="auto"/>
              <w:bottom w:val="single" w:sz="4" w:space="0" w:color="auto"/>
              <w:right w:val="single" w:sz="4" w:space="0" w:color="auto"/>
            </w:tcBorders>
            <w:shd w:val="clear" w:color="auto" w:fill="auto"/>
            <w:vAlign w:val="bottom"/>
            <w:hideMark/>
          </w:tcPr>
          <w:p w14:paraId="5ED0317E" w14:textId="77777777" w:rsidR="007D7F6E" w:rsidRPr="007D7F6E" w:rsidRDefault="34B096E2" w:rsidP="34B096E2">
            <w:pPr>
              <w:spacing w:after="0"/>
              <w:jc w:val="right"/>
              <w:rPr>
                <w:sz w:val="18"/>
                <w:szCs w:val="18"/>
              </w:rPr>
            </w:pPr>
            <w:r w:rsidRPr="34B096E2">
              <w:rPr>
                <w:sz w:val="18"/>
                <w:szCs w:val="18"/>
              </w:rPr>
              <w:t>kiadás:</w:t>
            </w:r>
          </w:p>
        </w:tc>
        <w:tc>
          <w:tcPr>
            <w:tcW w:w="1180" w:type="dxa"/>
            <w:tcBorders>
              <w:top w:val="nil"/>
              <w:left w:val="nil"/>
              <w:bottom w:val="single" w:sz="4" w:space="0" w:color="auto"/>
              <w:right w:val="single" w:sz="4" w:space="0" w:color="auto"/>
            </w:tcBorders>
            <w:shd w:val="clear" w:color="auto" w:fill="auto"/>
            <w:noWrap/>
            <w:vAlign w:val="bottom"/>
            <w:hideMark/>
          </w:tcPr>
          <w:p w14:paraId="7407A5D5" w14:textId="77777777" w:rsidR="007D7F6E" w:rsidRPr="007D7F6E" w:rsidRDefault="34B096E2" w:rsidP="34B096E2">
            <w:pPr>
              <w:spacing w:after="0"/>
              <w:jc w:val="right"/>
              <w:rPr>
                <w:sz w:val="18"/>
                <w:szCs w:val="18"/>
              </w:rPr>
            </w:pPr>
            <w:r w:rsidRPr="34B096E2">
              <w:rPr>
                <w:sz w:val="18"/>
                <w:szCs w:val="18"/>
              </w:rPr>
              <w:t xml:space="preserve">22 670,2 </w:t>
            </w:r>
          </w:p>
        </w:tc>
        <w:tc>
          <w:tcPr>
            <w:tcW w:w="1180" w:type="dxa"/>
            <w:tcBorders>
              <w:top w:val="nil"/>
              <w:left w:val="nil"/>
              <w:bottom w:val="single" w:sz="4" w:space="0" w:color="auto"/>
              <w:right w:val="single" w:sz="4" w:space="0" w:color="auto"/>
            </w:tcBorders>
            <w:shd w:val="clear" w:color="auto" w:fill="auto"/>
            <w:noWrap/>
            <w:vAlign w:val="bottom"/>
            <w:hideMark/>
          </w:tcPr>
          <w:p w14:paraId="6471CE45" w14:textId="77777777" w:rsidR="007D7F6E" w:rsidRPr="007D7F6E" w:rsidRDefault="34B096E2" w:rsidP="34B096E2">
            <w:pPr>
              <w:spacing w:after="0"/>
              <w:jc w:val="right"/>
              <w:rPr>
                <w:sz w:val="18"/>
                <w:szCs w:val="18"/>
              </w:rPr>
            </w:pPr>
            <w:r w:rsidRPr="34B096E2">
              <w:rPr>
                <w:sz w:val="18"/>
                <w:szCs w:val="18"/>
              </w:rPr>
              <w:t xml:space="preserve">19 901,4 </w:t>
            </w:r>
          </w:p>
        </w:tc>
        <w:tc>
          <w:tcPr>
            <w:tcW w:w="1020" w:type="dxa"/>
            <w:tcBorders>
              <w:top w:val="nil"/>
              <w:left w:val="nil"/>
              <w:bottom w:val="single" w:sz="4" w:space="0" w:color="auto"/>
              <w:right w:val="single" w:sz="4" w:space="0" w:color="auto"/>
            </w:tcBorders>
            <w:shd w:val="clear" w:color="auto" w:fill="auto"/>
            <w:noWrap/>
            <w:vAlign w:val="bottom"/>
            <w:hideMark/>
          </w:tcPr>
          <w:p w14:paraId="7D030A80" w14:textId="77777777" w:rsidR="007D7F6E" w:rsidRPr="007D7F6E" w:rsidRDefault="34B096E2" w:rsidP="34B096E2">
            <w:pPr>
              <w:spacing w:after="0"/>
              <w:jc w:val="right"/>
              <w:rPr>
                <w:sz w:val="18"/>
                <w:szCs w:val="18"/>
              </w:rPr>
            </w:pPr>
            <w:r w:rsidRPr="34B096E2">
              <w:rPr>
                <w:sz w:val="18"/>
                <w:szCs w:val="18"/>
              </w:rPr>
              <w:t xml:space="preserve">87,8 </w:t>
            </w:r>
          </w:p>
        </w:tc>
        <w:tc>
          <w:tcPr>
            <w:tcW w:w="1180" w:type="dxa"/>
            <w:tcBorders>
              <w:top w:val="nil"/>
              <w:left w:val="nil"/>
              <w:bottom w:val="single" w:sz="4" w:space="0" w:color="auto"/>
              <w:right w:val="single" w:sz="4" w:space="0" w:color="auto"/>
            </w:tcBorders>
            <w:shd w:val="clear" w:color="auto" w:fill="auto"/>
            <w:noWrap/>
            <w:vAlign w:val="bottom"/>
            <w:hideMark/>
          </w:tcPr>
          <w:p w14:paraId="78B6BDBE" w14:textId="77777777" w:rsidR="007D7F6E" w:rsidRPr="007D7F6E" w:rsidRDefault="34B096E2" w:rsidP="34B096E2">
            <w:pPr>
              <w:spacing w:after="0"/>
              <w:jc w:val="right"/>
              <w:rPr>
                <w:sz w:val="18"/>
                <w:szCs w:val="18"/>
              </w:rPr>
            </w:pPr>
            <w:r w:rsidRPr="34B096E2">
              <w:rPr>
                <w:sz w:val="18"/>
                <w:szCs w:val="18"/>
              </w:rPr>
              <w:t xml:space="preserve">21 792,9 </w:t>
            </w:r>
          </w:p>
        </w:tc>
        <w:tc>
          <w:tcPr>
            <w:tcW w:w="1180" w:type="dxa"/>
            <w:tcBorders>
              <w:top w:val="nil"/>
              <w:left w:val="nil"/>
              <w:bottom w:val="single" w:sz="4" w:space="0" w:color="auto"/>
              <w:right w:val="single" w:sz="4" w:space="0" w:color="auto"/>
            </w:tcBorders>
            <w:shd w:val="clear" w:color="auto" w:fill="auto"/>
            <w:noWrap/>
            <w:vAlign w:val="bottom"/>
            <w:hideMark/>
          </w:tcPr>
          <w:p w14:paraId="159A1BEF" w14:textId="77777777" w:rsidR="007D7F6E" w:rsidRPr="007D7F6E" w:rsidRDefault="34B096E2" w:rsidP="34B096E2">
            <w:pPr>
              <w:spacing w:after="0"/>
              <w:jc w:val="right"/>
              <w:rPr>
                <w:sz w:val="18"/>
                <w:szCs w:val="18"/>
              </w:rPr>
            </w:pPr>
            <w:r w:rsidRPr="34B096E2">
              <w:rPr>
                <w:sz w:val="18"/>
                <w:szCs w:val="18"/>
              </w:rPr>
              <w:t xml:space="preserve">23 157,1 </w:t>
            </w:r>
          </w:p>
        </w:tc>
        <w:tc>
          <w:tcPr>
            <w:tcW w:w="1020" w:type="dxa"/>
            <w:tcBorders>
              <w:top w:val="nil"/>
              <w:left w:val="nil"/>
              <w:bottom w:val="single" w:sz="4" w:space="0" w:color="auto"/>
              <w:right w:val="single" w:sz="4" w:space="0" w:color="auto"/>
            </w:tcBorders>
            <w:shd w:val="clear" w:color="auto" w:fill="auto"/>
            <w:noWrap/>
            <w:vAlign w:val="bottom"/>
            <w:hideMark/>
          </w:tcPr>
          <w:p w14:paraId="542E67AE" w14:textId="77777777" w:rsidR="007D7F6E" w:rsidRPr="007D7F6E" w:rsidRDefault="34B096E2" w:rsidP="34B096E2">
            <w:pPr>
              <w:spacing w:after="0"/>
              <w:jc w:val="right"/>
              <w:rPr>
                <w:sz w:val="18"/>
                <w:szCs w:val="18"/>
              </w:rPr>
            </w:pPr>
            <w:r w:rsidRPr="34B096E2">
              <w:rPr>
                <w:sz w:val="18"/>
                <w:szCs w:val="18"/>
              </w:rPr>
              <w:t xml:space="preserve">106,3 </w:t>
            </w:r>
          </w:p>
        </w:tc>
        <w:tc>
          <w:tcPr>
            <w:tcW w:w="1000" w:type="dxa"/>
            <w:tcBorders>
              <w:top w:val="nil"/>
              <w:left w:val="nil"/>
              <w:bottom w:val="single" w:sz="4" w:space="0" w:color="auto"/>
              <w:right w:val="single" w:sz="4" w:space="0" w:color="auto"/>
            </w:tcBorders>
            <w:shd w:val="clear" w:color="auto" w:fill="auto"/>
            <w:noWrap/>
            <w:vAlign w:val="bottom"/>
            <w:hideMark/>
          </w:tcPr>
          <w:p w14:paraId="134C5F79" w14:textId="77777777" w:rsidR="007D7F6E" w:rsidRPr="007D7F6E" w:rsidRDefault="34B096E2" w:rsidP="34B096E2">
            <w:pPr>
              <w:spacing w:after="0"/>
              <w:jc w:val="right"/>
              <w:rPr>
                <w:sz w:val="18"/>
                <w:szCs w:val="18"/>
              </w:rPr>
            </w:pPr>
            <w:r w:rsidRPr="34B096E2">
              <w:rPr>
                <w:sz w:val="18"/>
                <w:szCs w:val="18"/>
              </w:rPr>
              <w:t xml:space="preserve">116,4 </w:t>
            </w:r>
          </w:p>
        </w:tc>
      </w:tr>
    </w:tbl>
    <w:p w14:paraId="5D4F01B8" w14:textId="77777777" w:rsidR="003C135C" w:rsidRDefault="34B096E2" w:rsidP="003C135C">
      <w:pPr>
        <w:pStyle w:val="Cmsor2"/>
        <w:spacing w:before="0" w:after="120"/>
      </w:pPr>
      <w:r>
        <w:lastRenderedPageBreak/>
        <w:t xml:space="preserve">A központi alrendszer pénzügyi folyamatainak </w:t>
      </w:r>
      <w:r w:rsidR="48F15973">
        <w:br/>
      </w:r>
      <w:r>
        <w:t>alakulása</w:t>
      </w:r>
    </w:p>
    <w:p w14:paraId="49F8AB94" w14:textId="77777777" w:rsidR="00953258" w:rsidRPr="00953258" w:rsidRDefault="00953258" w:rsidP="00953258"/>
    <w:p w14:paraId="16926C64" w14:textId="1C5FE3C5" w:rsidR="00D05D14" w:rsidRPr="00D05D14" w:rsidRDefault="34B096E2" w:rsidP="00D05D14">
      <w:pPr>
        <w:pStyle w:val="Cmsor3"/>
        <w:numPr>
          <w:ilvl w:val="0"/>
          <w:numId w:val="8"/>
        </w:numPr>
        <w:spacing w:before="0" w:after="120"/>
        <w:jc w:val="left"/>
      </w:pPr>
      <w:r w:rsidRPr="34B096E2">
        <w:rPr>
          <w:sz w:val="26"/>
          <w:szCs w:val="26"/>
        </w:rPr>
        <w:t>A főbb bevételek</w:t>
      </w:r>
    </w:p>
    <w:p w14:paraId="3EB660BE" w14:textId="2D3ED8A4" w:rsidR="00316484" w:rsidRPr="00316484" w:rsidRDefault="34B096E2" w:rsidP="34B096E2">
      <w:pPr>
        <w:rPr>
          <w:b/>
          <w:bCs/>
        </w:rPr>
      </w:pPr>
      <w:r w:rsidRPr="34B096E2">
        <w:rPr>
          <w:b/>
          <w:bCs/>
        </w:rPr>
        <w:t>A központi alrendszer 2020. évi november végi 19 859,0 milliárd forint összegű bevételei az előző év azonos időszakához képest 723,9 milliárd forinttal, 3,8%-kal magasabb összegben alakultak. Ezen belül kiemelhető, hogy növekedtek a társasági adóból, a pénzügyi szervezetek különadójából, a személyi jövedelemadóból, valamint a nyugdíj-, egészségbiztosítási és munkaerő-piaci járulékokból származó bevételek. A járványügyi intézkedésekkel összefüggésben az idén bevezetett kiskereskedelmi adó összege november végéig 47,5 milliárd forintot tett ki. Mindezek mellett lényegesen magasabb összegben teljesültek a költségvetési szervek bevételei és a szakmai fejezeti kezelésű előirányzatok saját bevételei, a Központi Maradványalapba történő befizetések, valamint az állami vagyonnal kapcsolatos befizetések is. Az uniós programok bevételei kismértékben haladták meg az egy évvel korábbi összeget. Lényegesen elmaradtak viszont az előző év azonos időszakának teljesülésétől a szociális hozzájárulási adóból származó bevételek. Emellett az általános forgalmi adóból származó bevételek 17,6 milliárd forinttal teljesültek alacsonyabban az egy évvel korábbi bevételekhez képest.</w:t>
      </w:r>
    </w:p>
    <w:p w14:paraId="7E4823C7" w14:textId="77777777" w:rsidR="00D775FA" w:rsidRPr="00D775FA" w:rsidRDefault="00D775FA" w:rsidP="00D775FA">
      <w:pPr>
        <w:rPr>
          <w:b/>
          <w:bCs/>
        </w:rPr>
      </w:pPr>
    </w:p>
    <w:p w14:paraId="39F4DF54" w14:textId="17C60FF0" w:rsidR="001F6399" w:rsidRDefault="004741DD" w:rsidP="00483A53">
      <w:pPr>
        <w:rPr>
          <w:szCs w:val="26"/>
        </w:rPr>
      </w:pPr>
      <w:r>
        <w:rPr>
          <w:noProof/>
          <w:szCs w:val="26"/>
        </w:rPr>
        <w:drawing>
          <wp:inline distT="0" distB="0" distL="0" distR="0" wp14:anchorId="245E28FB" wp14:editId="7051EE89">
            <wp:extent cx="5940425" cy="2313940"/>
            <wp:effectExtent l="0" t="0" r="317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vétel_megoszlás.png"/>
                    <pic:cNvPicPr/>
                  </pic:nvPicPr>
                  <pic:blipFill>
                    <a:blip r:embed="rId15">
                      <a:extLst>
                        <a:ext uri="{28A0092B-C50C-407E-A947-70E740481C1C}">
                          <a14:useLocalDpi xmlns:a14="http://schemas.microsoft.com/office/drawing/2010/main" val="0"/>
                        </a:ext>
                      </a:extLst>
                    </a:blip>
                    <a:stretch>
                      <a:fillRect/>
                    </a:stretch>
                  </pic:blipFill>
                  <pic:spPr>
                    <a:xfrm>
                      <a:off x="0" y="0"/>
                      <a:ext cx="5940425" cy="2313940"/>
                    </a:xfrm>
                    <a:prstGeom prst="rect">
                      <a:avLst/>
                    </a:prstGeom>
                  </pic:spPr>
                </pic:pic>
              </a:graphicData>
            </a:graphic>
          </wp:inline>
        </w:drawing>
      </w:r>
    </w:p>
    <w:p w14:paraId="6F7DDD6A" w14:textId="77777777" w:rsidR="004741DD" w:rsidRDefault="004741DD" w:rsidP="00483A53">
      <w:pPr>
        <w:rPr>
          <w:szCs w:val="26"/>
        </w:rPr>
      </w:pPr>
    </w:p>
    <w:p w14:paraId="34DB17C8" w14:textId="04E3A4B8" w:rsidR="00F2315A" w:rsidRDefault="34B096E2" w:rsidP="00E75B9B">
      <w:pPr>
        <w:spacing w:before="120"/>
      </w:pPr>
      <w:r w:rsidRPr="34B096E2">
        <w:rPr>
          <w:b/>
          <w:bCs/>
        </w:rPr>
        <w:t>Társasági adó</w:t>
      </w:r>
      <w:r>
        <w:t xml:space="preserve"> jogcímen 2020 első tizenegy hónapjában 380,4 milliárd forint bevétel </w:t>
      </w:r>
      <w:proofErr w:type="gramStart"/>
      <w:r>
        <w:t>realizálódott</w:t>
      </w:r>
      <w:proofErr w:type="gramEnd"/>
      <w:r>
        <w:t>, amely az előző év azonos időszakához képest 134,</w:t>
      </w:r>
      <w:r w:rsidR="00741A7D">
        <w:t>4</w:t>
      </w:r>
      <w:r w:rsidR="00EC77BD">
        <w:t> </w:t>
      </w:r>
      <w:r>
        <w:t>milliárd forinttal magasabb. A bázisévhez viszonyítva az eltérés jelentős részét a decemberi kötelező adóelőleg-kiegészítés 2019</w:t>
      </w:r>
      <w:r w:rsidR="0062215D">
        <w:t>. évi</w:t>
      </w:r>
      <w:r>
        <w:t xml:space="preserve"> eltörlése okozta, melynek következtében a 2019-es adóévről történő elszámolásból származó befizetés jelentős mértékben haladta meg az előző évben megvalósult, 2018-as adóévről történő elszámoláshoz kapcsolódó összeget.</w:t>
      </w:r>
    </w:p>
    <w:p w14:paraId="36F2DF75" w14:textId="14B8DECB" w:rsidR="00EC77BD" w:rsidRDefault="34B096E2" w:rsidP="00E75B9B">
      <w:pPr>
        <w:spacing w:before="120"/>
      </w:pPr>
      <w:r>
        <w:t xml:space="preserve">Az </w:t>
      </w:r>
      <w:r w:rsidRPr="34B096E2">
        <w:rPr>
          <w:b/>
          <w:bCs/>
        </w:rPr>
        <w:t>egyéb központosított bevételekből</w:t>
      </w:r>
      <w:r>
        <w:t xml:space="preserve"> november végéig összesen 508,5 milliárd forint bevétel teljesült, amely a törvényi előirányzat 86,8%-ának felel meg. Ezen belül kiemelendő az elektronikus útdíj 197,0 milliárd forintot kitevő összege.</w:t>
      </w:r>
      <w:r w:rsidR="00EC77BD">
        <w:br w:type="page"/>
      </w:r>
    </w:p>
    <w:tbl>
      <w:tblPr>
        <w:tblW w:w="7936" w:type="dxa"/>
        <w:tblInd w:w="496" w:type="dxa"/>
        <w:tblCellMar>
          <w:left w:w="70" w:type="dxa"/>
          <w:right w:w="70" w:type="dxa"/>
        </w:tblCellMar>
        <w:tblLook w:val="04A0" w:firstRow="1" w:lastRow="0" w:firstColumn="1" w:lastColumn="0" w:noHBand="0" w:noVBand="1"/>
      </w:tblPr>
      <w:tblGrid>
        <w:gridCol w:w="2976"/>
        <w:gridCol w:w="1418"/>
        <w:gridCol w:w="1417"/>
        <w:gridCol w:w="1276"/>
        <w:gridCol w:w="849"/>
      </w:tblGrid>
      <w:tr w:rsidR="00723EB0" w:rsidRPr="00723EB0" w14:paraId="2D01000F" w14:textId="77777777" w:rsidTr="34B096E2">
        <w:trPr>
          <w:trHeight w:val="396"/>
        </w:trPr>
        <w:tc>
          <w:tcPr>
            <w:tcW w:w="7936" w:type="dxa"/>
            <w:gridSpan w:val="5"/>
            <w:tcBorders>
              <w:top w:val="nil"/>
              <w:left w:val="nil"/>
              <w:bottom w:val="nil"/>
              <w:right w:val="nil"/>
            </w:tcBorders>
            <w:shd w:val="clear" w:color="auto" w:fill="auto"/>
            <w:noWrap/>
            <w:vAlign w:val="bottom"/>
            <w:hideMark/>
          </w:tcPr>
          <w:p w14:paraId="7F925CD9" w14:textId="0473474D" w:rsidR="00723EB0" w:rsidRPr="00723EB0" w:rsidRDefault="34B096E2" w:rsidP="34B096E2">
            <w:pPr>
              <w:ind w:left="512" w:hanging="512"/>
              <w:jc w:val="center"/>
              <w:rPr>
                <w:b/>
                <w:bCs/>
                <w:color w:val="000000" w:themeColor="text1"/>
                <w:sz w:val="20"/>
              </w:rPr>
            </w:pPr>
            <w:r w:rsidRPr="34B096E2">
              <w:rPr>
                <w:b/>
                <w:bCs/>
                <w:color w:val="000000" w:themeColor="text1"/>
                <w:sz w:val="20"/>
              </w:rPr>
              <w:lastRenderedPageBreak/>
              <w:t>Egyéb központosított bevételek alakulása (millió forint)</w:t>
            </w:r>
          </w:p>
        </w:tc>
      </w:tr>
      <w:tr w:rsidR="00780F67" w:rsidRPr="00723EB0" w14:paraId="40D4C144" w14:textId="77777777" w:rsidTr="34B096E2">
        <w:trPr>
          <w:trHeight w:val="435"/>
        </w:trPr>
        <w:tc>
          <w:tcPr>
            <w:tcW w:w="2976" w:type="dxa"/>
            <w:vMerge w:val="restart"/>
            <w:tcBorders>
              <w:top w:val="single" w:sz="8" w:space="0" w:color="auto"/>
              <w:left w:val="single" w:sz="8" w:space="0" w:color="auto"/>
              <w:bottom w:val="single" w:sz="8" w:space="0" w:color="000000" w:themeColor="text1"/>
              <w:right w:val="single" w:sz="8" w:space="0" w:color="auto"/>
            </w:tcBorders>
            <w:shd w:val="clear" w:color="auto" w:fill="auto"/>
            <w:noWrap/>
            <w:vAlign w:val="center"/>
            <w:hideMark/>
          </w:tcPr>
          <w:p w14:paraId="1237094F" w14:textId="77777777" w:rsidR="00780F67" w:rsidRPr="00723EB0" w:rsidRDefault="34B096E2" w:rsidP="34B096E2">
            <w:pPr>
              <w:ind w:left="512" w:hanging="512"/>
              <w:jc w:val="center"/>
              <w:rPr>
                <w:b/>
                <w:bCs/>
                <w:color w:val="000000" w:themeColor="text1"/>
                <w:sz w:val="20"/>
              </w:rPr>
            </w:pPr>
            <w:r w:rsidRPr="34B096E2">
              <w:rPr>
                <w:b/>
                <w:bCs/>
                <w:color w:val="000000" w:themeColor="text1"/>
                <w:sz w:val="20"/>
              </w:rPr>
              <w:t>Megnevezés</w:t>
            </w:r>
          </w:p>
        </w:tc>
        <w:tc>
          <w:tcPr>
            <w:tcW w:w="1418" w:type="dxa"/>
            <w:vMerge w:val="restart"/>
            <w:tcBorders>
              <w:top w:val="single" w:sz="8" w:space="0" w:color="auto"/>
              <w:left w:val="single" w:sz="8" w:space="0" w:color="auto"/>
              <w:bottom w:val="single" w:sz="8" w:space="0" w:color="000000" w:themeColor="text1"/>
              <w:right w:val="single" w:sz="4" w:space="0" w:color="auto"/>
            </w:tcBorders>
            <w:shd w:val="clear" w:color="auto" w:fill="auto"/>
            <w:vAlign w:val="center"/>
            <w:hideMark/>
          </w:tcPr>
          <w:p w14:paraId="646CC402" w14:textId="185E51FD" w:rsidR="00780F67" w:rsidRPr="00723EB0" w:rsidRDefault="34B096E2" w:rsidP="34B096E2">
            <w:pPr>
              <w:spacing w:after="0"/>
              <w:jc w:val="center"/>
              <w:rPr>
                <w:b/>
                <w:bCs/>
                <w:sz w:val="20"/>
              </w:rPr>
            </w:pPr>
            <w:r w:rsidRPr="34B096E2">
              <w:rPr>
                <w:b/>
                <w:bCs/>
                <w:sz w:val="20"/>
              </w:rPr>
              <w:t>2019. I-XI. hó</w:t>
            </w:r>
          </w:p>
        </w:tc>
        <w:tc>
          <w:tcPr>
            <w:tcW w:w="1417" w:type="dxa"/>
            <w:vMerge w:val="restart"/>
            <w:tcBorders>
              <w:top w:val="single" w:sz="8" w:space="0" w:color="auto"/>
              <w:left w:val="single" w:sz="4" w:space="0" w:color="auto"/>
              <w:bottom w:val="single" w:sz="8" w:space="0" w:color="000000" w:themeColor="text1"/>
              <w:right w:val="single" w:sz="8" w:space="0" w:color="auto"/>
            </w:tcBorders>
            <w:shd w:val="clear" w:color="auto" w:fill="auto"/>
            <w:vAlign w:val="center"/>
            <w:hideMark/>
          </w:tcPr>
          <w:p w14:paraId="3BA8764A" w14:textId="22A32915" w:rsidR="00780F67" w:rsidRPr="00723EB0" w:rsidRDefault="34B096E2" w:rsidP="34B096E2">
            <w:pPr>
              <w:spacing w:after="0"/>
              <w:ind w:left="512" w:hanging="512"/>
              <w:jc w:val="center"/>
              <w:rPr>
                <w:b/>
                <w:bCs/>
                <w:sz w:val="20"/>
              </w:rPr>
            </w:pPr>
            <w:r w:rsidRPr="34B096E2">
              <w:rPr>
                <w:b/>
                <w:bCs/>
                <w:sz w:val="20"/>
              </w:rPr>
              <w:t>2020. I-XI. hó</w:t>
            </w:r>
          </w:p>
        </w:tc>
        <w:tc>
          <w:tcPr>
            <w:tcW w:w="2125" w:type="dxa"/>
            <w:gridSpan w:val="2"/>
            <w:tcBorders>
              <w:top w:val="single" w:sz="8" w:space="0" w:color="auto"/>
              <w:left w:val="nil"/>
              <w:bottom w:val="single" w:sz="4" w:space="0" w:color="auto"/>
              <w:right w:val="single" w:sz="8" w:space="0" w:color="000000" w:themeColor="text1"/>
            </w:tcBorders>
            <w:shd w:val="clear" w:color="auto" w:fill="auto"/>
            <w:noWrap/>
            <w:vAlign w:val="center"/>
            <w:hideMark/>
          </w:tcPr>
          <w:p w14:paraId="48CECE7F" w14:textId="77777777" w:rsidR="00780F67" w:rsidRPr="00723EB0" w:rsidRDefault="34B096E2" w:rsidP="34B096E2">
            <w:pPr>
              <w:ind w:left="512" w:hanging="512"/>
              <w:jc w:val="center"/>
              <w:rPr>
                <w:b/>
                <w:bCs/>
                <w:color w:val="000000" w:themeColor="text1"/>
                <w:sz w:val="20"/>
              </w:rPr>
            </w:pPr>
            <w:r w:rsidRPr="34B096E2">
              <w:rPr>
                <w:b/>
                <w:bCs/>
                <w:color w:val="000000" w:themeColor="text1"/>
                <w:sz w:val="20"/>
              </w:rPr>
              <w:t>Eltérés</w:t>
            </w:r>
          </w:p>
        </w:tc>
      </w:tr>
      <w:tr w:rsidR="00780F67" w:rsidRPr="00723EB0" w14:paraId="410332D0" w14:textId="77777777" w:rsidTr="34B096E2">
        <w:trPr>
          <w:trHeight w:val="373"/>
        </w:trPr>
        <w:tc>
          <w:tcPr>
            <w:tcW w:w="2976" w:type="dxa"/>
            <w:vMerge/>
            <w:tcBorders>
              <w:top w:val="single" w:sz="8" w:space="0" w:color="auto"/>
              <w:left w:val="single" w:sz="8" w:space="0" w:color="auto"/>
              <w:bottom w:val="single" w:sz="8" w:space="0" w:color="000000"/>
              <w:right w:val="single" w:sz="8" w:space="0" w:color="auto"/>
            </w:tcBorders>
            <w:vAlign w:val="center"/>
            <w:hideMark/>
          </w:tcPr>
          <w:p w14:paraId="3D073375" w14:textId="5394FFB6" w:rsidR="00780F67" w:rsidRPr="00723EB0" w:rsidRDefault="00780F67" w:rsidP="00D432CD">
            <w:pPr>
              <w:ind w:left="512" w:hanging="512"/>
              <w:jc w:val="center"/>
              <w:rPr>
                <w:b/>
                <w:bCs/>
                <w:color w:val="000000" w:themeColor="text1"/>
                <w:sz w:val="20"/>
              </w:rPr>
            </w:pPr>
          </w:p>
        </w:tc>
        <w:tc>
          <w:tcPr>
            <w:tcW w:w="1418" w:type="dxa"/>
            <w:vMerge/>
            <w:tcBorders>
              <w:top w:val="single" w:sz="8" w:space="0" w:color="auto"/>
              <w:left w:val="single" w:sz="8" w:space="0" w:color="auto"/>
              <w:bottom w:val="single" w:sz="8" w:space="0" w:color="000000"/>
              <w:right w:val="single" w:sz="4" w:space="0" w:color="auto"/>
            </w:tcBorders>
            <w:vAlign w:val="center"/>
            <w:hideMark/>
          </w:tcPr>
          <w:p w14:paraId="584DDC9B" w14:textId="77777777" w:rsidR="00780F67" w:rsidRPr="00723EB0" w:rsidRDefault="00780F67" w:rsidP="00D432CD">
            <w:pPr>
              <w:ind w:left="512" w:hanging="512"/>
              <w:jc w:val="center"/>
              <w:rPr>
                <w:b/>
                <w:bCs/>
                <w:color w:val="000000" w:themeColor="text1"/>
                <w:sz w:val="20"/>
              </w:rPr>
            </w:pPr>
          </w:p>
        </w:tc>
        <w:tc>
          <w:tcPr>
            <w:tcW w:w="1417" w:type="dxa"/>
            <w:vMerge/>
            <w:tcBorders>
              <w:top w:val="single" w:sz="8" w:space="0" w:color="auto"/>
              <w:left w:val="single" w:sz="4" w:space="0" w:color="auto"/>
              <w:bottom w:val="single" w:sz="8" w:space="0" w:color="000000"/>
              <w:right w:val="single" w:sz="8" w:space="0" w:color="auto"/>
            </w:tcBorders>
            <w:vAlign w:val="center"/>
            <w:hideMark/>
          </w:tcPr>
          <w:p w14:paraId="3E14FCA0" w14:textId="77777777" w:rsidR="00780F67" w:rsidRPr="00723EB0" w:rsidRDefault="00780F67" w:rsidP="00D432CD">
            <w:pPr>
              <w:ind w:left="512" w:hanging="512"/>
              <w:jc w:val="center"/>
              <w:rPr>
                <w:b/>
                <w:bCs/>
                <w:color w:val="000000" w:themeColor="text1"/>
                <w:sz w:val="20"/>
              </w:rPr>
            </w:pPr>
          </w:p>
        </w:tc>
        <w:tc>
          <w:tcPr>
            <w:tcW w:w="1276" w:type="dxa"/>
            <w:tcBorders>
              <w:top w:val="nil"/>
              <w:left w:val="nil"/>
              <w:bottom w:val="single" w:sz="8" w:space="0" w:color="auto"/>
              <w:right w:val="single" w:sz="4" w:space="0" w:color="auto"/>
            </w:tcBorders>
            <w:shd w:val="clear" w:color="auto" w:fill="auto"/>
            <w:vAlign w:val="center"/>
            <w:hideMark/>
          </w:tcPr>
          <w:p w14:paraId="462C698E" w14:textId="09D55B70" w:rsidR="00780F67" w:rsidRPr="00723EB0" w:rsidRDefault="34B096E2" w:rsidP="34B096E2">
            <w:pPr>
              <w:spacing w:after="0"/>
              <w:ind w:left="512" w:hanging="512"/>
              <w:jc w:val="center"/>
              <w:rPr>
                <w:b/>
                <w:bCs/>
                <w:color w:val="000000" w:themeColor="text1"/>
                <w:sz w:val="20"/>
              </w:rPr>
            </w:pPr>
            <w:r w:rsidRPr="34B096E2">
              <w:rPr>
                <w:b/>
                <w:bCs/>
                <w:color w:val="000000" w:themeColor="text1"/>
                <w:sz w:val="20"/>
              </w:rPr>
              <w:t>millió forint</w:t>
            </w:r>
          </w:p>
        </w:tc>
        <w:tc>
          <w:tcPr>
            <w:tcW w:w="849" w:type="dxa"/>
            <w:tcBorders>
              <w:top w:val="nil"/>
              <w:left w:val="nil"/>
              <w:bottom w:val="single" w:sz="8" w:space="0" w:color="auto"/>
              <w:right w:val="single" w:sz="8" w:space="0" w:color="auto"/>
            </w:tcBorders>
            <w:shd w:val="clear" w:color="auto" w:fill="auto"/>
            <w:noWrap/>
            <w:vAlign w:val="center"/>
            <w:hideMark/>
          </w:tcPr>
          <w:p w14:paraId="30DA47DA" w14:textId="77777777" w:rsidR="00780F67" w:rsidRPr="00723EB0" w:rsidRDefault="34B096E2" w:rsidP="34B096E2">
            <w:pPr>
              <w:spacing w:after="0"/>
              <w:ind w:left="512" w:hanging="512"/>
              <w:jc w:val="center"/>
              <w:rPr>
                <w:color w:val="000000" w:themeColor="text1"/>
                <w:sz w:val="22"/>
                <w:szCs w:val="22"/>
              </w:rPr>
            </w:pPr>
            <w:r w:rsidRPr="34B096E2">
              <w:rPr>
                <w:color w:val="000000" w:themeColor="text1"/>
                <w:sz w:val="22"/>
                <w:szCs w:val="22"/>
              </w:rPr>
              <w:t>%</w:t>
            </w:r>
          </w:p>
        </w:tc>
      </w:tr>
      <w:tr w:rsidR="008A613D" w:rsidRPr="00923DEB" w14:paraId="753D6CE2" w14:textId="77777777" w:rsidTr="34B096E2">
        <w:trPr>
          <w:trHeight w:val="319"/>
        </w:trPr>
        <w:tc>
          <w:tcPr>
            <w:tcW w:w="2976" w:type="dxa"/>
            <w:tcBorders>
              <w:top w:val="nil"/>
              <w:left w:val="single" w:sz="8" w:space="0" w:color="auto"/>
              <w:bottom w:val="single" w:sz="4" w:space="0" w:color="auto"/>
              <w:right w:val="single" w:sz="8" w:space="0" w:color="auto"/>
            </w:tcBorders>
            <w:shd w:val="clear" w:color="auto" w:fill="auto"/>
            <w:noWrap/>
            <w:vAlign w:val="center"/>
            <w:hideMark/>
          </w:tcPr>
          <w:p w14:paraId="32C12D61" w14:textId="30A00391" w:rsidR="008A613D" w:rsidRPr="00723EB0" w:rsidRDefault="34B096E2" w:rsidP="34B096E2">
            <w:pPr>
              <w:overflowPunct w:val="0"/>
              <w:autoSpaceDE w:val="0"/>
              <w:autoSpaceDN w:val="0"/>
              <w:adjustRightInd w:val="0"/>
              <w:ind w:left="512" w:hanging="512"/>
              <w:textAlignment w:val="baseline"/>
              <w:rPr>
                <w:color w:val="000000" w:themeColor="text1"/>
                <w:sz w:val="20"/>
              </w:rPr>
            </w:pPr>
            <w:r w:rsidRPr="34B096E2">
              <w:rPr>
                <w:color w:val="000000" w:themeColor="text1"/>
                <w:sz w:val="20"/>
              </w:rPr>
              <w:t>Rehabilitációs hozzájárulás</w:t>
            </w:r>
          </w:p>
        </w:tc>
        <w:tc>
          <w:tcPr>
            <w:tcW w:w="1418" w:type="dxa"/>
            <w:tcBorders>
              <w:top w:val="nil"/>
              <w:left w:val="single" w:sz="4" w:space="0" w:color="auto"/>
              <w:bottom w:val="single" w:sz="4" w:space="0" w:color="auto"/>
              <w:right w:val="single" w:sz="8" w:space="0" w:color="auto"/>
            </w:tcBorders>
            <w:shd w:val="clear" w:color="auto" w:fill="auto"/>
            <w:noWrap/>
          </w:tcPr>
          <w:p w14:paraId="37F6B795" w14:textId="073C7184"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101 625,2</w:t>
            </w:r>
          </w:p>
        </w:tc>
        <w:tc>
          <w:tcPr>
            <w:tcW w:w="1417" w:type="dxa"/>
            <w:tcBorders>
              <w:top w:val="nil"/>
              <w:left w:val="single" w:sz="4" w:space="0" w:color="auto"/>
              <w:bottom w:val="single" w:sz="4" w:space="0" w:color="auto"/>
              <w:right w:val="single" w:sz="8" w:space="0" w:color="auto"/>
            </w:tcBorders>
            <w:shd w:val="clear" w:color="auto" w:fill="auto"/>
            <w:noWrap/>
          </w:tcPr>
          <w:p w14:paraId="0EEDA4B3" w14:textId="67805970"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106 528,3</w:t>
            </w:r>
          </w:p>
        </w:tc>
        <w:tc>
          <w:tcPr>
            <w:tcW w:w="1276" w:type="dxa"/>
            <w:tcBorders>
              <w:top w:val="nil"/>
              <w:left w:val="nil"/>
              <w:bottom w:val="single" w:sz="4" w:space="0" w:color="auto"/>
              <w:right w:val="single" w:sz="4" w:space="0" w:color="auto"/>
            </w:tcBorders>
            <w:shd w:val="clear" w:color="auto" w:fill="auto"/>
            <w:noWrap/>
          </w:tcPr>
          <w:p w14:paraId="4DD42B23" w14:textId="4AB321F4"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4 903,1</w:t>
            </w:r>
          </w:p>
        </w:tc>
        <w:tc>
          <w:tcPr>
            <w:tcW w:w="849" w:type="dxa"/>
            <w:tcBorders>
              <w:top w:val="nil"/>
              <w:left w:val="nil"/>
              <w:bottom w:val="single" w:sz="4" w:space="0" w:color="auto"/>
              <w:right w:val="single" w:sz="8" w:space="0" w:color="auto"/>
            </w:tcBorders>
            <w:shd w:val="clear" w:color="auto" w:fill="auto"/>
            <w:noWrap/>
          </w:tcPr>
          <w:p w14:paraId="5F87BBD3" w14:textId="54A30472"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104,8</w:t>
            </w:r>
          </w:p>
        </w:tc>
      </w:tr>
      <w:tr w:rsidR="008A613D" w:rsidRPr="00923DEB" w14:paraId="5A763D68" w14:textId="77777777" w:rsidTr="34B096E2">
        <w:trPr>
          <w:trHeight w:val="319"/>
        </w:trPr>
        <w:tc>
          <w:tcPr>
            <w:tcW w:w="2976" w:type="dxa"/>
            <w:tcBorders>
              <w:top w:val="nil"/>
              <w:left w:val="single" w:sz="8" w:space="0" w:color="auto"/>
              <w:bottom w:val="single" w:sz="4" w:space="0" w:color="auto"/>
              <w:right w:val="single" w:sz="8" w:space="0" w:color="auto"/>
            </w:tcBorders>
            <w:shd w:val="clear" w:color="auto" w:fill="auto"/>
            <w:noWrap/>
            <w:vAlign w:val="center"/>
            <w:hideMark/>
          </w:tcPr>
          <w:p w14:paraId="50871522" w14:textId="1C56AEA9" w:rsidR="008A613D" w:rsidRPr="00723EB0" w:rsidRDefault="34B096E2" w:rsidP="34B096E2">
            <w:pPr>
              <w:overflowPunct w:val="0"/>
              <w:autoSpaceDE w:val="0"/>
              <w:autoSpaceDN w:val="0"/>
              <w:adjustRightInd w:val="0"/>
              <w:ind w:left="512" w:hanging="512"/>
              <w:textAlignment w:val="baseline"/>
              <w:rPr>
                <w:color w:val="000000" w:themeColor="text1"/>
                <w:sz w:val="20"/>
              </w:rPr>
            </w:pPr>
            <w:r w:rsidRPr="34B096E2">
              <w:rPr>
                <w:color w:val="000000" w:themeColor="text1"/>
                <w:sz w:val="20"/>
              </w:rPr>
              <w:t>Környezetvédelmi termékdíjak</w:t>
            </w:r>
          </w:p>
        </w:tc>
        <w:tc>
          <w:tcPr>
            <w:tcW w:w="1418" w:type="dxa"/>
            <w:tcBorders>
              <w:top w:val="nil"/>
              <w:left w:val="single" w:sz="4" w:space="0" w:color="auto"/>
              <w:bottom w:val="single" w:sz="4" w:space="0" w:color="auto"/>
              <w:right w:val="single" w:sz="8" w:space="0" w:color="auto"/>
            </w:tcBorders>
            <w:shd w:val="clear" w:color="auto" w:fill="auto"/>
            <w:noWrap/>
          </w:tcPr>
          <w:p w14:paraId="69429D14" w14:textId="2F6591AB"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67 286,2</w:t>
            </w:r>
          </w:p>
        </w:tc>
        <w:tc>
          <w:tcPr>
            <w:tcW w:w="1417" w:type="dxa"/>
            <w:tcBorders>
              <w:top w:val="nil"/>
              <w:left w:val="single" w:sz="4" w:space="0" w:color="auto"/>
              <w:bottom w:val="single" w:sz="4" w:space="0" w:color="auto"/>
              <w:right w:val="single" w:sz="8" w:space="0" w:color="auto"/>
            </w:tcBorders>
            <w:shd w:val="clear" w:color="auto" w:fill="auto"/>
            <w:noWrap/>
          </w:tcPr>
          <w:p w14:paraId="3B90FF67" w14:textId="0CB76208"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61 805,2</w:t>
            </w:r>
          </w:p>
        </w:tc>
        <w:tc>
          <w:tcPr>
            <w:tcW w:w="1276" w:type="dxa"/>
            <w:tcBorders>
              <w:top w:val="nil"/>
              <w:left w:val="nil"/>
              <w:bottom w:val="single" w:sz="4" w:space="0" w:color="auto"/>
              <w:right w:val="single" w:sz="4" w:space="0" w:color="auto"/>
            </w:tcBorders>
            <w:shd w:val="clear" w:color="auto" w:fill="auto"/>
            <w:noWrap/>
          </w:tcPr>
          <w:p w14:paraId="44A2E4EA" w14:textId="7AF89469"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-5 481,0</w:t>
            </w:r>
          </w:p>
        </w:tc>
        <w:tc>
          <w:tcPr>
            <w:tcW w:w="849" w:type="dxa"/>
            <w:tcBorders>
              <w:top w:val="nil"/>
              <w:left w:val="nil"/>
              <w:bottom w:val="single" w:sz="4" w:space="0" w:color="auto"/>
              <w:right w:val="single" w:sz="8" w:space="0" w:color="auto"/>
            </w:tcBorders>
            <w:shd w:val="clear" w:color="auto" w:fill="auto"/>
            <w:noWrap/>
          </w:tcPr>
          <w:p w14:paraId="3834BE53" w14:textId="3641AF52"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91,9</w:t>
            </w:r>
          </w:p>
        </w:tc>
      </w:tr>
      <w:tr w:rsidR="008A613D" w:rsidRPr="00923DEB" w14:paraId="5D3B11E5" w14:textId="77777777" w:rsidTr="34B096E2">
        <w:trPr>
          <w:trHeight w:val="319"/>
        </w:trPr>
        <w:tc>
          <w:tcPr>
            <w:tcW w:w="2976" w:type="dxa"/>
            <w:tcBorders>
              <w:top w:val="nil"/>
              <w:left w:val="single" w:sz="8" w:space="0" w:color="auto"/>
              <w:bottom w:val="single" w:sz="4" w:space="0" w:color="auto"/>
              <w:right w:val="single" w:sz="8" w:space="0" w:color="auto"/>
            </w:tcBorders>
            <w:shd w:val="clear" w:color="auto" w:fill="auto"/>
            <w:noWrap/>
            <w:vAlign w:val="center"/>
            <w:hideMark/>
          </w:tcPr>
          <w:p w14:paraId="051EB506" w14:textId="4CD895AC" w:rsidR="008A613D" w:rsidRPr="00723EB0" w:rsidRDefault="34B096E2" w:rsidP="34B096E2">
            <w:pPr>
              <w:overflowPunct w:val="0"/>
              <w:autoSpaceDE w:val="0"/>
              <w:autoSpaceDN w:val="0"/>
              <w:adjustRightInd w:val="0"/>
              <w:ind w:left="512" w:hanging="512"/>
              <w:textAlignment w:val="baseline"/>
              <w:rPr>
                <w:color w:val="000000" w:themeColor="text1"/>
                <w:sz w:val="20"/>
              </w:rPr>
            </w:pPr>
            <w:proofErr w:type="spellStart"/>
            <w:r w:rsidRPr="34B096E2">
              <w:rPr>
                <w:color w:val="000000" w:themeColor="text1"/>
                <w:sz w:val="20"/>
              </w:rPr>
              <w:t>Vízkészletjárulék</w:t>
            </w:r>
            <w:proofErr w:type="spellEnd"/>
          </w:p>
        </w:tc>
        <w:tc>
          <w:tcPr>
            <w:tcW w:w="1418" w:type="dxa"/>
            <w:tcBorders>
              <w:top w:val="nil"/>
              <w:left w:val="single" w:sz="4" w:space="0" w:color="auto"/>
              <w:bottom w:val="single" w:sz="4" w:space="0" w:color="auto"/>
              <w:right w:val="single" w:sz="8" w:space="0" w:color="auto"/>
            </w:tcBorders>
            <w:shd w:val="clear" w:color="auto" w:fill="auto"/>
            <w:noWrap/>
          </w:tcPr>
          <w:p w14:paraId="06134C6C" w14:textId="584F23DF"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12 469,4</w:t>
            </w:r>
          </w:p>
        </w:tc>
        <w:tc>
          <w:tcPr>
            <w:tcW w:w="1417" w:type="dxa"/>
            <w:tcBorders>
              <w:top w:val="nil"/>
              <w:left w:val="single" w:sz="4" w:space="0" w:color="auto"/>
              <w:bottom w:val="single" w:sz="4" w:space="0" w:color="auto"/>
              <w:right w:val="single" w:sz="8" w:space="0" w:color="auto"/>
            </w:tcBorders>
            <w:shd w:val="clear" w:color="auto" w:fill="auto"/>
            <w:noWrap/>
          </w:tcPr>
          <w:p w14:paraId="2D678947" w14:textId="3D8E5802"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11 840,1</w:t>
            </w:r>
          </w:p>
        </w:tc>
        <w:tc>
          <w:tcPr>
            <w:tcW w:w="1276" w:type="dxa"/>
            <w:tcBorders>
              <w:top w:val="nil"/>
              <w:left w:val="nil"/>
              <w:bottom w:val="single" w:sz="4" w:space="0" w:color="auto"/>
              <w:right w:val="single" w:sz="4" w:space="0" w:color="auto"/>
            </w:tcBorders>
            <w:shd w:val="clear" w:color="auto" w:fill="auto"/>
            <w:noWrap/>
          </w:tcPr>
          <w:p w14:paraId="780A2B8D" w14:textId="75C9F809"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-629,3</w:t>
            </w:r>
          </w:p>
        </w:tc>
        <w:tc>
          <w:tcPr>
            <w:tcW w:w="849" w:type="dxa"/>
            <w:tcBorders>
              <w:top w:val="nil"/>
              <w:left w:val="nil"/>
              <w:bottom w:val="single" w:sz="4" w:space="0" w:color="auto"/>
              <w:right w:val="single" w:sz="8" w:space="0" w:color="auto"/>
            </w:tcBorders>
            <w:shd w:val="clear" w:color="auto" w:fill="auto"/>
            <w:noWrap/>
          </w:tcPr>
          <w:p w14:paraId="3935BA5B" w14:textId="2E935396"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95,0</w:t>
            </w:r>
          </w:p>
        </w:tc>
      </w:tr>
      <w:tr w:rsidR="008A613D" w:rsidRPr="00923DEB" w14:paraId="036E62E4" w14:textId="77777777" w:rsidTr="34B096E2">
        <w:trPr>
          <w:trHeight w:val="319"/>
        </w:trPr>
        <w:tc>
          <w:tcPr>
            <w:tcW w:w="2976" w:type="dxa"/>
            <w:tcBorders>
              <w:top w:val="nil"/>
              <w:left w:val="single" w:sz="8" w:space="0" w:color="auto"/>
              <w:bottom w:val="single" w:sz="4" w:space="0" w:color="auto"/>
              <w:right w:val="single" w:sz="8" w:space="0" w:color="auto"/>
            </w:tcBorders>
            <w:shd w:val="clear" w:color="auto" w:fill="auto"/>
            <w:hideMark/>
          </w:tcPr>
          <w:p w14:paraId="3E2A5A0E" w14:textId="1E9EF1BF" w:rsidR="008A613D" w:rsidRPr="00723EB0" w:rsidRDefault="34B096E2" w:rsidP="34B096E2">
            <w:pPr>
              <w:overflowPunct w:val="0"/>
              <w:autoSpaceDE w:val="0"/>
              <w:autoSpaceDN w:val="0"/>
              <w:adjustRightInd w:val="0"/>
              <w:ind w:left="512" w:hanging="512"/>
              <w:textAlignment w:val="baseline"/>
              <w:rPr>
                <w:color w:val="000000" w:themeColor="text1"/>
                <w:sz w:val="20"/>
              </w:rPr>
            </w:pPr>
            <w:r w:rsidRPr="34B096E2">
              <w:rPr>
                <w:color w:val="000000" w:themeColor="text1"/>
                <w:sz w:val="20"/>
              </w:rPr>
              <w:t>Hulladéklerakási járulék</w:t>
            </w:r>
          </w:p>
        </w:tc>
        <w:tc>
          <w:tcPr>
            <w:tcW w:w="1418" w:type="dxa"/>
            <w:tcBorders>
              <w:top w:val="nil"/>
              <w:left w:val="single" w:sz="4" w:space="0" w:color="auto"/>
              <w:bottom w:val="single" w:sz="4" w:space="0" w:color="auto"/>
              <w:right w:val="single" w:sz="8" w:space="0" w:color="auto"/>
            </w:tcBorders>
            <w:shd w:val="clear" w:color="auto" w:fill="auto"/>
            <w:noWrap/>
          </w:tcPr>
          <w:p w14:paraId="79CD9915" w14:textId="7782A73F"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15 629,3</w:t>
            </w:r>
          </w:p>
        </w:tc>
        <w:tc>
          <w:tcPr>
            <w:tcW w:w="1417" w:type="dxa"/>
            <w:tcBorders>
              <w:top w:val="nil"/>
              <w:left w:val="single" w:sz="4" w:space="0" w:color="auto"/>
              <w:bottom w:val="single" w:sz="4" w:space="0" w:color="auto"/>
              <w:right w:val="single" w:sz="8" w:space="0" w:color="auto"/>
            </w:tcBorders>
            <w:shd w:val="clear" w:color="auto" w:fill="auto"/>
            <w:noWrap/>
          </w:tcPr>
          <w:p w14:paraId="5F76BE34" w14:textId="2B1F8D34"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14 765,8</w:t>
            </w:r>
          </w:p>
        </w:tc>
        <w:tc>
          <w:tcPr>
            <w:tcW w:w="1276" w:type="dxa"/>
            <w:tcBorders>
              <w:top w:val="nil"/>
              <w:left w:val="nil"/>
              <w:bottom w:val="single" w:sz="4" w:space="0" w:color="auto"/>
              <w:right w:val="single" w:sz="4" w:space="0" w:color="auto"/>
            </w:tcBorders>
            <w:shd w:val="clear" w:color="auto" w:fill="auto"/>
            <w:noWrap/>
          </w:tcPr>
          <w:p w14:paraId="696BA93B" w14:textId="5B2FC87E"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-863,5</w:t>
            </w:r>
          </w:p>
        </w:tc>
        <w:tc>
          <w:tcPr>
            <w:tcW w:w="849" w:type="dxa"/>
            <w:tcBorders>
              <w:top w:val="nil"/>
              <w:left w:val="nil"/>
              <w:bottom w:val="single" w:sz="4" w:space="0" w:color="auto"/>
              <w:right w:val="single" w:sz="8" w:space="0" w:color="auto"/>
            </w:tcBorders>
            <w:shd w:val="clear" w:color="auto" w:fill="auto"/>
            <w:noWrap/>
          </w:tcPr>
          <w:p w14:paraId="62481C31" w14:textId="45B86BC1"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94,5</w:t>
            </w:r>
          </w:p>
        </w:tc>
      </w:tr>
      <w:tr w:rsidR="008A613D" w:rsidRPr="00923DEB" w14:paraId="2B8FF813" w14:textId="77777777" w:rsidTr="34B096E2">
        <w:trPr>
          <w:trHeight w:val="319"/>
        </w:trPr>
        <w:tc>
          <w:tcPr>
            <w:tcW w:w="2976" w:type="dxa"/>
            <w:tcBorders>
              <w:top w:val="nil"/>
              <w:left w:val="single" w:sz="8" w:space="0" w:color="auto"/>
              <w:bottom w:val="single" w:sz="4" w:space="0" w:color="auto"/>
              <w:right w:val="single" w:sz="8" w:space="0" w:color="auto"/>
            </w:tcBorders>
            <w:shd w:val="clear" w:color="auto" w:fill="auto"/>
            <w:noWrap/>
            <w:vAlign w:val="center"/>
            <w:hideMark/>
          </w:tcPr>
          <w:p w14:paraId="3CD46533" w14:textId="6E246FE2" w:rsidR="008A613D" w:rsidRPr="00723EB0" w:rsidRDefault="34B096E2" w:rsidP="34B096E2">
            <w:pPr>
              <w:overflowPunct w:val="0"/>
              <w:autoSpaceDE w:val="0"/>
              <w:autoSpaceDN w:val="0"/>
              <w:adjustRightInd w:val="0"/>
              <w:ind w:left="512" w:hanging="512"/>
              <w:textAlignment w:val="baseline"/>
              <w:rPr>
                <w:color w:val="000000" w:themeColor="text1"/>
                <w:sz w:val="20"/>
              </w:rPr>
            </w:pPr>
            <w:r w:rsidRPr="34B096E2">
              <w:rPr>
                <w:color w:val="000000" w:themeColor="text1"/>
                <w:sz w:val="20"/>
              </w:rPr>
              <w:t>Elektronikus útdíj</w:t>
            </w:r>
          </w:p>
        </w:tc>
        <w:tc>
          <w:tcPr>
            <w:tcW w:w="1418" w:type="dxa"/>
            <w:tcBorders>
              <w:top w:val="nil"/>
              <w:left w:val="single" w:sz="4" w:space="0" w:color="auto"/>
              <w:bottom w:val="single" w:sz="4" w:space="0" w:color="auto"/>
              <w:right w:val="single" w:sz="8" w:space="0" w:color="auto"/>
            </w:tcBorders>
            <w:shd w:val="clear" w:color="auto" w:fill="auto"/>
            <w:noWrap/>
          </w:tcPr>
          <w:p w14:paraId="3B3B1AFD" w14:textId="671EEE09"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197 058,8</w:t>
            </w:r>
          </w:p>
        </w:tc>
        <w:tc>
          <w:tcPr>
            <w:tcW w:w="1417" w:type="dxa"/>
            <w:tcBorders>
              <w:top w:val="nil"/>
              <w:left w:val="single" w:sz="4" w:space="0" w:color="auto"/>
              <w:bottom w:val="single" w:sz="4" w:space="0" w:color="auto"/>
              <w:right w:val="single" w:sz="8" w:space="0" w:color="auto"/>
            </w:tcBorders>
            <w:shd w:val="clear" w:color="auto" w:fill="auto"/>
            <w:noWrap/>
          </w:tcPr>
          <w:p w14:paraId="65871DFF" w14:textId="6A712157"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197 018,4</w:t>
            </w:r>
          </w:p>
        </w:tc>
        <w:tc>
          <w:tcPr>
            <w:tcW w:w="1276" w:type="dxa"/>
            <w:tcBorders>
              <w:top w:val="nil"/>
              <w:left w:val="nil"/>
              <w:bottom w:val="single" w:sz="4" w:space="0" w:color="auto"/>
              <w:right w:val="single" w:sz="4" w:space="0" w:color="auto"/>
            </w:tcBorders>
            <w:shd w:val="clear" w:color="auto" w:fill="auto"/>
            <w:noWrap/>
          </w:tcPr>
          <w:p w14:paraId="0B96A16C" w14:textId="06C294E9"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-40,4</w:t>
            </w:r>
          </w:p>
        </w:tc>
        <w:tc>
          <w:tcPr>
            <w:tcW w:w="849" w:type="dxa"/>
            <w:tcBorders>
              <w:top w:val="nil"/>
              <w:left w:val="nil"/>
              <w:bottom w:val="single" w:sz="4" w:space="0" w:color="auto"/>
              <w:right w:val="single" w:sz="8" w:space="0" w:color="auto"/>
            </w:tcBorders>
            <w:shd w:val="clear" w:color="auto" w:fill="auto"/>
            <w:noWrap/>
          </w:tcPr>
          <w:p w14:paraId="2CBB6149" w14:textId="70A23C7F"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100,0</w:t>
            </w:r>
          </w:p>
        </w:tc>
      </w:tr>
      <w:tr w:rsidR="008A613D" w:rsidRPr="00923DEB" w14:paraId="01244098" w14:textId="77777777" w:rsidTr="34B096E2">
        <w:trPr>
          <w:trHeight w:val="319"/>
        </w:trPr>
        <w:tc>
          <w:tcPr>
            <w:tcW w:w="2976" w:type="dxa"/>
            <w:tcBorders>
              <w:top w:val="nil"/>
              <w:left w:val="single" w:sz="8" w:space="0" w:color="auto"/>
              <w:bottom w:val="single" w:sz="4" w:space="0" w:color="auto"/>
              <w:right w:val="single" w:sz="8" w:space="0" w:color="auto"/>
            </w:tcBorders>
            <w:shd w:val="clear" w:color="auto" w:fill="auto"/>
            <w:noWrap/>
            <w:vAlign w:val="center"/>
            <w:hideMark/>
          </w:tcPr>
          <w:p w14:paraId="4D2CC07A" w14:textId="42659F3A" w:rsidR="008A613D" w:rsidRPr="00723EB0" w:rsidRDefault="34B096E2" w:rsidP="34B096E2">
            <w:pPr>
              <w:overflowPunct w:val="0"/>
              <w:autoSpaceDE w:val="0"/>
              <w:autoSpaceDN w:val="0"/>
              <w:adjustRightInd w:val="0"/>
              <w:ind w:left="512" w:hanging="512"/>
              <w:textAlignment w:val="baseline"/>
              <w:rPr>
                <w:color w:val="000000" w:themeColor="text1"/>
                <w:sz w:val="20"/>
              </w:rPr>
            </w:pPr>
            <w:r w:rsidRPr="34B096E2">
              <w:rPr>
                <w:color w:val="000000" w:themeColor="text1"/>
                <w:sz w:val="20"/>
              </w:rPr>
              <w:t>Korkedvezmény-biztosítási járulék</w:t>
            </w:r>
          </w:p>
        </w:tc>
        <w:tc>
          <w:tcPr>
            <w:tcW w:w="1418" w:type="dxa"/>
            <w:tcBorders>
              <w:top w:val="nil"/>
              <w:left w:val="single" w:sz="4" w:space="0" w:color="auto"/>
              <w:bottom w:val="single" w:sz="4" w:space="0" w:color="auto"/>
              <w:right w:val="single" w:sz="8" w:space="0" w:color="auto"/>
            </w:tcBorders>
            <w:shd w:val="clear" w:color="auto" w:fill="auto"/>
            <w:noWrap/>
          </w:tcPr>
          <w:p w14:paraId="48E0DE6A" w14:textId="30B0DE52"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12,2</w:t>
            </w:r>
          </w:p>
        </w:tc>
        <w:tc>
          <w:tcPr>
            <w:tcW w:w="1417" w:type="dxa"/>
            <w:tcBorders>
              <w:top w:val="nil"/>
              <w:left w:val="single" w:sz="4" w:space="0" w:color="auto"/>
              <w:bottom w:val="single" w:sz="4" w:space="0" w:color="auto"/>
              <w:right w:val="single" w:sz="8" w:space="0" w:color="auto"/>
            </w:tcBorders>
            <w:shd w:val="clear" w:color="auto" w:fill="auto"/>
            <w:noWrap/>
          </w:tcPr>
          <w:p w14:paraId="75C15708" w14:textId="1B4644D1"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5,1</w:t>
            </w:r>
          </w:p>
        </w:tc>
        <w:tc>
          <w:tcPr>
            <w:tcW w:w="1276" w:type="dxa"/>
            <w:tcBorders>
              <w:top w:val="nil"/>
              <w:left w:val="nil"/>
              <w:bottom w:val="single" w:sz="4" w:space="0" w:color="auto"/>
              <w:right w:val="single" w:sz="4" w:space="0" w:color="auto"/>
            </w:tcBorders>
            <w:shd w:val="clear" w:color="auto" w:fill="auto"/>
            <w:noWrap/>
          </w:tcPr>
          <w:p w14:paraId="1534B589" w14:textId="08B05C2C"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-7,1</w:t>
            </w:r>
          </w:p>
        </w:tc>
        <w:tc>
          <w:tcPr>
            <w:tcW w:w="849" w:type="dxa"/>
            <w:tcBorders>
              <w:top w:val="nil"/>
              <w:left w:val="nil"/>
              <w:bottom w:val="single" w:sz="4" w:space="0" w:color="auto"/>
              <w:right w:val="single" w:sz="8" w:space="0" w:color="auto"/>
            </w:tcBorders>
            <w:shd w:val="clear" w:color="auto" w:fill="auto"/>
            <w:noWrap/>
          </w:tcPr>
          <w:p w14:paraId="22250457" w14:textId="1426EED3" w:rsidR="008A613D" w:rsidRPr="008A613D" w:rsidRDefault="003155FA" w:rsidP="008A613D">
            <w:pPr>
              <w:overflowPunct w:val="0"/>
              <w:autoSpaceDE w:val="0"/>
              <w:autoSpaceDN w:val="0"/>
              <w:adjustRightInd w:val="0"/>
              <w:ind w:left="512" w:hanging="512"/>
              <w:jc w:val="right"/>
              <w:textAlignment w:val="baseline"/>
              <w:rPr>
                <w:sz w:val="20"/>
              </w:rPr>
            </w:pPr>
            <w:r>
              <w:rPr>
                <w:sz w:val="20"/>
              </w:rPr>
              <w:t>41,8</w:t>
            </w:r>
          </w:p>
        </w:tc>
      </w:tr>
      <w:tr w:rsidR="008A613D" w:rsidRPr="00923DEB" w14:paraId="6A89324A" w14:textId="77777777" w:rsidTr="34B096E2">
        <w:trPr>
          <w:trHeight w:val="319"/>
        </w:trPr>
        <w:tc>
          <w:tcPr>
            <w:tcW w:w="2976" w:type="dxa"/>
            <w:tcBorders>
              <w:top w:val="nil"/>
              <w:left w:val="single" w:sz="8" w:space="0" w:color="auto"/>
              <w:bottom w:val="single" w:sz="4" w:space="0" w:color="auto"/>
              <w:right w:val="single" w:sz="8" w:space="0" w:color="auto"/>
            </w:tcBorders>
            <w:shd w:val="clear" w:color="auto" w:fill="auto"/>
            <w:noWrap/>
            <w:vAlign w:val="center"/>
            <w:hideMark/>
          </w:tcPr>
          <w:p w14:paraId="66CEC987" w14:textId="0CD8F311" w:rsidR="008A613D" w:rsidRPr="00723EB0" w:rsidRDefault="34B096E2" w:rsidP="34B096E2">
            <w:pPr>
              <w:overflowPunct w:val="0"/>
              <w:autoSpaceDE w:val="0"/>
              <w:autoSpaceDN w:val="0"/>
              <w:adjustRightInd w:val="0"/>
              <w:ind w:left="512" w:hanging="512"/>
              <w:textAlignment w:val="baseline"/>
              <w:rPr>
                <w:color w:val="000000" w:themeColor="text1"/>
                <w:sz w:val="20"/>
              </w:rPr>
            </w:pPr>
            <w:r w:rsidRPr="34B096E2">
              <w:rPr>
                <w:color w:val="000000" w:themeColor="text1"/>
                <w:sz w:val="20"/>
              </w:rPr>
              <w:t>Időalapú útdíj</w:t>
            </w:r>
          </w:p>
        </w:tc>
        <w:tc>
          <w:tcPr>
            <w:tcW w:w="1418" w:type="dxa"/>
            <w:tcBorders>
              <w:top w:val="nil"/>
              <w:left w:val="single" w:sz="4" w:space="0" w:color="auto"/>
              <w:bottom w:val="single" w:sz="4" w:space="0" w:color="auto"/>
              <w:right w:val="single" w:sz="8" w:space="0" w:color="auto"/>
            </w:tcBorders>
            <w:shd w:val="clear" w:color="auto" w:fill="auto"/>
            <w:noWrap/>
          </w:tcPr>
          <w:p w14:paraId="261636BC" w14:textId="568CFC7C"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67 826,9</w:t>
            </w:r>
          </w:p>
        </w:tc>
        <w:tc>
          <w:tcPr>
            <w:tcW w:w="1417" w:type="dxa"/>
            <w:tcBorders>
              <w:top w:val="nil"/>
              <w:left w:val="single" w:sz="4" w:space="0" w:color="auto"/>
              <w:bottom w:val="single" w:sz="4" w:space="0" w:color="auto"/>
              <w:right w:val="single" w:sz="8" w:space="0" w:color="auto"/>
            </w:tcBorders>
            <w:shd w:val="clear" w:color="auto" w:fill="auto"/>
            <w:noWrap/>
          </w:tcPr>
          <w:p w14:paraId="3D3E7E73" w14:textId="30271711"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59 833,7</w:t>
            </w:r>
          </w:p>
        </w:tc>
        <w:tc>
          <w:tcPr>
            <w:tcW w:w="1276" w:type="dxa"/>
            <w:tcBorders>
              <w:top w:val="nil"/>
              <w:left w:val="nil"/>
              <w:bottom w:val="single" w:sz="4" w:space="0" w:color="auto"/>
              <w:right w:val="single" w:sz="4" w:space="0" w:color="auto"/>
            </w:tcBorders>
            <w:shd w:val="clear" w:color="auto" w:fill="auto"/>
            <w:noWrap/>
          </w:tcPr>
          <w:p w14:paraId="2185C571" w14:textId="0B61948B"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-7 993,2</w:t>
            </w:r>
          </w:p>
        </w:tc>
        <w:tc>
          <w:tcPr>
            <w:tcW w:w="849" w:type="dxa"/>
            <w:tcBorders>
              <w:top w:val="nil"/>
              <w:left w:val="nil"/>
              <w:bottom w:val="single" w:sz="4" w:space="0" w:color="auto"/>
              <w:right w:val="single" w:sz="8" w:space="0" w:color="auto"/>
            </w:tcBorders>
            <w:shd w:val="clear" w:color="auto" w:fill="auto"/>
            <w:noWrap/>
          </w:tcPr>
          <w:p w14:paraId="23F4345A" w14:textId="58060D36"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88,2</w:t>
            </w:r>
          </w:p>
        </w:tc>
      </w:tr>
      <w:tr w:rsidR="008A613D" w:rsidRPr="00923DEB" w14:paraId="450B7EA2" w14:textId="77777777" w:rsidTr="34B096E2">
        <w:trPr>
          <w:trHeight w:val="319"/>
        </w:trPr>
        <w:tc>
          <w:tcPr>
            <w:tcW w:w="2976" w:type="dxa"/>
            <w:tcBorders>
              <w:top w:val="nil"/>
              <w:left w:val="single" w:sz="8" w:space="0" w:color="auto"/>
              <w:bottom w:val="single" w:sz="4" w:space="0" w:color="auto"/>
              <w:right w:val="single" w:sz="8" w:space="0" w:color="auto"/>
            </w:tcBorders>
            <w:shd w:val="clear" w:color="auto" w:fill="auto"/>
            <w:noWrap/>
            <w:vAlign w:val="center"/>
            <w:hideMark/>
          </w:tcPr>
          <w:p w14:paraId="2C5B39AB" w14:textId="7B7EB5CF" w:rsidR="008A613D" w:rsidRPr="00723EB0" w:rsidRDefault="34B096E2" w:rsidP="34B096E2">
            <w:pPr>
              <w:overflowPunct w:val="0"/>
              <w:autoSpaceDE w:val="0"/>
              <w:autoSpaceDN w:val="0"/>
              <w:adjustRightInd w:val="0"/>
              <w:ind w:left="512" w:hanging="512"/>
              <w:textAlignment w:val="baseline"/>
              <w:rPr>
                <w:color w:val="000000" w:themeColor="text1"/>
                <w:sz w:val="20"/>
              </w:rPr>
            </w:pPr>
            <w:r w:rsidRPr="34B096E2">
              <w:rPr>
                <w:color w:val="000000" w:themeColor="text1"/>
                <w:sz w:val="20"/>
              </w:rPr>
              <w:t>Bírságok és függő tételek</w:t>
            </w:r>
          </w:p>
        </w:tc>
        <w:tc>
          <w:tcPr>
            <w:tcW w:w="1418" w:type="dxa"/>
            <w:tcBorders>
              <w:top w:val="nil"/>
              <w:left w:val="single" w:sz="4" w:space="0" w:color="auto"/>
              <w:bottom w:val="single" w:sz="4" w:space="0" w:color="auto"/>
              <w:right w:val="single" w:sz="8" w:space="0" w:color="auto"/>
            </w:tcBorders>
            <w:shd w:val="clear" w:color="auto" w:fill="auto"/>
            <w:noWrap/>
          </w:tcPr>
          <w:p w14:paraId="42C02778" w14:textId="57687EB0"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47 037,2</w:t>
            </w:r>
          </w:p>
        </w:tc>
        <w:tc>
          <w:tcPr>
            <w:tcW w:w="1417" w:type="dxa"/>
            <w:tcBorders>
              <w:top w:val="nil"/>
              <w:left w:val="single" w:sz="4" w:space="0" w:color="auto"/>
              <w:bottom w:val="single" w:sz="4" w:space="0" w:color="auto"/>
              <w:right w:val="single" w:sz="8" w:space="0" w:color="auto"/>
            </w:tcBorders>
            <w:shd w:val="clear" w:color="auto" w:fill="auto"/>
            <w:noWrap/>
          </w:tcPr>
          <w:p w14:paraId="60B6F1F8" w14:textId="15D125DC"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50 106,3</w:t>
            </w:r>
          </w:p>
        </w:tc>
        <w:tc>
          <w:tcPr>
            <w:tcW w:w="1276" w:type="dxa"/>
            <w:tcBorders>
              <w:top w:val="nil"/>
              <w:left w:val="nil"/>
              <w:bottom w:val="single" w:sz="4" w:space="0" w:color="auto"/>
              <w:right w:val="single" w:sz="4" w:space="0" w:color="auto"/>
            </w:tcBorders>
            <w:shd w:val="clear" w:color="auto" w:fill="auto"/>
            <w:noWrap/>
          </w:tcPr>
          <w:p w14:paraId="656DACF4" w14:textId="0C0B7AB7" w:rsidR="008A613D" w:rsidRPr="008A613D" w:rsidRDefault="34B096E2" w:rsidP="00F2272C">
            <w:pPr>
              <w:overflowPunct w:val="0"/>
              <w:autoSpaceDE w:val="0"/>
              <w:autoSpaceDN w:val="0"/>
              <w:adjustRightInd w:val="0"/>
              <w:ind w:left="512" w:hanging="512"/>
              <w:jc w:val="right"/>
              <w:textAlignment w:val="baseline"/>
              <w:rPr>
                <w:sz w:val="20"/>
              </w:rPr>
            </w:pPr>
            <w:r w:rsidRPr="34B096E2">
              <w:rPr>
                <w:sz w:val="20"/>
              </w:rPr>
              <w:t>3 069,</w:t>
            </w:r>
            <w:r w:rsidR="00F2272C">
              <w:rPr>
                <w:sz w:val="20"/>
              </w:rPr>
              <w:t>1</w:t>
            </w:r>
          </w:p>
        </w:tc>
        <w:tc>
          <w:tcPr>
            <w:tcW w:w="849" w:type="dxa"/>
            <w:tcBorders>
              <w:top w:val="nil"/>
              <w:left w:val="nil"/>
              <w:bottom w:val="single" w:sz="4" w:space="0" w:color="auto"/>
              <w:right w:val="single" w:sz="8" w:space="0" w:color="auto"/>
            </w:tcBorders>
            <w:shd w:val="clear" w:color="auto" w:fill="auto"/>
            <w:noWrap/>
          </w:tcPr>
          <w:p w14:paraId="3B910221" w14:textId="6733CC48"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106,5</w:t>
            </w:r>
          </w:p>
        </w:tc>
      </w:tr>
      <w:tr w:rsidR="008A613D" w:rsidRPr="00923DEB" w14:paraId="160B4B20" w14:textId="77777777" w:rsidTr="34B096E2">
        <w:trPr>
          <w:trHeight w:val="319"/>
        </w:trPr>
        <w:tc>
          <w:tcPr>
            <w:tcW w:w="2976" w:type="dxa"/>
            <w:tcBorders>
              <w:top w:val="nil"/>
              <w:left w:val="single" w:sz="8" w:space="0" w:color="auto"/>
              <w:bottom w:val="single" w:sz="8" w:space="0" w:color="auto"/>
              <w:right w:val="single" w:sz="8" w:space="0" w:color="auto"/>
            </w:tcBorders>
            <w:shd w:val="clear" w:color="auto" w:fill="auto"/>
            <w:noWrap/>
            <w:vAlign w:val="center"/>
            <w:hideMark/>
          </w:tcPr>
          <w:p w14:paraId="6505F41A" w14:textId="7DC54D38" w:rsidR="008A613D" w:rsidRPr="00723EB0" w:rsidRDefault="34B096E2" w:rsidP="34B096E2">
            <w:pPr>
              <w:overflowPunct w:val="0"/>
              <w:autoSpaceDE w:val="0"/>
              <w:autoSpaceDN w:val="0"/>
              <w:adjustRightInd w:val="0"/>
              <w:ind w:left="512" w:hanging="512"/>
              <w:textAlignment w:val="baseline"/>
              <w:rPr>
                <w:color w:val="000000" w:themeColor="text1"/>
                <w:sz w:val="20"/>
              </w:rPr>
            </w:pPr>
            <w:r w:rsidRPr="34B096E2">
              <w:rPr>
                <w:color w:val="000000" w:themeColor="text1"/>
                <w:sz w:val="20"/>
              </w:rPr>
              <w:t>Egyéb tételek összesen</w:t>
            </w:r>
          </w:p>
        </w:tc>
        <w:tc>
          <w:tcPr>
            <w:tcW w:w="1418" w:type="dxa"/>
            <w:tcBorders>
              <w:top w:val="nil"/>
              <w:left w:val="single" w:sz="4" w:space="0" w:color="auto"/>
              <w:bottom w:val="single" w:sz="4" w:space="0" w:color="auto"/>
              <w:right w:val="single" w:sz="8" w:space="0" w:color="auto"/>
            </w:tcBorders>
            <w:shd w:val="clear" w:color="auto" w:fill="auto"/>
            <w:noWrap/>
          </w:tcPr>
          <w:p w14:paraId="30726ED3" w14:textId="57C1FE10" w:rsidR="008A613D" w:rsidRPr="008A613D" w:rsidRDefault="34B096E2" w:rsidP="00744AFE">
            <w:pPr>
              <w:overflowPunct w:val="0"/>
              <w:autoSpaceDE w:val="0"/>
              <w:autoSpaceDN w:val="0"/>
              <w:adjustRightInd w:val="0"/>
              <w:ind w:left="512" w:hanging="512"/>
              <w:jc w:val="right"/>
              <w:textAlignment w:val="baseline"/>
              <w:rPr>
                <w:sz w:val="20"/>
              </w:rPr>
            </w:pPr>
            <w:r w:rsidRPr="34B096E2">
              <w:rPr>
                <w:sz w:val="20"/>
              </w:rPr>
              <w:t>8 988,</w:t>
            </w:r>
            <w:r w:rsidR="00744AFE">
              <w:rPr>
                <w:sz w:val="20"/>
              </w:rPr>
              <w:t>0</w:t>
            </w:r>
          </w:p>
        </w:tc>
        <w:tc>
          <w:tcPr>
            <w:tcW w:w="1417" w:type="dxa"/>
            <w:tcBorders>
              <w:top w:val="nil"/>
              <w:left w:val="single" w:sz="4" w:space="0" w:color="auto"/>
              <w:bottom w:val="single" w:sz="4" w:space="0" w:color="auto"/>
              <w:right w:val="single" w:sz="8" w:space="0" w:color="auto"/>
            </w:tcBorders>
            <w:shd w:val="clear" w:color="auto" w:fill="auto"/>
            <w:noWrap/>
          </w:tcPr>
          <w:p w14:paraId="31126547" w14:textId="2BDDE245" w:rsidR="008A613D" w:rsidRPr="008A613D" w:rsidRDefault="34B096E2" w:rsidP="00C35547">
            <w:pPr>
              <w:overflowPunct w:val="0"/>
              <w:autoSpaceDE w:val="0"/>
              <w:autoSpaceDN w:val="0"/>
              <w:adjustRightInd w:val="0"/>
              <w:ind w:left="512" w:hanging="512"/>
              <w:jc w:val="right"/>
              <w:textAlignment w:val="baseline"/>
              <w:rPr>
                <w:sz w:val="20"/>
              </w:rPr>
            </w:pPr>
            <w:r w:rsidRPr="34B096E2">
              <w:rPr>
                <w:sz w:val="20"/>
              </w:rPr>
              <w:t>6 598,</w:t>
            </w:r>
            <w:r w:rsidR="00C35547">
              <w:rPr>
                <w:sz w:val="20"/>
              </w:rPr>
              <w:t>4</w:t>
            </w:r>
          </w:p>
        </w:tc>
        <w:tc>
          <w:tcPr>
            <w:tcW w:w="1276" w:type="dxa"/>
            <w:tcBorders>
              <w:top w:val="nil"/>
              <w:left w:val="nil"/>
              <w:bottom w:val="single" w:sz="8" w:space="0" w:color="auto"/>
              <w:right w:val="single" w:sz="4" w:space="0" w:color="auto"/>
            </w:tcBorders>
            <w:shd w:val="clear" w:color="auto" w:fill="auto"/>
            <w:noWrap/>
          </w:tcPr>
          <w:p w14:paraId="29C4195B" w14:textId="14E4DB3A"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-2 389,6</w:t>
            </w:r>
          </w:p>
        </w:tc>
        <w:tc>
          <w:tcPr>
            <w:tcW w:w="849" w:type="dxa"/>
            <w:tcBorders>
              <w:top w:val="nil"/>
              <w:left w:val="nil"/>
              <w:bottom w:val="single" w:sz="4" w:space="0" w:color="auto"/>
              <w:right w:val="single" w:sz="8" w:space="0" w:color="auto"/>
            </w:tcBorders>
            <w:shd w:val="clear" w:color="auto" w:fill="auto"/>
            <w:noWrap/>
          </w:tcPr>
          <w:p w14:paraId="630D7340" w14:textId="62C1C0A6" w:rsidR="008A613D" w:rsidRPr="008A613D" w:rsidRDefault="34B096E2" w:rsidP="34B096E2">
            <w:pPr>
              <w:overflowPunct w:val="0"/>
              <w:autoSpaceDE w:val="0"/>
              <w:autoSpaceDN w:val="0"/>
              <w:adjustRightInd w:val="0"/>
              <w:ind w:left="512" w:hanging="512"/>
              <w:jc w:val="right"/>
              <w:textAlignment w:val="baseline"/>
              <w:rPr>
                <w:sz w:val="20"/>
              </w:rPr>
            </w:pPr>
            <w:r w:rsidRPr="34B096E2">
              <w:rPr>
                <w:sz w:val="20"/>
              </w:rPr>
              <w:t>73,4</w:t>
            </w:r>
          </w:p>
        </w:tc>
      </w:tr>
      <w:tr w:rsidR="008A613D" w:rsidRPr="00F138C7" w14:paraId="0707D9BA" w14:textId="77777777" w:rsidTr="34B096E2">
        <w:trPr>
          <w:trHeight w:val="330"/>
        </w:trPr>
        <w:tc>
          <w:tcPr>
            <w:tcW w:w="2976" w:type="dxa"/>
            <w:tcBorders>
              <w:top w:val="nil"/>
              <w:left w:val="single" w:sz="8" w:space="0" w:color="auto"/>
              <w:bottom w:val="single" w:sz="8" w:space="0" w:color="auto"/>
              <w:right w:val="single" w:sz="8" w:space="0" w:color="auto"/>
            </w:tcBorders>
            <w:shd w:val="clear" w:color="auto" w:fill="auto"/>
            <w:vAlign w:val="bottom"/>
            <w:hideMark/>
          </w:tcPr>
          <w:p w14:paraId="4A4DBB2E" w14:textId="6FB62D53" w:rsidR="008A613D" w:rsidRPr="00723EB0" w:rsidRDefault="34B096E2" w:rsidP="34B096E2">
            <w:pPr>
              <w:overflowPunct w:val="0"/>
              <w:autoSpaceDE w:val="0"/>
              <w:autoSpaceDN w:val="0"/>
              <w:adjustRightInd w:val="0"/>
              <w:ind w:left="512" w:hanging="512"/>
              <w:jc w:val="center"/>
              <w:textAlignment w:val="baseline"/>
              <w:rPr>
                <w:b/>
                <w:bCs/>
                <w:color w:val="000000" w:themeColor="text1"/>
                <w:sz w:val="20"/>
              </w:rPr>
            </w:pPr>
            <w:r w:rsidRPr="34B096E2">
              <w:rPr>
                <w:b/>
                <w:bCs/>
                <w:color w:val="000000" w:themeColor="text1"/>
                <w:sz w:val="20"/>
              </w:rPr>
              <w:t>Összesen</w:t>
            </w:r>
          </w:p>
        </w:tc>
        <w:tc>
          <w:tcPr>
            <w:tcW w:w="1418" w:type="dxa"/>
            <w:tcBorders>
              <w:top w:val="single" w:sz="8" w:space="0" w:color="auto"/>
              <w:left w:val="nil"/>
              <w:bottom w:val="single" w:sz="8" w:space="0" w:color="auto"/>
              <w:right w:val="single" w:sz="4" w:space="0" w:color="auto"/>
            </w:tcBorders>
            <w:shd w:val="clear" w:color="auto" w:fill="auto"/>
            <w:noWrap/>
          </w:tcPr>
          <w:p w14:paraId="2312A22A" w14:textId="68031AF0" w:rsidR="008A613D" w:rsidRPr="008A613D" w:rsidRDefault="34B096E2" w:rsidP="34B096E2">
            <w:pPr>
              <w:overflowPunct w:val="0"/>
              <w:autoSpaceDE w:val="0"/>
              <w:autoSpaceDN w:val="0"/>
              <w:adjustRightInd w:val="0"/>
              <w:ind w:left="512" w:hanging="512"/>
              <w:jc w:val="right"/>
              <w:textAlignment w:val="baseline"/>
              <w:rPr>
                <w:b/>
                <w:bCs/>
                <w:sz w:val="20"/>
              </w:rPr>
            </w:pPr>
            <w:r w:rsidRPr="34B096E2">
              <w:rPr>
                <w:b/>
                <w:bCs/>
                <w:sz w:val="20"/>
              </w:rPr>
              <w:t>517 933,2</w:t>
            </w:r>
          </w:p>
        </w:tc>
        <w:tc>
          <w:tcPr>
            <w:tcW w:w="1417" w:type="dxa"/>
            <w:tcBorders>
              <w:top w:val="single" w:sz="8" w:space="0" w:color="auto"/>
              <w:left w:val="nil"/>
              <w:bottom w:val="single" w:sz="8" w:space="0" w:color="auto"/>
              <w:right w:val="single" w:sz="8" w:space="0" w:color="auto"/>
            </w:tcBorders>
            <w:shd w:val="clear" w:color="auto" w:fill="auto"/>
            <w:noWrap/>
          </w:tcPr>
          <w:p w14:paraId="1CE3DF8E" w14:textId="16C465F5" w:rsidR="008A613D" w:rsidRPr="008A613D" w:rsidRDefault="34B096E2" w:rsidP="34B096E2">
            <w:pPr>
              <w:overflowPunct w:val="0"/>
              <w:autoSpaceDE w:val="0"/>
              <w:autoSpaceDN w:val="0"/>
              <w:adjustRightInd w:val="0"/>
              <w:ind w:left="512" w:hanging="512"/>
              <w:jc w:val="right"/>
              <w:textAlignment w:val="baseline"/>
              <w:rPr>
                <w:b/>
                <w:bCs/>
                <w:sz w:val="20"/>
              </w:rPr>
            </w:pPr>
            <w:r w:rsidRPr="34B096E2">
              <w:rPr>
                <w:b/>
                <w:bCs/>
                <w:sz w:val="20"/>
              </w:rPr>
              <w:t>508 501,3</w:t>
            </w:r>
          </w:p>
        </w:tc>
        <w:tc>
          <w:tcPr>
            <w:tcW w:w="1276" w:type="dxa"/>
            <w:tcBorders>
              <w:top w:val="nil"/>
              <w:left w:val="nil"/>
              <w:bottom w:val="single" w:sz="8" w:space="0" w:color="auto"/>
              <w:right w:val="single" w:sz="4" w:space="0" w:color="auto"/>
            </w:tcBorders>
            <w:shd w:val="clear" w:color="auto" w:fill="auto"/>
            <w:noWrap/>
          </w:tcPr>
          <w:p w14:paraId="6D040A33" w14:textId="0D5EFAAB" w:rsidR="008A613D" w:rsidRPr="008A613D" w:rsidRDefault="34B096E2" w:rsidP="34B096E2">
            <w:pPr>
              <w:overflowPunct w:val="0"/>
              <w:autoSpaceDE w:val="0"/>
              <w:autoSpaceDN w:val="0"/>
              <w:adjustRightInd w:val="0"/>
              <w:ind w:left="512" w:hanging="512"/>
              <w:jc w:val="right"/>
              <w:textAlignment w:val="baseline"/>
              <w:rPr>
                <w:b/>
                <w:bCs/>
                <w:sz w:val="20"/>
              </w:rPr>
            </w:pPr>
            <w:r w:rsidRPr="34B096E2">
              <w:rPr>
                <w:b/>
                <w:bCs/>
                <w:sz w:val="20"/>
              </w:rPr>
              <w:t>-9 431,9</w:t>
            </w:r>
          </w:p>
        </w:tc>
        <w:tc>
          <w:tcPr>
            <w:tcW w:w="849" w:type="dxa"/>
            <w:tcBorders>
              <w:top w:val="single" w:sz="8" w:space="0" w:color="auto"/>
              <w:left w:val="nil"/>
              <w:bottom w:val="single" w:sz="8" w:space="0" w:color="auto"/>
              <w:right w:val="single" w:sz="8" w:space="0" w:color="auto"/>
            </w:tcBorders>
            <w:shd w:val="clear" w:color="auto" w:fill="auto"/>
            <w:noWrap/>
          </w:tcPr>
          <w:p w14:paraId="4F082888" w14:textId="4B60FD72" w:rsidR="008A613D" w:rsidRPr="008A613D" w:rsidRDefault="34B096E2" w:rsidP="34B096E2">
            <w:pPr>
              <w:overflowPunct w:val="0"/>
              <w:autoSpaceDE w:val="0"/>
              <w:autoSpaceDN w:val="0"/>
              <w:adjustRightInd w:val="0"/>
              <w:ind w:left="512" w:hanging="512"/>
              <w:jc w:val="right"/>
              <w:textAlignment w:val="baseline"/>
              <w:rPr>
                <w:b/>
                <w:bCs/>
                <w:sz w:val="20"/>
              </w:rPr>
            </w:pPr>
            <w:r w:rsidRPr="34B096E2">
              <w:rPr>
                <w:b/>
                <w:bCs/>
                <w:sz w:val="20"/>
              </w:rPr>
              <w:t>98,2</w:t>
            </w:r>
          </w:p>
        </w:tc>
      </w:tr>
    </w:tbl>
    <w:p w14:paraId="07F56E81" w14:textId="5005F987" w:rsidR="00395135" w:rsidRDefault="34B096E2" w:rsidP="00F9316E">
      <w:pPr>
        <w:spacing w:before="240"/>
      </w:pPr>
      <w:r>
        <w:t xml:space="preserve">A </w:t>
      </w:r>
      <w:r w:rsidRPr="34B096E2">
        <w:rPr>
          <w:b/>
          <w:bCs/>
        </w:rPr>
        <w:t xml:space="preserve">kisadózók tételes adójából </w:t>
      </w:r>
      <w:r>
        <w:t>származó bevétel 2020 első tizenegy hónapjában 140,8 milliárd forint volt, amely 2,4 milliárd forinttal maradt el az egy évvel korábbitól. Bár az adóalanyok számának jelentős mértékű bővüléséből adódóan a halmozott adóbevételek elméletileg meghaladnák az egy évvel korábbi, azonos időszaki összeget, a koronavírus</w:t>
      </w:r>
      <w:r w:rsidR="008A5050">
        <w:t>-</w:t>
      </w:r>
      <w:r>
        <w:t>járvány negatív gazdasági hatásai, valamint az azok mérséklése érdekében március-július időszakra bevezetett kedvezmények jelentős csökkenést eredményeztek a pénzforgalmi bevételekben.</w:t>
      </w:r>
    </w:p>
    <w:p w14:paraId="5E54FA10" w14:textId="41002EA8" w:rsidR="006A142D" w:rsidRDefault="34B096E2" w:rsidP="00F9316E">
      <w:pPr>
        <w:spacing w:before="240"/>
      </w:pPr>
      <w:r>
        <w:t xml:space="preserve">A </w:t>
      </w:r>
      <w:r w:rsidRPr="34B096E2">
        <w:rPr>
          <w:b/>
          <w:bCs/>
        </w:rPr>
        <w:t xml:space="preserve">kisvállalati adóból </w:t>
      </w:r>
      <w:r>
        <w:t>származó bevétel 2020 első tizenegy hónapjában 79,7 milliárd forint volt, mely 12,2 milliárd forinttal magasabb az egy évvel korábbinál, melynek oka az adóalanyok számának jelentős mértékű bővülése.</w:t>
      </w:r>
    </w:p>
    <w:p w14:paraId="3DC1E74F" w14:textId="3DD0C5F8" w:rsidR="004702E7" w:rsidRDefault="34B096E2" w:rsidP="004702E7">
      <w:pPr>
        <w:spacing w:before="240"/>
      </w:pPr>
      <w:r>
        <w:t>Az év első tizenegy hónapjában</w:t>
      </w:r>
      <w:r w:rsidRPr="34B096E2">
        <w:rPr>
          <w:b/>
          <w:bCs/>
        </w:rPr>
        <w:t xml:space="preserve"> általános forgalmi adó</w:t>
      </w:r>
      <w:r>
        <w:t>ból 4090,5 milliárd forint bevétele keletkezett a költségvetésnek, ami az egy évvel korábbi bevételtől 17,6 milliárd forinttal maradt el:</w:t>
      </w:r>
    </w:p>
    <w:tbl>
      <w:tblPr>
        <w:tblW w:w="6373" w:type="dxa"/>
        <w:jc w:val="center"/>
        <w:tblCellMar>
          <w:left w:w="70" w:type="dxa"/>
          <w:right w:w="70" w:type="dxa"/>
        </w:tblCellMar>
        <w:tblLook w:val="04A0" w:firstRow="1" w:lastRow="0" w:firstColumn="1" w:lastColumn="0" w:noHBand="0" w:noVBand="1"/>
      </w:tblPr>
      <w:tblGrid>
        <w:gridCol w:w="1448"/>
        <w:gridCol w:w="1383"/>
        <w:gridCol w:w="1287"/>
        <w:gridCol w:w="905"/>
        <w:gridCol w:w="1350"/>
      </w:tblGrid>
      <w:tr w:rsidR="004702E7" w:rsidRPr="00DB1A96" w14:paraId="2CDE1D04" w14:textId="77777777" w:rsidTr="34B096E2">
        <w:trPr>
          <w:trHeight w:val="255"/>
          <w:jc w:val="center"/>
        </w:trPr>
        <w:tc>
          <w:tcPr>
            <w:tcW w:w="6373" w:type="dxa"/>
            <w:gridSpan w:val="5"/>
            <w:tcBorders>
              <w:top w:val="nil"/>
              <w:left w:val="nil"/>
              <w:bottom w:val="nil"/>
              <w:right w:val="nil"/>
            </w:tcBorders>
            <w:shd w:val="clear" w:color="auto" w:fill="auto"/>
            <w:noWrap/>
            <w:vAlign w:val="bottom"/>
            <w:hideMark/>
          </w:tcPr>
          <w:p w14:paraId="193F4F9E" w14:textId="77777777" w:rsidR="004702E7" w:rsidRPr="00DB1A96" w:rsidRDefault="34B096E2" w:rsidP="34B096E2">
            <w:pPr>
              <w:jc w:val="center"/>
              <w:rPr>
                <w:b/>
                <w:bCs/>
                <w:color w:val="000000" w:themeColor="text1"/>
                <w:sz w:val="20"/>
              </w:rPr>
            </w:pPr>
            <w:r w:rsidRPr="34B096E2">
              <w:rPr>
                <w:b/>
                <w:bCs/>
                <w:color w:val="000000" w:themeColor="text1"/>
                <w:sz w:val="20"/>
              </w:rPr>
              <w:t>Általános forgalmi adó bevétel alakulása (milliárd forint)</w:t>
            </w:r>
          </w:p>
        </w:tc>
      </w:tr>
      <w:tr w:rsidR="004702E7" w:rsidRPr="00DB1A96" w14:paraId="6088BDF7" w14:textId="77777777" w:rsidTr="34B096E2">
        <w:trPr>
          <w:trHeight w:val="465"/>
          <w:jc w:val="center"/>
        </w:trPr>
        <w:tc>
          <w:tcPr>
            <w:tcW w:w="1448" w:type="dxa"/>
            <w:vMerge w:val="restart"/>
            <w:tcBorders>
              <w:top w:val="single" w:sz="8" w:space="0" w:color="auto"/>
              <w:left w:val="single" w:sz="8" w:space="0" w:color="auto"/>
              <w:bottom w:val="single" w:sz="8" w:space="0" w:color="000000" w:themeColor="text1"/>
              <w:right w:val="single" w:sz="8" w:space="0" w:color="auto"/>
            </w:tcBorders>
            <w:shd w:val="clear" w:color="auto" w:fill="auto"/>
            <w:noWrap/>
            <w:vAlign w:val="center"/>
            <w:hideMark/>
          </w:tcPr>
          <w:p w14:paraId="600BFA44" w14:textId="77777777" w:rsidR="004702E7" w:rsidRPr="00DB1A96" w:rsidRDefault="34B096E2" w:rsidP="34B096E2">
            <w:pPr>
              <w:spacing w:after="0"/>
              <w:jc w:val="center"/>
              <w:rPr>
                <w:b/>
                <w:bCs/>
                <w:color w:val="000000" w:themeColor="text1"/>
                <w:sz w:val="20"/>
              </w:rPr>
            </w:pPr>
            <w:r w:rsidRPr="34B096E2">
              <w:rPr>
                <w:b/>
                <w:bCs/>
                <w:color w:val="000000" w:themeColor="text1"/>
                <w:sz w:val="20"/>
              </w:rPr>
              <w:t>Megnevezés</w:t>
            </w:r>
          </w:p>
        </w:tc>
        <w:tc>
          <w:tcPr>
            <w:tcW w:w="1383"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468CFE69" w14:textId="0D4788F3" w:rsidR="004702E7" w:rsidRPr="00DB1A96" w:rsidRDefault="34B096E2" w:rsidP="34B096E2">
            <w:pPr>
              <w:spacing w:after="0"/>
              <w:jc w:val="center"/>
              <w:rPr>
                <w:b/>
                <w:bCs/>
                <w:sz w:val="20"/>
              </w:rPr>
            </w:pPr>
            <w:r w:rsidRPr="34B096E2">
              <w:rPr>
                <w:b/>
                <w:bCs/>
                <w:sz w:val="20"/>
              </w:rPr>
              <w:t>2019.</w:t>
            </w:r>
            <w:r w:rsidR="48F15973">
              <w:br/>
            </w:r>
            <w:r w:rsidRPr="34B096E2">
              <w:rPr>
                <w:b/>
                <w:bCs/>
                <w:sz w:val="20"/>
              </w:rPr>
              <w:t>I-XI. hó</w:t>
            </w:r>
          </w:p>
        </w:tc>
        <w:tc>
          <w:tcPr>
            <w:tcW w:w="1287"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2A08D7B7" w14:textId="6A38BBD3" w:rsidR="004702E7" w:rsidRPr="00DB1A96" w:rsidRDefault="34B096E2" w:rsidP="34B096E2">
            <w:pPr>
              <w:spacing w:after="0"/>
              <w:jc w:val="center"/>
              <w:rPr>
                <w:b/>
                <w:bCs/>
                <w:sz w:val="20"/>
              </w:rPr>
            </w:pPr>
            <w:r w:rsidRPr="34B096E2">
              <w:rPr>
                <w:b/>
                <w:bCs/>
                <w:sz w:val="20"/>
              </w:rPr>
              <w:t>2020.</w:t>
            </w:r>
            <w:r w:rsidR="48F15973">
              <w:br/>
            </w:r>
            <w:r w:rsidRPr="34B096E2">
              <w:rPr>
                <w:b/>
                <w:bCs/>
                <w:sz w:val="20"/>
              </w:rPr>
              <w:t>I-XI. hó</w:t>
            </w:r>
          </w:p>
        </w:tc>
        <w:tc>
          <w:tcPr>
            <w:tcW w:w="2255" w:type="dxa"/>
            <w:gridSpan w:val="2"/>
            <w:tcBorders>
              <w:top w:val="single" w:sz="8" w:space="0" w:color="auto"/>
              <w:left w:val="nil"/>
              <w:bottom w:val="single" w:sz="4" w:space="0" w:color="auto"/>
              <w:right w:val="single" w:sz="8" w:space="0" w:color="000000" w:themeColor="text1"/>
            </w:tcBorders>
            <w:shd w:val="clear" w:color="auto" w:fill="auto"/>
            <w:noWrap/>
            <w:vAlign w:val="center"/>
            <w:hideMark/>
          </w:tcPr>
          <w:p w14:paraId="30484B97" w14:textId="77777777" w:rsidR="004702E7" w:rsidRPr="00DB1A96" w:rsidRDefault="34B096E2" w:rsidP="34B096E2">
            <w:pPr>
              <w:spacing w:after="0"/>
              <w:jc w:val="center"/>
              <w:rPr>
                <w:b/>
                <w:bCs/>
                <w:color w:val="000000" w:themeColor="text1"/>
                <w:sz w:val="20"/>
              </w:rPr>
            </w:pPr>
            <w:r w:rsidRPr="34B096E2">
              <w:rPr>
                <w:b/>
                <w:bCs/>
                <w:color w:val="000000" w:themeColor="text1"/>
                <w:sz w:val="20"/>
              </w:rPr>
              <w:t>Eltérés</w:t>
            </w:r>
          </w:p>
        </w:tc>
      </w:tr>
      <w:tr w:rsidR="004702E7" w:rsidRPr="00DB1A96" w14:paraId="6FBF33D6" w14:textId="77777777" w:rsidTr="34B096E2">
        <w:trPr>
          <w:trHeight w:val="465"/>
          <w:jc w:val="center"/>
        </w:trPr>
        <w:tc>
          <w:tcPr>
            <w:tcW w:w="1448" w:type="dxa"/>
            <w:vMerge/>
            <w:tcBorders>
              <w:top w:val="single" w:sz="8" w:space="0" w:color="auto"/>
              <w:left w:val="single" w:sz="8" w:space="0" w:color="auto"/>
              <w:bottom w:val="single" w:sz="8" w:space="0" w:color="000000"/>
              <w:right w:val="single" w:sz="8" w:space="0" w:color="auto"/>
            </w:tcBorders>
            <w:vAlign w:val="center"/>
            <w:hideMark/>
          </w:tcPr>
          <w:p w14:paraId="78EC8BF6" w14:textId="77777777" w:rsidR="004702E7" w:rsidRPr="00DB1A96" w:rsidRDefault="004702E7" w:rsidP="009E7E25">
            <w:pPr>
              <w:spacing w:after="0"/>
              <w:jc w:val="left"/>
              <w:rPr>
                <w:b/>
                <w:bCs/>
                <w:color w:val="000000"/>
                <w:sz w:val="20"/>
              </w:rPr>
            </w:pPr>
          </w:p>
        </w:tc>
        <w:tc>
          <w:tcPr>
            <w:tcW w:w="1383" w:type="dxa"/>
            <w:vMerge/>
            <w:tcBorders>
              <w:top w:val="single" w:sz="8" w:space="0" w:color="auto"/>
              <w:left w:val="single" w:sz="8" w:space="0" w:color="auto"/>
              <w:bottom w:val="single" w:sz="8" w:space="0" w:color="000000"/>
              <w:right w:val="single" w:sz="8" w:space="0" w:color="auto"/>
            </w:tcBorders>
            <w:vAlign w:val="center"/>
            <w:hideMark/>
          </w:tcPr>
          <w:p w14:paraId="25C25767" w14:textId="77777777" w:rsidR="004702E7" w:rsidRPr="00DB1A96" w:rsidRDefault="004702E7" w:rsidP="009E7E25">
            <w:pPr>
              <w:spacing w:after="0"/>
              <w:jc w:val="left"/>
              <w:rPr>
                <w:b/>
                <w:bCs/>
                <w:sz w:val="20"/>
              </w:rPr>
            </w:pPr>
          </w:p>
        </w:tc>
        <w:tc>
          <w:tcPr>
            <w:tcW w:w="1287" w:type="dxa"/>
            <w:vMerge/>
            <w:tcBorders>
              <w:top w:val="single" w:sz="8" w:space="0" w:color="auto"/>
              <w:left w:val="single" w:sz="8" w:space="0" w:color="auto"/>
              <w:bottom w:val="single" w:sz="8" w:space="0" w:color="000000"/>
              <w:right w:val="single" w:sz="8" w:space="0" w:color="auto"/>
            </w:tcBorders>
            <w:vAlign w:val="center"/>
            <w:hideMark/>
          </w:tcPr>
          <w:p w14:paraId="2B9FC7C9" w14:textId="77777777" w:rsidR="004702E7" w:rsidRPr="00DB1A96" w:rsidRDefault="004702E7" w:rsidP="009E7E25">
            <w:pPr>
              <w:spacing w:after="0"/>
              <w:jc w:val="left"/>
              <w:rPr>
                <w:b/>
                <w:bCs/>
                <w:sz w:val="20"/>
              </w:rPr>
            </w:pPr>
          </w:p>
        </w:tc>
        <w:tc>
          <w:tcPr>
            <w:tcW w:w="905" w:type="dxa"/>
            <w:tcBorders>
              <w:top w:val="nil"/>
              <w:left w:val="nil"/>
              <w:bottom w:val="single" w:sz="8" w:space="0" w:color="auto"/>
              <w:right w:val="single" w:sz="4" w:space="0" w:color="auto"/>
            </w:tcBorders>
            <w:shd w:val="clear" w:color="auto" w:fill="auto"/>
            <w:noWrap/>
            <w:vAlign w:val="center"/>
            <w:hideMark/>
          </w:tcPr>
          <w:p w14:paraId="2BC03ACB" w14:textId="77777777" w:rsidR="004702E7" w:rsidRPr="00DB1A96" w:rsidRDefault="34B096E2" w:rsidP="34B096E2">
            <w:pPr>
              <w:spacing w:after="0"/>
              <w:jc w:val="center"/>
              <w:rPr>
                <w:b/>
                <w:bCs/>
                <w:color w:val="000000" w:themeColor="text1"/>
                <w:sz w:val="20"/>
              </w:rPr>
            </w:pPr>
            <w:r w:rsidRPr="34B096E2">
              <w:rPr>
                <w:b/>
                <w:bCs/>
                <w:color w:val="000000" w:themeColor="text1"/>
                <w:sz w:val="20"/>
              </w:rPr>
              <w:t>Mrd Ft</w:t>
            </w:r>
          </w:p>
        </w:tc>
        <w:tc>
          <w:tcPr>
            <w:tcW w:w="1350" w:type="dxa"/>
            <w:tcBorders>
              <w:top w:val="nil"/>
              <w:left w:val="nil"/>
              <w:bottom w:val="single" w:sz="8" w:space="0" w:color="auto"/>
              <w:right w:val="single" w:sz="8" w:space="0" w:color="auto"/>
            </w:tcBorders>
            <w:shd w:val="clear" w:color="auto" w:fill="auto"/>
            <w:noWrap/>
            <w:vAlign w:val="center"/>
            <w:hideMark/>
          </w:tcPr>
          <w:p w14:paraId="089C503F" w14:textId="77777777" w:rsidR="004702E7" w:rsidRPr="00DB1A96" w:rsidRDefault="34B096E2" w:rsidP="34B096E2">
            <w:pPr>
              <w:spacing w:after="0"/>
              <w:jc w:val="center"/>
              <w:rPr>
                <w:b/>
                <w:bCs/>
                <w:color w:val="000000" w:themeColor="text1"/>
                <w:sz w:val="20"/>
              </w:rPr>
            </w:pPr>
            <w:r w:rsidRPr="34B096E2">
              <w:rPr>
                <w:b/>
                <w:bCs/>
                <w:color w:val="000000" w:themeColor="text1"/>
                <w:sz w:val="20"/>
              </w:rPr>
              <w:t>%</w:t>
            </w:r>
          </w:p>
        </w:tc>
      </w:tr>
      <w:tr w:rsidR="00E15D6A" w:rsidRPr="00DB1A96" w14:paraId="696B4B9D" w14:textId="77777777" w:rsidTr="34B096E2">
        <w:trPr>
          <w:trHeight w:val="270"/>
          <w:jc w:val="center"/>
        </w:trPr>
        <w:tc>
          <w:tcPr>
            <w:tcW w:w="1448" w:type="dxa"/>
            <w:tcBorders>
              <w:top w:val="nil"/>
              <w:left w:val="single" w:sz="8" w:space="0" w:color="auto"/>
              <w:bottom w:val="single" w:sz="4" w:space="0" w:color="auto"/>
              <w:right w:val="single" w:sz="8" w:space="0" w:color="auto"/>
            </w:tcBorders>
            <w:shd w:val="clear" w:color="auto" w:fill="auto"/>
            <w:noWrap/>
            <w:vAlign w:val="center"/>
            <w:hideMark/>
          </w:tcPr>
          <w:p w14:paraId="1534865D" w14:textId="32DE54EF" w:rsidR="00E15D6A" w:rsidRPr="00DB1A96" w:rsidRDefault="34B096E2" w:rsidP="34B096E2">
            <w:pPr>
              <w:spacing w:after="0"/>
              <w:jc w:val="center"/>
              <w:rPr>
                <w:b/>
                <w:bCs/>
                <w:sz w:val="20"/>
              </w:rPr>
            </w:pPr>
            <w:r w:rsidRPr="34B096E2">
              <w:rPr>
                <w:b/>
                <w:bCs/>
                <w:sz w:val="20"/>
              </w:rPr>
              <w:t>Befizetés</w:t>
            </w:r>
          </w:p>
        </w:tc>
        <w:tc>
          <w:tcPr>
            <w:tcW w:w="1383" w:type="dxa"/>
            <w:tcBorders>
              <w:top w:val="nil"/>
              <w:left w:val="nil"/>
              <w:bottom w:val="single" w:sz="4" w:space="0" w:color="auto"/>
              <w:right w:val="single" w:sz="8" w:space="0" w:color="auto"/>
            </w:tcBorders>
            <w:shd w:val="clear" w:color="auto" w:fill="auto"/>
            <w:noWrap/>
          </w:tcPr>
          <w:p w14:paraId="1B136DBC" w14:textId="4871C3B0" w:rsidR="00E15D6A" w:rsidRPr="00E15D6A" w:rsidRDefault="34B096E2" w:rsidP="34B096E2">
            <w:pPr>
              <w:spacing w:after="0"/>
              <w:jc w:val="right"/>
              <w:rPr>
                <w:sz w:val="20"/>
              </w:rPr>
            </w:pPr>
            <w:r w:rsidRPr="34B096E2">
              <w:rPr>
                <w:sz w:val="20"/>
              </w:rPr>
              <w:t>7011,6</w:t>
            </w:r>
          </w:p>
        </w:tc>
        <w:tc>
          <w:tcPr>
            <w:tcW w:w="1287" w:type="dxa"/>
            <w:tcBorders>
              <w:top w:val="nil"/>
              <w:left w:val="nil"/>
              <w:bottom w:val="single" w:sz="4" w:space="0" w:color="auto"/>
              <w:right w:val="single" w:sz="8" w:space="0" w:color="auto"/>
            </w:tcBorders>
            <w:shd w:val="clear" w:color="auto" w:fill="auto"/>
            <w:noWrap/>
          </w:tcPr>
          <w:p w14:paraId="536597DE" w14:textId="24F8C1AD" w:rsidR="00E15D6A" w:rsidRPr="00E15D6A" w:rsidRDefault="34B096E2" w:rsidP="34B096E2">
            <w:pPr>
              <w:spacing w:after="0"/>
              <w:jc w:val="right"/>
              <w:rPr>
                <w:sz w:val="20"/>
              </w:rPr>
            </w:pPr>
            <w:r w:rsidRPr="34B096E2">
              <w:rPr>
                <w:sz w:val="20"/>
              </w:rPr>
              <w:t>7117,9</w:t>
            </w:r>
          </w:p>
        </w:tc>
        <w:tc>
          <w:tcPr>
            <w:tcW w:w="905" w:type="dxa"/>
            <w:tcBorders>
              <w:top w:val="nil"/>
              <w:left w:val="nil"/>
              <w:bottom w:val="single" w:sz="4" w:space="0" w:color="auto"/>
              <w:right w:val="single" w:sz="4" w:space="0" w:color="auto"/>
            </w:tcBorders>
            <w:shd w:val="clear" w:color="auto" w:fill="auto"/>
            <w:noWrap/>
          </w:tcPr>
          <w:p w14:paraId="7B7FFFEE" w14:textId="62D5D1FE" w:rsidR="00E15D6A" w:rsidRPr="00E15D6A" w:rsidRDefault="34B096E2" w:rsidP="34B096E2">
            <w:pPr>
              <w:spacing w:after="0"/>
              <w:jc w:val="right"/>
              <w:rPr>
                <w:sz w:val="20"/>
              </w:rPr>
            </w:pPr>
            <w:r w:rsidRPr="34B096E2">
              <w:rPr>
                <w:sz w:val="20"/>
              </w:rPr>
              <w:t>106,3</w:t>
            </w:r>
          </w:p>
        </w:tc>
        <w:tc>
          <w:tcPr>
            <w:tcW w:w="1350" w:type="dxa"/>
            <w:tcBorders>
              <w:top w:val="nil"/>
              <w:left w:val="nil"/>
              <w:bottom w:val="single" w:sz="4" w:space="0" w:color="auto"/>
              <w:right w:val="single" w:sz="8" w:space="0" w:color="auto"/>
            </w:tcBorders>
            <w:shd w:val="clear" w:color="auto" w:fill="auto"/>
            <w:noWrap/>
          </w:tcPr>
          <w:p w14:paraId="788A36F5" w14:textId="7196ACE4" w:rsidR="00E15D6A" w:rsidRPr="00E15D6A" w:rsidRDefault="34B096E2" w:rsidP="34B096E2">
            <w:pPr>
              <w:spacing w:after="0"/>
              <w:jc w:val="right"/>
              <w:rPr>
                <w:color w:val="000000" w:themeColor="text1"/>
                <w:sz w:val="20"/>
              </w:rPr>
            </w:pPr>
            <w:r w:rsidRPr="34B096E2">
              <w:rPr>
                <w:sz w:val="20"/>
              </w:rPr>
              <w:t>101,5</w:t>
            </w:r>
          </w:p>
        </w:tc>
      </w:tr>
      <w:tr w:rsidR="00E15D6A" w:rsidRPr="00DB1A96" w14:paraId="6B18998E" w14:textId="77777777" w:rsidTr="34B096E2">
        <w:trPr>
          <w:trHeight w:val="270"/>
          <w:jc w:val="center"/>
        </w:trPr>
        <w:tc>
          <w:tcPr>
            <w:tcW w:w="1448" w:type="dxa"/>
            <w:tcBorders>
              <w:top w:val="nil"/>
              <w:left w:val="single" w:sz="8" w:space="0" w:color="auto"/>
              <w:bottom w:val="single" w:sz="4" w:space="0" w:color="auto"/>
              <w:right w:val="single" w:sz="8" w:space="0" w:color="auto"/>
            </w:tcBorders>
            <w:shd w:val="clear" w:color="auto" w:fill="auto"/>
            <w:noWrap/>
            <w:vAlign w:val="center"/>
            <w:hideMark/>
          </w:tcPr>
          <w:p w14:paraId="5440B48E" w14:textId="05DA175E" w:rsidR="00E15D6A" w:rsidRPr="00DB1A96" w:rsidRDefault="34B096E2" w:rsidP="34B096E2">
            <w:pPr>
              <w:spacing w:after="0"/>
              <w:jc w:val="center"/>
              <w:rPr>
                <w:b/>
                <w:bCs/>
                <w:sz w:val="20"/>
              </w:rPr>
            </w:pPr>
            <w:r w:rsidRPr="34B096E2">
              <w:rPr>
                <w:b/>
                <w:bCs/>
                <w:sz w:val="20"/>
              </w:rPr>
              <w:t>Kiutalás</w:t>
            </w:r>
          </w:p>
        </w:tc>
        <w:tc>
          <w:tcPr>
            <w:tcW w:w="1383" w:type="dxa"/>
            <w:tcBorders>
              <w:top w:val="nil"/>
              <w:left w:val="nil"/>
              <w:bottom w:val="single" w:sz="4" w:space="0" w:color="auto"/>
              <w:right w:val="single" w:sz="8" w:space="0" w:color="auto"/>
            </w:tcBorders>
            <w:shd w:val="clear" w:color="auto" w:fill="auto"/>
            <w:noWrap/>
          </w:tcPr>
          <w:p w14:paraId="515B825A" w14:textId="3AAAFD5D" w:rsidR="00E15D6A" w:rsidRPr="00E15D6A" w:rsidRDefault="34B096E2" w:rsidP="34B096E2">
            <w:pPr>
              <w:spacing w:after="0"/>
              <w:jc w:val="right"/>
              <w:rPr>
                <w:sz w:val="20"/>
              </w:rPr>
            </w:pPr>
            <w:r w:rsidRPr="34B096E2">
              <w:rPr>
                <w:sz w:val="20"/>
              </w:rPr>
              <w:t>2903,5</w:t>
            </w:r>
          </w:p>
        </w:tc>
        <w:tc>
          <w:tcPr>
            <w:tcW w:w="1287" w:type="dxa"/>
            <w:tcBorders>
              <w:top w:val="nil"/>
              <w:left w:val="nil"/>
              <w:bottom w:val="single" w:sz="4" w:space="0" w:color="auto"/>
              <w:right w:val="single" w:sz="8" w:space="0" w:color="auto"/>
            </w:tcBorders>
            <w:shd w:val="clear" w:color="auto" w:fill="auto"/>
            <w:noWrap/>
          </w:tcPr>
          <w:p w14:paraId="3EA49D92" w14:textId="7B32F327" w:rsidR="00E15D6A" w:rsidRPr="00E15D6A" w:rsidRDefault="34B096E2" w:rsidP="34B096E2">
            <w:pPr>
              <w:spacing w:after="0"/>
              <w:jc w:val="right"/>
              <w:rPr>
                <w:sz w:val="20"/>
              </w:rPr>
            </w:pPr>
            <w:r w:rsidRPr="34B096E2">
              <w:rPr>
                <w:sz w:val="20"/>
              </w:rPr>
              <w:t>3027,4</w:t>
            </w:r>
          </w:p>
        </w:tc>
        <w:tc>
          <w:tcPr>
            <w:tcW w:w="905" w:type="dxa"/>
            <w:tcBorders>
              <w:top w:val="nil"/>
              <w:left w:val="nil"/>
              <w:bottom w:val="single" w:sz="4" w:space="0" w:color="auto"/>
              <w:right w:val="single" w:sz="4" w:space="0" w:color="auto"/>
            </w:tcBorders>
            <w:shd w:val="clear" w:color="auto" w:fill="auto"/>
            <w:noWrap/>
          </w:tcPr>
          <w:p w14:paraId="4C3DD2F0" w14:textId="5ED09AD8" w:rsidR="00E15D6A" w:rsidRPr="00E15D6A" w:rsidRDefault="34B096E2" w:rsidP="34B096E2">
            <w:pPr>
              <w:spacing w:after="0"/>
              <w:jc w:val="right"/>
              <w:rPr>
                <w:sz w:val="20"/>
              </w:rPr>
            </w:pPr>
            <w:r w:rsidRPr="34B096E2">
              <w:rPr>
                <w:sz w:val="20"/>
              </w:rPr>
              <w:t>123,9</w:t>
            </w:r>
          </w:p>
        </w:tc>
        <w:tc>
          <w:tcPr>
            <w:tcW w:w="1350" w:type="dxa"/>
            <w:tcBorders>
              <w:top w:val="nil"/>
              <w:left w:val="nil"/>
              <w:bottom w:val="single" w:sz="4" w:space="0" w:color="auto"/>
              <w:right w:val="single" w:sz="8" w:space="0" w:color="auto"/>
            </w:tcBorders>
            <w:shd w:val="clear" w:color="auto" w:fill="auto"/>
            <w:noWrap/>
          </w:tcPr>
          <w:p w14:paraId="7AD2266A" w14:textId="0F1F3306" w:rsidR="00E15D6A" w:rsidRPr="00E15D6A" w:rsidRDefault="34B096E2" w:rsidP="34B096E2">
            <w:pPr>
              <w:spacing w:after="0"/>
              <w:jc w:val="right"/>
              <w:rPr>
                <w:color w:val="000000" w:themeColor="text1"/>
                <w:sz w:val="20"/>
              </w:rPr>
            </w:pPr>
            <w:r w:rsidRPr="34B096E2">
              <w:rPr>
                <w:sz w:val="20"/>
              </w:rPr>
              <w:t>104,3</w:t>
            </w:r>
          </w:p>
        </w:tc>
      </w:tr>
      <w:tr w:rsidR="00E15D6A" w:rsidRPr="003401B6" w14:paraId="6B4C6B67" w14:textId="77777777" w:rsidTr="34B096E2">
        <w:trPr>
          <w:trHeight w:val="270"/>
          <w:jc w:val="center"/>
        </w:trPr>
        <w:tc>
          <w:tcPr>
            <w:tcW w:w="1448" w:type="dxa"/>
            <w:tcBorders>
              <w:top w:val="nil"/>
              <w:left w:val="single" w:sz="8" w:space="0" w:color="auto"/>
              <w:bottom w:val="single" w:sz="8" w:space="0" w:color="auto"/>
              <w:right w:val="single" w:sz="8" w:space="0" w:color="auto"/>
            </w:tcBorders>
            <w:shd w:val="clear" w:color="auto" w:fill="auto"/>
            <w:noWrap/>
            <w:vAlign w:val="center"/>
            <w:hideMark/>
          </w:tcPr>
          <w:p w14:paraId="29C7CFE7" w14:textId="4EECC277" w:rsidR="00E15D6A" w:rsidRPr="00DB1A96" w:rsidRDefault="34B096E2" w:rsidP="34B096E2">
            <w:pPr>
              <w:spacing w:after="0"/>
              <w:jc w:val="center"/>
              <w:rPr>
                <w:b/>
                <w:bCs/>
                <w:sz w:val="20"/>
              </w:rPr>
            </w:pPr>
            <w:r w:rsidRPr="34B096E2">
              <w:rPr>
                <w:b/>
                <w:bCs/>
                <w:sz w:val="20"/>
              </w:rPr>
              <w:t>Egyenleg</w:t>
            </w:r>
          </w:p>
        </w:tc>
        <w:tc>
          <w:tcPr>
            <w:tcW w:w="1383" w:type="dxa"/>
            <w:tcBorders>
              <w:top w:val="nil"/>
              <w:left w:val="nil"/>
              <w:bottom w:val="single" w:sz="8" w:space="0" w:color="auto"/>
              <w:right w:val="single" w:sz="8" w:space="0" w:color="auto"/>
            </w:tcBorders>
            <w:shd w:val="clear" w:color="auto" w:fill="auto"/>
            <w:noWrap/>
          </w:tcPr>
          <w:p w14:paraId="717F995F" w14:textId="6903DDED" w:rsidR="00E15D6A" w:rsidRPr="00E15D6A" w:rsidRDefault="34B096E2" w:rsidP="34B096E2">
            <w:pPr>
              <w:spacing w:after="0"/>
              <w:jc w:val="right"/>
              <w:rPr>
                <w:b/>
                <w:bCs/>
                <w:sz w:val="20"/>
              </w:rPr>
            </w:pPr>
            <w:r w:rsidRPr="34B096E2">
              <w:rPr>
                <w:b/>
                <w:bCs/>
                <w:sz w:val="20"/>
              </w:rPr>
              <w:t>4108,1</w:t>
            </w:r>
          </w:p>
        </w:tc>
        <w:tc>
          <w:tcPr>
            <w:tcW w:w="1287" w:type="dxa"/>
            <w:tcBorders>
              <w:top w:val="nil"/>
              <w:left w:val="nil"/>
              <w:bottom w:val="single" w:sz="8" w:space="0" w:color="auto"/>
              <w:right w:val="single" w:sz="8" w:space="0" w:color="auto"/>
            </w:tcBorders>
            <w:shd w:val="clear" w:color="auto" w:fill="auto"/>
            <w:noWrap/>
          </w:tcPr>
          <w:p w14:paraId="472BC427" w14:textId="5CBC0019" w:rsidR="00E15D6A" w:rsidRPr="00E15D6A" w:rsidRDefault="34B096E2" w:rsidP="34B096E2">
            <w:pPr>
              <w:spacing w:after="0"/>
              <w:jc w:val="right"/>
              <w:rPr>
                <w:b/>
                <w:bCs/>
                <w:sz w:val="20"/>
              </w:rPr>
            </w:pPr>
            <w:r w:rsidRPr="34B096E2">
              <w:rPr>
                <w:b/>
                <w:bCs/>
                <w:sz w:val="20"/>
              </w:rPr>
              <w:t>4090,5</w:t>
            </w:r>
          </w:p>
        </w:tc>
        <w:tc>
          <w:tcPr>
            <w:tcW w:w="905" w:type="dxa"/>
            <w:tcBorders>
              <w:top w:val="nil"/>
              <w:left w:val="nil"/>
              <w:bottom w:val="single" w:sz="8" w:space="0" w:color="auto"/>
              <w:right w:val="single" w:sz="4" w:space="0" w:color="auto"/>
            </w:tcBorders>
            <w:shd w:val="clear" w:color="auto" w:fill="auto"/>
            <w:noWrap/>
          </w:tcPr>
          <w:p w14:paraId="7510E2B5" w14:textId="02DC21FB" w:rsidR="00E15D6A" w:rsidRPr="00E15D6A" w:rsidRDefault="34B096E2" w:rsidP="34B096E2">
            <w:pPr>
              <w:spacing w:after="0"/>
              <w:jc w:val="right"/>
              <w:rPr>
                <w:b/>
                <w:bCs/>
                <w:sz w:val="20"/>
              </w:rPr>
            </w:pPr>
            <w:r w:rsidRPr="34B096E2">
              <w:rPr>
                <w:b/>
                <w:bCs/>
                <w:sz w:val="20"/>
              </w:rPr>
              <w:t>-17,6</w:t>
            </w:r>
          </w:p>
        </w:tc>
        <w:tc>
          <w:tcPr>
            <w:tcW w:w="1350" w:type="dxa"/>
            <w:tcBorders>
              <w:top w:val="nil"/>
              <w:left w:val="nil"/>
              <w:bottom w:val="single" w:sz="8" w:space="0" w:color="auto"/>
              <w:right w:val="single" w:sz="8" w:space="0" w:color="auto"/>
            </w:tcBorders>
            <w:shd w:val="clear" w:color="auto" w:fill="auto"/>
            <w:noWrap/>
          </w:tcPr>
          <w:p w14:paraId="23D63217" w14:textId="537DC0BA" w:rsidR="00E15D6A" w:rsidRPr="00E15D6A" w:rsidRDefault="34B096E2" w:rsidP="34B096E2">
            <w:pPr>
              <w:spacing w:after="0"/>
              <w:jc w:val="right"/>
              <w:rPr>
                <w:b/>
                <w:bCs/>
                <w:color w:val="000000" w:themeColor="text1"/>
                <w:sz w:val="20"/>
              </w:rPr>
            </w:pPr>
            <w:r w:rsidRPr="34B096E2">
              <w:rPr>
                <w:b/>
                <w:bCs/>
                <w:sz w:val="20"/>
              </w:rPr>
              <w:t>99,6</w:t>
            </w:r>
          </w:p>
        </w:tc>
      </w:tr>
    </w:tbl>
    <w:p w14:paraId="2CDAF008" w14:textId="60BA2B56" w:rsidR="004702E7" w:rsidRDefault="34B096E2" w:rsidP="003401B6">
      <w:pPr>
        <w:spacing w:before="240"/>
      </w:pPr>
      <w:r>
        <w:t xml:space="preserve">A belföldi, a dohánytermékek utáni és az </w:t>
      </w:r>
      <w:proofErr w:type="gramStart"/>
      <w:r>
        <w:t>import</w:t>
      </w:r>
      <w:proofErr w:type="gramEnd"/>
      <w:r>
        <w:t xml:space="preserve"> </w:t>
      </w:r>
      <w:proofErr w:type="spellStart"/>
      <w:r>
        <w:t>áfabevétel</w:t>
      </w:r>
      <w:proofErr w:type="spellEnd"/>
      <w:r>
        <w:t xml:space="preserve"> egyaránt növekedett. A belföldi befizetések alacsonyabb növekedési üteme tükrözi, hogy a koronavírus</w:t>
      </w:r>
      <w:r w:rsidR="004851BC">
        <w:t>-</w:t>
      </w:r>
      <w:r>
        <w:t xml:space="preserve">járvány miatt számos ágazatban visszaesés következett be. A dohánytermékek utáni bevételek előző évhez viszonyított növekedését a 2019. januári és júliusi, valamint a 2020. januári és júliusi jövedéki adómérték-emelés, valamint a forgalomnövekedés határozza meg. Az </w:t>
      </w:r>
      <w:proofErr w:type="gramStart"/>
      <w:r>
        <w:t>import</w:t>
      </w:r>
      <w:proofErr w:type="gramEnd"/>
      <w:r>
        <w:t xml:space="preserve"> utáni befizetések növekedéséhez hozzájárult a koronavírus</w:t>
      </w:r>
      <w:r w:rsidR="00533339">
        <w:t>-járványhoz</w:t>
      </w:r>
      <w:r>
        <w:t xml:space="preserve"> kapcsolódó segédeszközök állami beszerzése után keletkező adókötelezettség. A kiutalások </w:t>
      </w:r>
      <w:r>
        <w:lastRenderedPageBreak/>
        <w:t>növekedéséhez hozzájárult, hogy a némileg magasabb befizetésekhez magasabb kiutalások társulnak, valamint, hogy az adóhatóság a kkv-k számára elsőként az áprilisi bevallási időszakra vonatkozóan rövidebb kiutalási határidőt alkalmaz a visszaigényelhető áfa tekintetében (normál adózók esetében 75 napról 30 napra és a megbízható adózók esetében 30 napról 20 napra csökkent a kiutalási határidő).</w:t>
      </w:r>
    </w:p>
    <w:p w14:paraId="19EA34F5" w14:textId="65650B35" w:rsidR="00D22B44" w:rsidRDefault="00B2129B" w:rsidP="40B3576B">
      <w:pPr>
        <w:spacing w:before="240"/>
      </w:pPr>
      <w:r>
        <w:rPr>
          <w:noProof/>
        </w:rPr>
        <w:drawing>
          <wp:inline distT="0" distB="0" distL="0" distR="0" wp14:anchorId="706BD94E" wp14:editId="4BE783BD">
            <wp:extent cx="5940425" cy="3864610"/>
            <wp:effectExtent l="0" t="0" r="3175" b="254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áfa.PNG"/>
                    <pic:cNvPicPr/>
                  </pic:nvPicPr>
                  <pic:blipFill>
                    <a:blip r:embed="rId16">
                      <a:extLst>
                        <a:ext uri="{28A0092B-C50C-407E-A947-70E740481C1C}">
                          <a14:useLocalDpi xmlns:a14="http://schemas.microsoft.com/office/drawing/2010/main" val="0"/>
                        </a:ext>
                      </a:extLst>
                    </a:blip>
                    <a:stretch>
                      <a:fillRect/>
                    </a:stretch>
                  </pic:blipFill>
                  <pic:spPr>
                    <a:xfrm>
                      <a:off x="0" y="0"/>
                      <a:ext cx="5940425" cy="3864610"/>
                    </a:xfrm>
                    <a:prstGeom prst="rect">
                      <a:avLst/>
                    </a:prstGeom>
                  </pic:spPr>
                </pic:pic>
              </a:graphicData>
            </a:graphic>
          </wp:inline>
        </w:drawing>
      </w:r>
    </w:p>
    <w:p w14:paraId="6A2BAA4C" w14:textId="6996DA4D" w:rsidR="009269C0" w:rsidRDefault="34B096E2" w:rsidP="40B3576B">
      <w:pPr>
        <w:spacing w:before="240"/>
      </w:pPr>
      <w:r>
        <w:t xml:space="preserve">A </w:t>
      </w:r>
      <w:r w:rsidRPr="34B096E2">
        <w:rPr>
          <w:b/>
          <w:bCs/>
        </w:rPr>
        <w:t>jövedéki adó</w:t>
      </w:r>
      <w:r>
        <w:t>ból származó bevétel az év első tizenegy hónapjában 1091,9 milliárd forintot tett ki, amely 12,6 milliárd forinttal magasabb az egy évvel korábbi bevételnél.</w:t>
      </w:r>
    </w:p>
    <w:tbl>
      <w:tblPr>
        <w:tblW w:w="6679" w:type="dxa"/>
        <w:jc w:val="center"/>
        <w:tblCellMar>
          <w:left w:w="70" w:type="dxa"/>
          <w:right w:w="70" w:type="dxa"/>
        </w:tblCellMar>
        <w:tblLook w:val="04A0" w:firstRow="1" w:lastRow="0" w:firstColumn="1" w:lastColumn="0" w:noHBand="0" w:noVBand="1"/>
      </w:tblPr>
      <w:tblGrid>
        <w:gridCol w:w="3118"/>
        <w:gridCol w:w="993"/>
        <w:gridCol w:w="992"/>
        <w:gridCol w:w="709"/>
        <w:gridCol w:w="867"/>
      </w:tblGrid>
      <w:tr w:rsidR="00024A56" w:rsidRPr="00024A56" w14:paraId="3A81EA80" w14:textId="77777777" w:rsidTr="34B096E2">
        <w:trPr>
          <w:trHeight w:val="255"/>
          <w:jc w:val="center"/>
        </w:trPr>
        <w:tc>
          <w:tcPr>
            <w:tcW w:w="6679" w:type="dxa"/>
            <w:gridSpan w:val="5"/>
            <w:tcBorders>
              <w:top w:val="nil"/>
              <w:left w:val="nil"/>
              <w:bottom w:val="nil"/>
              <w:right w:val="nil"/>
            </w:tcBorders>
            <w:shd w:val="clear" w:color="auto" w:fill="auto"/>
            <w:noWrap/>
            <w:vAlign w:val="bottom"/>
            <w:hideMark/>
          </w:tcPr>
          <w:p w14:paraId="6E79320C" w14:textId="77777777" w:rsidR="00024A56" w:rsidRPr="00024A56" w:rsidRDefault="34B096E2" w:rsidP="34B096E2">
            <w:pPr>
              <w:spacing w:before="120"/>
              <w:jc w:val="center"/>
              <w:rPr>
                <w:b/>
                <w:bCs/>
                <w:color w:val="000000" w:themeColor="text1"/>
                <w:sz w:val="20"/>
              </w:rPr>
            </w:pPr>
            <w:r w:rsidRPr="34B096E2">
              <w:rPr>
                <w:b/>
                <w:bCs/>
                <w:color w:val="000000" w:themeColor="text1"/>
                <w:sz w:val="20"/>
              </w:rPr>
              <w:t>Jövedéki adó bevétel alakulása (milliárd forint)</w:t>
            </w:r>
          </w:p>
        </w:tc>
      </w:tr>
      <w:tr w:rsidR="00024A56" w:rsidRPr="00024A56" w14:paraId="34A1C44D" w14:textId="77777777" w:rsidTr="34B096E2">
        <w:trPr>
          <w:trHeight w:val="450"/>
          <w:jc w:val="center"/>
        </w:trPr>
        <w:tc>
          <w:tcPr>
            <w:tcW w:w="3118" w:type="dxa"/>
            <w:vMerge w:val="restart"/>
            <w:tcBorders>
              <w:top w:val="single" w:sz="8" w:space="0" w:color="auto"/>
              <w:left w:val="single" w:sz="8" w:space="0" w:color="auto"/>
              <w:bottom w:val="single" w:sz="8" w:space="0" w:color="000000" w:themeColor="text1"/>
              <w:right w:val="single" w:sz="8" w:space="0" w:color="auto"/>
            </w:tcBorders>
            <w:shd w:val="clear" w:color="auto" w:fill="auto"/>
            <w:noWrap/>
            <w:vAlign w:val="center"/>
            <w:hideMark/>
          </w:tcPr>
          <w:p w14:paraId="5AFD96E8" w14:textId="77777777" w:rsidR="00024A56" w:rsidRPr="00024A56" w:rsidRDefault="34B096E2" w:rsidP="34B096E2">
            <w:pPr>
              <w:spacing w:after="0"/>
              <w:jc w:val="center"/>
              <w:rPr>
                <w:b/>
                <w:bCs/>
                <w:color w:val="000000" w:themeColor="text1"/>
                <w:sz w:val="20"/>
              </w:rPr>
            </w:pPr>
            <w:r w:rsidRPr="34B096E2">
              <w:rPr>
                <w:b/>
                <w:bCs/>
                <w:color w:val="000000" w:themeColor="text1"/>
                <w:sz w:val="20"/>
              </w:rPr>
              <w:t>Megnevezés</w:t>
            </w:r>
          </w:p>
        </w:tc>
        <w:tc>
          <w:tcPr>
            <w:tcW w:w="993"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4D932975" w14:textId="41BF0888" w:rsidR="00024A56" w:rsidRPr="00024A56" w:rsidRDefault="34B096E2" w:rsidP="34B096E2">
            <w:pPr>
              <w:spacing w:after="0"/>
              <w:jc w:val="center"/>
              <w:rPr>
                <w:b/>
                <w:bCs/>
                <w:sz w:val="20"/>
              </w:rPr>
            </w:pPr>
            <w:r w:rsidRPr="34B096E2">
              <w:rPr>
                <w:b/>
                <w:bCs/>
                <w:sz w:val="20"/>
              </w:rPr>
              <w:t>2019.</w:t>
            </w:r>
            <w:r w:rsidR="48F15973">
              <w:br/>
            </w:r>
            <w:r w:rsidRPr="34B096E2">
              <w:rPr>
                <w:b/>
                <w:bCs/>
                <w:sz w:val="20"/>
              </w:rPr>
              <w:t>I-XI. hó</w:t>
            </w:r>
          </w:p>
        </w:tc>
        <w:tc>
          <w:tcPr>
            <w:tcW w:w="992"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21AA4BEA" w14:textId="0884FC5B" w:rsidR="00024A56" w:rsidRPr="00024A56" w:rsidRDefault="34B096E2" w:rsidP="34B096E2">
            <w:pPr>
              <w:spacing w:after="0"/>
              <w:jc w:val="center"/>
              <w:rPr>
                <w:b/>
                <w:bCs/>
                <w:sz w:val="20"/>
              </w:rPr>
            </w:pPr>
            <w:r w:rsidRPr="34B096E2">
              <w:rPr>
                <w:b/>
                <w:bCs/>
                <w:sz w:val="20"/>
              </w:rPr>
              <w:t>2020.</w:t>
            </w:r>
            <w:r w:rsidR="48F15973">
              <w:br/>
            </w:r>
            <w:r w:rsidRPr="34B096E2">
              <w:rPr>
                <w:b/>
                <w:bCs/>
                <w:sz w:val="20"/>
              </w:rPr>
              <w:t>I-XI. hó</w:t>
            </w:r>
          </w:p>
        </w:tc>
        <w:tc>
          <w:tcPr>
            <w:tcW w:w="1576" w:type="dxa"/>
            <w:gridSpan w:val="2"/>
            <w:tcBorders>
              <w:top w:val="single" w:sz="8" w:space="0" w:color="auto"/>
              <w:left w:val="nil"/>
              <w:bottom w:val="single" w:sz="4" w:space="0" w:color="auto"/>
              <w:right w:val="single" w:sz="8" w:space="0" w:color="000000" w:themeColor="text1"/>
            </w:tcBorders>
            <w:shd w:val="clear" w:color="auto" w:fill="auto"/>
            <w:noWrap/>
            <w:vAlign w:val="center"/>
            <w:hideMark/>
          </w:tcPr>
          <w:p w14:paraId="1D2F24C1" w14:textId="77777777" w:rsidR="00024A56" w:rsidRPr="00024A56" w:rsidRDefault="34B096E2" w:rsidP="34B096E2">
            <w:pPr>
              <w:spacing w:after="0"/>
              <w:jc w:val="center"/>
              <w:rPr>
                <w:b/>
                <w:bCs/>
                <w:color w:val="000000" w:themeColor="text1"/>
                <w:sz w:val="20"/>
              </w:rPr>
            </w:pPr>
            <w:r w:rsidRPr="34B096E2">
              <w:rPr>
                <w:b/>
                <w:bCs/>
                <w:color w:val="000000" w:themeColor="text1"/>
                <w:sz w:val="20"/>
              </w:rPr>
              <w:t>Eltérés</w:t>
            </w:r>
          </w:p>
        </w:tc>
      </w:tr>
      <w:tr w:rsidR="00024A56" w:rsidRPr="00024A56" w14:paraId="0A0EA470" w14:textId="77777777" w:rsidTr="34B096E2">
        <w:trPr>
          <w:trHeight w:val="450"/>
          <w:jc w:val="center"/>
        </w:trPr>
        <w:tc>
          <w:tcPr>
            <w:tcW w:w="3118" w:type="dxa"/>
            <w:vMerge/>
            <w:tcBorders>
              <w:top w:val="single" w:sz="8" w:space="0" w:color="auto"/>
              <w:left w:val="single" w:sz="8" w:space="0" w:color="auto"/>
              <w:bottom w:val="single" w:sz="8" w:space="0" w:color="000000"/>
              <w:right w:val="single" w:sz="8" w:space="0" w:color="auto"/>
            </w:tcBorders>
            <w:vAlign w:val="center"/>
            <w:hideMark/>
          </w:tcPr>
          <w:p w14:paraId="3CF47CB0" w14:textId="77777777" w:rsidR="00024A56" w:rsidRPr="00024A56" w:rsidRDefault="00024A56" w:rsidP="00024A56">
            <w:pPr>
              <w:spacing w:after="0"/>
              <w:jc w:val="left"/>
              <w:rPr>
                <w:b/>
                <w:bCs/>
                <w:color w:val="000000"/>
                <w:sz w:val="20"/>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0A60470E" w14:textId="77777777" w:rsidR="00024A56" w:rsidRPr="00024A56" w:rsidRDefault="00024A56" w:rsidP="00024A56">
            <w:pPr>
              <w:spacing w:after="0"/>
              <w:jc w:val="left"/>
              <w:rPr>
                <w:b/>
                <w:bCs/>
                <w:sz w:val="20"/>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A9292C5" w14:textId="77777777" w:rsidR="00024A56" w:rsidRPr="00024A56" w:rsidRDefault="00024A56" w:rsidP="00024A56">
            <w:pPr>
              <w:spacing w:after="0"/>
              <w:jc w:val="left"/>
              <w:rPr>
                <w:b/>
                <w:bCs/>
                <w:sz w:val="20"/>
              </w:rPr>
            </w:pPr>
          </w:p>
        </w:tc>
        <w:tc>
          <w:tcPr>
            <w:tcW w:w="709" w:type="dxa"/>
            <w:tcBorders>
              <w:top w:val="nil"/>
              <w:left w:val="nil"/>
              <w:bottom w:val="single" w:sz="8" w:space="0" w:color="auto"/>
              <w:right w:val="single" w:sz="4" w:space="0" w:color="auto"/>
            </w:tcBorders>
            <w:shd w:val="clear" w:color="auto" w:fill="auto"/>
            <w:noWrap/>
            <w:vAlign w:val="center"/>
            <w:hideMark/>
          </w:tcPr>
          <w:p w14:paraId="54154943" w14:textId="77777777" w:rsidR="00024A56" w:rsidRPr="00024A56" w:rsidRDefault="34B096E2" w:rsidP="34B096E2">
            <w:pPr>
              <w:spacing w:after="0"/>
              <w:jc w:val="center"/>
              <w:rPr>
                <w:b/>
                <w:bCs/>
                <w:color w:val="000000" w:themeColor="text1"/>
                <w:sz w:val="20"/>
              </w:rPr>
            </w:pPr>
            <w:r w:rsidRPr="34B096E2">
              <w:rPr>
                <w:b/>
                <w:bCs/>
                <w:color w:val="000000" w:themeColor="text1"/>
                <w:sz w:val="20"/>
              </w:rPr>
              <w:t>Mrd Ft</w:t>
            </w:r>
          </w:p>
        </w:tc>
        <w:tc>
          <w:tcPr>
            <w:tcW w:w="867" w:type="dxa"/>
            <w:tcBorders>
              <w:top w:val="nil"/>
              <w:left w:val="nil"/>
              <w:bottom w:val="single" w:sz="8" w:space="0" w:color="auto"/>
              <w:right w:val="single" w:sz="8" w:space="0" w:color="auto"/>
            </w:tcBorders>
            <w:shd w:val="clear" w:color="auto" w:fill="auto"/>
            <w:noWrap/>
            <w:vAlign w:val="center"/>
            <w:hideMark/>
          </w:tcPr>
          <w:p w14:paraId="4FA863EF" w14:textId="77777777" w:rsidR="00024A56" w:rsidRPr="00024A56" w:rsidRDefault="34B096E2" w:rsidP="34B096E2">
            <w:pPr>
              <w:spacing w:after="0"/>
              <w:jc w:val="center"/>
              <w:rPr>
                <w:b/>
                <w:bCs/>
                <w:color w:val="000000" w:themeColor="text1"/>
                <w:sz w:val="20"/>
              </w:rPr>
            </w:pPr>
            <w:r w:rsidRPr="34B096E2">
              <w:rPr>
                <w:b/>
                <w:bCs/>
                <w:color w:val="000000" w:themeColor="text1"/>
                <w:sz w:val="20"/>
              </w:rPr>
              <w:t>%</w:t>
            </w:r>
          </w:p>
        </w:tc>
      </w:tr>
      <w:tr w:rsidR="00E15D6A" w:rsidRPr="00024A56" w14:paraId="508557F8" w14:textId="77777777" w:rsidTr="34B096E2">
        <w:trPr>
          <w:trHeight w:val="270"/>
          <w:jc w:val="center"/>
        </w:trPr>
        <w:tc>
          <w:tcPr>
            <w:tcW w:w="3118" w:type="dxa"/>
            <w:tcBorders>
              <w:top w:val="nil"/>
              <w:left w:val="single" w:sz="8" w:space="0" w:color="auto"/>
              <w:bottom w:val="single" w:sz="4" w:space="0" w:color="auto"/>
              <w:right w:val="single" w:sz="8" w:space="0" w:color="auto"/>
            </w:tcBorders>
            <w:shd w:val="clear" w:color="auto" w:fill="auto"/>
            <w:noWrap/>
            <w:vAlign w:val="center"/>
            <w:hideMark/>
          </w:tcPr>
          <w:p w14:paraId="6EC723A4" w14:textId="50D0FBE1" w:rsidR="00E15D6A" w:rsidRPr="00024A56" w:rsidRDefault="34B096E2" w:rsidP="34B096E2">
            <w:pPr>
              <w:spacing w:after="0"/>
              <w:jc w:val="left"/>
              <w:rPr>
                <w:b/>
                <w:bCs/>
                <w:sz w:val="20"/>
              </w:rPr>
            </w:pPr>
            <w:r w:rsidRPr="34B096E2">
              <w:rPr>
                <w:b/>
                <w:bCs/>
                <w:sz w:val="20"/>
              </w:rPr>
              <w:t>Üzemanyag jövedéki adó</w:t>
            </w:r>
          </w:p>
        </w:tc>
        <w:tc>
          <w:tcPr>
            <w:tcW w:w="993" w:type="dxa"/>
            <w:tcBorders>
              <w:top w:val="nil"/>
              <w:left w:val="nil"/>
              <w:bottom w:val="single" w:sz="4" w:space="0" w:color="auto"/>
              <w:right w:val="single" w:sz="8" w:space="0" w:color="auto"/>
            </w:tcBorders>
            <w:shd w:val="clear" w:color="auto" w:fill="auto"/>
            <w:noWrap/>
          </w:tcPr>
          <w:p w14:paraId="68AF4B4E" w14:textId="689A577B" w:rsidR="00E15D6A" w:rsidRPr="00E15D6A" w:rsidRDefault="34B096E2" w:rsidP="34B096E2">
            <w:pPr>
              <w:spacing w:after="0"/>
              <w:jc w:val="center"/>
              <w:rPr>
                <w:sz w:val="20"/>
              </w:rPr>
            </w:pPr>
            <w:r w:rsidRPr="34B096E2">
              <w:rPr>
                <w:sz w:val="20"/>
              </w:rPr>
              <w:t>638,9</w:t>
            </w:r>
          </w:p>
        </w:tc>
        <w:tc>
          <w:tcPr>
            <w:tcW w:w="992" w:type="dxa"/>
            <w:tcBorders>
              <w:top w:val="nil"/>
              <w:left w:val="nil"/>
              <w:bottom w:val="single" w:sz="4" w:space="0" w:color="auto"/>
              <w:right w:val="single" w:sz="8" w:space="0" w:color="auto"/>
            </w:tcBorders>
            <w:shd w:val="clear" w:color="auto" w:fill="auto"/>
            <w:noWrap/>
          </w:tcPr>
          <w:p w14:paraId="27E8CB93" w14:textId="1C097EA2" w:rsidR="00E15D6A" w:rsidRPr="00E15D6A" w:rsidRDefault="34B096E2" w:rsidP="34B096E2">
            <w:pPr>
              <w:spacing w:after="0"/>
              <w:jc w:val="center"/>
              <w:rPr>
                <w:sz w:val="20"/>
              </w:rPr>
            </w:pPr>
            <w:r w:rsidRPr="34B096E2">
              <w:rPr>
                <w:sz w:val="20"/>
              </w:rPr>
              <w:t>624,2</w:t>
            </w:r>
          </w:p>
        </w:tc>
        <w:tc>
          <w:tcPr>
            <w:tcW w:w="709" w:type="dxa"/>
            <w:tcBorders>
              <w:top w:val="nil"/>
              <w:left w:val="nil"/>
              <w:bottom w:val="single" w:sz="4" w:space="0" w:color="auto"/>
              <w:right w:val="single" w:sz="4" w:space="0" w:color="auto"/>
            </w:tcBorders>
            <w:shd w:val="clear" w:color="auto" w:fill="auto"/>
            <w:noWrap/>
          </w:tcPr>
          <w:p w14:paraId="28D690E2" w14:textId="7B7A4F8E" w:rsidR="00E15D6A" w:rsidRPr="00E15D6A" w:rsidRDefault="34B096E2" w:rsidP="34B096E2">
            <w:pPr>
              <w:spacing w:after="0"/>
              <w:jc w:val="center"/>
              <w:rPr>
                <w:color w:val="000000" w:themeColor="text1"/>
                <w:sz w:val="20"/>
              </w:rPr>
            </w:pPr>
            <w:r w:rsidRPr="34B096E2">
              <w:rPr>
                <w:sz w:val="20"/>
              </w:rPr>
              <w:t>-14,7</w:t>
            </w:r>
          </w:p>
        </w:tc>
        <w:tc>
          <w:tcPr>
            <w:tcW w:w="867" w:type="dxa"/>
            <w:tcBorders>
              <w:top w:val="nil"/>
              <w:left w:val="nil"/>
              <w:bottom w:val="single" w:sz="4" w:space="0" w:color="auto"/>
              <w:right w:val="single" w:sz="8" w:space="0" w:color="auto"/>
            </w:tcBorders>
            <w:shd w:val="clear" w:color="auto" w:fill="auto"/>
            <w:noWrap/>
          </w:tcPr>
          <w:p w14:paraId="4A80F6B5" w14:textId="3E27C1AF" w:rsidR="00E15D6A" w:rsidRPr="00E15D6A" w:rsidRDefault="34B096E2" w:rsidP="34B096E2">
            <w:pPr>
              <w:spacing w:after="0"/>
              <w:jc w:val="center"/>
              <w:rPr>
                <w:sz w:val="20"/>
              </w:rPr>
            </w:pPr>
            <w:r w:rsidRPr="34B096E2">
              <w:rPr>
                <w:sz w:val="20"/>
              </w:rPr>
              <w:t>97,7</w:t>
            </w:r>
          </w:p>
        </w:tc>
      </w:tr>
      <w:tr w:rsidR="00E15D6A" w:rsidRPr="00024A56" w14:paraId="57AD209F" w14:textId="77777777" w:rsidTr="34B096E2">
        <w:trPr>
          <w:trHeight w:val="270"/>
          <w:jc w:val="center"/>
        </w:trPr>
        <w:tc>
          <w:tcPr>
            <w:tcW w:w="3118" w:type="dxa"/>
            <w:tcBorders>
              <w:top w:val="nil"/>
              <w:left w:val="single" w:sz="8" w:space="0" w:color="auto"/>
              <w:bottom w:val="single" w:sz="4" w:space="0" w:color="auto"/>
              <w:right w:val="single" w:sz="8" w:space="0" w:color="auto"/>
            </w:tcBorders>
            <w:shd w:val="clear" w:color="auto" w:fill="auto"/>
            <w:noWrap/>
            <w:vAlign w:val="center"/>
            <w:hideMark/>
          </w:tcPr>
          <w:p w14:paraId="268C933F" w14:textId="35F788F0" w:rsidR="00E15D6A" w:rsidRPr="00024A56" w:rsidRDefault="34B096E2" w:rsidP="34B096E2">
            <w:pPr>
              <w:spacing w:after="0"/>
              <w:jc w:val="left"/>
              <w:rPr>
                <w:b/>
                <w:bCs/>
                <w:sz w:val="20"/>
              </w:rPr>
            </w:pPr>
            <w:r w:rsidRPr="34B096E2">
              <w:rPr>
                <w:b/>
                <w:bCs/>
                <w:sz w:val="20"/>
              </w:rPr>
              <w:t>Dohánygyártmány jövedéki adó</w:t>
            </w:r>
          </w:p>
        </w:tc>
        <w:tc>
          <w:tcPr>
            <w:tcW w:w="993" w:type="dxa"/>
            <w:tcBorders>
              <w:top w:val="nil"/>
              <w:left w:val="nil"/>
              <w:bottom w:val="single" w:sz="4" w:space="0" w:color="auto"/>
              <w:right w:val="single" w:sz="8" w:space="0" w:color="auto"/>
            </w:tcBorders>
            <w:shd w:val="clear" w:color="auto" w:fill="auto"/>
            <w:noWrap/>
          </w:tcPr>
          <w:p w14:paraId="79F99CAB" w14:textId="6A0DCD1A" w:rsidR="00E15D6A" w:rsidRPr="00E15D6A" w:rsidRDefault="34B096E2" w:rsidP="34B096E2">
            <w:pPr>
              <w:spacing w:after="0"/>
              <w:jc w:val="center"/>
              <w:rPr>
                <w:sz w:val="20"/>
              </w:rPr>
            </w:pPr>
            <w:r w:rsidRPr="34B096E2">
              <w:rPr>
                <w:sz w:val="20"/>
              </w:rPr>
              <w:t>337,8</w:t>
            </w:r>
          </w:p>
        </w:tc>
        <w:tc>
          <w:tcPr>
            <w:tcW w:w="992" w:type="dxa"/>
            <w:tcBorders>
              <w:top w:val="nil"/>
              <w:left w:val="nil"/>
              <w:bottom w:val="single" w:sz="4" w:space="0" w:color="auto"/>
              <w:right w:val="single" w:sz="8" w:space="0" w:color="auto"/>
            </w:tcBorders>
            <w:shd w:val="clear" w:color="auto" w:fill="auto"/>
            <w:noWrap/>
          </w:tcPr>
          <w:p w14:paraId="77FC4294" w14:textId="57035FAE" w:rsidR="00E15D6A" w:rsidRPr="00E15D6A" w:rsidRDefault="34B096E2" w:rsidP="34B096E2">
            <w:pPr>
              <w:spacing w:after="0"/>
              <w:jc w:val="center"/>
              <w:rPr>
                <w:sz w:val="20"/>
              </w:rPr>
            </w:pPr>
            <w:r w:rsidRPr="34B096E2">
              <w:rPr>
                <w:sz w:val="20"/>
              </w:rPr>
              <w:t>368,3</w:t>
            </w:r>
          </w:p>
        </w:tc>
        <w:tc>
          <w:tcPr>
            <w:tcW w:w="709" w:type="dxa"/>
            <w:tcBorders>
              <w:top w:val="nil"/>
              <w:left w:val="nil"/>
              <w:bottom w:val="single" w:sz="4" w:space="0" w:color="auto"/>
              <w:right w:val="single" w:sz="4" w:space="0" w:color="auto"/>
            </w:tcBorders>
            <w:shd w:val="clear" w:color="auto" w:fill="auto"/>
            <w:noWrap/>
          </w:tcPr>
          <w:p w14:paraId="23932EB7" w14:textId="6EF89697" w:rsidR="00E15D6A" w:rsidRPr="00E15D6A" w:rsidRDefault="34B096E2" w:rsidP="34B096E2">
            <w:pPr>
              <w:spacing w:after="0"/>
              <w:jc w:val="center"/>
              <w:rPr>
                <w:color w:val="000000" w:themeColor="text1"/>
                <w:sz w:val="20"/>
              </w:rPr>
            </w:pPr>
            <w:r w:rsidRPr="34B096E2">
              <w:rPr>
                <w:sz w:val="20"/>
              </w:rPr>
              <w:t>30,5</w:t>
            </w:r>
          </w:p>
        </w:tc>
        <w:tc>
          <w:tcPr>
            <w:tcW w:w="867" w:type="dxa"/>
            <w:tcBorders>
              <w:top w:val="nil"/>
              <w:left w:val="nil"/>
              <w:bottom w:val="single" w:sz="4" w:space="0" w:color="auto"/>
              <w:right w:val="single" w:sz="8" w:space="0" w:color="auto"/>
            </w:tcBorders>
            <w:shd w:val="clear" w:color="auto" w:fill="auto"/>
            <w:noWrap/>
          </w:tcPr>
          <w:p w14:paraId="6073DB33" w14:textId="51C14068" w:rsidR="00E15D6A" w:rsidRPr="00E15D6A" w:rsidRDefault="34B096E2" w:rsidP="34B096E2">
            <w:pPr>
              <w:spacing w:after="0"/>
              <w:jc w:val="center"/>
              <w:rPr>
                <w:sz w:val="20"/>
              </w:rPr>
            </w:pPr>
            <w:r w:rsidRPr="34B096E2">
              <w:rPr>
                <w:sz w:val="20"/>
              </w:rPr>
              <w:t>109,0</w:t>
            </w:r>
          </w:p>
        </w:tc>
      </w:tr>
      <w:tr w:rsidR="00E15D6A" w:rsidRPr="00024A56" w14:paraId="2E89E7E2" w14:textId="77777777" w:rsidTr="34B096E2">
        <w:trPr>
          <w:trHeight w:val="270"/>
          <w:jc w:val="center"/>
        </w:trPr>
        <w:tc>
          <w:tcPr>
            <w:tcW w:w="3118" w:type="dxa"/>
            <w:tcBorders>
              <w:top w:val="nil"/>
              <w:left w:val="single" w:sz="8" w:space="0" w:color="auto"/>
              <w:bottom w:val="nil"/>
              <w:right w:val="single" w:sz="8" w:space="0" w:color="auto"/>
            </w:tcBorders>
            <w:shd w:val="clear" w:color="auto" w:fill="auto"/>
            <w:noWrap/>
            <w:vAlign w:val="center"/>
            <w:hideMark/>
          </w:tcPr>
          <w:p w14:paraId="27C95F96" w14:textId="79969345" w:rsidR="00E15D6A" w:rsidRPr="00024A56" w:rsidRDefault="34B096E2" w:rsidP="34B096E2">
            <w:pPr>
              <w:spacing w:after="0"/>
              <w:jc w:val="left"/>
              <w:rPr>
                <w:b/>
                <w:bCs/>
                <w:sz w:val="20"/>
              </w:rPr>
            </w:pPr>
            <w:r w:rsidRPr="34B096E2">
              <w:rPr>
                <w:b/>
                <w:bCs/>
                <w:sz w:val="20"/>
              </w:rPr>
              <w:t>Egyéb termék jövedéki adó</w:t>
            </w:r>
          </w:p>
        </w:tc>
        <w:tc>
          <w:tcPr>
            <w:tcW w:w="993" w:type="dxa"/>
            <w:tcBorders>
              <w:top w:val="nil"/>
              <w:left w:val="nil"/>
              <w:bottom w:val="nil"/>
              <w:right w:val="single" w:sz="8" w:space="0" w:color="auto"/>
            </w:tcBorders>
            <w:shd w:val="clear" w:color="auto" w:fill="auto"/>
            <w:noWrap/>
          </w:tcPr>
          <w:p w14:paraId="7364BF93" w14:textId="4B0ACBA1" w:rsidR="00E15D6A" w:rsidRPr="00E15D6A" w:rsidRDefault="34B096E2" w:rsidP="34B096E2">
            <w:pPr>
              <w:spacing w:after="0"/>
              <w:jc w:val="center"/>
              <w:rPr>
                <w:sz w:val="20"/>
              </w:rPr>
            </w:pPr>
            <w:r w:rsidRPr="34B096E2">
              <w:rPr>
                <w:sz w:val="20"/>
              </w:rPr>
              <w:t>84,9</w:t>
            </w:r>
          </w:p>
        </w:tc>
        <w:tc>
          <w:tcPr>
            <w:tcW w:w="992" w:type="dxa"/>
            <w:tcBorders>
              <w:top w:val="nil"/>
              <w:left w:val="nil"/>
              <w:bottom w:val="nil"/>
              <w:right w:val="single" w:sz="8" w:space="0" w:color="auto"/>
            </w:tcBorders>
            <w:shd w:val="clear" w:color="auto" w:fill="auto"/>
            <w:noWrap/>
          </w:tcPr>
          <w:p w14:paraId="7B16728B" w14:textId="4F07C5A6" w:rsidR="00E15D6A" w:rsidRPr="00E15D6A" w:rsidRDefault="34B096E2" w:rsidP="34B096E2">
            <w:pPr>
              <w:spacing w:after="0"/>
              <w:jc w:val="center"/>
              <w:rPr>
                <w:sz w:val="20"/>
              </w:rPr>
            </w:pPr>
            <w:r w:rsidRPr="34B096E2">
              <w:rPr>
                <w:sz w:val="20"/>
              </w:rPr>
              <w:t>82,5</w:t>
            </w:r>
          </w:p>
        </w:tc>
        <w:tc>
          <w:tcPr>
            <w:tcW w:w="709" w:type="dxa"/>
            <w:tcBorders>
              <w:top w:val="nil"/>
              <w:left w:val="nil"/>
              <w:bottom w:val="nil"/>
              <w:right w:val="single" w:sz="4" w:space="0" w:color="auto"/>
            </w:tcBorders>
            <w:shd w:val="clear" w:color="auto" w:fill="auto"/>
            <w:noWrap/>
          </w:tcPr>
          <w:p w14:paraId="27354059" w14:textId="58717F25" w:rsidR="00E15D6A" w:rsidRPr="00E15D6A" w:rsidRDefault="34B096E2" w:rsidP="34B096E2">
            <w:pPr>
              <w:spacing w:after="0"/>
              <w:jc w:val="center"/>
              <w:rPr>
                <w:color w:val="000000" w:themeColor="text1"/>
                <w:sz w:val="20"/>
              </w:rPr>
            </w:pPr>
            <w:r w:rsidRPr="34B096E2">
              <w:rPr>
                <w:sz w:val="20"/>
              </w:rPr>
              <w:t>-2,4</w:t>
            </w:r>
          </w:p>
        </w:tc>
        <w:tc>
          <w:tcPr>
            <w:tcW w:w="867" w:type="dxa"/>
            <w:tcBorders>
              <w:top w:val="nil"/>
              <w:left w:val="nil"/>
              <w:bottom w:val="nil"/>
              <w:right w:val="single" w:sz="8" w:space="0" w:color="auto"/>
            </w:tcBorders>
            <w:shd w:val="clear" w:color="auto" w:fill="auto"/>
            <w:noWrap/>
          </w:tcPr>
          <w:p w14:paraId="40F267EE" w14:textId="4AA7E612" w:rsidR="00E15D6A" w:rsidRPr="00E15D6A" w:rsidRDefault="34B096E2" w:rsidP="00A46D07">
            <w:pPr>
              <w:spacing w:after="0"/>
              <w:jc w:val="center"/>
              <w:rPr>
                <w:sz w:val="20"/>
              </w:rPr>
            </w:pPr>
            <w:r w:rsidRPr="34B096E2">
              <w:rPr>
                <w:sz w:val="20"/>
              </w:rPr>
              <w:t>97,</w:t>
            </w:r>
            <w:r w:rsidR="00A46D07">
              <w:rPr>
                <w:sz w:val="20"/>
              </w:rPr>
              <w:t>2</w:t>
            </w:r>
          </w:p>
        </w:tc>
      </w:tr>
      <w:tr w:rsidR="00E15D6A" w:rsidRPr="00024A56" w14:paraId="664D47E1" w14:textId="77777777" w:rsidTr="34B096E2">
        <w:trPr>
          <w:trHeight w:val="270"/>
          <w:jc w:val="center"/>
        </w:trPr>
        <w:tc>
          <w:tcPr>
            <w:tcW w:w="3118" w:type="dxa"/>
            <w:tcBorders>
              <w:top w:val="single" w:sz="4" w:space="0" w:color="auto"/>
              <w:left w:val="single" w:sz="8" w:space="0" w:color="auto"/>
              <w:bottom w:val="nil"/>
              <w:right w:val="single" w:sz="8" w:space="0" w:color="auto"/>
            </w:tcBorders>
            <w:shd w:val="clear" w:color="auto" w:fill="auto"/>
            <w:noWrap/>
            <w:vAlign w:val="center"/>
            <w:hideMark/>
          </w:tcPr>
          <w:p w14:paraId="7B919B72" w14:textId="7F22971B" w:rsidR="00E15D6A" w:rsidRPr="00024A56" w:rsidRDefault="34B096E2" w:rsidP="34B096E2">
            <w:pPr>
              <w:spacing w:after="0"/>
              <w:jc w:val="left"/>
              <w:rPr>
                <w:b/>
                <w:bCs/>
                <w:sz w:val="20"/>
              </w:rPr>
            </w:pPr>
            <w:proofErr w:type="gramStart"/>
            <w:r w:rsidRPr="34B096E2">
              <w:rPr>
                <w:b/>
                <w:bCs/>
                <w:sz w:val="20"/>
              </w:rPr>
              <w:t>Import</w:t>
            </w:r>
            <w:proofErr w:type="gramEnd"/>
            <w:r w:rsidRPr="34B096E2">
              <w:rPr>
                <w:b/>
                <w:bCs/>
                <w:sz w:val="20"/>
              </w:rPr>
              <w:t xml:space="preserve"> jövedéki adó és energiaadó</w:t>
            </w:r>
          </w:p>
        </w:tc>
        <w:tc>
          <w:tcPr>
            <w:tcW w:w="993" w:type="dxa"/>
            <w:tcBorders>
              <w:top w:val="single" w:sz="4" w:space="0" w:color="auto"/>
              <w:left w:val="nil"/>
              <w:bottom w:val="nil"/>
              <w:right w:val="single" w:sz="8" w:space="0" w:color="auto"/>
            </w:tcBorders>
            <w:shd w:val="clear" w:color="auto" w:fill="auto"/>
            <w:noWrap/>
          </w:tcPr>
          <w:p w14:paraId="1C055628" w14:textId="5D8EDD9D" w:rsidR="00E15D6A" w:rsidRPr="00E15D6A" w:rsidRDefault="34B096E2" w:rsidP="34B096E2">
            <w:pPr>
              <w:spacing w:after="0"/>
              <w:jc w:val="center"/>
              <w:rPr>
                <w:sz w:val="20"/>
              </w:rPr>
            </w:pPr>
            <w:r w:rsidRPr="34B096E2">
              <w:rPr>
                <w:sz w:val="20"/>
              </w:rPr>
              <w:t>17,7</w:t>
            </w:r>
          </w:p>
        </w:tc>
        <w:tc>
          <w:tcPr>
            <w:tcW w:w="992" w:type="dxa"/>
            <w:tcBorders>
              <w:top w:val="single" w:sz="4" w:space="0" w:color="auto"/>
              <w:left w:val="nil"/>
              <w:bottom w:val="nil"/>
              <w:right w:val="single" w:sz="8" w:space="0" w:color="auto"/>
            </w:tcBorders>
            <w:shd w:val="clear" w:color="auto" w:fill="auto"/>
            <w:noWrap/>
          </w:tcPr>
          <w:p w14:paraId="13C70C2F" w14:textId="2FFF5C48" w:rsidR="00E15D6A" w:rsidRPr="00E15D6A" w:rsidRDefault="34B096E2" w:rsidP="34B096E2">
            <w:pPr>
              <w:spacing w:after="0"/>
              <w:jc w:val="center"/>
              <w:rPr>
                <w:sz w:val="20"/>
              </w:rPr>
            </w:pPr>
            <w:r w:rsidRPr="34B096E2">
              <w:rPr>
                <w:sz w:val="20"/>
              </w:rPr>
              <w:t>16,9</w:t>
            </w:r>
          </w:p>
        </w:tc>
        <w:tc>
          <w:tcPr>
            <w:tcW w:w="709" w:type="dxa"/>
            <w:tcBorders>
              <w:top w:val="single" w:sz="4" w:space="0" w:color="auto"/>
              <w:left w:val="nil"/>
              <w:bottom w:val="nil"/>
              <w:right w:val="single" w:sz="4" w:space="0" w:color="auto"/>
            </w:tcBorders>
            <w:shd w:val="clear" w:color="auto" w:fill="auto"/>
            <w:noWrap/>
          </w:tcPr>
          <w:p w14:paraId="562B1DC5" w14:textId="4AE00F6D" w:rsidR="00E15D6A" w:rsidRPr="00E15D6A" w:rsidRDefault="34B096E2" w:rsidP="34B096E2">
            <w:pPr>
              <w:spacing w:after="0"/>
              <w:jc w:val="center"/>
              <w:rPr>
                <w:color w:val="000000" w:themeColor="text1"/>
                <w:sz w:val="20"/>
              </w:rPr>
            </w:pPr>
            <w:r w:rsidRPr="34B096E2">
              <w:rPr>
                <w:sz w:val="20"/>
              </w:rPr>
              <w:t>-0,8</w:t>
            </w:r>
          </w:p>
        </w:tc>
        <w:tc>
          <w:tcPr>
            <w:tcW w:w="867" w:type="dxa"/>
            <w:tcBorders>
              <w:top w:val="single" w:sz="4" w:space="0" w:color="auto"/>
              <w:left w:val="nil"/>
              <w:bottom w:val="nil"/>
              <w:right w:val="single" w:sz="8" w:space="0" w:color="auto"/>
            </w:tcBorders>
            <w:shd w:val="clear" w:color="auto" w:fill="auto"/>
            <w:noWrap/>
          </w:tcPr>
          <w:p w14:paraId="4F21FF55" w14:textId="2D6B291C" w:rsidR="00E15D6A" w:rsidRPr="00E15D6A" w:rsidRDefault="00B86FC0" w:rsidP="34B096E2">
            <w:pPr>
              <w:spacing w:after="0"/>
              <w:jc w:val="center"/>
              <w:rPr>
                <w:sz w:val="20"/>
              </w:rPr>
            </w:pPr>
            <w:r>
              <w:rPr>
                <w:sz w:val="20"/>
              </w:rPr>
              <w:t>95,5</w:t>
            </w:r>
          </w:p>
        </w:tc>
      </w:tr>
      <w:tr w:rsidR="00E15D6A" w:rsidRPr="000C321A" w14:paraId="65DFBFEE" w14:textId="77777777" w:rsidTr="34B096E2">
        <w:trPr>
          <w:trHeight w:val="270"/>
          <w:jc w:val="center"/>
        </w:trPr>
        <w:tc>
          <w:tcPr>
            <w:tcW w:w="31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AB3BD6" w14:textId="528B438B" w:rsidR="00E15D6A" w:rsidRPr="00024A56" w:rsidRDefault="34B096E2" w:rsidP="34B096E2">
            <w:pPr>
              <w:spacing w:after="0"/>
              <w:jc w:val="left"/>
              <w:rPr>
                <w:b/>
                <w:bCs/>
                <w:sz w:val="20"/>
              </w:rPr>
            </w:pPr>
            <w:r w:rsidRPr="34B096E2">
              <w:rPr>
                <w:b/>
                <w:bCs/>
                <w:sz w:val="20"/>
              </w:rPr>
              <w:t>Jövedéki adók összesen</w:t>
            </w:r>
          </w:p>
        </w:tc>
        <w:tc>
          <w:tcPr>
            <w:tcW w:w="993" w:type="dxa"/>
            <w:tcBorders>
              <w:top w:val="single" w:sz="8" w:space="0" w:color="auto"/>
              <w:left w:val="nil"/>
              <w:bottom w:val="single" w:sz="8" w:space="0" w:color="auto"/>
              <w:right w:val="single" w:sz="8" w:space="0" w:color="auto"/>
            </w:tcBorders>
            <w:shd w:val="clear" w:color="auto" w:fill="auto"/>
            <w:noWrap/>
          </w:tcPr>
          <w:p w14:paraId="312362D3" w14:textId="23133F9B" w:rsidR="00E15D6A" w:rsidRPr="00E15D6A" w:rsidRDefault="34B096E2" w:rsidP="34B096E2">
            <w:pPr>
              <w:spacing w:after="0"/>
              <w:jc w:val="center"/>
              <w:rPr>
                <w:b/>
                <w:bCs/>
                <w:sz w:val="20"/>
              </w:rPr>
            </w:pPr>
            <w:r w:rsidRPr="34B096E2">
              <w:rPr>
                <w:b/>
                <w:bCs/>
                <w:sz w:val="20"/>
              </w:rPr>
              <w:t>1 079,3</w:t>
            </w:r>
          </w:p>
        </w:tc>
        <w:tc>
          <w:tcPr>
            <w:tcW w:w="992" w:type="dxa"/>
            <w:tcBorders>
              <w:top w:val="single" w:sz="8" w:space="0" w:color="auto"/>
              <w:left w:val="nil"/>
              <w:bottom w:val="single" w:sz="8" w:space="0" w:color="auto"/>
              <w:right w:val="single" w:sz="8" w:space="0" w:color="auto"/>
            </w:tcBorders>
            <w:shd w:val="clear" w:color="auto" w:fill="auto"/>
            <w:noWrap/>
          </w:tcPr>
          <w:p w14:paraId="35930993" w14:textId="0DA95953" w:rsidR="00E15D6A" w:rsidRPr="00E15D6A" w:rsidRDefault="34B096E2" w:rsidP="34B096E2">
            <w:pPr>
              <w:spacing w:after="0"/>
              <w:jc w:val="center"/>
              <w:rPr>
                <w:b/>
                <w:bCs/>
                <w:sz w:val="20"/>
              </w:rPr>
            </w:pPr>
            <w:r w:rsidRPr="34B096E2">
              <w:rPr>
                <w:b/>
                <w:bCs/>
                <w:sz w:val="20"/>
              </w:rPr>
              <w:t>1 091,9</w:t>
            </w:r>
          </w:p>
        </w:tc>
        <w:tc>
          <w:tcPr>
            <w:tcW w:w="709" w:type="dxa"/>
            <w:tcBorders>
              <w:top w:val="single" w:sz="8" w:space="0" w:color="auto"/>
              <w:left w:val="nil"/>
              <w:bottom w:val="single" w:sz="8" w:space="0" w:color="auto"/>
              <w:right w:val="single" w:sz="4" w:space="0" w:color="auto"/>
            </w:tcBorders>
            <w:shd w:val="clear" w:color="auto" w:fill="auto"/>
            <w:noWrap/>
          </w:tcPr>
          <w:p w14:paraId="64E32CD5" w14:textId="555E3315" w:rsidR="00E15D6A" w:rsidRPr="00E15D6A" w:rsidRDefault="34B096E2" w:rsidP="34B096E2">
            <w:pPr>
              <w:spacing w:after="0"/>
              <w:jc w:val="center"/>
              <w:rPr>
                <w:b/>
                <w:bCs/>
                <w:sz w:val="20"/>
              </w:rPr>
            </w:pPr>
            <w:r w:rsidRPr="34B096E2">
              <w:rPr>
                <w:b/>
                <w:bCs/>
                <w:sz w:val="20"/>
              </w:rPr>
              <w:t>12,6</w:t>
            </w:r>
          </w:p>
        </w:tc>
        <w:tc>
          <w:tcPr>
            <w:tcW w:w="867" w:type="dxa"/>
            <w:tcBorders>
              <w:top w:val="single" w:sz="8" w:space="0" w:color="auto"/>
              <w:left w:val="nil"/>
              <w:bottom w:val="single" w:sz="8" w:space="0" w:color="auto"/>
              <w:right w:val="single" w:sz="8" w:space="0" w:color="auto"/>
            </w:tcBorders>
            <w:shd w:val="clear" w:color="auto" w:fill="auto"/>
            <w:noWrap/>
          </w:tcPr>
          <w:p w14:paraId="7A3BDED0" w14:textId="71B2C0C0" w:rsidR="00E15D6A" w:rsidRPr="00E15D6A" w:rsidRDefault="34B096E2" w:rsidP="34B096E2">
            <w:pPr>
              <w:spacing w:after="0"/>
              <w:jc w:val="center"/>
              <w:rPr>
                <w:b/>
                <w:bCs/>
                <w:sz w:val="20"/>
              </w:rPr>
            </w:pPr>
            <w:r w:rsidRPr="34B096E2">
              <w:rPr>
                <w:b/>
                <w:bCs/>
                <w:sz w:val="20"/>
              </w:rPr>
              <w:t>101,2</w:t>
            </w:r>
          </w:p>
        </w:tc>
      </w:tr>
    </w:tbl>
    <w:p w14:paraId="10743248" w14:textId="77777777" w:rsidR="001E4959" w:rsidRDefault="001E4959" w:rsidP="00F9316E">
      <w:pPr>
        <w:spacing w:after="0" w:line="259" w:lineRule="auto"/>
      </w:pPr>
    </w:p>
    <w:p w14:paraId="4FF6FA27" w14:textId="3EE9371D" w:rsidR="0072669E" w:rsidRPr="00055D3F" w:rsidRDefault="34B096E2" w:rsidP="34B096E2">
      <w:pPr>
        <w:spacing w:before="240"/>
        <w:rPr>
          <w:b/>
          <w:bCs/>
        </w:rPr>
      </w:pPr>
      <w:r>
        <w:t>Az üzemanyagok utáni bevétel csökkenését elsősorban az alacsonyabb üzemanyag</w:t>
      </w:r>
      <w:r w:rsidR="00DA1FD7">
        <w:t>-</w:t>
      </w:r>
      <w:r>
        <w:t>forgalom indokolja. A dohánytermékek utáni bevételek emelkedésének hátterében elsősorban az adómérték</w:t>
      </w:r>
      <w:r w:rsidR="00C10A19">
        <w:t>-</w:t>
      </w:r>
      <w:r>
        <w:t>emelés áll. A</w:t>
      </w:r>
      <w:r w:rsidR="002F48F7">
        <w:t>z</w:t>
      </w:r>
      <w:r>
        <w:t xml:space="preserve"> egyéb termékek esetében a bevételek csökkenését az alacsonyabb forgalom magyarázza, melynek hátterében részben a népegészségügyi termékadót érintő</w:t>
      </w:r>
      <w:r w:rsidR="00120AC8">
        <w:t>,</w:t>
      </w:r>
      <w:r>
        <w:t xml:space="preserve"> 2019-től életbe lépő változásokhoz köthető készletezési hatás áll, mely a 2019. januári bevételeket jelentősen növelte. </w:t>
      </w:r>
    </w:p>
    <w:p w14:paraId="63D96AEE" w14:textId="7CFB48A6" w:rsidR="007B272A" w:rsidRPr="007B272A" w:rsidRDefault="34B096E2" w:rsidP="007B272A">
      <w:r>
        <w:lastRenderedPageBreak/>
        <w:t xml:space="preserve">A </w:t>
      </w:r>
      <w:r w:rsidRPr="34B096E2">
        <w:rPr>
          <w:b/>
          <w:bCs/>
        </w:rPr>
        <w:t>személyi jövedelemadó</w:t>
      </w:r>
      <w:r>
        <w:t xml:space="preserve"> bevétele az év első tizenegy hónapjában 2286,9 milliárd forint volt, amely 101,</w:t>
      </w:r>
      <w:r w:rsidR="000A56C8">
        <w:t>2</w:t>
      </w:r>
      <w:r>
        <w:t xml:space="preserve"> milliárd forinttal magasabb a bázisidőszakban befolyt összegnél. Az eltérés oka a magasabb bérkiáramlás miatti </w:t>
      </w:r>
      <w:proofErr w:type="spellStart"/>
      <w:r>
        <w:t>befizetésnövekedés</w:t>
      </w:r>
      <w:proofErr w:type="spellEnd"/>
      <w:r>
        <w:t>. A koronavírus-járvány negatív gazdasági hatásai viszont csökkenést eredményeztek a pénzforgalmi bevételekre nézve.</w:t>
      </w:r>
    </w:p>
    <w:tbl>
      <w:tblPr>
        <w:tblW w:w="5620" w:type="dxa"/>
        <w:jc w:val="center"/>
        <w:tblCellMar>
          <w:left w:w="70" w:type="dxa"/>
          <w:right w:w="70" w:type="dxa"/>
        </w:tblCellMar>
        <w:tblLook w:val="04A0" w:firstRow="1" w:lastRow="0" w:firstColumn="1" w:lastColumn="0" w:noHBand="0" w:noVBand="1"/>
      </w:tblPr>
      <w:tblGrid>
        <w:gridCol w:w="1434"/>
        <w:gridCol w:w="1274"/>
        <w:gridCol w:w="1274"/>
        <w:gridCol w:w="947"/>
        <w:gridCol w:w="691"/>
      </w:tblGrid>
      <w:tr w:rsidR="003F1341" w:rsidRPr="003F1341" w14:paraId="5DA149F4" w14:textId="77777777" w:rsidTr="34B096E2">
        <w:trPr>
          <w:trHeight w:val="270"/>
          <w:jc w:val="center"/>
        </w:trPr>
        <w:tc>
          <w:tcPr>
            <w:tcW w:w="5620" w:type="dxa"/>
            <w:gridSpan w:val="5"/>
            <w:tcBorders>
              <w:top w:val="nil"/>
              <w:left w:val="nil"/>
              <w:bottom w:val="nil"/>
              <w:right w:val="nil"/>
            </w:tcBorders>
            <w:shd w:val="clear" w:color="auto" w:fill="auto"/>
            <w:noWrap/>
            <w:vAlign w:val="bottom"/>
            <w:hideMark/>
          </w:tcPr>
          <w:p w14:paraId="3701DDA8" w14:textId="77777777" w:rsidR="003F1341" w:rsidRPr="003F1341" w:rsidRDefault="34B096E2" w:rsidP="34B096E2">
            <w:pPr>
              <w:spacing w:before="120"/>
              <w:jc w:val="center"/>
              <w:rPr>
                <w:b/>
                <w:bCs/>
                <w:color w:val="000000" w:themeColor="text1"/>
                <w:sz w:val="20"/>
              </w:rPr>
            </w:pPr>
            <w:r w:rsidRPr="34B096E2">
              <w:rPr>
                <w:b/>
                <w:bCs/>
                <w:color w:val="000000" w:themeColor="text1"/>
                <w:sz w:val="20"/>
              </w:rPr>
              <w:t>Személyi jövedelemadó bevétel alakulása (milliárd forint)</w:t>
            </w:r>
          </w:p>
        </w:tc>
      </w:tr>
      <w:tr w:rsidR="003F1341" w:rsidRPr="003F1341" w14:paraId="28FCE067" w14:textId="77777777" w:rsidTr="34B096E2">
        <w:trPr>
          <w:trHeight w:val="450"/>
          <w:jc w:val="center"/>
        </w:trPr>
        <w:tc>
          <w:tcPr>
            <w:tcW w:w="1434" w:type="dxa"/>
            <w:vMerge w:val="restart"/>
            <w:tcBorders>
              <w:top w:val="single" w:sz="8" w:space="0" w:color="auto"/>
              <w:left w:val="single" w:sz="8" w:space="0" w:color="auto"/>
              <w:bottom w:val="single" w:sz="8" w:space="0" w:color="000000" w:themeColor="text1"/>
              <w:right w:val="single" w:sz="8" w:space="0" w:color="auto"/>
            </w:tcBorders>
            <w:shd w:val="clear" w:color="auto" w:fill="auto"/>
            <w:noWrap/>
            <w:vAlign w:val="center"/>
            <w:hideMark/>
          </w:tcPr>
          <w:p w14:paraId="665D9E31" w14:textId="77777777" w:rsidR="003F1341" w:rsidRPr="003F1341" w:rsidRDefault="34B096E2" w:rsidP="34B096E2">
            <w:pPr>
              <w:spacing w:after="0"/>
              <w:jc w:val="center"/>
              <w:rPr>
                <w:b/>
                <w:bCs/>
                <w:color w:val="000000" w:themeColor="text1"/>
                <w:sz w:val="20"/>
              </w:rPr>
            </w:pPr>
            <w:r w:rsidRPr="34B096E2">
              <w:rPr>
                <w:b/>
                <w:bCs/>
                <w:color w:val="000000" w:themeColor="text1"/>
                <w:sz w:val="20"/>
              </w:rPr>
              <w:t>Megnevezés</w:t>
            </w:r>
          </w:p>
        </w:tc>
        <w:tc>
          <w:tcPr>
            <w:tcW w:w="1274"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308A9D09" w14:textId="7845EDEB" w:rsidR="003F1341" w:rsidRPr="003F1341" w:rsidRDefault="34B096E2" w:rsidP="34B096E2">
            <w:pPr>
              <w:spacing w:after="0"/>
              <w:jc w:val="center"/>
              <w:rPr>
                <w:b/>
                <w:bCs/>
                <w:sz w:val="20"/>
              </w:rPr>
            </w:pPr>
            <w:r w:rsidRPr="34B096E2">
              <w:rPr>
                <w:b/>
                <w:bCs/>
                <w:sz w:val="20"/>
              </w:rPr>
              <w:t>2019.</w:t>
            </w:r>
            <w:r w:rsidR="48F15973">
              <w:br/>
            </w:r>
            <w:r w:rsidRPr="34B096E2">
              <w:rPr>
                <w:b/>
                <w:bCs/>
                <w:sz w:val="20"/>
              </w:rPr>
              <w:t>I-XI. hó</w:t>
            </w:r>
          </w:p>
        </w:tc>
        <w:tc>
          <w:tcPr>
            <w:tcW w:w="1274" w:type="dxa"/>
            <w:vMerge w:val="restart"/>
            <w:tcBorders>
              <w:top w:val="single" w:sz="8" w:space="0" w:color="auto"/>
              <w:left w:val="single" w:sz="8" w:space="0" w:color="auto"/>
              <w:bottom w:val="single" w:sz="8" w:space="0" w:color="000000" w:themeColor="text1"/>
              <w:right w:val="single" w:sz="8" w:space="0" w:color="auto"/>
            </w:tcBorders>
            <w:shd w:val="clear" w:color="auto" w:fill="auto"/>
            <w:vAlign w:val="center"/>
            <w:hideMark/>
          </w:tcPr>
          <w:p w14:paraId="50B736F0" w14:textId="74C5817E" w:rsidR="003F1341" w:rsidRPr="003F1341" w:rsidRDefault="34B096E2" w:rsidP="34B096E2">
            <w:pPr>
              <w:spacing w:after="0"/>
              <w:jc w:val="center"/>
              <w:rPr>
                <w:b/>
                <w:bCs/>
                <w:sz w:val="20"/>
              </w:rPr>
            </w:pPr>
            <w:r w:rsidRPr="34B096E2">
              <w:rPr>
                <w:b/>
                <w:bCs/>
                <w:sz w:val="20"/>
              </w:rPr>
              <w:t>2020.</w:t>
            </w:r>
            <w:r w:rsidR="48F15973">
              <w:br/>
            </w:r>
            <w:r w:rsidRPr="34B096E2">
              <w:rPr>
                <w:b/>
                <w:bCs/>
                <w:sz w:val="20"/>
              </w:rPr>
              <w:t>I-XI. hó</w:t>
            </w:r>
          </w:p>
        </w:tc>
        <w:tc>
          <w:tcPr>
            <w:tcW w:w="1638" w:type="dxa"/>
            <w:gridSpan w:val="2"/>
            <w:tcBorders>
              <w:top w:val="single" w:sz="8" w:space="0" w:color="auto"/>
              <w:left w:val="single" w:sz="4" w:space="0" w:color="auto"/>
              <w:bottom w:val="single" w:sz="4" w:space="0" w:color="auto"/>
              <w:right w:val="single" w:sz="8" w:space="0" w:color="000000" w:themeColor="text1"/>
            </w:tcBorders>
            <w:shd w:val="clear" w:color="auto" w:fill="auto"/>
            <w:noWrap/>
            <w:vAlign w:val="center"/>
            <w:hideMark/>
          </w:tcPr>
          <w:p w14:paraId="1FC378C5" w14:textId="77777777" w:rsidR="003F1341" w:rsidRPr="003F1341" w:rsidRDefault="34B096E2" w:rsidP="34B096E2">
            <w:pPr>
              <w:spacing w:after="0"/>
              <w:jc w:val="center"/>
              <w:rPr>
                <w:b/>
                <w:bCs/>
                <w:color w:val="000000" w:themeColor="text1"/>
                <w:sz w:val="20"/>
              </w:rPr>
            </w:pPr>
            <w:r w:rsidRPr="34B096E2">
              <w:rPr>
                <w:b/>
                <w:bCs/>
                <w:color w:val="000000" w:themeColor="text1"/>
                <w:sz w:val="20"/>
              </w:rPr>
              <w:t>Eltérés</w:t>
            </w:r>
          </w:p>
        </w:tc>
      </w:tr>
      <w:tr w:rsidR="003F1341" w:rsidRPr="003F1341" w14:paraId="04B141FD" w14:textId="77777777" w:rsidTr="34B096E2">
        <w:trPr>
          <w:trHeight w:val="690"/>
          <w:jc w:val="center"/>
        </w:trPr>
        <w:tc>
          <w:tcPr>
            <w:tcW w:w="1434" w:type="dxa"/>
            <w:vMerge/>
            <w:tcBorders>
              <w:top w:val="single" w:sz="8" w:space="0" w:color="auto"/>
              <w:left w:val="single" w:sz="8" w:space="0" w:color="auto"/>
              <w:bottom w:val="single" w:sz="8" w:space="0" w:color="000000"/>
              <w:right w:val="single" w:sz="8" w:space="0" w:color="auto"/>
            </w:tcBorders>
            <w:vAlign w:val="center"/>
            <w:hideMark/>
          </w:tcPr>
          <w:p w14:paraId="0839AA29" w14:textId="77777777" w:rsidR="003F1341" w:rsidRPr="003F1341" w:rsidRDefault="003F1341" w:rsidP="003F1341">
            <w:pPr>
              <w:spacing w:after="0"/>
              <w:jc w:val="left"/>
              <w:rPr>
                <w:b/>
                <w:bCs/>
                <w:color w:val="000000"/>
                <w:sz w:val="20"/>
              </w:rPr>
            </w:pPr>
          </w:p>
        </w:tc>
        <w:tc>
          <w:tcPr>
            <w:tcW w:w="1274" w:type="dxa"/>
            <w:vMerge/>
            <w:tcBorders>
              <w:top w:val="single" w:sz="8" w:space="0" w:color="auto"/>
              <w:left w:val="single" w:sz="8" w:space="0" w:color="auto"/>
              <w:bottom w:val="single" w:sz="8" w:space="0" w:color="000000"/>
              <w:right w:val="single" w:sz="8" w:space="0" w:color="auto"/>
            </w:tcBorders>
            <w:vAlign w:val="center"/>
            <w:hideMark/>
          </w:tcPr>
          <w:p w14:paraId="27419919" w14:textId="77777777" w:rsidR="003F1341" w:rsidRPr="003F1341" w:rsidRDefault="003F1341" w:rsidP="003F1341">
            <w:pPr>
              <w:spacing w:after="0"/>
              <w:jc w:val="left"/>
              <w:rPr>
                <w:b/>
                <w:bCs/>
                <w:sz w:val="20"/>
              </w:rPr>
            </w:pPr>
          </w:p>
        </w:tc>
        <w:tc>
          <w:tcPr>
            <w:tcW w:w="1274" w:type="dxa"/>
            <w:vMerge/>
            <w:tcBorders>
              <w:top w:val="single" w:sz="8" w:space="0" w:color="auto"/>
              <w:left w:val="single" w:sz="8" w:space="0" w:color="auto"/>
              <w:bottom w:val="single" w:sz="8" w:space="0" w:color="000000"/>
              <w:right w:val="single" w:sz="8" w:space="0" w:color="auto"/>
            </w:tcBorders>
            <w:vAlign w:val="center"/>
            <w:hideMark/>
          </w:tcPr>
          <w:p w14:paraId="1A9B2262" w14:textId="77777777" w:rsidR="003F1341" w:rsidRPr="003F1341" w:rsidRDefault="003F1341" w:rsidP="003F1341">
            <w:pPr>
              <w:spacing w:after="0"/>
              <w:jc w:val="left"/>
              <w:rPr>
                <w:b/>
                <w:bCs/>
                <w:sz w:val="20"/>
              </w:rPr>
            </w:pPr>
          </w:p>
        </w:tc>
        <w:tc>
          <w:tcPr>
            <w:tcW w:w="947" w:type="dxa"/>
            <w:tcBorders>
              <w:top w:val="nil"/>
              <w:left w:val="single" w:sz="4" w:space="0" w:color="auto"/>
              <w:bottom w:val="single" w:sz="8" w:space="0" w:color="auto"/>
              <w:right w:val="single" w:sz="4" w:space="0" w:color="auto"/>
            </w:tcBorders>
            <w:shd w:val="clear" w:color="auto" w:fill="auto"/>
            <w:noWrap/>
            <w:vAlign w:val="center"/>
            <w:hideMark/>
          </w:tcPr>
          <w:p w14:paraId="4C82DC52" w14:textId="77777777" w:rsidR="003F1341" w:rsidRPr="003F1341" w:rsidRDefault="34B096E2" w:rsidP="34B096E2">
            <w:pPr>
              <w:spacing w:after="0"/>
              <w:jc w:val="center"/>
              <w:rPr>
                <w:b/>
                <w:bCs/>
                <w:color w:val="000000" w:themeColor="text1"/>
                <w:sz w:val="20"/>
              </w:rPr>
            </w:pPr>
            <w:r w:rsidRPr="34B096E2">
              <w:rPr>
                <w:b/>
                <w:bCs/>
                <w:color w:val="000000" w:themeColor="text1"/>
                <w:sz w:val="20"/>
              </w:rPr>
              <w:t>Mrd Ft</w:t>
            </w:r>
          </w:p>
        </w:tc>
        <w:tc>
          <w:tcPr>
            <w:tcW w:w="691" w:type="dxa"/>
            <w:tcBorders>
              <w:top w:val="nil"/>
              <w:left w:val="nil"/>
              <w:bottom w:val="single" w:sz="8" w:space="0" w:color="auto"/>
              <w:right w:val="single" w:sz="8" w:space="0" w:color="auto"/>
            </w:tcBorders>
            <w:shd w:val="clear" w:color="auto" w:fill="auto"/>
            <w:noWrap/>
            <w:vAlign w:val="center"/>
            <w:hideMark/>
          </w:tcPr>
          <w:p w14:paraId="534B2402" w14:textId="77777777" w:rsidR="003F1341" w:rsidRPr="003F1341" w:rsidRDefault="34B096E2" w:rsidP="34B096E2">
            <w:pPr>
              <w:spacing w:after="0"/>
              <w:jc w:val="center"/>
              <w:rPr>
                <w:b/>
                <w:bCs/>
                <w:color w:val="000000" w:themeColor="text1"/>
                <w:sz w:val="20"/>
              </w:rPr>
            </w:pPr>
            <w:r w:rsidRPr="34B096E2">
              <w:rPr>
                <w:b/>
                <w:bCs/>
                <w:color w:val="000000" w:themeColor="text1"/>
                <w:sz w:val="20"/>
              </w:rPr>
              <w:t>%</w:t>
            </w:r>
          </w:p>
        </w:tc>
      </w:tr>
      <w:tr w:rsidR="00E15D6A" w:rsidRPr="00E15D6A" w14:paraId="3312DFB3" w14:textId="77777777" w:rsidTr="34B096E2">
        <w:trPr>
          <w:trHeight w:val="270"/>
          <w:jc w:val="center"/>
        </w:trPr>
        <w:tc>
          <w:tcPr>
            <w:tcW w:w="1434" w:type="dxa"/>
            <w:tcBorders>
              <w:top w:val="nil"/>
              <w:left w:val="single" w:sz="8" w:space="0" w:color="auto"/>
              <w:bottom w:val="single" w:sz="4" w:space="0" w:color="auto"/>
              <w:right w:val="single" w:sz="8" w:space="0" w:color="auto"/>
            </w:tcBorders>
            <w:shd w:val="clear" w:color="auto" w:fill="auto"/>
            <w:noWrap/>
            <w:vAlign w:val="center"/>
            <w:hideMark/>
          </w:tcPr>
          <w:p w14:paraId="1F3D318C" w14:textId="77777777" w:rsidR="00E15D6A" w:rsidRPr="003F1341" w:rsidRDefault="34B096E2" w:rsidP="34B096E2">
            <w:pPr>
              <w:spacing w:after="0"/>
              <w:jc w:val="center"/>
              <w:rPr>
                <w:b/>
                <w:bCs/>
                <w:sz w:val="20"/>
              </w:rPr>
            </w:pPr>
            <w:r w:rsidRPr="34B096E2">
              <w:rPr>
                <w:b/>
                <w:bCs/>
                <w:sz w:val="20"/>
              </w:rPr>
              <w:t>Befizetés</w:t>
            </w:r>
          </w:p>
        </w:tc>
        <w:tc>
          <w:tcPr>
            <w:tcW w:w="1274" w:type="dxa"/>
            <w:tcBorders>
              <w:top w:val="nil"/>
              <w:left w:val="nil"/>
              <w:bottom w:val="single" w:sz="4" w:space="0" w:color="auto"/>
              <w:right w:val="single" w:sz="8" w:space="0" w:color="auto"/>
            </w:tcBorders>
            <w:shd w:val="clear" w:color="auto" w:fill="auto"/>
            <w:noWrap/>
          </w:tcPr>
          <w:p w14:paraId="09A288E7" w14:textId="68BB7BEC" w:rsidR="00E15D6A" w:rsidRPr="00E15D6A" w:rsidRDefault="34B096E2" w:rsidP="00CC34DA">
            <w:pPr>
              <w:spacing w:after="0"/>
              <w:jc w:val="right"/>
              <w:rPr>
                <w:sz w:val="20"/>
              </w:rPr>
            </w:pPr>
            <w:r w:rsidRPr="34B096E2">
              <w:rPr>
                <w:sz w:val="20"/>
              </w:rPr>
              <w:t>2 322,</w:t>
            </w:r>
            <w:r w:rsidR="00CC34DA">
              <w:rPr>
                <w:sz w:val="20"/>
              </w:rPr>
              <w:t>5</w:t>
            </w:r>
          </w:p>
        </w:tc>
        <w:tc>
          <w:tcPr>
            <w:tcW w:w="1274" w:type="dxa"/>
            <w:tcBorders>
              <w:top w:val="nil"/>
              <w:left w:val="nil"/>
              <w:bottom w:val="single" w:sz="4" w:space="0" w:color="auto"/>
              <w:right w:val="nil"/>
            </w:tcBorders>
            <w:shd w:val="clear" w:color="auto" w:fill="auto"/>
            <w:noWrap/>
          </w:tcPr>
          <w:p w14:paraId="3B6AAC82" w14:textId="7C47DDC2" w:rsidR="00E15D6A" w:rsidRPr="00E15D6A" w:rsidRDefault="34B096E2" w:rsidP="34B096E2">
            <w:pPr>
              <w:spacing w:after="0"/>
              <w:jc w:val="right"/>
              <w:rPr>
                <w:sz w:val="20"/>
              </w:rPr>
            </w:pPr>
            <w:r w:rsidRPr="34B096E2">
              <w:rPr>
                <w:sz w:val="20"/>
              </w:rPr>
              <w:t>2 443,4</w:t>
            </w:r>
          </w:p>
        </w:tc>
        <w:tc>
          <w:tcPr>
            <w:tcW w:w="947" w:type="dxa"/>
            <w:tcBorders>
              <w:top w:val="nil"/>
              <w:left w:val="single" w:sz="8" w:space="0" w:color="auto"/>
              <w:bottom w:val="single" w:sz="4" w:space="0" w:color="auto"/>
              <w:right w:val="single" w:sz="4" w:space="0" w:color="auto"/>
            </w:tcBorders>
            <w:shd w:val="clear" w:color="auto" w:fill="auto"/>
            <w:noWrap/>
          </w:tcPr>
          <w:p w14:paraId="0668BF9C" w14:textId="3D4F385B" w:rsidR="00E15D6A" w:rsidRPr="00E15D6A" w:rsidRDefault="34B096E2" w:rsidP="34B096E2">
            <w:pPr>
              <w:spacing w:after="0"/>
              <w:jc w:val="right"/>
              <w:rPr>
                <w:sz w:val="20"/>
              </w:rPr>
            </w:pPr>
            <w:r w:rsidRPr="34B096E2">
              <w:rPr>
                <w:sz w:val="20"/>
              </w:rPr>
              <w:t>120,9</w:t>
            </w:r>
          </w:p>
        </w:tc>
        <w:tc>
          <w:tcPr>
            <w:tcW w:w="691" w:type="dxa"/>
            <w:tcBorders>
              <w:top w:val="nil"/>
              <w:left w:val="nil"/>
              <w:bottom w:val="single" w:sz="4" w:space="0" w:color="auto"/>
              <w:right w:val="single" w:sz="8" w:space="0" w:color="auto"/>
            </w:tcBorders>
            <w:shd w:val="clear" w:color="auto" w:fill="auto"/>
            <w:noWrap/>
          </w:tcPr>
          <w:p w14:paraId="7B8B88FA" w14:textId="48BE98DE" w:rsidR="00E15D6A" w:rsidRPr="00E15D6A" w:rsidRDefault="34B096E2" w:rsidP="34B096E2">
            <w:pPr>
              <w:spacing w:after="0"/>
              <w:jc w:val="right"/>
              <w:rPr>
                <w:color w:val="000000" w:themeColor="text1"/>
                <w:sz w:val="20"/>
              </w:rPr>
            </w:pPr>
            <w:r w:rsidRPr="34B096E2">
              <w:rPr>
                <w:sz w:val="20"/>
              </w:rPr>
              <w:t>105,2</w:t>
            </w:r>
          </w:p>
        </w:tc>
      </w:tr>
      <w:tr w:rsidR="00E15D6A" w:rsidRPr="00E15D6A" w14:paraId="77B87138" w14:textId="77777777" w:rsidTr="34B096E2">
        <w:trPr>
          <w:trHeight w:val="285"/>
          <w:jc w:val="center"/>
        </w:trPr>
        <w:tc>
          <w:tcPr>
            <w:tcW w:w="1434" w:type="dxa"/>
            <w:tcBorders>
              <w:top w:val="nil"/>
              <w:left w:val="single" w:sz="8" w:space="0" w:color="auto"/>
              <w:bottom w:val="single" w:sz="4" w:space="0" w:color="auto"/>
              <w:right w:val="single" w:sz="8" w:space="0" w:color="auto"/>
            </w:tcBorders>
            <w:shd w:val="clear" w:color="auto" w:fill="auto"/>
            <w:noWrap/>
            <w:vAlign w:val="center"/>
            <w:hideMark/>
          </w:tcPr>
          <w:p w14:paraId="761C99AF" w14:textId="77777777" w:rsidR="00E15D6A" w:rsidRPr="003F1341" w:rsidRDefault="34B096E2" w:rsidP="34B096E2">
            <w:pPr>
              <w:spacing w:after="0"/>
              <w:jc w:val="center"/>
              <w:rPr>
                <w:b/>
                <w:bCs/>
                <w:sz w:val="20"/>
              </w:rPr>
            </w:pPr>
            <w:r w:rsidRPr="34B096E2">
              <w:rPr>
                <w:b/>
                <w:bCs/>
                <w:sz w:val="20"/>
              </w:rPr>
              <w:t>Kiutalás</w:t>
            </w:r>
          </w:p>
        </w:tc>
        <w:tc>
          <w:tcPr>
            <w:tcW w:w="1274" w:type="dxa"/>
            <w:tcBorders>
              <w:top w:val="nil"/>
              <w:left w:val="nil"/>
              <w:bottom w:val="single" w:sz="4" w:space="0" w:color="auto"/>
              <w:right w:val="single" w:sz="8" w:space="0" w:color="auto"/>
            </w:tcBorders>
            <w:shd w:val="clear" w:color="auto" w:fill="auto"/>
            <w:noWrap/>
          </w:tcPr>
          <w:p w14:paraId="4240CF9A" w14:textId="0D37E1D9" w:rsidR="00E15D6A" w:rsidRPr="00E15D6A" w:rsidRDefault="34B096E2" w:rsidP="34B096E2">
            <w:pPr>
              <w:spacing w:after="0"/>
              <w:jc w:val="right"/>
              <w:rPr>
                <w:sz w:val="20"/>
              </w:rPr>
            </w:pPr>
            <w:r w:rsidRPr="34B096E2">
              <w:rPr>
                <w:sz w:val="20"/>
              </w:rPr>
              <w:t>136,8</w:t>
            </w:r>
          </w:p>
        </w:tc>
        <w:tc>
          <w:tcPr>
            <w:tcW w:w="1274" w:type="dxa"/>
            <w:tcBorders>
              <w:top w:val="nil"/>
              <w:left w:val="nil"/>
              <w:bottom w:val="single" w:sz="4" w:space="0" w:color="auto"/>
              <w:right w:val="nil"/>
            </w:tcBorders>
            <w:shd w:val="clear" w:color="auto" w:fill="auto"/>
            <w:noWrap/>
          </w:tcPr>
          <w:p w14:paraId="4B69188B" w14:textId="3137705B" w:rsidR="00E15D6A" w:rsidRPr="00E15D6A" w:rsidRDefault="34B096E2" w:rsidP="34B096E2">
            <w:pPr>
              <w:spacing w:after="0"/>
              <w:jc w:val="right"/>
              <w:rPr>
                <w:sz w:val="20"/>
              </w:rPr>
            </w:pPr>
            <w:r w:rsidRPr="34B096E2">
              <w:rPr>
                <w:sz w:val="20"/>
              </w:rPr>
              <w:t>156,5</w:t>
            </w:r>
          </w:p>
        </w:tc>
        <w:tc>
          <w:tcPr>
            <w:tcW w:w="947" w:type="dxa"/>
            <w:tcBorders>
              <w:top w:val="nil"/>
              <w:left w:val="single" w:sz="8" w:space="0" w:color="auto"/>
              <w:bottom w:val="single" w:sz="4" w:space="0" w:color="auto"/>
              <w:right w:val="single" w:sz="4" w:space="0" w:color="auto"/>
            </w:tcBorders>
            <w:shd w:val="clear" w:color="auto" w:fill="auto"/>
            <w:noWrap/>
          </w:tcPr>
          <w:p w14:paraId="19DF5EEB" w14:textId="0336D333" w:rsidR="00E15D6A" w:rsidRPr="00E15D6A" w:rsidRDefault="34B096E2" w:rsidP="34B096E2">
            <w:pPr>
              <w:spacing w:after="0"/>
              <w:jc w:val="right"/>
              <w:rPr>
                <w:sz w:val="20"/>
              </w:rPr>
            </w:pPr>
            <w:r w:rsidRPr="34B096E2">
              <w:rPr>
                <w:sz w:val="20"/>
              </w:rPr>
              <w:t>19,7</w:t>
            </w:r>
          </w:p>
        </w:tc>
        <w:tc>
          <w:tcPr>
            <w:tcW w:w="691" w:type="dxa"/>
            <w:tcBorders>
              <w:top w:val="nil"/>
              <w:left w:val="nil"/>
              <w:bottom w:val="single" w:sz="4" w:space="0" w:color="auto"/>
              <w:right w:val="single" w:sz="8" w:space="0" w:color="auto"/>
            </w:tcBorders>
            <w:shd w:val="clear" w:color="auto" w:fill="auto"/>
            <w:noWrap/>
          </w:tcPr>
          <w:p w14:paraId="29492FB8" w14:textId="60F7F632" w:rsidR="00E15D6A" w:rsidRPr="00E15D6A" w:rsidRDefault="34B096E2" w:rsidP="34B096E2">
            <w:pPr>
              <w:spacing w:after="0"/>
              <w:jc w:val="right"/>
              <w:rPr>
                <w:color w:val="000000" w:themeColor="text1"/>
                <w:sz w:val="20"/>
              </w:rPr>
            </w:pPr>
            <w:r w:rsidRPr="34B096E2">
              <w:rPr>
                <w:sz w:val="20"/>
              </w:rPr>
              <w:t>114,4</w:t>
            </w:r>
          </w:p>
        </w:tc>
      </w:tr>
      <w:tr w:rsidR="00E15D6A" w:rsidRPr="00E15D6A" w14:paraId="4DC8FA19" w14:textId="77777777" w:rsidTr="34B096E2">
        <w:trPr>
          <w:trHeight w:val="270"/>
          <w:jc w:val="center"/>
        </w:trPr>
        <w:tc>
          <w:tcPr>
            <w:tcW w:w="1434" w:type="dxa"/>
            <w:tcBorders>
              <w:top w:val="nil"/>
              <w:left w:val="single" w:sz="8" w:space="0" w:color="auto"/>
              <w:bottom w:val="single" w:sz="8" w:space="0" w:color="auto"/>
              <w:right w:val="single" w:sz="8" w:space="0" w:color="auto"/>
            </w:tcBorders>
            <w:shd w:val="clear" w:color="auto" w:fill="auto"/>
            <w:noWrap/>
            <w:vAlign w:val="center"/>
            <w:hideMark/>
          </w:tcPr>
          <w:p w14:paraId="79DC6734" w14:textId="3151CAE9" w:rsidR="00E15D6A" w:rsidRPr="003F1341" w:rsidRDefault="34B096E2" w:rsidP="34B096E2">
            <w:pPr>
              <w:spacing w:after="0"/>
              <w:jc w:val="center"/>
              <w:rPr>
                <w:b/>
                <w:bCs/>
                <w:sz w:val="20"/>
              </w:rPr>
            </w:pPr>
            <w:r w:rsidRPr="34B096E2">
              <w:rPr>
                <w:b/>
                <w:bCs/>
                <w:sz w:val="20"/>
              </w:rPr>
              <w:t>Egyenleg</w:t>
            </w:r>
          </w:p>
        </w:tc>
        <w:tc>
          <w:tcPr>
            <w:tcW w:w="1274" w:type="dxa"/>
            <w:tcBorders>
              <w:top w:val="nil"/>
              <w:left w:val="nil"/>
              <w:bottom w:val="single" w:sz="8" w:space="0" w:color="auto"/>
              <w:right w:val="single" w:sz="8" w:space="0" w:color="auto"/>
            </w:tcBorders>
            <w:shd w:val="clear" w:color="auto" w:fill="auto"/>
            <w:noWrap/>
          </w:tcPr>
          <w:p w14:paraId="17702B75" w14:textId="34A6AC56" w:rsidR="00E15D6A" w:rsidRPr="00E15D6A" w:rsidRDefault="34B096E2" w:rsidP="34B096E2">
            <w:pPr>
              <w:spacing w:after="0"/>
              <w:jc w:val="right"/>
              <w:rPr>
                <w:b/>
                <w:bCs/>
                <w:sz w:val="20"/>
              </w:rPr>
            </w:pPr>
            <w:r w:rsidRPr="34B096E2">
              <w:rPr>
                <w:sz w:val="20"/>
              </w:rPr>
              <w:t>2 185,7</w:t>
            </w:r>
          </w:p>
        </w:tc>
        <w:tc>
          <w:tcPr>
            <w:tcW w:w="1274" w:type="dxa"/>
            <w:tcBorders>
              <w:top w:val="nil"/>
              <w:left w:val="nil"/>
              <w:bottom w:val="single" w:sz="8" w:space="0" w:color="auto"/>
              <w:right w:val="nil"/>
            </w:tcBorders>
            <w:shd w:val="clear" w:color="auto" w:fill="auto"/>
            <w:noWrap/>
          </w:tcPr>
          <w:p w14:paraId="453FDAD4" w14:textId="7CEC10D3" w:rsidR="00E15D6A" w:rsidRPr="00E15D6A" w:rsidRDefault="34B096E2" w:rsidP="34B096E2">
            <w:pPr>
              <w:spacing w:after="0"/>
              <w:jc w:val="right"/>
              <w:rPr>
                <w:b/>
                <w:bCs/>
                <w:sz w:val="20"/>
              </w:rPr>
            </w:pPr>
            <w:r w:rsidRPr="34B096E2">
              <w:rPr>
                <w:sz w:val="20"/>
              </w:rPr>
              <w:t>2 286,9</w:t>
            </w:r>
          </w:p>
        </w:tc>
        <w:tc>
          <w:tcPr>
            <w:tcW w:w="947" w:type="dxa"/>
            <w:tcBorders>
              <w:top w:val="nil"/>
              <w:left w:val="single" w:sz="8" w:space="0" w:color="auto"/>
              <w:bottom w:val="single" w:sz="8" w:space="0" w:color="auto"/>
              <w:right w:val="single" w:sz="4" w:space="0" w:color="auto"/>
            </w:tcBorders>
            <w:shd w:val="clear" w:color="auto" w:fill="auto"/>
            <w:noWrap/>
          </w:tcPr>
          <w:p w14:paraId="3DBAE11D" w14:textId="109886F9" w:rsidR="00E15D6A" w:rsidRPr="00E15D6A" w:rsidRDefault="34B096E2" w:rsidP="00B6313B">
            <w:pPr>
              <w:spacing w:after="0"/>
              <w:jc w:val="right"/>
              <w:rPr>
                <w:b/>
                <w:bCs/>
                <w:sz w:val="20"/>
              </w:rPr>
            </w:pPr>
            <w:r w:rsidRPr="34B096E2">
              <w:rPr>
                <w:sz w:val="20"/>
              </w:rPr>
              <w:t>101,</w:t>
            </w:r>
            <w:r w:rsidR="00B6313B">
              <w:rPr>
                <w:sz w:val="20"/>
              </w:rPr>
              <w:t>2</w:t>
            </w:r>
          </w:p>
        </w:tc>
        <w:tc>
          <w:tcPr>
            <w:tcW w:w="691" w:type="dxa"/>
            <w:tcBorders>
              <w:top w:val="nil"/>
              <w:left w:val="nil"/>
              <w:bottom w:val="single" w:sz="8" w:space="0" w:color="auto"/>
              <w:right w:val="single" w:sz="8" w:space="0" w:color="auto"/>
            </w:tcBorders>
            <w:shd w:val="clear" w:color="auto" w:fill="auto"/>
            <w:noWrap/>
          </w:tcPr>
          <w:p w14:paraId="455AF72B" w14:textId="2BEFCDD1" w:rsidR="00E15D6A" w:rsidRPr="00E15D6A" w:rsidRDefault="34B096E2" w:rsidP="34B096E2">
            <w:pPr>
              <w:spacing w:after="0"/>
              <w:jc w:val="right"/>
              <w:rPr>
                <w:b/>
                <w:bCs/>
                <w:color w:val="000000" w:themeColor="text1"/>
                <w:sz w:val="20"/>
              </w:rPr>
            </w:pPr>
            <w:r w:rsidRPr="34B096E2">
              <w:rPr>
                <w:sz w:val="20"/>
              </w:rPr>
              <w:t>104,6</w:t>
            </w:r>
          </w:p>
        </w:tc>
      </w:tr>
    </w:tbl>
    <w:p w14:paraId="27EF02E4" w14:textId="79AEF943" w:rsidR="00FC780F" w:rsidRDefault="00FC780F" w:rsidP="00A9031A">
      <w:pPr>
        <w:spacing w:after="0"/>
        <w:rPr>
          <w:szCs w:val="26"/>
        </w:rPr>
      </w:pPr>
    </w:p>
    <w:p w14:paraId="489D829D" w14:textId="77777777" w:rsidR="000353E7" w:rsidRDefault="000353E7" w:rsidP="00A9031A">
      <w:pPr>
        <w:spacing w:after="0"/>
        <w:rPr>
          <w:szCs w:val="26"/>
        </w:rPr>
      </w:pPr>
    </w:p>
    <w:p w14:paraId="3DFFB74A" w14:textId="64E5B2E7" w:rsidR="00993B37" w:rsidRPr="00993B37" w:rsidRDefault="34B096E2" w:rsidP="34B096E2">
      <w:pPr>
        <w:rPr>
          <w:rFonts w:cs="Tahoma"/>
          <w:color w:val="000000" w:themeColor="text1"/>
        </w:rPr>
      </w:pPr>
      <w:r w:rsidRPr="34B096E2">
        <w:rPr>
          <w:rFonts w:cs="Tahoma"/>
          <w:color w:val="000000" w:themeColor="text1"/>
        </w:rPr>
        <w:t>A „</w:t>
      </w:r>
      <w:r w:rsidRPr="34B096E2">
        <w:rPr>
          <w:rFonts w:cs="Tahoma"/>
          <w:b/>
          <w:bCs/>
          <w:color w:val="000000" w:themeColor="text1"/>
        </w:rPr>
        <w:t>Központi Maradványalapba történő befizetések</w:t>
      </w:r>
      <w:r w:rsidRPr="34B096E2">
        <w:rPr>
          <w:rFonts w:cs="Tahoma"/>
          <w:color w:val="000000" w:themeColor="text1"/>
        </w:rPr>
        <w:t>” mérlegsorra a költségvetési szervek és a szakmai fejezeti kezelésű előirányzatok terhére 2020. november végéig összesen 334,7 milliárd forint maradvány került befizetésre, amely 49,8 </w:t>
      </w:r>
      <w:r>
        <w:t>milliárd forinttal több az egy évvel korábbi összegnél.</w:t>
      </w:r>
    </w:p>
    <w:p w14:paraId="34036852" w14:textId="1479C426" w:rsidR="40B3576B" w:rsidRDefault="34B096E2" w:rsidP="40B3576B">
      <w:r>
        <w:t xml:space="preserve">Az </w:t>
      </w:r>
      <w:r w:rsidRPr="34B096E2">
        <w:rPr>
          <w:b/>
          <w:bCs/>
        </w:rPr>
        <w:t>állami vagyonnal kapcsolatos befizetések</w:t>
      </w:r>
      <w:r>
        <w:t xml:space="preserve"> összege november végéig 273,7 milliárd forint volt, melynek meghatározó tételei a frekvenciahasznosítással kapcsolatos 128,5 milliárd forintos összeg, a </w:t>
      </w:r>
      <w:proofErr w:type="gramStart"/>
      <w:r>
        <w:t>kvóta</w:t>
      </w:r>
      <w:proofErr w:type="gramEnd"/>
      <w:r>
        <w:t xml:space="preserve">értékesítésből származó bevétel, az MNV </w:t>
      </w:r>
      <w:proofErr w:type="spellStart"/>
      <w:r>
        <w:t>Zrt</w:t>
      </w:r>
      <w:proofErr w:type="spellEnd"/>
      <w:r>
        <w:t>. rábízott vagyonával kapcsolatos bevételek, továbbá a koncessziós díjakból befolyó összegek és az osztalékbevételek. A befizetések összetételét a következő diagram szemlélteti:</w:t>
      </w:r>
    </w:p>
    <w:p w14:paraId="515C9527" w14:textId="48D46787" w:rsidR="00A23CE1" w:rsidRDefault="008D4D8D" w:rsidP="40B3576B">
      <w:r>
        <w:rPr>
          <w:noProof/>
        </w:rPr>
        <w:drawing>
          <wp:inline distT="0" distB="0" distL="0" distR="0" wp14:anchorId="17947971" wp14:editId="339F5994">
            <wp:extent cx="5940425" cy="3768090"/>
            <wp:effectExtent l="0" t="0" r="3175" b="3810"/>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gyon_befizetések.png"/>
                    <pic:cNvPicPr/>
                  </pic:nvPicPr>
                  <pic:blipFill>
                    <a:blip r:embed="rId17">
                      <a:extLst>
                        <a:ext uri="{28A0092B-C50C-407E-A947-70E740481C1C}">
                          <a14:useLocalDpi xmlns:a14="http://schemas.microsoft.com/office/drawing/2010/main" val="0"/>
                        </a:ext>
                      </a:extLst>
                    </a:blip>
                    <a:stretch>
                      <a:fillRect/>
                    </a:stretch>
                  </pic:blipFill>
                  <pic:spPr>
                    <a:xfrm>
                      <a:off x="0" y="0"/>
                      <a:ext cx="5940425" cy="3768090"/>
                    </a:xfrm>
                    <a:prstGeom prst="rect">
                      <a:avLst/>
                    </a:prstGeom>
                  </pic:spPr>
                </pic:pic>
              </a:graphicData>
            </a:graphic>
          </wp:inline>
        </w:drawing>
      </w:r>
    </w:p>
    <w:p w14:paraId="5EE7FF7B" w14:textId="26D4E073" w:rsidR="2EF4C331" w:rsidRDefault="34B096E2" w:rsidP="2EF4C331">
      <w:r>
        <w:lastRenderedPageBreak/>
        <w:t xml:space="preserve">Az </w:t>
      </w:r>
      <w:r w:rsidRPr="34B096E2">
        <w:rPr>
          <w:b/>
          <w:bCs/>
        </w:rPr>
        <w:t>uniós bevételek</w:t>
      </w:r>
      <w:r>
        <w:t xml:space="preserve"> főszabály szerint a XLII. </w:t>
      </w:r>
      <w:proofErr w:type="gramStart"/>
      <w:r>
        <w:t>A</w:t>
      </w:r>
      <w:proofErr w:type="gramEnd"/>
      <w:r>
        <w:t xml:space="preserve"> költségvetés közvetlen bevételei és kiadásai fejezetbe érkeznek, ezek kimutatására szolgál az „Uniós programok bevételei” mérlegsor, valamint az „Egyéb uniós bevételek” mérlegsor. </w:t>
      </w:r>
    </w:p>
    <w:p w14:paraId="49E20CD4" w14:textId="6B6E5CAB" w:rsidR="34B096E2" w:rsidRDefault="34B096E2" w:rsidP="34B096E2">
      <w:r>
        <w:t>Az „</w:t>
      </w:r>
      <w:r w:rsidRPr="34B096E2">
        <w:rPr>
          <w:b/>
          <w:bCs/>
        </w:rPr>
        <w:t>Uniós programok bevételei”</w:t>
      </w:r>
      <w:r>
        <w:t xml:space="preserve"> mérlegsoron</w:t>
      </w:r>
      <w:r w:rsidRPr="34B096E2">
        <w:rPr>
          <w:szCs w:val="26"/>
        </w:rPr>
        <w:t xml:space="preserve"> 2020 első tizenegy hónapjában 1016,1</w:t>
      </w:r>
      <w:r w:rsidR="00DB0B70">
        <w:rPr>
          <w:szCs w:val="26"/>
        </w:rPr>
        <w:t> </w:t>
      </w:r>
      <w:r w:rsidRPr="34B096E2">
        <w:rPr>
          <w:szCs w:val="26"/>
        </w:rPr>
        <w:t>milliárd forint bevétel keletkezett. Ez az összeg az éves előirányzat 68,6%-át teszi ki.</w:t>
      </w:r>
    </w:p>
    <w:p w14:paraId="5088EA7A" w14:textId="4180FE3F" w:rsidR="34B096E2" w:rsidRDefault="34B096E2" w:rsidP="34B096E2">
      <w:r>
        <w:t>Az „</w:t>
      </w:r>
      <w:r w:rsidRPr="34B096E2">
        <w:rPr>
          <w:b/>
          <w:bCs/>
        </w:rPr>
        <w:t>Egyéb uniós bevételek</w:t>
      </w:r>
      <w:r>
        <w:t xml:space="preserve">” soron belül a </w:t>
      </w:r>
      <w:r w:rsidRPr="001B4CF4">
        <w:rPr>
          <w:i/>
        </w:rPr>
        <w:t>vámbeszedési költség megtérítése</w:t>
      </w:r>
      <w:r w:rsidRPr="34B096E2">
        <w:rPr>
          <w:szCs w:val="26"/>
        </w:rPr>
        <w:t xml:space="preserve"> 14,3</w:t>
      </w:r>
      <w:r w:rsidR="004E68FD">
        <w:rPr>
          <w:szCs w:val="26"/>
        </w:rPr>
        <w:t> </w:t>
      </w:r>
      <w:r w:rsidRPr="34B096E2">
        <w:rPr>
          <w:szCs w:val="26"/>
        </w:rPr>
        <w:t>milliárd forintot tett ki november végéig. Ez az összeg az éves előirányzat 83,9%-</w:t>
      </w:r>
      <w:proofErr w:type="gramStart"/>
      <w:r w:rsidRPr="34B096E2">
        <w:rPr>
          <w:szCs w:val="26"/>
        </w:rPr>
        <w:t>a</w:t>
      </w:r>
      <w:proofErr w:type="gramEnd"/>
      <w:r w:rsidRPr="34B096E2">
        <w:rPr>
          <w:szCs w:val="26"/>
        </w:rPr>
        <w:t>, és 0,5</w:t>
      </w:r>
      <w:r w:rsidR="004E68FD">
        <w:rPr>
          <w:szCs w:val="26"/>
        </w:rPr>
        <w:t> </w:t>
      </w:r>
      <w:r w:rsidRPr="34B096E2">
        <w:rPr>
          <w:szCs w:val="26"/>
        </w:rPr>
        <w:t>milliárd forinttal marad</w:t>
      </w:r>
      <w:r w:rsidR="004E68FD">
        <w:rPr>
          <w:szCs w:val="26"/>
        </w:rPr>
        <w:t>t</w:t>
      </w:r>
      <w:r w:rsidRPr="34B096E2">
        <w:rPr>
          <w:szCs w:val="26"/>
        </w:rPr>
        <w:t xml:space="preserve"> el a 2019. év azonos időszakában keletkezett bevételtől. Az </w:t>
      </w:r>
      <w:r w:rsidR="001B4CF4">
        <w:rPr>
          <w:szCs w:val="26"/>
        </w:rPr>
        <w:t>„</w:t>
      </w:r>
      <w:r w:rsidRPr="001B4CF4">
        <w:rPr>
          <w:i/>
          <w:szCs w:val="26"/>
        </w:rPr>
        <w:t>Uniós támogatások utólagos megtérítése</w:t>
      </w:r>
      <w:r w:rsidR="001B4CF4">
        <w:rPr>
          <w:szCs w:val="26"/>
        </w:rPr>
        <w:t>”</w:t>
      </w:r>
      <w:r w:rsidRPr="34B096E2">
        <w:rPr>
          <w:szCs w:val="26"/>
        </w:rPr>
        <w:t xml:space="preserve"> soron 2020. november végéig 1,9</w:t>
      </w:r>
      <w:r w:rsidR="00641A97">
        <w:rPr>
          <w:szCs w:val="26"/>
        </w:rPr>
        <w:t> </w:t>
      </w:r>
      <w:r w:rsidRPr="34B096E2">
        <w:rPr>
          <w:szCs w:val="26"/>
        </w:rPr>
        <w:t>milliárd forint bevétel keletkezett, amely mögött maradvány és számlaegyenleg</w:t>
      </w:r>
      <w:r w:rsidR="005347F0">
        <w:rPr>
          <w:szCs w:val="26"/>
        </w:rPr>
        <w:t>-</w:t>
      </w:r>
      <w:r w:rsidRPr="34B096E2">
        <w:rPr>
          <w:szCs w:val="26"/>
        </w:rPr>
        <w:t>beutalás áll.</w:t>
      </w:r>
    </w:p>
    <w:p w14:paraId="370382AE" w14:textId="69B7F48B" w:rsidR="009C12C4" w:rsidRPr="009C12C4" w:rsidRDefault="34B096E2" w:rsidP="009C12C4">
      <w:pPr>
        <w:rPr>
          <w:szCs w:val="26"/>
        </w:rPr>
      </w:pPr>
      <w:r>
        <w:t xml:space="preserve">Az év első tizenegy hónapjában </w:t>
      </w:r>
      <w:r w:rsidRPr="34B096E2">
        <w:rPr>
          <w:b/>
          <w:bCs/>
        </w:rPr>
        <w:t xml:space="preserve">a szociális hozzájárulási adóból és járulékokból a Nyugdíjbiztosítási Alapot megillető bevételek </w:t>
      </w:r>
      <w:r>
        <w:t>(2952,9</w:t>
      </w:r>
      <w:r w:rsidR="00A877AE">
        <w:t> </w:t>
      </w:r>
      <w:r>
        <w:t>milliárd forint) 2,3%-kal, 68,9</w:t>
      </w:r>
      <w:r w:rsidR="00A877AE">
        <w:t> </w:t>
      </w:r>
      <w:r>
        <w:t>milliárd forinttal maradtak el az előző év azonos időszakában befolyt bevételektől. A szociális hozzájárulási adó és járulékok előző évhez viszonyított elemzésekor figyelembe kell venni, hogy 2020-ban a szociális hozzájárulási adó bevétel 71,63%-</w:t>
      </w:r>
      <w:proofErr w:type="gramStart"/>
      <w:r>
        <w:t>a</w:t>
      </w:r>
      <w:proofErr w:type="gramEnd"/>
      <w:r>
        <w:t>, 2019-ban 70,22%-a illette meg a Ny</w:t>
      </w:r>
      <w:r w:rsidR="00980456">
        <w:t>ugdíjbiztosítási</w:t>
      </w:r>
      <w:r>
        <w:t xml:space="preserve"> Alapot. </w:t>
      </w:r>
      <w:r w:rsidR="006B5FD8">
        <w:t xml:space="preserve">2020 augusztusában továbbá 15,5%-os, </w:t>
      </w:r>
      <w:r>
        <w:t>2020 januárjában 17,5%-os, 2019 januárjában pedig 19,5%-os szociális hozzájárulási adóteher mellett történt a befizetés. A koronavírus okozta válság hatásai már nyolcadik hónapja éreztetik hatásukat a bevételekre nézve, a bevezetett munkaadói és munkavállalói kedvezmények pedig további elmaradásokat eredményeztek. A fenti hatások eredőjeként az év első tizenegy hónapjában a Ny</w:t>
      </w:r>
      <w:r w:rsidR="001C1240">
        <w:t>ugdíjbiztosítási</w:t>
      </w:r>
      <w:r>
        <w:t xml:space="preserve"> Alapot megillető szociális hozzájárulási adóbevétel 7,7%-kal (130,6</w:t>
      </w:r>
      <w:r w:rsidR="00013DD0">
        <w:t> </w:t>
      </w:r>
      <w:r>
        <w:t>milliárd forinttal) csökkent a 2019</w:t>
      </w:r>
      <w:r w:rsidR="00466F48">
        <w:t>. év</w:t>
      </w:r>
      <w:r>
        <w:t xml:space="preserve"> azonos időszakában befolyt összeghez képest. Az adó- és járulékbevételeken belül a biztosítottak által fizetett nyugdíjjárulék 2020 első tizenegy hónapjában 61,7</w:t>
      </w:r>
      <w:r w:rsidR="008A6A41">
        <w:t> </w:t>
      </w:r>
      <w:r>
        <w:t>milliárd forinttal, 4,6%-kal növekedett a bázishoz képest, melynek hátterében a bruttókereset-növekedés áll, melyet a koronavírus</w:t>
      </w:r>
      <w:r w:rsidR="00DE4200">
        <w:t>-</w:t>
      </w:r>
      <w:r>
        <w:t>járvány miatt bevezetett intézkedések mérsékelnek.</w:t>
      </w:r>
    </w:p>
    <w:p w14:paraId="55EB5064" w14:textId="69CD0D18" w:rsidR="00AE7C42" w:rsidRPr="00AE7C42" w:rsidRDefault="34B096E2" w:rsidP="00AE7C42">
      <w:pPr>
        <w:rPr>
          <w:szCs w:val="26"/>
        </w:rPr>
      </w:pPr>
      <w:r>
        <w:t>A</w:t>
      </w:r>
      <w:r w:rsidRPr="34B096E2">
        <w:rPr>
          <w:rFonts w:eastAsia="Calibri"/>
        </w:rPr>
        <w:t xml:space="preserve">z </w:t>
      </w:r>
      <w:r w:rsidRPr="34B096E2">
        <w:rPr>
          <w:rFonts w:eastAsia="Calibri"/>
          <w:b/>
          <w:bCs/>
        </w:rPr>
        <w:t xml:space="preserve">Egészségbiztosítási Alap </w:t>
      </w:r>
      <w:r w:rsidRPr="34B096E2">
        <w:rPr>
          <w:rFonts w:eastAsia="Calibri"/>
        </w:rPr>
        <w:t xml:space="preserve">esetében a </w:t>
      </w:r>
      <w:r w:rsidRPr="34B096E2">
        <w:rPr>
          <w:rFonts w:eastAsia="Calibri"/>
          <w:b/>
          <w:bCs/>
        </w:rPr>
        <w:t>szociális hozzájárulási adóból és járulékokból</w:t>
      </w:r>
      <w:r w:rsidRPr="34B096E2">
        <w:rPr>
          <w:rFonts w:eastAsia="Calibri"/>
        </w:rPr>
        <w:t xml:space="preserve"> származó bevétel (1558,8</w:t>
      </w:r>
      <w:r w:rsidR="00C56F08">
        <w:rPr>
          <w:rFonts w:eastAsia="Calibri"/>
        </w:rPr>
        <w:t> </w:t>
      </w:r>
      <w:r w:rsidRPr="34B096E2">
        <w:rPr>
          <w:rFonts w:eastAsia="Calibri"/>
        </w:rPr>
        <w:t>milliárd forint) 8,6</w:t>
      </w:r>
      <w:r w:rsidR="003753E2">
        <w:rPr>
          <w:rFonts w:eastAsia="Calibri"/>
        </w:rPr>
        <w:t> </w:t>
      </w:r>
      <w:r w:rsidRPr="34B096E2">
        <w:rPr>
          <w:rFonts w:eastAsia="Calibri"/>
        </w:rPr>
        <w:t>milliárd forinttal (0,6%</w:t>
      </w:r>
      <w:r w:rsidR="00885DE5">
        <w:rPr>
          <w:rFonts w:eastAsia="Calibri"/>
        </w:rPr>
        <w:t>-kal</w:t>
      </w:r>
      <w:r w:rsidRPr="34B096E2">
        <w:rPr>
          <w:rFonts w:eastAsia="Calibri"/>
        </w:rPr>
        <w:t>) haladták meg az előző év azonos időszakának bevételeit. A szociális hozzájárulási adó és járulékok előző évhez viszonyított elemzésekor figyelembe kell venni, hogy megváltozott a szociális hozzájárulási adó megosztási aránya. 2020-ban a szociális hozzájárulási adó megfizetett összegének 28,37%-</w:t>
      </w:r>
      <w:proofErr w:type="gramStart"/>
      <w:r w:rsidRPr="34B096E2">
        <w:rPr>
          <w:rFonts w:eastAsia="Calibri"/>
        </w:rPr>
        <w:t>a</w:t>
      </w:r>
      <w:proofErr w:type="gramEnd"/>
      <w:r w:rsidRPr="34B096E2">
        <w:rPr>
          <w:rFonts w:eastAsia="Calibri"/>
        </w:rPr>
        <w:t>, 2019-ben 27,31%-a az E</w:t>
      </w:r>
      <w:r w:rsidR="00CD5F84">
        <w:rPr>
          <w:rFonts w:eastAsia="Calibri"/>
        </w:rPr>
        <w:t>gészségbiztosítási</w:t>
      </w:r>
      <w:r w:rsidRPr="34B096E2">
        <w:rPr>
          <w:rFonts w:eastAsia="Calibri"/>
        </w:rPr>
        <w:t xml:space="preserve"> Alapot illette meg. </w:t>
      </w:r>
      <w:r w:rsidR="00FA4541">
        <w:t xml:space="preserve">2020 augusztusában továbbá 15,5%-os, </w:t>
      </w:r>
      <w:r w:rsidRPr="34B096E2">
        <w:rPr>
          <w:rFonts w:eastAsia="Calibri"/>
        </w:rPr>
        <w:t>2020 januárjában 17,5%-os, 2019</w:t>
      </w:r>
      <w:r w:rsidR="00FA4541">
        <w:rPr>
          <w:rFonts w:eastAsia="Calibri"/>
        </w:rPr>
        <w:t> </w:t>
      </w:r>
      <w:r w:rsidRPr="34B096E2">
        <w:rPr>
          <w:rFonts w:eastAsia="Calibri"/>
        </w:rPr>
        <w:t>januárjában pedig 19,5%-os szociális hozzájárulási adóteher mellett történt a befizetés. A befolyt bevételből 613,4</w:t>
      </w:r>
      <w:r w:rsidR="00465AC4">
        <w:rPr>
          <w:rFonts w:eastAsia="Calibri"/>
        </w:rPr>
        <w:t> </w:t>
      </w:r>
      <w:r w:rsidRPr="34B096E2">
        <w:rPr>
          <w:rFonts w:eastAsia="Calibri"/>
        </w:rPr>
        <w:t>milliárd forint a szociális hozzájárulási adó (39,4%) és 945,4</w:t>
      </w:r>
      <w:r w:rsidR="00465AC4">
        <w:rPr>
          <w:rFonts w:eastAsia="Calibri"/>
        </w:rPr>
        <w:t> </w:t>
      </w:r>
      <w:r w:rsidRPr="34B096E2">
        <w:rPr>
          <w:rFonts w:eastAsia="Calibri"/>
        </w:rPr>
        <w:t xml:space="preserve">milliárd forint a </w:t>
      </w:r>
      <w:proofErr w:type="spellStart"/>
      <w:r w:rsidRPr="34B096E2">
        <w:rPr>
          <w:rFonts w:eastAsia="Calibri"/>
        </w:rPr>
        <w:t>biztosítotti</w:t>
      </w:r>
      <w:proofErr w:type="spellEnd"/>
      <w:r w:rsidRPr="34B096E2">
        <w:rPr>
          <w:rFonts w:eastAsia="Calibri"/>
        </w:rPr>
        <w:t xml:space="preserve"> egészségbiztosítási járulékbevétel (60,6%). A koronavírus okozta válság hatásai már nyolcadik hónapja éreztetik hatásukat a bevételekre nézve, a bevezetett munkaadói és munkavállalói kedvezmények pedig további elmaradásokat eredményeztek. Az előbbiek hatását a bevételek korábbi, dinamikus növekedési ütemének visszaesése is jól tükrözi</w:t>
      </w:r>
      <w:r>
        <w:t>.</w:t>
      </w:r>
    </w:p>
    <w:p w14:paraId="6A4C12B9" w14:textId="07141B37" w:rsidR="00BF59D1" w:rsidRDefault="34B096E2" w:rsidP="00BF666F">
      <w:r>
        <w:t xml:space="preserve">Az </w:t>
      </w:r>
      <w:r w:rsidRPr="34B096E2">
        <w:rPr>
          <w:b/>
          <w:bCs/>
        </w:rPr>
        <w:t xml:space="preserve">egészségbiztosítási és munkaerő-piaci járulék Nemzeti Foglalkoztatási Alapot megillető hányadából </w:t>
      </w:r>
      <w:r>
        <w:t xml:space="preserve">származó bevételek (207,4 milliárd forint) 2020 első tizenegy hónapjában 3,8%-kal, 7,6 milliárd forinttal haladták meg a bázist. A bevétel </w:t>
      </w:r>
      <w:r>
        <w:lastRenderedPageBreak/>
        <w:t xml:space="preserve">növekedésének oka a bruttó keresetek növekedése. A koronavírus okozta válság hatásai e hónapokban már </w:t>
      </w:r>
      <w:r w:rsidR="001F195A">
        <w:t>e</w:t>
      </w:r>
      <w:r>
        <w:t xml:space="preserve"> bevételekben is jelentkeztek</w:t>
      </w:r>
      <w:r w:rsidR="001F195A">
        <w:t>.</w:t>
      </w:r>
      <w:r>
        <w:t xml:space="preserve"> </w:t>
      </w:r>
    </w:p>
    <w:p w14:paraId="5376B2A2" w14:textId="4CCF438B" w:rsidR="00C04F10" w:rsidRPr="00AE0F8C" w:rsidRDefault="34B096E2" w:rsidP="34B096E2">
      <w:pPr>
        <w:rPr>
          <w:rFonts w:eastAsia="Calibri"/>
        </w:rPr>
      </w:pPr>
      <w:r w:rsidRPr="34B096E2">
        <w:rPr>
          <w:rFonts w:eastAsia="Calibri"/>
        </w:rPr>
        <w:t xml:space="preserve">November végéig az </w:t>
      </w:r>
      <w:r w:rsidRPr="34B096E2">
        <w:rPr>
          <w:rFonts w:eastAsia="Calibri"/>
          <w:b/>
          <w:bCs/>
        </w:rPr>
        <w:t xml:space="preserve">Egészségbiztosítási Alap egészségügyi hozzájárulásból </w:t>
      </w:r>
      <w:r w:rsidRPr="34B096E2">
        <w:rPr>
          <w:rFonts w:eastAsia="Calibri"/>
        </w:rPr>
        <w:t>származó bevételei 0,4</w:t>
      </w:r>
      <w:r w:rsidR="003B0A22">
        <w:rPr>
          <w:rFonts w:eastAsia="Calibri"/>
        </w:rPr>
        <w:t> </w:t>
      </w:r>
      <w:r w:rsidRPr="34B096E2">
        <w:rPr>
          <w:rFonts w:eastAsia="Calibri"/>
        </w:rPr>
        <w:t>milliárd forintot tettek ki, amely 41,5</w:t>
      </w:r>
      <w:r w:rsidR="003B0A22">
        <w:rPr>
          <w:rFonts w:eastAsia="Calibri"/>
        </w:rPr>
        <w:t> </w:t>
      </w:r>
      <w:r w:rsidRPr="34B096E2">
        <w:rPr>
          <w:rFonts w:eastAsia="Calibri"/>
        </w:rPr>
        <w:t>milliárd forinttal alacsonyabb, mint az előző évben befolyt összeg. E bevétel alakulásában szerepet játszik</w:t>
      </w:r>
      <w:r w:rsidR="00A24FEB">
        <w:rPr>
          <w:rFonts w:eastAsia="Calibri"/>
        </w:rPr>
        <w:t xml:space="preserve"> az</w:t>
      </w:r>
      <w:r w:rsidRPr="34B096E2">
        <w:rPr>
          <w:rFonts w:eastAsia="Calibri"/>
        </w:rPr>
        <w:t xml:space="preserve">, hogy az egészségügyi hozzájárulás adónem </w:t>
      </w:r>
      <w:r w:rsidR="00A24FEB" w:rsidRPr="34B096E2">
        <w:rPr>
          <w:rFonts w:eastAsia="Calibri"/>
        </w:rPr>
        <w:t xml:space="preserve">2019-ben </w:t>
      </w:r>
      <w:r w:rsidRPr="34B096E2">
        <w:rPr>
          <w:rFonts w:eastAsia="Calibri"/>
        </w:rPr>
        <w:t>beolvadt a szociális hozzájárulási adóba, emiatt 2020-ban már csak kisebb tételek, önrevíziók várhatóak.</w:t>
      </w:r>
    </w:p>
    <w:p w14:paraId="6DD0D992" w14:textId="263B95C1" w:rsidR="5B83E8AE" w:rsidRPr="00AE0F8C" w:rsidRDefault="34B096E2" w:rsidP="5B83E8AE">
      <w:pPr>
        <w:spacing w:after="240"/>
      </w:pPr>
      <w:r>
        <w:t xml:space="preserve">A </w:t>
      </w:r>
      <w:r w:rsidRPr="34B096E2">
        <w:rPr>
          <w:b/>
          <w:bCs/>
        </w:rPr>
        <w:t>Nyugdíjbiztosítási Alap</w:t>
      </w:r>
      <w:r>
        <w:t xml:space="preserve"> 2020-ban 46,9 milliárd forint </w:t>
      </w:r>
      <w:r w:rsidRPr="34B096E2">
        <w:rPr>
          <w:b/>
          <w:bCs/>
        </w:rPr>
        <w:t>központi költségvetési támogatásban</w:t>
      </w:r>
      <w:r>
        <w:t xml:space="preserve"> részesül. A támogatás </w:t>
      </w:r>
      <w:r w:rsidR="00397005">
        <w:t>43,0</w:t>
      </w:r>
      <w:r>
        <w:t> milliárd forintos, I-X</w:t>
      </w:r>
      <w:r w:rsidR="00397005">
        <w:t>I</w:t>
      </w:r>
      <w:r>
        <w:t xml:space="preserve">. </w:t>
      </w:r>
      <w:proofErr w:type="gramStart"/>
      <w:r>
        <w:t>havi</w:t>
      </w:r>
      <w:proofErr w:type="gramEnd"/>
      <w:r>
        <w:t xml:space="preserve"> időarányos összegét a Magyar Államkincstár a Nyugdíjbiztosítási Alap részére átutalta.</w:t>
      </w:r>
    </w:p>
    <w:p w14:paraId="1E6A6330" w14:textId="3370AC7A" w:rsidR="34B096E2" w:rsidRPr="00D62335" w:rsidRDefault="34B096E2" w:rsidP="34B096E2">
      <w:pPr>
        <w:rPr>
          <w:rFonts w:eastAsia="Calibri"/>
        </w:rPr>
      </w:pPr>
      <w:r w:rsidRPr="00D62335">
        <w:rPr>
          <w:rFonts w:eastAsia="Calibri"/>
        </w:rPr>
        <w:t xml:space="preserve">Az </w:t>
      </w:r>
      <w:r w:rsidRPr="00D62335">
        <w:rPr>
          <w:rFonts w:eastAsia="Calibri"/>
          <w:b/>
        </w:rPr>
        <w:t>Egészségbiztosítási Alap költségvetési támogatásai, térítései</w:t>
      </w:r>
      <w:r w:rsidRPr="00D62335">
        <w:rPr>
          <w:rFonts w:eastAsia="Calibri"/>
        </w:rPr>
        <w:t xml:space="preserve"> 2020 első tizenegy hónapjában összesen 537,6</w:t>
      </w:r>
      <w:r w:rsidR="00A8037E">
        <w:rPr>
          <w:rFonts w:eastAsia="Calibri"/>
        </w:rPr>
        <w:t> </w:t>
      </w:r>
      <w:r w:rsidRPr="00D62335">
        <w:rPr>
          <w:rFonts w:eastAsia="Calibri"/>
        </w:rPr>
        <w:t>milliárd forintot tettek ki, amely 131,6</w:t>
      </w:r>
      <w:r w:rsidR="00A8037E">
        <w:rPr>
          <w:rFonts w:eastAsia="Calibri"/>
        </w:rPr>
        <w:t> </w:t>
      </w:r>
      <w:r w:rsidRPr="00D62335">
        <w:rPr>
          <w:rFonts w:eastAsia="Calibri"/>
        </w:rPr>
        <w:t xml:space="preserve">milliárd forinttal magasabb, mint az előző év azonos időszakában átutalt összeg. </w:t>
      </w:r>
      <w:r w:rsidR="00E101C9">
        <w:rPr>
          <w:rFonts w:eastAsia="Calibri"/>
        </w:rPr>
        <w:t xml:space="preserve">A </w:t>
      </w:r>
      <w:r w:rsidRPr="00D62335">
        <w:rPr>
          <w:rFonts w:eastAsia="Calibri"/>
        </w:rPr>
        <w:t>2020</w:t>
      </w:r>
      <w:r w:rsidR="00E101C9">
        <w:rPr>
          <w:rFonts w:eastAsia="Calibri"/>
        </w:rPr>
        <w:t>. év</w:t>
      </w:r>
      <w:r w:rsidRPr="00D62335">
        <w:rPr>
          <w:rFonts w:eastAsia="Calibri"/>
        </w:rPr>
        <w:t xml:space="preserve"> I</w:t>
      </w:r>
      <w:r w:rsidR="00E101C9">
        <w:rPr>
          <w:rFonts w:eastAsia="Calibri"/>
        </w:rPr>
        <w:noBreakHyphen/>
      </w:r>
      <w:r w:rsidRPr="00D62335">
        <w:rPr>
          <w:rFonts w:eastAsia="Calibri"/>
        </w:rPr>
        <w:t>XI.</w:t>
      </w:r>
      <w:r w:rsidR="00E101C9">
        <w:rPr>
          <w:rFonts w:eastAsia="Calibri"/>
        </w:rPr>
        <w:t> </w:t>
      </w:r>
      <w:r w:rsidRPr="00D62335">
        <w:rPr>
          <w:rFonts w:eastAsia="Calibri"/>
        </w:rPr>
        <w:t>hónapjában az Egészségbiztosítási Alap járulék címen átvett pénzeszközként 424,8</w:t>
      </w:r>
      <w:r w:rsidR="00C62621">
        <w:rPr>
          <w:rFonts w:eastAsia="Calibri"/>
        </w:rPr>
        <w:t> </w:t>
      </w:r>
      <w:r w:rsidRPr="00D62335">
        <w:rPr>
          <w:rFonts w:eastAsia="Calibri"/>
        </w:rPr>
        <w:t xml:space="preserve">milliárd </w:t>
      </w:r>
      <w:proofErr w:type="gramStart"/>
      <w:r w:rsidRPr="00D62335">
        <w:rPr>
          <w:rFonts w:eastAsia="Calibri"/>
        </w:rPr>
        <w:t>forint támogatást</w:t>
      </w:r>
      <w:proofErr w:type="gramEnd"/>
      <w:r w:rsidRPr="00D62335">
        <w:rPr>
          <w:rFonts w:eastAsia="Calibri"/>
        </w:rPr>
        <w:t xml:space="preserve"> kapott, szemben a tavalyi év azonos időszakában átutalt 401,0</w:t>
      </w:r>
      <w:r w:rsidR="00C62621">
        <w:rPr>
          <w:rFonts w:eastAsia="Calibri"/>
        </w:rPr>
        <w:t> </w:t>
      </w:r>
      <w:r w:rsidRPr="00D62335">
        <w:rPr>
          <w:rFonts w:eastAsia="Calibri"/>
        </w:rPr>
        <w:t>milliárd forintos összeggel. 2019-ben tervezett pénzeszközátvétel nem volt, 2020</w:t>
      </w:r>
      <w:r w:rsidR="00C62621">
        <w:rPr>
          <w:rFonts w:eastAsia="Calibri"/>
        </w:rPr>
        <w:t>.</w:t>
      </w:r>
      <w:r w:rsidRPr="00D62335">
        <w:rPr>
          <w:rFonts w:eastAsia="Calibri"/>
        </w:rPr>
        <w:t xml:space="preserve"> novemberig ez a támogatás 107,9</w:t>
      </w:r>
      <w:r w:rsidR="0059338A">
        <w:rPr>
          <w:rFonts w:eastAsia="Calibri"/>
        </w:rPr>
        <w:t> </w:t>
      </w:r>
      <w:r w:rsidRPr="00D62335">
        <w:rPr>
          <w:rFonts w:eastAsia="Calibri"/>
        </w:rPr>
        <w:t>milliárd forintot tett ki. A fennmaradó részt az egészségügyi feladatok ellátásával kapcsolatos hozzájárulás összege tette ki.</w:t>
      </w:r>
    </w:p>
    <w:p w14:paraId="0B65FEAA" w14:textId="574FB274" w:rsidR="000F6073" w:rsidRPr="00AE0F8C" w:rsidRDefault="6AF02DC7" w:rsidP="6D01B43F">
      <w:pPr>
        <w:rPr>
          <w:b/>
          <w:bCs/>
          <w:smallCaps/>
        </w:rPr>
      </w:pPr>
      <w:r w:rsidRPr="00AE0F8C">
        <w:br w:type="page"/>
      </w:r>
    </w:p>
    <w:p w14:paraId="5D4F02CB" w14:textId="5640B4D4" w:rsidR="006E4EA6" w:rsidRDefault="34B096E2" w:rsidP="34B096E2">
      <w:pPr>
        <w:pStyle w:val="Cmsor3"/>
        <w:numPr>
          <w:ilvl w:val="0"/>
          <w:numId w:val="8"/>
        </w:numPr>
        <w:spacing w:before="0" w:after="120"/>
        <w:jc w:val="left"/>
        <w:rPr>
          <w:sz w:val="26"/>
          <w:szCs w:val="26"/>
        </w:rPr>
      </w:pPr>
      <w:r w:rsidRPr="34B096E2">
        <w:rPr>
          <w:sz w:val="26"/>
          <w:szCs w:val="26"/>
        </w:rPr>
        <w:lastRenderedPageBreak/>
        <w:t xml:space="preserve">A főbb kiadások </w:t>
      </w:r>
    </w:p>
    <w:p w14:paraId="66A0F3A1" w14:textId="77777777" w:rsidR="00953258" w:rsidRDefault="00953258" w:rsidP="00953258">
      <w:pPr>
        <w:rPr>
          <w:b/>
        </w:rPr>
      </w:pPr>
    </w:p>
    <w:p w14:paraId="5D580A35" w14:textId="494EA644" w:rsidR="009538D3" w:rsidRPr="009538D3" w:rsidRDefault="34B096E2" w:rsidP="34B096E2">
      <w:pPr>
        <w:rPr>
          <w:b/>
          <w:bCs/>
        </w:rPr>
      </w:pPr>
      <w:r w:rsidRPr="34B096E2">
        <w:rPr>
          <w:b/>
          <w:bCs/>
        </w:rPr>
        <w:t xml:space="preserve">A központi alrendszer 2020. évi november végi 23 157,1 milliárd forint összegű kiadásai 3255,7 milliárd forinttal, 16,4%-kal haladták meg az előző év azonos időszakának a teljesítését, mely elsősorban a költségvetési szervek kiadásainak és az egyéb szakmai fejezeti kezelésű előirányzatok kiadásainak, valamint az uniós programok kiadásainak a 2019. év első tizenegy hónapjához viszonyított jelentősen magasabb teljesülésével függ össze. Magasabban alakultak továbbá az előző év azonos időszakához képest az egyedi és normatív támogatások, a lakásépítési támogatások, a társadalombiztosítási ellátásokhoz történő hozzájárulás, a kamatkiadások, az EU költségvetéséhez történő hozzájárulás, az állami vagyonnal kapcsolatos kiadások, valamint a nyugellátásokra és a gyógyító-megelőző ellátásra fordított összegek is. </w:t>
      </w:r>
    </w:p>
    <w:p w14:paraId="7D7BB282" w14:textId="76D1D722" w:rsidR="00242D74" w:rsidRDefault="00242D74" w:rsidP="002109F5"/>
    <w:p w14:paraId="681F829E" w14:textId="3A96A351" w:rsidR="00C31F6E" w:rsidRDefault="00635D07" w:rsidP="002109F5">
      <w:r>
        <w:rPr>
          <w:noProof/>
        </w:rPr>
        <w:drawing>
          <wp:inline distT="0" distB="0" distL="0" distR="0" wp14:anchorId="40043BE8" wp14:editId="738B55AF">
            <wp:extent cx="5940425" cy="2174240"/>
            <wp:effectExtent l="0" t="0" r="3175"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adás_megoszlás.png"/>
                    <pic:cNvPicPr/>
                  </pic:nvPicPr>
                  <pic:blipFill>
                    <a:blip r:embed="rId18">
                      <a:extLst>
                        <a:ext uri="{28A0092B-C50C-407E-A947-70E740481C1C}">
                          <a14:useLocalDpi xmlns:a14="http://schemas.microsoft.com/office/drawing/2010/main" val="0"/>
                        </a:ext>
                      </a:extLst>
                    </a:blip>
                    <a:stretch>
                      <a:fillRect/>
                    </a:stretch>
                  </pic:blipFill>
                  <pic:spPr>
                    <a:xfrm>
                      <a:off x="0" y="0"/>
                      <a:ext cx="5940425" cy="2174240"/>
                    </a:xfrm>
                    <a:prstGeom prst="rect">
                      <a:avLst/>
                    </a:prstGeom>
                  </pic:spPr>
                </pic:pic>
              </a:graphicData>
            </a:graphic>
          </wp:inline>
        </w:drawing>
      </w:r>
    </w:p>
    <w:p w14:paraId="26D7CB1C" w14:textId="77777777" w:rsidR="00635D07" w:rsidRDefault="00635D07" w:rsidP="002109F5"/>
    <w:p w14:paraId="1BE6339D" w14:textId="1B6F03BB" w:rsidR="00693A8F" w:rsidRDefault="34B096E2" w:rsidP="00693A8F">
      <w:r w:rsidRPr="34B096E2">
        <w:rPr>
          <w:rFonts w:eastAsia="Garamond"/>
        </w:rPr>
        <w:t xml:space="preserve">Az </w:t>
      </w:r>
      <w:r w:rsidRPr="34B096E2">
        <w:rPr>
          <w:rFonts w:eastAsia="Garamond"/>
          <w:b/>
          <w:bCs/>
        </w:rPr>
        <w:t>egyedi és normatív támogatásokra</w:t>
      </w:r>
      <w:r w:rsidRPr="34B096E2">
        <w:rPr>
          <w:rFonts w:eastAsia="Garamond"/>
        </w:rPr>
        <w:t xml:space="preserve"> fordított kiadások november végéig 551,6 milliárd forintot tettek ki, amely 175,3 milliárd forinttal haladta meg az előző év azonos időszakának teljesítését. Az eltérést az magyarázza, hogy a vasúti pályahálózat-működtetési költségtérítésre idén 34,3 milliárd forinttal, az elővárosi közösségi közlekedés támogatására 3,4 milliárd forinttal, a közösségi közlekedés személyszállítási költségtérítésére pedig 140,6 milliárd forinttal több kiadás lett elszámolva. Az </w:t>
      </w:r>
      <w:proofErr w:type="spellStart"/>
      <w:r w:rsidRPr="34B096E2">
        <w:rPr>
          <w:rFonts w:eastAsia="Garamond"/>
        </w:rPr>
        <w:t>Eximbank</w:t>
      </w:r>
      <w:proofErr w:type="spellEnd"/>
      <w:r w:rsidRPr="34B096E2">
        <w:rPr>
          <w:rFonts w:eastAsia="Garamond"/>
        </w:rPr>
        <w:t xml:space="preserve"> </w:t>
      </w:r>
      <w:proofErr w:type="spellStart"/>
      <w:r w:rsidRPr="34B096E2">
        <w:rPr>
          <w:rFonts w:eastAsia="Garamond"/>
        </w:rPr>
        <w:t>Zrt</w:t>
      </w:r>
      <w:proofErr w:type="spellEnd"/>
      <w:r w:rsidRPr="34B096E2">
        <w:rPr>
          <w:rFonts w:eastAsia="Garamond"/>
        </w:rPr>
        <w:t xml:space="preserve">. részére nyújtott kamatkiegyenlítés összege viszont 3,0 milliárd forinttal alacsonyabb lett az egy évvel korábbinál. </w:t>
      </w:r>
      <w:r>
        <w:t>A főbb tételek alakulását a következő diagram szemlélteti:</w:t>
      </w:r>
    </w:p>
    <w:p w14:paraId="199F1468" w14:textId="18CF8CCE" w:rsidR="00092180" w:rsidRDefault="00E14CDB" w:rsidP="00693A8F">
      <w:r>
        <w:rPr>
          <w:noProof/>
        </w:rPr>
        <w:lastRenderedPageBreak/>
        <w:drawing>
          <wp:inline distT="0" distB="0" distL="0" distR="0" wp14:anchorId="6D596D56" wp14:editId="582DB065">
            <wp:extent cx="5940425" cy="3580130"/>
            <wp:effectExtent l="0" t="0" r="3175" b="127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yedi_és_normatív_tám.png"/>
                    <pic:cNvPicPr/>
                  </pic:nvPicPr>
                  <pic:blipFill>
                    <a:blip r:embed="rId19">
                      <a:extLst>
                        <a:ext uri="{28A0092B-C50C-407E-A947-70E740481C1C}">
                          <a14:useLocalDpi xmlns:a14="http://schemas.microsoft.com/office/drawing/2010/main" val="0"/>
                        </a:ext>
                      </a:extLst>
                    </a:blip>
                    <a:stretch>
                      <a:fillRect/>
                    </a:stretch>
                  </pic:blipFill>
                  <pic:spPr>
                    <a:xfrm>
                      <a:off x="0" y="0"/>
                      <a:ext cx="5940425" cy="3580130"/>
                    </a:xfrm>
                    <a:prstGeom prst="rect">
                      <a:avLst/>
                    </a:prstGeom>
                  </pic:spPr>
                </pic:pic>
              </a:graphicData>
            </a:graphic>
          </wp:inline>
        </w:drawing>
      </w:r>
    </w:p>
    <w:p w14:paraId="6BD5081A" w14:textId="77777777" w:rsidR="00E14CDB" w:rsidRDefault="00E14CDB" w:rsidP="00693A8F"/>
    <w:p w14:paraId="47E495F8" w14:textId="7B11A9B0" w:rsidR="00567033" w:rsidRPr="00342044" w:rsidRDefault="7BAB9722" w:rsidP="7BAB9722">
      <w:pPr>
        <w:rPr>
          <w:rFonts w:cs="Tahoma"/>
          <w:color w:val="000000" w:themeColor="text1"/>
        </w:rPr>
      </w:pPr>
      <w:r w:rsidRPr="7BAB9722">
        <w:rPr>
          <w:rFonts w:cs="Tahoma"/>
          <w:color w:val="000000" w:themeColor="text1"/>
        </w:rPr>
        <w:t xml:space="preserve">A </w:t>
      </w:r>
      <w:r w:rsidRPr="7BAB9722">
        <w:rPr>
          <w:rFonts w:cs="Tahoma"/>
          <w:b/>
          <w:bCs/>
          <w:color w:val="000000" w:themeColor="text1"/>
        </w:rPr>
        <w:t>lakásépítési támogatásokra</w:t>
      </w:r>
      <w:r w:rsidRPr="7BAB9722">
        <w:rPr>
          <w:rFonts w:cs="Tahoma"/>
          <w:color w:val="000000" w:themeColor="text1"/>
        </w:rPr>
        <w:t xml:space="preserve"> fordított kiadások összege az év első tizenegy hónapjában 232,6 milliárd forint volt, mely az előző év azonos időszakához viszonyítva 49,5 milliárd forinttal teljesült magasabban. Az eltérés elsősorban a 2019. július 1-jétől egyes meglévő </w:t>
      </w:r>
      <w:proofErr w:type="gramStart"/>
      <w:r w:rsidRPr="7BAB9722">
        <w:rPr>
          <w:rFonts w:cs="Tahoma"/>
          <w:color w:val="000000" w:themeColor="text1"/>
        </w:rPr>
        <w:t>konstrukciók</w:t>
      </w:r>
      <w:proofErr w:type="gramEnd"/>
      <w:r w:rsidRPr="7BAB9722">
        <w:rPr>
          <w:rFonts w:cs="Tahoma"/>
          <w:color w:val="000000" w:themeColor="text1"/>
        </w:rPr>
        <w:t xml:space="preserve"> – ilyen a családi otthonteremtési kedvezmény – új elemekkel történő kiterjesztésére vezethető vissza. Az idei kifizetés emelkedését okozta még a szintén 2019. július 1-jétől kezdődően a többgyermekes családok lakáscélú jelzáloghitel-tartozásának csökkentésére nyújtott támogatás igénybevételi lehetőségének kibővítése, valamint összegének jelentős megemelése. </w:t>
      </w:r>
      <w:proofErr w:type="gramStart"/>
      <w:r w:rsidRPr="7BAB9722">
        <w:rPr>
          <w:rFonts w:cs="Tahoma"/>
          <w:color w:val="000000" w:themeColor="text1"/>
        </w:rPr>
        <w:t>Ezenfelül</w:t>
      </w:r>
      <w:proofErr w:type="gramEnd"/>
      <w:r w:rsidRPr="7BAB9722">
        <w:rPr>
          <w:rFonts w:cs="Tahoma"/>
          <w:color w:val="000000" w:themeColor="text1"/>
        </w:rPr>
        <w:t xml:space="preserve"> az árfolyam- és a referenciahozamok, valamint a további konstrukciókat igénybe vevők létszámának alakulása is befolyásolta a kifizetéseket.</w:t>
      </w:r>
    </w:p>
    <w:p w14:paraId="10F6EA13" w14:textId="3513840B" w:rsidR="009F77CF" w:rsidRDefault="34B096E2" w:rsidP="51CD5D50">
      <w:r w:rsidRPr="34B096E2">
        <w:rPr>
          <w:rFonts w:cs="Tahoma"/>
          <w:color w:val="000000" w:themeColor="text1"/>
        </w:rPr>
        <w:t xml:space="preserve">A </w:t>
      </w:r>
      <w:r w:rsidRPr="34B096E2">
        <w:rPr>
          <w:rFonts w:cs="Tahoma"/>
          <w:b/>
          <w:bCs/>
          <w:color w:val="000000" w:themeColor="text1"/>
        </w:rPr>
        <w:t>Nemzeti Család- és Szociálpolitikai Alap</w:t>
      </w:r>
      <w:r w:rsidRPr="34B096E2">
        <w:rPr>
          <w:rFonts w:cs="Tahoma"/>
          <w:color w:val="000000" w:themeColor="text1"/>
        </w:rPr>
        <w:t xml:space="preserve"> a családi támogatásokat, a korhatár alatti ellátásokat, a jövedelempótló és jövedelemkiegészítő szociális támogatásokat, </w:t>
      </w:r>
      <w:r>
        <w:t>valamint a különféle jogcímen adott térítéseket tartalmazza. A főbb támogatásokat a következő táblázat részletezi:</w:t>
      </w:r>
      <w:r w:rsidR="48F15973">
        <w:br w:type="page"/>
      </w:r>
    </w:p>
    <w:tbl>
      <w:tblPr>
        <w:tblW w:w="7520" w:type="dxa"/>
        <w:tblInd w:w="496" w:type="dxa"/>
        <w:tblCellMar>
          <w:left w:w="70" w:type="dxa"/>
          <w:right w:w="70" w:type="dxa"/>
        </w:tblCellMar>
        <w:tblLook w:val="04A0" w:firstRow="1" w:lastRow="0" w:firstColumn="1" w:lastColumn="0" w:noHBand="0" w:noVBand="1"/>
      </w:tblPr>
      <w:tblGrid>
        <w:gridCol w:w="4180"/>
        <w:gridCol w:w="980"/>
        <w:gridCol w:w="960"/>
        <w:gridCol w:w="807"/>
        <w:gridCol w:w="593"/>
      </w:tblGrid>
      <w:tr w:rsidR="00E5327B" w:rsidRPr="00E5327B" w14:paraId="377790DE" w14:textId="77777777" w:rsidTr="34B096E2">
        <w:trPr>
          <w:trHeight w:val="270"/>
        </w:trPr>
        <w:tc>
          <w:tcPr>
            <w:tcW w:w="4180" w:type="dxa"/>
            <w:vMerge w:val="restart"/>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14:paraId="3760E474" w14:textId="77777777" w:rsidR="00E5327B" w:rsidRPr="00E5327B" w:rsidRDefault="34B096E2" w:rsidP="34B096E2">
            <w:pPr>
              <w:spacing w:after="0"/>
              <w:jc w:val="center"/>
              <w:rPr>
                <w:b/>
                <w:bCs/>
                <w:sz w:val="14"/>
                <w:szCs w:val="14"/>
              </w:rPr>
            </w:pPr>
            <w:r w:rsidRPr="34B096E2">
              <w:rPr>
                <w:b/>
                <w:bCs/>
                <w:sz w:val="14"/>
                <w:szCs w:val="14"/>
              </w:rPr>
              <w:lastRenderedPageBreak/>
              <w:t>Megnevezés</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90F02" w14:textId="77777777" w:rsidR="00E5327B" w:rsidRPr="00E5327B" w:rsidRDefault="34B096E2" w:rsidP="34B096E2">
            <w:pPr>
              <w:spacing w:after="0"/>
              <w:jc w:val="center"/>
              <w:rPr>
                <w:b/>
                <w:bCs/>
                <w:sz w:val="14"/>
                <w:szCs w:val="14"/>
              </w:rPr>
            </w:pPr>
            <w:r w:rsidRPr="34B096E2">
              <w:rPr>
                <w:b/>
                <w:bCs/>
                <w:sz w:val="14"/>
                <w:szCs w:val="14"/>
              </w:rPr>
              <w:t xml:space="preserve">2019. </w:t>
            </w:r>
            <w:r w:rsidR="00E5327B">
              <w:br/>
            </w:r>
            <w:r w:rsidRPr="34B096E2">
              <w:rPr>
                <w:b/>
                <w:bCs/>
                <w:sz w:val="14"/>
                <w:szCs w:val="14"/>
              </w:rPr>
              <w:t>I-XI. hó</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31838A" w14:textId="77777777" w:rsidR="00E5327B" w:rsidRPr="00E5327B" w:rsidRDefault="34B096E2" w:rsidP="34B096E2">
            <w:pPr>
              <w:spacing w:after="0"/>
              <w:jc w:val="center"/>
              <w:rPr>
                <w:b/>
                <w:bCs/>
                <w:sz w:val="14"/>
                <w:szCs w:val="14"/>
              </w:rPr>
            </w:pPr>
            <w:r w:rsidRPr="34B096E2">
              <w:rPr>
                <w:b/>
                <w:bCs/>
                <w:sz w:val="14"/>
                <w:szCs w:val="14"/>
              </w:rPr>
              <w:t>2020.</w:t>
            </w:r>
            <w:r w:rsidR="00E5327B">
              <w:br/>
            </w:r>
            <w:r w:rsidRPr="34B096E2">
              <w:rPr>
                <w:b/>
                <w:bCs/>
                <w:sz w:val="14"/>
                <w:szCs w:val="14"/>
              </w:rPr>
              <w:t>I-XI. hó</w:t>
            </w:r>
          </w:p>
        </w:tc>
        <w:tc>
          <w:tcPr>
            <w:tcW w:w="14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3390075F" w14:textId="77777777" w:rsidR="00E5327B" w:rsidRPr="00E5327B" w:rsidRDefault="34B096E2" w:rsidP="34B096E2">
            <w:pPr>
              <w:spacing w:after="0"/>
              <w:jc w:val="center"/>
              <w:rPr>
                <w:b/>
                <w:bCs/>
                <w:sz w:val="14"/>
                <w:szCs w:val="14"/>
              </w:rPr>
            </w:pPr>
            <w:r w:rsidRPr="34B096E2">
              <w:rPr>
                <w:b/>
                <w:bCs/>
                <w:sz w:val="14"/>
                <w:szCs w:val="14"/>
              </w:rPr>
              <w:t>Eltérés</w:t>
            </w:r>
          </w:p>
        </w:tc>
      </w:tr>
      <w:tr w:rsidR="00E5327B" w:rsidRPr="00E5327B" w14:paraId="2EC1B635" w14:textId="77777777" w:rsidTr="34B096E2">
        <w:trPr>
          <w:trHeight w:val="225"/>
        </w:trPr>
        <w:tc>
          <w:tcPr>
            <w:tcW w:w="4180" w:type="dxa"/>
            <w:vMerge/>
            <w:tcBorders>
              <w:top w:val="single" w:sz="4" w:space="0" w:color="auto"/>
              <w:left w:val="single" w:sz="4" w:space="0" w:color="auto"/>
              <w:bottom w:val="single" w:sz="4" w:space="0" w:color="000000"/>
              <w:right w:val="single" w:sz="4" w:space="0" w:color="auto"/>
            </w:tcBorders>
            <w:vAlign w:val="center"/>
            <w:hideMark/>
          </w:tcPr>
          <w:p w14:paraId="00FD67D3" w14:textId="77777777" w:rsidR="00E5327B" w:rsidRPr="00E5327B" w:rsidRDefault="00E5327B" w:rsidP="00E5327B">
            <w:pPr>
              <w:spacing w:after="0"/>
              <w:jc w:val="left"/>
              <w:rPr>
                <w:b/>
                <w:bCs/>
                <w:sz w:val="14"/>
                <w:szCs w:val="14"/>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1484AE98" w14:textId="77777777" w:rsidR="00E5327B" w:rsidRPr="00E5327B" w:rsidRDefault="00E5327B" w:rsidP="00E5327B">
            <w:pPr>
              <w:spacing w:after="0"/>
              <w:jc w:val="left"/>
              <w:rPr>
                <w:b/>
                <w:bCs/>
                <w:sz w:val="14"/>
                <w:szCs w:val="1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12AC5C0" w14:textId="77777777" w:rsidR="00E5327B" w:rsidRPr="00E5327B" w:rsidRDefault="00E5327B" w:rsidP="00E5327B">
            <w:pPr>
              <w:spacing w:after="0"/>
              <w:jc w:val="left"/>
              <w:rPr>
                <w:b/>
                <w:bCs/>
                <w:sz w:val="14"/>
                <w:szCs w:val="14"/>
              </w:rPr>
            </w:pPr>
          </w:p>
        </w:tc>
        <w:tc>
          <w:tcPr>
            <w:tcW w:w="807" w:type="dxa"/>
            <w:tcBorders>
              <w:top w:val="nil"/>
              <w:left w:val="nil"/>
              <w:bottom w:val="single" w:sz="4" w:space="0" w:color="auto"/>
              <w:right w:val="single" w:sz="4" w:space="0" w:color="auto"/>
            </w:tcBorders>
            <w:shd w:val="clear" w:color="auto" w:fill="auto"/>
            <w:noWrap/>
            <w:vAlign w:val="bottom"/>
            <w:hideMark/>
          </w:tcPr>
          <w:p w14:paraId="20F13580" w14:textId="77777777" w:rsidR="00E5327B" w:rsidRPr="00E5327B" w:rsidRDefault="34B096E2" w:rsidP="34B096E2">
            <w:pPr>
              <w:spacing w:after="0"/>
              <w:jc w:val="center"/>
              <w:rPr>
                <w:b/>
                <w:bCs/>
                <w:sz w:val="14"/>
                <w:szCs w:val="14"/>
              </w:rPr>
            </w:pPr>
            <w:r w:rsidRPr="34B096E2">
              <w:rPr>
                <w:b/>
                <w:bCs/>
                <w:sz w:val="14"/>
                <w:szCs w:val="14"/>
              </w:rPr>
              <w:t>Mrd Ft</w:t>
            </w:r>
          </w:p>
        </w:tc>
        <w:tc>
          <w:tcPr>
            <w:tcW w:w="593" w:type="dxa"/>
            <w:tcBorders>
              <w:top w:val="nil"/>
              <w:left w:val="nil"/>
              <w:bottom w:val="single" w:sz="4" w:space="0" w:color="auto"/>
              <w:right w:val="single" w:sz="4" w:space="0" w:color="auto"/>
            </w:tcBorders>
            <w:shd w:val="clear" w:color="auto" w:fill="auto"/>
            <w:noWrap/>
            <w:vAlign w:val="bottom"/>
            <w:hideMark/>
          </w:tcPr>
          <w:p w14:paraId="609E2A18" w14:textId="77777777" w:rsidR="00E5327B" w:rsidRPr="00E5327B" w:rsidRDefault="34B096E2" w:rsidP="34B096E2">
            <w:pPr>
              <w:spacing w:after="0"/>
              <w:jc w:val="center"/>
              <w:rPr>
                <w:b/>
                <w:bCs/>
                <w:sz w:val="14"/>
                <w:szCs w:val="14"/>
              </w:rPr>
            </w:pPr>
            <w:r w:rsidRPr="34B096E2">
              <w:rPr>
                <w:b/>
                <w:bCs/>
                <w:sz w:val="14"/>
                <w:szCs w:val="14"/>
              </w:rPr>
              <w:t>%</w:t>
            </w:r>
          </w:p>
        </w:tc>
      </w:tr>
      <w:tr w:rsidR="00E5327B" w:rsidRPr="00E5327B" w14:paraId="75855D9B"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877E0C6" w14:textId="77777777" w:rsidR="00E5327B" w:rsidRPr="00E5327B" w:rsidRDefault="34B096E2" w:rsidP="34B096E2">
            <w:pPr>
              <w:spacing w:after="0"/>
              <w:jc w:val="left"/>
              <w:rPr>
                <w:b/>
                <w:bCs/>
                <w:sz w:val="14"/>
                <w:szCs w:val="14"/>
              </w:rPr>
            </w:pPr>
            <w:r w:rsidRPr="34B096E2">
              <w:rPr>
                <w:b/>
                <w:bCs/>
                <w:sz w:val="14"/>
                <w:szCs w:val="14"/>
              </w:rPr>
              <w:t>Családi támogatások</w:t>
            </w:r>
          </w:p>
        </w:tc>
        <w:tc>
          <w:tcPr>
            <w:tcW w:w="980" w:type="dxa"/>
            <w:tcBorders>
              <w:top w:val="nil"/>
              <w:left w:val="nil"/>
              <w:bottom w:val="single" w:sz="4" w:space="0" w:color="auto"/>
              <w:right w:val="single" w:sz="4" w:space="0" w:color="auto"/>
            </w:tcBorders>
            <w:shd w:val="clear" w:color="auto" w:fill="auto"/>
            <w:noWrap/>
            <w:vAlign w:val="bottom"/>
            <w:hideMark/>
          </w:tcPr>
          <w:p w14:paraId="09F6FDC0" w14:textId="77777777" w:rsidR="00E5327B" w:rsidRPr="00E5327B" w:rsidRDefault="34B096E2" w:rsidP="34B096E2">
            <w:pPr>
              <w:spacing w:after="0"/>
              <w:jc w:val="right"/>
              <w:rPr>
                <w:b/>
                <w:bCs/>
                <w:sz w:val="14"/>
                <w:szCs w:val="14"/>
              </w:rPr>
            </w:pPr>
            <w:r w:rsidRPr="34B096E2">
              <w:rPr>
                <w:b/>
                <w:bCs/>
                <w:sz w:val="14"/>
                <w:szCs w:val="14"/>
              </w:rPr>
              <w:t>367,5</w:t>
            </w:r>
          </w:p>
        </w:tc>
        <w:tc>
          <w:tcPr>
            <w:tcW w:w="960" w:type="dxa"/>
            <w:tcBorders>
              <w:top w:val="nil"/>
              <w:left w:val="nil"/>
              <w:bottom w:val="single" w:sz="4" w:space="0" w:color="auto"/>
              <w:right w:val="single" w:sz="4" w:space="0" w:color="auto"/>
            </w:tcBorders>
            <w:shd w:val="clear" w:color="auto" w:fill="auto"/>
            <w:noWrap/>
            <w:vAlign w:val="bottom"/>
            <w:hideMark/>
          </w:tcPr>
          <w:p w14:paraId="63715EDA" w14:textId="77777777" w:rsidR="00E5327B" w:rsidRPr="00E5327B" w:rsidRDefault="34B096E2" w:rsidP="34B096E2">
            <w:pPr>
              <w:spacing w:after="0"/>
              <w:jc w:val="right"/>
              <w:rPr>
                <w:b/>
                <w:bCs/>
                <w:sz w:val="14"/>
                <w:szCs w:val="14"/>
              </w:rPr>
            </w:pPr>
            <w:r w:rsidRPr="34B096E2">
              <w:rPr>
                <w:b/>
                <w:bCs/>
                <w:sz w:val="14"/>
                <w:szCs w:val="14"/>
              </w:rPr>
              <w:t>367,1</w:t>
            </w:r>
          </w:p>
        </w:tc>
        <w:tc>
          <w:tcPr>
            <w:tcW w:w="807" w:type="dxa"/>
            <w:tcBorders>
              <w:top w:val="nil"/>
              <w:left w:val="nil"/>
              <w:bottom w:val="single" w:sz="4" w:space="0" w:color="auto"/>
              <w:right w:val="single" w:sz="4" w:space="0" w:color="auto"/>
            </w:tcBorders>
            <w:shd w:val="clear" w:color="auto" w:fill="auto"/>
            <w:noWrap/>
            <w:vAlign w:val="bottom"/>
            <w:hideMark/>
          </w:tcPr>
          <w:p w14:paraId="0F50C291" w14:textId="77777777" w:rsidR="00E5327B" w:rsidRPr="00E5327B" w:rsidRDefault="34B096E2" w:rsidP="34B096E2">
            <w:pPr>
              <w:spacing w:after="0"/>
              <w:jc w:val="right"/>
              <w:rPr>
                <w:b/>
                <w:bCs/>
                <w:sz w:val="14"/>
                <w:szCs w:val="14"/>
              </w:rPr>
            </w:pPr>
            <w:r w:rsidRPr="34B096E2">
              <w:rPr>
                <w:b/>
                <w:bCs/>
                <w:sz w:val="14"/>
                <w:szCs w:val="14"/>
              </w:rPr>
              <w:t>-0,4</w:t>
            </w:r>
          </w:p>
        </w:tc>
        <w:tc>
          <w:tcPr>
            <w:tcW w:w="593" w:type="dxa"/>
            <w:tcBorders>
              <w:top w:val="nil"/>
              <w:left w:val="nil"/>
              <w:bottom w:val="single" w:sz="4" w:space="0" w:color="auto"/>
              <w:right w:val="single" w:sz="4" w:space="0" w:color="auto"/>
            </w:tcBorders>
            <w:shd w:val="clear" w:color="auto" w:fill="auto"/>
            <w:noWrap/>
            <w:vAlign w:val="bottom"/>
            <w:hideMark/>
          </w:tcPr>
          <w:p w14:paraId="2844E156" w14:textId="77777777" w:rsidR="00E5327B" w:rsidRPr="00E5327B" w:rsidRDefault="34B096E2" w:rsidP="34B096E2">
            <w:pPr>
              <w:spacing w:after="0"/>
              <w:jc w:val="right"/>
              <w:rPr>
                <w:b/>
                <w:bCs/>
                <w:sz w:val="14"/>
                <w:szCs w:val="14"/>
              </w:rPr>
            </w:pPr>
            <w:r w:rsidRPr="34B096E2">
              <w:rPr>
                <w:b/>
                <w:bCs/>
                <w:sz w:val="14"/>
                <w:szCs w:val="14"/>
              </w:rPr>
              <w:t>99,9</w:t>
            </w:r>
          </w:p>
        </w:tc>
      </w:tr>
      <w:tr w:rsidR="00E5327B" w:rsidRPr="00E5327B" w14:paraId="78F74C1E"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864FA73" w14:textId="77777777" w:rsidR="00E5327B" w:rsidRPr="00E5327B" w:rsidRDefault="34B096E2" w:rsidP="34B096E2">
            <w:pPr>
              <w:spacing w:after="0"/>
              <w:ind w:firstLineChars="100" w:firstLine="140"/>
              <w:jc w:val="left"/>
              <w:rPr>
                <w:i/>
                <w:iCs/>
                <w:sz w:val="14"/>
                <w:szCs w:val="14"/>
              </w:rPr>
            </w:pPr>
            <w:r w:rsidRPr="34B096E2">
              <w:rPr>
                <w:i/>
                <w:iCs/>
                <w:sz w:val="14"/>
                <w:szCs w:val="14"/>
              </w:rPr>
              <w:t>Ebből:</w:t>
            </w:r>
          </w:p>
        </w:tc>
        <w:tc>
          <w:tcPr>
            <w:tcW w:w="980" w:type="dxa"/>
            <w:tcBorders>
              <w:top w:val="nil"/>
              <w:left w:val="nil"/>
              <w:bottom w:val="single" w:sz="4" w:space="0" w:color="auto"/>
              <w:right w:val="single" w:sz="4" w:space="0" w:color="auto"/>
            </w:tcBorders>
            <w:shd w:val="clear" w:color="auto" w:fill="auto"/>
            <w:noWrap/>
            <w:vAlign w:val="bottom"/>
            <w:hideMark/>
          </w:tcPr>
          <w:p w14:paraId="74E8BA0F" w14:textId="77777777" w:rsidR="00E5327B" w:rsidRPr="00E5327B" w:rsidRDefault="34B096E2" w:rsidP="34B096E2">
            <w:pPr>
              <w:spacing w:after="0"/>
              <w:jc w:val="right"/>
              <w:rPr>
                <w:sz w:val="14"/>
                <w:szCs w:val="14"/>
              </w:rPr>
            </w:pPr>
            <w:r w:rsidRPr="34B096E2">
              <w:rPr>
                <w:sz w:val="14"/>
                <w:szCs w:val="14"/>
              </w:rPr>
              <w:t> </w:t>
            </w:r>
          </w:p>
        </w:tc>
        <w:tc>
          <w:tcPr>
            <w:tcW w:w="960" w:type="dxa"/>
            <w:tcBorders>
              <w:top w:val="nil"/>
              <w:left w:val="nil"/>
              <w:bottom w:val="single" w:sz="4" w:space="0" w:color="auto"/>
              <w:right w:val="single" w:sz="4" w:space="0" w:color="auto"/>
            </w:tcBorders>
            <w:shd w:val="clear" w:color="auto" w:fill="auto"/>
            <w:noWrap/>
            <w:vAlign w:val="bottom"/>
            <w:hideMark/>
          </w:tcPr>
          <w:p w14:paraId="1F36B8B4" w14:textId="77777777" w:rsidR="00E5327B" w:rsidRPr="00E5327B" w:rsidRDefault="34B096E2" w:rsidP="34B096E2">
            <w:pPr>
              <w:spacing w:after="0"/>
              <w:jc w:val="right"/>
              <w:rPr>
                <w:sz w:val="14"/>
                <w:szCs w:val="14"/>
              </w:rPr>
            </w:pPr>
            <w:r w:rsidRPr="34B096E2">
              <w:rPr>
                <w:sz w:val="14"/>
                <w:szCs w:val="14"/>
              </w:rPr>
              <w:t> </w:t>
            </w:r>
          </w:p>
        </w:tc>
        <w:tc>
          <w:tcPr>
            <w:tcW w:w="807" w:type="dxa"/>
            <w:tcBorders>
              <w:top w:val="nil"/>
              <w:left w:val="nil"/>
              <w:bottom w:val="single" w:sz="4" w:space="0" w:color="auto"/>
              <w:right w:val="single" w:sz="4" w:space="0" w:color="auto"/>
            </w:tcBorders>
            <w:shd w:val="clear" w:color="auto" w:fill="auto"/>
            <w:noWrap/>
            <w:vAlign w:val="bottom"/>
            <w:hideMark/>
          </w:tcPr>
          <w:p w14:paraId="1158908F" w14:textId="77777777" w:rsidR="00E5327B" w:rsidRPr="00E5327B" w:rsidRDefault="34B096E2" w:rsidP="34B096E2">
            <w:pPr>
              <w:spacing w:after="0"/>
              <w:jc w:val="right"/>
              <w:rPr>
                <w:sz w:val="14"/>
                <w:szCs w:val="14"/>
              </w:rPr>
            </w:pPr>
            <w:r w:rsidRPr="34B096E2">
              <w:rPr>
                <w:sz w:val="14"/>
                <w:szCs w:val="14"/>
              </w:rPr>
              <w:t> </w:t>
            </w:r>
          </w:p>
        </w:tc>
        <w:tc>
          <w:tcPr>
            <w:tcW w:w="593" w:type="dxa"/>
            <w:tcBorders>
              <w:top w:val="nil"/>
              <w:left w:val="nil"/>
              <w:bottom w:val="single" w:sz="4" w:space="0" w:color="auto"/>
              <w:right w:val="single" w:sz="4" w:space="0" w:color="auto"/>
            </w:tcBorders>
            <w:shd w:val="clear" w:color="auto" w:fill="auto"/>
            <w:noWrap/>
            <w:vAlign w:val="bottom"/>
            <w:hideMark/>
          </w:tcPr>
          <w:p w14:paraId="0DAE7626" w14:textId="77777777" w:rsidR="00E5327B" w:rsidRPr="00E5327B" w:rsidRDefault="34B096E2" w:rsidP="34B096E2">
            <w:pPr>
              <w:spacing w:after="0"/>
              <w:jc w:val="right"/>
              <w:rPr>
                <w:sz w:val="14"/>
                <w:szCs w:val="14"/>
              </w:rPr>
            </w:pPr>
            <w:r w:rsidRPr="34B096E2">
              <w:rPr>
                <w:sz w:val="14"/>
                <w:szCs w:val="14"/>
              </w:rPr>
              <w:t> </w:t>
            </w:r>
          </w:p>
        </w:tc>
      </w:tr>
      <w:tr w:rsidR="00E5327B" w:rsidRPr="00E5327B" w14:paraId="729BAC80"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2302391" w14:textId="77777777" w:rsidR="00E5327B" w:rsidRPr="00E5327B" w:rsidRDefault="34B096E2" w:rsidP="34B096E2">
            <w:pPr>
              <w:spacing w:after="0"/>
              <w:ind w:firstLineChars="400" w:firstLine="560"/>
              <w:jc w:val="left"/>
              <w:rPr>
                <w:i/>
                <w:iCs/>
                <w:sz w:val="14"/>
                <w:szCs w:val="14"/>
              </w:rPr>
            </w:pPr>
            <w:r w:rsidRPr="34B096E2">
              <w:rPr>
                <w:i/>
                <w:iCs/>
                <w:sz w:val="14"/>
                <w:szCs w:val="14"/>
              </w:rPr>
              <w:t>családi pótlék</w:t>
            </w:r>
          </w:p>
        </w:tc>
        <w:tc>
          <w:tcPr>
            <w:tcW w:w="980" w:type="dxa"/>
            <w:tcBorders>
              <w:top w:val="nil"/>
              <w:left w:val="nil"/>
              <w:bottom w:val="single" w:sz="4" w:space="0" w:color="auto"/>
              <w:right w:val="single" w:sz="4" w:space="0" w:color="auto"/>
            </w:tcBorders>
            <w:shd w:val="clear" w:color="auto" w:fill="auto"/>
            <w:noWrap/>
            <w:vAlign w:val="bottom"/>
            <w:hideMark/>
          </w:tcPr>
          <w:p w14:paraId="4BD15781" w14:textId="77777777" w:rsidR="00E5327B" w:rsidRPr="00E5327B" w:rsidRDefault="34B096E2" w:rsidP="34B096E2">
            <w:pPr>
              <w:spacing w:after="0"/>
              <w:jc w:val="right"/>
              <w:rPr>
                <w:sz w:val="14"/>
                <w:szCs w:val="14"/>
              </w:rPr>
            </w:pPr>
            <w:r w:rsidRPr="34B096E2">
              <w:rPr>
                <w:sz w:val="14"/>
                <w:szCs w:val="14"/>
              </w:rPr>
              <w:t>284,2</w:t>
            </w:r>
          </w:p>
        </w:tc>
        <w:tc>
          <w:tcPr>
            <w:tcW w:w="960" w:type="dxa"/>
            <w:tcBorders>
              <w:top w:val="nil"/>
              <w:left w:val="nil"/>
              <w:bottom w:val="single" w:sz="4" w:space="0" w:color="auto"/>
              <w:right w:val="single" w:sz="4" w:space="0" w:color="auto"/>
            </w:tcBorders>
            <w:shd w:val="clear" w:color="auto" w:fill="auto"/>
            <w:noWrap/>
            <w:vAlign w:val="bottom"/>
            <w:hideMark/>
          </w:tcPr>
          <w:p w14:paraId="3916C3EF" w14:textId="77777777" w:rsidR="00E5327B" w:rsidRPr="00E5327B" w:rsidRDefault="34B096E2" w:rsidP="34B096E2">
            <w:pPr>
              <w:spacing w:after="0"/>
              <w:jc w:val="right"/>
              <w:rPr>
                <w:sz w:val="14"/>
                <w:szCs w:val="14"/>
              </w:rPr>
            </w:pPr>
            <w:r w:rsidRPr="34B096E2">
              <w:rPr>
                <w:sz w:val="14"/>
                <w:szCs w:val="14"/>
              </w:rPr>
              <w:t>283,8</w:t>
            </w:r>
          </w:p>
        </w:tc>
        <w:tc>
          <w:tcPr>
            <w:tcW w:w="807" w:type="dxa"/>
            <w:tcBorders>
              <w:top w:val="nil"/>
              <w:left w:val="nil"/>
              <w:bottom w:val="single" w:sz="4" w:space="0" w:color="auto"/>
              <w:right w:val="single" w:sz="4" w:space="0" w:color="auto"/>
            </w:tcBorders>
            <w:shd w:val="clear" w:color="auto" w:fill="auto"/>
            <w:noWrap/>
            <w:vAlign w:val="bottom"/>
            <w:hideMark/>
          </w:tcPr>
          <w:p w14:paraId="39677A05" w14:textId="77777777" w:rsidR="00E5327B" w:rsidRPr="00E5327B" w:rsidRDefault="34B096E2" w:rsidP="34B096E2">
            <w:pPr>
              <w:spacing w:after="0"/>
              <w:jc w:val="right"/>
              <w:rPr>
                <w:sz w:val="14"/>
                <w:szCs w:val="14"/>
              </w:rPr>
            </w:pPr>
            <w:r w:rsidRPr="34B096E2">
              <w:rPr>
                <w:sz w:val="14"/>
                <w:szCs w:val="14"/>
              </w:rPr>
              <w:t>-0,4</w:t>
            </w:r>
          </w:p>
        </w:tc>
        <w:tc>
          <w:tcPr>
            <w:tcW w:w="593" w:type="dxa"/>
            <w:tcBorders>
              <w:top w:val="nil"/>
              <w:left w:val="nil"/>
              <w:bottom w:val="single" w:sz="4" w:space="0" w:color="auto"/>
              <w:right w:val="single" w:sz="4" w:space="0" w:color="auto"/>
            </w:tcBorders>
            <w:shd w:val="clear" w:color="auto" w:fill="auto"/>
            <w:noWrap/>
            <w:vAlign w:val="bottom"/>
            <w:hideMark/>
          </w:tcPr>
          <w:p w14:paraId="51C0F59F" w14:textId="77777777" w:rsidR="00E5327B" w:rsidRPr="00E5327B" w:rsidRDefault="34B096E2" w:rsidP="34B096E2">
            <w:pPr>
              <w:spacing w:after="0"/>
              <w:jc w:val="right"/>
              <w:rPr>
                <w:sz w:val="14"/>
                <w:szCs w:val="14"/>
              </w:rPr>
            </w:pPr>
            <w:r w:rsidRPr="34B096E2">
              <w:rPr>
                <w:sz w:val="14"/>
                <w:szCs w:val="14"/>
              </w:rPr>
              <w:t>99,9</w:t>
            </w:r>
          </w:p>
        </w:tc>
      </w:tr>
      <w:tr w:rsidR="00E5327B" w:rsidRPr="00E5327B" w14:paraId="3C72935A"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9359F3D" w14:textId="77777777" w:rsidR="00E5327B" w:rsidRPr="00E5327B" w:rsidRDefault="34B096E2" w:rsidP="34B096E2">
            <w:pPr>
              <w:spacing w:after="0"/>
              <w:ind w:firstLineChars="400" w:firstLine="560"/>
              <w:jc w:val="left"/>
              <w:rPr>
                <w:i/>
                <w:iCs/>
                <w:sz w:val="14"/>
                <w:szCs w:val="14"/>
              </w:rPr>
            </w:pPr>
            <w:r w:rsidRPr="34B096E2">
              <w:rPr>
                <w:i/>
                <w:iCs/>
                <w:sz w:val="14"/>
                <w:szCs w:val="14"/>
              </w:rPr>
              <w:t>gyermekgondozást segítő ellátás</w:t>
            </w:r>
          </w:p>
        </w:tc>
        <w:tc>
          <w:tcPr>
            <w:tcW w:w="980" w:type="dxa"/>
            <w:tcBorders>
              <w:top w:val="nil"/>
              <w:left w:val="nil"/>
              <w:bottom w:val="single" w:sz="4" w:space="0" w:color="auto"/>
              <w:right w:val="single" w:sz="4" w:space="0" w:color="auto"/>
            </w:tcBorders>
            <w:shd w:val="clear" w:color="auto" w:fill="auto"/>
            <w:noWrap/>
            <w:vAlign w:val="bottom"/>
            <w:hideMark/>
          </w:tcPr>
          <w:p w14:paraId="792AC0FF" w14:textId="77777777" w:rsidR="00E5327B" w:rsidRPr="00E5327B" w:rsidRDefault="34B096E2" w:rsidP="34B096E2">
            <w:pPr>
              <w:spacing w:after="0"/>
              <w:jc w:val="right"/>
              <w:rPr>
                <w:sz w:val="14"/>
                <w:szCs w:val="14"/>
              </w:rPr>
            </w:pPr>
            <w:r w:rsidRPr="34B096E2">
              <w:rPr>
                <w:sz w:val="14"/>
                <w:szCs w:val="14"/>
              </w:rPr>
              <w:t>54,6</w:t>
            </w:r>
          </w:p>
        </w:tc>
        <w:tc>
          <w:tcPr>
            <w:tcW w:w="960" w:type="dxa"/>
            <w:tcBorders>
              <w:top w:val="nil"/>
              <w:left w:val="nil"/>
              <w:bottom w:val="single" w:sz="4" w:space="0" w:color="auto"/>
              <w:right w:val="single" w:sz="4" w:space="0" w:color="auto"/>
            </w:tcBorders>
            <w:shd w:val="clear" w:color="auto" w:fill="auto"/>
            <w:noWrap/>
            <w:vAlign w:val="bottom"/>
            <w:hideMark/>
          </w:tcPr>
          <w:p w14:paraId="783AEEAB" w14:textId="77777777" w:rsidR="00E5327B" w:rsidRPr="00E5327B" w:rsidRDefault="34B096E2" w:rsidP="34B096E2">
            <w:pPr>
              <w:spacing w:after="0"/>
              <w:jc w:val="right"/>
              <w:rPr>
                <w:sz w:val="14"/>
                <w:szCs w:val="14"/>
              </w:rPr>
            </w:pPr>
            <w:r w:rsidRPr="34B096E2">
              <w:rPr>
                <w:sz w:val="14"/>
                <w:szCs w:val="14"/>
              </w:rPr>
              <w:t>52,4</w:t>
            </w:r>
          </w:p>
        </w:tc>
        <w:tc>
          <w:tcPr>
            <w:tcW w:w="807" w:type="dxa"/>
            <w:tcBorders>
              <w:top w:val="nil"/>
              <w:left w:val="nil"/>
              <w:bottom w:val="single" w:sz="4" w:space="0" w:color="auto"/>
              <w:right w:val="single" w:sz="4" w:space="0" w:color="auto"/>
            </w:tcBorders>
            <w:shd w:val="clear" w:color="auto" w:fill="auto"/>
            <w:noWrap/>
            <w:vAlign w:val="bottom"/>
            <w:hideMark/>
          </w:tcPr>
          <w:p w14:paraId="07E31607" w14:textId="77777777" w:rsidR="00E5327B" w:rsidRPr="00E5327B" w:rsidRDefault="34B096E2" w:rsidP="34B096E2">
            <w:pPr>
              <w:spacing w:after="0"/>
              <w:jc w:val="right"/>
              <w:rPr>
                <w:sz w:val="14"/>
                <w:szCs w:val="14"/>
              </w:rPr>
            </w:pPr>
            <w:r w:rsidRPr="34B096E2">
              <w:rPr>
                <w:sz w:val="14"/>
                <w:szCs w:val="14"/>
              </w:rPr>
              <w:t>-2,2</w:t>
            </w:r>
          </w:p>
        </w:tc>
        <w:tc>
          <w:tcPr>
            <w:tcW w:w="593" w:type="dxa"/>
            <w:tcBorders>
              <w:top w:val="nil"/>
              <w:left w:val="nil"/>
              <w:bottom w:val="single" w:sz="4" w:space="0" w:color="auto"/>
              <w:right w:val="single" w:sz="4" w:space="0" w:color="auto"/>
            </w:tcBorders>
            <w:shd w:val="clear" w:color="auto" w:fill="auto"/>
            <w:noWrap/>
            <w:vAlign w:val="bottom"/>
            <w:hideMark/>
          </w:tcPr>
          <w:p w14:paraId="2DD0C06B" w14:textId="77777777" w:rsidR="00E5327B" w:rsidRPr="00E5327B" w:rsidRDefault="34B096E2" w:rsidP="34B096E2">
            <w:pPr>
              <w:spacing w:after="0"/>
              <w:jc w:val="right"/>
              <w:rPr>
                <w:sz w:val="14"/>
                <w:szCs w:val="14"/>
              </w:rPr>
            </w:pPr>
            <w:r w:rsidRPr="34B096E2">
              <w:rPr>
                <w:sz w:val="14"/>
                <w:szCs w:val="14"/>
              </w:rPr>
              <w:t>96,0</w:t>
            </w:r>
          </w:p>
        </w:tc>
      </w:tr>
      <w:tr w:rsidR="00E5327B" w:rsidRPr="00E5327B" w14:paraId="3828EC5B"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28BAC4E" w14:textId="77777777" w:rsidR="00E5327B" w:rsidRPr="00E5327B" w:rsidRDefault="34B096E2" w:rsidP="34B096E2">
            <w:pPr>
              <w:spacing w:after="0"/>
              <w:ind w:firstLineChars="400" w:firstLine="560"/>
              <w:jc w:val="left"/>
              <w:rPr>
                <w:i/>
                <w:iCs/>
                <w:sz w:val="14"/>
                <w:szCs w:val="14"/>
              </w:rPr>
            </w:pPr>
            <w:r w:rsidRPr="34B096E2">
              <w:rPr>
                <w:i/>
                <w:iCs/>
                <w:sz w:val="14"/>
                <w:szCs w:val="14"/>
              </w:rPr>
              <w:t>gyermeknevelési támogatás</w:t>
            </w:r>
          </w:p>
        </w:tc>
        <w:tc>
          <w:tcPr>
            <w:tcW w:w="980" w:type="dxa"/>
            <w:tcBorders>
              <w:top w:val="nil"/>
              <w:left w:val="nil"/>
              <w:bottom w:val="single" w:sz="4" w:space="0" w:color="auto"/>
              <w:right w:val="single" w:sz="4" w:space="0" w:color="auto"/>
            </w:tcBorders>
            <w:shd w:val="clear" w:color="auto" w:fill="auto"/>
            <w:noWrap/>
            <w:vAlign w:val="bottom"/>
            <w:hideMark/>
          </w:tcPr>
          <w:p w14:paraId="135DE030" w14:textId="77777777" w:rsidR="00E5327B" w:rsidRPr="00E5327B" w:rsidRDefault="34B096E2" w:rsidP="34B096E2">
            <w:pPr>
              <w:spacing w:after="0"/>
              <w:jc w:val="right"/>
              <w:rPr>
                <w:sz w:val="14"/>
                <w:szCs w:val="14"/>
              </w:rPr>
            </w:pPr>
            <w:r w:rsidRPr="34B096E2">
              <w:rPr>
                <w:sz w:val="14"/>
                <w:szCs w:val="14"/>
              </w:rPr>
              <w:t>10,1</w:t>
            </w:r>
          </w:p>
        </w:tc>
        <w:tc>
          <w:tcPr>
            <w:tcW w:w="960" w:type="dxa"/>
            <w:tcBorders>
              <w:top w:val="nil"/>
              <w:left w:val="nil"/>
              <w:bottom w:val="single" w:sz="4" w:space="0" w:color="auto"/>
              <w:right w:val="single" w:sz="4" w:space="0" w:color="auto"/>
            </w:tcBorders>
            <w:shd w:val="clear" w:color="auto" w:fill="auto"/>
            <w:noWrap/>
            <w:vAlign w:val="bottom"/>
            <w:hideMark/>
          </w:tcPr>
          <w:p w14:paraId="136E5F97" w14:textId="77777777" w:rsidR="00E5327B" w:rsidRPr="00E5327B" w:rsidRDefault="34B096E2" w:rsidP="34B096E2">
            <w:pPr>
              <w:spacing w:after="0"/>
              <w:jc w:val="right"/>
              <w:rPr>
                <w:sz w:val="14"/>
                <w:szCs w:val="14"/>
              </w:rPr>
            </w:pPr>
            <w:r w:rsidRPr="34B096E2">
              <w:rPr>
                <w:sz w:val="14"/>
                <w:szCs w:val="14"/>
              </w:rPr>
              <w:t>10,3</w:t>
            </w:r>
          </w:p>
        </w:tc>
        <w:tc>
          <w:tcPr>
            <w:tcW w:w="807" w:type="dxa"/>
            <w:tcBorders>
              <w:top w:val="nil"/>
              <w:left w:val="nil"/>
              <w:bottom w:val="single" w:sz="4" w:space="0" w:color="auto"/>
              <w:right w:val="single" w:sz="4" w:space="0" w:color="auto"/>
            </w:tcBorders>
            <w:shd w:val="clear" w:color="auto" w:fill="auto"/>
            <w:noWrap/>
            <w:vAlign w:val="bottom"/>
            <w:hideMark/>
          </w:tcPr>
          <w:p w14:paraId="0C55E8A5" w14:textId="77777777" w:rsidR="00E5327B" w:rsidRPr="00E5327B" w:rsidRDefault="34B096E2" w:rsidP="34B096E2">
            <w:pPr>
              <w:spacing w:after="0"/>
              <w:jc w:val="right"/>
              <w:rPr>
                <w:sz w:val="14"/>
                <w:szCs w:val="14"/>
              </w:rPr>
            </w:pPr>
            <w:r w:rsidRPr="34B096E2">
              <w:rPr>
                <w:sz w:val="14"/>
                <w:szCs w:val="14"/>
              </w:rPr>
              <w:t>0,2</w:t>
            </w:r>
          </w:p>
        </w:tc>
        <w:tc>
          <w:tcPr>
            <w:tcW w:w="593" w:type="dxa"/>
            <w:tcBorders>
              <w:top w:val="nil"/>
              <w:left w:val="nil"/>
              <w:bottom w:val="single" w:sz="4" w:space="0" w:color="auto"/>
              <w:right w:val="single" w:sz="4" w:space="0" w:color="auto"/>
            </w:tcBorders>
            <w:shd w:val="clear" w:color="auto" w:fill="auto"/>
            <w:noWrap/>
            <w:vAlign w:val="bottom"/>
            <w:hideMark/>
          </w:tcPr>
          <w:p w14:paraId="56CAABAD" w14:textId="77777777" w:rsidR="00E5327B" w:rsidRPr="00E5327B" w:rsidRDefault="34B096E2" w:rsidP="34B096E2">
            <w:pPr>
              <w:spacing w:after="0"/>
              <w:jc w:val="right"/>
              <w:rPr>
                <w:sz w:val="14"/>
                <w:szCs w:val="14"/>
              </w:rPr>
            </w:pPr>
            <w:r w:rsidRPr="34B096E2">
              <w:rPr>
                <w:sz w:val="14"/>
                <w:szCs w:val="14"/>
              </w:rPr>
              <w:t>102,0</w:t>
            </w:r>
          </w:p>
        </w:tc>
      </w:tr>
      <w:tr w:rsidR="00E5327B" w:rsidRPr="00E5327B" w14:paraId="4117442E"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1500371A" w14:textId="77777777" w:rsidR="00E5327B" w:rsidRPr="00E5327B" w:rsidRDefault="34B096E2" w:rsidP="34B096E2">
            <w:pPr>
              <w:spacing w:after="0"/>
              <w:ind w:firstLineChars="400" w:firstLine="560"/>
              <w:jc w:val="left"/>
              <w:rPr>
                <w:i/>
                <w:iCs/>
                <w:sz w:val="14"/>
                <w:szCs w:val="14"/>
              </w:rPr>
            </w:pPr>
            <w:r w:rsidRPr="34B096E2">
              <w:rPr>
                <w:i/>
                <w:iCs/>
                <w:sz w:val="14"/>
                <w:szCs w:val="14"/>
              </w:rPr>
              <w:t>életkezdési támogatás</w:t>
            </w:r>
          </w:p>
        </w:tc>
        <w:tc>
          <w:tcPr>
            <w:tcW w:w="980" w:type="dxa"/>
            <w:tcBorders>
              <w:top w:val="nil"/>
              <w:left w:val="nil"/>
              <w:bottom w:val="single" w:sz="4" w:space="0" w:color="auto"/>
              <w:right w:val="single" w:sz="4" w:space="0" w:color="auto"/>
            </w:tcBorders>
            <w:shd w:val="clear" w:color="auto" w:fill="auto"/>
            <w:noWrap/>
            <w:vAlign w:val="bottom"/>
            <w:hideMark/>
          </w:tcPr>
          <w:p w14:paraId="444EA455" w14:textId="77777777" w:rsidR="00E5327B" w:rsidRPr="00E5327B" w:rsidRDefault="34B096E2" w:rsidP="34B096E2">
            <w:pPr>
              <w:spacing w:after="0"/>
              <w:jc w:val="right"/>
              <w:rPr>
                <w:sz w:val="14"/>
                <w:szCs w:val="14"/>
              </w:rPr>
            </w:pPr>
            <w:r w:rsidRPr="34B096E2">
              <w:rPr>
                <w:sz w:val="14"/>
                <w:szCs w:val="14"/>
              </w:rPr>
              <w:t>6,</w:t>
            </w:r>
            <w:proofErr w:type="spellStart"/>
            <w:r w:rsidRPr="34B096E2">
              <w:rPr>
                <w:sz w:val="14"/>
                <w:szCs w:val="14"/>
              </w:rPr>
              <w:t>6</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18031A16" w14:textId="77777777" w:rsidR="00E5327B" w:rsidRPr="00E5327B" w:rsidRDefault="34B096E2" w:rsidP="34B096E2">
            <w:pPr>
              <w:spacing w:after="0"/>
              <w:jc w:val="right"/>
              <w:rPr>
                <w:sz w:val="14"/>
                <w:szCs w:val="14"/>
              </w:rPr>
            </w:pPr>
            <w:r w:rsidRPr="34B096E2">
              <w:rPr>
                <w:sz w:val="14"/>
                <w:szCs w:val="14"/>
              </w:rPr>
              <w:t>7,</w:t>
            </w:r>
            <w:proofErr w:type="spellStart"/>
            <w:r w:rsidRPr="34B096E2">
              <w:rPr>
                <w:sz w:val="14"/>
                <w:szCs w:val="14"/>
              </w:rPr>
              <w:t>7</w:t>
            </w:r>
            <w:proofErr w:type="spellEnd"/>
          </w:p>
        </w:tc>
        <w:tc>
          <w:tcPr>
            <w:tcW w:w="807" w:type="dxa"/>
            <w:tcBorders>
              <w:top w:val="nil"/>
              <w:left w:val="nil"/>
              <w:bottom w:val="single" w:sz="4" w:space="0" w:color="auto"/>
              <w:right w:val="single" w:sz="4" w:space="0" w:color="auto"/>
            </w:tcBorders>
            <w:shd w:val="clear" w:color="auto" w:fill="auto"/>
            <w:noWrap/>
            <w:vAlign w:val="bottom"/>
            <w:hideMark/>
          </w:tcPr>
          <w:p w14:paraId="4A0C833A" w14:textId="77777777" w:rsidR="00E5327B" w:rsidRPr="00E5327B" w:rsidRDefault="34B096E2" w:rsidP="34B096E2">
            <w:pPr>
              <w:spacing w:after="0"/>
              <w:jc w:val="right"/>
              <w:rPr>
                <w:sz w:val="14"/>
                <w:szCs w:val="14"/>
              </w:rPr>
            </w:pPr>
            <w:r w:rsidRPr="34B096E2">
              <w:rPr>
                <w:sz w:val="14"/>
                <w:szCs w:val="14"/>
              </w:rPr>
              <w:t>1,</w:t>
            </w:r>
            <w:proofErr w:type="spellStart"/>
            <w:r w:rsidRPr="34B096E2">
              <w:rPr>
                <w:sz w:val="14"/>
                <w:szCs w:val="14"/>
              </w:rPr>
              <w:t>1</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5D131B9D" w14:textId="77777777" w:rsidR="00E5327B" w:rsidRPr="00E5327B" w:rsidRDefault="34B096E2" w:rsidP="34B096E2">
            <w:pPr>
              <w:spacing w:after="0"/>
              <w:jc w:val="right"/>
              <w:rPr>
                <w:sz w:val="14"/>
                <w:szCs w:val="14"/>
              </w:rPr>
            </w:pPr>
            <w:r w:rsidRPr="34B096E2">
              <w:rPr>
                <w:sz w:val="14"/>
                <w:szCs w:val="14"/>
              </w:rPr>
              <w:t>116,7</w:t>
            </w:r>
          </w:p>
        </w:tc>
      </w:tr>
      <w:tr w:rsidR="00E5327B" w:rsidRPr="00E5327B" w14:paraId="08541EFB"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49F7300" w14:textId="77777777" w:rsidR="00E5327B" w:rsidRPr="00E5327B" w:rsidRDefault="34B096E2" w:rsidP="34B096E2">
            <w:pPr>
              <w:spacing w:after="0"/>
              <w:jc w:val="left"/>
              <w:rPr>
                <w:b/>
                <w:bCs/>
                <w:sz w:val="14"/>
                <w:szCs w:val="14"/>
              </w:rPr>
            </w:pPr>
            <w:r w:rsidRPr="34B096E2">
              <w:rPr>
                <w:b/>
                <w:bCs/>
                <w:sz w:val="14"/>
                <w:szCs w:val="14"/>
              </w:rPr>
              <w:t>Korhatár alatti ellátások</w:t>
            </w:r>
          </w:p>
        </w:tc>
        <w:tc>
          <w:tcPr>
            <w:tcW w:w="980" w:type="dxa"/>
            <w:tcBorders>
              <w:top w:val="nil"/>
              <w:left w:val="nil"/>
              <w:bottom w:val="single" w:sz="4" w:space="0" w:color="auto"/>
              <w:right w:val="single" w:sz="4" w:space="0" w:color="auto"/>
            </w:tcBorders>
            <w:shd w:val="clear" w:color="auto" w:fill="auto"/>
            <w:noWrap/>
            <w:vAlign w:val="bottom"/>
            <w:hideMark/>
          </w:tcPr>
          <w:p w14:paraId="640B9C1E" w14:textId="77777777" w:rsidR="00E5327B" w:rsidRPr="00E5327B" w:rsidRDefault="34B096E2" w:rsidP="34B096E2">
            <w:pPr>
              <w:spacing w:after="0"/>
              <w:jc w:val="right"/>
              <w:rPr>
                <w:b/>
                <w:bCs/>
                <w:sz w:val="14"/>
                <w:szCs w:val="14"/>
              </w:rPr>
            </w:pPr>
            <w:r w:rsidRPr="34B096E2">
              <w:rPr>
                <w:b/>
                <w:bCs/>
                <w:sz w:val="14"/>
                <w:szCs w:val="14"/>
              </w:rPr>
              <w:t>85,1</w:t>
            </w:r>
          </w:p>
        </w:tc>
        <w:tc>
          <w:tcPr>
            <w:tcW w:w="960" w:type="dxa"/>
            <w:tcBorders>
              <w:top w:val="nil"/>
              <w:left w:val="nil"/>
              <w:bottom w:val="single" w:sz="4" w:space="0" w:color="auto"/>
              <w:right w:val="single" w:sz="4" w:space="0" w:color="auto"/>
            </w:tcBorders>
            <w:shd w:val="clear" w:color="auto" w:fill="auto"/>
            <w:noWrap/>
            <w:vAlign w:val="bottom"/>
            <w:hideMark/>
          </w:tcPr>
          <w:p w14:paraId="2C7111ED" w14:textId="77777777" w:rsidR="00E5327B" w:rsidRPr="00E5327B" w:rsidRDefault="34B096E2" w:rsidP="34B096E2">
            <w:pPr>
              <w:spacing w:after="0"/>
              <w:jc w:val="right"/>
              <w:rPr>
                <w:b/>
                <w:bCs/>
                <w:sz w:val="14"/>
                <w:szCs w:val="14"/>
              </w:rPr>
            </w:pPr>
            <w:r w:rsidRPr="34B096E2">
              <w:rPr>
                <w:b/>
                <w:bCs/>
                <w:sz w:val="14"/>
                <w:szCs w:val="14"/>
              </w:rPr>
              <w:t>85,2</w:t>
            </w:r>
          </w:p>
        </w:tc>
        <w:tc>
          <w:tcPr>
            <w:tcW w:w="807" w:type="dxa"/>
            <w:tcBorders>
              <w:top w:val="nil"/>
              <w:left w:val="nil"/>
              <w:bottom w:val="single" w:sz="4" w:space="0" w:color="auto"/>
              <w:right w:val="single" w:sz="4" w:space="0" w:color="auto"/>
            </w:tcBorders>
            <w:shd w:val="clear" w:color="auto" w:fill="auto"/>
            <w:noWrap/>
            <w:vAlign w:val="bottom"/>
            <w:hideMark/>
          </w:tcPr>
          <w:p w14:paraId="08C98193" w14:textId="77777777" w:rsidR="00E5327B" w:rsidRPr="00E5327B" w:rsidRDefault="34B096E2" w:rsidP="34B096E2">
            <w:pPr>
              <w:spacing w:after="0"/>
              <w:jc w:val="right"/>
              <w:rPr>
                <w:b/>
                <w:bCs/>
                <w:sz w:val="14"/>
                <w:szCs w:val="14"/>
              </w:rPr>
            </w:pPr>
            <w:r w:rsidRPr="34B096E2">
              <w:rPr>
                <w:b/>
                <w:bCs/>
                <w:sz w:val="14"/>
                <w:szCs w:val="14"/>
              </w:rPr>
              <w:t>0,1</w:t>
            </w:r>
          </w:p>
        </w:tc>
        <w:tc>
          <w:tcPr>
            <w:tcW w:w="593" w:type="dxa"/>
            <w:tcBorders>
              <w:top w:val="nil"/>
              <w:left w:val="nil"/>
              <w:bottom w:val="single" w:sz="4" w:space="0" w:color="auto"/>
              <w:right w:val="single" w:sz="4" w:space="0" w:color="auto"/>
            </w:tcBorders>
            <w:shd w:val="clear" w:color="auto" w:fill="auto"/>
            <w:noWrap/>
            <w:vAlign w:val="bottom"/>
            <w:hideMark/>
          </w:tcPr>
          <w:p w14:paraId="357C9B07" w14:textId="77777777" w:rsidR="00E5327B" w:rsidRPr="00E5327B" w:rsidRDefault="34B096E2" w:rsidP="34B096E2">
            <w:pPr>
              <w:spacing w:after="0"/>
              <w:jc w:val="right"/>
              <w:rPr>
                <w:b/>
                <w:bCs/>
                <w:sz w:val="14"/>
                <w:szCs w:val="14"/>
              </w:rPr>
            </w:pPr>
            <w:r w:rsidRPr="34B096E2">
              <w:rPr>
                <w:b/>
                <w:bCs/>
                <w:sz w:val="14"/>
                <w:szCs w:val="14"/>
              </w:rPr>
              <w:t>100,1</w:t>
            </w:r>
          </w:p>
        </w:tc>
      </w:tr>
      <w:tr w:rsidR="00E5327B" w:rsidRPr="00E5327B" w14:paraId="685FDA86"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E3548F2" w14:textId="77777777" w:rsidR="00E5327B" w:rsidRPr="00E5327B" w:rsidRDefault="34B096E2" w:rsidP="34B096E2">
            <w:pPr>
              <w:spacing w:after="0"/>
              <w:ind w:firstLineChars="100" w:firstLine="140"/>
              <w:jc w:val="left"/>
              <w:rPr>
                <w:i/>
                <w:iCs/>
                <w:sz w:val="14"/>
                <w:szCs w:val="14"/>
              </w:rPr>
            </w:pPr>
            <w:r w:rsidRPr="34B096E2">
              <w:rPr>
                <w:i/>
                <w:iCs/>
                <w:sz w:val="14"/>
                <w:szCs w:val="14"/>
              </w:rPr>
              <w:t>Ebből:</w:t>
            </w:r>
          </w:p>
        </w:tc>
        <w:tc>
          <w:tcPr>
            <w:tcW w:w="980" w:type="dxa"/>
            <w:tcBorders>
              <w:top w:val="nil"/>
              <w:left w:val="nil"/>
              <w:bottom w:val="single" w:sz="4" w:space="0" w:color="auto"/>
              <w:right w:val="single" w:sz="4" w:space="0" w:color="auto"/>
            </w:tcBorders>
            <w:shd w:val="clear" w:color="auto" w:fill="auto"/>
            <w:noWrap/>
            <w:vAlign w:val="bottom"/>
            <w:hideMark/>
          </w:tcPr>
          <w:p w14:paraId="7D3C2382" w14:textId="77777777" w:rsidR="00E5327B" w:rsidRPr="00E5327B" w:rsidRDefault="34B096E2" w:rsidP="34B096E2">
            <w:pPr>
              <w:spacing w:after="0"/>
              <w:jc w:val="right"/>
              <w:rPr>
                <w:sz w:val="14"/>
                <w:szCs w:val="14"/>
              </w:rPr>
            </w:pPr>
            <w:r w:rsidRPr="34B096E2">
              <w:rPr>
                <w:sz w:val="14"/>
                <w:szCs w:val="14"/>
              </w:rPr>
              <w:t> </w:t>
            </w:r>
          </w:p>
        </w:tc>
        <w:tc>
          <w:tcPr>
            <w:tcW w:w="960" w:type="dxa"/>
            <w:tcBorders>
              <w:top w:val="nil"/>
              <w:left w:val="nil"/>
              <w:bottom w:val="single" w:sz="4" w:space="0" w:color="auto"/>
              <w:right w:val="single" w:sz="4" w:space="0" w:color="auto"/>
            </w:tcBorders>
            <w:shd w:val="clear" w:color="auto" w:fill="auto"/>
            <w:noWrap/>
            <w:vAlign w:val="bottom"/>
            <w:hideMark/>
          </w:tcPr>
          <w:p w14:paraId="072B29E4" w14:textId="77777777" w:rsidR="00E5327B" w:rsidRPr="00E5327B" w:rsidRDefault="34B096E2" w:rsidP="34B096E2">
            <w:pPr>
              <w:spacing w:after="0"/>
              <w:jc w:val="right"/>
              <w:rPr>
                <w:sz w:val="14"/>
                <w:szCs w:val="14"/>
              </w:rPr>
            </w:pPr>
            <w:r w:rsidRPr="34B096E2">
              <w:rPr>
                <w:sz w:val="14"/>
                <w:szCs w:val="14"/>
              </w:rPr>
              <w:t> </w:t>
            </w:r>
          </w:p>
        </w:tc>
        <w:tc>
          <w:tcPr>
            <w:tcW w:w="807" w:type="dxa"/>
            <w:tcBorders>
              <w:top w:val="nil"/>
              <w:left w:val="nil"/>
              <w:bottom w:val="single" w:sz="4" w:space="0" w:color="auto"/>
              <w:right w:val="single" w:sz="4" w:space="0" w:color="auto"/>
            </w:tcBorders>
            <w:shd w:val="clear" w:color="auto" w:fill="auto"/>
            <w:noWrap/>
            <w:vAlign w:val="bottom"/>
            <w:hideMark/>
          </w:tcPr>
          <w:p w14:paraId="1DF2C674" w14:textId="77777777" w:rsidR="00E5327B" w:rsidRPr="00E5327B" w:rsidRDefault="34B096E2" w:rsidP="34B096E2">
            <w:pPr>
              <w:spacing w:after="0"/>
              <w:jc w:val="right"/>
              <w:rPr>
                <w:sz w:val="14"/>
                <w:szCs w:val="14"/>
              </w:rPr>
            </w:pPr>
            <w:r w:rsidRPr="34B096E2">
              <w:rPr>
                <w:sz w:val="14"/>
                <w:szCs w:val="14"/>
              </w:rPr>
              <w:t> </w:t>
            </w:r>
          </w:p>
        </w:tc>
        <w:tc>
          <w:tcPr>
            <w:tcW w:w="593" w:type="dxa"/>
            <w:tcBorders>
              <w:top w:val="nil"/>
              <w:left w:val="nil"/>
              <w:bottom w:val="single" w:sz="4" w:space="0" w:color="auto"/>
              <w:right w:val="single" w:sz="4" w:space="0" w:color="auto"/>
            </w:tcBorders>
            <w:shd w:val="clear" w:color="auto" w:fill="auto"/>
            <w:noWrap/>
            <w:vAlign w:val="bottom"/>
            <w:hideMark/>
          </w:tcPr>
          <w:p w14:paraId="05B41394" w14:textId="77777777" w:rsidR="00E5327B" w:rsidRPr="00E5327B" w:rsidRDefault="34B096E2" w:rsidP="34B096E2">
            <w:pPr>
              <w:spacing w:after="0"/>
              <w:jc w:val="right"/>
              <w:rPr>
                <w:sz w:val="14"/>
                <w:szCs w:val="14"/>
              </w:rPr>
            </w:pPr>
            <w:r w:rsidRPr="34B096E2">
              <w:rPr>
                <w:sz w:val="14"/>
                <w:szCs w:val="14"/>
              </w:rPr>
              <w:t> </w:t>
            </w:r>
          </w:p>
        </w:tc>
      </w:tr>
      <w:tr w:rsidR="00E5327B" w:rsidRPr="00E5327B" w14:paraId="6FDD1BFC"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04F24A4" w14:textId="77777777" w:rsidR="00E5327B" w:rsidRPr="00E5327B" w:rsidRDefault="34B096E2" w:rsidP="34B096E2">
            <w:pPr>
              <w:spacing w:after="0"/>
              <w:ind w:firstLineChars="400" w:firstLine="560"/>
              <w:jc w:val="left"/>
              <w:rPr>
                <w:i/>
                <w:iCs/>
                <w:sz w:val="14"/>
                <w:szCs w:val="14"/>
              </w:rPr>
            </w:pPr>
            <w:r w:rsidRPr="34B096E2">
              <w:rPr>
                <w:i/>
                <w:iCs/>
                <w:sz w:val="14"/>
                <w:szCs w:val="14"/>
              </w:rPr>
              <w:t>korhatár előtti ellátás és táncművészeti életjáradék</w:t>
            </w:r>
          </w:p>
        </w:tc>
        <w:tc>
          <w:tcPr>
            <w:tcW w:w="980" w:type="dxa"/>
            <w:tcBorders>
              <w:top w:val="nil"/>
              <w:left w:val="nil"/>
              <w:bottom w:val="single" w:sz="4" w:space="0" w:color="auto"/>
              <w:right w:val="single" w:sz="4" w:space="0" w:color="auto"/>
            </w:tcBorders>
            <w:shd w:val="clear" w:color="auto" w:fill="auto"/>
            <w:noWrap/>
            <w:vAlign w:val="bottom"/>
            <w:hideMark/>
          </w:tcPr>
          <w:p w14:paraId="373D78E0" w14:textId="77777777" w:rsidR="00E5327B" w:rsidRPr="00E5327B" w:rsidRDefault="34B096E2" w:rsidP="34B096E2">
            <w:pPr>
              <w:spacing w:after="0"/>
              <w:jc w:val="right"/>
              <w:rPr>
                <w:sz w:val="14"/>
                <w:szCs w:val="14"/>
              </w:rPr>
            </w:pPr>
            <w:r w:rsidRPr="34B096E2">
              <w:rPr>
                <w:sz w:val="14"/>
                <w:szCs w:val="14"/>
              </w:rPr>
              <w:t>18,6</w:t>
            </w:r>
          </w:p>
        </w:tc>
        <w:tc>
          <w:tcPr>
            <w:tcW w:w="960" w:type="dxa"/>
            <w:tcBorders>
              <w:top w:val="nil"/>
              <w:left w:val="nil"/>
              <w:bottom w:val="single" w:sz="4" w:space="0" w:color="auto"/>
              <w:right w:val="single" w:sz="4" w:space="0" w:color="auto"/>
            </w:tcBorders>
            <w:shd w:val="clear" w:color="auto" w:fill="auto"/>
            <w:noWrap/>
            <w:vAlign w:val="bottom"/>
            <w:hideMark/>
          </w:tcPr>
          <w:p w14:paraId="4C530649" w14:textId="77777777" w:rsidR="00E5327B" w:rsidRPr="00E5327B" w:rsidRDefault="34B096E2" w:rsidP="34B096E2">
            <w:pPr>
              <w:spacing w:after="0"/>
              <w:jc w:val="right"/>
              <w:rPr>
                <w:sz w:val="14"/>
                <w:szCs w:val="14"/>
              </w:rPr>
            </w:pPr>
            <w:r w:rsidRPr="34B096E2">
              <w:rPr>
                <w:sz w:val="14"/>
                <w:szCs w:val="14"/>
              </w:rPr>
              <w:t>20,1</w:t>
            </w:r>
          </w:p>
        </w:tc>
        <w:tc>
          <w:tcPr>
            <w:tcW w:w="807" w:type="dxa"/>
            <w:tcBorders>
              <w:top w:val="nil"/>
              <w:left w:val="nil"/>
              <w:bottom w:val="single" w:sz="4" w:space="0" w:color="auto"/>
              <w:right w:val="single" w:sz="4" w:space="0" w:color="auto"/>
            </w:tcBorders>
            <w:shd w:val="clear" w:color="auto" w:fill="auto"/>
            <w:noWrap/>
            <w:vAlign w:val="bottom"/>
            <w:hideMark/>
          </w:tcPr>
          <w:p w14:paraId="2825015A" w14:textId="77777777" w:rsidR="00E5327B" w:rsidRPr="00E5327B" w:rsidRDefault="34B096E2" w:rsidP="34B096E2">
            <w:pPr>
              <w:spacing w:after="0"/>
              <w:jc w:val="right"/>
              <w:rPr>
                <w:sz w:val="14"/>
                <w:szCs w:val="14"/>
              </w:rPr>
            </w:pPr>
            <w:r w:rsidRPr="34B096E2">
              <w:rPr>
                <w:sz w:val="14"/>
                <w:szCs w:val="14"/>
              </w:rPr>
              <w:t>1,5</w:t>
            </w:r>
          </w:p>
        </w:tc>
        <w:tc>
          <w:tcPr>
            <w:tcW w:w="593" w:type="dxa"/>
            <w:tcBorders>
              <w:top w:val="nil"/>
              <w:left w:val="nil"/>
              <w:bottom w:val="single" w:sz="4" w:space="0" w:color="auto"/>
              <w:right w:val="single" w:sz="4" w:space="0" w:color="auto"/>
            </w:tcBorders>
            <w:shd w:val="clear" w:color="auto" w:fill="auto"/>
            <w:noWrap/>
            <w:vAlign w:val="bottom"/>
            <w:hideMark/>
          </w:tcPr>
          <w:p w14:paraId="2EB1A393" w14:textId="77777777" w:rsidR="00E5327B" w:rsidRPr="00E5327B" w:rsidRDefault="34B096E2" w:rsidP="34B096E2">
            <w:pPr>
              <w:spacing w:after="0"/>
              <w:jc w:val="right"/>
              <w:rPr>
                <w:sz w:val="14"/>
                <w:szCs w:val="14"/>
              </w:rPr>
            </w:pPr>
            <w:r w:rsidRPr="34B096E2">
              <w:rPr>
                <w:sz w:val="14"/>
                <w:szCs w:val="14"/>
              </w:rPr>
              <w:t>108,1</w:t>
            </w:r>
          </w:p>
        </w:tc>
      </w:tr>
      <w:tr w:rsidR="00E5327B" w:rsidRPr="00E5327B" w14:paraId="46604E06"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0878DBB" w14:textId="77777777" w:rsidR="00E5327B" w:rsidRPr="00E5327B" w:rsidRDefault="34B096E2" w:rsidP="34B096E2">
            <w:pPr>
              <w:spacing w:after="0"/>
              <w:ind w:firstLineChars="400" w:firstLine="560"/>
              <w:jc w:val="left"/>
              <w:rPr>
                <w:i/>
                <w:iCs/>
                <w:sz w:val="14"/>
                <w:szCs w:val="14"/>
              </w:rPr>
            </w:pPr>
            <w:r w:rsidRPr="34B096E2">
              <w:rPr>
                <w:i/>
                <w:iCs/>
                <w:sz w:val="14"/>
                <w:szCs w:val="14"/>
              </w:rPr>
              <w:t>szolgálati járandóság</w:t>
            </w:r>
          </w:p>
        </w:tc>
        <w:tc>
          <w:tcPr>
            <w:tcW w:w="980" w:type="dxa"/>
            <w:tcBorders>
              <w:top w:val="nil"/>
              <w:left w:val="nil"/>
              <w:bottom w:val="single" w:sz="4" w:space="0" w:color="auto"/>
              <w:right w:val="single" w:sz="4" w:space="0" w:color="auto"/>
            </w:tcBorders>
            <w:shd w:val="clear" w:color="auto" w:fill="auto"/>
            <w:noWrap/>
            <w:vAlign w:val="bottom"/>
            <w:hideMark/>
          </w:tcPr>
          <w:p w14:paraId="3B550A16" w14:textId="77777777" w:rsidR="00E5327B" w:rsidRPr="00E5327B" w:rsidRDefault="34B096E2" w:rsidP="34B096E2">
            <w:pPr>
              <w:spacing w:after="0"/>
              <w:jc w:val="right"/>
              <w:rPr>
                <w:sz w:val="14"/>
                <w:szCs w:val="14"/>
              </w:rPr>
            </w:pPr>
            <w:r w:rsidRPr="34B096E2">
              <w:rPr>
                <w:sz w:val="14"/>
                <w:szCs w:val="14"/>
              </w:rPr>
              <w:t>66,5</w:t>
            </w:r>
          </w:p>
        </w:tc>
        <w:tc>
          <w:tcPr>
            <w:tcW w:w="960" w:type="dxa"/>
            <w:tcBorders>
              <w:top w:val="nil"/>
              <w:left w:val="nil"/>
              <w:bottom w:val="single" w:sz="4" w:space="0" w:color="auto"/>
              <w:right w:val="single" w:sz="4" w:space="0" w:color="auto"/>
            </w:tcBorders>
            <w:shd w:val="clear" w:color="auto" w:fill="auto"/>
            <w:noWrap/>
            <w:vAlign w:val="bottom"/>
            <w:hideMark/>
          </w:tcPr>
          <w:p w14:paraId="4870CEF3" w14:textId="77777777" w:rsidR="00E5327B" w:rsidRPr="00E5327B" w:rsidRDefault="34B096E2" w:rsidP="34B096E2">
            <w:pPr>
              <w:spacing w:after="0"/>
              <w:jc w:val="right"/>
              <w:rPr>
                <w:sz w:val="14"/>
                <w:szCs w:val="14"/>
              </w:rPr>
            </w:pPr>
            <w:r w:rsidRPr="34B096E2">
              <w:rPr>
                <w:sz w:val="14"/>
                <w:szCs w:val="14"/>
              </w:rPr>
              <w:t>65,1</w:t>
            </w:r>
          </w:p>
        </w:tc>
        <w:tc>
          <w:tcPr>
            <w:tcW w:w="807" w:type="dxa"/>
            <w:tcBorders>
              <w:top w:val="nil"/>
              <w:left w:val="nil"/>
              <w:bottom w:val="single" w:sz="4" w:space="0" w:color="auto"/>
              <w:right w:val="single" w:sz="4" w:space="0" w:color="auto"/>
            </w:tcBorders>
            <w:shd w:val="clear" w:color="auto" w:fill="auto"/>
            <w:noWrap/>
            <w:vAlign w:val="bottom"/>
            <w:hideMark/>
          </w:tcPr>
          <w:p w14:paraId="2AC01BC4" w14:textId="77777777" w:rsidR="00E5327B" w:rsidRPr="00E5327B" w:rsidRDefault="34B096E2" w:rsidP="34B096E2">
            <w:pPr>
              <w:spacing w:after="0"/>
              <w:jc w:val="right"/>
              <w:rPr>
                <w:sz w:val="14"/>
                <w:szCs w:val="14"/>
              </w:rPr>
            </w:pPr>
            <w:r w:rsidRPr="34B096E2">
              <w:rPr>
                <w:sz w:val="14"/>
                <w:szCs w:val="14"/>
              </w:rPr>
              <w:t>-1,4</w:t>
            </w:r>
          </w:p>
        </w:tc>
        <w:tc>
          <w:tcPr>
            <w:tcW w:w="593" w:type="dxa"/>
            <w:tcBorders>
              <w:top w:val="nil"/>
              <w:left w:val="nil"/>
              <w:bottom w:val="single" w:sz="4" w:space="0" w:color="auto"/>
              <w:right w:val="single" w:sz="4" w:space="0" w:color="auto"/>
            </w:tcBorders>
            <w:shd w:val="clear" w:color="auto" w:fill="auto"/>
            <w:noWrap/>
            <w:vAlign w:val="bottom"/>
            <w:hideMark/>
          </w:tcPr>
          <w:p w14:paraId="26F5FFBA" w14:textId="77777777" w:rsidR="00E5327B" w:rsidRPr="00E5327B" w:rsidRDefault="34B096E2" w:rsidP="34B096E2">
            <w:pPr>
              <w:spacing w:after="0"/>
              <w:jc w:val="right"/>
              <w:rPr>
                <w:sz w:val="14"/>
                <w:szCs w:val="14"/>
              </w:rPr>
            </w:pPr>
            <w:r w:rsidRPr="34B096E2">
              <w:rPr>
                <w:sz w:val="14"/>
                <w:szCs w:val="14"/>
              </w:rPr>
              <w:t>97,9</w:t>
            </w:r>
          </w:p>
        </w:tc>
      </w:tr>
      <w:tr w:rsidR="00E5327B" w:rsidRPr="00E5327B" w14:paraId="389A911F"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779E12A5" w14:textId="77777777" w:rsidR="00E5327B" w:rsidRPr="00E5327B" w:rsidRDefault="34B096E2" w:rsidP="34B096E2">
            <w:pPr>
              <w:spacing w:after="0"/>
              <w:jc w:val="left"/>
              <w:rPr>
                <w:b/>
                <w:bCs/>
                <w:sz w:val="14"/>
                <w:szCs w:val="14"/>
              </w:rPr>
            </w:pPr>
            <w:r w:rsidRPr="34B096E2">
              <w:rPr>
                <w:b/>
                <w:bCs/>
                <w:sz w:val="14"/>
                <w:szCs w:val="14"/>
              </w:rPr>
              <w:t>Jövedelempótló és jövedelemkiegészítő szociális támogatások</w:t>
            </w:r>
          </w:p>
        </w:tc>
        <w:tc>
          <w:tcPr>
            <w:tcW w:w="980" w:type="dxa"/>
            <w:tcBorders>
              <w:top w:val="nil"/>
              <w:left w:val="nil"/>
              <w:bottom w:val="single" w:sz="4" w:space="0" w:color="auto"/>
              <w:right w:val="single" w:sz="4" w:space="0" w:color="auto"/>
            </w:tcBorders>
            <w:shd w:val="clear" w:color="auto" w:fill="auto"/>
            <w:noWrap/>
            <w:vAlign w:val="bottom"/>
            <w:hideMark/>
          </w:tcPr>
          <w:p w14:paraId="063E3550" w14:textId="77777777" w:rsidR="00E5327B" w:rsidRPr="00E5327B" w:rsidRDefault="34B096E2" w:rsidP="34B096E2">
            <w:pPr>
              <w:spacing w:after="0"/>
              <w:jc w:val="right"/>
              <w:rPr>
                <w:b/>
                <w:bCs/>
                <w:sz w:val="14"/>
                <w:szCs w:val="14"/>
              </w:rPr>
            </w:pPr>
            <w:r w:rsidRPr="34B096E2">
              <w:rPr>
                <w:b/>
                <w:bCs/>
                <w:sz w:val="14"/>
                <w:szCs w:val="14"/>
              </w:rPr>
              <w:t>126,6</w:t>
            </w:r>
          </w:p>
        </w:tc>
        <w:tc>
          <w:tcPr>
            <w:tcW w:w="960" w:type="dxa"/>
            <w:tcBorders>
              <w:top w:val="nil"/>
              <w:left w:val="nil"/>
              <w:bottom w:val="single" w:sz="4" w:space="0" w:color="auto"/>
              <w:right w:val="single" w:sz="4" w:space="0" w:color="auto"/>
            </w:tcBorders>
            <w:shd w:val="clear" w:color="auto" w:fill="auto"/>
            <w:noWrap/>
            <w:vAlign w:val="bottom"/>
            <w:hideMark/>
          </w:tcPr>
          <w:p w14:paraId="1B8FEACC" w14:textId="77777777" w:rsidR="00E5327B" w:rsidRPr="00E5327B" w:rsidRDefault="34B096E2" w:rsidP="34B096E2">
            <w:pPr>
              <w:spacing w:after="0"/>
              <w:jc w:val="right"/>
              <w:rPr>
                <w:b/>
                <w:bCs/>
                <w:sz w:val="14"/>
                <w:szCs w:val="14"/>
              </w:rPr>
            </w:pPr>
            <w:r w:rsidRPr="34B096E2">
              <w:rPr>
                <w:b/>
                <w:bCs/>
                <w:sz w:val="14"/>
                <w:szCs w:val="14"/>
              </w:rPr>
              <w:t>130,4</w:t>
            </w:r>
          </w:p>
        </w:tc>
        <w:tc>
          <w:tcPr>
            <w:tcW w:w="807" w:type="dxa"/>
            <w:tcBorders>
              <w:top w:val="nil"/>
              <w:left w:val="nil"/>
              <w:bottom w:val="single" w:sz="4" w:space="0" w:color="auto"/>
              <w:right w:val="single" w:sz="4" w:space="0" w:color="auto"/>
            </w:tcBorders>
            <w:shd w:val="clear" w:color="auto" w:fill="auto"/>
            <w:noWrap/>
            <w:vAlign w:val="bottom"/>
            <w:hideMark/>
          </w:tcPr>
          <w:p w14:paraId="7B2F5871" w14:textId="77777777" w:rsidR="00E5327B" w:rsidRPr="00E5327B" w:rsidRDefault="34B096E2" w:rsidP="34B096E2">
            <w:pPr>
              <w:spacing w:after="0"/>
              <w:jc w:val="right"/>
              <w:rPr>
                <w:b/>
                <w:bCs/>
                <w:sz w:val="14"/>
                <w:szCs w:val="14"/>
              </w:rPr>
            </w:pPr>
            <w:r w:rsidRPr="34B096E2">
              <w:rPr>
                <w:b/>
                <w:bCs/>
                <w:sz w:val="14"/>
                <w:szCs w:val="14"/>
              </w:rPr>
              <w:t>3,8</w:t>
            </w:r>
          </w:p>
        </w:tc>
        <w:tc>
          <w:tcPr>
            <w:tcW w:w="593" w:type="dxa"/>
            <w:tcBorders>
              <w:top w:val="nil"/>
              <w:left w:val="nil"/>
              <w:bottom w:val="single" w:sz="4" w:space="0" w:color="auto"/>
              <w:right w:val="single" w:sz="4" w:space="0" w:color="auto"/>
            </w:tcBorders>
            <w:shd w:val="clear" w:color="auto" w:fill="auto"/>
            <w:noWrap/>
            <w:vAlign w:val="bottom"/>
            <w:hideMark/>
          </w:tcPr>
          <w:p w14:paraId="6260DA10" w14:textId="77777777" w:rsidR="00E5327B" w:rsidRPr="00E5327B" w:rsidRDefault="34B096E2" w:rsidP="34B096E2">
            <w:pPr>
              <w:spacing w:after="0"/>
              <w:jc w:val="right"/>
              <w:rPr>
                <w:b/>
                <w:bCs/>
                <w:sz w:val="14"/>
                <w:szCs w:val="14"/>
              </w:rPr>
            </w:pPr>
            <w:r w:rsidRPr="34B096E2">
              <w:rPr>
                <w:b/>
                <w:bCs/>
                <w:sz w:val="14"/>
                <w:szCs w:val="14"/>
              </w:rPr>
              <w:t>103,0</w:t>
            </w:r>
          </w:p>
        </w:tc>
      </w:tr>
      <w:tr w:rsidR="00E5327B" w:rsidRPr="00E5327B" w14:paraId="3D0E126D"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1CBE2F07" w14:textId="77777777" w:rsidR="00E5327B" w:rsidRPr="00E5327B" w:rsidRDefault="34B096E2" w:rsidP="34B096E2">
            <w:pPr>
              <w:spacing w:after="0"/>
              <w:ind w:firstLineChars="100" w:firstLine="140"/>
              <w:jc w:val="left"/>
              <w:rPr>
                <w:i/>
                <w:iCs/>
                <w:sz w:val="14"/>
                <w:szCs w:val="14"/>
              </w:rPr>
            </w:pPr>
            <w:r w:rsidRPr="34B096E2">
              <w:rPr>
                <w:i/>
                <w:iCs/>
                <w:sz w:val="14"/>
                <w:szCs w:val="14"/>
              </w:rPr>
              <w:t>Ebből:</w:t>
            </w:r>
          </w:p>
        </w:tc>
        <w:tc>
          <w:tcPr>
            <w:tcW w:w="980" w:type="dxa"/>
            <w:tcBorders>
              <w:top w:val="nil"/>
              <w:left w:val="nil"/>
              <w:bottom w:val="single" w:sz="4" w:space="0" w:color="auto"/>
              <w:right w:val="single" w:sz="4" w:space="0" w:color="auto"/>
            </w:tcBorders>
            <w:shd w:val="clear" w:color="auto" w:fill="auto"/>
            <w:noWrap/>
            <w:vAlign w:val="bottom"/>
            <w:hideMark/>
          </w:tcPr>
          <w:p w14:paraId="471ECE13" w14:textId="77777777" w:rsidR="00E5327B" w:rsidRPr="00E5327B" w:rsidRDefault="34B096E2" w:rsidP="34B096E2">
            <w:pPr>
              <w:spacing w:after="0"/>
              <w:jc w:val="right"/>
              <w:rPr>
                <w:sz w:val="14"/>
                <w:szCs w:val="14"/>
              </w:rPr>
            </w:pPr>
            <w:r w:rsidRPr="34B096E2">
              <w:rPr>
                <w:sz w:val="14"/>
                <w:szCs w:val="14"/>
              </w:rPr>
              <w:t> </w:t>
            </w:r>
          </w:p>
        </w:tc>
        <w:tc>
          <w:tcPr>
            <w:tcW w:w="960" w:type="dxa"/>
            <w:tcBorders>
              <w:top w:val="nil"/>
              <w:left w:val="nil"/>
              <w:bottom w:val="single" w:sz="4" w:space="0" w:color="auto"/>
              <w:right w:val="single" w:sz="4" w:space="0" w:color="auto"/>
            </w:tcBorders>
            <w:shd w:val="clear" w:color="auto" w:fill="auto"/>
            <w:noWrap/>
            <w:vAlign w:val="bottom"/>
            <w:hideMark/>
          </w:tcPr>
          <w:p w14:paraId="03D48107" w14:textId="77777777" w:rsidR="00E5327B" w:rsidRPr="00E5327B" w:rsidRDefault="34B096E2" w:rsidP="34B096E2">
            <w:pPr>
              <w:spacing w:after="0"/>
              <w:jc w:val="right"/>
              <w:rPr>
                <w:sz w:val="14"/>
                <w:szCs w:val="14"/>
              </w:rPr>
            </w:pPr>
            <w:r w:rsidRPr="34B096E2">
              <w:rPr>
                <w:sz w:val="14"/>
                <w:szCs w:val="14"/>
              </w:rPr>
              <w:t> </w:t>
            </w:r>
          </w:p>
        </w:tc>
        <w:tc>
          <w:tcPr>
            <w:tcW w:w="807" w:type="dxa"/>
            <w:tcBorders>
              <w:top w:val="nil"/>
              <w:left w:val="nil"/>
              <w:bottom w:val="single" w:sz="4" w:space="0" w:color="auto"/>
              <w:right w:val="single" w:sz="4" w:space="0" w:color="auto"/>
            </w:tcBorders>
            <w:shd w:val="clear" w:color="auto" w:fill="auto"/>
            <w:noWrap/>
            <w:vAlign w:val="bottom"/>
            <w:hideMark/>
          </w:tcPr>
          <w:p w14:paraId="0A66A005" w14:textId="77777777" w:rsidR="00E5327B" w:rsidRPr="00E5327B" w:rsidRDefault="34B096E2" w:rsidP="34B096E2">
            <w:pPr>
              <w:spacing w:after="0"/>
              <w:jc w:val="right"/>
              <w:rPr>
                <w:sz w:val="14"/>
                <w:szCs w:val="14"/>
              </w:rPr>
            </w:pPr>
            <w:r w:rsidRPr="34B096E2">
              <w:rPr>
                <w:sz w:val="14"/>
                <w:szCs w:val="14"/>
              </w:rPr>
              <w:t> </w:t>
            </w:r>
          </w:p>
        </w:tc>
        <w:tc>
          <w:tcPr>
            <w:tcW w:w="593" w:type="dxa"/>
            <w:tcBorders>
              <w:top w:val="nil"/>
              <w:left w:val="nil"/>
              <w:bottom w:val="single" w:sz="4" w:space="0" w:color="auto"/>
              <w:right w:val="single" w:sz="4" w:space="0" w:color="auto"/>
            </w:tcBorders>
            <w:shd w:val="clear" w:color="auto" w:fill="auto"/>
            <w:noWrap/>
            <w:vAlign w:val="bottom"/>
            <w:hideMark/>
          </w:tcPr>
          <w:p w14:paraId="1E159551" w14:textId="77777777" w:rsidR="00E5327B" w:rsidRPr="00E5327B" w:rsidRDefault="34B096E2" w:rsidP="34B096E2">
            <w:pPr>
              <w:spacing w:after="0"/>
              <w:jc w:val="right"/>
              <w:rPr>
                <w:b/>
                <w:bCs/>
                <w:sz w:val="14"/>
                <w:szCs w:val="14"/>
              </w:rPr>
            </w:pPr>
            <w:r w:rsidRPr="34B096E2">
              <w:rPr>
                <w:b/>
                <w:bCs/>
                <w:sz w:val="14"/>
                <w:szCs w:val="14"/>
              </w:rPr>
              <w:t> </w:t>
            </w:r>
          </w:p>
        </w:tc>
      </w:tr>
      <w:tr w:rsidR="00E5327B" w:rsidRPr="00E5327B" w14:paraId="0D50A47C"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vAlign w:val="center"/>
            <w:hideMark/>
          </w:tcPr>
          <w:p w14:paraId="5FE5BCCF" w14:textId="77777777" w:rsidR="00E5327B" w:rsidRPr="00E5327B" w:rsidRDefault="34B096E2" w:rsidP="34B096E2">
            <w:pPr>
              <w:spacing w:after="0"/>
              <w:ind w:firstLineChars="400" w:firstLine="560"/>
              <w:jc w:val="left"/>
              <w:rPr>
                <w:i/>
                <w:iCs/>
                <w:sz w:val="14"/>
                <w:szCs w:val="14"/>
              </w:rPr>
            </w:pPr>
            <w:r w:rsidRPr="34B096E2">
              <w:rPr>
                <w:i/>
                <w:iCs/>
                <w:sz w:val="14"/>
                <w:szCs w:val="14"/>
              </w:rPr>
              <w:t>járási szociális feladatok ellátása</w:t>
            </w:r>
          </w:p>
        </w:tc>
        <w:tc>
          <w:tcPr>
            <w:tcW w:w="980" w:type="dxa"/>
            <w:tcBorders>
              <w:top w:val="nil"/>
              <w:left w:val="nil"/>
              <w:bottom w:val="single" w:sz="4" w:space="0" w:color="auto"/>
              <w:right w:val="single" w:sz="4" w:space="0" w:color="auto"/>
            </w:tcBorders>
            <w:shd w:val="clear" w:color="auto" w:fill="auto"/>
            <w:noWrap/>
            <w:vAlign w:val="bottom"/>
            <w:hideMark/>
          </w:tcPr>
          <w:p w14:paraId="0B89298B" w14:textId="77777777" w:rsidR="00E5327B" w:rsidRPr="00E5327B" w:rsidRDefault="34B096E2" w:rsidP="34B096E2">
            <w:pPr>
              <w:spacing w:after="0"/>
              <w:jc w:val="right"/>
              <w:rPr>
                <w:sz w:val="14"/>
                <w:szCs w:val="14"/>
              </w:rPr>
            </w:pPr>
            <w:r w:rsidRPr="34B096E2">
              <w:rPr>
                <w:sz w:val="14"/>
                <w:szCs w:val="14"/>
              </w:rPr>
              <w:t>69,7</w:t>
            </w:r>
          </w:p>
        </w:tc>
        <w:tc>
          <w:tcPr>
            <w:tcW w:w="960" w:type="dxa"/>
            <w:tcBorders>
              <w:top w:val="nil"/>
              <w:left w:val="nil"/>
              <w:bottom w:val="single" w:sz="4" w:space="0" w:color="auto"/>
              <w:right w:val="single" w:sz="4" w:space="0" w:color="auto"/>
            </w:tcBorders>
            <w:shd w:val="clear" w:color="auto" w:fill="auto"/>
            <w:noWrap/>
            <w:vAlign w:val="bottom"/>
            <w:hideMark/>
          </w:tcPr>
          <w:p w14:paraId="280B72E5" w14:textId="77777777" w:rsidR="00E5327B" w:rsidRPr="00E5327B" w:rsidRDefault="34B096E2" w:rsidP="34B096E2">
            <w:pPr>
              <w:spacing w:after="0"/>
              <w:jc w:val="right"/>
              <w:rPr>
                <w:sz w:val="14"/>
                <w:szCs w:val="14"/>
              </w:rPr>
            </w:pPr>
            <w:r w:rsidRPr="34B096E2">
              <w:rPr>
                <w:sz w:val="14"/>
                <w:szCs w:val="14"/>
              </w:rPr>
              <w:t>74,7</w:t>
            </w:r>
          </w:p>
        </w:tc>
        <w:tc>
          <w:tcPr>
            <w:tcW w:w="807" w:type="dxa"/>
            <w:tcBorders>
              <w:top w:val="nil"/>
              <w:left w:val="nil"/>
              <w:bottom w:val="single" w:sz="4" w:space="0" w:color="auto"/>
              <w:right w:val="single" w:sz="4" w:space="0" w:color="auto"/>
            </w:tcBorders>
            <w:shd w:val="clear" w:color="auto" w:fill="auto"/>
            <w:noWrap/>
            <w:vAlign w:val="bottom"/>
            <w:hideMark/>
          </w:tcPr>
          <w:p w14:paraId="5A4373E9" w14:textId="77777777" w:rsidR="00E5327B" w:rsidRPr="00E5327B" w:rsidRDefault="34B096E2" w:rsidP="34B096E2">
            <w:pPr>
              <w:spacing w:after="0"/>
              <w:jc w:val="right"/>
              <w:rPr>
                <w:sz w:val="14"/>
                <w:szCs w:val="14"/>
              </w:rPr>
            </w:pPr>
            <w:r w:rsidRPr="34B096E2">
              <w:rPr>
                <w:sz w:val="14"/>
                <w:szCs w:val="14"/>
              </w:rPr>
              <w:t>5,0</w:t>
            </w:r>
          </w:p>
        </w:tc>
        <w:tc>
          <w:tcPr>
            <w:tcW w:w="593" w:type="dxa"/>
            <w:tcBorders>
              <w:top w:val="nil"/>
              <w:left w:val="nil"/>
              <w:bottom w:val="single" w:sz="4" w:space="0" w:color="auto"/>
              <w:right w:val="single" w:sz="4" w:space="0" w:color="auto"/>
            </w:tcBorders>
            <w:shd w:val="clear" w:color="auto" w:fill="auto"/>
            <w:noWrap/>
            <w:vAlign w:val="bottom"/>
            <w:hideMark/>
          </w:tcPr>
          <w:p w14:paraId="68C29EBD" w14:textId="77777777" w:rsidR="00E5327B" w:rsidRPr="00E5327B" w:rsidRDefault="34B096E2" w:rsidP="34B096E2">
            <w:pPr>
              <w:spacing w:after="0"/>
              <w:jc w:val="right"/>
              <w:rPr>
                <w:sz w:val="14"/>
                <w:szCs w:val="14"/>
              </w:rPr>
            </w:pPr>
            <w:r w:rsidRPr="34B096E2">
              <w:rPr>
                <w:sz w:val="14"/>
                <w:szCs w:val="14"/>
              </w:rPr>
              <w:t>107,2</w:t>
            </w:r>
          </w:p>
        </w:tc>
      </w:tr>
      <w:tr w:rsidR="00E5327B" w:rsidRPr="00E5327B" w14:paraId="6FAD7BD0"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69C2EB22" w14:textId="77777777" w:rsidR="00E5327B" w:rsidRPr="00E5327B" w:rsidRDefault="34B096E2" w:rsidP="34B096E2">
            <w:pPr>
              <w:spacing w:after="0"/>
              <w:ind w:firstLineChars="400" w:firstLine="560"/>
              <w:jc w:val="left"/>
              <w:rPr>
                <w:i/>
                <w:iCs/>
                <w:sz w:val="14"/>
                <w:szCs w:val="14"/>
              </w:rPr>
            </w:pPr>
            <w:r w:rsidRPr="34B096E2">
              <w:rPr>
                <w:i/>
                <w:iCs/>
                <w:sz w:val="14"/>
                <w:szCs w:val="14"/>
              </w:rPr>
              <w:t>fogyatékossági támogatás és vakok személyi járadéka</w:t>
            </w:r>
          </w:p>
        </w:tc>
        <w:tc>
          <w:tcPr>
            <w:tcW w:w="980" w:type="dxa"/>
            <w:tcBorders>
              <w:top w:val="nil"/>
              <w:left w:val="nil"/>
              <w:bottom w:val="single" w:sz="4" w:space="0" w:color="auto"/>
              <w:right w:val="single" w:sz="4" w:space="0" w:color="auto"/>
            </w:tcBorders>
            <w:shd w:val="clear" w:color="auto" w:fill="auto"/>
            <w:noWrap/>
            <w:vAlign w:val="bottom"/>
            <w:hideMark/>
          </w:tcPr>
          <w:p w14:paraId="75C35921" w14:textId="77777777" w:rsidR="00E5327B" w:rsidRPr="00E5327B" w:rsidRDefault="34B096E2" w:rsidP="34B096E2">
            <w:pPr>
              <w:spacing w:after="0"/>
              <w:jc w:val="right"/>
              <w:rPr>
                <w:sz w:val="14"/>
                <w:szCs w:val="14"/>
              </w:rPr>
            </w:pPr>
            <w:r w:rsidRPr="34B096E2">
              <w:rPr>
                <w:sz w:val="14"/>
                <w:szCs w:val="14"/>
              </w:rPr>
              <w:t>32,6</w:t>
            </w:r>
          </w:p>
        </w:tc>
        <w:tc>
          <w:tcPr>
            <w:tcW w:w="960" w:type="dxa"/>
            <w:tcBorders>
              <w:top w:val="nil"/>
              <w:left w:val="nil"/>
              <w:bottom w:val="single" w:sz="4" w:space="0" w:color="auto"/>
              <w:right w:val="single" w:sz="4" w:space="0" w:color="auto"/>
            </w:tcBorders>
            <w:shd w:val="clear" w:color="auto" w:fill="auto"/>
            <w:noWrap/>
            <w:vAlign w:val="bottom"/>
            <w:hideMark/>
          </w:tcPr>
          <w:p w14:paraId="623F48C3" w14:textId="77777777" w:rsidR="00E5327B" w:rsidRPr="00E5327B" w:rsidRDefault="34B096E2" w:rsidP="34B096E2">
            <w:pPr>
              <w:spacing w:after="0"/>
              <w:jc w:val="right"/>
              <w:rPr>
                <w:sz w:val="14"/>
                <w:szCs w:val="14"/>
              </w:rPr>
            </w:pPr>
            <w:r w:rsidRPr="34B096E2">
              <w:rPr>
                <w:sz w:val="14"/>
                <w:szCs w:val="14"/>
              </w:rPr>
              <w:t>32,8</w:t>
            </w:r>
          </w:p>
        </w:tc>
        <w:tc>
          <w:tcPr>
            <w:tcW w:w="807" w:type="dxa"/>
            <w:tcBorders>
              <w:top w:val="nil"/>
              <w:left w:val="nil"/>
              <w:bottom w:val="single" w:sz="4" w:space="0" w:color="auto"/>
              <w:right w:val="single" w:sz="4" w:space="0" w:color="auto"/>
            </w:tcBorders>
            <w:shd w:val="clear" w:color="auto" w:fill="auto"/>
            <w:noWrap/>
            <w:vAlign w:val="bottom"/>
            <w:hideMark/>
          </w:tcPr>
          <w:p w14:paraId="30D751C2" w14:textId="77777777" w:rsidR="00E5327B" w:rsidRPr="00E5327B" w:rsidRDefault="34B096E2" w:rsidP="34B096E2">
            <w:pPr>
              <w:spacing w:after="0"/>
              <w:jc w:val="right"/>
              <w:rPr>
                <w:sz w:val="14"/>
                <w:szCs w:val="14"/>
              </w:rPr>
            </w:pPr>
            <w:r w:rsidRPr="34B096E2">
              <w:rPr>
                <w:sz w:val="14"/>
                <w:szCs w:val="14"/>
              </w:rPr>
              <w:t>0,2</w:t>
            </w:r>
          </w:p>
        </w:tc>
        <w:tc>
          <w:tcPr>
            <w:tcW w:w="593" w:type="dxa"/>
            <w:tcBorders>
              <w:top w:val="nil"/>
              <w:left w:val="nil"/>
              <w:bottom w:val="single" w:sz="4" w:space="0" w:color="auto"/>
              <w:right w:val="single" w:sz="4" w:space="0" w:color="auto"/>
            </w:tcBorders>
            <w:shd w:val="clear" w:color="auto" w:fill="auto"/>
            <w:noWrap/>
            <w:vAlign w:val="bottom"/>
            <w:hideMark/>
          </w:tcPr>
          <w:p w14:paraId="4F684F0D" w14:textId="77777777" w:rsidR="00E5327B" w:rsidRPr="00E5327B" w:rsidRDefault="34B096E2" w:rsidP="34B096E2">
            <w:pPr>
              <w:spacing w:after="0"/>
              <w:jc w:val="right"/>
              <w:rPr>
                <w:sz w:val="14"/>
                <w:szCs w:val="14"/>
              </w:rPr>
            </w:pPr>
            <w:r w:rsidRPr="34B096E2">
              <w:rPr>
                <w:sz w:val="14"/>
                <w:szCs w:val="14"/>
              </w:rPr>
              <w:t>100,6</w:t>
            </w:r>
          </w:p>
        </w:tc>
      </w:tr>
      <w:tr w:rsidR="00E5327B" w:rsidRPr="00E5327B" w14:paraId="0A7845CB"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center"/>
            <w:hideMark/>
          </w:tcPr>
          <w:p w14:paraId="6D73CF73" w14:textId="77777777" w:rsidR="00E5327B" w:rsidRPr="00E5327B" w:rsidRDefault="34B096E2" w:rsidP="34B096E2">
            <w:pPr>
              <w:spacing w:after="0"/>
              <w:ind w:firstLineChars="400" w:firstLine="560"/>
              <w:jc w:val="left"/>
              <w:rPr>
                <w:i/>
                <w:iCs/>
                <w:sz w:val="14"/>
                <w:szCs w:val="14"/>
              </w:rPr>
            </w:pPr>
            <w:r w:rsidRPr="34B096E2">
              <w:rPr>
                <w:i/>
                <w:iCs/>
                <w:sz w:val="14"/>
                <w:szCs w:val="14"/>
              </w:rPr>
              <w:t>politikai rehabilitációs és más nyugdíj-kiegészítések</w:t>
            </w:r>
          </w:p>
        </w:tc>
        <w:tc>
          <w:tcPr>
            <w:tcW w:w="980" w:type="dxa"/>
            <w:tcBorders>
              <w:top w:val="nil"/>
              <w:left w:val="nil"/>
              <w:bottom w:val="single" w:sz="4" w:space="0" w:color="auto"/>
              <w:right w:val="single" w:sz="4" w:space="0" w:color="auto"/>
            </w:tcBorders>
            <w:shd w:val="clear" w:color="auto" w:fill="auto"/>
            <w:noWrap/>
            <w:vAlign w:val="bottom"/>
            <w:hideMark/>
          </w:tcPr>
          <w:p w14:paraId="0EEA5668" w14:textId="77777777" w:rsidR="00E5327B" w:rsidRPr="00E5327B" w:rsidRDefault="34B096E2" w:rsidP="34B096E2">
            <w:pPr>
              <w:spacing w:after="0"/>
              <w:jc w:val="right"/>
              <w:rPr>
                <w:sz w:val="14"/>
                <w:szCs w:val="14"/>
              </w:rPr>
            </w:pPr>
            <w:r w:rsidRPr="34B096E2">
              <w:rPr>
                <w:sz w:val="14"/>
                <w:szCs w:val="14"/>
              </w:rPr>
              <w:t>13,1</w:t>
            </w:r>
          </w:p>
        </w:tc>
        <w:tc>
          <w:tcPr>
            <w:tcW w:w="960" w:type="dxa"/>
            <w:tcBorders>
              <w:top w:val="nil"/>
              <w:left w:val="nil"/>
              <w:bottom w:val="single" w:sz="4" w:space="0" w:color="auto"/>
              <w:right w:val="single" w:sz="4" w:space="0" w:color="auto"/>
            </w:tcBorders>
            <w:shd w:val="clear" w:color="auto" w:fill="auto"/>
            <w:noWrap/>
            <w:vAlign w:val="bottom"/>
            <w:hideMark/>
          </w:tcPr>
          <w:p w14:paraId="4F018F59" w14:textId="77777777" w:rsidR="00E5327B" w:rsidRPr="00E5327B" w:rsidRDefault="34B096E2" w:rsidP="34B096E2">
            <w:pPr>
              <w:spacing w:after="0"/>
              <w:jc w:val="right"/>
              <w:rPr>
                <w:sz w:val="14"/>
                <w:szCs w:val="14"/>
              </w:rPr>
            </w:pPr>
            <w:r w:rsidRPr="34B096E2">
              <w:rPr>
                <w:sz w:val="14"/>
                <w:szCs w:val="14"/>
              </w:rPr>
              <w:t>12,4</w:t>
            </w:r>
          </w:p>
        </w:tc>
        <w:tc>
          <w:tcPr>
            <w:tcW w:w="807" w:type="dxa"/>
            <w:tcBorders>
              <w:top w:val="nil"/>
              <w:left w:val="nil"/>
              <w:bottom w:val="single" w:sz="4" w:space="0" w:color="auto"/>
              <w:right w:val="single" w:sz="4" w:space="0" w:color="auto"/>
            </w:tcBorders>
            <w:shd w:val="clear" w:color="auto" w:fill="auto"/>
            <w:noWrap/>
            <w:vAlign w:val="bottom"/>
            <w:hideMark/>
          </w:tcPr>
          <w:p w14:paraId="09E532AF" w14:textId="77777777" w:rsidR="00E5327B" w:rsidRPr="00E5327B" w:rsidRDefault="34B096E2" w:rsidP="34B096E2">
            <w:pPr>
              <w:spacing w:after="0"/>
              <w:jc w:val="right"/>
              <w:rPr>
                <w:sz w:val="14"/>
                <w:szCs w:val="14"/>
              </w:rPr>
            </w:pPr>
            <w:r w:rsidRPr="34B096E2">
              <w:rPr>
                <w:sz w:val="14"/>
                <w:szCs w:val="14"/>
              </w:rPr>
              <w:t>-0,7</w:t>
            </w:r>
          </w:p>
        </w:tc>
        <w:tc>
          <w:tcPr>
            <w:tcW w:w="593" w:type="dxa"/>
            <w:tcBorders>
              <w:top w:val="nil"/>
              <w:left w:val="nil"/>
              <w:bottom w:val="single" w:sz="4" w:space="0" w:color="auto"/>
              <w:right w:val="single" w:sz="4" w:space="0" w:color="auto"/>
            </w:tcBorders>
            <w:shd w:val="clear" w:color="auto" w:fill="auto"/>
            <w:noWrap/>
            <w:vAlign w:val="bottom"/>
            <w:hideMark/>
          </w:tcPr>
          <w:p w14:paraId="38D625E3" w14:textId="77777777" w:rsidR="00E5327B" w:rsidRPr="00E5327B" w:rsidRDefault="34B096E2" w:rsidP="34B096E2">
            <w:pPr>
              <w:spacing w:after="0"/>
              <w:jc w:val="right"/>
              <w:rPr>
                <w:sz w:val="14"/>
                <w:szCs w:val="14"/>
              </w:rPr>
            </w:pPr>
            <w:r w:rsidRPr="34B096E2">
              <w:rPr>
                <w:sz w:val="14"/>
                <w:szCs w:val="14"/>
              </w:rPr>
              <w:t>94,7</w:t>
            </w:r>
          </w:p>
        </w:tc>
      </w:tr>
      <w:tr w:rsidR="00E5327B" w:rsidRPr="00E5327B" w14:paraId="3E3CD33F"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431A256F" w14:textId="77777777" w:rsidR="00E5327B" w:rsidRPr="00E5327B" w:rsidRDefault="34B096E2" w:rsidP="34B096E2">
            <w:pPr>
              <w:spacing w:after="0"/>
              <w:jc w:val="left"/>
              <w:rPr>
                <w:b/>
                <w:bCs/>
                <w:sz w:val="14"/>
                <w:szCs w:val="14"/>
              </w:rPr>
            </w:pPr>
            <w:r w:rsidRPr="34B096E2">
              <w:rPr>
                <w:b/>
                <w:bCs/>
                <w:sz w:val="14"/>
                <w:szCs w:val="14"/>
              </w:rPr>
              <w:t>Különféle jogcímen adott térítések</w:t>
            </w:r>
          </w:p>
        </w:tc>
        <w:tc>
          <w:tcPr>
            <w:tcW w:w="980" w:type="dxa"/>
            <w:tcBorders>
              <w:top w:val="nil"/>
              <w:left w:val="nil"/>
              <w:bottom w:val="single" w:sz="4" w:space="0" w:color="auto"/>
              <w:right w:val="single" w:sz="4" w:space="0" w:color="auto"/>
            </w:tcBorders>
            <w:shd w:val="clear" w:color="auto" w:fill="auto"/>
            <w:noWrap/>
            <w:vAlign w:val="bottom"/>
            <w:hideMark/>
          </w:tcPr>
          <w:p w14:paraId="5D1ADF00" w14:textId="77777777" w:rsidR="00E5327B" w:rsidRPr="00E5327B" w:rsidRDefault="34B096E2" w:rsidP="34B096E2">
            <w:pPr>
              <w:spacing w:after="0"/>
              <w:jc w:val="right"/>
              <w:rPr>
                <w:b/>
                <w:bCs/>
                <w:sz w:val="14"/>
                <w:szCs w:val="14"/>
              </w:rPr>
            </w:pPr>
            <w:r w:rsidRPr="34B096E2">
              <w:rPr>
                <w:b/>
                <w:bCs/>
                <w:sz w:val="14"/>
                <w:szCs w:val="14"/>
              </w:rPr>
              <w:t>22,3</w:t>
            </w:r>
          </w:p>
        </w:tc>
        <w:tc>
          <w:tcPr>
            <w:tcW w:w="960" w:type="dxa"/>
            <w:tcBorders>
              <w:top w:val="nil"/>
              <w:left w:val="nil"/>
              <w:bottom w:val="single" w:sz="4" w:space="0" w:color="auto"/>
              <w:right w:val="single" w:sz="4" w:space="0" w:color="auto"/>
            </w:tcBorders>
            <w:shd w:val="clear" w:color="auto" w:fill="auto"/>
            <w:noWrap/>
            <w:vAlign w:val="bottom"/>
            <w:hideMark/>
          </w:tcPr>
          <w:p w14:paraId="6AE9EE5F" w14:textId="77777777" w:rsidR="00E5327B" w:rsidRPr="00E5327B" w:rsidRDefault="34B096E2" w:rsidP="34B096E2">
            <w:pPr>
              <w:spacing w:after="0"/>
              <w:jc w:val="right"/>
              <w:rPr>
                <w:b/>
                <w:bCs/>
                <w:sz w:val="14"/>
                <w:szCs w:val="14"/>
              </w:rPr>
            </w:pPr>
            <w:r w:rsidRPr="34B096E2">
              <w:rPr>
                <w:b/>
                <w:bCs/>
                <w:sz w:val="14"/>
                <w:szCs w:val="14"/>
              </w:rPr>
              <w:t>22,3</w:t>
            </w:r>
          </w:p>
        </w:tc>
        <w:tc>
          <w:tcPr>
            <w:tcW w:w="807" w:type="dxa"/>
            <w:tcBorders>
              <w:top w:val="nil"/>
              <w:left w:val="nil"/>
              <w:bottom w:val="single" w:sz="4" w:space="0" w:color="auto"/>
              <w:right w:val="single" w:sz="4" w:space="0" w:color="auto"/>
            </w:tcBorders>
            <w:shd w:val="clear" w:color="auto" w:fill="auto"/>
            <w:noWrap/>
            <w:vAlign w:val="bottom"/>
            <w:hideMark/>
          </w:tcPr>
          <w:p w14:paraId="2B6A9784" w14:textId="77777777" w:rsidR="00E5327B" w:rsidRPr="00E5327B" w:rsidRDefault="34B096E2" w:rsidP="34B096E2">
            <w:pPr>
              <w:spacing w:after="0"/>
              <w:jc w:val="right"/>
              <w:rPr>
                <w:b/>
                <w:bCs/>
                <w:sz w:val="14"/>
                <w:szCs w:val="14"/>
              </w:rPr>
            </w:pPr>
            <w:r w:rsidRPr="34B096E2">
              <w:rPr>
                <w:b/>
                <w:bCs/>
                <w:sz w:val="14"/>
                <w:szCs w:val="14"/>
              </w:rPr>
              <w:t>0,</w:t>
            </w:r>
            <w:proofErr w:type="spellStart"/>
            <w:r w:rsidRPr="34B096E2">
              <w:rPr>
                <w:b/>
                <w:bCs/>
                <w:sz w:val="14"/>
                <w:szCs w:val="14"/>
              </w:rPr>
              <w:t>0</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33437719" w14:textId="77777777" w:rsidR="00E5327B" w:rsidRPr="00E5327B" w:rsidRDefault="34B096E2" w:rsidP="34B096E2">
            <w:pPr>
              <w:spacing w:after="0"/>
              <w:jc w:val="right"/>
              <w:rPr>
                <w:b/>
                <w:bCs/>
                <w:sz w:val="14"/>
                <w:szCs w:val="14"/>
              </w:rPr>
            </w:pPr>
            <w:r w:rsidRPr="34B096E2">
              <w:rPr>
                <w:b/>
                <w:bCs/>
                <w:sz w:val="14"/>
                <w:szCs w:val="14"/>
              </w:rPr>
              <w:t>100,0</w:t>
            </w:r>
          </w:p>
        </w:tc>
      </w:tr>
      <w:tr w:rsidR="00E5327B" w:rsidRPr="00E5327B" w14:paraId="701B22CA"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E80F792" w14:textId="77777777" w:rsidR="00E5327B" w:rsidRPr="00E5327B" w:rsidRDefault="34B096E2" w:rsidP="34B096E2">
            <w:pPr>
              <w:spacing w:after="0"/>
              <w:ind w:firstLineChars="100" w:firstLine="140"/>
              <w:jc w:val="left"/>
              <w:rPr>
                <w:i/>
                <w:iCs/>
                <w:sz w:val="14"/>
                <w:szCs w:val="14"/>
              </w:rPr>
            </w:pPr>
            <w:r w:rsidRPr="34B096E2">
              <w:rPr>
                <w:i/>
                <w:iCs/>
                <w:sz w:val="14"/>
                <w:szCs w:val="14"/>
              </w:rPr>
              <w:t xml:space="preserve">Ebből: </w:t>
            </w:r>
          </w:p>
        </w:tc>
        <w:tc>
          <w:tcPr>
            <w:tcW w:w="980" w:type="dxa"/>
            <w:tcBorders>
              <w:top w:val="nil"/>
              <w:left w:val="nil"/>
              <w:bottom w:val="single" w:sz="4" w:space="0" w:color="auto"/>
              <w:right w:val="single" w:sz="4" w:space="0" w:color="auto"/>
            </w:tcBorders>
            <w:shd w:val="clear" w:color="auto" w:fill="auto"/>
            <w:noWrap/>
            <w:vAlign w:val="bottom"/>
            <w:hideMark/>
          </w:tcPr>
          <w:p w14:paraId="74A67427" w14:textId="77777777" w:rsidR="00E5327B" w:rsidRPr="00E5327B" w:rsidRDefault="34B096E2" w:rsidP="34B096E2">
            <w:pPr>
              <w:spacing w:after="0"/>
              <w:jc w:val="right"/>
              <w:rPr>
                <w:sz w:val="14"/>
                <w:szCs w:val="14"/>
              </w:rPr>
            </w:pPr>
            <w:r w:rsidRPr="34B096E2">
              <w:rPr>
                <w:sz w:val="14"/>
                <w:szCs w:val="14"/>
              </w:rPr>
              <w:t> </w:t>
            </w:r>
          </w:p>
        </w:tc>
        <w:tc>
          <w:tcPr>
            <w:tcW w:w="960" w:type="dxa"/>
            <w:tcBorders>
              <w:top w:val="nil"/>
              <w:left w:val="nil"/>
              <w:bottom w:val="single" w:sz="4" w:space="0" w:color="auto"/>
              <w:right w:val="single" w:sz="4" w:space="0" w:color="auto"/>
            </w:tcBorders>
            <w:shd w:val="clear" w:color="auto" w:fill="auto"/>
            <w:noWrap/>
            <w:vAlign w:val="bottom"/>
            <w:hideMark/>
          </w:tcPr>
          <w:p w14:paraId="30C2ED63" w14:textId="77777777" w:rsidR="00E5327B" w:rsidRPr="00E5327B" w:rsidRDefault="34B096E2" w:rsidP="34B096E2">
            <w:pPr>
              <w:spacing w:after="0"/>
              <w:jc w:val="right"/>
              <w:rPr>
                <w:sz w:val="14"/>
                <w:szCs w:val="14"/>
              </w:rPr>
            </w:pPr>
            <w:r w:rsidRPr="34B096E2">
              <w:rPr>
                <w:sz w:val="14"/>
                <w:szCs w:val="14"/>
              </w:rPr>
              <w:t> </w:t>
            </w:r>
          </w:p>
        </w:tc>
        <w:tc>
          <w:tcPr>
            <w:tcW w:w="807" w:type="dxa"/>
            <w:tcBorders>
              <w:top w:val="nil"/>
              <w:left w:val="nil"/>
              <w:bottom w:val="single" w:sz="4" w:space="0" w:color="auto"/>
              <w:right w:val="single" w:sz="4" w:space="0" w:color="auto"/>
            </w:tcBorders>
            <w:shd w:val="clear" w:color="auto" w:fill="auto"/>
            <w:noWrap/>
            <w:vAlign w:val="bottom"/>
            <w:hideMark/>
          </w:tcPr>
          <w:p w14:paraId="4119B420" w14:textId="77777777" w:rsidR="00E5327B" w:rsidRPr="00E5327B" w:rsidRDefault="34B096E2" w:rsidP="34B096E2">
            <w:pPr>
              <w:spacing w:after="0"/>
              <w:jc w:val="right"/>
              <w:rPr>
                <w:sz w:val="14"/>
                <w:szCs w:val="14"/>
              </w:rPr>
            </w:pPr>
            <w:r w:rsidRPr="34B096E2">
              <w:rPr>
                <w:sz w:val="14"/>
                <w:szCs w:val="14"/>
              </w:rPr>
              <w:t> </w:t>
            </w:r>
          </w:p>
        </w:tc>
        <w:tc>
          <w:tcPr>
            <w:tcW w:w="593" w:type="dxa"/>
            <w:tcBorders>
              <w:top w:val="nil"/>
              <w:left w:val="nil"/>
              <w:bottom w:val="single" w:sz="4" w:space="0" w:color="auto"/>
              <w:right w:val="single" w:sz="4" w:space="0" w:color="auto"/>
            </w:tcBorders>
            <w:shd w:val="clear" w:color="auto" w:fill="auto"/>
            <w:noWrap/>
            <w:vAlign w:val="bottom"/>
            <w:hideMark/>
          </w:tcPr>
          <w:p w14:paraId="121FFC34" w14:textId="77777777" w:rsidR="00E5327B" w:rsidRPr="00E5327B" w:rsidRDefault="34B096E2" w:rsidP="34B096E2">
            <w:pPr>
              <w:spacing w:after="0"/>
              <w:jc w:val="right"/>
              <w:rPr>
                <w:sz w:val="14"/>
                <w:szCs w:val="14"/>
              </w:rPr>
            </w:pPr>
            <w:r w:rsidRPr="34B096E2">
              <w:rPr>
                <w:sz w:val="14"/>
                <w:szCs w:val="14"/>
              </w:rPr>
              <w:t> </w:t>
            </w:r>
          </w:p>
        </w:tc>
      </w:tr>
      <w:tr w:rsidR="00E5327B" w:rsidRPr="00E5327B" w14:paraId="1E261DC8"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5C129FA9" w14:textId="77777777" w:rsidR="00E5327B" w:rsidRPr="00E5327B" w:rsidRDefault="34B096E2" w:rsidP="34B096E2">
            <w:pPr>
              <w:spacing w:after="0"/>
              <w:ind w:firstLineChars="400" w:firstLine="560"/>
              <w:jc w:val="left"/>
              <w:rPr>
                <w:i/>
                <w:iCs/>
                <w:sz w:val="14"/>
                <w:szCs w:val="14"/>
              </w:rPr>
            </w:pPr>
            <w:r w:rsidRPr="34B096E2">
              <w:rPr>
                <w:i/>
                <w:iCs/>
                <w:sz w:val="14"/>
                <w:szCs w:val="14"/>
              </w:rPr>
              <w:t>közgyógyellátás</w:t>
            </w:r>
          </w:p>
        </w:tc>
        <w:tc>
          <w:tcPr>
            <w:tcW w:w="980" w:type="dxa"/>
            <w:tcBorders>
              <w:top w:val="nil"/>
              <w:left w:val="nil"/>
              <w:bottom w:val="single" w:sz="4" w:space="0" w:color="auto"/>
              <w:right w:val="single" w:sz="4" w:space="0" w:color="auto"/>
            </w:tcBorders>
            <w:shd w:val="clear" w:color="auto" w:fill="auto"/>
            <w:noWrap/>
            <w:vAlign w:val="bottom"/>
            <w:hideMark/>
          </w:tcPr>
          <w:p w14:paraId="5183EF09" w14:textId="77777777" w:rsidR="00E5327B" w:rsidRPr="00E5327B" w:rsidRDefault="34B096E2" w:rsidP="34B096E2">
            <w:pPr>
              <w:spacing w:after="0"/>
              <w:jc w:val="right"/>
              <w:rPr>
                <w:sz w:val="14"/>
                <w:szCs w:val="14"/>
              </w:rPr>
            </w:pPr>
            <w:r w:rsidRPr="34B096E2">
              <w:rPr>
                <w:sz w:val="14"/>
                <w:szCs w:val="14"/>
              </w:rPr>
              <w:t>15,6</w:t>
            </w:r>
          </w:p>
        </w:tc>
        <w:tc>
          <w:tcPr>
            <w:tcW w:w="960" w:type="dxa"/>
            <w:tcBorders>
              <w:top w:val="nil"/>
              <w:left w:val="nil"/>
              <w:bottom w:val="single" w:sz="4" w:space="0" w:color="auto"/>
              <w:right w:val="single" w:sz="4" w:space="0" w:color="auto"/>
            </w:tcBorders>
            <w:shd w:val="clear" w:color="auto" w:fill="auto"/>
            <w:noWrap/>
            <w:vAlign w:val="bottom"/>
            <w:hideMark/>
          </w:tcPr>
          <w:p w14:paraId="4D76018A" w14:textId="77777777" w:rsidR="00E5327B" w:rsidRPr="00E5327B" w:rsidRDefault="34B096E2" w:rsidP="34B096E2">
            <w:pPr>
              <w:spacing w:after="0"/>
              <w:jc w:val="right"/>
              <w:rPr>
                <w:sz w:val="14"/>
                <w:szCs w:val="14"/>
              </w:rPr>
            </w:pPr>
            <w:r w:rsidRPr="34B096E2">
              <w:rPr>
                <w:sz w:val="14"/>
                <w:szCs w:val="14"/>
              </w:rPr>
              <w:t>15,6</w:t>
            </w:r>
          </w:p>
        </w:tc>
        <w:tc>
          <w:tcPr>
            <w:tcW w:w="807" w:type="dxa"/>
            <w:tcBorders>
              <w:top w:val="nil"/>
              <w:left w:val="nil"/>
              <w:bottom w:val="single" w:sz="4" w:space="0" w:color="auto"/>
              <w:right w:val="single" w:sz="4" w:space="0" w:color="auto"/>
            </w:tcBorders>
            <w:shd w:val="clear" w:color="auto" w:fill="auto"/>
            <w:noWrap/>
            <w:vAlign w:val="bottom"/>
            <w:hideMark/>
          </w:tcPr>
          <w:p w14:paraId="4325D9BC" w14:textId="77777777" w:rsidR="00E5327B" w:rsidRPr="00E5327B" w:rsidRDefault="34B096E2" w:rsidP="34B096E2">
            <w:pPr>
              <w:spacing w:after="0"/>
              <w:jc w:val="right"/>
              <w:rPr>
                <w:sz w:val="14"/>
                <w:szCs w:val="14"/>
              </w:rPr>
            </w:pPr>
            <w:r w:rsidRPr="34B096E2">
              <w:rPr>
                <w:sz w:val="14"/>
                <w:szCs w:val="14"/>
              </w:rPr>
              <w:t>0,</w:t>
            </w:r>
            <w:proofErr w:type="spellStart"/>
            <w:r w:rsidRPr="34B096E2">
              <w:rPr>
                <w:sz w:val="14"/>
                <w:szCs w:val="14"/>
              </w:rPr>
              <w:t>0</w:t>
            </w:r>
            <w:proofErr w:type="spellEnd"/>
          </w:p>
        </w:tc>
        <w:tc>
          <w:tcPr>
            <w:tcW w:w="593" w:type="dxa"/>
            <w:tcBorders>
              <w:top w:val="nil"/>
              <w:left w:val="nil"/>
              <w:bottom w:val="single" w:sz="4" w:space="0" w:color="auto"/>
              <w:right w:val="single" w:sz="4" w:space="0" w:color="auto"/>
            </w:tcBorders>
            <w:shd w:val="clear" w:color="auto" w:fill="auto"/>
            <w:noWrap/>
            <w:vAlign w:val="bottom"/>
            <w:hideMark/>
          </w:tcPr>
          <w:p w14:paraId="1E1EC988" w14:textId="77777777" w:rsidR="00E5327B" w:rsidRPr="00E5327B" w:rsidRDefault="34B096E2" w:rsidP="34B096E2">
            <w:pPr>
              <w:spacing w:after="0"/>
              <w:jc w:val="right"/>
              <w:rPr>
                <w:sz w:val="14"/>
                <w:szCs w:val="14"/>
              </w:rPr>
            </w:pPr>
            <w:r w:rsidRPr="34B096E2">
              <w:rPr>
                <w:sz w:val="14"/>
                <w:szCs w:val="14"/>
              </w:rPr>
              <w:t>100,0</w:t>
            </w:r>
          </w:p>
        </w:tc>
      </w:tr>
      <w:tr w:rsidR="00E5327B" w:rsidRPr="00E5327B" w14:paraId="1D34375A" w14:textId="77777777" w:rsidTr="34B096E2">
        <w:trPr>
          <w:trHeight w:val="210"/>
        </w:trPr>
        <w:tc>
          <w:tcPr>
            <w:tcW w:w="4180" w:type="dxa"/>
            <w:tcBorders>
              <w:top w:val="nil"/>
              <w:left w:val="single" w:sz="4" w:space="0" w:color="auto"/>
              <w:bottom w:val="single" w:sz="4" w:space="0" w:color="auto"/>
              <w:right w:val="single" w:sz="4" w:space="0" w:color="auto"/>
            </w:tcBorders>
            <w:shd w:val="clear" w:color="auto" w:fill="auto"/>
            <w:noWrap/>
            <w:vAlign w:val="bottom"/>
            <w:hideMark/>
          </w:tcPr>
          <w:p w14:paraId="37513E0D" w14:textId="77777777" w:rsidR="00E5327B" w:rsidRPr="00E5327B" w:rsidRDefault="34B096E2" w:rsidP="34B096E2">
            <w:pPr>
              <w:spacing w:after="0"/>
              <w:jc w:val="left"/>
              <w:rPr>
                <w:b/>
                <w:bCs/>
                <w:sz w:val="14"/>
                <w:szCs w:val="14"/>
              </w:rPr>
            </w:pPr>
            <w:r w:rsidRPr="34B096E2">
              <w:rPr>
                <w:b/>
                <w:bCs/>
                <w:sz w:val="14"/>
                <w:szCs w:val="14"/>
              </w:rPr>
              <w:t>Összesen</w:t>
            </w:r>
          </w:p>
        </w:tc>
        <w:tc>
          <w:tcPr>
            <w:tcW w:w="980" w:type="dxa"/>
            <w:tcBorders>
              <w:top w:val="nil"/>
              <w:left w:val="nil"/>
              <w:bottom w:val="single" w:sz="4" w:space="0" w:color="auto"/>
              <w:right w:val="single" w:sz="4" w:space="0" w:color="auto"/>
            </w:tcBorders>
            <w:shd w:val="clear" w:color="auto" w:fill="auto"/>
            <w:noWrap/>
            <w:vAlign w:val="bottom"/>
            <w:hideMark/>
          </w:tcPr>
          <w:p w14:paraId="42C63BA2" w14:textId="77777777" w:rsidR="00E5327B" w:rsidRPr="00E5327B" w:rsidRDefault="34B096E2" w:rsidP="34B096E2">
            <w:pPr>
              <w:spacing w:after="0"/>
              <w:jc w:val="right"/>
              <w:rPr>
                <w:b/>
                <w:bCs/>
                <w:sz w:val="14"/>
                <w:szCs w:val="14"/>
              </w:rPr>
            </w:pPr>
            <w:r w:rsidRPr="34B096E2">
              <w:rPr>
                <w:b/>
                <w:bCs/>
                <w:sz w:val="14"/>
                <w:szCs w:val="14"/>
              </w:rPr>
              <w:t>601,5</w:t>
            </w:r>
          </w:p>
        </w:tc>
        <w:tc>
          <w:tcPr>
            <w:tcW w:w="960" w:type="dxa"/>
            <w:tcBorders>
              <w:top w:val="nil"/>
              <w:left w:val="nil"/>
              <w:bottom w:val="single" w:sz="4" w:space="0" w:color="auto"/>
              <w:right w:val="single" w:sz="4" w:space="0" w:color="auto"/>
            </w:tcBorders>
            <w:shd w:val="clear" w:color="auto" w:fill="auto"/>
            <w:noWrap/>
            <w:vAlign w:val="bottom"/>
            <w:hideMark/>
          </w:tcPr>
          <w:p w14:paraId="49EA978F" w14:textId="77777777" w:rsidR="00E5327B" w:rsidRPr="00E5327B" w:rsidRDefault="34B096E2" w:rsidP="34B096E2">
            <w:pPr>
              <w:spacing w:after="0"/>
              <w:jc w:val="right"/>
              <w:rPr>
                <w:b/>
                <w:bCs/>
                <w:sz w:val="14"/>
                <w:szCs w:val="14"/>
              </w:rPr>
            </w:pPr>
            <w:r w:rsidRPr="34B096E2">
              <w:rPr>
                <w:b/>
                <w:bCs/>
                <w:sz w:val="14"/>
                <w:szCs w:val="14"/>
              </w:rPr>
              <w:t>605,0</w:t>
            </w:r>
          </w:p>
        </w:tc>
        <w:tc>
          <w:tcPr>
            <w:tcW w:w="807" w:type="dxa"/>
            <w:tcBorders>
              <w:top w:val="nil"/>
              <w:left w:val="nil"/>
              <w:bottom w:val="single" w:sz="4" w:space="0" w:color="auto"/>
              <w:right w:val="single" w:sz="4" w:space="0" w:color="auto"/>
            </w:tcBorders>
            <w:shd w:val="clear" w:color="auto" w:fill="auto"/>
            <w:noWrap/>
            <w:vAlign w:val="bottom"/>
            <w:hideMark/>
          </w:tcPr>
          <w:p w14:paraId="47C51D65" w14:textId="77777777" w:rsidR="00E5327B" w:rsidRPr="00E5327B" w:rsidRDefault="34B096E2" w:rsidP="34B096E2">
            <w:pPr>
              <w:spacing w:after="0"/>
              <w:jc w:val="right"/>
              <w:rPr>
                <w:b/>
                <w:bCs/>
                <w:sz w:val="14"/>
                <w:szCs w:val="14"/>
              </w:rPr>
            </w:pPr>
            <w:r w:rsidRPr="34B096E2">
              <w:rPr>
                <w:b/>
                <w:bCs/>
                <w:sz w:val="14"/>
                <w:szCs w:val="14"/>
              </w:rPr>
              <w:t>3,5</w:t>
            </w:r>
          </w:p>
        </w:tc>
        <w:tc>
          <w:tcPr>
            <w:tcW w:w="593" w:type="dxa"/>
            <w:tcBorders>
              <w:top w:val="nil"/>
              <w:left w:val="nil"/>
              <w:bottom w:val="single" w:sz="4" w:space="0" w:color="auto"/>
              <w:right w:val="single" w:sz="4" w:space="0" w:color="auto"/>
            </w:tcBorders>
            <w:shd w:val="clear" w:color="auto" w:fill="auto"/>
            <w:noWrap/>
            <w:vAlign w:val="bottom"/>
            <w:hideMark/>
          </w:tcPr>
          <w:p w14:paraId="70057A5D" w14:textId="77777777" w:rsidR="00E5327B" w:rsidRPr="00E5327B" w:rsidRDefault="34B096E2" w:rsidP="34B096E2">
            <w:pPr>
              <w:spacing w:after="0"/>
              <w:jc w:val="right"/>
              <w:rPr>
                <w:b/>
                <w:bCs/>
                <w:sz w:val="14"/>
                <w:szCs w:val="14"/>
              </w:rPr>
            </w:pPr>
            <w:r w:rsidRPr="34B096E2">
              <w:rPr>
                <w:b/>
                <w:bCs/>
                <w:sz w:val="14"/>
                <w:szCs w:val="14"/>
              </w:rPr>
              <w:t>100,6</w:t>
            </w:r>
          </w:p>
        </w:tc>
      </w:tr>
    </w:tbl>
    <w:p w14:paraId="10960F3F" w14:textId="77777777" w:rsidR="00BE0A1F" w:rsidRDefault="00BE0A1F" w:rsidP="7FC4EF3C">
      <w:pPr>
        <w:rPr>
          <w:rFonts w:cs="Tahoma"/>
          <w:color w:val="000000" w:themeColor="text1"/>
        </w:rPr>
      </w:pPr>
    </w:p>
    <w:p w14:paraId="21E2F99D" w14:textId="6AB79EFA" w:rsidR="003E15F4" w:rsidRPr="003E15F4" w:rsidRDefault="34B096E2" w:rsidP="34B096E2">
      <w:pPr>
        <w:rPr>
          <w:rFonts w:cs="Tahoma"/>
          <w:color w:val="000000" w:themeColor="text1"/>
        </w:rPr>
      </w:pPr>
      <w:r w:rsidRPr="34B096E2">
        <w:rPr>
          <w:rFonts w:cs="Tahoma"/>
          <w:color w:val="000000" w:themeColor="text1"/>
        </w:rPr>
        <w:t xml:space="preserve">A </w:t>
      </w:r>
      <w:r w:rsidRPr="34B096E2">
        <w:rPr>
          <w:rFonts w:cs="Tahoma"/>
          <w:b/>
          <w:bCs/>
          <w:color w:val="000000" w:themeColor="text1"/>
        </w:rPr>
        <w:t>családi támogatásokra</w:t>
      </w:r>
      <w:r w:rsidRPr="34B096E2">
        <w:rPr>
          <w:rFonts w:cs="Tahoma"/>
          <w:color w:val="000000" w:themeColor="text1"/>
        </w:rPr>
        <w:t xml:space="preserve"> 2020. november végéig összesen 367,1 milliárd forintot fordítottak, mely 0,4 milliárd forinttal alacsonyabb, mint az előző év azonos időszakának a kifizetése. Elmaradt az előző évi november végi kiadásoktól a gyermekgondozást segítő ellátásra folyósított összeg, mely azért csökkent, mert a gyermeket vállalók közül többen válnak jogosulttá a gyermekgondozást segítő ellátás helyett a biztosítási alapú gyermekgondozási díjra. Így a gyermekgondozást segítő ellátásban részesülők száma a tavalyinál alacsonyabb. A gyermekek védelméről és a gyámügyi igazgatásról szóló 1997.</w:t>
      </w:r>
      <w:r w:rsidR="00FD45A5">
        <w:rPr>
          <w:rFonts w:cs="Tahoma"/>
          <w:color w:val="000000" w:themeColor="text1"/>
        </w:rPr>
        <w:t> </w:t>
      </w:r>
      <w:r w:rsidRPr="34B096E2">
        <w:rPr>
          <w:rFonts w:cs="Tahoma"/>
          <w:color w:val="000000" w:themeColor="text1"/>
        </w:rPr>
        <w:t>évi XXXI. törvény alapján a rendszeres gyermekvédelmi kedvezményre jogosultak részére november hónapban átutalásra került az évente két alkalommal járó pénzbeli támogatás és pótlék második üteme, ezzel a pénzbeli gyermekvédelmi támogatásokra idén kifizetett összeg meghaladta a 3,1 milliárd forintot. E támogatás azonban – a jogosultak számának mérséklődése miatt – szintén alacsonyabb volt az előző év azonos időszakában teljesített kiadásnál. Kismértékben elmaradt továbbá az előző évi november végi összegtől a családi pótlékra fordított összeg is. Az ellátások közül az életkezdési támogatásra fordított összeg viszont 1,</w:t>
      </w:r>
      <w:proofErr w:type="spellStart"/>
      <w:r w:rsidRPr="34B096E2">
        <w:rPr>
          <w:rFonts w:cs="Tahoma"/>
          <w:color w:val="000000" w:themeColor="text1"/>
        </w:rPr>
        <w:t>1</w:t>
      </w:r>
      <w:proofErr w:type="spellEnd"/>
      <w:r w:rsidRPr="34B096E2">
        <w:rPr>
          <w:rFonts w:cs="Tahoma"/>
          <w:color w:val="000000" w:themeColor="text1"/>
        </w:rPr>
        <w:t> milliárd forinttal haladta meg a 2019. november végi teljesítést. Az idei kiadás azért magasabb a tavalyi év azonos időszakához képest, mert az életkezdési letéti számlákon nyilvántartott követelés összege, és az erre az összegre tekintettel fizetett kamat mértéke is magasabb volt a tavalyihoz képest. Emellett magasabban teljesültek az előző év azonos időszakához képest az anyasági támogatásra és a gyermekek születésével kapcsolatos szabadság megtérítésére fordított összegek is. Az anyasági támogatás esetében ennek oka az, hogy a jogosultak száma a tavalyi év azonos időszakához képest – a születésszám emelkedésére tekintettel – magasabb volt, míg a gyermekek születésével kapcsolatos szabadság megtérítésére fordított összeg az átlagkereset emelkedésével összefüggésben nőtt.</w:t>
      </w:r>
    </w:p>
    <w:p w14:paraId="1B8EAE77" w14:textId="06925A1C" w:rsidR="003E15F4" w:rsidRPr="003E15F4" w:rsidRDefault="34B096E2" w:rsidP="34B096E2">
      <w:pPr>
        <w:rPr>
          <w:rFonts w:cs="Tahoma"/>
          <w:color w:val="000000" w:themeColor="text1"/>
        </w:rPr>
      </w:pPr>
      <w:r w:rsidRPr="34B096E2">
        <w:rPr>
          <w:rFonts w:cs="Tahoma"/>
          <w:color w:val="000000" w:themeColor="text1"/>
        </w:rPr>
        <w:t xml:space="preserve">A </w:t>
      </w:r>
      <w:r w:rsidRPr="34B096E2">
        <w:rPr>
          <w:rFonts w:cs="Tahoma"/>
          <w:b/>
          <w:bCs/>
          <w:color w:val="000000" w:themeColor="text1"/>
        </w:rPr>
        <w:t>korhatár alatti ellátásokra</w:t>
      </w:r>
      <w:r w:rsidRPr="34B096E2">
        <w:rPr>
          <w:rFonts w:cs="Tahoma"/>
          <w:color w:val="000000" w:themeColor="text1"/>
        </w:rPr>
        <w:t xml:space="preserve"> idén az első tizenegy hónapban 85,2 milliárd forintot folyósítottak, amely nagyságrendjében hasonló az előző év azonos időszakában e célra kifizetett összeghez. Ebből korhatár előtti ellátásra és táncművészeti életjáradékra 20,1 milliárd forintot, a szolgálati járandóságra pedig 65,1 milliárd forintot fizettek ki. Az adatok tartalmazzák ezen ellátások januárban végrehajtott emelésének (a nyugdíjakra </w:t>
      </w:r>
      <w:r w:rsidRPr="34B096E2">
        <w:rPr>
          <w:rFonts w:cs="Tahoma"/>
          <w:color w:val="000000" w:themeColor="text1"/>
        </w:rPr>
        <w:lastRenderedPageBreak/>
        <w:t>vonatkozó szabályok szerint végrehajtott 2020.  évi januári 2,8%-os emelés, valamint a 2019. évi novemberi 0,7%-os kiegészítő emelés) hatását, továbbá a 2020. évi kiegészítő nyugdíjemelés januártól novemberig terjedő időszakra vonatkozó hatását is. A nyugellátások és egyes más ellátások 2020. évi kiegészítő emeléséről szóló 461/2020.</w:t>
      </w:r>
      <w:r w:rsidR="00910A7D">
        <w:rPr>
          <w:rFonts w:cs="Tahoma"/>
          <w:color w:val="000000" w:themeColor="text1"/>
        </w:rPr>
        <w:t> </w:t>
      </w:r>
      <w:r w:rsidRPr="34B096E2">
        <w:rPr>
          <w:rFonts w:cs="Tahoma"/>
          <w:color w:val="000000" w:themeColor="text1"/>
        </w:rPr>
        <w:t>(X.</w:t>
      </w:r>
      <w:r w:rsidR="00910A7D">
        <w:rPr>
          <w:rFonts w:cs="Tahoma"/>
          <w:color w:val="000000" w:themeColor="text1"/>
        </w:rPr>
        <w:t> </w:t>
      </w:r>
      <w:r w:rsidRPr="34B096E2">
        <w:rPr>
          <w:rFonts w:cs="Tahoma"/>
          <w:color w:val="000000" w:themeColor="text1"/>
        </w:rPr>
        <w:t>21.) Korm. rendelet szerint a rendeletben felsorolt ellátásokat 2020.</w:t>
      </w:r>
      <w:r w:rsidR="00910A7D">
        <w:rPr>
          <w:rFonts w:cs="Tahoma"/>
          <w:color w:val="000000" w:themeColor="text1"/>
        </w:rPr>
        <w:t> </w:t>
      </w:r>
      <w:r w:rsidRPr="34B096E2">
        <w:rPr>
          <w:rFonts w:cs="Tahoma"/>
          <w:color w:val="000000" w:themeColor="text1"/>
        </w:rPr>
        <w:t>november 1</w:t>
      </w:r>
      <w:r w:rsidR="00910A7D">
        <w:rPr>
          <w:rFonts w:cs="Tahoma"/>
          <w:color w:val="000000" w:themeColor="text1"/>
        </w:rPr>
        <w:t>-</w:t>
      </w:r>
      <w:r w:rsidRPr="34B096E2">
        <w:rPr>
          <w:rFonts w:cs="Tahoma"/>
          <w:color w:val="000000" w:themeColor="text1"/>
        </w:rPr>
        <w:t xml:space="preserve">jétől − 2020. január 1-jei visszamenőleges hatállyal − 1,2%-kal hivatalból kellett emelni. A korhatár előtti ellátásban és a szolgálati járandóságban részesülők közül azok, akik elérik a nyugdíjkorhatárt, öregségi nyugdíjra válnak jogosulttá. A szolgálati járandóságra fordított kiadás ezzel összefüggésben csökkent. A korhatár előtti ellátásban részesülők létszáma és a kapcsolódó kiadás ugyanakkor növekedett, mivel azok, akik 2014. december 31-e előtt korkedvezményre szereztek jogosultságot, még új belépőként jelenhetnek meg a korhatár előtti ellátásra jogosultak körében. </w:t>
      </w:r>
    </w:p>
    <w:p w14:paraId="4BC7C812" w14:textId="6739E7EE" w:rsidR="003E15F4" w:rsidRPr="003E15F4" w:rsidRDefault="34B096E2" w:rsidP="34B096E2">
      <w:pPr>
        <w:rPr>
          <w:rFonts w:cs="Tahoma"/>
        </w:rPr>
      </w:pPr>
      <w:r w:rsidRPr="34B096E2">
        <w:rPr>
          <w:rFonts w:cs="Tahoma"/>
          <w:color w:val="000000" w:themeColor="text1"/>
        </w:rPr>
        <w:t xml:space="preserve">2020. november végéig a </w:t>
      </w:r>
      <w:r w:rsidRPr="34B096E2">
        <w:rPr>
          <w:rFonts w:cs="Tahoma"/>
          <w:b/>
          <w:bCs/>
          <w:color w:val="000000" w:themeColor="text1"/>
        </w:rPr>
        <w:t>jövedelempótló és jövedelemkiegészítő szociális támogatásokra</w:t>
      </w:r>
      <w:r w:rsidRPr="34B096E2">
        <w:rPr>
          <w:rFonts w:cs="Tahoma"/>
          <w:color w:val="000000" w:themeColor="text1"/>
        </w:rPr>
        <w:t xml:space="preserve"> kifizetett összeg </w:t>
      </w:r>
      <w:r w:rsidR="006A09FC">
        <w:rPr>
          <w:rFonts w:cs="Tahoma"/>
          <w:color w:val="000000" w:themeColor="text1"/>
        </w:rPr>
        <w:t xml:space="preserve">közel </w:t>
      </w:r>
      <w:r w:rsidRPr="34B096E2">
        <w:rPr>
          <w:rFonts w:cs="Tahoma"/>
          <w:color w:val="000000" w:themeColor="text1"/>
        </w:rPr>
        <w:t>3%-kal haladta meg az egy évvel korábbi kiadást. A jövedelempótló és jövedelemkiegészítő szociális támogatásokon belül a legnagyobb összeget (74,7 milliárd forint) a járási szociális feladatok ellátására (gyermekek otthongondozási díja, ápolási díj, időskorúak járadéka, foglalkoztatást helyettesítő támogatás, egészségkárosodási és gyermekfelügyeleti támogatás) fordították, e kiadások 5,0 milliárd forinttal haladták meg az előző évi első tizenegy havi kiadásokat. Az adatok tartalmazzák az ápolási díj 5%-os, valamint a gyermekek otthongondozási díja közel 24%-os emelésének hatását. 2020 első tizenegy hónapjában a fogyatékossági támogatásra és a vakok személyi járadékára folyósított összeg (32,8 milliárd forint) 0,2 milliárd forinttal magasabb volt az előző évi azonos időszaki kifizetésnél, tekintettel arra, hogy a fogyatékossági támogatásnak és a vakok személyi járadékának az összege januárban a nyugdíjemelésre vonatkozó szabályok szerint emelkedett, ugyanakkor a jogosultak száma kismértékben csökken. A politikai rehabilitációs és más nyugdíj-kiegészítéseknél (12,4 milliárd forint), továbbá egyéb kisebb ellátásoknál (például mezőgazdasági járadék, házastársi pótlék) viszont csökkenés látható, figyelemmel arra, hogy ezek kifutó jellegű ellátások. Az adatok tartalmazzák továbbá a 2020. november 1</w:t>
      </w:r>
      <w:r w:rsidR="00474A9E">
        <w:rPr>
          <w:rFonts w:cs="Tahoma"/>
          <w:color w:val="000000" w:themeColor="text1"/>
        </w:rPr>
        <w:noBreakHyphen/>
      </w:r>
      <w:r w:rsidRPr="34B096E2">
        <w:rPr>
          <w:rFonts w:cs="Tahoma"/>
          <w:color w:val="000000" w:themeColor="text1"/>
        </w:rPr>
        <w:t xml:space="preserve">jétől − 2020. január 1-jei visszamenőleges hatállyal − </w:t>
      </w:r>
      <w:r w:rsidRPr="34B096E2">
        <w:rPr>
          <w:rFonts w:cs="Tahoma"/>
        </w:rPr>
        <w:t xml:space="preserve">végrehajtott </w:t>
      </w:r>
      <w:r w:rsidRPr="34B096E2">
        <w:rPr>
          <w:rFonts w:eastAsiaTheme="minorEastAsia" w:cstheme="minorBidi"/>
        </w:rPr>
        <w:t xml:space="preserve">nyugellátások és egyes más ellátások </w:t>
      </w:r>
      <w:r w:rsidRPr="34B096E2">
        <w:rPr>
          <w:rFonts w:cs="Tahoma"/>
        </w:rPr>
        <w:t>1,2%-os kiegészítő emelésének a hatását is.</w:t>
      </w:r>
    </w:p>
    <w:p w14:paraId="4A534742" w14:textId="77777777" w:rsidR="003E15F4" w:rsidRPr="000903CD" w:rsidRDefault="34B096E2" w:rsidP="00F87AEE">
      <w:r w:rsidRPr="000903CD">
        <w:t xml:space="preserve">A </w:t>
      </w:r>
      <w:r w:rsidRPr="00C049EF">
        <w:rPr>
          <w:b/>
        </w:rPr>
        <w:t>különféle jogcímen adott térítések</w:t>
      </w:r>
      <w:r w:rsidRPr="000903CD">
        <w:t xml:space="preserve"> 2020. évi november végi összege (22,3 milliárd forint) majdnem azonos volt az előző év azonos időszakában kifizetett összeggel. A térítéseken belül a legnagyobb összeget, 15,6 milliárd forintot a közgyógyellátásra fizették ki.</w:t>
      </w:r>
    </w:p>
    <w:p w14:paraId="32BB2482" w14:textId="73FCD987" w:rsidR="00AE0B19" w:rsidRPr="00AE0B19" w:rsidRDefault="40B3576B" w:rsidP="00AE0B19">
      <w:r>
        <w:t xml:space="preserve">A </w:t>
      </w:r>
      <w:r w:rsidRPr="40B3576B">
        <w:rPr>
          <w:b/>
          <w:bCs/>
        </w:rPr>
        <w:t>helyi önkormányzatok</w:t>
      </w:r>
      <w:r>
        <w:t xml:space="preserve"> 2020. évi feladataihoz a hatályos költségvetési törvény 739,0</w:t>
      </w:r>
      <w:r w:rsidR="00816612" w:rsidRPr="0AECE7A1">
        <w:t> </w:t>
      </w:r>
      <w:r>
        <w:t>milliárd forint állami támogatást biztosít, ami a 2019. évi 728,9</w:t>
      </w:r>
      <w:r w:rsidR="00816612" w:rsidRPr="0AECE7A1">
        <w:t> </w:t>
      </w:r>
      <w:r>
        <w:t>milliárd forintos törvényi előirányzatnál 10,1</w:t>
      </w:r>
      <w:r w:rsidR="00816612" w:rsidRPr="0AECE7A1">
        <w:t> </w:t>
      </w:r>
      <w:r>
        <w:t>milliárd forinttal magasabb. E többlet döntően a 2017</w:t>
      </w:r>
      <w:r w:rsidR="00816612">
        <w:noBreakHyphen/>
      </w:r>
      <w:r>
        <w:t>2019.</w:t>
      </w:r>
      <w:r w:rsidR="00816612" w:rsidRPr="0AECE7A1">
        <w:t> </w:t>
      </w:r>
      <w:r>
        <w:t>évi bérintézkedések hatásainak ágazati (így a köznevelési, szociális, gyermekétkeztetési, valamint a kulturális) támogatásokba való beépítésére, valamint kisebb részben egyes működési célú feladatok ellátására szolgál fedezetül. Az említett ágazati bérintézkedések hatása ténylegesen 24,5</w:t>
      </w:r>
      <w:r w:rsidR="00816612" w:rsidRPr="0AECE7A1">
        <w:t> </w:t>
      </w:r>
      <w:r>
        <w:t>milliárd forint többletet jelent a fejlesztési célú előirányzatok előző évhez viszonyított 2,9</w:t>
      </w:r>
      <w:r w:rsidR="007626A6">
        <w:t xml:space="preserve"> százalékpontos</w:t>
      </w:r>
      <w:r>
        <w:t xml:space="preserve"> csökkenése mellett. A csökkenés </w:t>
      </w:r>
      <w:r w:rsidR="00EC1543">
        <w:t xml:space="preserve">fő </w:t>
      </w:r>
      <w:r>
        <w:t xml:space="preserve">oka, hogy néhány kiemelt beruházás megvalósítása a végéhez közeledik (Pannon Park, Normafa Park beruházások), így az előirányzatuk összege is </w:t>
      </w:r>
      <w:r>
        <w:lastRenderedPageBreak/>
        <w:t xml:space="preserve">jelentősen csökkent. </w:t>
      </w:r>
      <w:r w:rsidR="2248451C">
        <w:t>Fentieken túl a kormány az 1047/2020. (II. 18.) határozatában 10,3 milliárd forint egyszeri előirányzat-átcsoportosításáról döntött a IX. Helyi önkormányzatok támogatásai fejezet terhére, a XX. Emberi Erőforrások Minisztériuma fejezet javára annak érdekében, hogy az érintett színházak támogatása a 2020. évben megfeleljen az előadó-művészeti szervezetek támogatásáról és sajátos foglalkoztatási szabályairól szóló 2008. évi XCIX. törvény előírásainak.</w:t>
      </w:r>
    </w:p>
    <w:p w14:paraId="14F80CAD" w14:textId="2BA51ABC" w:rsidR="00E05046" w:rsidRDefault="34B096E2" w:rsidP="00FE76A5">
      <w:r>
        <w:t>A jelentősebb tételek alakulását a következő táblázat mutatja:</w:t>
      </w:r>
    </w:p>
    <w:p w14:paraId="25733B27" w14:textId="77777777" w:rsidR="007C018D" w:rsidRDefault="007C018D" w:rsidP="00FE76A5"/>
    <w:tbl>
      <w:tblPr>
        <w:tblW w:w="8524" w:type="dxa"/>
        <w:jc w:val="center"/>
        <w:tblCellMar>
          <w:left w:w="0" w:type="dxa"/>
          <w:right w:w="0" w:type="dxa"/>
        </w:tblCellMar>
        <w:tblLook w:val="04A0" w:firstRow="1" w:lastRow="0" w:firstColumn="1" w:lastColumn="0" w:noHBand="0" w:noVBand="1"/>
      </w:tblPr>
      <w:tblGrid>
        <w:gridCol w:w="263"/>
        <w:gridCol w:w="4143"/>
        <w:gridCol w:w="1124"/>
        <w:gridCol w:w="1110"/>
        <w:gridCol w:w="888"/>
        <w:gridCol w:w="733"/>
        <w:gridCol w:w="263"/>
      </w:tblGrid>
      <w:tr w:rsidR="00B63892" w:rsidRPr="00B63892" w14:paraId="2F7879B7" w14:textId="77777777" w:rsidTr="34B096E2">
        <w:trPr>
          <w:gridBefore w:val="1"/>
          <w:wBefore w:w="263" w:type="dxa"/>
          <w:trHeight w:val="300"/>
          <w:jc w:val="center"/>
        </w:trPr>
        <w:tc>
          <w:tcPr>
            <w:tcW w:w="8261" w:type="dxa"/>
            <w:gridSpan w:val="6"/>
            <w:noWrap/>
            <w:tcMar>
              <w:top w:w="0" w:type="dxa"/>
              <w:left w:w="70" w:type="dxa"/>
              <w:bottom w:w="0" w:type="dxa"/>
              <w:right w:w="70" w:type="dxa"/>
            </w:tcMar>
            <w:vAlign w:val="bottom"/>
            <w:hideMark/>
          </w:tcPr>
          <w:p w14:paraId="7A3DC9ED" w14:textId="77777777" w:rsidR="00B63892" w:rsidRPr="00B63892" w:rsidRDefault="34B096E2" w:rsidP="34B096E2">
            <w:pPr>
              <w:spacing w:line="276" w:lineRule="auto"/>
              <w:ind w:hanging="322"/>
              <w:jc w:val="center"/>
              <w:rPr>
                <w:rFonts w:eastAsiaTheme="minorEastAsia"/>
                <w:b/>
                <w:bCs/>
                <w:color w:val="000000" w:themeColor="text1"/>
                <w:sz w:val="20"/>
                <w:lang w:eastAsia="en-US"/>
              </w:rPr>
            </w:pPr>
            <w:r w:rsidRPr="34B096E2">
              <w:rPr>
                <w:b/>
                <w:bCs/>
                <w:color w:val="000000" w:themeColor="text1"/>
                <w:sz w:val="20"/>
              </w:rPr>
              <w:t>A helyi önkormányzatok támogatásának alakulása (milliárd forint)</w:t>
            </w:r>
          </w:p>
        </w:tc>
      </w:tr>
      <w:tr w:rsidR="00B63892" w:rsidRPr="00B63892" w14:paraId="67AAF810" w14:textId="77777777" w:rsidTr="34B096E2">
        <w:trPr>
          <w:gridAfter w:val="1"/>
          <w:wAfter w:w="263" w:type="dxa"/>
          <w:trHeight w:val="300"/>
          <w:jc w:val="center"/>
        </w:trPr>
        <w:tc>
          <w:tcPr>
            <w:tcW w:w="4406" w:type="dxa"/>
            <w:gridSpan w:val="2"/>
            <w:vMerge w:val="restar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BE23B9F" w14:textId="77777777" w:rsidR="00B63892" w:rsidRPr="00B63892" w:rsidRDefault="34B096E2" w:rsidP="34B096E2">
            <w:pPr>
              <w:spacing w:line="276" w:lineRule="auto"/>
              <w:jc w:val="center"/>
              <w:rPr>
                <w:rFonts w:eastAsiaTheme="minorEastAsia"/>
                <w:b/>
                <w:bCs/>
                <w:color w:val="000000" w:themeColor="text1"/>
                <w:sz w:val="20"/>
                <w:lang w:eastAsia="en-US"/>
              </w:rPr>
            </w:pPr>
            <w:r w:rsidRPr="34B096E2">
              <w:rPr>
                <w:b/>
                <w:bCs/>
                <w:color w:val="000000" w:themeColor="text1"/>
                <w:sz w:val="20"/>
              </w:rPr>
              <w:t>Megnevezés</w:t>
            </w:r>
          </w:p>
        </w:tc>
        <w:tc>
          <w:tcPr>
            <w:tcW w:w="1124"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1609F1" w14:textId="5E12443F" w:rsidR="00B63892" w:rsidRPr="00B63892" w:rsidRDefault="34B096E2" w:rsidP="34B096E2">
            <w:pPr>
              <w:jc w:val="center"/>
              <w:rPr>
                <w:b/>
                <w:bCs/>
                <w:color w:val="000000" w:themeColor="text1"/>
                <w:sz w:val="20"/>
              </w:rPr>
            </w:pPr>
            <w:r w:rsidRPr="34B096E2">
              <w:rPr>
                <w:b/>
                <w:bCs/>
                <w:color w:val="000000" w:themeColor="text1"/>
                <w:sz w:val="20"/>
              </w:rPr>
              <w:t xml:space="preserve">2019. </w:t>
            </w:r>
            <w:r w:rsidR="48F15973">
              <w:br/>
            </w:r>
            <w:r w:rsidRPr="34B096E2">
              <w:rPr>
                <w:b/>
                <w:bCs/>
                <w:color w:val="000000" w:themeColor="text1"/>
                <w:sz w:val="20"/>
              </w:rPr>
              <w:t>I-XI. hó</w:t>
            </w:r>
          </w:p>
        </w:tc>
        <w:tc>
          <w:tcPr>
            <w:tcW w:w="1110" w:type="dxa"/>
            <w:vMerge w:val="restar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8851D1" w14:textId="3F3B0C61" w:rsidR="00B63892" w:rsidRPr="00B63892" w:rsidRDefault="34B096E2" w:rsidP="34B096E2">
            <w:pPr>
              <w:jc w:val="center"/>
              <w:rPr>
                <w:b/>
                <w:bCs/>
                <w:color w:val="000000" w:themeColor="text1"/>
                <w:sz w:val="20"/>
              </w:rPr>
            </w:pPr>
            <w:r w:rsidRPr="34B096E2">
              <w:rPr>
                <w:b/>
                <w:bCs/>
                <w:color w:val="000000" w:themeColor="text1"/>
                <w:sz w:val="20"/>
              </w:rPr>
              <w:t>2020.</w:t>
            </w:r>
            <w:r w:rsidR="48F15973">
              <w:br/>
            </w:r>
            <w:r w:rsidRPr="34B096E2">
              <w:rPr>
                <w:b/>
                <w:bCs/>
                <w:color w:val="000000" w:themeColor="text1"/>
                <w:sz w:val="20"/>
              </w:rPr>
              <w:t>I-XI. hó</w:t>
            </w:r>
          </w:p>
        </w:tc>
        <w:tc>
          <w:tcPr>
            <w:tcW w:w="1621" w:type="dxa"/>
            <w:gridSpan w:val="2"/>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09B7B517" w14:textId="77777777" w:rsidR="00B63892" w:rsidRPr="00B63892" w:rsidRDefault="34B096E2" w:rsidP="34B096E2">
            <w:pPr>
              <w:jc w:val="center"/>
              <w:rPr>
                <w:b/>
                <w:bCs/>
                <w:color w:val="000000" w:themeColor="text1"/>
                <w:sz w:val="20"/>
              </w:rPr>
            </w:pPr>
            <w:r w:rsidRPr="34B096E2">
              <w:rPr>
                <w:b/>
                <w:bCs/>
                <w:color w:val="000000" w:themeColor="text1"/>
                <w:sz w:val="20"/>
              </w:rPr>
              <w:t>Eltérés</w:t>
            </w:r>
          </w:p>
        </w:tc>
      </w:tr>
      <w:tr w:rsidR="00B63892" w:rsidRPr="00B63892" w14:paraId="645E4692" w14:textId="77777777" w:rsidTr="34B096E2">
        <w:trPr>
          <w:gridAfter w:val="1"/>
          <w:wAfter w:w="263" w:type="dxa"/>
          <w:trHeight w:val="300"/>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FB6D4F" w14:textId="77777777" w:rsidR="00B63892" w:rsidRPr="00B63892" w:rsidRDefault="00B63892" w:rsidP="003919E7">
            <w:pPr>
              <w:rPr>
                <w:rFonts w:eastAsiaTheme="minorHAnsi"/>
                <w:b/>
                <w:bCs/>
                <w:color w:val="000000"/>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9D2DF7" w14:textId="77777777" w:rsidR="00B63892" w:rsidRPr="00B63892" w:rsidRDefault="00B63892" w:rsidP="003919E7">
            <w:pPr>
              <w:jc w:val="center"/>
              <w:rPr>
                <w:rFonts w:eastAsiaTheme="minorHAnsi"/>
                <w:b/>
                <w:bCs/>
                <w:color w:val="000000"/>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F93466" w14:textId="77777777" w:rsidR="00B63892" w:rsidRPr="00B63892" w:rsidRDefault="00B63892" w:rsidP="003919E7">
            <w:pPr>
              <w:jc w:val="center"/>
              <w:rPr>
                <w:rFonts w:eastAsiaTheme="minorHAnsi"/>
                <w:b/>
                <w:bCs/>
                <w:color w:val="000000"/>
                <w:sz w:val="20"/>
                <w:lang w:eastAsia="en-US"/>
              </w:rPr>
            </w:pPr>
          </w:p>
        </w:tc>
        <w:tc>
          <w:tcPr>
            <w:tcW w:w="888"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375BF476" w14:textId="77777777" w:rsidR="00B63892" w:rsidRPr="00B63892" w:rsidRDefault="34B096E2" w:rsidP="34B096E2">
            <w:pPr>
              <w:spacing w:line="276" w:lineRule="auto"/>
              <w:jc w:val="center"/>
              <w:rPr>
                <w:rFonts w:eastAsiaTheme="minorEastAsia"/>
                <w:b/>
                <w:bCs/>
                <w:color w:val="000000" w:themeColor="text1"/>
                <w:sz w:val="20"/>
                <w:lang w:eastAsia="en-US"/>
              </w:rPr>
            </w:pPr>
            <w:r w:rsidRPr="34B096E2">
              <w:rPr>
                <w:b/>
                <w:bCs/>
                <w:color w:val="000000" w:themeColor="text1"/>
                <w:sz w:val="20"/>
              </w:rPr>
              <w:t>Mrd Ft</w:t>
            </w:r>
          </w:p>
        </w:tc>
        <w:tc>
          <w:tcPr>
            <w:tcW w:w="73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14:paraId="5DBE30AD" w14:textId="77777777" w:rsidR="00B63892" w:rsidRPr="00B63892" w:rsidRDefault="34B096E2" w:rsidP="34B096E2">
            <w:pPr>
              <w:spacing w:line="276" w:lineRule="auto"/>
              <w:jc w:val="center"/>
              <w:rPr>
                <w:rFonts w:eastAsiaTheme="minorEastAsia"/>
                <w:b/>
                <w:bCs/>
                <w:color w:val="000000" w:themeColor="text1"/>
                <w:sz w:val="20"/>
                <w:lang w:eastAsia="en-US"/>
              </w:rPr>
            </w:pPr>
            <w:r w:rsidRPr="34B096E2">
              <w:rPr>
                <w:b/>
                <w:bCs/>
                <w:color w:val="000000" w:themeColor="text1"/>
                <w:sz w:val="20"/>
              </w:rPr>
              <w:t>%</w:t>
            </w:r>
          </w:p>
        </w:tc>
      </w:tr>
      <w:tr w:rsidR="006442BB" w:rsidRPr="00B63892" w14:paraId="1C17600D" w14:textId="77777777" w:rsidTr="34B096E2">
        <w:trPr>
          <w:gridAfter w:val="1"/>
          <w:wAfter w:w="263" w:type="dxa"/>
          <w:trHeight w:val="575"/>
          <w:jc w:val="center"/>
        </w:trPr>
        <w:tc>
          <w:tcPr>
            <w:tcW w:w="440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C63432" w14:textId="77777777" w:rsidR="006442BB" w:rsidRPr="00B63892" w:rsidRDefault="34B096E2" w:rsidP="34B096E2">
            <w:pPr>
              <w:spacing w:after="0"/>
              <w:jc w:val="left"/>
              <w:rPr>
                <w:rFonts w:eastAsiaTheme="minorEastAsia"/>
                <w:b/>
                <w:bCs/>
                <w:color w:val="000000" w:themeColor="text1"/>
                <w:sz w:val="20"/>
              </w:rPr>
            </w:pPr>
            <w:r w:rsidRPr="34B096E2">
              <w:rPr>
                <w:rFonts w:eastAsiaTheme="minorEastAsia"/>
                <w:b/>
                <w:bCs/>
                <w:color w:val="000000" w:themeColor="text1"/>
                <w:sz w:val="20"/>
              </w:rPr>
              <w:t>A helyi önkormányzatok általános működésének és ágazati feladatainak támogatása</w:t>
            </w:r>
          </w:p>
        </w:tc>
        <w:tc>
          <w:tcPr>
            <w:tcW w:w="1124"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41CD1DE2" w14:textId="2B65FEF2" w:rsidR="006442BB" w:rsidRPr="00B63892" w:rsidRDefault="34B096E2" w:rsidP="34B096E2">
            <w:pPr>
              <w:jc w:val="right"/>
              <w:rPr>
                <w:b/>
                <w:bCs/>
                <w:color w:val="000000" w:themeColor="text1"/>
                <w:sz w:val="20"/>
              </w:rPr>
            </w:pPr>
            <w:r w:rsidRPr="34B096E2">
              <w:rPr>
                <w:b/>
                <w:bCs/>
                <w:color w:val="000000" w:themeColor="text1"/>
                <w:sz w:val="20"/>
              </w:rPr>
              <w:t>567,7</w:t>
            </w:r>
          </w:p>
        </w:tc>
        <w:tc>
          <w:tcPr>
            <w:tcW w:w="1110" w:type="dxa"/>
            <w:tcBorders>
              <w:top w:val="single" w:sz="4" w:space="0" w:color="auto"/>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75003805" w14:textId="02F25D9D" w:rsidR="006442BB" w:rsidRPr="00B63892" w:rsidRDefault="34B096E2" w:rsidP="34B096E2">
            <w:pPr>
              <w:jc w:val="right"/>
              <w:rPr>
                <w:b/>
                <w:bCs/>
                <w:color w:val="000000" w:themeColor="text1"/>
                <w:sz w:val="20"/>
              </w:rPr>
            </w:pPr>
            <w:r w:rsidRPr="34B096E2">
              <w:rPr>
                <w:b/>
                <w:bCs/>
                <w:color w:val="000000" w:themeColor="text1"/>
                <w:sz w:val="20"/>
              </w:rPr>
              <w:t>599,0</w:t>
            </w:r>
          </w:p>
        </w:tc>
        <w:tc>
          <w:tcPr>
            <w:tcW w:w="888" w:type="dxa"/>
            <w:tcBorders>
              <w:top w:val="single" w:sz="4" w:space="0" w:color="auto"/>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24721E9D" w14:textId="26FDFF64" w:rsidR="006442BB" w:rsidRPr="00B63892" w:rsidRDefault="34B096E2" w:rsidP="34B096E2">
            <w:pPr>
              <w:jc w:val="right"/>
              <w:rPr>
                <w:b/>
                <w:bCs/>
                <w:color w:val="000000" w:themeColor="text1"/>
                <w:sz w:val="20"/>
              </w:rPr>
            </w:pPr>
            <w:r w:rsidRPr="34B096E2">
              <w:rPr>
                <w:b/>
                <w:bCs/>
                <w:color w:val="000000" w:themeColor="text1"/>
                <w:sz w:val="20"/>
              </w:rPr>
              <w:t>31,3</w:t>
            </w:r>
          </w:p>
        </w:tc>
        <w:tc>
          <w:tcPr>
            <w:tcW w:w="733" w:type="dxa"/>
            <w:tcBorders>
              <w:top w:val="single" w:sz="4" w:space="0" w:color="auto"/>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490D3E2F" w14:textId="793B7160" w:rsidR="006442BB" w:rsidRPr="00B63892" w:rsidRDefault="34B096E2" w:rsidP="34B096E2">
            <w:pPr>
              <w:jc w:val="right"/>
              <w:rPr>
                <w:b/>
                <w:bCs/>
                <w:color w:val="000000" w:themeColor="text1"/>
                <w:sz w:val="20"/>
              </w:rPr>
            </w:pPr>
            <w:r w:rsidRPr="34B096E2">
              <w:rPr>
                <w:b/>
                <w:bCs/>
                <w:color w:val="000000" w:themeColor="text1"/>
                <w:sz w:val="20"/>
              </w:rPr>
              <w:t>105,5</w:t>
            </w:r>
          </w:p>
        </w:tc>
      </w:tr>
      <w:tr w:rsidR="006442BB" w:rsidRPr="00B63892" w14:paraId="3DCBC2C7" w14:textId="77777777" w:rsidTr="34B096E2">
        <w:trPr>
          <w:gridAfter w:val="1"/>
          <w:wAfter w:w="263" w:type="dxa"/>
          <w:trHeight w:val="507"/>
          <w:jc w:val="center"/>
        </w:trPr>
        <w:tc>
          <w:tcPr>
            <w:tcW w:w="440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CC976F" w14:textId="77777777" w:rsidR="006442BB" w:rsidRPr="00B63892" w:rsidRDefault="34B096E2" w:rsidP="34B096E2">
            <w:pPr>
              <w:spacing w:after="0"/>
              <w:jc w:val="left"/>
              <w:rPr>
                <w:rFonts w:eastAsiaTheme="minorEastAsia"/>
                <w:i/>
                <w:iCs/>
                <w:color w:val="000000" w:themeColor="text1"/>
                <w:sz w:val="20"/>
              </w:rPr>
            </w:pPr>
            <w:r w:rsidRPr="34B096E2">
              <w:rPr>
                <w:rFonts w:eastAsiaTheme="minorEastAsia"/>
                <w:i/>
                <w:iCs/>
                <w:color w:val="000000" w:themeColor="text1"/>
                <w:sz w:val="20"/>
              </w:rPr>
              <w:t>A helyi önkormányzatok működésének általános támogatása</w:t>
            </w:r>
          </w:p>
        </w:tc>
        <w:tc>
          <w:tcPr>
            <w:tcW w:w="112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EDA4675" w14:textId="78795CBE" w:rsidR="006442BB" w:rsidRPr="00B63892" w:rsidRDefault="34B096E2" w:rsidP="34B096E2">
            <w:pPr>
              <w:jc w:val="right"/>
              <w:rPr>
                <w:color w:val="000000" w:themeColor="text1"/>
                <w:sz w:val="20"/>
              </w:rPr>
            </w:pPr>
            <w:r w:rsidRPr="34B096E2">
              <w:rPr>
                <w:color w:val="000000" w:themeColor="text1"/>
                <w:sz w:val="20"/>
              </w:rPr>
              <w:t>143,9</w:t>
            </w:r>
          </w:p>
        </w:tc>
        <w:tc>
          <w:tcPr>
            <w:tcW w:w="1110"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66CDB4C4" w14:textId="62E7E260" w:rsidR="006442BB" w:rsidRPr="00B63892" w:rsidRDefault="34B096E2" w:rsidP="34B096E2">
            <w:pPr>
              <w:jc w:val="right"/>
              <w:rPr>
                <w:color w:val="000000" w:themeColor="text1"/>
                <w:sz w:val="20"/>
              </w:rPr>
            </w:pPr>
            <w:r w:rsidRPr="34B096E2">
              <w:rPr>
                <w:color w:val="000000" w:themeColor="text1"/>
                <w:sz w:val="20"/>
              </w:rPr>
              <w:t>156,5</w:t>
            </w:r>
          </w:p>
        </w:tc>
        <w:tc>
          <w:tcPr>
            <w:tcW w:w="88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7C9CC13B" w14:textId="74E478BB" w:rsidR="006442BB" w:rsidRPr="00B63892" w:rsidRDefault="34B096E2" w:rsidP="34B096E2">
            <w:pPr>
              <w:jc w:val="right"/>
              <w:rPr>
                <w:color w:val="000000" w:themeColor="text1"/>
                <w:sz w:val="20"/>
              </w:rPr>
            </w:pPr>
            <w:r w:rsidRPr="34B096E2">
              <w:rPr>
                <w:color w:val="000000" w:themeColor="text1"/>
                <w:sz w:val="20"/>
              </w:rPr>
              <w:t>12,6</w:t>
            </w:r>
          </w:p>
        </w:tc>
        <w:tc>
          <w:tcPr>
            <w:tcW w:w="733"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24ADE235" w14:textId="7BF8816F" w:rsidR="006442BB" w:rsidRPr="00B63892" w:rsidRDefault="34B096E2" w:rsidP="34B096E2">
            <w:pPr>
              <w:jc w:val="right"/>
              <w:rPr>
                <w:color w:val="000000" w:themeColor="text1"/>
                <w:sz w:val="20"/>
              </w:rPr>
            </w:pPr>
            <w:r w:rsidRPr="34B096E2">
              <w:rPr>
                <w:color w:val="000000" w:themeColor="text1"/>
                <w:sz w:val="20"/>
              </w:rPr>
              <w:t>108,8</w:t>
            </w:r>
          </w:p>
        </w:tc>
      </w:tr>
      <w:tr w:rsidR="006442BB" w:rsidRPr="00B63892" w14:paraId="2DC4F4A1" w14:textId="77777777" w:rsidTr="34B096E2">
        <w:trPr>
          <w:gridAfter w:val="1"/>
          <w:wAfter w:w="263" w:type="dxa"/>
          <w:trHeight w:val="515"/>
          <w:jc w:val="center"/>
        </w:trPr>
        <w:tc>
          <w:tcPr>
            <w:tcW w:w="440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C169F" w14:textId="77777777" w:rsidR="006442BB" w:rsidRPr="00B63892" w:rsidRDefault="34B096E2" w:rsidP="34B096E2">
            <w:pPr>
              <w:spacing w:after="0"/>
              <w:jc w:val="left"/>
              <w:rPr>
                <w:rFonts w:eastAsiaTheme="minorEastAsia"/>
                <w:i/>
                <w:iCs/>
                <w:color w:val="000000" w:themeColor="text1"/>
                <w:sz w:val="20"/>
              </w:rPr>
            </w:pPr>
            <w:r w:rsidRPr="34B096E2">
              <w:rPr>
                <w:rFonts w:eastAsiaTheme="minorEastAsia"/>
                <w:i/>
                <w:iCs/>
                <w:color w:val="000000" w:themeColor="text1"/>
                <w:sz w:val="20"/>
              </w:rPr>
              <w:t>A települési önkormányzatok egyes köznevelési feladatainak támogatása</w:t>
            </w:r>
          </w:p>
        </w:tc>
        <w:tc>
          <w:tcPr>
            <w:tcW w:w="112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7DFCB2CA" w14:textId="078A87EC" w:rsidR="006442BB" w:rsidRPr="00B63892" w:rsidRDefault="34B096E2" w:rsidP="34B096E2">
            <w:pPr>
              <w:jc w:val="right"/>
              <w:rPr>
                <w:color w:val="000000" w:themeColor="text1"/>
                <w:sz w:val="20"/>
              </w:rPr>
            </w:pPr>
            <w:r w:rsidRPr="34B096E2">
              <w:rPr>
                <w:color w:val="000000" w:themeColor="text1"/>
                <w:sz w:val="20"/>
              </w:rPr>
              <w:t>169,9</w:t>
            </w:r>
          </w:p>
        </w:tc>
        <w:tc>
          <w:tcPr>
            <w:tcW w:w="1110"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6263F833" w14:textId="688D214E" w:rsidR="006442BB" w:rsidRPr="00B63892" w:rsidRDefault="34B096E2" w:rsidP="34B096E2">
            <w:pPr>
              <w:jc w:val="right"/>
              <w:rPr>
                <w:color w:val="000000" w:themeColor="text1"/>
                <w:sz w:val="20"/>
              </w:rPr>
            </w:pPr>
            <w:r w:rsidRPr="34B096E2">
              <w:rPr>
                <w:color w:val="000000" w:themeColor="text1"/>
                <w:sz w:val="20"/>
              </w:rPr>
              <w:t>173,8</w:t>
            </w:r>
          </w:p>
        </w:tc>
        <w:tc>
          <w:tcPr>
            <w:tcW w:w="88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3035B071" w14:textId="09438C80" w:rsidR="006442BB" w:rsidRPr="00B63892" w:rsidRDefault="34B096E2" w:rsidP="34B096E2">
            <w:pPr>
              <w:jc w:val="right"/>
              <w:rPr>
                <w:color w:val="000000" w:themeColor="text1"/>
                <w:sz w:val="20"/>
              </w:rPr>
            </w:pPr>
            <w:r w:rsidRPr="34B096E2">
              <w:rPr>
                <w:color w:val="000000" w:themeColor="text1"/>
                <w:sz w:val="20"/>
              </w:rPr>
              <w:t>3,9</w:t>
            </w:r>
          </w:p>
        </w:tc>
        <w:tc>
          <w:tcPr>
            <w:tcW w:w="733"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16BEB8D1" w14:textId="7F71B1D5" w:rsidR="006442BB" w:rsidRPr="00B63892" w:rsidRDefault="34B096E2" w:rsidP="34B096E2">
            <w:pPr>
              <w:jc w:val="right"/>
              <w:rPr>
                <w:color w:val="000000" w:themeColor="text1"/>
                <w:sz w:val="20"/>
              </w:rPr>
            </w:pPr>
            <w:r w:rsidRPr="34B096E2">
              <w:rPr>
                <w:color w:val="000000" w:themeColor="text1"/>
                <w:sz w:val="20"/>
              </w:rPr>
              <w:t>102,3</w:t>
            </w:r>
          </w:p>
        </w:tc>
      </w:tr>
      <w:tr w:rsidR="006442BB" w:rsidRPr="00B63892" w14:paraId="40E05764" w14:textId="77777777" w:rsidTr="34B096E2">
        <w:trPr>
          <w:gridAfter w:val="1"/>
          <w:wAfter w:w="263" w:type="dxa"/>
          <w:trHeight w:val="821"/>
          <w:jc w:val="center"/>
        </w:trPr>
        <w:tc>
          <w:tcPr>
            <w:tcW w:w="440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E9A1FF" w14:textId="77777777" w:rsidR="006442BB" w:rsidRPr="00B63892" w:rsidRDefault="34B096E2" w:rsidP="34B096E2">
            <w:pPr>
              <w:spacing w:after="0"/>
              <w:jc w:val="left"/>
              <w:rPr>
                <w:rFonts w:eastAsiaTheme="minorEastAsia"/>
                <w:i/>
                <w:iCs/>
                <w:color w:val="000000" w:themeColor="text1"/>
                <w:sz w:val="20"/>
              </w:rPr>
            </w:pPr>
            <w:r w:rsidRPr="34B096E2">
              <w:rPr>
                <w:rFonts w:eastAsiaTheme="minorEastAsia"/>
                <w:i/>
                <w:iCs/>
                <w:color w:val="000000" w:themeColor="text1"/>
                <w:sz w:val="20"/>
              </w:rPr>
              <w:t>A települési önkormányzatok egyes szociális, gyermekjóléti és gyermekétkeztetési feladatainak támogatása</w:t>
            </w:r>
          </w:p>
        </w:tc>
        <w:tc>
          <w:tcPr>
            <w:tcW w:w="112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8F8A7D9" w14:textId="47C04671" w:rsidR="006442BB" w:rsidRPr="00B63892" w:rsidRDefault="34B096E2" w:rsidP="34B096E2">
            <w:pPr>
              <w:jc w:val="right"/>
              <w:rPr>
                <w:color w:val="000000" w:themeColor="text1"/>
                <w:sz w:val="20"/>
              </w:rPr>
            </w:pPr>
            <w:r w:rsidRPr="34B096E2">
              <w:rPr>
                <w:color w:val="000000" w:themeColor="text1"/>
                <w:sz w:val="20"/>
              </w:rPr>
              <w:t>218,8</w:t>
            </w:r>
          </w:p>
        </w:tc>
        <w:tc>
          <w:tcPr>
            <w:tcW w:w="1110"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564C258B" w14:textId="365B45E0" w:rsidR="006442BB" w:rsidRPr="00B63892" w:rsidRDefault="34B096E2" w:rsidP="34B096E2">
            <w:pPr>
              <w:jc w:val="right"/>
              <w:rPr>
                <w:color w:val="000000" w:themeColor="text1"/>
                <w:sz w:val="20"/>
              </w:rPr>
            </w:pPr>
            <w:r w:rsidRPr="34B096E2">
              <w:rPr>
                <w:color w:val="000000" w:themeColor="text1"/>
                <w:sz w:val="20"/>
              </w:rPr>
              <w:t>240,6</w:t>
            </w:r>
          </w:p>
        </w:tc>
        <w:tc>
          <w:tcPr>
            <w:tcW w:w="88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42492D0C" w14:textId="669480A2" w:rsidR="006442BB" w:rsidRPr="00B63892" w:rsidRDefault="34B096E2" w:rsidP="34B096E2">
            <w:pPr>
              <w:jc w:val="right"/>
              <w:rPr>
                <w:color w:val="000000" w:themeColor="text1"/>
                <w:sz w:val="20"/>
              </w:rPr>
            </w:pPr>
            <w:r w:rsidRPr="34B096E2">
              <w:rPr>
                <w:color w:val="000000" w:themeColor="text1"/>
                <w:sz w:val="20"/>
              </w:rPr>
              <w:t>21,8</w:t>
            </w:r>
          </w:p>
        </w:tc>
        <w:tc>
          <w:tcPr>
            <w:tcW w:w="733"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0C520040" w14:textId="6A17B405" w:rsidR="006442BB" w:rsidRPr="00B63892" w:rsidRDefault="34B096E2" w:rsidP="34B096E2">
            <w:pPr>
              <w:jc w:val="right"/>
              <w:rPr>
                <w:color w:val="000000" w:themeColor="text1"/>
                <w:sz w:val="20"/>
              </w:rPr>
            </w:pPr>
            <w:r w:rsidRPr="34B096E2">
              <w:rPr>
                <w:color w:val="000000" w:themeColor="text1"/>
                <w:sz w:val="20"/>
              </w:rPr>
              <w:t>110,0</w:t>
            </w:r>
          </w:p>
        </w:tc>
      </w:tr>
      <w:tr w:rsidR="006442BB" w:rsidRPr="00B63892" w14:paraId="105EEEEC" w14:textId="77777777" w:rsidTr="34B096E2">
        <w:trPr>
          <w:gridAfter w:val="1"/>
          <w:wAfter w:w="263" w:type="dxa"/>
          <w:trHeight w:val="549"/>
          <w:jc w:val="center"/>
        </w:trPr>
        <w:tc>
          <w:tcPr>
            <w:tcW w:w="440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855D62" w14:textId="77777777" w:rsidR="006442BB" w:rsidRPr="00B63892" w:rsidRDefault="34B096E2" w:rsidP="34B096E2">
            <w:pPr>
              <w:spacing w:after="0"/>
              <w:jc w:val="left"/>
              <w:rPr>
                <w:rFonts w:eastAsiaTheme="minorEastAsia"/>
                <w:i/>
                <w:iCs/>
                <w:color w:val="000000" w:themeColor="text1"/>
                <w:sz w:val="20"/>
              </w:rPr>
            </w:pPr>
            <w:r w:rsidRPr="34B096E2">
              <w:rPr>
                <w:rFonts w:eastAsiaTheme="minorEastAsia"/>
                <w:i/>
                <w:iCs/>
                <w:color w:val="000000" w:themeColor="text1"/>
                <w:sz w:val="20"/>
              </w:rPr>
              <w:t>A települési önkormányzatok kulturális feladatainak támogatása</w:t>
            </w:r>
          </w:p>
        </w:tc>
        <w:tc>
          <w:tcPr>
            <w:tcW w:w="112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0C5C7270" w14:textId="2A62169C" w:rsidR="006442BB" w:rsidRPr="00B63892" w:rsidRDefault="34B096E2" w:rsidP="34B096E2">
            <w:pPr>
              <w:jc w:val="right"/>
              <w:rPr>
                <w:color w:val="000000" w:themeColor="text1"/>
                <w:sz w:val="20"/>
              </w:rPr>
            </w:pPr>
            <w:r w:rsidRPr="34B096E2">
              <w:rPr>
                <w:color w:val="000000" w:themeColor="text1"/>
                <w:sz w:val="20"/>
              </w:rPr>
              <w:t>35,1</w:t>
            </w:r>
          </w:p>
        </w:tc>
        <w:tc>
          <w:tcPr>
            <w:tcW w:w="1110"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519EF3A6" w14:textId="100A1CA4" w:rsidR="006442BB" w:rsidRPr="00B63892" w:rsidRDefault="34B096E2" w:rsidP="34B096E2">
            <w:pPr>
              <w:jc w:val="right"/>
              <w:rPr>
                <w:color w:val="000000" w:themeColor="text1"/>
                <w:sz w:val="20"/>
              </w:rPr>
            </w:pPr>
            <w:r w:rsidRPr="34B096E2">
              <w:rPr>
                <w:color w:val="000000" w:themeColor="text1"/>
                <w:sz w:val="20"/>
              </w:rPr>
              <w:t>28,1</w:t>
            </w:r>
          </w:p>
        </w:tc>
        <w:tc>
          <w:tcPr>
            <w:tcW w:w="88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59F613A6" w14:textId="2499B039" w:rsidR="006442BB" w:rsidRPr="00B63892" w:rsidRDefault="34B096E2" w:rsidP="34B096E2">
            <w:pPr>
              <w:jc w:val="right"/>
              <w:rPr>
                <w:color w:val="000000" w:themeColor="text1"/>
                <w:sz w:val="20"/>
              </w:rPr>
            </w:pPr>
            <w:r w:rsidRPr="34B096E2">
              <w:rPr>
                <w:color w:val="000000" w:themeColor="text1"/>
                <w:sz w:val="20"/>
              </w:rPr>
              <w:t>-7</w:t>
            </w:r>
            <w:r w:rsidR="009565BF">
              <w:rPr>
                <w:color w:val="000000" w:themeColor="text1"/>
                <w:sz w:val="20"/>
              </w:rPr>
              <w:t>,0</w:t>
            </w:r>
          </w:p>
        </w:tc>
        <w:tc>
          <w:tcPr>
            <w:tcW w:w="733"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505CBA2B" w14:textId="73FEC366" w:rsidR="006442BB" w:rsidRPr="00B63892" w:rsidRDefault="34B096E2" w:rsidP="34B096E2">
            <w:pPr>
              <w:jc w:val="right"/>
              <w:rPr>
                <w:color w:val="000000" w:themeColor="text1"/>
                <w:sz w:val="20"/>
              </w:rPr>
            </w:pPr>
            <w:r w:rsidRPr="34B096E2">
              <w:rPr>
                <w:color w:val="000000" w:themeColor="text1"/>
                <w:sz w:val="20"/>
              </w:rPr>
              <w:t>80,1</w:t>
            </w:r>
          </w:p>
        </w:tc>
      </w:tr>
      <w:tr w:rsidR="006442BB" w:rsidRPr="00B63892" w14:paraId="75376CC1" w14:textId="77777777" w:rsidTr="34B096E2">
        <w:trPr>
          <w:gridAfter w:val="1"/>
          <w:wAfter w:w="263" w:type="dxa"/>
          <w:trHeight w:val="289"/>
          <w:jc w:val="center"/>
        </w:trPr>
        <w:tc>
          <w:tcPr>
            <w:tcW w:w="440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008B68" w14:textId="77777777" w:rsidR="006442BB" w:rsidRPr="00B63892" w:rsidRDefault="34B096E2" w:rsidP="34B096E2">
            <w:pPr>
              <w:spacing w:after="0"/>
              <w:jc w:val="left"/>
              <w:rPr>
                <w:rFonts w:eastAsiaTheme="minorEastAsia"/>
                <w:b/>
                <w:bCs/>
                <w:color w:val="000000" w:themeColor="text1"/>
                <w:sz w:val="20"/>
              </w:rPr>
            </w:pPr>
            <w:r w:rsidRPr="34B096E2">
              <w:rPr>
                <w:rFonts w:eastAsiaTheme="minorEastAsia"/>
                <w:b/>
                <w:bCs/>
                <w:color w:val="000000" w:themeColor="text1"/>
                <w:sz w:val="20"/>
              </w:rPr>
              <w:t>Helyi önkormányzatok kiegészítő támogatása</w:t>
            </w:r>
          </w:p>
        </w:tc>
        <w:tc>
          <w:tcPr>
            <w:tcW w:w="112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0F0ED0D" w14:textId="0F9B22CF" w:rsidR="006442BB" w:rsidRPr="00B63892" w:rsidRDefault="34B096E2" w:rsidP="34B096E2">
            <w:pPr>
              <w:jc w:val="right"/>
              <w:rPr>
                <w:b/>
                <w:bCs/>
                <w:color w:val="000000" w:themeColor="text1"/>
                <w:sz w:val="20"/>
              </w:rPr>
            </w:pPr>
            <w:r w:rsidRPr="34B096E2">
              <w:rPr>
                <w:b/>
                <w:bCs/>
                <w:color w:val="000000" w:themeColor="text1"/>
                <w:sz w:val="20"/>
              </w:rPr>
              <w:t>70,5</w:t>
            </w:r>
          </w:p>
        </w:tc>
        <w:tc>
          <w:tcPr>
            <w:tcW w:w="1110"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55C2BE26" w14:textId="4D931153" w:rsidR="006442BB" w:rsidRPr="00B63892" w:rsidRDefault="34B096E2" w:rsidP="34B096E2">
            <w:pPr>
              <w:jc w:val="right"/>
              <w:rPr>
                <w:b/>
                <w:bCs/>
                <w:color w:val="000000" w:themeColor="text1"/>
                <w:sz w:val="20"/>
              </w:rPr>
            </w:pPr>
            <w:r w:rsidRPr="34B096E2">
              <w:rPr>
                <w:b/>
                <w:bCs/>
                <w:color w:val="000000" w:themeColor="text1"/>
                <w:sz w:val="20"/>
              </w:rPr>
              <w:t>31,1</w:t>
            </w:r>
          </w:p>
        </w:tc>
        <w:tc>
          <w:tcPr>
            <w:tcW w:w="88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2B059B03" w14:textId="1E0C8ADA" w:rsidR="006442BB" w:rsidRPr="00B63892" w:rsidRDefault="34B096E2" w:rsidP="34B096E2">
            <w:pPr>
              <w:jc w:val="right"/>
              <w:rPr>
                <w:b/>
                <w:bCs/>
                <w:color w:val="000000" w:themeColor="text1"/>
                <w:sz w:val="20"/>
              </w:rPr>
            </w:pPr>
            <w:r w:rsidRPr="34B096E2">
              <w:rPr>
                <w:b/>
                <w:bCs/>
                <w:color w:val="000000" w:themeColor="text1"/>
                <w:sz w:val="20"/>
              </w:rPr>
              <w:t>-39,4</w:t>
            </w:r>
          </w:p>
        </w:tc>
        <w:tc>
          <w:tcPr>
            <w:tcW w:w="733"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11188873" w14:textId="62377DAC" w:rsidR="006442BB" w:rsidRPr="00B63892" w:rsidRDefault="34B096E2" w:rsidP="34B096E2">
            <w:pPr>
              <w:jc w:val="right"/>
              <w:rPr>
                <w:b/>
                <w:bCs/>
                <w:color w:val="000000" w:themeColor="text1"/>
                <w:sz w:val="20"/>
              </w:rPr>
            </w:pPr>
            <w:r w:rsidRPr="34B096E2">
              <w:rPr>
                <w:b/>
                <w:bCs/>
                <w:color w:val="000000" w:themeColor="text1"/>
                <w:sz w:val="20"/>
              </w:rPr>
              <w:t>44,1</w:t>
            </w:r>
          </w:p>
        </w:tc>
      </w:tr>
      <w:tr w:rsidR="006442BB" w:rsidRPr="00B63892" w14:paraId="38C8A14B" w14:textId="77777777" w:rsidTr="34B096E2">
        <w:trPr>
          <w:gridAfter w:val="1"/>
          <w:wAfter w:w="263" w:type="dxa"/>
          <w:trHeight w:val="270"/>
          <w:jc w:val="center"/>
        </w:trPr>
        <w:tc>
          <w:tcPr>
            <w:tcW w:w="440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54252B" w14:textId="77777777" w:rsidR="006442BB" w:rsidRPr="00B63892" w:rsidRDefault="34B096E2" w:rsidP="34B096E2">
            <w:pPr>
              <w:spacing w:after="0"/>
              <w:jc w:val="left"/>
              <w:rPr>
                <w:rFonts w:eastAsiaTheme="minorEastAsia"/>
                <w:b/>
                <w:bCs/>
                <w:color w:val="000000" w:themeColor="text1"/>
                <w:sz w:val="20"/>
              </w:rPr>
            </w:pPr>
            <w:r w:rsidRPr="34B096E2">
              <w:rPr>
                <w:rFonts w:eastAsiaTheme="minorEastAsia"/>
                <w:b/>
                <w:bCs/>
                <w:color w:val="000000" w:themeColor="text1"/>
                <w:sz w:val="20"/>
              </w:rPr>
              <w:t>Év közben létrejött új jogcímek kiadásai</w:t>
            </w:r>
          </w:p>
        </w:tc>
        <w:tc>
          <w:tcPr>
            <w:tcW w:w="112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3922C29B" w14:textId="05DD1D55" w:rsidR="006442BB" w:rsidRPr="00B63892" w:rsidRDefault="34B096E2" w:rsidP="34B096E2">
            <w:pPr>
              <w:jc w:val="right"/>
              <w:rPr>
                <w:b/>
                <w:bCs/>
                <w:color w:val="000000" w:themeColor="text1"/>
                <w:sz w:val="20"/>
              </w:rPr>
            </w:pPr>
            <w:r w:rsidRPr="34B096E2">
              <w:rPr>
                <w:b/>
                <w:bCs/>
                <w:color w:val="000000" w:themeColor="text1"/>
                <w:sz w:val="20"/>
              </w:rPr>
              <w:t>74,7</w:t>
            </w:r>
          </w:p>
        </w:tc>
        <w:tc>
          <w:tcPr>
            <w:tcW w:w="1110"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059081F0" w14:textId="0EBB044C" w:rsidR="006442BB" w:rsidRPr="00B63892" w:rsidRDefault="34B096E2" w:rsidP="34B096E2">
            <w:pPr>
              <w:jc w:val="right"/>
              <w:rPr>
                <w:b/>
                <w:bCs/>
                <w:color w:val="000000" w:themeColor="text1"/>
                <w:sz w:val="20"/>
              </w:rPr>
            </w:pPr>
            <w:r w:rsidRPr="34B096E2">
              <w:rPr>
                <w:b/>
                <w:bCs/>
                <w:color w:val="000000" w:themeColor="text1"/>
                <w:sz w:val="20"/>
              </w:rPr>
              <w:t>72,3</w:t>
            </w:r>
          </w:p>
        </w:tc>
        <w:tc>
          <w:tcPr>
            <w:tcW w:w="88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13D58E8F" w14:textId="37A096DA" w:rsidR="006442BB" w:rsidRPr="00B63892" w:rsidRDefault="34B096E2" w:rsidP="34B096E2">
            <w:pPr>
              <w:jc w:val="right"/>
              <w:rPr>
                <w:b/>
                <w:bCs/>
                <w:color w:val="000000" w:themeColor="text1"/>
                <w:sz w:val="20"/>
              </w:rPr>
            </w:pPr>
            <w:r w:rsidRPr="34B096E2">
              <w:rPr>
                <w:b/>
                <w:bCs/>
                <w:color w:val="000000" w:themeColor="text1"/>
                <w:sz w:val="20"/>
              </w:rPr>
              <w:t>-2,4</w:t>
            </w:r>
          </w:p>
        </w:tc>
        <w:tc>
          <w:tcPr>
            <w:tcW w:w="733"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02CACA89" w14:textId="26C7E85D" w:rsidR="006442BB" w:rsidRPr="00B63892" w:rsidRDefault="34B096E2" w:rsidP="34B096E2">
            <w:pPr>
              <w:jc w:val="right"/>
              <w:rPr>
                <w:b/>
                <w:bCs/>
                <w:color w:val="000000" w:themeColor="text1"/>
                <w:sz w:val="20"/>
              </w:rPr>
            </w:pPr>
            <w:r w:rsidRPr="34B096E2">
              <w:rPr>
                <w:b/>
                <w:bCs/>
                <w:color w:val="000000" w:themeColor="text1"/>
                <w:sz w:val="20"/>
              </w:rPr>
              <w:t>96,8</w:t>
            </w:r>
          </w:p>
        </w:tc>
      </w:tr>
      <w:tr w:rsidR="006442BB" w:rsidRPr="00B63892" w14:paraId="062B6206" w14:textId="77777777" w:rsidTr="34B096E2">
        <w:trPr>
          <w:gridAfter w:val="1"/>
          <w:wAfter w:w="263" w:type="dxa"/>
          <w:trHeight w:val="333"/>
          <w:jc w:val="center"/>
        </w:trPr>
        <w:tc>
          <w:tcPr>
            <w:tcW w:w="440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E08495" w14:textId="77777777" w:rsidR="006442BB" w:rsidRPr="00B63892" w:rsidRDefault="34B096E2" w:rsidP="34B096E2">
            <w:pPr>
              <w:spacing w:after="0"/>
              <w:jc w:val="left"/>
              <w:rPr>
                <w:rFonts w:eastAsiaTheme="minorEastAsia"/>
                <w:b/>
                <w:bCs/>
                <w:color w:val="000000" w:themeColor="text1"/>
                <w:sz w:val="20"/>
              </w:rPr>
            </w:pPr>
            <w:r w:rsidRPr="34B096E2">
              <w:rPr>
                <w:rFonts w:eastAsiaTheme="minorEastAsia"/>
                <w:b/>
                <w:bCs/>
                <w:color w:val="000000" w:themeColor="text1"/>
                <w:sz w:val="20"/>
              </w:rPr>
              <w:t>Összesen</w:t>
            </w:r>
          </w:p>
        </w:tc>
        <w:tc>
          <w:tcPr>
            <w:tcW w:w="1124" w:type="dxa"/>
            <w:tcBorders>
              <w:top w:val="nil"/>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574AF370" w14:textId="5E29EFFB" w:rsidR="006442BB" w:rsidRPr="00B63892" w:rsidRDefault="34B096E2" w:rsidP="34B096E2">
            <w:pPr>
              <w:jc w:val="right"/>
              <w:rPr>
                <w:b/>
                <w:bCs/>
                <w:color w:val="000000" w:themeColor="text1"/>
                <w:sz w:val="20"/>
              </w:rPr>
            </w:pPr>
            <w:r w:rsidRPr="34B096E2">
              <w:rPr>
                <w:b/>
                <w:bCs/>
                <w:color w:val="000000" w:themeColor="text1"/>
                <w:sz w:val="20"/>
              </w:rPr>
              <w:t>712,9</w:t>
            </w:r>
          </w:p>
        </w:tc>
        <w:tc>
          <w:tcPr>
            <w:tcW w:w="1110"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7169E913" w14:textId="09E852DE" w:rsidR="006442BB" w:rsidRPr="00B63892" w:rsidRDefault="34B096E2" w:rsidP="34B096E2">
            <w:pPr>
              <w:jc w:val="right"/>
              <w:rPr>
                <w:b/>
                <w:bCs/>
                <w:color w:val="000000" w:themeColor="text1"/>
                <w:sz w:val="20"/>
              </w:rPr>
            </w:pPr>
            <w:r w:rsidRPr="34B096E2">
              <w:rPr>
                <w:b/>
                <w:bCs/>
                <w:color w:val="000000" w:themeColor="text1"/>
                <w:sz w:val="20"/>
              </w:rPr>
              <w:t>702,4</w:t>
            </w:r>
          </w:p>
        </w:tc>
        <w:tc>
          <w:tcPr>
            <w:tcW w:w="888"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071F727F" w14:textId="30BFCA98" w:rsidR="006442BB" w:rsidRPr="00B63892" w:rsidRDefault="34B096E2" w:rsidP="34B096E2">
            <w:pPr>
              <w:jc w:val="right"/>
              <w:rPr>
                <w:b/>
                <w:bCs/>
                <w:color w:val="000000" w:themeColor="text1"/>
                <w:sz w:val="20"/>
              </w:rPr>
            </w:pPr>
            <w:r w:rsidRPr="34B096E2">
              <w:rPr>
                <w:b/>
                <w:bCs/>
                <w:color w:val="000000" w:themeColor="text1"/>
                <w:sz w:val="20"/>
              </w:rPr>
              <w:t>-10,5</w:t>
            </w:r>
          </w:p>
        </w:tc>
        <w:tc>
          <w:tcPr>
            <w:tcW w:w="733" w:type="dxa"/>
            <w:tcBorders>
              <w:top w:val="nil"/>
              <w:left w:val="nil"/>
              <w:bottom w:val="single" w:sz="4" w:space="0" w:color="auto"/>
              <w:right w:val="single" w:sz="4" w:space="0" w:color="auto"/>
            </w:tcBorders>
            <w:shd w:val="clear" w:color="auto" w:fill="auto"/>
            <w:noWrap/>
            <w:tcMar>
              <w:top w:w="0" w:type="dxa"/>
              <w:left w:w="70" w:type="dxa"/>
              <w:bottom w:w="0" w:type="dxa"/>
              <w:right w:w="70" w:type="dxa"/>
            </w:tcMar>
            <w:vAlign w:val="center"/>
          </w:tcPr>
          <w:p w14:paraId="5C781786" w14:textId="48CBE8AF" w:rsidR="006442BB" w:rsidRPr="00B63892" w:rsidRDefault="34B096E2" w:rsidP="34B096E2">
            <w:pPr>
              <w:jc w:val="right"/>
              <w:rPr>
                <w:b/>
                <w:bCs/>
                <w:color w:val="000000" w:themeColor="text1"/>
                <w:sz w:val="20"/>
              </w:rPr>
            </w:pPr>
            <w:r w:rsidRPr="34B096E2">
              <w:rPr>
                <w:b/>
                <w:bCs/>
                <w:color w:val="000000" w:themeColor="text1"/>
                <w:sz w:val="20"/>
              </w:rPr>
              <w:t>98,5</w:t>
            </w:r>
          </w:p>
        </w:tc>
      </w:tr>
    </w:tbl>
    <w:p w14:paraId="0F1775D0" w14:textId="77777777" w:rsidR="00B63892" w:rsidRDefault="00B63892" w:rsidP="00FE76A5"/>
    <w:p w14:paraId="50B10968" w14:textId="77777777" w:rsidR="007C018D" w:rsidRDefault="007C018D" w:rsidP="00FE76A5"/>
    <w:p w14:paraId="596F5546" w14:textId="0C99965E" w:rsidR="34B096E2" w:rsidRDefault="34B096E2" w:rsidP="34B096E2">
      <w:pPr>
        <w:spacing w:before="240"/>
      </w:pPr>
      <w:r>
        <w:t>A „</w:t>
      </w:r>
      <w:r w:rsidRPr="34B096E2">
        <w:rPr>
          <w:b/>
          <w:bCs/>
        </w:rPr>
        <w:t>Hozzájárulás az EU költségvetéséhez</w:t>
      </w:r>
      <w:r>
        <w:t xml:space="preserve">” mérlegsoron 2020 </w:t>
      </w:r>
      <w:r w:rsidRPr="34B096E2">
        <w:rPr>
          <w:szCs w:val="26"/>
        </w:rPr>
        <w:t>november végéig 412,9</w:t>
      </w:r>
      <w:r w:rsidR="00A0509B">
        <w:rPr>
          <w:szCs w:val="26"/>
        </w:rPr>
        <w:t> </w:t>
      </w:r>
      <w:r w:rsidRPr="34B096E2">
        <w:rPr>
          <w:szCs w:val="26"/>
        </w:rPr>
        <w:t>milliárd forint kiadás teljesült, ami a törvényi előirányzat 103,8%-</w:t>
      </w:r>
      <w:proofErr w:type="gramStart"/>
      <w:r w:rsidRPr="34B096E2">
        <w:rPr>
          <w:szCs w:val="26"/>
        </w:rPr>
        <w:t>a</w:t>
      </w:r>
      <w:proofErr w:type="gramEnd"/>
      <w:r w:rsidRPr="34B096E2">
        <w:rPr>
          <w:szCs w:val="26"/>
        </w:rPr>
        <w:t>, és a tervezettnek megfelelően alakult. E</w:t>
      </w:r>
      <w:r w:rsidR="00A0509B">
        <w:rPr>
          <w:szCs w:val="26"/>
        </w:rPr>
        <w:t xml:space="preserve"> hozzájárulás</w:t>
      </w:r>
      <w:r w:rsidRPr="34B096E2">
        <w:rPr>
          <w:szCs w:val="26"/>
        </w:rPr>
        <w:t xml:space="preserve"> 62,9</w:t>
      </w:r>
      <w:r w:rsidR="00A0509B">
        <w:rPr>
          <w:szCs w:val="26"/>
        </w:rPr>
        <w:t> </w:t>
      </w:r>
      <w:r w:rsidRPr="34B096E2">
        <w:rPr>
          <w:szCs w:val="26"/>
        </w:rPr>
        <w:t>milliárd forinttal halad</w:t>
      </w:r>
      <w:r w:rsidR="00A0509B">
        <w:rPr>
          <w:szCs w:val="26"/>
        </w:rPr>
        <w:t>t</w:t>
      </w:r>
      <w:r w:rsidRPr="34B096E2">
        <w:rPr>
          <w:szCs w:val="26"/>
        </w:rPr>
        <w:t>a meg a 2019. év azonos időszakában teljesített kiadást.</w:t>
      </w:r>
    </w:p>
    <w:p w14:paraId="33658BA9" w14:textId="08894508" w:rsidR="00546700" w:rsidRDefault="34B096E2" w:rsidP="6D01B43F">
      <w:pPr>
        <w:spacing w:before="240"/>
      </w:pPr>
      <w:r w:rsidRPr="34B096E2">
        <w:rPr>
          <w:rFonts w:cs="Tahoma"/>
          <w:color w:val="000000" w:themeColor="text1"/>
        </w:rPr>
        <w:t xml:space="preserve">Az </w:t>
      </w:r>
      <w:r w:rsidRPr="34B096E2">
        <w:rPr>
          <w:rFonts w:cs="Tahoma"/>
          <w:b/>
          <w:bCs/>
          <w:color w:val="000000" w:themeColor="text1"/>
        </w:rPr>
        <w:t>állami vagyonnal kapcsolatos kiadások</w:t>
      </w:r>
      <w:r w:rsidRPr="34B096E2">
        <w:rPr>
          <w:rFonts w:cs="Tahoma"/>
          <w:color w:val="000000" w:themeColor="text1"/>
        </w:rPr>
        <w:t xml:space="preserve"> november végi összege 586,1 milliárd forint volt, </w:t>
      </w:r>
      <w:r>
        <w:t>amelynek összetételét az alábbi diagram mutatja be:</w:t>
      </w:r>
    </w:p>
    <w:p w14:paraId="58B27E16" w14:textId="6ABAA626" w:rsidR="006A233F" w:rsidRDefault="00F04D15" w:rsidP="6D01B43F">
      <w:pPr>
        <w:spacing w:before="240"/>
      </w:pPr>
      <w:r>
        <w:rPr>
          <w:noProof/>
        </w:rPr>
        <w:lastRenderedPageBreak/>
        <w:drawing>
          <wp:inline distT="0" distB="0" distL="0" distR="0" wp14:anchorId="1584FBD0" wp14:editId="0ABC404A">
            <wp:extent cx="5940425" cy="3742055"/>
            <wp:effectExtent l="0" t="0" r="3175" b="0"/>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gyon_kiadások.png"/>
                    <pic:cNvPicPr/>
                  </pic:nvPicPr>
                  <pic:blipFill>
                    <a:blip r:embed="rId20">
                      <a:extLst>
                        <a:ext uri="{28A0092B-C50C-407E-A947-70E740481C1C}">
                          <a14:useLocalDpi xmlns:a14="http://schemas.microsoft.com/office/drawing/2010/main" val="0"/>
                        </a:ext>
                      </a:extLst>
                    </a:blip>
                    <a:stretch>
                      <a:fillRect/>
                    </a:stretch>
                  </pic:blipFill>
                  <pic:spPr>
                    <a:xfrm>
                      <a:off x="0" y="0"/>
                      <a:ext cx="5940425" cy="3742055"/>
                    </a:xfrm>
                    <a:prstGeom prst="rect">
                      <a:avLst/>
                    </a:prstGeom>
                  </pic:spPr>
                </pic:pic>
              </a:graphicData>
            </a:graphic>
          </wp:inline>
        </w:drawing>
      </w:r>
    </w:p>
    <w:p w14:paraId="0C89793A" w14:textId="77777777" w:rsidR="006A233F" w:rsidRDefault="006A233F" w:rsidP="6D01B43F">
      <w:pPr>
        <w:spacing w:before="240"/>
      </w:pPr>
    </w:p>
    <w:p w14:paraId="2DE6FDAC" w14:textId="0B20A3B2" w:rsidR="007C24F4" w:rsidRPr="007C24F4" w:rsidRDefault="007C24F4" w:rsidP="007C24F4">
      <w:pPr>
        <w:spacing w:before="240"/>
        <w:rPr>
          <w:bCs/>
          <w:iCs/>
        </w:rPr>
      </w:pPr>
      <w:r w:rsidRPr="007C24F4">
        <w:rPr>
          <w:bCs/>
          <w:iCs/>
        </w:rPr>
        <w:t xml:space="preserve">Az elkülönített állami pénzalapok kiadásai közül jelentősebb összeget tett ki a </w:t>
      </w:r>
      <w:r w:rsidRPr="007C24F4">
        <w:rPr>
          <w:b/>
          <w:bCs/>
          <w:iCs/>
        </w:rPr>
        <w:t xml:space="preserve">Nemzeti Foglalkoztatási Alapból </w:t>
      </w:r>
      <w:proofErr w:type="gramStart"/>
      <w:r w:rsidRPr="007C24F4">
        <w:rPr>
          <w:bCs/>
          <w:iCs/>
        </w:rPr>
        <w:t>finanszírozott</w:t>
      </w:r>
      <w:proofErr w:type="gramEnd"/>
      <w:r w:rsidRPr="007C24F4">
        <w:rPr>
          <w:bCs/>
          <w:iCs/>
        </w:rPr>
        <w:t xml:space="preserve"> Start-munkaprogram kiadása, mely november végéig 114,4 milliárd forintban teljesült. E kiadás az előző év azonos időszakában teljesített összegtől 30,4 milliárd forinttal maradt el. </w:t>
      </w:r>
    </w:p>
    <w:p w14:paraId="119E8488" w14:textId="2476724C" w:rsidR="007C24F4" w:rsidRPr="007C24F4" w:rsidRDefault="007C24F4" w:rsidP="007C24F4">
      <w:pPr>
        <w:spacing w:before="240"/>
        <w:rPr>
          <w:bCs/>
          <w:iCs/>
        </w:rPr>
      </w:pPr>
      <w:r w:rsidRPr="007C24F4">
        <w:rPr>
          <w:bCs/>
          <w:iCs/>
        </w:rPr>
        <w:t xml:space="preserve">A </w:t>
      </w:r>
      <w:r w:rsidRPr="007C24F4">
        <w:rPr>
          <w:b/>
          <w:bCs/>
          <w:iCs/>
        </w:rPr>
        <w:t>Bethlen Gábor Alap</w:t>
      </w:r>
      <w:r w:rsidRPr="007C24F4">
        <w:rPr>
          <w:bCs/>
          <w:iCs/>
        </w:rPr>
        <w:t xml:space="preserve"> (BGA) kiadásaiból a nemzetpolitikai célokra 29,7 milliárd forint teljesült </w:t>
      </w:r>
      <w:r w:rsidR="00466D6E">
        <w:rPr>
          <w:bCs/>
          <w:iCs/>
        </w:rPr>
        <w:t>november végéig</w:t>
      </w:r>
      <w:r w:rsidRPr="007C24F4">
        <w:rPr>
          <w:bCs/>
          <w:iCs/>
        </w:rPr>
        <w:t xml:space="preserve">, az alapból nyújtott támogatások a BGA irányítását ellátó Bizottság döntései alapján, ütemezetten kerültek kifizetésre. A Határtalanul! </w:t>
      </w:r>
      <w:proofErr w:type="gramStart"/>
      <w:r w:rsidRPr="007C24F4">
        <w:rPr>
          <w:bCs/>
          <w:iCs/>
        </w:rPr>
        <w:t>program</w:t>
      </w:r>
      <w:proofErr w:type="gramEnd"/>
      <w:r w:rsidRPr="007C24F4">
        <w:rPr>
          <w:bCs/>
          <w:iCs/>
        </w:rPr>
        <w:t xml:space="preserve"> támogatása 3,9 milliárd forintot tett ki, mely a módosított előirányzat 93,9%-a.</w:t>
      </w:r>
    </w:p>
    <w:p w14:paraId="094F0F1B" w14:textId="2BD04482" w:rsidR="007C24F4" w:rsidRPr="007C24F4" w:rsidRDefault="007C24F4" w:rsidP="007C24F4">
      <w:pPr>
        <w:spacing w:before="240"/>
        <w:rPr>
          <w:bCs/>
          <w:iCs/>
        </w:rPr>
      </w:pPr>
      <w:r w:rsidRPr="007C24F4">
        <w:rPr>
          <w:bCs/>
          <w:iCs/>
        </w:rPr>
        <w:t xml:space="preserve">A </w:t>
      </w:r>
      <w:r w:rsidRPr="007C24F4">
        <w:rPr>
          <w:b/>
          <w:bCs/>
          <w:iCs/>
        </w:rPr>
        <w:t>Nemzeti Kutatási, Fejlesztési és Innovációs Alapból</w:t>
      </w:r>
      <w:r w:rsidRPr="007C24F4">
        <w:rPr>
          <w:bCs/>
          <w:iCs/>
        </w:rPr>
        <w:t xml:space="preserve"> az I</w:t>
      </w:r>
      <w:r w:rsidR="00F75ABE">
        <w:rPr>
          <w:bCs/>
          <w:iCs/>
        </w:rPr>
        <w:noBreakHyphen/>
      </w:r>
      <w:r w:rsidRPr="007C24F4">
        <w:rPr>
          <w:bCs/>
          <w:iCs/>
        </w:rPr>
        <w:t>XI</w:t>
      </w:r>
      <w:r w:rsidR="00F75ABE">
        <w:rPr>
          <w:bCs/>
          <w:iCs/>
        </w:rPr>
        <w:t>. </w:t>
      </w:r>
      <w:r w:rsidRPr="007C24F4">
        <w:rPr>
          <w:bCs/>
          <w:iCs/>
        </w:rPr>
        <w:t xml:space="preserve">hónapokban az alaprészekre együttesen 88,3 milliárd forint teljesült, melyből 30,7 milliárd forint Kutatási Alaprészen, 57,6 milliárd forint pedig az Innovációs Alaprészen keresztül valósult meg. </w:t>
      </w:r>
    </w:p>
    <w:p w14:paraId="52863666" w14:textId="0A06C045" w:rsidR="00BE684B" w:rsidRDefault="7710508F" w:rsidP="00A7152C">
      <w:pPr>
        <w:spacing w:before="120"/>
        <w:rPr>
          <w:szCs w:val="26"/>
        </w:rPr>
      </w:pPr>
      <w:r>
        <w:t xml:space="preserve">A </w:t>
      </w:r>
      <w:r w:rsidRPr="7710508F">
        <w:rPr>
          <w:b/>
          <w:bCs/>
        </w:rPr>
        <w:t>Nyugdíjbiztosítási Alap</w:t>
      </w:r>
      <w:r>
        <w:t xml:space="preserve"> 2020. </w:t>
      </w:r>
      <w:r w:rsidR="00BD617C">
        <w:t>I</w:t>
      </w:r>
      <w:r w:rsidR="00485535">
        <w:t>-</w:t>
      </w:r>
      <w:r w:rsidR="0098656D">
        <w:t>X</w:t>
      </w:r>
      <w:r w:rsidR="00397005">
        <w:t>I</w:t>
      </w:r>
      <w:r w:rsidR="00BD617C">
        <w:t xml:space="preserve">. </w:t>
      </w:r>
      <w:proofErr w:type="gramStart"/>
      <w:r w:rsidR="00BD617C">
        <w:t>havi</w:t>
      </w:r>
      <w:proofErr w:type="gramEnd"/>
      <w:r w:rsidR="00BD617C">
        <w:t xml:space="preserve"> </w:t>
      </w:r>
      <w:r w:rsidRPr="7710508F">
        <w:rPr>
          <w:b/>
          <w:bCs/>
        </w:rPr>
        <w:t>nyugdíjkiadásai</w:t>
      </w:r>
      <w:r>
        <w:t xml:space="preserve"> </w:t>
      </w:r>
      <w:r w:rsidR="00397005">
        <w:t>3339,8</w:t>
      </w:r>
      <w:r>
        <w:t xml:space="preserve"> milliárd forintban teljesültek, ami </w:t>
      </w:r>
      <w:r w:rsidR="00397005">
        <w:t>127,4</w:t>
      </w:r>
      <w:r>
        <w:t xml:space="preserve"> milliárd forinttal haladta meg az előző év azonos időszakának kiadásait. Az </w:t>
      </w:r>
      <w:r w:rsidR="004F7700">
        <w:t>I-</w:t>
      </w:r>
      <w:r w:rsidR="0098656D">
        <w:t>X</w:t>
      </w:r>
      <w:r w:rsidR="00397005">
        <w:t>I</w:t>
      </w:r>
      <w:r w:rsidR="004F7700">
        <w:t xml:space="preserve">. </w:t>
      </w:r>
      <w:proofErr w:type="gramStart"/>
      <w:r w:rsidR="004F7700">
        <w:t>havi</w:t>
      </w:r>
      <w:proofErr w:type="gramEnd"/>
      <w:r>
        <w:t xml:space="preserve"> kifizetések tartalmazzák a tavalyi év magasabb inflációs hatása miatti 0,7%-os kiegészítő nyugdíjemelés és a tárgyév</w:t>
      </w:r>
      <w:r w:rsidR="004F7700">
        <w:t>ben végrehajtott</w:t>
      </w:r>
      <w:r>
        <w:t xml:space="preserve"> 2,8%</w:t>
      </w:r>
      <w:r w:rsidR="00BD32DA">
        <w:noBreakHyphen/>
      </w:r>
      <w:r>
        <w:t>os nyugdíjemelés összegét.</w:t>
      </w:r>
      <w:r w:rsidR="00397005">
        <w:t xml:space="preserve"> A 2020. év végéig várható nyugdíjas fogyasztói árindex a K</w:t>
      </w:r>
      <w:r w:rsidR="00583A44">
        <w:t>özponti Statisztikai Hivatal</w:t>
      </w:r>
      <w:r w:rsidR="00397005">
        <w:t xml:space="preserve"> által közzétett adatokra alapozva várhatóan eléri a 4,0%-ot</w:t>
      </w:r>
      <w:r w:rsidR="00F95A58">
        <w:t>,</w:t>
      </w:r>
      <w:r w:rsidR="00397005">
        <w:t xml:space="preserve"> </w:t>
      </w:r>
      <w:r w:rsidR="00F95A58">
        <w:t>így no</w:t>
      </w:r>
      <w:r w:rsidR="00397005">
        <w:t xml:space="preserve">vember hónapban </w:t>
      </w:r>
      <w:r w:rsidR="00F95A58">
        <w:t xml:space="preserve">ismét az év elejéig visszamenőleges </w:t>
      </w:r>
      <w:r w:rsidR="00397005">
        <w:t>kiegészítő nyugdíjemelésre került sor</w:t>
      </w:r>
      <w:r w:rsidR="00F95A58">
        <w:t>. A kiegészítő emelés mértéke 1,2%, a tárgyévben a Nyugdíjbiztosítási Alap előirányzataira gyakorolt kiadásnövelő hatása mintegy 41,6 milliárd forint.</w:t>
      </w:r>
    </w:p>
    <w:p w14:paraId="13221B3D" w14:textId="451ED3EE" w:rsidR="00F817BC" w:rsidRDefault="51CD5D50" w:rsidP="00F817BC">
      <w:r>
        <w:lastRenderedPageBreak/>
        <w:t xml:space="preserve">A nyugellátási kiadásokon belül a korbetöltött öregségi nyugellátások </w:t>
      </w:r>
      <w:r w:rsidR="00055115">
        <w:t>5,</w:t>
      </w:r>
      <w:r w:rsidR="00F95A58">
        <w:t>5</w:t>
      </w:r>
      <w:r>
        <w:t xml:space="preserve">%-kal, míg a nők 40 éves jogosultsági idejével igénybe vehető korhatár alatti ellátások </w:t>
      </w:r>
      <w:r w:rsidR="005A47DD">
        <w:t>9,</w:t>
      </w:r>
      <w:r w:rsidR="00F95A58">
        <w:t>7</w:t>
      </w:r>
      <w:r w:rsidR="009E7E25">
        <w:t xml:space="preserve">%-kal haladták meg </w:t>
      </w:r>
      <w:r>
        <w:t>a</w:t>
      </w:r>
      <w:r w:rsidR="009E7E25">
        <w:t xml:space="preserve">z előző év azonos időszakának </w:t>
      </w:r>
      <w:r>
        <w:t>kiadás</w:t>
      </w:r>
      <w:r w:rsidR="009E7E25">
        <w:t>ait.</w:t>
      </w:r>
      <w:r>
        <w:t xml:space="preserve"> 2019-ben nem változott az öregségi nyugellátásra jogosultság 64 éves korhatára, így az év egészében folyamatosan kerültek megállapításra új ellátások. Az öregségi nyugdíjkorhatár betöltésével a korábban nők40</w:t>
      </w:r>
      <w:r w:rsidR="004B5A00">
        <w:noBreakHyphen/>
      </w:r>
      <w:r>
        <w:t>el nyugdíjjogosulttá válók is jelentős számban kerültek át a korbetöltött öregségi nyugellátások csoportjába.</w:t>
      </w:r>
      <w:r w:rsidR="00F817BC" w:rsidRPr="0AECE7A1">
        <w:t xml:space="preserve"> </w:t>
      </w:r>
      <w:r>
        <w:t>A korbetöltött öregségi nyugellátások korhatára 2020. január 1-</w:t>
      </w:r>
      <w:r w:rsidR="007A6439">
        <w:t>j</w:t>
      </w:r>
      <w:r>
        <w:t>étől fél évvel, 64,5 évre emelkedett. A korhatáremelés következtében 2020 első félévében – a folyamatban lévő ügyek lezárásán túl – nem kerül</w:t>
      </w:r>
      <w:r w:rsidR="00E97236">
        <w:t>t</w:t>
      </w:r>
      <w:r>
        <w:t xml:space="preserve"> sor új</w:t>
      </w:r>
      <w:r w:rsidRPr="0AECE7A1">
        <w:t xml:space="preserve"> </w:t>
      </w:r>
      <w:r w:rsidR="00DE520F" w:rsidRPr="7C686E7C">
        <w:t>korbetöltött öregségi nyug</w:t>
      </w:r>
      <w:r w:rsidRPr="7C686E7C">
        <w:t xml:space="preserve">ellátás </w:t>
      </w:r>
      <w:r>
        <w:t xml:space="preserve">megállapítására, emiatt </w:t>
      </w:r>
      <w:r w:rsidRPr="613A0C12">
        <w:t>az öregségi nyugellátásra jogosultak létszáma az első félévben jelentősen csökken</w:t>
      </w:r>
      <w:r w:rsidR="00E97236">
        <w:t>t</w:t>
      </w:r>
      <w:r w:rsidR="00DE520F">
        <w:t>. A</w:t>
      </w:r>
      <w:r w:rsidR="00DE520F" w:rsidRPr="00DE520F">
        <w:t xml:space="preserve"> második félévben az újrainduló megállapítások a</w:t>
      </w:r>
      <w:r w:rsidR="00DE520F">
        <w:t xml:space="preserve"> korhatárt betöltött nyugellátások </w:t>
      </w:r>
      <w:r w:rsidR="00DE520F" w:rsidRPr="00DE520F">
        <w:t>szám</w:t>
      </w:r>
      <w:r w:rsidR="00DE520F">
        <w:t>ának</w:t>
      </w:r>
      <w:r w:rsidR="00DE520F" w:rsidRPr="00DE520F">
        <w:t xml:space="preserve"> és kiadás</w:t>
      </w:r>
      <w:r w:rsidR="00DE520F">
        <w:t>ainak</w:t>
      </w:r>
      <w:r w:rsidR="00DE520F" w:rsidRPr="00DE520F">
        <w:t xml:space="preserve"> év végéig tartó folyamatos emelkedését okozzák.</w:t>
      </w:r>
      <w:r w:rsidRPr="0AECE7A1">
        <w:t xml:space="preserve"> </w:t>
      </w:r>
      <w:r w:rsidRPr="0057795B">
        <w:t xml:space="preserve">A </w:t>
      </w:r>
      <w:r w:rsidRPr="7C686E7C">
        <w:t>nők</w:t>
      </w:r>
      <w:r w:rsidR="00AB06D9" w:rsidRPr="0AECE7A1">
        <w:t xml:space="preserve"> </w:t>
      </w:r>
      <w:r w:rsidRPr="7C686E7C">
        <w:t>40 éves jogosultsági idejével igénybe vehető korhatár alatti ellátásokra</w:t>
      </w:r>
      <w:r w:rsidRPr="0AECE7A1">
        <w:t xml:space="preserve"> </w:t>
      </w:r>
      <w:r>
        <w:t xml:space="preserve">a korhatáremelés nincs hatással, így ezen az ellátási jogcímen az első félév végéig </w:t>
      </w:r>
      <w:r w:rsidRPr="613A0C12">
        <w:t>folyamatos ellátásszám</w:t>
      </w:r>
      <w:r w:rsidR="00336992" w:rsidRPr="0AECE7A1">
        <w:t>-</w:t>
      </w:r>
      <w:r w:rsidRPr="613A0C12">
        <w:t xml:space="preserve">növekedés </w:t>
      </w:r>
      <w:r w:rsidR="00DE520F">
        <w:t xml:space="preserve">volt </w:t>
      </w:r>
      <w:r w:rsidRPr="613A0C12">
        <w:t>tapasztalható</w:t>
      </w:r>
      <w:r w:rsidRPr="0AECE7A1">
        <w:t>.</w:t>
      </w:r>
      <w:r w:rsidR="00DE520F">
        <w:t xml:space="preserve"> A második félévben</w:t>
      </w:r>
      <w:r w:rsidR="003E56F1" w:rsidRPr="0AECE7A1">
        <w:t xml:space="preserve"> </w:t>
      </w:r>
      <w:r w:rsidR="00EF21EA">
        <w:t xml:space="preserve">– az öregségi nyugdíjkorhatár betöltése miatt – </w:t>
      </w:r>
      <w:r w:rsidR="003E56F1">
        <w:t xml:space="preserve">folyamatos </w:t>
      </w:r>
      <w:r w:rsidR="00EF21EA">
        <w:t xml:space="preserve">csökkenés, </w:t>
      </w:r>
      <w:r w:rsidR="00DE520F">
        <w:t>a korbetöltött ellátási jogcímre történő át</w:t>
      </w:r>
      <w:r w:rsidR="00AE0867">
        <w:t>sorolás</w:t>
      </w:r>
      <w:r w:rsidR="00EF21EA">
        <w:t xml:space="preserve"> várható</w:t>
      </w:r>
      <w:r w:rsidR="00DE520F" w:rsidRPr="0AECE7A1">
        <w:t xml:space="preserve">. </w:t>
      </w:r>
      <w:r w:rsidR="00F817BC">
        <w:t xml:space="preserve">A nyugellátási kiadások </w:t>
      </w:r>
      <w:r w:rsidR="00EF21EA">
        <w:t xml:space="preserve">egyes </w:t>
      </w:r>
      <w:r w:rsidR="00F817BC">
        <w:t>ellátási jogcímeinek alakulását a következő ábra mutatja be:</w:t>
      </w:r>
    </w:p>
    <w:p w14:paraId="7FC0EE33" w14:textId="76E071FD" w:rsidR="00207E9A" w:rsidRDefault="009D4A29" w:rsidP="00F817BC">
      <w:r>
        <w:rPr>
          <w:noProof/>
        </w:rPr>
        <w:drawing>
          <wp:inline distT="0" distB="0" distL="0" distR="0" wp14:anchorId="1B81E030" wp14:editId="6EBB4302">
            <wp:extent cx="5940425" cy="2320290"/>
            <wp:effectExtent l="0" t="0" r="3175" b="3810"/>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ugellatasi_kiadasok.png"/>
                    <pic:cNvPicPr/>
                  </pic:nvPicPr>
                  <pic:blipFill>
                    <a:blip r:embed="rId21">
                      <a:extLst>
                        <a:ext uri="{28A0092B-C50C-407E-A947-70E740481C1C}">
                          <a14:useLocalDpi xmlns:a14="http://schemas.microsoft.com/office/drawing/2010/main" val="0"/>
                        </a:ext>
                      </a:extLst>
                    </a:blip>
                    <a:stretch>
                      <a:fillRect/>
                    </a:stretch>
                  </pic:blipFill>
                  <pic:spPr>
                    <a:xfrm>
                      <a:off x="0" y="0"/>
                      <a:ext cx="5940425" cy="2320290"/>
                    </a:xfrm>
                    <a:prstGeom prst="rect">
                      <a:avLst/>
                    </a:prstGeom>
                  </pic:spPr>
                </pic:pic>
              </a:graphicData>
            </a:graphic>
          </wp:inline>
        </w:drawing>
      </w:r>
    </w:p>
    <w:p w14:paraId="210699AB" w14:textId="77777777" w:rsidR="009D4A29" w:rsidRDefault="009D4A29" w:rsidP="00F817BC"/>
    <w:p w14:paraId="24C239F1" w14:textId="43BD53EC" w:rsidR="0080719D" w:rsidRDefault="34B096E2" w:rsidP="00D93DBE">
      <w:r>
        <w:t xml:space="preserve">Az </w:t>
      </w:r>
      <w:r w:rsidRPr="34B096E2">
        <w:rPr>
          <w:b/>
          <w:bCs/>
        </w:rPr>
        <w:t>Egészségbiztosítási Alap kiadásainak</w:t>
      </w:r>
      <w:r>
        <w:t xml:space="preserve"> összetételét a következő ábra mutatja be:</w:t>
      </w:r>
    </w:p>
    <w:p w14:paraId="19134650" w14:textId="5A3E1496" w:rsidR="00EC3193" w:rsidRPr="000C037A" w:rsidRDefault="006A7331" w:rsidP="00D93DBE">
      <w:r>
        <w:rPr>
          <w:noProof/>
        </w:rPr>
        <w:drawing>
          <wp:inline distT="0" distB="0" distL="0" distR="0" wp14:anchorId="1AA896E9" wp14:editId="5DDFA968">
            <wp:extent cx="5940425" cy="2302510"/>
            <wp:effectExtent l="0" t="0" r="3175" b="2540"/>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lap_kiadásai.png"/>
                    <pic:cNvPicPr/>
                  </pic:nvPicPr>
                  <pic:blipFill>
                    <a:blip r:embed="rId22">
                      <a:extLst>
                        <a:ext uri="{28A0092B-C50C-407E-A947-70E740481C1C}">
                          <a14:useLocalDpi xmlns:a14="http://schemas.microsoft.com/office/drawing/2010/main" val="0"/>
                        </a:ext>
                      </a:extLst>
                    </a:blip>
                    <a:stretch>
                      <a:fillRect/>
                    </a:stretch>
                  </pic:blipFill>
                  <pic:spPr>
                    <a:xfrm>
                      <a:off x="0" y="0"/>
                      <a:ext cx="5940425" cy="2302510"/>
                    </a:xfrm>
                    <a:prstGeom prst="rect">
                      <a:avLst/>
                    </a:prstGeom>
                  </pic:spPr>
                </pic:pic>
              </a:graphicData>
            </a:graphic>
          </wp:inline>
        </w:drawing>
      </w:r>
    </w:p>
    <w:p w14:paraId="15EA223F" w14:textId="2917061F" w:rsidR="34B096E2" w:rsidRDefault="34B096E2" w:rsidP="34B096E2">
      <w:r w:rsidRPr="34B096E2">
        <w:rPr>
          <w:szCs w:val="26"/>
        </w:rPr>
        <w:lastRenderedPageBreak/>
        <w:t xml:space="preserve">A </w:t>
      </w:r>
      <w:r w:rsidRPr="34B096E2">
        <w:rPr>
          <w:b/>
          <w:bCs/>
          <w:szCs w:val="26"/>
        </w:rPr>
        <w:t>gyógyító-megelőző</w:t>
      </w:r>
      <w:r w:rsidRPr="34B096E2">
        <w:rPr>
          <w:szCs w:val="26"/>
        </w:rPr>
        <w:t xml:space="preserve"> ellátásokra fordított kiadás </w:t>
      </w:r>
      <w:r w:rsidR="00904368">
        <w:rPr>
          <w:szCs w:val="26"/>
        </w:rPr>
        <w:t xml:space="preserve">a </w:t>
      </w:r>
      <w:r w:rsidRPr="34B096E2">
        <w:rPr>
          <w:szCs w:val="26"/>
        </w:rPr>
        <w:t xml:space="preserve">2020. </w:t>
      </w:r>
      <w:r w:rsidR="00904368">
        <w:rPr>
          <w:szCs w:val="26"/>
        </w:rPr>
        <w:t xml:space="preserve">év </w:t>
      </w:r>
      <w:r w:rsidRPr="34B096E2">
        <w:rPr>
          <w:szCs w:val="26"/>
        </w:rPr>
        <w:t>első tizenegy hónapjában 1416,8</w:t>
      </w:r>
      <w:r w:rsidR="00FB151C">
        <w:rPr>
          <w:szCs w:val="26"/>
        </w:rPr>
        <w:t> </w:t>
      </w:r>
      <w:r w:rsidRPr="34B096E2">
        <w:rPr>
          <w:szCs w:val="26"/>
        </w:rPr>
        <w:t>milliárd forintot tett ki a 2019.</w:t>
      </w:r>
      <w:r w:rsidR="00A7039F">
        <w:rPr>
          <w:szCs w:val="26"/>
        </w:rPr>
        <w:t xml:space="preserve"> évi</w:t>
      </w:r>
      <w:r w:rsidRPr="34B096E2">
        <w:rPr>
          <w:szCs w:val="26"/>
        </w:rPr>
        <w:t xml:space="preserve"> I-XI. </w:t>
      </w:r>
      <w:proofErr w:type="gramStart"/>
      <w:r w:rsidRPr="34B096E2">
        <w:rPr>
          <w:szCs w:val="26"/>
        </w:rPr>
        <w:t>havi</w:t>
      </w:r>
      <w:proofErr w:type="gramEnd"/>
      <w:r w:rsidRPr="34B096E2">
        <w:rPr>
          <w:szCs w:val="26"/>
        </w:rPr>
        <w:t xml:space="preserve"> 1165,9</w:t>
      </w:r>
      <w:r w:rsidR="00FB151C">
        <w:rPr>
          <w:szCs w:val="26"/>
        </w:rPr>
        <w:t> </w:t>
      </w:r>
      <w:r w:rsidRPr="34B096E2">
        <w:rPr>
          <w:szCs w:val="26"/>
        </w:rPr>
        <w:t xml:space="preserve">milliárd forinttal szemben. </w:t>
      </w:r>
      <w:proofErr w:type="gramStart"/>
      <w:r w:rsidRPr="34B096E2">
        <w:rPr>
          <w:szCs w:val="26"/>
        </w:rPr>
        <w:t xml:space="preserve">Az előző évhez viszonyított magasabb összegű kiadás meghatározó részben a célelőirányzatoknál (az adósságrendezésre február és március hónapban biztosított többletfinanszírozással, a 2019. júliusi 8%-os és a 2020. januári </w:t>
      </w:r>
      <w:r w:rsidR="002C0773" w:rsidRPr="34B096E2">
        <w:rPr>
          <w:rFonts w:cs="Tahoma"/>
          <w:color w:val="000000" w:themeColor="text1"/>
        </w:rPr>
        <w:t>−</w:t>
      </w:r>
      <w:r w:rsidRPr="34B096E2">
        <w:rPr>
          <w:szCs w:val="26"/>
        </w:rPr>
        <w:t xml:space="preserve"> a 2018. évi bérhez viszonyított </w:t>
      </w:r>
      <w:r w:rsidR="002C0773" w:rsidRPr="34B096E2">
        <w:rPr>
          <w:rFonts w:cs="Tahoma"/>
          <w:color w:val="000000" w:themeColor="text1"/>
        </w:rPr>
        <w:t>−</w:t>
      </w:r>
      <w:r w:rsidRPr="34B096E2">
        <w:rPr>
          <w:szCs w:val="26"/>
        </w:rPr>
        <w:t xml:space="preserve"> 14%-os béremeléssel, valamint az egészségügyi és egészségügyben dolgozókat érintő egyszeri rendkívüli juttatással (101,3</w:t>
      </w:r>
      <w:r w:rsidR="00165F22">
        <w:rPr>
          <w:szCs w:val="26"/>
        </w:rPr>
        <w:t> </w:t>
      </w:r>
      <w:r w:rsidRPr="34B096E2">
        <w:rPr>
          <w:szCs w:val="26"/>
        </w:rPr>
        <w:t xml:space="preserve">milliárd forint) összefüggően), </w:t>
      </w:r>
      <w:r w:rsidR="0021154F">
        <w:rPr>
          <w:szCs w:val="26"/>
        </w:rPr>
        <w:t>továbbá</w:t>
      </w:r>
      <w:r w:rsidRPr="34B096E2">
        <w:rPr>
          <w:szCs w:val="26"/>
        </w:rPr>
        <w:t xml:space="preserve"> kisebb részben az összevont szakellátásnál (azon belül elsősorban a fekvőbeteg szakellátásnál és a </w:t>
      </w:r>
      <w:proofErr w:type="spellStart"/>
      <w:r w:rsidRPr="34B096E2">
        <w:rPr>
          <w:szCs w:val="26"/>
        </w:rPr>
        <w:t>nagyértékű</w:t>
      </w:r>
      <w:proofErr w:type="spellEnd"/>
      <w:r w:rsidRPr="34B096E2">
        <w:rPr>
          <w:szCs w:val="26"/>
        </w:rPr>
        <w:t xml:space="preserve"> gyógyszer</w:t>
      </w:r>
      <w:r w:rsidR="00165F22">
        <w:rPr>
          <w:szCs w:val="26"/>
        </w:rPr>
        <w:t>-</w:t>
      </w:r>
      <w:r w:rsidRPr="34B096E2">
        <w:rPr>
          <w:szCs w:val="26"/>
        </w:rPr>
        <w:t>finanszírozásnál) jelentkezik.</w:t>
      </w:r>
      <w:proofErr w:type="gramEnd"/>
    </w:p>
    <w:p w14:paraId="7C4C49C4" w14:textId="3B4B32E9" w:rsidR="34B096E2" w:rsidRDefault="34B096E2" w:rsidP="34B096E2">
      <w:r w:rsidRPr="34B096E2">
        <w:rPr>
          <w:b/>
          <w:bCs/>
          <w:szCs w:val="26"/>
        </w:rPr>
        <w:t>Gyógyszertámogatásra</w:t>
      </w:r>
      <w:r w:rsidRPr="34B096E2">
        <w:rPr>
          <w:szCs w:val="26"/>
        </w:rPr>
        <w:t xml:space="preserve"> az év első tizenegy hónapjában 370,7</w:t>
      </w:r>
      <w:r w:rsidR="003737D5">
        <w:rPr>
          <w:szCs w:val="26"/>
        </w:rPr>
        <w:t> </w:t>
      </w:r>
      <w:r w:rsidRPr="34B096E2">
        <w:rPr>
          <w:szCs w:val="26"/>
        </w:rPr>
        <w:t>milliárd forintot fordítottak, amely 20,8</w:t>
      </w:r>
      <w:r w:rsidR="003737D5">
        <w:rPr>
          <w:szCs w:val="26"/>
        </w:rPr>
        <w:t> </w:t>
      </w:r>
      <w:r w:rsidRPr="34B096E2">
        <w:rPr>
          <w:szCs w:val="26"/>
        </w:rPr>
        <w:t>milliárd forinttal több az előző év azonos időszakában kifizetett összegnél.</w:t>
      </w:r>
    </w:p>
    <w:p w14:paraId="3D681EC3" w14:textId="5F3C1C0D" w:rsidR="00D713B8" w:rsidRDefault="34B096E2" w:rsidP="60A05D1C">
      <w:r>
        <w:t xml:space="preserve">Az Egészségbiztosítási Alap összes kiadásának 26,4%-át a </w:t>
      </w:r>
      <w:r w:rsidRPr="34B096E2">
        <w:rPr>
          <w:b/>
          <w:bCs/>
        </w:rPr>
        <w:t>pénzbeli ellátásokra</w:t>
      </w:r>
      <w:r>
        <w:t xml:space="preserve"> fordított összeg adta. Az ellátások részletes bemutatását a következő táblázat tartalmazza:</w:t>
      </w:r>
    </w:p>
    <w:p w14:paraId="3B15185A" w14:textId="77777777" w:rsidR="003213C9" w:rsidRDefault="003213C9" w:rsidP="60A05D1C"/>
    <w:tbl>
      <w:tblPr>
        <w:tblW w:w="7230" w:type="dxa"/>
        <w:tblInd w:w="779" w:type="dxa"/>
        <w:tblLayout w:type="fixed"/>
        <w:tblCellMar>
          <w:left w:w="70" w:type="dxa"/>
          <w:right w:w="70" w:type="dxa"/>
        </w:tblCellMar>
        <w:tblLook w:val="04A0" w:firstRow="1" w:lastRow="0" w:firstColumn="1" w:lastColumn="0" w:noHBand="0" w:noVBand="1"/>
      </w:tblPr>
      <w:tblGrid>
        <w:gridCol w:w="3827"/>
        <w:gridCol w:w="993"/>
        <w:gridCol w:w="992"/>
        <w:gridCol w:w="753"/>
        <w:gridCol w:w="665"/>
      </w:tblGrid>
      <w:tr w:rsidR="007A0A81" w:rsidRPr="00803AEA" w14:paraId="3F602428" w14:textId="77777777" w:rsidTr="34B096E2">
        <w:trPr>
          <w:trHeight w:val="227"/>
        </w:trPr>
        <w:tc>
          <w:tcPr>
            <w:tcW w:w="7230" w:type="dxa"/>
            <w:gridSpan w:val="5"/>
            <w:tcBorders>
              <w:top w:val="nil"/>
              <w:left w:val="nil"/>
              <w:bottom w:val="nil"/>
              <w:right w:val="nil"/>
            </w:tcBorders>
            <w:shd w:val="clear" w:color="auto" w:fill="auto"/>
            <w:vAlign w:val="center"/>
            <w:hideMark/>
          </w:tcPr>
          <w:p w14:paraId="692EB199" w14:textId="77777777" w:rsidR="007A0A81" w:rsidRPr="00803AEA" w:rsidRDefault="34B096E2" w:rsidP="34B096E2">
            <w:pPr>
              <w:jc w:val="center"/>
              <w:rPr>
                <w:b/>
                <w:bCs/>
                <w:color w:val="000000" w:themeColor="text1"/>
                <w:sz w:val="20"/>
              </w:rPr>
            </w:pPr>
            <w:r w:rsidRPr="34B096E2">
              <w:rPr>
                <w:b/>
                <w:bCs/>
                <w:color w:val="000000" w:themeColor="text1"/>
                <w:sz w:val="20"/>
              </w:rPr>
              <w:t>Az Egészségbiztosítási Alap pénzbeli ellátásokra fordított kiadásainak alakulása (milliárd forint)</w:t>
            </w:r>
          </w:p>
        </w:tc>
      </w:tr>
      <w:tr w:rsidR="007A0A81" w:rsidRPr="00DB479B" w14:paraId="49990F57" w14:textId="77777777" w:rsidTr="34B096E2">
        <w:trPr>
          <w:trHeight w:val="306"/>
        </w:trPr>
        <w:tc>
          <w:tcPr>
            <w:tcW w:w="3827" w:type="dxa"/>
            <w:vMerge w:val="restart"/>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14:paraId="6657E9BF" w14:textId="77777777" w:rsidR="007A0A81" w:rsidRPr="00DB479B" w:rsidRDefault="34B096E2" w:rsidP="34B096E2">
            <w:pPr>
              <w:spacing w:after="0"/>
              <w:jc w:val="center"/>
              <w:rPr>
                <w:b/>
                <w:bCs/>
                <w:sz w:val="20"/>
              </w:rPr>
            </w:pPr>
            <w:r w:rsidRPr="34B096E2">
              <w:rPr>
                <w:b/>
                <w:bCs/>
                <w:sz w:val="20"/>
              </w:rPr>
              <w:t>Megnevezés</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AF2EB5" w14:textId="7F2E17C8" w:rsidR="007A0A81" w:rsidRPr="00DB479B" w:rsidRDefault="34B096E2" w:rsidP="34B096E2">
            <w:pPr>
              <w:spacing w:after="0"/>
              <w:jc w:val="center"/>
              <w:rPr>
                <w:b/>
                <w:bCs/>
                <w:sz w:val="20"/>
              </w:rPr>
            </w:pPr>
            <w:r w:rsidRPr="34B096E2">
              <w:rPr>
                <w:b/>
                <w:bCs/>
                <w:sz w:val="20"/>
              </w:rPr>
              <w:t xml:space="preserve">2019. </w:t>
            </w:r>
            <w:r w:rsidR="48F15973">
              <w:br/>
            </w:r>
            <w:r w:rsidRPr="34B096E2">
              <w:rPr>
                <w:b/>
                <w:bCs/>
                <w:sz w:val="20"/>
              </w:rPr>
              <w:t>I-XI. hó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9FCC4A" w14:textId="0CFD17E2" w:rsidR="007A0A81" w:rsidRPr="00DB479B" w:rsidRDefault="34B096E2" w:rsidP="34B096E2">
            <w:pPr>
              <w:spacing w:after="0"/>
              <w:jc w:val="center"/>
              <w:rPr>
                <w:b/>
                <w:bCs/>
                <w:sz w:val="20"/>
              </w:rPr>
            </w:pPr>
            <w:r w:rsidRPr="34B096E2">
              <w:rPr>
                <w:b/>
                <w:bCs/>
                <w:sz w:val="20"/>
              </w:rPr>
              <w:t>2020.</w:t>
            </w:r>
            <w:r w:rsidR="48F15973">
              <w:br/>
            </w:r>
            <w:r w:rsidRPr="34B096E2">
              <w:rPr>
                <w:b/>
                <w:bCs/>
                <w:sz w:val="20"/>
              </w:rPr>
              <w:t>I-XI. hó</w:t>
            </w:r>
          </w:p>
        </w:tc>
        <w:tc>
          <w:tcPr>
            <w:tcW w:w="1418" w:type="dxa"/>
            <w:gridSpan w:val="2"/>
            <w:tcBorders>
              <w:top w:val="single" w:sz="4" w:space="0" w:color="auto"/>
              <w:left w:val="nil"/>
              <w:bottom w:val="single" w:sz="4" w:space="0" w:color="auto"/>
              <w:right w:val="single" w:sz="4" w:space="0" w:color="000000" w:themeColor="text1"/>
            </w:tcBorders>
            <w:shd w:val="clear" w:color="auto" w:fill="auto"/>
            <w:noWrap/>
            <w:vAlign w:val="center"/>
            <w:hideMark/>
          </w:tcPr>
          <w:p w14:paraId="596D1A5C" w14:textId="77777777" w:rsidR="007A0A81" w:rsidRPr="00DB479B" w:rsidRDefault="34B096E2" w:rsidP="34B096E2">
            <w:pPr>
              <w:spacing w:after="0"/>
              <w:jc w:val="center"/>
              <w:rPr>
                <w:b/>
                <w:bCs/>
                <w:sz w:val="20"/>
              </w:rPr>
            </w:pPr>
            <w:r w:rsidRPr="34B096E2">
              <w:rPr>
                <w:b/>
                <w:bCs/>
                <w:sz w:val="20"/>
              </w:rPr>
              <w:t>Eltérés</w:t>
            </w:r>
          </w:p>
        </w:tc>
      </w:tr>
      <w:tr w:rsidR="007A0A81" w:rsidRPr="00DB479B" w14:paraId="31743F96" w14:textId="77777777" w:rsidTr="34B096E2">
        <w:trPr>
          <w:trHeight w:val="306"/>
        </w:trPr>
        <w:tc>
          <w:tcPr>
            <w:tcW w:w="3827" w:type="dxa"/>
            <w:vMerge/>
            <w:tcBorders>
              <w:top w:val="single" w:sz="4" w:space="0" w:color="auto"/>
              <w:left w:val="single" w:sz="4" w:space="0" w:color="auto"/>
              <w:bottom w:val="single" w:sz="4" w:space="0" w:color="000000"/>
              <w:right w:val="single" w:sz="4" w:space="0" w:color="auto"/>
            </w:tcBorders>
            <w:vAlign w:val="center"/>
            <w:hideMark/>
          </w:tcPr>
          <w:p w14:paraId="0FEE673B" w14:textId="77777777" w:rsidR="007A0A81" w:rsidRPr="00DB479B" w:rsidRDefault="007A0A81" w:rsidP="00CD6EB3">
            <w:pPr>
              <w:spacing w:after="0"/>
              <w:jc w:val="left"/>
              <w:rPr>
                <w:b/>
                <w:bCs/>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B081E" w14:textId="77777777" w:rsidR="007A0A81" w:rsidRPr="00DB479B" w:rsidRDefault="007A0A81" w:rsidP="00CD6EB3">
            <w:pPr>
              <w:spacing w:after="0"/>
              <w:jc w:val="left"/>
              <w:rPr>
                <w:b/>
                <w:bCs/>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4733DE5" w14:textId="77777777" w:rsidR="007A0A81" w:rsidRPr="00DB479B" w:rsidRDefault="007A0A81" w:rsidP="00CD6EB3">
            <w:pPr>
              <w:spacing w:after="0"/>
              <w:jc w:val="left"/>
              <w:rPr>
                <w:b/>
                <w:bCs/>
                <w:sz w:val="20"/>
              </w:rPr>
            </w:pPr>
          </w:p>
        </w:tc>
        <w:tc>
          <w:tcPr>
            <w:tcW w:w="753" w:type="dxa"/>
            <w:tcBorders>
              <w:top w:val="nil"/>
              <w:left w:val="nil"/>
              <w:bottom w:val="single" w:sz="4" w:space="0" w:color="auto"/>
              <w:right w:val="single" w:sz="4" w:space="0" w:color="auto"/>
            </w:tcBorders>
            <w:shd w:val="clear" w:color="auto" w:fill="auto"/>
            <w:noWrap/>
            <w:vAlign w:val="bottom"/>
            <w:hideMark/>
          </w:tcPr>
          <w:p w14:paraId="541A293F" w14:textId="77777777" w:rsidR="007A0A81" w:rsidRPr="00DB479B" w:rsidRDefault="34B096E2" w:rsidP="34B096E2">
            <w:pPr>
              <w:spacing w:after="0"/>
              <w:jc w:val="center"/>
              <w:rPr>
                <w:b/>
                <w:bCs/>
                <w:sz w:val="20"/>
              </w:rPr>
            </w:pPr>
            <w:r w:rsidRPr="34B096E2">
              <w:rPr>
                <w:b/>
                <w:bCs/>
                <w:sz w:val="20"/>
              </w:rPr>
              <w:t>Mrd Ft</w:t>
            </w:r>
          </w:p>
        </w:tc>
        <w:tc>
          <w:tcPr>
            <w:tcW w:w="665" w:type="dxa"/>
            <w:tcBorders>
              <w:top w:val="nil"/>
              <w:left w:val="nil"/>
              <w:bottom w:val="single" w:sz="4" w:space="0" w:color="auto"/>
              <w:right w:val="single" w:sz="4" w:space="0" w:color="auto"/>
            </w:tcBorders>
            <w:shd w:val="clear" w:color="auto" w:fill="auto"/>
            <w:noWrap/>
            <w:vAlign w:val="bottom"/>
            <w:hideMark/>
          </w:tcPr>
          <w:p w14:paraId="0AAD326D" w14:textId="77777777" w:rsidR="007A0A81" w:rsidRPr="00DB479B" w:rsidRDefault="34B096E2" w:rsidP="34B096E2">
            <w:pPr>
              <w:spacing w:after="0"/>
              <w:jc w:val="center"/>
              <w:rPr>
                <w:b/>
                <w:bCs/>
                <w:sz w:val="20"/>
              </w:rPr>
            </w:pPr>
            <w:r w:rsidRPr="34B096E2">
              <w:rPr>
                <w:b/>
                <w:bCs/>
                <w:sz w:val="20"/>
              </w:rPr>
              <w:t>%</w:t>
            </w:r>
          </w:p>
        </w:tc>
      </w:tr>
      <w:tr w:rsidR="007A0A81" w:rsidRPr="00DB479B" w14:paraId="6113CEE5" w14:textId="77777777" w:rsidTr="34B096E2">
        <w:trPr>
          <w:trHeight w:val="306"/>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53B83BFA" w14:textId="77777777" w:rsidR="007A0A81" w:rsidRPr="00DB479B" w:rsidRDefault="34B096E2" w:rsidP="34B096E2">
            <w:pPr>
              <w:spacing w:after="0"/>
              <w:jc w:val="left"/>
              <w:rPr>
                <w:b/>
                <w:bCs/>
                <w:sz w:val="20"/>
              </w:rPr>
            </w:pPr>
            <w:r w:rsidRPr="34B096E2">
              <w:rPr>
                <w:b/>
                <w:bCs/>
                <w:sz w:val="20"/>
              </w:rPr>
              <w:t>Pénzbeli ellátások</w:t>
            </w:r>
          </w:p>
        </w:tc>
        <w:tc>
          <w:tcPr>
            <w:tcW w:w="993" w:type="dxa"/>
            <w:tcBorders>
              <w:top w:val="nil"/>
              <w:left w:val="nil"/>
              <w:bottom w:val="single" w:sz="4" w:space="0" w:color="auto"/>
              <w:right w:val="single" w:sz="4" w:space="0" w:color="auto"/>
            </w:tcBorders>
            <w:shd w:val="clear" w:color="auto" w:fill="auto"/>
            <w:vAlign w:val="bottom"/>
          </w:tcPr>
          <w:p w14:paraId="5DE1C188" w14:textId="5B5D994B" w:rsidR="007A0A81" w:rsidRPr="00C11F06" w:rsidRDefault="34B096E2" w:rsidP="34B096E2">
            <w:pPr>
              <w:spacing w:after="0"/>
              <w:jc w:val="right"/>
              <w:rPr>
                <w:b/>
                <w:bCs/>
                <w:sz w:val="20"/>
              </w:rPr>
            </w:pPr>
            <w:r w:rsidRPr="34B096E2">
              <w:rPr>
                <w:b/>
                <w:bCs/>
                <w:sz w:val="20"/>
              </w:rPr>
              <w:t>630,1</w:t>
            </w:r>
          </w:p>
        </w:tc>
        <w:tc>
          <w:tcPr>
            <w:tcW w:w="992" w:type="dxa"/>
            <w:tcBorders>
              <w:top w:val="nil"/>
              <w:left w:val="nil"/>
              <w:bottom w:val="single" w:sz="4" w:space="0" w:color="auto"/>
              <w:right w:val="single" w:sz="4" w:space="0" w:color="auto"/>
            </w:tcBorders>
            <w:shd w:val="clear" w:color="auto" w:fill="auto"/>
            <w:vAlign w:val="bottom"/>
          </w:tcPr>
          <w:p w14:paraId="38CA64D6" w14:textId="7B8A8EA3" w:rsidR="007A0A81" w:rsidRPr="00DB479B" w:rsidRDefault="34B096E2" w:rsidP="34B096E2">
            <w:pPr>
              <w:spacing w:after="0" w:line="259" w:lineRule="auto"/>
              <w:jc w:val="right"/>
              <w:rPr>
                <w:b/>
                <w:bCs/>
                <w:sz w:val="20"/>
              </w:rPr>
            </w:pPr>
            <w:r w:rsidRPr="34B096E2">
              <w:rPr>
                <w:b/>
                <w:bCs/>
                <w:sz w:val="20"/>
              </w:rPr>
              <w:t>680,5</w:t>
            </w:r>
          </w:p>
        </w:tc>
        <w:tc>
          <w:tcPr>
            <w:tcW w:w="753" w:type="dxa"/>
            <w:tcBorders>
              <w:top w:val="nil"/>
              <w:left w:val="nil"/>
              <w:bottom w:val="single" w:sz="4" w:space="0" w:color="auto"/>
              <w:right w:val="single" w:sz="4" w:space="0" w:color="auto"/>
            </w:tcBorders>
            <w:shd w:val="clear" w:color="auto" w:fill="auto"/>
            <w:noWrap/>
            <w:vAlign w:val="bottom"/>
          </w:tcPr>
          <w:p w14:paraId="478B24D5" w14:textId="58F17AB0" w:rsidR="007A0A81" w:rsidRPr="00DB479B" w:rsidRDefault="34B096E2" w:rsidP="34B096E2">
            <w:pPr>
              <w:spacing w:after="0" w:line="259" w:lineRule="auto"/>
              <w:jc w:val="right"/>
              <w:rPr>
                <w:b/>
                <w:bCs/>
                <w:sz w:val="20"/>
              </w:rPr>
            </w:pPr>
            <w:r w:rsidRPr="34B096E2">
              <w:rPr>
                <w:b/>
                <w:bCs/>
                <w:sz w:val="20"/>
              </w:rPr>
              <w:t>50,4</w:t>
            </w:r>
          </w:p>
        </w:tc>
        <w:tc>
          <w:tcPr>
            <w:tcW w:w="665" w:type="dxa"/>
            <w:tcBorders>
              <w:top w:val="nil"/>
              <w:left w:val="nil"/>
              <w:bottom w:val="single" w:sz="4" w:space="0" w:color="auto"/>
              <w:right w:val="single" w:sz="4" w:space="0" w:color="auto"/>
            </w:tcBorders>
            <w:shd w:val="clear" w:color="auto" w:fill="auto"/>
            <w:noWrap/>
            <w:vAlign w:val="bottom"/>
          </w:tcPr>
          <w:p w14:paraId="4010D6F8" w14:textId="2A740B9E" w:rsidR="007A0A81" w:rsidRPr="00DB479B" w:rsidRDefault="34B096E2" w:rsidP="34B096E2">
            <w:pPr>
              <w:spacing w:after="0" w:line="259" w:lineRule="auto"/>
              <w:jc w:val="right"/>
              <w:rPr>
                <w:b/>
                <w:bCs/>
                <w:sz w:val="20"/>
              </w:rPr>
            </w:pPr>
            <w:r w:rsidRPr="34B096E2">
              <w:rPr>
                <w:b/>
                <w:bCs/>
                <w:sz w:val="20"/>
              </w:rPr>
              <w:t>108,0</w:t>
            </w:r>
          </w:p>
        </w:tc>
      </w:tr>
      <w:tr w:rsidR="007A0A81" w:rsidRPr="00DB479B" w14:paraId="16840362" w14:textId="77777777" w:rsidTr="34B096E2">
        <w:trPr>
          <w:trHeight w:val="306"/>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4FF5091F" w14:textId="77777777" w:rsidR="007A0A81" w:rsidRPr="00DB479B" w:rsidRDefault="34B096E2" w:rsidP="34B096E2">
            <w:pPr>
              <w:spacing w:after="0"/>
              <w:ind w:firstLine="285"/>
              <w:jc w:val="left"/>
              <w:rPr>
                <w:i/>
                <w:iCs/>
                <w:sz w:val="20"/>
              </w:rPr>
            </w:pPr>
            <w:r w:rsidRPr="34B096E2">
              <w:rPr>
                <w:i/>
                <w:iCs/>
                <w:sz w:val="20"/>
              </w:rPr>
              <w:t>Ebből:</w:t>
            </w:r>
          </w:p>
        </w:tc>
        <w:tc>
          <w:tcPr>
            <w:tcW w:w="993" w:type="dxa"/>
            <w:tcBorders>
              <w:top w:val="nil"/>
              <w:left w:val="nil"/>
              <w:bottom w:val="single" w:sz="4" w:space="0" w:color="auto"/>
              <w:right w:val="single" w:sz="4" w:space="0" w:color="auto"/>
            </w:tcBorders>
            <w:shd w:val="clear" w:color="auto" w:fill="auto"/>
            <w:vAlign w:val="center"/>
          </w:tcPr>
          <w:p w14:paraId="066BD39D" w14:textId="457E76B4" w:rsidR="007A0A81" w:rsidRPr="00DB479B" w:rsidRDefault="007A0A81" w:rsidP="00CD6EB3">
            <w:pPr>
              <w:spacing w:after="0"/>
              <w:jc w:val="center"/>
              <w:rPr>
                <w:b/>
                <w:bCs/>
                <w:sz w:val="20"/>
              </w:rPr>
            </w:pPr>
          </w:p>
        </w:tc>
        <w:tc>
          <w:tcPr>
            <w:tcW w:w="992" w:type="dxa"/>
            <w:tcBorders>
              <w:top w:val="nil"/>
              <w:left w:val="nil"/>
              <w:bottom w:val="single" w:sz="4" w:space="0" w:color="auto"/>
              <w:right w:val="single" w:sz="4" w:space="0" w:color="auto"/>
            </w:tcBorders>
            <w:shd w:val="clear" w:color="auto" w:fill="auto"/>
            <w:vAlign w:val="center"/>
          </w:tcPr>
          <w:p w14:paraId="71A1F058" w14:textId="506ECB6A" w:rsidR="007A0A81" w:rsidRPr="00DB479B" w:rsidRDefault="007A0A81" w:rsidP="00CD6EB3">
            <w:pPr>
              <w:spacing w:after="0"/>
              <w:jc w:val="center"/>
              <w:rPr>
                <w:b/>
                <w:bCs/>
                <w:sz w:val="20"/>
              </w:rPr>
            </w:pPr>
          </w:p>
        </w:tc>
        <w:tc>
          <w:tcPr>
            <w:tcW w:w="753" w:type="dxa"/>
            <w:tcBorders>
              <w:top w:val="nil"/>
              <w:left w:val="nil"/>
              <w:bottom w:val="single" w:sz="4" w:space="0" w:color="auto"/>
              <w:right w:val="single" w:sz="4" w:space="0" w:color="auto"/>
            </w:tcBorders>
            <w:shd w:val="clear" w:color="auto" w:fill="auto"/>
            <w:noWrap/>
            <w:vAlign w:val="bottom"/>
          </w:tcPr>
          <w:p w14:paraId="6C8E56A7" w14:textId="7104639F" w:rsidR="007A0A81" w:rsidRPr="00DB479B" w:rsidRDefault="007A0A81" w:rsidP="00CD6EB3">
            <w:pPr>
              <w:spacing w:after="0"/>
              <w:jc w:val="right"/>
              <w:rPr>
                <w:sz w:val="20"/>
              </w:rPr>
            </w:pPr>
          </w:p>
        </w:tc>
        <w:tc>
          <w:tcPr>
            <w:tcW w:w="665" w:type="dxa"/>
            <w:tcBorders>
              <w:top w:val="nil"/>
              <w:left w:val="nil"/>
              <w:bottom w:val="single" w:sz="4" w:space="0" w:color="auto"/>
              <w:right w:val="single" w:sz="4" w:space="0" w:color="auto"/>
            </w:tcBorders>
            <w:shd w:val="clear" w:color="auto" w:fill="auto"/>
            <w:noWrap/>
            <w:vAlign w:val="bottom"/>
          </w:tcPr>
          <w:p w14:paraId="2B9F3A15" w14:textId="08599DB8" w:rsidR="007A0A81" w:rsidRPr="00DB479B" w:rsidRDefault="007A0A81" w:rsidP="00CD6EB3">
            <w:pPr>
              <w:spacing w:after="0"/>
              <w:jc w:val="right"/>
              <w:rPr>
                <w:sz w:val="20"/>
              </w:rPr>
            </w:pPr>
          </w:p>
        </w:tc>
      </w:tr>
      <w:tr w:rsidR="007A0A81" w:rsidRPr="00DB479B" w14:paraId="7D052013" w14:textId="77777777" w:rsidTr="34B096E2">
        <w:trPr>
          <w:trHeight w:val="306"/>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61829294" w14:textId="77777777" w:rsidR="007A0A81" w:rsidRPr="00DB479B" w:rsidRDefault="34B096E2" w:rsidP="34B096E2">
            <w:pPr>
              <w:spacing w:after="0"/>
              <w:ind w:firstLineChars="284" w:firstLine="568"/>
              <w:jc w:val="left"/>
              <w:rPr>
                <w:i/>
                <w:iCs/>
                <w:sz w:val="20"/>
              </w:rPr>
            </w:pPr>
            <w:r w:rsidRPr="34B096E2">
              <w:rPr>
                <w:i/>
                <w:iCs/>
                <w:sz w:val="20"/>
              </w:rPr>
              <w:t>Rokkantsági, rehabilitációs ellátások</w:t>
            </w:r>
          </w:p>
        </w:tc>
        <w:tc>
          <w:tcPr>
            <w:tcW w:w="993" w:type="dxa"/>
            <w:tcBorders>
              <w:top w:val="nil"/>
              <w:left w:val="nil"/>
              <w:bottom w:val="single" w:sz="4" w:space="0" w:color="auto"/>
              <w:right w:val="single" w:sz="4" w:space="0" w:color="auto"/>
            </w:tcBorders>
            <w:shd w:val="clear" w:color="auto" w:fill="auto"/>
            <w:noWrap/>
            <w:vAlign w:val="bottom"/>
          </w:tcPr>
          <w:p w14:paraId="693E18A5" w14:textId="72034F69" w:rsidR="007A0A81" w:rsidRPr="00DB479B" w:rsidRDefault="34B096E2" w:rsidP="34B096E2">
            <w:pPr>
              <w:spacing w:after="0"/>
              <w:jc w:val="right"/>
              <w:rPr>
                <w:sz w:val="20"/>
              </w:rPr>
            </w:pPr>
            <w:r w:rsidRPr="34B096E2">
              <w:rPr>
                <w:sz w:val="20"/>
              </w:rPr>
              <w:t>260,5</w:t>
            </w:r>
          </w:p>
        </w:tc>
        <w:tc>
          <w:tcPr>
            <w:tcW w:w="992" w:type="dxa"/>
            <w:tcBorders>
              <w:top w:val="nil"/>
              <w:left w:val="nil"/>
              <w:bottom w:val="single" w:sz="4" w:space="0" w:color="auto"/>
              <w:right w:val="single" w:sz="4" w:space="0" w:color="auto"/>
            </w:tcBorders>
            <w:shd w:val="clear" w:color="auto" w:fill="auto"/>
            <w:noWrap/>
            <w:vAlign w:val="bottom"/>
          </w:tcPr>
          <w:p w14:paraId="0E446CD4" w14:textId="3B1FC6F9" w:rsidR="007A0A81" w:rsidRPr="00DB479B" w:rsidRDefault="34B096E2" w:rsidP="34B096E2">
            <w:pPr>
              <w:spacing w:after="0" w:line="259" w:lineRule="auto"/>
              <w:jc w:val="right"/>
              <w:rPr>
                <w:sz w:val="20"/>
              </w:rPr>
            </w:pPr>
            <w:r w:rsidRPr="34B096E2">
              <w:rPr>
                <w:sz w:val="20"/>
              </w:rPr>
              <w:t>253,7</w:t>
            </w:r>
          </w:p>
        </w:tc>
        <w:tc>
          <w:tcPr>
            <w:tcW w:w="753" w:type="dxa"/>
            <w:tcBorders>
              <w:top w:val="nil"/>
              <w:left w:val="nil"/>
              <w:bottom w:val="single" w:sz="4" w:space="0" w:color="auto"/>
              <w:right w:val="single" w:sz="4" w:space="0" w:color="auto"/>
            </w:tcBorders>
            <w:shd w:val="clear" w:color="auto" w:fill="auto"/>
            <w:noWrap/>
            <w:vAlign w:val="bottom"/>
          </w:tcPr>
          <w:p w14:paraId="720FB04B" w14:textId="1D5ACC80" w:rsidR="007A0A81" w:rsidRPr="00DB479B" w:rsidRDefault="34B096E2" w:rsidP="34B096E2">
            <w:pPr>
              <w:spacing w:after="0" w:line="259" w:lineRule="auto"/>
              <w:jc w:val="right"/>
              <w:rPr>
                <w:sz w:val="20"/>
              </w:rPr>
            </w:pPr>
            <w:r w:rsidRPr="34B096E2">
              <w:rPr>
                <w:sz w:val="20"/>
              </w:rPr>
              <w:t>-6,8</w:t>
            </w:r>
          </w:p>
        </w:tc>
        <w:tc>
          <w:tcPr>
            <w:tcW w:w="665" w:type="dxa"/>
            <w:tcBorders>
              <w:top w:val="nil"/>
              <w:left w:val="nil"/>
              <w:bottom w:val="single" w:sz="4" w:space="0" w:color="auto"/>
              <w:right w:val="single" w:sz="4" w:space="0" w:color="auto"/>
            </w:tcBorders>
            <w:shd w:val="clear" w:color="auto" w:fill="auto"/>
            <w:noWrap/>
            <w:vAlign w:val="bottom"/>
          </w:tcPr>
          <w:p w14:paraId="5EEB1EB0" w14:textId="09D8B11B" w:rsidR="007A0A81" w:rsidRPr="00DB479B" w:rsidRDefault="34B096E2" w:rsidP="34B096E2">
            <w:pPr>
              <w:spacing w:after="0" w:line="259" w:lineRule="auto"/>
              <w:jc w:val="right"/>
              <w:rPr>
                <w:sz w:val="20"/>
              </w:rPr>
            </w:pPr>
            <w:r w:rsidRPr="34B096E2">
              <w:rPr>
                <w:sz w:val="20"/>
              </w:rPr>
              <w:t>97,4</w:t>
            </w:r>
          </w:p>
        </w:tc>
      </w:tr>
      <w:tr w:rsidR="007A0A81" w:rsidRPr="00DB479B" w14:paraId="1B1C820A" w14:textId="77777777" w:rsidTr="34B096E2">
        <w:trPr>
          <w:trHeight w:val="306"/>
        </w:trPr>
        <w:tc>
          <w:tcPr>
            <w:tcW w:w="3827" w:type="dxa"/>
            <w:tcBorders>
              <w:top w:val="nil"/>
              <w:left w:val="single" w:sz="4" w:space="0" w:color="auto"/>
              <w:bottom w:val="single" w:sz="4" w:space="0" w:color="auto"/>
              <w:right w:val="single" w:sz="4" w:space="0" w:color="auto"/>
            </w:tcBorders>
            <w:shd w:val="clear" w:color="auto" w:fill="auto"/>
            <w:noWrap/>
            <w:vAlign w:val="bottom"/>
            <w:hideMark/>
          </w:tcPr>
          <w:p w14:paraId="48AC6673" w14:textId="77777777" w:rsidR="007A0A81" w:rsidRPr="00DB479B" w:rsidRDefault="34B096E2" w:rsidP="34B096E2">
            <w:pPr>
              <w:spacing w:after="0"/>
              <w:ind w:firstLineChars="284" w:firstLine="568"/>
              <w:jc w:val="left"/>
              <w:rPr>
                <w:i/>
                <w:iCs/>
                <w:sz w:val="20"/>
              </w:rPr>
            </w:pPr>
            <w:r w:rsidRPr="34B096E2">
              <w:rPr>
                <w:i/>
                <w:iCs/>
                <w:sz w:val="20"/>
              </w:rPr>
              <w:t>Gyermekgondozási díj</w:t>
            </w:r>
          </w:p>
        </w:tc>
        <w:tc>
          <w:tcPr>
            <w:tcW w:w="993" w:type="dxa"/>
            <w:tcBorders>
              <w:top w:val="nil"/>
              <w:left w:val="nil"/>
              <w:bottom w:val="single" w:sz="4" w:space="0" w:color="auto"/>
              <w:right w:val="single" w:sz="4" w:space="0" w:color="auto"/>
            </w:tcBorders>
            <w:shd w:val="clear" w:color="auto" w:fill="auto"/>
            <w:noWrap/>
            <w:vAlign w:val="bottom"/>
          </w:tcPr>
          <w:p w14:paraId="18E312D6" w14:textId="10B04700" w:rsidR="007A0A81" w:rsidRPr="00DB479B" w:rsidRDefault="34B096E2" w:rsidP="34B096E2">
            <w:pPr>
              <w:spacing w:after="0"/>
              <w:jc w:val="right"/>
              <w:rPr>
                <w:sz w:val="20"/>
              </w:rPr>
            </w:pPr>
            <w:r w:rsidRPr="34B096E2">
              <w:rPr>
                <w:sz w:val="20"/>
              </w:rPr>
              <w:t>180,4</w:t>
            </w:r>
          </w:p>
        </w:tc>
        <w:tc>
          <w:tcPr>
            <w:tcW w:w="992" w:type="dxa"/>
            <w:tcBorders>
              <w:top w:val="nil"/>
              <w:left w:val="nil"/>
              <w:bottom w:val="single" w:sz="4" w:space="0" w:color="auto"/>
              <w:right w:val="single" w:sz="4" w:space="0" w:color="auto"/>
            </w:tcBorders>
            <w:shd w:val="clear" w:color="auto" w:fill="auto"/>
            <w:noWrap/>
            <w:vAlign w:val="bottom"/>
          </w:tcPr>
          <w:p w14:paraId="5A56530A" w14:textId="3C3EBAF5" w:rsidR="007A0A81" w:rsidRPr="00DB479B" w:rsidRDefault="34B096E2" w:rsidP="34B096E2">
            <w:pPr>
              <w:spacing w:after="0" w:line="259" w:lineRule="auto"/>
              <w:jc w:val="right"/>
              <w:rPr>
                <w:sz w:val="20"/>
              </w:rPr>
            </w:pPr>
            <w:r w:rsidRPr="34B096E2">
              <w:rPr>
                <w:sz w:val="20"/>
              </w:rPr>
              <w:t>208,7</w:t>
            </w:r>
          </w:p>
        </w:tc>
        <w:tc>
          <w:tcPr>
            <w:tcW w:w="753" w:type="dxa"/>
            <w:tcBorders>
              <w:top w:val="nil"/>
              <w:left w:val="nil"/>
              <w:bottom w:val="single" w:sz="4" w:space="0" w:color="auto"/>
              <w:right w:val="single" w:sz="4" w:space="0" w:color="auto"/>
            </w:tcBorders>
            <w:shd w:val="clear" w:color="auto" w:fill="auto"/>
            <w:noWrap/>
            <w:vAlign w:val="bottom"/>
          </w:tcPr>
          <w:p w14:paraId="3CBC826C" w14:textId="397016AC" w:rsidR="007A0A81" w:rsidRPr="00DB479B" w:rsidRDefault="34B096E2" w:rsidP="34B096E2">
            <w:pPr>
              <w:spacing w:after="0" w:line="259" w:lineRule="auto"/>
              <w:jc w:val="right"/>
              <w:rPr>
                <w:sz w:val="20"/>
              </w:rPr>
            </w:pPr>
            <w:r w:rsidRPr="34B096E2">
              <w:rPr>
                <w:sz w:val="20"/>
              </w:rPr>
              <w:t>28,3</w:t>
            </w:r>
          </w:p>
        </w:tc>
        <w:tc>
          <w:tcPr>
            <w:tcW w:w="665" w:type="dxa"/>
            <w:tcBorders>
              <w:top w:val="nil"/>
              <w:left w:val="nil"/>
              <w:bottom w:val="single" w:sz="4" w:space="0" w:color="auto"/>
              <w:right w:val="single" w:sz="4" w:space="0" w:color="auto"/>
            </w:tcBorders>
            <w:shd w:val="clear" w:color="auto" w:fill="auto"/>
            <w:noWrap/>
            <w:vAlign w:val="bottom"/>
          </w:tcPr>
          <w:p w14:paraId="26E43045" w14:textId="06241BDF" w:rsidR="007A0A81" w:rsidRPr="00DB479B" w:rsidRDefault="34B096E2" w:rsidP="34B096E2">
            <w:pPr>
              <w:spacing w:after="0" w:line="259" w:lineRule="auto"/>
              <w:jc w:val="right"/>
              <w:rPr>
                <w:sz w:val="20"/>
              </w:rPr>
            </w:pPr>
            <w:r w:rsidRPr="34B096E2">
              <w:rPr>
                <w:sz w:val="20"/>
              </w:rPr>
              <w:t>115,7</w:t>
            </w:r>
          </w:p>
        </w:tc>
      </w:tr>
      <w:tr w:rsidR="007A0A81" w:rsidRPr="00DB479B" w14:paraId="7780DF35" w14:textId="77777777" w:rsidTr="34B096E2">
        <w:trPr>
          <w:trHeight w:val="306"/>
        </w:trPr>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56B3D" w14:textId="77777777" w:rsidR="007A0A81" w:rsidRPr="00DB479B" w:rsidRDefault="34B096E2" w:rsidP="34B096E2">
            <w:pPr>
              <w:spacing w:after="0"/>
              <w:ind w:firstLineChars="284" w:firstLine="568"/>
              <w:jc w:val="left"/>
              <w:rPr>
                <w:i/>
                <w:iCs/>
                <w:sz w:val="20"/>
              </w:rPr>
            </w:pPr>
            <w:r w:rsidRPr="34B096E2">
              <w:rPr>
                <w:i/>
                <w:iCs/>
                <w:sz w:val="20"/>
              </w:rPr>
              <w:t>Táppénz</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5DDFC013" w14:textId="6D631D08" w:rsidR="007A0A81" w:rsidRPr="00DB479B" w:rsidRDefault="34B096E2" w:rsidP="34B096E2">
            <w:pPr>
              <w:spacing w:after="0"/>
              <w:jc w:val="right"/>
              <w:rPr>
                <w:sz w:val="20"/>
              </w:rPr>
            </w:pPr>
            <w:r w:rsidRPr="34B096E2">
              <w:rPr>
                <w:sz w:val="20"/>
              </w:rPr>
              <w:t>120,2</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BD88C97" w14:textId="4D69FB1F" w:rsidR="007A0A81" w:rsidRPr="00DB479B" w:rsidRDefault="34B096E2" w:rsidP="34B096E2">
            <w:pPr>
              <w:spacing w:after="0" w:line="259" w:lineRule="auto"/>
              <w:jc w:val="right"/>
              <w:rPr>
                <w:sz w:val="20"/>
              </w:rPr>
            </w:pPr>
            <w:r w:rsidRPr="34B096E2">
              <w:rPr>
                <w:sz w:val="20"/>
              </w:rPr>
              <w:t>138,8</w:t>
            </w:r>
          </w:p>
        </w:tc>
        <w:tc>
          <w:tcPr>
            <w:tcW w:w="753" w:type="dxa"/>
            <w:tcBorders>
              <w:top w:val="single" w:sz="4" w:space="0" w:color="auto"/>
              <w:left w:val="nil"/>
              <w:bottom w:val="single" w:sz="4" w:space="0" w:color="auto"/>
              <w:right w:val="single" w:sz="4" w:space="0" w:color="auto"/>
            </w:tcBorders>
            <w:shd w:val="clear" w:color="auto" w:fill="auto"/>
            <w:noWrap/>
            <w:vAlign w:val="bottom"/>
          </w:tcPr>
          <w:p w14:paraId="6D966813" w14:textId="573B5772" w:rsidR="007A0A81" w:rsidRPr="00DB479B" w:rsidRDefault="34B096E2" w:rsidP="34B096E2">
            <w:pPr>
              <w:spacing w:after="0" w:line="259" w:lineRule="auto"/>
              <w:jc w:val="right"/>
              <w:rPr>
                <w:sz w:val="20"/>
              </w:rPr>
            </w:pPr>
            <w:r w:rsidRPr="34B096E2">
              <w:rPr>
                <w:sz w:val="20"/>
              </w:rPr>
              <w:t>18,6</w:t>
            </w:r>
          </w:p>
        </w:tc>
        <w:tc>
          <w:tcPr>
            <w:tcW w:w="665" w:type="dxa"/>
            <w:tcBorders>
              <w:top w:val="single" w:sz="4" w:space="0" w:color="auto"/>
              <w:left w:val="nil"/>
              <w:bottom w:val="single" w:sz="4" w:space="0" w:color="auto"/>
              <w:right w:val="single" w:sz="4" w:space="0" w:color="auto"/>
            </w:tcBorders>
            <w:shd w:val="clear" w:color="auto" w:fill="auto"/>
            <w:noWrap/>
            <w:vAlign w:val="bottom"/>
          </w:tcPr>
          <w:p w14:paraId="3E239E68" w14:textId="3B32C7C4" w:rsidR="007A0A81" w:rsidRPr="00DB479B" w:rsidRDefault="34B096E2" w:rsidP="00FD4F5E">
            <w:pPr>
              <w:spacing w:after="0" w:line="259" w:lineRule="auto"/>
              <w:jc w:val="right"/>
              <w:rPr>
                <w:sz w:val="20"/>
              </w:rPr>
            </w:pPr>
            <w:r w:rsidRPr="34B096E2">
              <w:rPr>
                <w:sz w:val="20"/>
              </w:rPr>
              <w:t>115</w:t>
            </w:r>
            <w:r w:rsidR="00FD4F5E">
              <w:rPr>
                <w:sz w:val="20"/>
              </w:rPr>
              <w:t>,5</w:t>
            </w:r>
          </w:p>
        </w:tc>
      </w:tr>
    </w:tbl>
    <w:p w14:paraId="25FFF5E2" w14:textId="35E2EBD6" w:rsidR="007A0A81" w:rsidRDefault="1CC825AF" w:rsidP="1CC825AF">
      <w:r>
        <w:t xml:space="preserve"> </w:t>
      </w:r>
      <w:r w:rsidR="009F0C4E">
        <w:br w:type="page"/>
      </w:r>
    </w:p>
    <w:p w14:paraId="5D4F03CB" w14:textId="47048549" w:rsidR="003E5ED6" w:rsidRDefault="34B096E2" w:rsidP="34B096E2">
      <w:pPr>
        <w:pStyle w:val="Cmsor3"/>
        <w:numPr>
          <w:ilvl w:val="0"/>
          <w:numId w:val="8"/>
        </w:numPr>
        <w:spacing w:before="0" w:after="120"/>
        <w:jc w:val="left"/>
        <w:rPr>
          <w:sz w:val="26"/>
          <w:szCs w:val="26"/>
        </w:rPr>
      </w:pPr>
      <w:r w:rsidRPr="34B096E2">
        <w:rPr>
          <w:sz w:val="26"/>
          <w:szCs w:val="26"/>
        </w:rPr>
        <w:lastRenderedPageBreak/>
        <w:t xml:space="preserve">A költségvetési szervek és szakmai fejezeti kezelésű előirányzatok alakulása </w:t>
      </w:r>
    </w:p>
    <w:p w14:paraId="2972818C" w14:textId="77777777" w:rsidR="00953258" w:rsidRPr="00DC7300" w:rsidRDefault="00953258" w:rsidP="00953258"/>
    <w:p w14:paraId="239D2111" w14:textId="62A5AD66" w:rsidR="00B051EF" w:rsidRPr="007C039D" w:rsidRDefault="6D01B43F" w:rsidP="34B096E2">
      <w:pPr>
        <w:rPr>
          <w:rFonts w:cs="Tahoma"/>
        </w:rPr>
      </w:pPr>
      <w:r w:rsidRPr="00DC7300">
        <w:rPr>
          <w:rFonts w:cs="Tahoma"/>
        </w:rPr>
        <w:t xml:space="preserve">A </w:t>
      </w:r>
      <w:r w:rsidRPr="00DC7300">
        <w:rPr>
          <w:rFonts w:cs="Tahoma"/>
          <w:b/>
          <w:bCs/>
        </w:rPr>
        <w:t xml:space="preserve">„Költségvetési szervek bevételei” </w:t>
      </w:r>
      <w:r w:rsidRPr="00DC7300">
        <w:rPr>
          <w:rFonts w:cs="Tahoma"/>
        </w:rPr>
        <w:t xml:space="preserve">mérlegsoron 2020 első </w:t>
      </w:r>
      <w:r w:rsidR="00DC7300" w:rsidRPr="00DC7300">
        <w:rPr>
          <w:rFonts w:cs="Tahoma"/>
        </w:rPr>
        <w:t>tizenegy</w:t>
      </w:r>
      <w:r w:rsidRPr="00DC7300">
        <w:rPr>
          <w:rFonts w:cs="Tahoma"/>
        </w:rPr>
        <w:t xml:space="preserve"> hónapjában </w:t>
      </w:r>
      <w:r w:rsidR="00442F91" w:rsidRPr="00DC7300">
        <w:rPr>
          <w:rFonts w:cs="Tahoma"/>
        </w:rPr>
        <w:t>1</w:t>
      </w:r>
      <w:r w:rsidR="00DC7300" w:rsidRPr="00DC7300">
        <w:rPr>
          <w:rFonts w:cs="Tahoma"/>
        </w:rPr>
        <w:t>907,6</w:t>
      </w:r>
      <w:r w:rsidRPr="00DC7300">
        <w:rPr>
          <w:rFonts w:cs="Tahoma"/>
        </w:rPr>
        <w:t xml:space="preserve"> milliárd forint bevétel keletkezett, mely </w:t>
      </w:r>
      <w:r w:rsidR="00442F91" w:rsidRPr="00DC7300">
        <w:rPr>
          <w:rFonts w:cs="Tahoma"/>
        </w:rPr>
        <w:t>1</w:t>
      </w:r>
      <w:r w:rsidR="00DC7300" w:rsidRPr="00DC7300">
        <w:rPr>
          <w:rFonts w:cs="Tahoma"/>
        </w:rPr>
        <w:t>3,0</w:t>
      </w:r>
      <w:r w:rsidRPr="00DC7300">
        <w:rPr>
          <w:rFonts w:cs="Tahoma"/>
        </w:rPr>
        <w:t xml:space="preserve">%-kal magasabb az előző év azonos hónapjaihoz képest. Az intézmények </w:t>
      </w:r>
      <w:r w:rsidR="00442F91" w:rsidRPr="00DC7300">
        <w:rPr>
          <w:rFonts w:cs="Tahoma"/>
        </w:rPr>
        <w:t>bevételei közül a következő jelentősebb</w:t>
      </w:r>
      <w:r w:rsidRPr="00DC7300">
        <w:rPr>
          <w:rFonts w:cs="Tahoma"/>
        </w:rPr>
        <w:t xml:space="preserve"> tételek emelhetők ki: </w:t>
      </w:r>
      <w:r w:rsidR="00DC7300" w:rsidRPr="00DC7300">
        <w:rPr>
          <w:rFonts w:cs="Tahoma"/>
        </w:rPr>
        <w:t>1029,2</w:t>
      </w:r>
      <w:r w:rsidR="00802390" w:rsidRPr="00DC7300">
        <w:rPr>
          <w:rFonts w:cs="Tahoma"/>
        </w:rPr>
        <w:t> </w:t>
      </w:r>
      <w:r w:rsidRPr="00DC7300">
        <w:rPr>
          <w:rFonts w:cs="Tahoma"/>
        </w:rPr>
        <w:t xml:space="preserve">milliárd forint a Nemzeti Egészségbiztosítási Alapkezelő által az egészségügyi intézményeknek utalt támogatás, mely tartalmazza az egészségügyi dolgozók egyszeri rendkívüli juttatására, valamint az egészségügyi intézmények adósságrendezésére biztosított összegeket, és melyek szerepet játszottak a két év azonos időszakának bevételei közötti eltérésben. </w:t>
      </w:r>
      <w:proofErr w:type="gramStart"/>
      <w:r w:rsidRPr="00DC7300">
        <w:rPr>
          <w:rFonts w:cs="Tahoma"/>
        </w:rPr>
        <w:t xml:space="preserve">Ezen kívül </w:t>
      </w:r>
      <w:r w:rsidR="00901235" w:rsidRPr="00DC7300">
        <w:rPr>
          <w:rFonts w:cs="Tahoma"/>
        </w:rPr>
        <w:t>1</w:t>
      </w:r>
      <w:r w:rsidR="00DC7300" w:rsidRPr="00DC7300">
        <w:rPr>
          <w:rFonts w:cs="Tahoma"/>
        </w:rPr>
        <w:t>31,2</w:t>
      </w:r>
      <w:r w:rsidRPr="00DC7300">
        <w:rPr>
          <w:rFonts w:cs="Tahoma"/>
        </w:rPr>
        <w:t> milliárd forint a 2014</w:t>
      </w:r>
      <w:r w:rsidR="00442F91" w:rsidRPr="00DC7300">
        <w:rPr>
          <w:rFonts w:cs="Tahoma"/>
        </w:rPr>
        <w:noBreakHyphen/>
      </w:r>
      <w:r w:rsidRPr="00DC7300">
        <w:rPr>
          <w:rFonts w:cs="Tahoma"/>
        </w:rPr>
        <w:t>2020</w:t>
      </w:r>
      <w:r w:rsidR="00442F91" w:rsidRPr="00DC7300">
        <w:rPr>
          <w:rFonts w:cs="Tahoma"/>
        </w:rPr>
        <w:t> </w:t>
      </w:r>
      <w:r w:rsidRPr="00DC7300">
        <w:rPr>
          <w:rFonts w:cs="Tahoma"/>
        </w:rPr>
        <w:t xml:space="preserve">közötti kohéziós politikai operatív programok előirányzat-felhasználási számlájáról közvetlenül érkezett bevétel, több intézmény részére, különböző projektek támogatási előlegeként, </w:t>
      </w:r>
      <w:r w:rsidR="00371124" w:rsidRPr="00DC7300">
        <w:rPr>
          <w:rFonts w:cs="Tahoma"/>
        </w:rPr>
        <w:t>41,7 milliárd forint jóváírás a Honvédelmi Minisztérium Védelemgazdasági Hivatal Anyagellátó Raktárbázis Központnál „A terrorellenes intézkedések megvalósításához kapcsolódó kiadások” és a „Tömeges bevándorlás kezeléséhez kapcsolódó kiadások” törvényi sorokról, 28</w:t>
      </w:r>
      <w:r w:rsidR="009156C8" w:rsidRPr="00DC7300">
        <w:rPr>
          <w:rFonts w:cs="Tahoma"/>
        </w:rPr>
        <w:t>,</w:t>
      </w:r>
      <w:r w:rsidR="00371124" w:rsidRPr="00DC7300">
        <w:rPr>
          <w:rFonts w:cs="Tahoma"/>
        </w:rPr>
        <w:t>9</w:t>
      </w:r>
      <w:r w:rsidR="00442F91" w:rsidRPr="00DC7300">
        <w:rPr>
          <w:rFonts w:cs="Tahoma"/>
        </w:rPr>
        <w:t> milliárd forint jóváírás az Országos Rendőr-főkapitányságnál, döntő részben a „Tömeges bevándorlás kezeléséhez</w:t>
      </w:r>
      <w:proofErr w:type="gramEnd"/>
      <w:r w:rsidR="00442F91" w:rsidRPr="00DC7300">
        <w:rPr>
          <w:rFonts w:cs="Tahoma"/>
        </w:rPr>
        <w:t xml:space="preserve"> kapcsolódó kiadások” törvényi sorról,</w:t>
      </w:r>
      <w:r w:rsidRPr="00DC7300">
        <w:rPr>
          <w:rFonts w:cs="Tahoma"/>
        </w:rPr>
        <w:t xml:space="preserve"> </w:t>
      </w:r>
      <w:r w:rsidR="009156C8" w:rsidRPr="00DC7300">
        <w:rPr>
          <w:rFonts w:cs="Tahoma"/>
        </w:rPr>
        <w:t>1</w:t>
      </w:r>
      <w:r w:rsidR="00DC7300" w:rsidRPr="00DC7300">
        <w:rPr>
          <w:rFonts w:cs="Tahoma"/>
        </w:rPr>
        <w:t>4,9</w:t>
      </w:r>
      <w:r w:rsidR="009156C8" w:rsidRPr="00DC7300">
        <w:rPr>
          <w:rFonts w:cs="Tahoma"/>
        </w:rPr>
        <w:t xml:space="preserve"> milliárd forint a rendvédelmi szerveknél </w:t>
      </w:r>
      <w:proofErr w:type="gramStart"/>
      <w:r w:rsidR="009156C8" w:rsidRPr="00DC7300">
        <w:rPr>
          <w:rFonts w:cs="Tahoma"/>
        </w:rPr>
        <w:t>likvid</w:t>
      </w:r>
      <w:proofErr w:type="gramEnd"/>
      <w:r w:rsidR="009156C8" w:rsidRPr="00DC7300">
        <w:rPr>
          <w:rFonts w:cs="Tahoma"/>
        </w:rPr>
        <w:t xml:space="preserve"> pénzesz</w:t>
      </w:r>
      <w:r w:rsidR="00AA3665" w:rsidRPr="00DC7300">
        <w:rPr>
          <w:rFonts w:cs="Tahoma"/>
        </w:rPr>
        <w:t>k</w:t>
      </w:r>
      <w:r w:rsidR="009156C8" w:rsidRPr="00DC7300">
        <w:rPr>
          <w:rFonts w:cs="Tahoma"/>
        </w:rPr>
        <w:t xml:space="preserve">özök átvétele és migrációs támogatás az Országos Rendőr-főkapitányságtól, valamint </w:t>
      </w:r>
      <w:r w:rsidRPr="00DC7300">
        <w:rPr>
          <w:rFonts w:cs="Tahoma"/>
        </w:rPr>
        <w:t xml:space="preserve">10,3 milliárd forint a Megyei Szakképzési Centrumokhoz érkező </w:t>
      </w:r>
      <w:r w:rsidRPr="007C039D">
        <w:rPr>
          <w:rFonts w:cs="Tahoma"/>
        </w:rPr>
        <w:t>bevétel, a szakképzési rendszerek átalakításával, továbbá a</w:t>
      </w:r>
      <w:r w:rsidR="00A80C62" w:rsidRPr="007C039D">
        <w:rPr>
          <w:rFonts w:cs="Tahoma"/>
        </w:rPr>
        <w:t xml:space="preserve"> Szakképzési Centrumok által ellátott</w:t>
      </w:r>
      <w:r w:rsidRPr="007C039D">
        <w:rPr>
          <w:rFonts w:cs="Tahoma"/>
        </w:rPr>
        <w:t xml:space="preserve"> felnőttoktatási tevékenység finanszírozásával kapcsolatos törvényi sorokról.</w:t>
      </w:r>
    </w:p>
    <w:p w14:paraId="292F9074" w14:textId="07965CD9" w:rsidR="00F54C04" w:rsidRPr="007C039D" w:rsidRDefault="34B096E2" w:rsidP="34B096E2">
      <w:pPr>
        <w:widowControl w:val="0"/>
        <w:rPr>
          <w:rFonts w:cs="Tahoma"/>
        </w:rPr>
      </w:pPr>
      <w:r>
        <w:t>A „</w:t>
      </w:r>
      <w:r w:rsidRPr="34B096E2">
        <w:rPr>
          <w:b/>
          <w:bCs/>
        </w:rPr>
        <w:t xml:space="preserve">Szakmai fejezeti kezelésű előirányzatok saját </w:t>
      </w:r>
      <w:r w:rsidRPr="34B096E2">
        <w:rPr>
          <w:rFonts w:cs="Tahoma"/>
          <w:b/>
          <w:bCs/>
        </w:rPr>
        <w:t>bevételei”</w:t>
      </w:r>
      <w:r w:rsidRPr="34B096E2">
        <w:rPr>
          <w:rFonts w:cs="Tahoma"/>
        </w:rPr>
        <w:t xml:space="preserve"> </w:t>
      </w:r>
      <w:r>
        <w:t>mérlegsor bevételei</w:t>
      </w:r>
      <w:r w:rsidRPr="34B096E2">
        <w:rPr>
          <w:rFonts w:cs="Tahoma"/>
        </w:rPr>
        <w:t xml:space="preserve"> 2020 első tizenegy hónapjában 385,8 milliárd forintot tettek ki, mely 86,3%-kal magasabb az előző év azonos hónapjaihoz képest. A bevételek közel felét az „Alapok alapja GINOP pénzügyi eszközök” törvényi sorra befolyt bevételek teszik ki (172,4 milliárd forint), mely nem uniós bevételként jóváírt tétel, az ilyen jellegű bevétel 2019 azonos időszakában lényegesen alacsonyabb összegű volt. Ezen kívül 50,3 milliárd forintot te</w:t>
      </w:r>
      <w:r w:rsidR="00C537BB">
        <w:rPr>
          <w:rFonts w:cs="Tahoma"/>
        </w:rPr>
        <w:t>tt</w:t>
      </w:r>
      <w:r w:rsidRPr="34B096E2">
        <w:rPr>
          <w:rFonts w:cs="Tahoma"/>
        </w:rPr>
        <w:t xml:space="preserve">ek ki az uniós fejlesztések operatív programjai előirányzat felhasználási keretszámlájára – például túlfizetésből, elállásból, el nem számolt bevételekből eredően – visszautalt összegek. </w:t>
      </w:r>
    </w:p>
    <w:p w14:paraId="734FA7C6" w14:textId="3C58D27F" w:rsidR="34B096E2" w:rsidRDefault="34B096E2" w:rsidP="34B096E2">
      <w:r>
        <w:t xml:space="preserve">A nem a XLII. </w:t>
      </w:r>
      <w:proofErr w:type="gramStart"/>
      <w:r>
        <w:t>A</w:t>
      </w:r>
      <w:proofErr w:type="gramEnd"/>
      <w:r>
        <w:t xml:space="preserve"> költségvetés közvetlen bevételei és kiadásai fejezetbe érkező uniós bevételek kimutatására az </w:t>
      </w:r>
      <w:r w:rsidRPr="34B096E2">
        <w:rPr>
          <w:b/>
          <w:bCs/>
        </w:rPr>
        <w:t>„Uniós fejezeti kezelésű előirányzatok bevétele”</w:t>
      </w:r>
      <w:r>
        <w:t xml:space="preserve"> mérlegsor szolgál, melyen</w:t>
      </w:r>
      <w:r w:rsidRPr="34B096E2">
        <w:rPr>
          <w:szCs w:val="26"/>
        </w:rPr>
        <w:t xml:space="preserve"> novemberrel bezárólag 1,4</w:t>
      </w:r>
      <w:r w:rsidR="000B5B7E">
        <w:rPr>
          <w:szCs w:val="26"/>
        </w:rPr>
        <w:t> </w:t>
      </w:r>
      <w:r w:rsidRPr="34B096E2">
        <w:rPr>
          <w:szCs w:val="26"/>
        </w:rPr>
        <w:t>milliárd forint bevétel keletkezett. Ez az éves előirányzat 9,9%-ának felel meg.</w:t>
      </w:r>
    </w:p>
    <w:p w14:paraId="7341921A" w14:textId="700A1BCB" w:rsidR="00B654A9" w:rsidRDefault="34B096E2" w:rsidP="00B654A9">
      <w:r w:rsidRPr="34B096E2">
        <w:rPr>
          <w:b/>
          <w:bCs/>
        </w:rPr>
        <w:t>A 2020. november végi, közel 2295 milliárd forint összegű bevételek</w:t>
      </w:r>
      <w:r>
        <w:t xml:space="preserve"> megoszlását a következő grafikon szemlélteti:</w:t>
      </w:r>
    </w:p>
    <w:p w14:paraId="2891DD88" w14:textId="1299BAC6" w:rsidR="009F5FDA" w:rsidRDefault="00FC0F51" w:rsidP="00B654A9">
      <w:r>
        <w:rPr>
          <w:noProof/>
        </w:rPr>
        <w:lastRenderedPageBreak/>
        <w:drawing>
          <wp:inline distT="0" distB="0" distL="0" distR="0" wp14:anchorId="2E9EF8F9" wp14:editId="11B4D71D">
            <wp:extent cx="5940425" cy="3018155"/>
            <wp:effectExtent l="0" t="0" r="3175"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ervek_fejkezek_bevételei.png"/>
                    <pic:cNvPicPr/>
                  </pic:nvPicPr>
                  <pic:blipFill>
                    <a:blip r:embed="rId23">
                      <a:extLst>
                        <a:ext uri="{28A0092B-C50C-407E-A947-70E740481C1C}">
                          <a14:useLocalDpi xmlns:a14="http://schemas.microsoft.com/office/drawing/2010/main" val="0"/>
                        </a:ext>
                      </a:extLst>
                    </a:blip>
                    <a:stretch>
                      <a:fillRect/>
                    </a:stretch>
                  </pic:blipFill>
                  <pic:spPr>
                    <a:xfrm>
                      <a:off x="0" y="0"/>
                      <a:ext cx="5940425" cy="3018155"/>
                    </a:xfrm>
                    <a:prstGeom prst="rect">
                      <a:avLst/>
                    </a:prstGeom>
                  </pic:spPr>
                </pic:pic>
              </a:graphicData>
            </a:graphic>
          </wp:inline>
        </w:drawing>
      </w:r>
    </w:p>
    <w:p w14:paraId="041FD7C9" w14:textId="77777777" w:rsidR="00FB35F4" w:rsidRDefault="00FB35F4" w:rsidP="00B654A9"/>
    <w:p w14:paraId="701835A5" w14:textId="772073A4" w:rsidR="00140A48" w:rsidRPr="00E85044" w:rsidRDefault="34B096E2" w:rsidP="34B096E2">
      <w:pPr>
        <w:widowControl w:val="0"/>
        <w:rPr>
          <w:rFonts w:cs="Tahoma"/>
        </w:rPr>
      </w:pPr>
      <w:r w:rsidRPr="34B096E2">
        <w:rPr>
          <w:b/>
          <w:bCs/>
        </w:rPr>
        <w:t xml:space="preserve">A „Költségvetési szervek kiadásai” </w:t>
      </w:r>
      <w:r w:rsidRPr="34B096E2">
        <w:rPr>
          <w:rFonts w:cs="Tahoma"/>
        </w:rPr>
        <w:t xml:space="preserve">mérlegsoron 2020 első tizenegy hónapjában 6250,6 milliárd forint kiadás keletkezett, mely 15,6%-kal magasabb az előző év azonos hónapjaihoz képest. Az intézmények teljesítéséből 3215,3 milliárd forintot tett ki a személyi juttatásokra és munkaadókat terhelő járulékokra kifizetett összeg, mely 215,3 milliárd forinttal több, mint az előző év azonos időszakának kiadása. Ez tartalmazza az egészségügyi dolgozók részére az egyszeri, 500 ezer forint/fő rendkívüli juttatás kifizetését. </w:t>
      </w:r>
      <w:proofErr w:type="gramStart"/>
      <w:r w:rsidRPr="34B096E2">
        <w:rPr>
          <w:rFonts w:cs="Tahoma"/>
        </w:rPr>
        <w:t xml:space="preserve">Ezenkívül az alábbi nagyobb összegű kifizetések történtek: 506,2 milliárd forint a „Külképviseletek igazgatásánál”, melyből a koronavírus-járványhoz kapcsolódó egészségügyi eszközbeszerzések 469,1 milliárd forintot tettek ki, 217,3 milliárd forint a Honvédelmi Minisztérium Védelemgazdasági Hivatal Anyagellátó Raktárbázis Központnál, főként harckocsik beszerzésére és helikopter-beszerzésre, 141,9 milliárd forint az Állami Egészségügyi Ellátó Központ kiadása, ebből 109,0 milliárd forint a koronavírus-járványhoz kapcsolódó egészségügyi eszközbeszerzésekre kifizetett összeg, 67,7 milliárd forint </w:t>
      </w:r>
      <w:proofErr w:type="gramEnd"/>
      <w:r w:rsidRPr="34B096E2">
        <w:rPr>
          <w:rFonts w:cs="Tahoma"/>
        </w:rPr>
        <w:t xml:space="preserve">a Honvédelmi Minisztérium Védelemgazdasági Hivatala központi költségvetéséből, döntő részben a Gripen repülőgépek bérleti díjára, illetve szolgáltatások kifizetésére, 31,2 milliárd forint a Büntetés-végrehajtás Országos Parancsnokságánál, főként a büntetés-végrehajtási intézetekben férőhelybővítésre, illetve konténerbörtönök kialakítására, valamint 28,8 milliárd forint a Nemzeti Adó- és Vámhivatal befizetése a Központi </w:t>
      </w:r>
      <w:proofErr w:type="spellStart"/>
      <w:r w:rsidRPr="34B096E2">
        <w:rPr>
          <w:rFonts w:cs="Tahoma"/>
        </w:rPr>
        <w:t>Maradványelszámolási</w:t>
      </w:r>
      <w:proofErr w:type="spellEnd"/>
      <w:r w:rsidRPr="34B096E2">
        <w:rPr>
          <w:rFonts w:cs="Tahoma"/>
        </w:rPr>
        <w:t xml:space="preserve"> Alapba. A két év azonos hónapjainak kiadásai közötti eltérést okozó számos tényező közül kiemelhetők elsősorban a személyi juttatásokra és munkaadókat terhelő járulékokra fordított összeg, a „Külképviseletek igazgatásánál”, valamint az Állami Egészségügyi Ellátó Központnál a koronavírus-járványhoz kapcsolódó egészségügyi eszközök beszerzése érdekében kifizetett összegek.</w:t>
      </w:r>
    </w:p>
    <w:p w14:paraId="407E8381" w14:textId="7609322F" w:rsidR="00E85044" w:rsidRPr="00E85044" w:rsidRDefault="34B096E2" w:rsidP="34B096E2">
      <w:pPr>
        <w:rPr>
          <w:rFonts w:cs="Tahoma"/>
        </w:rPr>
      </w:pPr>
      <w:r w:rsidRPr="34B096E2">
        <w:rPr>
          <w:b/>
          <w:bCs/>
        </w:rPr>
        <w:t xml:space="preserve">Az „Egyéb szakmai fejezeti kezelésű előirányzatok kiadásai” </w:t>
      </w:r>
      <w:r>
        <w:t>mérlegsor kiadásai</w:t>
      </w:r>
      <w:r w:rsidRPr="34B096E2">
        <w:rPr>
          <w:rFonts w:cs="Tahoma"/>
        </w:rPr>
        <w:t xml:space="preserve"> 2020 első t</w:t>
      </w:r>
      <w:r w:rsidR="00995C95">
        <w:rPr>
          <w:rFonts w:cs="Tahoma"/>
        </w:rPr>
        <w:t>izenegy</w:t>
      </w:r>
      <w:r w:rsidRPr="34B096E2">
        <w:rPr>
          <w:rFonts w:cs="Tahoma"/>
        </w:rPr>
        <w:t xml:space="preserve"> hónapjában 3392,4 milliárd forintot tettek ki, mely 22,2%-kal magasabban teljesült az előző év azonos hónapjaihoz képest. </w:t>
      </w:r>
      <w:proofErr w:type="gramStart"/>
      <w:r w:rsidRPr="34B096E2">
        <w:rPr>
          <w:rFonts w:cs="Tahoma"/>
        </w:rPr>
        <w:t xml:space="preserve">Ezen időszak teljesítéséből az alábbi tételek emelhetők ki: 388,6 milliárd forint normatív finanszírozásra (köznevelési célú humánszolgáltatás és működési támogatás, hit- és erkölcstanoktatás és </w:t>
      </w:r>
      <w:r w:rsidRPr="34B096E2">
        <w:rPr>
          <w:rFonts w:cs="Tahoma"/>
        </w:rPr>
        <w:lastRenderedPageBreak/>
        <w:t>tankönyvtámogatás, köznevelési szerződések, szociális célú humánszolgáltatások, nem állami felsőoktatási intézmények támogatása), 202,0 milliárd forint kifizetése a Turisztikai fejlesztési célelőirányzatból, 200,2 milliárd forint a kiemelt közúti projektekre, 179,6 milliárd forint „A koronavírus-járvány következtében szükségessé vált versenyképesség-növelő támogatás” sorról történő kifizetés, 117,8 milliárd</w:t>
      </w:r>
      <w:proofErr w:type="gramEnd"/>
      <w:r w:rsidRPr="34B096E2">
        <w:rPr>
          <w:rFonts w:cs="Tahoma"/>
        </w:rPr>
        <w:t xml:space="preserve"> </w:t>
      </w:r>
      <w:proofErr w:type="gramStart"/>
      <w:r w:rsidRPr="34B096E2">
        <w:rPr>
          <w:rFonts w:cs="Tahoma"/>
        </w:rPr>
        <w:t xml:space="preserve">forint az autópálya rendelkezésre állási díj, 92,9 milliárd forint a nemzeti agrártámogatásokra, 84,7 milliárd forint a közúthálózat fenntartására és működtetésére, 82,0 milliárd forint a Falusi Útalap programjaira, 78,6 milliárd forint a Budapest-Belgrád vasútvonal magyarországi szakaszának felújítására, 61,8 milliárd forint a Magyar Falu Program alprogramjainak támogatására, 58,3 milliárd forint kifizetése a Beruházás ösztönzési célelőirányzatból, 44,0 milliárd forint </w:t>
      </w:r>
      <w:r w:rsidR="00FD492E">
        <w:rPr>
          <w:rFonts w:cs="Tahoma"/>
        </w:rPr>
        <w:t xml:space="preserve">folyósítása </w:t>
      </w:r>
      <w:r w:rsidRPr="34B096E2">
        <w:rPr>
          <w:rFonts w:cs="Tahoma"/>
        </w:rPr>
        <w:t>a Neumann János Egyetemért Alapítvány</w:t>
      </w:r>
      <w:r w:rsidR="00FD492E">
        <w:rPr>
          <w:rFonts w:cs="Tahoma"/>
        </w:rPr>
        <w:t>nak a „Vagyonkezelő alapítvány</w:t>
      </w:r>
      <w:r w:rsidRPr="34B096E2">
        <w:rPr>
          <w:rFonts w:cs="Tahoma"/>
        </w:rPr>
        <w:t xml:space="preserve"> által fenntartott intézmény feladatainak támogatás</w:t>
      </w:r>
      <w:r w:rsidR="00FD492E">
        <w:rPr>
          <w:rFonts w:cs="Tahoma"/>
        </w:rPr>
        <w:t>a”</w:t>
      </w:r>
      <w:proofErr w:type="gramEnd"/>
      <w:r w:rsidR="00FD492E">
        <w:rPr>
          <w:rFonts w:cs="Tahoma"/>
        </w:rPr>
        <w:t xml:space="preserve"> </w:t>
      </w:r>
      <w:proofErr w:type="gramStart"/>
      <w:r w:rsidR="00FD492E">
        <w:rPr>
          <w:rFonts w:cs="Tahoma"/>
        </w:rPr>
        <w:t>sorról</w:t>
      </w:r>
      <w:r w:rsidRPr="34B096E2">
        <w:rPr>
          <w:rFonts w:cs="Tahoma"/>
        </w:rPr>
        <w:t xml:space="preserve">, 44,0 milliárd forint maradvány befizetése az „Állami többletfeladatok” törvényi sorról a Központi </w:t>
      </w:r>
      <w:proofErr w:type="spellStart"/>
      <w:r w:rsidRPr="34B096E2">
        <w:rPr>
          <w:rFonts w:cs="Tahoma"/>
        </w:rPr>
        <w:t>Maradványelszámolási</w:t>
      </w:r>
      <w:proofErr w:type="spellEnd"/>
      <w:r w:rsidRPr="34B096E2">
        <w:rPr>
          <w:rFonts w:cs="Tahoma"/>
        </w:rPr>
        <w:t xml:space="preserve"> Alapba, 43,1 milliárd forint a tömeges bevándorlás kezeléséhez kapcsolódó kiadásokra, 37,4 milliárd forint a közúthálózat felújítására, 36,6 milliárd forint a megváltozott munkaképességű munkavállalók foglalkoztatásának támogatására, 36,1 milliárd forint a nagycsaládosok személygépkocsi-szerzési támogatására, valamint 35,9 milliárd forint a Modern Városok Program keretében megvalósuló fejlesztésekre.</w:t>
      </w:r>
      <w:proofErr w:type="gramEnd"/>
      <w:r w:rsidRPr="34B096E2">
        <w:rPr>
          <w:rFonts w:cs="Tahoma"/>
        </w:rPr>
        <w:t xml:space="preserve"> A két év azonos hónapjának kiadásai közötti eltérést okozó számos tényező közül kiemelhetők többek között a Turisztikai fejlesztési célelőirányzat kiadásaira, a koronavírus-járvány következtében szükségessé vált versenyképesség-növelő támogatásra, a Falusi Útalap programjaira, a Budapest-Belgrád vasútvonal magyarországi szakaszának felújítására, valamint a nagycsaládosok személygépkocsi-szerzési támogatására kifizetett összegek.</w:t>
      </w:r>
    </w:p>
    <w:p w14:paraId="110938DD" w14:textId="6BF714F9" w:rsidR="34B096E2" w:rsidRDefault="34B096E2" w:rsidP="34B096E2">
      <w:r>
        <w:t>Az „</w:t>
      </w:r>
      <w:r w:rsidRPr="34B096E2">
        <w:rPr>
          <w:b/>
          <w:bCs/>
        </w:rPr>
        <w:t>Uniós programok kiadásai”</w:t>
      </w:r>
      <w:r w:rsidRPr="34B096E2">
        <w:rPr>
          <w:i/>
          <w:iCs/>
        </w:rPr>
        <w:t xml:space="preserve"> </w:t>
      </w:r>
      <w:r>
        <w:t>mérlegsoron 2020 első</w:t>
      </w:r>
      <w:r w:rsidRPr="34B096E2">
        <w:rPr>
          <w:szCs w:val="26"/>
        </w:rPr>
        <w:t xml:space="preserve"> tizenegy hónapjában 1804,5</w:t>
      </w:r>
      <w:r w:rsidR="00F74B84">
        <w:rPr>
          <w:szCs w:val="26"/>
        </w:rPr>
        <w:t> </w:t>
      </w:r>
      <w:r w:rsidRPr="34B096E2">
        <w:rPr>
          <w:szCs w:val="26"/>
        </w:rPr>
        <w:t>milliárd forint összegű kifizetés történt, amely az éves előirányzat 107,3%-os teljesítését jelenti. A felmerült kiadások túlnyomó részét a 2014-2020-as programozási időszak kohéziós operatív programjai adták, összesen 1420,4</w:t>
      </w:r>
      <w:r w:rsidR="00EC24FA">
        <w:rPr>
          <w:szCs w:val="26"/>
        </w:rPr>
        <w:t> </w:t>
      </w:r>
      <w:r w:rsidRPr="34B096E2">
        <w:rPr>
          <w:szCs w:val="26"/>
        </w:rPr>
        <w:t xml:space="preserve">milliárd </w:t>
      </w:r>
      <w:proofErr w:type="gramStart"/>
      <w:r w:rsidRPr="34B096E2">
        <w:rPr>
          <w:szCs w:val="26"/>
        </w:rPr>
        <w:t>forint értékben</w:t>
      </w:r>
      <w:proofErr w:type="gramEnd"/>
      <w:r w:rsidRPr="34B096E2">
        <w:rPr>
          <w:szCs w:val="26"/>
        </w:rPr>
        <w:t xml:space="preserve">. </w:t>
      </w:r>
      <w:r w:rsidR="000541ED">
        <w:rPr>
          <w:szCs w:val="26"/>
        </w:rPr>
        <w:t>Ebből n</w:t>
      </w:r>
      <w:r w:rsidRPr="34B096E2">
        <w:rPr>
          <w:szCs w:val="26"/>
        </w:rPr>
        <w:t>ovember végéig a legjobban teljesítő operatív programok: a Gazdaságfejlesztés és Innovációs Operatív Program 541,2</w:t>
      </w:r>
      <w:r w:rsidR="00733BB0">
        <w:rPr>
          <w:szCs w:val="26"/>
        </w:rPr>
        <w:t> </w:t>
      </w:r>
      <w:r w:rsidRPr="34B096E2">
        <w:rPr>
          <w:szCs w:val="26"/>
        </w:rPr>
        <w:t>milliárd forint, az Integrált Közlekedésfejlesztési Operatív Program 279,3</w:t>
      </w:r>
      <w:r w:rsidR="00733BB0">
        <w:rPr>
          <w:szCs w:val="26"/>
        </w:rPr>
        <w:t> </w:t>
      </w:r>
      <w:r w:rsidRPr="34B096E2">
        <w:rPr>
          <w:szCs w:val="26"/>
        </w:rPr>
        <w:t>milliárd forint, valamint a Terület- és Településfejlesztési Operatív Program 184,1</w:t>
      </w:r>
      <w:r w:rsidR="00E75E7B">
        <w:rPr>
          <w:szCs w:val="26"/>
        </w:rPr>
        <w:t> </w:t>
      </w:r>
      <w:r w:rsidRPr="34B096E2">
        <w:rPr>
          <w:szCs w:val="26"/>
        </w:rPr>
        <w:t>milliárd forint kifizetéssel.</w:t>
      </w:r>
    </w:p>
    <w:p w14:paraId="32840DF9" w14:textId="53A3FB54" w:rsidR="009806EA" w:rsidRDefault="34B096E2" w:rsidP="0012048C">
      <w:r>
        <w:t xml:space="preserve">A </w:t>
      </w:r>
      <w:r w:rsidRPr="34B096E2">
        <w:rPr>
          <w:b/>
          <w:bCs/>
        </w:rPr>
        <w:t>2020. november végi, közel 11 448 milliárd forint összegű kiadások</w:t>
      </w:r>
      <w:r>
        <w:t xml:space="preserve"> megoszlását a következő grafikon szemlélteti:</w:t>
      </w:r>
    </w:p>
    <w:p w14:paraId="56ED794F" w14:textId="76A0B533" w:rsidR="00111564" w:rsidRDefault="00111564" w:rsidP="0012048C">
      <w:r>
        <w:rPr>
          <w:noProof/>
        </w:rPr>
        <w:lastRenderedPageBreak/>
        <w:drawing>
          <wp:inline distT="0" distB="0" distL="0" distR="0" wp14:anchorId="0E5457F2" wp14:editId="39DB14D6">
            <wp:extent cx="5940425" cy="3129280"/>
            <wp:effectExtent l="0" t="0" r="3175" b="0"/>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ervek_fejkezek_kiadásai.png"/>
                    <pic:cNvPicPr/>
                  </pic:nvPicPr>
                  <pic:blipFill>
                    <a:blip r:embed="rId24">
                      <a:extLst>
                        <a:ext uri="{28A0092B-C50C-407E-A947-70E740481C1C}">
                          <a14:useLocalDpi xmlns:a14="http://schemas.microsoft.com/office/drawing/2010/main" val="0"/>
                        </a:ext>
                      </a:extLst>
                    </a:blip>
                    <a:stretch>
                      <a:fillRect/>
                    </a:stretch>
                  </pic:blipFill>
                  <pic:spPr>
                    <a:xfrm>
                      <a:off x="0" y="0"/>
                      <a:ext cx="5940425" cy="3129280"/>
                    </a:xfrm>
                    <a:prstGeom prst="rect">
                      <a:avLst/>
                    </a:prstGeom>
                  </pic:spPr>
                </pic:pic>
              </a:graphicData>
            </a:graphic>
          </wp:inline>
        </w:drawing>
      </w:r>
    </w:p>
    <w:p w14:paraId="2F210C1F" w14:textId="1EA62129" w:rsidR="008C071F" w:rsidRDefault="008C071F" w:rsidP="0012048C">
      <w:r>
        <w:br w:type="page"/>
      </w:r>
    </w:p>
    <w:p w14:paraId="5D4F03D8" w14:textId="77777777" w:rsidR="00A83A7D" w:rsidRDefault="34B096E2" w:rsidP="34B096E2">
      <w:pPr>
        <w:pStyle w:val="Cmsor3"/>
        <w:numPr>
          <w:ilvl w:val="0"/>
          <w:numId w:val="8"/>
        </w:numPr>
        <w:spacing w:before="0" w:after="120"/>
        <w:jc w:val="left"/>
        <w:rPr>
          <w:sz w:val="26"/>
          <w:szCs w:val="26"/>
        </w:rPr>
      </w:pPr>
      <w:r w:rsidRPr="34B096E2">
        <w:rPr>
          <w:sz w:val="26"/>
          <w:szCs w:val="26"/>
        </w:rPr>
        <w:lastRenderedPageBreak/>
        <w:t>Kamategyenleg</w:t>
      </w:r>
    </w:p>
    <w:p w14:paraId="0E8ADD6E" w14:textId="10712461" w:rsidR="00B24013" w:rsidRPr="00B24013" w:rsidRDefault="34B096E2" w:rsidP="006E7EDB">
      <w:pPr>
        <w:tabs>
          <w:tab w:val="left" w:pos="550"/>
        </w:tabs>
        <w:spacing w:before="120"/>
      </w:pPr>
      <w:r>
        <w:t xml:space="preserve">A bevételek és kiadások egyenlegeként adódó </w:t>
      </w:r>
      <w:r w:rsidR="00DF1CE2">
        <w:t>955,1</w:t>
      </w:r>
      <w:r>
        <w:t xml:space="preserve"> milliárd forint összegű </w:t>
      </w:r>
      <w:r w:rsidRPr="34B096E2">
        <w:rPr>
          <w:b/>
          <w:bCs/>
        </w:rPr>
        <w:t>nettó kamatkiadás</w:t>
      </w:r>
      <w:r>
        <w:t xml:space="preserve"> </w:t>
      </w:r>
      <w:r w:rsidR="00DF1CE2">
        <w:t>179,1</w:t>
      </w:r>
      <w:r>
        <w:t> milliárd forinttal lett több az előző év azonos időszakához képest, mely a kamatfizetések éven belüli eltérő lefutásával</w:t>
      </w:r>
      <w:r w:rsidRPr="00DF1CE2">
        <w:rPr>
          <w:rFonts w:ascii="Garamond" w:hAnsi="Garamond"/>
          <w:sz w:val="24"/>
        </w:rPr>
        <w:t xml:space="preserve"> </w:t>
      </w:r>
      <w:r w:rsidR="00DF1CE2" w:rsidRPr="00DF1CE2">
        <w:t xml:space="preserve">és a nem tervezett nemzetközi </w:t>
      </w:r>
      <w:proofErr w:type="spellStart"/>
      <w:r w:rsidR="00DF1CE2">
        <w:t>devizakibocsátással</w:t>
      </w:r>
      <w:proofErr w:type="spellEnd"/>
      <w:r>
        <w:t xml:space="preserve"> magyarázható.</w:t>
      </w:r>
    </w:p>
    <w:p w14:paraId="53E1E684" w14:textId="4CD2DD68" w:rsidR="004C30D8" w:rsidRPr="004C30D8" w:rsidRDefault="34B096E2" w:rsidP="34B096E2">
      <w:pPr>
        <w:tabs>
          <w:tab w:val="left" w:pos="550"/>
        </w:tabs>
        <w:spacing w:before="120"/>
        <w:jc w:val="center"/>
        <w:rPr>
          <w:b/>
          <w:bCs/>
          <w:sz w:val="20"/>
        </w:rPr>
      </w:pPr>
      <w:r w:rsidRPr="34B096E2">
        <w:rPr>
          <w:b/>
          <w:bCs/>
          <w:sz w:val="20"/>
        </w:rPr>
        <w:t>A kamategyenleg összetétele (milliárd forintban)</w:t>
      </w:r>
    </w:p>
    <w:tbl>
      <w:tblPr>
        <w:tblW w:w="6971" w:type="dxa"/>
        <w:jc w:val="center"/>
        <w:tblCellMar>
          <w:left w:w="70" w:type="dxa"/>
          <w:right w:w="70" w:type="dxa"/>
        </w:tblCellMar>
        <w:tblLook w:val="04A0" w:firstRow="1" w:lastRow="0" w:firstColumn="1" w:lastColumn="0" w:noHBand="0" w:noVBand="1"/>
      </w:tblPr>
      <w:tblGrid>
        <w:gridCol w:w="195"/>
        <w:gridCol w:w="340"/>
        <w:gridCol w:w="4192"/>
        <w:gridCol w:w="1134"/>
        <w:gridCol w:w="1110"/>
      </w:tblGrid>
      <w:tr w:rsidR="004C30D8" w:rsidRPr="004C30D8" w14:paraId="2B7CD0E6" w14:textId="77777777" w:rsidTr="34B096E2">
        <w:trPr>
          <w:trHeight w:val="285"/>
          <w:jc w:val="center"/>
        </w:trPr>
        <w:tc>
          <w:tcPr>
            <w:tcW w:w="4727" w:type="dxa"/>
            <w:gridSpan w:val="3"/>
            <w:vMerge w:val="restart"/>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center"/>
            <w:hideMark/>
          </w:tcPr>
          <w:p w14:paraId="03CB3B67" w14:textId="77777777" w:rsidR="004C30D8" w:rsidRPr="004C30D8" w:rsidRDefault="34B096E2" w:rsidP="34B096E2">
            <w:pPr>
              <w:spacing w:after="0"/>
              <w:jc w:val="center"/>
              <w:rPr>
                <w:b/>
                <w:bCs/>
                <w:sz w:val="22"/>
                <w:szCs w:val="22"/>
              </w:rPr>
            </w:pPr>
            <w:r w:rsidRPr="34B096E2">
              <w:rPr>
                <w:b/>
                <w:bCs/>
                <w:sz w:val="22"/>
                <w:szCs w:val="22"/>
              </w:rPr>
              <w:t> </w:t>
            </w:r>
          </w:p>
        </w:tc>
        <w:tc>
          <w:tcPr>
            <w:tcW w:w="2244" w:type="dxa"/>
            <w:gridSpan w:val="2"/>
            <w:tcBorders>
              <w:top w:val="single" w:sz="4" w:space="0" w:color="auto"/>
              <w:left w:val="nil"/>
              <w:bottom w:val="nil"/>
              <w:right w:val="single" w:sz="4" w:space="0" w:color="000000" w:themeColor="text1"/>
            </w:tcBorders>
            <w:shd w:val="clear" w:color="auto" w:fill="auto"/>
            <w:noWrap/>
            <w:vAlign w:val="bottom"/>
            <w:hideMark/>
          </w:tcPr>
          <w:p w14:paraId="26B2914C" w14:textId="736B681A" w:rsidR="004C30D8" w:rsidRPr="004C30D8" w:rsidRDefault="34B096E2" w:rsidP="34B096E2">
            <w:pPr>
              <w:spacing w:after="0"/>
              <w:jc w:val="center"/>
              <w:rPr>
                <w:b/>
                <w:bCs/>
                <w:sz w:val="22"/>
                <w:szCs w:val="22"/>
              </w:rPr>
            </w:pPr>
            <w:r w:rsidRPr="34B096E2">
              <w:rPr>
                <w:b/>
                <w:bCs/>
                <w:sz w:val="22"/>
                <w:szCs w:val="22"/>
              </w:rPr>
              <w:t>I-X</w:t>
            </w:r>
            <w:r w:rsidR="007754F0">
              <w:rPr>
                <w:b/>
                <w:bCs/>
                <w:sz w:val="22"/>
                <w:szCs w:val="22"/>
              </w:rPr>
              <w:t>I</w:t>
            </w:r>
            <w:r w:rsidRPr="34B096E2">
              <w:rPr>
                <w:b/>
                <w:bCs/>
                <w:sz w:val="22"/>
                <w:szCs w:val="22"/>
              </w:rPr>
              <w:t>. hó</w:t>
            </w:r>
          </w:p>
        </w:tc>
      </w:tr>
      <w:tr w:rsidR="004C30D8" w:rsidRPr="004C30D8" w14:paraId="5F451AD5" w14:textId="77777777" w:rsidTr="34B096E2">
        <w:trPr>
          <w:trHeight w:val="285"/>
          <w:jc w:val="center"/>
        </w:trPr>
        <w:tc>
          <w:tcPr>
            <w:tcW w:w="4727" w:type="dxa"/>
            <w:gridSpan w:val="3"/>
            <w:vMerge/>
            <w:tcBorders>
              <w:top w:val="single" w:sz="4" w:space="0" w:color="auto"/>
              <w:left w:val="single" w:sz="4" w:space="0" w:color="auto"/>
              <w:bottom w:val="single" w:sz="4" w:space="0" w:color="000000"/>
              <w:right w:val="single" w:sz="4" w:space="0" w:color="auto"/>
            </w:tcBorders>
            <w:vAlign w:val="center"/>
            <w:hideMark/>
          </w:tcPr>
          <w:p w14:paraId="6E66DB8C" w14:textId="77777777" w:rsidR="004C30D8" w:rsidRPr="004C30D8" w:rsidRDefault="004C30D8" w:rsidP="004C30D8">
            <w:pPr>
              <w:spacing w:after="0"/>
              <w:jc w:val="left"/>
              <w:rPr>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17B73" w14:textId="01D8A1F6" w:rsidR="004C30D8" w:rsidRPr="004C30D8" w:rsidRDefault="34B096E2" w:rsidP="34B096E2">
            <w:pPr>
              <w:spacing w:after="0"/>
              <w:jc w:val="center"/>
              <w:rPr>
                <w:b/>
                <w:bCs/>
                <w:sz w:val="22"/>
                <w:szCs w:val="22"/>
              </w:rPr>
            </w:pPr>
            <w:r w:rsidRPr="34B096E2">
              <w:rPr>
                <w:b/>
                <w:bCs/>
                <w:sz w:val="22"/>
                <w:szCs w:val="22"/>
              </w:rPr>
              <w:t>2019</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14:paraId="02E9D2B5" w14:textId="6FBD0D39" w:rsidR="004C30D8" w:rsidRPr="004C30D8" w:rsidRDefault="34B096E2" w:rsidP="34B096E2">
            <w:pPr>
              <w:spacing w:after="0"/>
              <w:jc w:val="center"/>
              <w:rPr>
                <w:b/>
                <w:bCs/>
                <w:sz w:val="22"/>
                <w:szCs w:val="22"/>
              </w:rPr>
            </w:pPr>
            <w:r w:rsidRPr="34B096E2">
              <w:rPr>
                <w:b/>
                <w:bCs/>
                <w:sz w:val="22"/>
                <w:szCs w:val="22"/>
              </w:rPr>
              <w:t>2020</w:t>
            </w:r>
          </w:p>
        </w:tc>
      </w:tr>
      <w:tr w:rsidR="00E917FC" w:rsidRPr="004C30D8" w14:paraId="6DB9F97D" w14:textId="77777777" w:rsidTr="34B096E2">
        <w:trPr>
          <w:trHeight w:val="285"/>
          <w:jc w:val="center"/>
        </w:trPr>
        <w:tc>
          <w:tcPr>
            <w:tcW w:w="472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7923363E" w14:textId="77777777" w:rsidR="00E917FC" w:rsidRPr="004C30D8" w:rsidRDefault="34B096E2" w:rsidP="34B096E2">
            <w:pPr>
              <w:spacing w:after="0"/>
              <w:jc w:val="left"/>
              <w:rPr>
                <w:b/>
                <w:bCs/>
                <w:sz w:val="22"/>
                <w:szCs w:val="22"/>
              </w:rPr>
            </w:pPr>
            <w:r w:rsidRPr="34B096E2">
              <w:rPr>
                <w:b/>
                <w:bCs/>
                <w:sz w:val="22"/>
                <w:szCs w:val="22"/>
              </w:rPr>
              <w:t>1. Bevétel</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6E4E9B3" w14:textId="2D99FFCC" w:rsidR="00E917FC" w:rsidRPr="004C30D8" w:rsidRDefault="007754F0" w:rsidP="34B096E2">
            <w:pPr>
              <w:spacing w:after="0"/>
              <w:jc w:val="right"/>
              <w:rPr>
                <w:b/>
                <w:bCs/>
                <w:sz w:val="22"/>
                <w:szCs w:val="22"/>
              </w:rPr>
            </w:pPr>
            <w:r>
              <w:rPr>
                <w:b/>
                <w:bCs/>
                <w:sz w:val="22"/>
                <w:szCs w:val="22"/>
              </w:rPr>
              <w:t>245</w:t>
            </w:r>
            <w:r w:rsidR="34B096E2" w:rsidRPr="34B096E2">
              <w:rPr>
                <w:b/>
                <w:bCs/>
                <w:sz w:val="22"/>
                <w:szCs w:val="22"/>
              </w:rPr>
              <w:t>,2</w:t>
            </w:r>
          </w:p>
        </w:tc>
        <w:tc>
          <w:tcPr>
            <w:tcW w:w="1110" w:type="dxa"/>
            <w:tcBorders>
              <w:top w:val="nil"/>
              <w:left w:val="nil"/>
              <w:bottom w:val="single" w:sz="4" w:space="0" w:color="auto"/>
              <w:right w:val="single" w:sz="4" w:space="0" w:color="auto"/>
            </w:tcBorders>
            <w:shd w:val="clear" w:color="auto" w:fill="auto"/>
            <w:noWrap/>
            <w:vAlign w:val="bottom"/>
          </w:tcPr>
          <w:p w14:paraId="26E65790" w14:textId="271A4A99" w:rsidR="00E917FC" w:rsidRPr="004C30D8" w:rsidRDefault="007754F0" w:rsidP="34B096E2">
            <w:pPr>
              <w:spacing w:after="0"/>
              <w:jc w:val="right"/>
              <w:rPr>
                <w:b/>
                <w:bCs/>
                <w:sz w:val="22"/>
                <w:szCs w:val="22"/>
              </w:rPr>
            </w:pPr>
            <w:r>
              <w:rPr>
                <w:b/>
                <w:bCs/>
                <w:sz w:val="22"/>
                <w:szCs w:val="22"/>
              </w:rPr>
              <w:t>207,4</w:t>
            </w:r>
          </w:p>
        </w:tc>
      </w:tr>
      <w:tr w:rsidR="00E917FC" w:rsidRPr="004C30D8" w14:paraId="18A0C2F2" w14:textId="77777777" w:rsidTr="34B096E2">
        <w:trPr>
          <w:trHeight w:val="300"/>
          <w:jc w:val="center"/>
        </w:trPr>
        <w:tc>
          <w:tcPr>
            <w:tcW w:w="195" w:type="dxa"/>
            <w:tcBorders>
              <w:top w:val="nil"/>
              <w:left w:val="single" w:sz="4" w:space="0" w:color="auto"/>
              <w:bottom w:val="single" w:sz="4" w:space="0" w:color="auto"/>
              <w:right w:val="nil"/>
            </w:tcBorders>
            <w:shd w:val="clear" w:color="auto" w:fill="FFFFFF" w:themeFill="background1"/>
            <w:noWrap/>
            <w:vAlign w:val="bottom"/>
            <w:hideMark/>
          </w:tcPr>
          <w:p w14:paraId="12A529DF" w14:textId="77777777" w:rsidR="00E917FC" w:rsidRPr="004C30D8" w:rsidRDefault="34B096E2" w:rsidP="34B096E2">
            <w:pPr>
              <w:spacing w:after="0"/>
              <w:jc w:val="left"/>
              <w:rPr>
                <w:sz w:val="22"/>
                <w:szCs w:val="22"/>
              </w:rPr>
            </w:pPr>
            <w:r w:rsidRPr="34B096E2">
              <w:rPr>
                <w:sz w:val="22"/>
                <w:szCs w:val="22"/>
              </w:rPr>
              <w:t> </w:t>
            </w:r>
          </w:p>
        </w:tc>
        <w:tc>
          <w:tcPr>
            <w:tcW w:w="4532"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6544146B" w14:textId="77777777" w:rsidR="00E917FC" w:rsidRPr="004C30D8" w:rsidRDefault="34B096E2" w:rsidP="34B096E2">
            <w:pPr>
              <w:spacing w:after="0"/>
              <w:jc w:val="left"/>
              <w:rPr>
                <w:b/>
                <w:bCs/>
                <w:sz w:val="22"/>
                <w:szCs w:val="22"/>
              </w:rPr>
            </w:pPr>
            <w:r w:rsidRPr="34B096E2">
              <w:rPr>
                <w:b/>
                <w:bCs/>
                <w:sz w:val="22"/>
                <w:szCs w:val="22"/>
              </w:rPr>
              <w:t>1.1. Forint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FD046DA" w14:textId="5EB74B72" w:rsidR="00E917FC" w:rsidRPr="004C30D8" w:rsidRDefault="007754F0" w:rsidP="34B096E2">
            <w:pPr>
              <w:spacing w:after="0"/>
              <w:jc w:val="right"/>
              <w:rPr>
                <w:b/>
                <w:bCs/>
                <w:sz w:val="22"/>
                <w:szCs w:val="22"/>
              </w:rPr>
            </w:pPr>
            <w:r>
              <w:rPr>
                <w:b/>
                <w:bCs/>
                <w:sz w:val="22"/>
                <w:szCs w:val="22"/>
              </w:rPr>
              <w:t>245</w:t>
            </w:r>
            <w:r w:rsidR="34B096E2" w:rsidRPr="34B096E2">
              <w:rPr>
                <w:b/>
                <w:bCs/>
                <w:sz w:val="22"/>
                <w:szCs w:val="22"/>
              </w:rPr>
              <w:t>,7</w:t>
            </w:r>
          </w:p>
        </w:tc>
        <w:tc>
          <w:tcPr>
            <w:tcW w:w="1110" w:type="dxa"/>
            <w:tcBorders>
              <w:top w:val="nil"/>
              <w:left w:val="nil"/>
              <w:bottom w:val="single" w:sz="4" w:space="0" w:color="auto"/>
              <w:right w:val="single" w:sz="4" w:space="0" w:color="auto"/>
            </w:tcBorders>
            <w:shd w:val="clear" w:color="auto" w:fill="auto"/>
            <w:noWrap/>
            <w:vAlign w:val="bottom"/>
          </w:tcPr>
          <w:p w14:paraId="743B0E4E" w14:textId="0C689D66" w:rsidR="00E917FC" w:rsidRPr="004C30D8" w:rsidRDefault="007754F0" w:rsidP="34B096E2">
            <w:pPr>
              <w:spacing w:after="0"/>
              <w:jc w:val="right"/>
              <w:rPr>
                <w:b/>
                <w:bCs/>
                <w:sz w:val="22"/>
                <w:szCs w:val="22"/>
              </w:rPr>
            </w:pPr>
            <w:r>
              <w:rPr>
                <w:b/>
                <w:bCs/>
                <w:sz w:val="22"/>
                <w:szCs w:val="22"/>
              </w:rPr>
              <w:t>208,3</w:t>
            </w:r>
          </w:p>
        </w:tc>
      </w:tr>
      <w:tr w:rsidR="00E917FC" w:rsidRPr="004C30D8" w14:paraId="070AC738" w14:textId="77777777" w:rsidTr="34B096E2">
        <w:trPr>
          <w:trHeight w:val="300"/>
          <w:jc w:val="center"/>
        </w:trPr>
        <w:tc>
          <w:tcPr>
            <w:tcW w:w="195" w:type="dxa"/>
            <w:tcBorders>
              <w:top w:val="nil"/>
              <w:left w:val="single" w:sz="4" w:space="0" w:color="auto"/>
              <w:bottom w:val="nil"/>
              <w:right w:val="nil"/>
            </w:tcBorders>
            <w:shd w:val="clear" w:color="auto" w:fill="FFFFFF" w:themeFill="background1"/>
            <w:noWrap/>
            <w:vAlign w:val="bottom"/>
            <w:hideMark/>
          </w:tcPr>
          <w:p w14:paraId="6A637416" w14:textId="77777777" w:rsidR="00E917FC" w:rsidRPr="004C30D8" w:rsidRDefault="34B096E2" w:rsidP="34B096E2">
            <w:pPr>
              <w:spacing w:after="0"/>
              <w:jc w:val="left"/>
              <w:rPr>
                <w:sz w:val="22"/>
                <w:szCs w:val="22"/>
              </w:rPr>
            </w:pPr>
            <w:r w:rsidRPr="34B096E2">
              <w:rPr>
                <w:sz w:val="22"/>
                <w:szCs w:val="22"/>
              </w:rPr>
              <w:t> </w:t>
            </w:r>
          </w:p>
        </w:tc>
        <w:tc>
          <w:tcPr>
            <w:tcW w:w="340" w:type="dxa"/>
            <w:tcBorders>
              <w:top w:val="nil"/>
              <w:left w:val="nil"/>
              <w:bottom w:val="nil"/>
              <w:right w:val="nil"/>
            </w:tcBorders>
            <w:shd w:val="clear" w:color="auto" w:fill="FFFFFF" w:themeFill="background1"/>
            <w:noWrap/>
            <w:vAlign w:val="bottom"/>
            <w:hideMark/>
          </w:tcPr>
          <w:p w14:paraId="04695659" w14:textId="77777777" w:rsidR="00E917FC" w:rsidRPr="004C30D8" w:rsidRDefault="34B096E2" w:rsidP="34B096E2">
            <w:pPr>
              <w:spacing w:after="0"/>
              <w:jc w:val="left"/>
              <w:rPr>
                <w:sz w:val="22"/>
                <w:szCs w:val="22"/>
              </w:rPr>
            </w:pPr>
            <w:r w:rsidRPr="34B096E2">
              <w:rPr>
                <w:sz w:val="22"/>
                <w:szCs w:val="22"/>
              </w:rPr>
              <w:t> </w:t>
            </w:r>
          </w:p>
        </w:tc>
        <w:tc>
          <w:tcPr>
            <w:tcW w:w="4192" w:type="dxa"/>
            <w:tcBorders>
              <w:top w:val="nil"/>
              <w:left w:val="nil"/>
              <w:bottom w:val="nil"/>
              <w:right w:val="single" w:sz="4" w:space="0" w:color="auto"/>
            </w:tcBorders>
            <w:shd w:val="clear" w:color="auto" w:fill="FFFFFF" w:themeFill="background1"/>
            <w:noWrap/>
            <w:vAlign w:val="bottom"/>
            <w:hideMark/>
          </w:tcPr>
          <w:p w14:paraId="58224C74" w14:textId="77777777" w:rsidR="00E917FC" w:rsidRPr="004C30D8" w:rsidRDefault="34B096E2" w:rsidP="34B096E2">
            <w:pPr>
              <w:spacing w:after="0"/>
              <w:jc w:val="left"/>
              <w:rPr>
                <w:i/>
                <w:iCs/>
                <w:sz w:val="22"/>
                <w:szCs w:val="22"/>
              </w:rPr>
            </w:pPr>
            <w:r w:rsidRPr="34B096E2">
              <w:rPr>
                <w:i/>
                <w:iCs/>
                <w:sz w:val="22"/>
                <w:szCs w:val="22"/>
              </w:rPr>
              <w:t>1.1.1. Államkötvények kamata</w:t>
            </w:r>
          </w:p>
        </w:tc>
        <w:tc>
          <w:tcPr>
            <w:tcW w:w="1134" w:type="dxa"/>
            <w:tcBorders>
              <w:top w:val="nil"/>
              <w:left w:val="single" w:sz="4" w:space="0" w:color="auto"/>
              <w:bottom w:val="nil"/>
              <w:right w:val="single" w:sz="4" w:space="0" w:color="auto"/>
            </w:tcBorders>
            <w:shd w:val="clear" w:color="auto" w:fill="auto"/>
            <w:noWrap/>
            <w:vAlign w:val="bottom"/>
          </w:tcPr>
          <w:p w14:paraId="36DBD9DB" w14:textId="634654F2" w:rsidR="00E917FC" w:rsidRPr="004C30D8" w:rsidRDefault="007754F0" w:rsidP="34B096E2">
            <w:pPr>
              <w:spacing w:after="0"/>
              <w:jc w:val="right"/>
              <w:rPr>
                <w:i/>
                <w:iCs/>
                <w:sz w:val="22"/>
                <w:szCs w:val="22"/>
              </w:rPr>
            </w:pPr>
            <w:r>
              <w:rPr>
                <w:i/>
                <w:iCs/>
                <w:sz w:val="22"/>
                <w:szCs w:val="22"/>
              </w:rPr>
              <w:t>244,7</w:t>
            </w:r>
          </w:p>
        </w:tc>
        <w:tc>
          <w:tcPr>
            <w:tcW w:w="1110" w:type="dxa"/>
            <w:tcBorders>
              <w:top w:val="nil"/>
              <w:left w:val="nil"/>
              <w:bottom w:val="nil"/>
              <w:right w:val="single" w:sz="4" w:space="0" w:color="auto"/>
            </w:tcBorders>
            <w:shd w:val="clear" w:color="auto" w:fill="auto"/>
            <w:noWrap/>
            <w:vAlign w:val="bottom"/>
          </w:tcPr>
          <w:p w14:paraId="2B4166A0" w14:textId="555C634E" w:rsidR="00E917FC" w:rsidRPr="004C30D8" w:rsidRDefault="007754F0" w:rsidP="34B096E2">
            <w:pPr>
              <w:spacing w:after="0"/>
              <w:jc w:val="right"/>
              <w:rPr>
                <w:i/>
                <w:iCs/>
                <w:sz w:val="22"/>
                <w:szCs w:val="22"/>
              </w:rPr>
            </w:pPr>
            <w:r>
              <w:rPr>
                <w:i/>
                <w:iCs/>
                <w:sz w:val="22"/>
                <w:szCs w:val="22"/>
              </w:rPr>
              <w:t>202,5</w:t>
            </w:r>
          </w:p>
        </w:tc>
      </w:tr>
      <w:tr w:rsidR="00E917FC" w:rsidRPr="004C30D8" w14:paraId="48DED23A" w14:textId="77777777" w:rsidTr="34B096E2">
        <w:trPr>
          <w:trHeight w:val="300"/>
          <w:jc w:val="center"/>
        </w:trPr>
        <w:tc>
          <w:tcPr>
            <w:tcW w:w="195" w:type="dxa"/>
            <w:tcBorders>
              <w:top w:val="nil"/>
              <w:left w:val="single" w:sz="4" w:space="0" w:color="auto"/>
              <w:bottom w:val="nil"/>
              <w:right w:val="nil"/>
            </w:tcBorders>
            <w:shd w:val="clear" w:color="auto" w:fill="FFFFFF" w:themeFill="background1"/>
            <w:noWrap/>
            <w:vAlign w:val="bottom"/>
            <w:hideMark/>
          </w:tcPr>
          <w:p w14:paraId="43896092" w14:textId="5758D4F9" w:rsidR="00E917FC" w:rsidRPr="004C30D8" w:rsidRDefault="34B096E2" w:rsidP="34B096E2">
            <w:pPr>
              <w:spacing w:after="0"/>
              <w:jc w:val="left"/>
              <w:rPr>
                <w:sz w:val="22"/>
                <w:szCs w:val="22"/>
              </w:rPr>
            </w:pPr>
            <w:r w:rsidRPr="34B096E2">
              <w:rPr>
                <w:sz w:val="22"/>
                <w:szCs w:val="22"/>
              </w:rPr>
              <w:t> </w:t>
            </w:r>
          </w:p>
        </w:tc>
        <w:tc>
          <w:tcPr>
            <w:tcW w:w="340" w:type="dxa"/>
            <w:tcBorders>
              <w:top w:val="nil"/>
              <w:left w:val="nil"/>
              <w:bottom w:val="nil"/>
              <w:right w:val="nil"/>
            </w:tcBorders>
            <w:shd w:val="clear" w:color="auto" w:fill="FFFFFF" w:themeFill="background1"/>
            <w:noWrap/>
            <w:vAlign w:val="bottom"/>
            <w:hideMark/>
          </w:tcPr>
          <w:p w14:paraId="084AA7D8" w14:textId="77777777" w:rsidR="00E917FC" w:rsidRPr="004C30D8" w:rsidRDefault="34B096E2" w:rsidP="34B096E2">
            <w:pPr>
              <w:spacing w:after="0"/>
              <w:jc w:val="left"/>
              <w:rPr>
                <w:sz w:val="22"/>
                <w:szCs w:val="22"/>
              </w:rPr>
            </w:pPr>
            <w:r w:rsidRPr="34B096E2">
              <w:rPr>
                <w:sz w:val="22"/>
                <w:szCs w:val="22"/>
              </w:rPr>
              <w:t> </w:t>
            </w:r>
          </w:p>
        </w:tc>
        <w:tc>
          <w:tcPr>
            <w:tcW w:w="4192" w:type="dxa"/>
            <w:tcBorders>
              <w:top w:val="nil"/>
              <w:left w:val="nil"/>
              <w:bottom w:val="nil"/>
              <w:right w:val="single" w:sz="4" w:space="0" w:color="auto"/>
            </w:tcBorders>
            <w:shd w:val="clear" w:color="auto" w:fill="FFFFFF" w:themeFill="background1"/>
            <w:noWrap/>
            <w:vAlign w:val="bottom"/>
            <w:hideMark/>
          </w:tcPr>
          <w:p w14:paraId="3315C50A" w14:textId="77777777" w:rsidR="00E917FC" w:rsidRPr="004C30D8" w:rsidRDefault="34B096E2" w:rsidP="34B096E2">
            <w:pPr>
              <w:spacing w:after="0"/>
              <w:jc w:val="left"/>
              <w:rPr>
                <w:i/>
                <w:iCs/>
                <w:sz w:val="22"/>
                <w:szCs w:val="22"/>
              </w:rPr>
            </w:pPr>
            <w:r w:rsidRPr="34B096E2">
              <w:rPr>
                <w:i/>
                <w:iCs/>
                <w:sz w:val="22"/>
                <w:szCs w:val="22"/>
              </w:rPr>
              <w:t>1.1.2. Kincstárjegyek kamata</w:t>
            </w:r>
          </w:p>
        </w:tc>
        <w:tc>
          <w:tcPr>
            <w:tcW w:w="1134" w:type="dxa"/>
            <w:tcBorders>
              <w:top w:val="nil"/>
              <w:left w:val="single" w:sz="4" w:space="0" w:color="auto"/>
              <w:bottom w:val="nil"/>
              <w:right w:val="single" w:sz="4" w:space="0" w:color="auto"/>
            </w:tcBorders>
            <w:shd w:val="clear" w:color="auto" w:fill="auto"/>
            <w:noWrap/>
            <w:vAlign w:val="bottom"/>
          </w:tcPr>
          <w:p w14:paraId="6534D39E" w14:textId="2E8D935C" w:rsidR="00E917FC" w:rsidRPr="004C30D8" w:rsidRDefault="34B096E2" w:rsidP="34B096E2">
            <w:pPr>
              <w:spacing w:after="0"/>
              <w:jc w:val="right"/>
              <w:rPr>
                <w:i/>
                <w:iCs/>
                <w:sz w:val="22"/>
                <w:szCs w:val="22"/>
              </w:rPr>
            </w:pPr>
            <w:r w:rsidRPr="34B096E2">
              <w:rPr>
                <w:i/>
                <w:iCs/>
                <w:sz w:val="22"/>
                <w:szCs w:val="22"/>
              </w:rPr>
              <w:t>0,</w:t>
            </w:r>
            <w:r w:rsidR="007754F0">
              <w:rPr>
                <w:i/>
                <w:iCs/>
                <w:sz w:val="22"/>
                <w:szCs w:val="22"/>
              </w:rPr>
              <w:t>2</w:t>
            </w:r>
          </w:p>
        </w:tc>
        <w:tc>
          <w:tcPr>
            <w:tcW w:w="1110" w:type="dxa"/>
            <w:tcBorders>
              <w:top w:val="nil"/>
              <w:left w:val="nil"/>
              <w:bottom w:val="nil"/>
              <w:right w:val="single" w:sz="4" w:space="0" w:color="auto"/>
            </w:tcBorders>
            <w:shd w:val="clear" w:color="auto" w:fill="auto"/>
            <w:noWrap/>
            <w:vAlign w:val="bottom"/>
          </w:tcPr>
          <w:p w14:paraId="36A73D13" w14:textId="23588F8C" w:rsidR="00E917FC" w:rsidRPr="004C30D8" w:rsidRDefault="34B096E2" w:rsidP="34B096E2">
            <w:pPr>
              <w:spacing w:after="0"/>
              <w:jc w:val="right"/>
              <w:rPr>
                <w:i/>
                <w:iCs/>
                <w:sz w:val="22"/>
                <w:szCs w:val="22"/>
              </w:rPr>
            </w:pPr>
            <w:r w:rsidRPr="34B096E2">
              <w:rPr>
                <w:i/>
                <w:iCs/>
                <w:sz w:val="22"/>
                <w:szCs w:val="22"/>
              </w:rPr>
              <w:t>0,</w:t>
            </w:r>
            <w:proofErr w:type="spellStart"/>
            <w:r w:rsidRPr="34B096E2">
              <w:rPr>
                <w:i/>
                <w:iCs/>
                <w:sz w:val="22"/>
                <w:szCs w:val="22"/>
              </w:rPr>
              <w:t>0</w:t>
            </w:r>
            <w:proofErr w:type="spellEnd"/>
          </w:p>
        </w:tc>
      </w:tr>
      <w:tr w:rsidR="00E917FC" w:rsidRPr="004C30D8" w14:paraId="5E8B8A2F" w14:textId="77777777" w:rsidTr="34B096E2">
        <w:trPr>
          <w:trHeight w:val="300"/>
          <w:jc w:val="center"/>
        </w:trPr>
        <w:tc>
          <w:tcPr>
            <w:tcW w:w="195" w:type="dxa"/>
            <w:tcBorders>
              <w:top w:val="nil"/>
              <w:left w:val="single" w:sz="4" w:space="0" w:color="auto"/>
              <w:bottom w:val="nil"/>
              <w:right w:val="nil"/>
            </w:tcBorders>
            <w:shd w:val="clear" w:color="auto" w:fill="FFFFFF" w:themeFill="background1"/>
            <w:noWrap/>
            <w:vAlign w:val="bottom"/>
            <w:hideMark/>
          </w:tcPr>
          <w:p w14:paraId="2733CA1F" w14:textId="77777777" w:rsidR="00E917FC" w:rsidRPr="004C30D8" w:rsidRDefault="34B096E2" w:rsidP="34B096E2">
            <w:pPr>
              <w:spacing w:after="0"/>
              <w:jc w:val="left"/>
              <w:rPr>
                <w:sz w:val="22"/>
                <w:szCs w:val="22"/>
              </w:rPr>
            </w:pPr>
            <w:r w:rsidRPr="34B096E2">
              <w:rPr>
                <w:sz w:val="22"/>
                <w:szCs w:val="22"/>
              </w:rPr>
              <w:t> </w:t>
            </w:r>
          </w:p>
        </w:tc>
        <w:tc>
          <w:tcPr>
            <w:tcW w:w="340" w:type="dxa"/>
            <w:tcBorders>
              <w:top w:val="nil"/>
              <w:left w:val="nil"/>
              <w:bottom w:val="nil"/>
              <w:right w:val="nil"/>
            </w:tcBorders>
            <w:shd w:val="clear" w:color="auto" w:fill="FFFFFF" w:themeFill="background1"/>
            <w:noWrap/>
            <w:vAlign w:val="bottom"/>
            <w:hideMark/>
          </w:tcPr>
          <w:p w14:paraId="08DDD2F1" w14:textId="77777777" w:rsidR="00E917FC" w:rsidRPr="004C30D8" w:rsidRDefault="34B096E2" w:rsidP="34B096E2">
            <w:pPr>
              <w:spacing w:after="0"/>
              <w:jc w:val="left"/>
              <w:rPr>
                <w:sz w:val="22"/>
                <w:szCs w:val="22"/>
              </w:rPr>
            </w:pPr>
            <w:r w:rsidRPr="34B096E2">
              <w:rPr>
                <w:sz w:val="22"/>
                <w:szCs w:val="22"/>
              </w:rPr>
              <w:t> </w:t>
            </w:r>
          </w:p>
        </w:tc>
        <w:tc>
          <w:tcPr>
            <w:tcW w:w="4192" w:type="dxa"/>
            <w:tcBorders>
              <w:top w:val="nil"/>
              <w:left w:val="nil"/>
              <w:bottom w:val="nil"/>
              <w:right w:val="single" w:sz="4" w:space="0" w:color="auto"/>
            </w:tcBorders>
            <w:shd w:val="clear" w:color="auto" w:fill="FFFFFF" w:themeFill="background1"/>
            <w:noWrap/>
            <w:vAlign w:val="bottom"/>
            <w:hideMark/>
          </w:tcPr>
          <w:p w14:paraId="40F22C8F" w14:textId="77777777" w:rsidR="00E917FC" w:rsidRPr="004C30D8" w:rsidRDefault="34B096E2" w:rsidP="34B096E2">
            <w:pPr>
              <w:spacing w:after="0"/>
              <w:jc w:val="left"/>
              <w:rPr>
                <w:i/>
                <w:iCs/>
                <w:sz w:val="22"/>
                <w:szCs w:val="22"/>
              </w:rPr>
            </w:pPr>
            <w:r w:rsidRPr="34B096E2">
              <w:rPr>
                <w:i/>
                <w:iCs/>
                <w:sz w:val="22"/>
                <w:szCs w:val="22"/>
              </w:rPr>
              <w:t xml:space="preserve">1.1.3. </w:t>
            </w:r>
            <w:proofErr w:type="spellStart"/>
            <w:r w:rsidRPr="34B096E2">
              <w:rPr>
                <w:i/>
                <w:iCs/>
                <w:sz w:val="22"/>
                <w:szCs w:val="22"/>
              </w:rPr>
              <w:t>Repóügyletek</w:t>
            </w:r>
            <w:proofErr w:type="spellEnd"/>
            <w:r w:rsidRPr="34B096E2">
              <w:rPr>
                <w:i/>
                <w:iCs/>
                <w:sz w:val="22"/>
                <w:szCs w:val="22"/>
              </w:rPr>
              <w:t xml:space="preserve"> kamata</w:t>
            </w:r>
          </w:p>
        </w:tc>
        <w:tc>
          <w:tcPr>
            <w:tcW w:w="1134" w:type="dxa"/>
            <w:tcBorders>
              <w:top w:val="nil"/>
              <w:left w:val="single" w:sz="4" w:space="0" w:color="auto"/>
              <w:bottom w:val="nil"/>
              <w:right w:val="single" w:sz="4" w:space="0" w:color="auto"/>
            </w:tcBorders>
            <w:shd w:val="clear" w:color="auto" w:fill="auto"/>
            <w:noWrap/>
            <w:vAlign w:val="bottom"/>
          </w:tcPr>
          <w:p w14:paraId="25A44EF4" w14:textId="4A05C940" w:rsidR="00E917FC" w:rsidRPr="004C30D8" w:rsidRDefault="34B096E2" w:rsidP="34B096E2">
            <w:pPr>
              <w:spacing w:after="0"/>
              <w:jc w:val="right"/>
              <w:rPr>
                <w:i/>
                <w:iCs/>
                <w:sz w:val="22"/>
                <w:szCs w:val="22"/>
              </w:rPr>
            </w:pPr>
            <w:r w:rsidRPr="34B096E2">
              <w:rPr>
                <w:i/>
                <w:iCs/>
                <w:sz w:val="22"/>
                <w:szCs w:val="22"/>
              </w:rPr>
              <w:t>0,2</w:t>
            </w:r>
          </w:p>
        </w:tc>
        <w:tc>
          <w:tcPr>
            <w:tcW w:w="1110" w:type="dxa"/>
            <w:tcBorders>
              <w:top w:val="nil"/>
              <w:left w:val="nil"/>
              <w:bottom w:val="nil"/>
              <w:right w:val="single" w:sz="4" w:space="0" w:color="auto"/>
            </w:tcBorders>
            <w:shd w:val="clear" w:color="auto" w:fill="auto"/>
            <w:noWrap/>
            <w:vAlign w:val="bottom"/>
          </w:tcPr>
          <w:p w14:paraId="2B75BAC9" w14:textId="20B98FDE" w:rsidR="00E917FC" w:rsidRPr="004C30D8" w:rsidRDefault="34B096E2" w:rsidP="34B096E2">
            <w:pPr>
              <w:spacing w:after="0"/>
              <w:jc w:val="right"/>
              <w:rPr>
                <w:i/>
                <w:iCs/>
                <w:sz w:val="22"/>
                <w:szCs w:val="22"/>
              </w:rPr>
            </w:pPr>
            <w:r w:rsidRPr="34B096E2">
              <w:rPr>
                <w:i/>
                <w:iCs/>
                <w:sz w:val="22"/>
                <w:szCs w:val="22"/>
              </w:rPr>
              <w:t>0,2</w:t>
            </w:r>
          </w:p>
        </w:tc>
      </w:tr>
      <w:tr w:rsidR="00E917FC" w:rsidRPr="004C30D8" w14:paraId="68D79656" w14:textId="77777777" w:rsidTr="34B096E2">
        <w:trPr>
          <w:trHeight w:val="300"/>
          <w:jc w:val="center"/>
        </w:trPr>
        <w:tc>
          <w:tcPr>
            <w:tcW w:w="195" w:type="dxa"/>
            <w:tcBorders>
              <w:top w:val="nil"/>
              <w:left w:val="single" w:sz="4" w:space="0" w:color="auto"/>
              <w:bottom w:val="nil"/>
              <w:right w:val="nil"/>
            </w:tcBorders>
            <w:shd w:val="clear" w:color="auto" w:fill="FFFFFF" w:themeFill="background1"/>
            <w:noWrap/>
            <w:vAlign w:val="bottom"/>
            <w:hideMark/>
          </w:tcPr>
          <w:p w14:paraId="2A410CC2" w14:textId="77777777" w:rsidR="00E917FC" w:rsidRPr="004C30D8" w:rsidRDefault="34B096E2" w:rsidP="34B096E2">
            <w:pPr>
              <w:spacing w:after="0"/>
              <w:jc w:val="left"/>
              <w:rPr>
                <w:sz w:val="22"/>
                <w:szCs w:val="22"/>
              </w:rPr>
            </w:pPr>
            <w:r w:rsidRPr="34B096E2">
              <w:rPr>
                <w:sz w:val="22"/>
                <w:szCs w:val="22"/>
              </w:rPr>
              <w:t> </w:t>
            </w:r>
          </w:p>
        </w:tc>
        <w:tc>
          <w:tcPr>
            <w:tcW w:w="340" w:type="dxa"/>
            <w:tcBorders>
              <w:top w:val="nil"/>
              <w:left w:val="nil"/>
              <w:bottom w:val="nil"/>
              <w:right w:val="nil"/>
            </w:tcBorders>
            <w:shd w:val="clear" w:color="auto" w:fill="FFFFFF" w:themeFill="background1"/>
            <w:noWrap/>
            <w:vAlign w:val="bottom"/>
            <w:hideMark/>
          </w:tcPr>
          <w:p w14:paraId="1C934698" w14:textId="77777777" w:rsidR="00E917FC" w:rsidRPr="004C30D8" w:rsidRDefault="34B096E2" w:rsidP="34B096E2">
            <w:pPr>
              <w:spacing w:after="0"/>
              <w:jc w:val="left"/>
              <w:rPr>
                <w:sz w:val="22"/>
                <w:szCs w:val="22"/>
              </w:rPr>
            </w:pPr>
            <w:r w:rsidRPr="34B096E2">
              <w:rPr>
                <w:sz w:val="22"/>
                <w:szCs w:val="22"/>
              </w:rPr>
              <w:t> </w:t>
            </w:r>
          </w:p>
        </w:tc>
        <w:tc>
          <w:tcPr>
            <w:tcW w:w="4192" w:type="dxa"/>
            <w:tcBorders>
              <w:top w:val="nil"/>
              <w:left w:val="nil"/>
              <w:bottom w:val="nil"/>
              <w:right w:val="single" w:sz="4" w:space="0" w:color="auto"/>
            </w:tcBorders>
            <w:shd w:val="clear" w:color="auto" w:fill="FFFFFF" w:themeFill="background1"/>
            <w:noWrap/>
            <w:vAlign w:val="bottom"/>
            <w:hideMark/>
          </w:tcPr>
          <w:p w14:paraId="59080012" w14:textId="77777777" w:rsidR="00E917FC" w:rsidRPr="004C30D8" w:rsidRDefault="34B096E2" w:rsidP="34B096E2">
            <w:pPr>
              <w:spacing w:after="0"/>
              <w:jc w:val="left"/>
              <w:rPr>
                <w:i/>
                <w:iCs/>
                <w:sz w:val="22"/>
                <w:szCs w:val="22"/>
              </w:rPr>
            </w:pPr>
            <w:r w:rsidRPr="34B096E2">
              <w:rPr>
                <w:i/>
                <w:iCs/>
                <w:sz w:val="22"/>
                <w:szCs w:val="22"/>
              </w:rPr>
              <w:t>1.1.4. KESZ forint-betét kamata</w:t>
            </w:r>
          </w:p>
        </w:tc>
        <w:tc>
          <w:tcPr>
            <w:tcW w:w="1134" w:type="dxa"/>
            <w:tcBorders>
              <w:top w:val="nil"/>
              <w:left w:val="single" w:sz="4" w:space="0" w:color="auto"/>
              <w:bottom w:val="nil"/>
              <w:right w:val="single" w:sz="4" w:space="0" w:color="auto"/>
            </w:tcBorders>
            <w:shd w:val="clear" w:color="auto" w:fill="auto"/>
            <w:noWrap/>
            <w:vAlign w:val="bottom"/>
          </w:tcPr>
          <w:p w14:paraId="22F79DFD" w14:textId="319EFC5B" w:rsidR="00E917FC" w:rsidRPr="004C30D8" w:rsidRDefault="34B096E2" w:rsidP="34B096E2">
            <w:pPr>
              <w:spacing w:after="0"/>
              <w:jc w:val="right"/>
              <w:rPr>
                <w:i/>
                <w:iCs/>
                <w:sz w:val="22"/>
                <w:szCs w:val="22"/>
              </w:rPr>
            </w:pPr>
            <w:r w:rsidRPr="34B096E2">
              <w:rPr>
                <w:i/>
                <w:iCs/>
                <w:sz w:val="22"/>
                <w:szCs w:val="22"/>
              </w:rPr>
              <w:t>0,6</w:t>
            </w:r>
          </w:p>
        </w:tc>
        <w:tc>
          <w:tcPr>
            <w:tcW w:w="1110" w:type="dxa"/>
            <w:tcBorders>
              <w:top w:val="nil"/>
              <w:left w:val="nil"/>
              <w:bottom w:val="nil"/>
              <w:right w:val="single" w:sz="4" w:space="0" w:color="auto"/>
            </w:tcBorders>
            <w:shd w:val="clear" w:color="auto" w:fill="auto"/>
            <w:noWrap/>
            <w:vAlign w:val="bottom"/>
          </w:tcPr>
          <w:p w14:paraId="1074B886" w14:textId="38F4354F" w:rsidR="00E917FC" w:rsidRPr="004C30D8" w:rsidRDefault="007754F0" w:rsidP="34B096E2">
            <w:pPr>
              <w:spacing w:after="0"/>
              <w:jc w:val="right"/>
              <w:rPr>
                <w:i/>
                <w:iCs/>
                <w:sz w:val="22"/>
                <w:szCs w:val="22"/>
              </w:rPr>
            </w:pPr>
            <w:r>
              <w:rPr>
                <w:i/>
                <w:iCs/>
                <w:sz w:val="22"/>
                <w:szCs w:val="22"/>
              </w:rPr>
              <w:t>5</w:t>
            </w:r>
            <w:r w:rsidR="34B096E2" w:rsidRPr="34B096E2">
              <w:rPr>
                <w:i/>
                <w:iCs/>
                <w:sz w:val="22"/>
                <w:szCs w:val="22"/>
              </w:rPr>
              <w:t>,6</w:t>
            </w:r>
          </w:p>
        </w:tc>
      </w:tr>
      <w:tr w:rsidR="00E917FC" w:rsidRPr="004C30D8" w14:paraId="3D745D4B" w14:textId="77777777" w:rsidTr="34B096E2">
        <w:trPr>
          <w:trHeight w:val="300"/>
          <w:jc w:val="center"/>
        </w:trPr>
        <w:tc>
          <w:tcPr>
            <w:tcW w:w="195"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31AF6125" w14:textId="77777777" w:rsidR="00E917FC" w:rsidRPr="004C30D8" w:rsidRDefault="34B096E2" w:rsidP="34B096E2">
            <w:pPr>
              <w:spacing w:after="0"/>
              <w:jc w:val="left"/>
              <w:rPr>
                <w:sz w:val="22"/>
                <w:szCs w:val="22"/>
              </w:rPr>
            </w:pPr>
            <w:r w:rsidRPr="34B096E2">
              <w:rPr>
                <w:sz w:val="22"/>
                <w:szCs w:val="22"/>
              </w:rPr>
              <w:t> </w:t>
            </w:r>
          </w:p>
        </w:tc>
        <w:tc>
          <w:tcPr>
            <w:tcW w:w="4532"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302EA49B" w14:textId="77777777" w:rsidR="00E917FC" w:rsidRPr="004C30D8" w:rsidRDefault="34B096E2" w:rsidP="34B096E2">
            <w:pPr>
              <w:spacing w:after="0"/>
              <w:jc w:val="left"/>
              <w:rPr>
                <w:b/>
                <w:bCs/>
                <w:sz w:val="22"/>
                <w:szCs w:val="22"/>
              </w:rPr>
            </w:pPr>
            <w:r w:rsidRPr="34B096E2">
              <w:rPr>
                <w:b/>
                <w:bCs/>
                <w:sz w:val="22"/>
                <w:szCs w:val="22"/>
              </w:rPr>
              <w:t>1.2. Deviza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D91D3" w14:textId="4B791F2A" w:rsidR="00E917FC" w:rsidRPr="004C30D8" w:rsidRDefault="34B096E2" w:rsidP="34B096E2">
            <w:pPr>
              <w:spacing w:after="0"/>
              <w:jc w:val="right"/>
              <w:rPr>
                <w:b/>
                <w:bCs/>
                <w:sz w:val="22"/>
                <w:szCs w:val="22"/>
              </w:rPr>
            </w:pPr>
            <w:r w:rsidRPr="34B096E2">
              <w:rPr>
                <w:b/>
                <w:bCs/>
                <w:sz w:val="22"/>
                <w:szCs w:val="22"/>
              </w:rPr>
              <w:t>-0,5</w:t>
            </w:r>
          </w:p>
        </w:tc>
        <w:tc>
          <w:tcPr>
            <w:tcW w:w="1110" w:type="dxa"/>
            <w:tcBorders>
              <w:top w:val="single" w:sz="4" w:space="0" w:color="auto"/>
              <w:left w:val="nil"/>
              <w:bottom w:val="single" w:sz="4" w:space="0" w:color="auto"/>
              <w:right w:val="single" w:sz="4" w:space="0" w:color="auto"/>
            </w:tcBorders>
            <w:shd w:val="clear" w:color="auto" w:fill="auto"/>
            <w:noWrap/>
            <w:vAlign w:val="bottom"/>
          </w:tcPr>
          <w:p w14:paraId="6E7FF203" w14:textId="19F1FC90" w:rsidR="00E917FC" w:rsidRPr="004C30D8" w:rsidRDefault="34B096E2" w:rsidP="34B096E2">
            <w:pPr>
              <w:spacing w:after="0"/>
              <w:jc w:val="right"/>
              <w:rPr>
                <w:b/>
                <w:bCs/>
                <w:sz w:val="22"/>
                <w:szCs w:val="22"/>
              </w:rPr>
            </w:pPr>
            <w:r w:rsidRPr="34B096E2">
              <w:rPr>
                <w:b/>
                <w:bCs/>
                <w:sz w:val="22"/>
                <w:szCs w:val="22"/>
              </w:rPr>
              <w:t>-0,9</w:t>
            </w:r>
          </w:p>
        </w:tc>
      </w:tr>
      <w:tr w:rsidR="00E917FC" w:rsidRPr="004C30D8" w14:paraId="3C5A578D" w14:textId="77777777" w:rsidTr="34B096E2">
        <w:trPr>
          <w:trHeight w:val="300"/>
          <w:jc w:val="center"/>
        </w:trPr>
        <w:tc>
          <w:tcPr>
            <w:tcW w:w="195" w:type="dxa"/>
            <w:tcBorders>
              <w:top w:val="nil"/>
              <w:left w:val="single" w:sz="4" w:space="0" w:color="auto"/>
              <w:bottom w:val="nil"/>
              <w:right w:val="nil"/>
            </w:tcBorders>
            <w:shd w:val="clear" w:color="auto" w:fill="FFFFFF" w:themeFill="background1"/>
            <w:noWrap/>
            <w:vAlign w:val="bottom"/>
            <w:hideMark/>
          </w:tcPr>
          <w:p w14:paraId="342BD7FE" w14:textId="77777777" w:rsidR="00E917FC" w:rsidRPr="004C30D8" w:rsidRDefault="34B096E2" w:rsidP="34B096E2">
            <w:pPr>
              <w:spacing w:after="0"/>
              <w:jc w:val="left"/>
              <w:rPr>
                <w:sz w:val="22"/>
                <w:szCs w:val="22"/>
              </w:rPr>
            </w:pPr>
            <w:r w:rsidRPr="34B096E2">
              <w:rPr>
                <w:sz w:val="22"/>
                <w:szCs w:val="22"/>
              </w:rPr>
              <w:t> </w:t>
            </w:r>
          </w:p>
        </w:tc>
        <w:tc>
          <w:tcPr>
            <w:tcW w:w="340" w:type="dxa"/>
            <w:tcBorders>
              <w:top w:val="nil"/>
              <w:left w:val="nil"/>
              <w:bottom w:val="nil"/>
              <w:right w:val="nil"/>
            </w:tcBorders>
            <w:shd w:val="clear" w:color="auto" w:fill="FFFFFF" w:themeFill="background1"/>
            <w:noWrap/>
            <w:vAlign w:val="bottom"/>
            <w:hideMark/>
          </w:tcPr>
          <w:p w14:paraId="110A0BA2" w14:textId="77777777" w:rsidR="00E917FC" w:rsidRPr="004C30D8" w:rsidRDefault="34B096E2" w:rsidP="34B096E2">
            <w:pPr>
              <w:spacing w:after="0"/>
              <w:jc w:val="left"/>
              <w:rPr>
                <w:sz w:val="22"/>
                <w:szCs w:val="22"/>
              </w:rPr>
            </w:pPr>
            <w:r w:rsidRPr="34B096E2">
              <w:rPr>
                <w:sz w:val="22"/>
                <w:szCs w:val="22"/>
              </w:rPr>
              <w:t> </w:t>
            </w:r>
          </w:p>
        </w:tc>
        <w:tc>
          <w:tcPr>
            <w:tcW w:w="4192" w:type="dxa"/>
            <w:tcBorders>
              <w:top w:val="nil"/>
              <w:left w:val="nil"/>
              <w:bottom w:val="nil"/>
              <w:right w:val="single" w:sz="4" w:space="0" w:color="auto"/>
            </w:tcBorders>
            <w:shd w:val="clear" w:color="auto" w:fill="FFFFFF" w:themeFill="background1"/>
            <w:noWrap/>
            <w:vAlign w:val="bottom"/>
            <w:hideMark/>
          </w:tcPr>
          <w:p w14:paraId="496D0FF5" w14:textId="77777777" w:rsidR="00E917FC" w:rsidRPr="004C30D8" w:rsidRDefault="34B096E2" w:rsidP="34B096E2">
            <w:pPr>
              <w:spacing w:after="0"/>
              <w:jc w:val="left"/>
              <w:rPr>
                <w:i/>
                <w:iCs/>
                <w:sz w:val="22"/>
                <w:szCs w:val="22"/>
              </w:rPr>
            </w:pPr>
            <w:r w:rsidRPr="34B096E2">
              <w:rPr>
                <w:i/>
                <w:iCs/>
                <w:sz w:val="22"/>
                <w:szCs w:val="22"/>
              </w:rPr>
              <w:t>1.2.1. Devizaműveletek kamatelszámolásai</w:t>
            </w:r>
          </w:p>
        </w:tc>
        <w:tc>
          <w:tcPr>
            <w:tcW w:w="1134" w:type="dxa"/>
            <w:tcBorders>
              <w:top w:val="nil"/>
              <w:left w:val="single" w:sz="4" w:space="0" w:color="auto"/>
              <w:bottom w:val="nil"/>
              <w:right w:val="single" w:sz="4" w:space="0" w:color="auto"/>
            </w:tcBorders>
            <w:shd w:val="clear" w:color="auto" w:fill="auto"/>
            <w:noWrap/>
            <w:vAlign w:val="bottom"/>
          </w:tcPr>
          <w:p w14:paraId="7809F621" w14:textId="23733C4C" w:rsidR="00E917FC" w:rsidRPr="004C30D8" w:rsidRDefault="34B096E2" w:rsidP="34B096E2">
            <w:pPr>
              <w:spacing w:after="0"/>
              <w:jc w:val="right"/>
              <w:rPr>
                <w:i/>
                <w:iCs/>
                <w:sz w:val="22"/>
                <w:szCs w:val="22"/>
              </w:rPr>
            </w:pPr>
            <w:r w:rsidRPr="34B096E2">
              <w:rPr>
                <w:i/>
                <w:iCs/>
                <w:sz w:val="22"/>
                <w:szCs w:val="22"/>
              </w:rPr>
              <w:t>-0,5</w:t>
            </w:r>
          </w:p>
        </w:tc>
        <w:tc>
          <w:tcPr>
            <w:tcW w:w="1110" w:type="dxa"/>
            <w:tcBorders>
              <w:top w:val="nil"/>
              <w:left w:val="nil"/>
              <w:bottom w:val="nil"/>
              <w:right w:val="single" w:sz="4" w:space="0" w:color="auto"/>
            </w:tcBorders>
            <w:shd w:val="clear" w:color="auto" w:fill="auto"/>
            <w:noWrap/>
            <w:vAlign w:val="bottom"/>
          </w:tcPr>
          <w:p w14:paraId="31343ECF" w14:textId="32FDB4CB" w:rsidR="00E917FC" w:rsidRPr="004C30D8" w:rsidRDefault="34B096E2" w:rsidP="34B096E2">
            <w:pPr>
              <w:spacing w:after="0"/>
              <w:jc w:val="right"/>
              <w:rPr>
                <w:i/>
                <w:iCs/>
                <w:sz w:val="22"/>
                <w:szCs w:val="22"/>
              </w:rPr>
            </w:pPr>
            <w:r w:rsidRPr="34B096E2">
              <w:rPr>
                <w:i/>
                <w:iCs/>
                <w:sz w:val="22"/>
                <w:szCs w:val="22"/>
              </w:rPr>
              <w:t>-0,9</w:t>
            </w:r>
          </w:p>
        </w:tc>
      </w:tr>
      <w:tr w:rsidR="00F1271F" w:rsidRPr="004C30D8" w14:paraId="73CD69D7" w14:textId="77777777" w:rsidTr="34B096E2">
        <w:trPr>
          <w:trHeight w:val="300"/>
          <w:jc w:val="center"/>
        </w:trPr>
        <w:tc>
          <w:tcPr>
            <w:tcW w:w="195"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70DD9995" w14:textId="77777777" w:rsidR="00F1271F" w:rsidRPr="004C30D8" w:rsidRDefault="34B096E2" w:rsidP="34B096E2">
            <w:pPr>
              <w:spacing w:after="0"/>
              <w:jc w:val="left"/>
              <w:rPr>
                <w:sz w:val="22"/>
                <w:szCs w:val="22"/>
              </w:rPr>
            </w:pPr>
            <w:r w:rsidRPr="34B096E2">
              <w:rPr>
                <w:sz w:val="22"/>
                <w:szCs w:val="22"/>
              </w:rPr>
              <w:t> </w:t>
            </w:r>
          </w:p>
        </w:tc>
        <w:tc>
          <w:tcPr>
            <w:tcW w:w="340" w:type="dxa"/>
            <w:tcBorders>
              <w:top w:val="single" w:sz="4" w:space="0" w:color="auto"/>
              <w:left w:val="nil"/>
              <w:bottom w:val="single" w:sz="4" w:space="0" w:color="auto"/>
              <w:right w:val="nil"/>
            </w:tcBorders>
            <w:shd w:val="clear" w:color="auto" w:fill="FFFFFF" w:themeFill="background1"/>
            <w:noWrap/>
            <w:vAlign w:val="bottom"/>
            <w:hideMark/>
          </w:tcPr>
          <w:p w14:paraId="0059CF69" w14:textId="77777777" w:rsidR="00F1271F" w:rsidRPr="004C30D8" w:rsidRDefault="34B096E2" w:rsidP="34B096E2">
            <w:pPr>
              <w:spacing w:after="0"/>
              <w:jc w:val="left"/>
              <w:rPr>
                <w:sz w:val="22"/>
                <w:szCs w:val="22"/>
              </w:rPr>
            </w:pPr>
            <w:r w:rsidRPr="34B096E2">
              <w:rPr>
                <w:sz w:val="22"/>
                <w:szCs w:val="22"/>
              </w:rPr>
              <w:t> </w:t>
            </w:r>
          </w:p>
        </w:tc>
        <w:tc>
          <w:tcPr>
            <w:tcW w:w="41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076A060" w14:textId="77777777" w:rsidR="00F1271F" w:rsidRPr="004C30D8" w:rsidRDefault="34B096E2" w:rsidP="34B096E2">
            <w:pPr>
              <w:spacing w:after="0"/>
              <w:jc w:val="left"/>
              <w:rPr>
                <w:i/>
                <w:iCs/>
                <w:sz w:val="22"/>
                <w:szCs w:val="22"/>
              </w:rPr>
            </w:pPr>
            <w:r w:rsidRPr="34B096E2">
              <w:rPr>
                <w:i/>
                <w:iCs/>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34351" w14:textId="48995B27" w:rsidR="00F1271F" w:rsidRPr="004C30D8" w:rsidRDefault="00F1271F" w:rsidP="27083F14">
            <w:pPr>
              <w:spacing w:after="0"/>
              <w:jc w:val="left"/>
              <w:rPr>
                <w:i/>
                <w:iCs/>
                <w:sz w:val="22"/>
                <w:szCs w:val="22"/>
              </w:rPr>
            </w:pPr>
          </w:p>
        </w:tc>
        <w:tc>
          <w:tcPr>
            <w:tcW w:w="1110" w:type="dxa"/>
            <w:tcBorders>
              <w:top w:val="single" w:sz="4" w:space="0" w:color="auto"/>
              <w:left w:val="nil"/>
              <w:bottom w:val="single" w:sz="4" w:space="0" w:color="auto"/>
              <w:right w:val="single" w:sz="4" w:space="0" w:color="auto"/>
            </w:tcBorders>
            <w:shd w:val="clear" w:color="auto" w:fill="auto"/>
            <w:noWrap/>
            <w:vAlign w:val="bottom"/>
          </w:tcPr>
          <w:p w14:paraId="5C6A445C" w14:textId="75FB6688" w:rsidR="00F1271F" w:rsidRPr="004C30D8" w:rsidRDefault="00F1271F" w:rsidP="27083F14">
            <w:pPr>
              <w:spacing w:after="0"/>
              <w:jc w:val="left"/>
              <w:rPr>
                <w:i/>
                <w:iCs/>
                <w:sz w:val="22"/>
                <w:szCs w:val="22"/>
              </w:rPr>
            </w:pPr>
          </w:p>
        </w:tc>
      </w:tr>
      <w:tr w:rsidR="00E917FC" w:rsidRPr="004C30D8" w14:paraId="06C524E9" w14:textId="77777777" w:rsidTr="34B096E2">
        <w:trPr>
          <w:trHeight w:val="285"/>
          <w:jc w:val="center"/>
        </w:trPr>
        <w:tc>
          <w:tcPr>
            <w:tcW w:w="4727"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14:paraId="2A6256F1" w14:textId="77777777" w:rsidR="00E917FC" w:rsidRPr="004C30D8" w:rsidRDefault="34B096E2" w:rsidP="34B096E2">
            <w:pPr>
              <w:spacing w:after="0"/>
              <w:jc w:val="left"/>
              <w:rPr>
                <w:b/>
                <w:bCs/>
                <w:sz w:val="22"/>
                <w:szCs w:val="22"/>
              </w:rPr>
            </w:pPr>
            <w:r w:rsidRPr="34B096E2">
              <w:rPr>
                <w:b/>
                <w:bCs/>
                <w:sz w:val="22"/>
                <w:szCs w:val="22"/>
              </w:rPr>
              <w:t>2. Kiadás</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19AE1C5E" w14:textId="570D8CDF" w:rsidR="00E917FC" w:rsidRPr="004C30D8" w:rsidRDefault="007754F0" w:rsidP="34B096E2">
            <w:pPr>
              <w:spacing w:after="0"/>
              <w:jc w:val="right"/>
              <w:rPr>
                <w:b/>
                <w:bCs/>
                <w:sz w:val="22"/>
                <w:szCs w:val="22"/>
              </w:rPr>
            </w:pPr>
            <w:r>
              <w:rPr>
                <w:b/>
                <w:bCs/>
                <w:sz w:val="22"/>
                <w:szCs w:val="22"/>
              </w:rPr>
              <w:t>1021,2</w:t>
            </w:r>
          </w:p>
        </w:tc>
        <w:tc>
          <w:tcPr>
            <w:tcW w:w="1110" w:type="dxa"/>
            <w:tcBorders>
              <w:top w:val="nil"/>
              <w:left w:val="nil"/>
              <w:bottom w:val="single" w:sz="4" w:space="0" w:color="auto"/>
              <w:right w:val="single" w:sz="4" w:space="0" w:color="auto"/>
            </w:tcBorders>
            <w:shd w:val="clear" w:color="auto" w:fill="auto"/>
            <w:noWrap/>
            <w:vAlign w:val="bottom"/>
          </w:tcPr>
          <w:p w14:paraId="4782FA32" w14:textId="275539E5" w:rsidR="00E917FC" w:rsidRPr="004C30D8" w:rsidRDefault="007754F0" w:rsidP="34B096E2">
            <w:pPr>
              <w:spacing w:after="0"/>
              <w:jc w:val="right"/>
              <w:rPr>
                <w:b/>
                <w:bCs/>
                <w:sz w:val="22"/>
                <w:szCs w:val="22"/>
              </w:rPr>
            </w:pPr>
            <w:r>
              <w:rPr>
                <w:b/>
                <w:bCs/>
                <w:sz w:val="22"/>
                <w:szCs w:val="22"/>
              </w:rPr>
              <w:t>1162,5</w:t>
            </w:r>
          </w:p>
        </w:tc>
      </w:tr>
      <w:tr w:rsidR="00E917FC" w:rsidRPr="004C30D8" w14:paraId="7F40CE4A" w14:textId="77777777" w:rsidTr="34B096E2">
        <w:trPr>
          <w:trHeight w:val="300"/>
          <w:jc w:val="center"/>
        </w:trPr>
        <w:tc>
          <w:tcPr>
            <w:tcW w:w="195" w:type="dxa"/>
            <w:tcBorders>
              <w:top w:val="nil"/>
              <w:left w:val="single" w:sz="4" w:space="0" w:color="auto"/>
              <w:bottom w:val="single" w:sz="4" w:space="0" w:color="auto"/>
              <w:right w:val="nil"/>
            </w:tcBorders>
            <w:shd w:val="clear" w:color="auto" w:fill="FFFFFF" w:themeFill="background1"/>
            <w:noWrap/>
            <w:vAlign w:val="bottom"/>
            <w:hideMark/>
          </w:tcPr>
          <w:p w14:paraId="5425C2D4" w14:textId="77777777" w:rsidR="00E917FC" w:rsidRPr="004C30D8" w:rsidRDefault="34B096E2" w:rsidP="34B096E2">
            <w:pPr>
              <w:spacing w:after="0"/>
              <w:jc w:val="left"/>
              <w:rPr>
                <w:sz w:val="22"/>
                <w:szCs w:val="22"/>
              </w:rPr>
            </w:pPr>
            <w:r w:rsidRPr="34B096E2">
              <w:rPr>
                <w:sz w:val="22"/>
                <w:szCs w:val="22"/>
              </w:rPr>
              <w:t> </w:t>
            </w:r>
          </w:p>
        </w:tc>
        <w:tc>
          <w:tcPr>
            <w:tcW w:w="4532"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47B02418" w14:textId="77777777" w:rsidR="00E917FC" w:rsidRPr="004C30D8" w:rsidRDefault="34B096E2" w:rsidP="34B096E2">
            <w:pPr>
              <w:spacing w:after="0"/>
              <w:jc w:val="left"/>
              <w:rPr>
                <w:b/>
                <w:bCs/>
                <w:sz w:val="22"/>
                <w:szCs w:val="22"/>
              </w:rPr>
            </w:pPr>
            <w:r w:rsidRPr="34B096E2">
              <w:rPr>
                <w:b/>
                <w:bCs/>
                <w:sz w:val="22"/>
                <w:szCs w:val="22"/>
              </w:rPr>
              <w:t>2.1 Forint</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B6587D5" w14:textId="2593C536" w:rsidR="00E917FC" w:rsidRPr="004C30D8" w:rsidRDefault="007754F0" w:rsidP="34B096E2">
            <w:pPr>
              <w:spacing w:after="0"/>
              <w:jc w:val="right"/>
              <w:rPr>
                <w:b/>
                <w:bCs/>
                <w:sz w:val="22"/>
                <w:szCs w:val="22"/>
              </w:rPr>
            </w:pPr>
            <w:r>
              <w:rPr>
                <w:b/>
                <w:bCs/>
                <w:sz w:val="22"/>
                <w:szCs w:val="22"/>
              </w:rPr>
              <w:t>842,2</w:t>
            </w:r>
          </w:p>
        </w:tc>
        <w:tc>
          <w:tcPr>
            <w:tcW w:w="1110" w:type="dxa"/>
            <w:tcBorders>
              <w:top w:val="nil"/>
              <w:left w:val="nil"/>
              <w:bottom w:val="single" w:sz="4" w:space="0" w:color="auto"/>
              <w:right w:val="single" w:sz="4" w:space="0" w:color="auto"/>
            </w:tcBorders>
            <w:shd w:val="clear" w:color="auto" w:fill="auto"/>
            <w:noWrap/>
            <w:vAlign w:val="bottom"/>
          </w:tcPr>
          <w:p w14:paraId="1118CB6D" w14:textId="1D8A0722" w:rsidR="00E917FC" w:rsidRPr="004C30D8" w:rsidRDefault="007754F0" w:rsidP="34B096E2">
            <w:pPr>
              <w:spacing w:after="0"/>
              <w:jc w:val="right"/>
              <w:rPr>
                <w:b/>
                <w:bCs/>
                <w:sz w:val="22"/>
                <w:szCs w:val="22"/>
              </w:rPr>
            </w:pPr>
            <w:r>
              <w:rPr>
                <w:b/>
                <w:bCs/>
                <w:sz w:val="22"/>
                <w:szCs w:val="22"/>
              </w:rPr>
              <w:t>934,9</w:t>
            </w:r>
          </w:p>
        </w:tc>
      </w:tr>
      <w:tr w:rsidR="00E917FC" w:rsidRPr="004C30D8" w14:paraId="3182E062" w14:textId="77777777" w:rsidTr="34B096E2">
        <w:trPr>
          <w:trHeight w:val="300"/>
          <w:jc w:val="center"/>
        </w:trPr>
        <w:tc>
          <w:tcPr>
            <w:tcW w:w="195" w:type="dxa"/>
            <w:tcBorders>
              <w:top w:val="nil"/>
              <w:left w:val="single" w:sz="4" w:space="0" w:color="auto"/>
              <w:bottom w:val="nil"/>
              <w:right w:val="nil"/>
            </w:tcBorders>
            <w:shd w:val="clear" w:color="auto" w:fill="FFFFFF" w:themeFill="background1"/>
            <w:noWrap/>
            <w:vAlign w:val="bottom"/>
            <w:hideMark/>
          </w:tcPr>
          <w:p w14:paraId="7436E7D6" w14:textId="77777777" w:rsidR="00E917FC" w:rsidRPr="004C30D8" w:rsidRDefault="34B096E2" w:rsidP="34B096E2">
            <w:pPr>
              <w:spacing w:after="0"/>
              <w:jc w:val="left"/>
              <w:rPr>
                <w:sz w:val="22"/>
                <w:szCs w:val="22"/>
              </w:rPr>
            </w:pPr>
            <w:r w:rsidRPr="34B096E2">
              <w:rPr>
                <w:sz w:val="22"/>
                <w:szCs w:val="22"/>
              </w:rPr>
              <w:t> </w:t>
            </w:r>
          </w:p>
        </w:tc>
        <w:tc>
          <w:tcPr>
            <w:tcW w:w="340" w:type="dxa"/>
            <w:tcBorders>
              <w:top w:val="nil"/>
              <w:left w:val="nil"/>
              <w:bottom w:val="nil"/>
              <w:right w:val="nil"/>
            </w:tcBorders>
            <w:shd w:val="clear" w:color="auto" w:fill="FFFFFF" w:themeFill="background1"/>
            <w:noWrap/>
            <w:vAlign w:val="bottom"/>
            <w:hideMark/>
          </w:tcPr>
          <w:p w14:paraId="7968FFCA" w14:textId="77777777" w:rsidR="00E917FC" w:rsidRPr="004C30D8" w:rsidRDefault="34B096E2" w:rsidP="34B096E2">
            <w:pPr>
              <w:spacing w:after="0"/>
              <w:jc w:val="left"/>
              <w:rPr>
                <w:sz w:val="22"/>
                <w:szCs w:val="22"/>
              </w:rPr>
            </w:pPr>
            <w:r w:rsidRPr="34B096E2">
              <w:rPr>
                <w:sz w:val="22"/>
                <w:szCs w:val="22"/>
              </w:rPr>
              <w:t> </w:t>
            </w:r>
          </w:p>
        </w:tc>
        <w:tc>
          <w:tcPr>
            <w:tcW w:w="4192" w:type="dxa"/>
            <w:tcBorders>
              <w:top w:val="nil"/>
              <w:left w:val="nil"/>
              <w:bottom w:val="nil"/>
              <w:right w:val="single" w:sz="4" w:space="0" w:color="auto"/>
            </w:tcBorders>
            <w:shd w:val="clear" w:color="auto" w:fill="FFFFFF" w:themeFill="background1"/>
            <w:noWrap/>
            <w:vAlign w:val="bottom"/>
            <w:hideMark/>
          </w:tcPr>
          <w:p w14:paraId="4C29DCBF" w14:textId="77777777" w:rsidR="00E917FC" w:rsidRPr="004C30D8" w:rsidRDefault="34B096E2" w:rsidP="34B096E2">
            <w:pPr>
              <w:spacing w:after="0"/>
              <w:jc w:val="left"/>
              <w:rPr>
                <w:i/>
                <w:iCs/>
                <w:sz w:val="22"/>
                <w:szCs w:val="22"/>
              </w:rPr>
            </w:pPr>
            <w:r w:rsidRPr="34B096E2">
              <w:rPr>
                <w:i/>
                <w:iCs/>
                <w:sz w:val="22"/>
                <w:szCs w:val="22"/>
              </w:rPr>
              <w:t>2.1.1. Forinthitelek kamata</w:t>
            </w:r>
          </w:p>
        </w:tc>
        <w:tc>
          <w:tcPr>
            <w:tcW w:w="1134" w:type="dxa"/>
            <w:tcBorders>
              <w:top w:val="nil"/>
              <w:left w:val="single" w:sz="4" w:space="0" w:color="auto"/>
              <w:bottom w:val="nil"/>
              <w:right w:val="single" w:sz="4" w:space="0" w:color="auto"/>
            </w:tcBorders>
            <w:shd w:val="clear" w:color="auto" w:fill="auto"/>
            <w:noWrap/>
            <w:vAlign w:val="bottom"/>
          </w:tcPr>
          <w:p w14:paraId="7D0668AB" w14:textId="08031CCB" w:rsidR="00E917FC" w:rsidRPr="004C30D8" w:rsidRDefault="007754F0" w:rsidP="34B096E2">
            <w:pPr>
              <w:spacing w:after="0"/>
              <w:jc w:val="right"/>
              <w:rPr>
                <w:i/>
                <w:iCs/>
                <w:sz w:val="22"/>
                <w:szCs w:val="22"/>
              </w:rPr>
            </w:pPr>
            <w:r>
              <w:rPr>
                <w:i/>
                <w:iCs/>
                <w:sz w:val="22"/>
                <w:szCs w:val="22"/>
              </w:rPr>
              <w:t>21,5</w:t>
            </w:r>
          </w:p>
        </w:tc>
        <w:tc>
          <w:tcPr>
            <w:tcW w:w="1110" w:type="dxa"/>
            <w:tcBorders>
              <w:top w:val="nil"/>
              <w:left w:val="nil"/>
              <w:bottom w:val="nil"/>
              <w:right w:val="single" w:sz="4" w:space="0" w:color="auto"/>
            </w:tcBorders>
            <w:shd w:val="clear" w:color="auto" w:fill="auto"/>
            <w:noWrap/>
            <w:vAlign w:val="bottom"/>
          </w:tcPr>
          <w:p w14:paraId="79EA6DCA" w14:textId="5865B32C" w:rsidR="00E917FC" w:rsidRPr="004C30D8" w:rsidRDefault="007754F0" w:rsidP="34B096E2">
            <w:pPr>
              <w:spacing w:after="0"/>
              <w:jc w:val="right"/>
              <w:rPr>
                <w:i/>
                <w:iCs/>
                <w:sz w:val="22"/>
                <w:szCs w:val="22"/>
              </w:rPr>
            </w:pPr>
            <w:r>
              <w:rPr>
                <w:i/>
                <w:iCs/>
                <w:sz w:val="22"/>
                <w:szCs w:val="22"/>
              </w:rPr>
              <w:t>23</w:t>
            </w:r>
            <w:r w:rsidR="34B096E2" w:rsidRPr="34B096E2">
              <w:rPr>
                <w:i/>
                <w:iCs/>
                <w:sz w:val="22"/>
                <w:szCs w:val="22"/>
              </w:rPr>
              <w:t>,2</w:t>
            </w:r>
          </w:p>
        </w:tc>
      </w:tr>
      <w:tr w:rsidR="00E917FC" w:rsidRPr="004C30D8" w14:paraId="54BAEB82" w14:textId="77777777" w:rsidTr="34B096E2">
        <w:trPr>
          <w:trHeight w:val="300"/>
          <w:jc w:val="center"/>
        </w:trPr>
        <w:tc>
          <w:tcPr>
            <w:tcW w:w="195" w:type="dxa"/>
            <w:tcBorders>
              <w:top w:val="nil"/>
              <w:left w:val="single" w:sz="4" w:space="0" w:color="auto"/>
              <w:bottom w:val="nil"/>
              <w:right w:val="nil"/>
            </w:tcBorders>
            <w:shd w:val="clear" w:color="auto" w:fill="FFFFFF" w:themeFill="background1"/>
            <w:noWrap/>
            <w:vAlign w:val="bottom"/>
            <w:hideMark/>
          </w:tcPr>
          <w:p w14:paraId="04E6EF24" w14:textId="77777777" w:rsidR="00E917FC" w:rsidRPr="004C30D8" w:rsidRDefault="34B096E2" w:rsidP="34B096E2">
            <w:pPr>
              <w:spacing w:after="0"/>
              <w:jc w:val="left"/>
              <w:rPr>
                <w:sz w:val="22"/>
                <w:szCs w:val="22"/>
              </w:rPr>
            </w:pPr>
            <w:r w:rsidRPr="34B096E2">
              <w:rPr>
                <w:sz w:val="22"/>
                <w:szCs w:val="22"/>
              </w:rPr>
              <w:t> </w:t>
            </w:r>
          </w:p>
        </w:tc>
        <w:tc>
          <w:tcPr>
            <w:tcW w:w="340" w:type="dxa"/>
            <w:tcBorders>
              <w:top w:val="nil"/>
              <w:left w:val="nil"/>
              <w:bottom w:val="nil"/>
              <w:right w:val="nil"/>
            </w:tcBorders>
            <w:shd w:val="clear" w:color="auto" w:fill="FFFFFF" w:themeFill="background1"/>
            <w:noWrap/>
            <w:vAlign w:val="bottom"/>
            <w:hideMark/>
          </w:tcPr>
          <w:p w14:paraId="2A70DBE5" w14:textId="77777777" w:rsidR="00E917FC" w:rsidRPr="004C30D8" w:rsidRDefault="34B096E2" w:rsidP="34B096E2">
            <w:pPr>
              <w:spacing w:after="0"/>
              <w:jc w:val="left"/>
              <w:rPr>
                <w:sz w:val="22"/>
                <w:szCs w:val="22"/>
              </w:rPr>
            </w:pPr>
            <w:r w:rsidRPr="34B096E2">
              <w:rPr>
                <w:sz w:val="22"/>
                <w:szCs w:val="22"/>
              </w:rPr>
              <w:t> </w:t>
            </w:r>
          </w:p>
        </w:tc>
        <w:tc>
          <w:tcPr>
            <w:tcW w:w="4192" w:type="dxa"/>
            <w:tcBorders>
              <w:top w:val="nil"/>
              <w:left w:val="nil"/>
              <w:bottom w:val="nil"/>
              <w:right w:val="single" w:sz="4" w:space="0" w:color="auto"/>
            </w:tcBorders>
            <w:shd w:val="clear" w:color="auto" w:fill="FFFFFF" w:themeFill="background1"/>
            <w:noWrap/>
            <w:vAlign w:val="bottom"/>
            <w:hideMark/>
          </w:tcPr>
          <w:p w14:paraId="46B0B349" w14:textId="77777777" w:rsidR="00E917FC" w:rsidRPr="004C30D8" w:rsidRDefault="34B096E2" w:rsidP="34B096E2">
            <w:pPr>
              <w:spacing w:after="0"/>
              <w:jc w:val="left"/>
              <w:rPr>
                <w:i/>
                <w:iCs/>
                <w:sz w:val="22"/>
                <w:szCs w:val="22"/>
              </w:rPr>
            </w:pPr>
            <w:r w:rsidRPr="34B096E2">
              <w:rPr>
                <w:i/>
                <w:iCs/>
                <w:sz w:val="22"/>
                <w:szCs w:val="22"/>
              </w:rPr>
              <w:t>2.1.2. Államkötvények kamata</w:t>
            </w:r>
          </w:p>
        </w:tc>
        <w:tc>
          <w:tcPr>
            <w:tcW w:w="1134" w:type="dxa"/>
            <w:tcBorders>
              <w:top w:val="nil"/>
              <w:left w:val="single" w:sz="4" w:space="0" w:color="auto"/>
              <w:bottom w:val="nil"/>
              <w:right w:val="single" w:sz="4" w:space="0" w:color="auto"/>
            </w:tcBorders>
            <w:shd w:val="clear" w:color="auto" w:fill="auto"/>
            <w:noWrap/>
            <w:vAlign w:val="bottom"/>
          </w:tcPr>
          <w:p w14:paraId="03DAE239" w14:textId="625E5625" w:rsidR="00E917FC" w:rsidRPr="004C30D8" w:rsidRDefault="007754F0" w:rsidP="34B096E2">
            <w:pPr>
              <w:spacing w:after="0"/>
              <w:jc w:val="right"/>
              <w:rPr>
                <w:i/>
                <w:iCs/>
                <w:sz w:val="22"/>
                <w:szCs w:val="22"/>
              </w:rPr>
            </w:pPr>
            <w:r>
              <w:rPr>
                <w:i/>
                <w:iCs/>
                <w:sz w:val="22"/>
                <w:szCs w:val="22"/>
              </w:rPr>
              <w:t>744,1</w:t>
            </w:r>
          </w:p>
        </w:tc>
        <w:tc>
          <w:tcPr>
            <w:tcW w:w="1110" w:type="dxa"/>
            <w:tcBorders>
              <w:top w:val="nil"/>
              <w:left w:val="nil"/>
              <w:bottom w:val="nil"/>
              <w:right w:val="single" w:sz="4" w:space="0" w:color="auto"/>
            </w:tcBorders>
            <w:shd w:val="clear" w:color="auto" w:fill="auto"/>
            <w:noWrap/>
            <w:vAlign w:val="bottom"/>
          </w:tcPr>
          <w:p w14:paraId="7F254AFE" w14:textId="3919FE65" w:rsidR="00E917FC" w:rsidRPr="004C30D8" w:rsidRDefault="007754F0" w:rsidP="34B096E2">
            <w:pPr>
              <w:spacing w:after="0"/>
              <w:jc w:val="right"/>
              <w:rPr>
                <w:i/>
                <w:iCs/>
                <w:sz w:val="22"/>
                <w:szCs w:val="22"/>
              </w:rPr>
            </w:pPr>
            <w:r>
              <w:rPr>
                <w:i/>
                <w:iCs/>
                <w:sz w:val="22"/>
                <w:szCs w:val="22"/>
              </w:rPr>
              <w:t>845,3</w:t>
            </w:r>
          </w:p>
        </w:tc>
      </w:tr>
      <w:tr w:rsidR="00E917FC" w:rsidRPr="004C30D8" w14:paraId="51F007CB" w14:textId="77777777" w:rsidTr="34B096E2">
        <w:trPr>
          <w:trHeight w:val="300"/>
          <w:jc w:val="center"/>
        </w:trPr>
        <w:tc>
          <w:tcPr>
            <w:tcW w:w="195" w:type="dxa"/>
            <w:tcBorders>
              <w:top w:val="nil"/>
              <w:left w:val="single" w:sz="4" w:space="0" w:color="auto"/>
              <w:bottom w:val="nil"/>
              <w:right w:val="nil"/>
            </w:tcBorders>
            <w:shd w:val="clear" w:color="auto" w:fill="FFFFFF" w:themeFill="background1"/>
            <w:noWrap/>
            <w:vAlign w:val="bottom"/>
            <w:hideMark/>
          </w:tcPr>
          <w:p w14:paraId="21E9B006" w14:textId="77777777" w:rsidR="00E917FC" w:rsidRPr="004C30D8" w:rsidRDefault="34B096E2" w:rsidP="34B096E2">
            <w:pPr>
              <w:spacing w:after="0"/>
              <w:jc w:val="left"/>
              <w:rPr>
                <w:sz w:val="22"/>
                <w:szCs w:val="22"/>
              </w:rPr>
            </w:pPr>
            <w:r w:rsidRPr="34B096E2">
              <w:rPr>
                <w:sz w:val="22"/>
                <w:szCs w:val="22"/>
              </w:rPr>
              <w:t> </w:t>
            </w:r>
          </w:p>
        </w:tc>
        <w:tc>
          <w:tcPr>
            <w:tcW w:w="340" w:type="dxa"/>
            <w:tcBorders>
              <w:top w:val="nil"/>
              <w:left w:val="nil"/>
              <w:bottom w:val="nil"/>
              <w:right w:val="nil"/>
            </w:tcBorders>
            <w:shd w:val="clear" w:color="auto" w:fill="FFFFFF" w:themeFill="background1"/>
            <w:noWrap/>
            <w:vAlign w:val="bottom"/>
            <w:hideMark/>
          </w:tcPr>
          <w:p w14:paraId="1D1288D5" w14:textId="77777777" w:rsidR="00E917FC" w:rsidRPr="004C30D8" w:rsidRDefault="34B096E2" w:rsidP="34B096E2">
            <w:pPr>
              <w:spacing w:after="0"/>
              <w:jc w:val="left"/>
              <w:rPr>
                <w:sz w:val="22"/>
                <w:szCs w:val="22"/>
              </w:rPr>
            </w:pPr>
            <w:r w:rsidRPr="34B096E2">
              <w:rPr>
                <w:sz w:val="22"/>
                <w:szCs w:val="22"/>
              </w:rPr>
              <w:t> </w:t>
            </w:r>
          </w:p>
        </w:tc>
        <w:tc>
          <w:tcPr>
            <w:tcW w:w="4192" w:type="dxa"/>
            <w:tcBorders>
              <w:top w:val="nil"/>
              <w:left w:val="nil"/>
              <w:bottom w:val="nil"/>
              <w:right w:val="single" w:sz="4" w:space="0" w:color="auto"/>
            </w:tcBorders>
            <w:shd w:val="clear" w:color="auto" w:fill="FFFFFF" w:themeFill="background1"/>
            <w:noWrap/>
            <w:vAlign w:val="bottom"/>
            <w:hideMark/>
          </w:tcPr>
          <w:p w14:paraId="6B182520" w14:textId="77777777" w:rsidR="00E917FC" w:rsidRPr="004C30D8" w:rsidRDefault="34B096E2" w:rsidP="34B096E2">
            <w:pPr>
              <w:spacing w:after="0"/>
              <w:jc w:val="left"/>
              <w:rPr>
                <w:i/>
                <w:iCs/>
                <w:sz w:val="22"/>
                <w:szCs w:val="22"/>
              </w:rPr>
            </w:pPr>
            <w:r w:rsidRPr="34B096E2">
              <w:rPr>
                <w:i/>
                <w:iCs/>
                <w:sz w:val="22"/>
                <w:szCs w:val="22"/>
              </w:rPr>
              <w:t>2.1.3. Kincstárjegyek kamata</w:t>
            </w:r>
          </w:p>
        </w:tc>
        <w:tc>
          <w:tcPr>
            <w:tcW w:w="1134" w:type="dxa"/>
            <w:tcBorders>
              <w:top w:val="nil"/>
              <w:left w:val="single" w:sz="4" w:space="0" w:color="auto"/>
              <w:bottom w:val="nil"/>
              <w:right w:val="single" w:sz="4" w:space="0" w:color="auto"/>
            </w:tcBorders>
            <w:shd w:val="clear" w:color="auto" w:fill="auto"/>
            <w:noWrap/>
            <w:vAlign w:val="bottom"/>
          </w:tcPr>
          <w:p w14:paraId="18551CFC" w14:textId="23B92C0C" w:rsidR="00E917FC" w:rsidRPr="004C30D8" w:rsidRDefault="007754F0" w:rsidP="34B096E2">
            <w:pPr>
              <w:spacing w:after="0"/>
              <w:jc w:val="right"/>
              <w:rPr>
                <w:i/>
                <w:iCs/>
                <w:sz w:val="22"/>
                <w:szCs w:val="22"/>
              </w:rPr>
            </w:pPr>
            <w:r>
              <w:rPr>
                <w:i/>
                <w:iCs/>
                <w:sz w:val="22"/>
                <w:szCs w:val="22"/>
              </w:rPr>
              <w:t>76,7</w:t>
            </w:r>
          </w:p>
        </w:tc>
        <w:tc>
          <w:tcPr>
            <w:tcW w:w="1110" w:type="dxa"/>
            <w:tcBorders>
              <w:top w:val="nil"/>
              <w:left w:val="nil"/>
              <w:bottom w:val="nil"/>
              <w:right w:val="single" w:sz="4" w:space="0" w:color="auto"/>
            </w:tcBorders>
            <w:shd w:val="clear" w:color="auto" w:fill="auto"/>
            <w:noWrap/>
            <w:vAlign w:val="bottom"/>
          </w:tcPr>
          <w:p w14:paraId="1445B9A7" w14:textId="2CE849E1" w:rsidR="00E917FC" w:rsidRPr="004C30D8" w:rsidRDefault="007754F0" w:rsidP="34B096E2">
            <w:pPr>
              <w:spacing w:after="0"/>
              <w:jc w:val="right"/>
              <w:rPr>
                <w:i/>
                <w:iCs/>
                <w:sz w:val="22"/>
                <w:szCs w:val="22"/>
              </w:rPr>
            </w:pPr>
            <w:r>
              <w:rPr>
                <w:i/>
                <w:iCs/>
                <w:sz w:val="22"/>
                <w:szCs w:val="22"/>
              </w:rPr>
              <w:t>66,4</w:t>
            </w:r>
          </w:p>
        </w:tc>
      </w:tr>
      <w:tr w:rsidR="00E917FC" w:rsidRPr="004C30D8" w14:paraId="3B42D0AF" w14:textId="77777777" w:rsidTr="34B096E2">
        <w:trPr>
          <w:trHeight w:val="300"/>
          <w:jc w:val="center"/>
        </w:trPr>
        <w:tc>
          <w:tcPr>
            <w:tcW w:w="195" w:type="dxa"/>
            <w:tcBorders>
              <w:top w:val="nil"/>
              <w:left w:val="single" w:sz="4" w:space="0" w:color="auto"/>
              <w:bottom w:val="nil"/>
              <w:right w:val="nil"/>
            </w:tcBorders>
            <w:shd w:val="clear" w:color="auto" w:fill="FFFFFF" w:themeFill="background1"/>
            <w:noWrap/>
            <w:vAlign w:val="bottom"/>
            <w:hideMark/>
          </w:tcPr>
          <w:p w14:paraId="0067E592" w14:textId="77777777" w:rsidR="00E917FC" w:rsidRPr="004C30D8" w:rsidRDefault="34B096E2" w:rsidP="34B096E2">
            <w:pPr>
              <w:spacing w:after="0"/>
              <w:jc w:val="left"/>
              <w:rPr>
                <w:sz w:val="22"/>
                <w:szCs w:val="22"/>
              </w:rPr>
            </w:pPr>
            <w:r w:rsidRPr="34B096E2">
              <w:rPr>
                <w:sz w:val="22"/>
                <w:szCs w:val="22"/>
              </w:rPr>
              <w:t> </w:t>
            </w:r>
          </w:p>
        </w:tc>
        <w:tc>
          <w:tcPr>
            <w:tcW w:w="340" w:type="dxa"/>
            <w:tcBorders>
              <w:top w:val="nil"/>
              <w:left w:val="nil"/>
              <w:bottom w:val="nil"/>
              <w:right w:val="nil"/>
            </w:tcBorders>
            <w:shd w:val="clear" w:color="auto" w:fill="FFFFFF" w:themeFill="background1"/>
            <w:noWrap/>
            <w:vAlign w:val="bottom"/>
            <w:hideMark/>
          </w:tcPr>
          <w:p w14:paraId="2CDEB7F4" w14:textId="77777777" w:rsidR="00E917FC" w:rsidRPr="004C30D8" w:rsidRDefault="34B096E2" w:rsidP="34B096E2">
            <w:pPr>
              <w:spacing w:after="0"/>
              <w:jc w:val="left"/>
              <w:rPr>
                <w:sz w:val="22"/>
                <w:szCs w:val="22"/>
              </w:rPr>
            </w:pPr>
            <w:r w:rsidRPr="34B096E2">
              <w:rPr>
                <w:sz w:val="22"/>
                <w:szCs w:val="22"/>
              </w:rPr>
              <w:t> </w:t>
            </w:r>
          </w:p>
        </w:tc>
        <w:tc>
          <w:tcPr>
            <w:tcW w:w="4192" w:type="dxa"/>
            <w:tcBorders>
              <w:top w:val="nil"/>
              <w:left w:val="nil"/>
              <w:bottom w:val="nil"/>
              <w:right w:val="single" w:sz="4" w:space="0" w:color="auto"/>
            </w:tcBorders>
            <w:shd w:val="clear" w:color="auto" w:fill="FFFFFF" w:themeFill="background1"/>
            <w:noWrap/>
            <w:vAlign w:val="bottom"/>
            <w:hideMark/>
          </w:tcPr>
          <w:p w14:paraId="7743E208" w14:textId="77777777" w:rsidR="00E917FC" w:rsidRPr="004C30D8" w:rsidRDefault="34B096E2" w:rsidP="34B096E2">
            <w:pPr>
              <w:spacing w:after="0"/>
              <w:jc w:val="left"/>
              <w:rPr>
                <w:i/>
                <w:iCs/>
                <w:sz w:val="22"/>
                <w:szCs w:val="22"/>
              </w:rPr>
            </w:pPr>
            <w:r w:rsidRPr="34B096E2">
              <w:rPr>
                <w:i/>
                <w:iCs/>
                <w:sz w:val="22"/>
                <w:szCs w:val="22"/>
              </w:rPr>
              <w:t xml:space="preserve">2.1.4. </w:t>
            </w:r>
            <w:proofErr w:type="spellStart"/>
            <w:r w:rsidRPr="34B096E2">
              <w:rPr>
                <w:i/>
                <w:iCs/>
                <w:sz w:val="22"/>
                <w:szCs w:val="22"/>
              </w:rPr>
              <w:t>Repóügyletek</w:t>
            </w:r>
            <w:proofErr w:type="spellEnd"/>
            <w:r w:rsidRPr="34B096E2">
              <w:rPr>
                <w:i/>
                <w:iCs/>
                <w:sz w:val="22"/>
                <w:szCs w:val="22"/>
              </w:rPr>
              <w:t xml:space="preserve"> kamata</w:t>
            </w:r>
          </w:p>
        </w:tc>
        <w:tc>
          <w:tcPr>
            <w:tcW w:w="1134" w:type="dxa"/>
            <w:tcBorders>
              <w:top w:val="nil"/>
              <w:left w:val="single" w:sz="4" w:space="0" w:color="auto"/>
              <w:bottom w:val="nil"/>
              <w:right w:val="single" w:sz="4" w:space="0" w:color="auto"/>
            </w:tcBorders>
            <w:shd w:val="clear" w:color="auto" w:fill="auto"/>
            <w:noWrap/>
            <w:vAlign w:val="bottom"/>
          </w:tcPr>
          <w:p w14:paraId="024345B2" w14:textId="1B44842A" w:rsidR="00E917FC" w:rsidRPr="004C30D8" w:rsidRDefault="007754F0" w:rsidP="34B096E2">
            <w:pPr>
              <w:spacing w:after="0"/>
              <w:jc w:val="right"/>
              <w:rPr>
                <w:i/>
                <w:iCs/>
                <w:sz w:val="22"/>
                <w:szCs w:val="22"/>
              </w:rPr>
            </w:pPr>
            <w:r>
              <w:rPr>
                <w:i/>
                <w:iCs/>
                <w:sz w:val="22"/>
                <w:szCs w:val="22"/>
              </w:rPr>
              <w:t>-</w:t>
            </w:r>
            <w:r w:rsidR="34B096E2" w:rsidRPr="34B096E2">
              <w:rPr>
                <w:i/>
                <w:iCs/>
                <w:sz w:val="22"/>
                <w:szCs w:val="22"/>
              </w:rPr>
              <w:t>0,</w:t>
            </w:r>
            <w:r>
              <w:rPr>
                <w:i/>
                <w:iCs/>
                <w:sz w:val="22"/>
                <w:szCs w:val="22"/>
              </w:rPr>
              <w:t>1</w:t>
            </w:r>
          </w:p>
        </w:tc>
        <w:tc>
          <w:tcPr>
            <w:tcW w:w="1110" w:type="dxa"/>
            <w:tcBorders>
              <w:top w:val="nil"/>
              <w:left w:val="nil"/>
              <w:bottom w:val="nil"/>
              <w:right w:val="single" w:sz="4" w:space="0" w:color="auto"/>
            </w:tcBorders>
            <w:shd w:val="clear" w:color="auto" w:fill="auto"/>
            <w:noWrap/>
            <w:vAlign w:val="bottom"/>
          </w:tcPr>
          <w:p w14:paraId="69D569A5" w14:textId="405001F2" w:rsidR="00E917FC" w:rsidRPr="004C30D8" w:rsidRDefault="34B096E2" w:rsidP="34B096E2">
            <w:pPr>
              <w:spacing w:after="0"/>
              <w:jc w:val="right"/>
              <w:rPr>
                <w:i/>
                <w:iCs/>
                <w:sz w:val="22"/>
                <w:szCs w:val="22"/>
              </w:rPr>
            </w:pPr>
            <w:r w:rsidRPr="34B096E2">
              <w:rPr>
                <w:i/>
                <w:iCs/>
                <w:sz w:val="22"/>
                <w:szCs w:val="22"/>
              </w:rPr>
              <w:t>0,</w:t>
            </w:r>
            <w:proofErr w:type="spellStart"/>
            <w:r w:rsidRPr="34B096E2">
              <w:rPr>
                <w:i/>
                <w:iCs/>
                <w:sz w:val="22"/>
                <w:szCs w:val="22"/>
              </w:rPr>
              <w:t>0</w:t>
            </w:r>
            <w:proofErr w:type="spellEnd"/>
          </w:p>
        </w:tc>
      </w:tr>
      <w:tr w:rsidR="00E917FC" w:rsidRPr="004C30D8" w14:paraId="3CDF4154" w14:textId="77777777" w:rsidTr="34B096E2">
        <w:trPr>
          <w:trHeight w:val="300"/>
          <w:jc w:val="center"/>
        </w:trPr>
        <w:tc>
          <w:tcPr>
            <w:tcW w:w="195" w:type="dxa"/>
            <w:tcBorders>
              <w:top w:val="nil"/>
              <w:left w:val="single" w:sz="4" w:space="0" w:color="auto"/>
              <w:bottom w:val="single" w:sz="4" w:space="0" w:color="auto"/>
              <w:right w:val="nil"/>
            </w:tcBorders>
            <w:shd w:val="clear" w:color="auto" w:fill="FFFFFF" w:themeFill="background1"/>
            <w:noWrap/>
            <w:vAlign w:val="bottom"/>
            <w:hideMark/>
          </w:tcPr>
          <w:p w14:paraId="0D4CB014" w14:textId="77777777" w:rsidR="00E917FC" w:rsidRPr="004C30D8" w:rsidRDefault="34B096E2" w:rsidP="34B096E2">
            <w:pPr>
              <w:spacing w:after="0"/>
              <w:jc w:val="left"/>
              <w:rPr>
                <w:sz w:val="22"/>
                <w:szCs w:val="22"/>
              </w:rPr>
            </w:pPr>
            <w:r w:rsidRPr="34B096E2">
              <w:rPr>
                <w:sz w:val="22"/>
                <w:szCs w:val="22"/>
              </w:rPr>
              <w:t> </w:t>
            </w:r>
          </w:p>
        </w:tc>
        <w:tc>
          <w:tcPr>
            <w:tcW w:w="340" w:type="dxa"/>
            <w:tcBorders>
              <w:top w:val="nil"/>
              <w:left w:val="nil"/>
              <w:bottom w:val="single" w:sz="4" w:space="0" w:color="auto"/>
              <w:right w:val="nil"/>
            </w:tcBorders>
            <w:shd w:val="clear" w:color="auto" w:fill="FFFFFF" w:themeFill="background1"/>
            <w:noWrap/>
            <w:vAlign w:val="bottom"/>
            <w:hideMark/>
          </w:tcPr>
          <w:p w14:paraId="520BB553" w14:textId="77777777" w:rsidR="00E917FC" w:rsidRPr="004C30D8" w:rsidRDefault="34B096E2" w:rsidP="34B096E2">
            <w:pPr>
              <w:spacing w:after="0"/>
              <w:jc w:val="left"/>
              <w:rPr>
                <w:sz w:val="22"/>
                <w:szCs w:val="22"/>
              </w:rPr>
            </w:pPr>
            <w:r w:rsidRPr="34B096E2">
              <w:rPr>
                <w:sz w:val="22"/>
                <w:szCs w:val="22"/>
              </w:rPr>
              <w:t> </w:t>
            </w:r>
          </w:p>
        </w:tc>
        <w:tc>
          <w:tcPr>
            <w:tcW w:w="4192" w:type="dxa"/>
            <w:tcBorders>
              <w:top w:val="nil"/>
              <w:left w:val="nil"/>
              <w:bottom w:val="single" w:sz="4" w:space="0" w:color="auto"/>
              <w:right w:val="single" w:sz="4" w:space="0" w:color="auto"/>
            </w:tcBorders>
            <w:shd w:val="clear" w:color="auto" w:fill="FFFFFF" w:themeFill="background1"/>
            <w:noWrap/>
            <w:vAlign w:val="bottom"/>
            <w:hideMark/>
          </w:tcPr>
          <w:p w14:paraId="263804A0" w14:textId="77777777" w:rsidR="00E917FC" w:rsidRPr="004C30D8" w:rsidRDefault="34B096E2" w:rsidP="34B096E2">
            <w:pPr>
              <w:spacing w:after="0"/>
              <w:jc w:val="left"/>
              <w:rPr>
                <w:i/>
                <w:iCs/>
                <w:sz w:val="22"/>
                <w:szCs w:val="22"/>
              </w:rPr>
            </w:pPr>
            <w:r w:rsidRPr="34B096E2">
              <w:rPr>
                <w:i/>
                <w:iCs/>
                <w:sz w:val="22"/>
                <w:szCs w:val="22"/>
              </w:rPr>
              <w:t>2.1.5. Egyéb függő tételek</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E162EF0" w14:textId="1732F4E3" w:rsidR="00E917FC" w:rsidRPr="004C30D8" w:rsidRDefault="34B096E2" w:rsidP="34B096E2">
            <w:pPr>
              <w:spacing w:after="0"/>
              <w:jc w:val="right"/>
              <w:rPr>
                <w:i/>
                <w:iCs/>
                <w:sz w:val="22"/>
                <w:szCs w:val="22"/>
              </w:rPr>
            </w:pPr>
            <w:r w:rsidRPr="34B096E2">
              <w:rPr>
                <w:i/>
                <w:iCs/>
                <w:sz w:val="22"/>
                <w:szCs w:val="22"/>
              </w:rPr>
              <w:t>0,</w:t>
            </w:r>
            <w:proofErr w:type="spellStart"/>
            <w:r w:rsidRPr="34B096E2">
              <w:rPr>
                <w:i/>
                <w:iCs/>
                <w:sz w:val="22"/>
                <w:szCs w:val="22"/>
              </w:rPr>
              <w:t>0</w:t>
            </w:r>
            <w:proofErr w:type="spellEnd"/>
          </w:p>
        </w:tc>
        <w:tc>
          <w:tcPr>
            <w:tcW w:w="1110" w:type="dxa"/>
            <w:tcBorders>
              <w:top w:val="nil"/>
              <w:left w:val="nil"/>
              <w:bottom w:val="single" w:sz="4" w:space="0" w:color="auto"/>
              <w:right w:val="single" w:sz="4" w:space="0" w:color="auto"/>
            </w:tcBorders>
            <w:shd w:val="clear" w:color="auto" w:fill="auto"/>
            <w:noWrap/>
            <w:vAlign w:val="bottom"/>
          </w:tcPr>
          <w:p w14:paraId="44138B99" w14:textId="4F2D938B" w:rsidR="00E917FC" w:rsidRPr="004C30D8" w:rsidRDefault="34B096E2" w:rsidP="34B096E2">
            <w:pPr>
              <w:spacing w:after="0"/>
              <w:jc w:val="right"/>
              <w:rPr>
                <w:i/>
                <w:iCs/>
                <w:sz w:val="22"/>
                <w:szCs w:val="22"/>
              </w:rPr>
            </w:pPr>
            <w:r w:rsidRPr="34B096E2">
              <w:rPr>
                <w:i/>
                <w:iCs/>
                <w:sz w:val="22"/>
                <w:szCs w:val="22"/>
              </w:rPr>
              <w:t>0,</w:t>
            </w:r>
            <w:proofErr w:type="spellStart"/>
            <w:r w:rsidRPr="34B096E2">
              <w:rPr>
                <w:i/>
                <w:iCs/>
                <w:sz w:val="22"/>
                <w:szCs w:val="22"/>
              </w:rPr>
              <w:t>0</w:t>
            </w:r>
            <w:proofErr w:type="spellEnd"/>
          </w:p>
        </w:tc>
      </w:tr>
      <w:tr w:rsidR="00E917FC" w:rsidRPr="004C30D8" w14:paraId="3E05B15A" w14:textId="77777777" w:rsidTr="34B096E2">
        <w:trPr>
          <w:trHeight w:val="300"/>
          <w:jc w:val="center"/>
        </w:trPr>
        <w:tc>
          <w:tcPr>
            <w:tcW w:w="195" w:type="dxa"/>
            <w:tcBorders>
              <w:top w:val="nil"/>
              <w:left w:val="single" w:sz="4" w:space="0" w:color="auto"/>
              <w:bottom w:val="single" w:sz="4" w:space="0" w:color="auto"/>
              <w:right w:val="nil"/>
            </w:tcBorders>
            <w:shd w:val="clear" w:color="auto" w:fill="FFFFFF" w:themeFill="background1"/>
            <w:noWrap/>
            <w:vAlign w:val="bottom"/>
            <w:hideMark/>
          </w:tcPr>
          <w:p w14:paraId="5BD9F7B3" w14:textId="77777777" w:rsidR="00E917FC" w:rsidRPr="004C30D8" w:rsidRDefault="34B096E2" w:rsidP="34B096E2">
            <w:pPr>
              <w:spacing w:after="0"/>
              <w:jc w:val="left"/>
              <w:rPr>
                <w:sz w:val="22"/>
                <w:szCs w:val="22"/>
              </w:rPr>
            </w:pPr>
            <w:r w:rsidRPr="34B096E2">
              <w:rPr>
                <w:sz w:val="22"/>
                <w:szCs w:val="22"/>
              </w:rPr>
              <w:t> </w:t>
            </w:r>
          </w:p>
        </w:tc>
        <w:tc>
          <w:tcPr>
            <w:tcW w:w="4532" w:type="dxa"/>
            <w:gridSpan w:val="2"/>
            <w:tcBorders>
              <w:top w:val="single" w:sz="4" w:space="0" w:color="auto"/>
              <w:left w:val="nil"/>
              <w:bottom w:val="single" w:sz="4" w:space="0" w:color="auto"/>
              <w:right w:val="single" w:sz="4" w:space="0" w:color="auto"/>
            </w:tcBorders>
            <w:shd w:val="clear" w:color="auto" w:fill="FFFFFF" w:themeFill="background1"/>
            <w:noWrap/>
            <w:vAlign w:val="bottom"/>
            <w:hideMark/>
          </w:tcPr>
          <w:p w14:paraId="5400731B" w14:textId="77777777" w:rsidR="00E917FC" w:rsidRPr="004C30D8" w:rsidRDefault="34B096E2" w:rsidP="34B096E2">
            <w:pPr>
              <w:spacing w:after="0"/>
              <w:jc w:val="left"/>
              <w:rPr>
                <w:b/>
                <w:bCs/>
                <w:sz w:val="22"/>
                <w:szCs w:val="22"/>
              </w:rPr>
            </w:pPr>
            <w:r w:rsidRPr="34B096E2">
              <w:rPr>
                <w:b/>
                <w:bCs/>
                <w:sz w:val="22"/>
                <w:szCs w:val="22"/>
              </w:rPr>
              <w:t>2.2. Deviza</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304CADEC" w14:textId="11F4AD01" w:rsidR="00E917FC" w:rsidRPr="004C30D8" w:rsidRDefault="007754F0" w:rsidP="34B096E2">
            <w:pPr>
              <w:spacing w:after="0"/>
              <w:jc w:val="right"/>
              <w:rPr>
                <w:b/>
                <w:bCs/>
                <w:sz w:val="22"/>
                <w:szCs w:val="22"/>
              </w:rPr>
            </w:pPr>
            <w:r>
              <w:rPr>
                <w:b/>
                <w:bCs/>
                <w:sz w:val="22"/>
                <w:szCs w:val="22"/>
              </w:rPr>
              <w:t>179</w:t>
            </w:r>
            <w:r w:rsidR="34B096E2" w:rsidRPr="34B096E2">
              <w:rPr>
                <w:b/>
                <w:bCs/>
                <w:sz w:val="22"/>
                <w:szCs w:val="22"/>
              </w:rPr>
              <w:t>,0</w:t>
            </w:r>
          </w:p>
        </w:tc>
        <w:tc>
          <w:tcPr>
            <w:tcW w:w="1110" w:type="dxa"/>
            <w:tcBorders>
              <w:top w:val="nil"/>
              <w:left w:val="nil"/>
              <w:bottom w:val="single" w:sz="4" w:space="0" w:color="auto"/>
              <w:right w:val="single" w:sz="4" w:space="0" w:color="auto"/>
            </w:tcBorders>
            <w:shd w:val="clear" w:color="auto" w:fill="auto"/>
            <w:noWrap/>
            <w:vAlign w:val="bottom"/>
          </w:tcPr>
          <w:p w14:paraId="08B90BC8" w14:textId="289A7FFE" w:rsidR="00E917FC" w:rsidRPr="004C30D8" w:rsidRDefault="007754F0" w:rsidP="34B096E2">
            <w:pPr>
              <w:spacing w:after="0"/>
              <w:jc w:val="right"/>
              <w:rPr>
                <w:b/>
                <w:bCs/>
                <w:sz w:val="22"/>
                <w:szCs w:val="22"/>
              </w:rPr>
            </w:pPr>
            <w:r>
              <w:rPr>
                <w:b/>
                <w:bCs/>
                <w:sz w:val="22"/>
                <w:szCs w:val="22"/>
              </w:rPr>
              <w:t>227,6</w:t>
            </w:r>
          </w:p>
        </w:tc>
      </w:tr>
      <w:tr w:rsidR="00E917FC" w:rsidRPr="004C30D8" w14:paraId="3DD0AB63" w14:textId="77777777" w:rsidTr="34B096E2">
        <w:trPr>
          <w:trHeight w:val="300"/>
          <w:jc w:val="center"/>
        </w:trPr>
        <w:tc>
          <w:tcPr>
            <w:tcW w:w="195" w:type="dxa"/>
            <w:tcBorders>
              <w:top w:val="nil"/>
              <w:left w:val="single" w:sz="4" w:space="0" w:color="auto"/>
              <w:bottom w:val="nil"/>
              <w:right w:val="nil"/>
            </w:tcBorders>
            <w:shd w:val="clear" w:color="auto" w:fill="FFFFFF" w:themeFill="background1"/>
            <w:noWrap/>
            <w:vAlign w:val="bottom"/>
            <w:hideMark/>
          </w:tcPr>
          <w:p w14:paraId="7B719E49" w14:textId="77777777" w:rsidR="00E917FC" w:rsidRPr="004C30D8" w:rsidRDefault="34B096E2" w:rsidP="34B096E2">
            <w:pPr>
              <w:spacing w:after="0"/>
              <w:jc w:val="left"/>
              <w:rPr>
                <w:sz w:val="22"/>
                <w:szCs w:val="22"/>
              </w:rPr>
            </w:pPr>
            <w:r w:rsidRPr="34B096E2">
              <w:rPr>
                <w:sz w:val="22"/>
                <w:szCs w:val="22"/>
              </w:rPr>
              <w:t> </w:t>
            </w:r>
          </w:p>
        </w:tc>
        <w:tc>
          <w:tcPr>
            <w:tcW w:w="340" w:type="dxa"/>
            <w:tcBorders>
              <w:top w:val="nil"/>
              <w:left w:val="nil"/>
              <w:bottom w:val="nil"/>
              <w:right w:val="nil"/>
            </w:tcBorders>
            <w:shd w:val="clear" w:color="auto" w:fill="FFFFFF" w:themeFill="background1"/>
            <w:noWrap/>
            <w:vAlign w:val="bottom"/>
            <w:hideMark/>
          </w:tcPr>
          <w:p w14:paraId="50D2597E" w14:textId="77777777" w:rsidR="00E917FC" w:rsidRPr="004C30D8" w:rsidRDefault="34B096E2" w:rsidP="34B096E2">
            <w:pPr>
              <w:spacing w:after="0"/>
              <w:jc w:val="left"/>
              <w:rPr>
                <w:sz w:val="22"/>
                <w:szCs w:val="22"/>
              </w:rPr>
            </w:pPr>
            <w:r w:rsidRPr="34B096E2">
              <w:rPr>
                <w:sz w:val="22"/>
                <w:szCs w:val="22"/>
              </w:rPr>
              <w:t> </w:t>
            </w:r>
          </w:p>
        </w:tc>
        <w:tc>
          <w:tcPr>
            <w:tcW w:w="4192" w:type="dxa"/>
            <w:tcBorders>
              <w:top w:val="nil"/>
              <w:left w:val="nil"/>
              <w:bottom w:val="nil"/>
              <w:right w:val="single" w:sz="4" w:space="0" w:color="auto"/>
            </w:tcBorders>
            <w:shd w:val="clear" w:color="auto" w:fill="FFFFFF" w:themeFill="background1"/>
            <w:noWrap/>
            <w:vAlign w:val="bottom"/>
            <w:hideMark/>
          </w:tcPr>
          <w:p w14:paraId="30C02418" w14:textId="77777777" w:rsidR="00E917FC" w:rsidRPr="004C30D8" w:rsidRDefault="34B096E2" w:rsidP="34B096E2">
            <w:pPr>
              <w:spacing w:after="0"/>
              <w:jc w:val="left"/>
              <w:rPr>
                <w:i/>
                <w:iCs/>
                <w:sz w:val="22"/>
                <w:szCs w:val="22"/>
              </w:rPr>
            </w:pPr>
            <w:r w:rsidRPr="34B096E2">
              <w:rPr>
                <w:i/>
                <w:iCs/>
                <w:sz w:val="22"/>
                <w:szCs w:val="22"/>
              </w:rPr>
              <w:t>2.2.1. Devizahitelek kamata</w:t>
            </w:r>
          </w:p>
        </w:tc>
        <w:tc>
          <w:tcPr>
            <w:tcW w:w="1134" w:type="dxa"/>
            <w:tcBorders>
              <w:top w:val="nil"/>
              <w:left w:val="single" w:sz="4" w:space="0" w:color="auto"/>
              <w:bottom w:val="nil"/>
              <w:right w:val="single" w:sz="4" w:space="0" w:color="auto"/>
            </w:tcBorders>
            <w:shd w:val="clear" w:color="auto" w:fill="auto"/>
            <w:noWrap/>
            <w:vAlign w:val="bottom"/>
          </w:tcPr>
          <w:p w14:paraId="56358715" w14:textId="1DF0B30D" w:rsidR="00E917FC" w:rsidRPr="004C30D8" w:rsidRDefault="34B096E2" w:rsidP="34B096E2">
            <w:pPr>
              <w:spacing w:after="0"/>
              <w:jc w:val="right"/>
              <w:rPr>
                <w:i/>
                <w:iCs/>
                <w:sz w:val="22"/>
                <w:szCs w:val="22"/>
              </w:rPr>
            </w:pPr>
            <w:r w:rsidRPr="34B096E2">
              <w:rPr>
                <w:i/>
                <w:iCs/>
                <w:sz w:val="22"/>
                <w:szCs w:val="22"/>
              </w:rPr>
              <w:t>15,</w:t>
            </w:r>
            <w:r w:rsidR="007754F0">
              <w:rPr>
                <w:i/>
                <w:iCs/>
                <w:sz w:val="22"/>
                <w:szCs w:val="22"/>
              </w:rPr>
              <w:t>9</w:t>
            </w:r>
          </w:p>
        </w:tc>
        <w:tc>
          <w:tcPr>
            <w:tcW w:w="1110" w:type="dxa"/>
            <w:tcBorders>
              <w:top w:val="nil"/>
              <w:left w:val="nil"/>
              <w:bottom w:val="nil"/>
              <w:right w:val="single" w:sz="4" w:space="0" w:color="auto"/>
            </w:tcBorders>
            <w:shd w:val="clear" w:color="auto" w:fill="auto"/>
            <w:noWrap/>
            <w:vAlign w:val="bottom"/>
          </w:tcPr>
          <w:p w14:paraId="5E8C0CB7" w14:textId="5FA709C4" w:rsidR="00E917FC" w:rsidRPr="004C30D8" w:rsidRDefault="007754F0" w:rsidP="34B096E2">
            <w:pPr>
              <w:spacing w:after="0"/>
              <w:jc w:val="right"/>
              <w:rPr>
                <w:i/>
                <w:iCs/>
                <w:sz w:val="22"/>
                <w:szCs w:val="22"/>
              </w:rPr>
            </w:pPr>
            <w:r>
              <w:rPr>
                <w:i/>
                <w:iCs/>
                <w:sz w:val="22"/>
                <w:szCs w:val="22"/>
              </w:rPr>
              <w:t>18,2</w:t>
            </w:r>
          </w:p>
        </w:tc>
      </w:tr>
      <w:tr w:rsidR="00E917FC" w:rsidRPr="004C30D8" w14:paraId="127E54F2" w14:textId="77777777" w:rsidTr="34B096E2">
        <w:trPr>
          <w:trHeight w:val="300"/>
          <w:jc w:val="center"/>
        </w:trPr>
        <w:tc>
          <w:tcPr>
            <w:tcW w:w="195" w:type="dxa"/>
            <w:tcBorders>
              <w:top w:val="nil"/>
              <w:left w:val="single" w:sz="4" w:space="0" w:color="auto"/>
              <w:bottom w:val="nil"/>
              <w:right w:val="nil"/>
            </w:tcBorders>
            <w:shd w:val="clear" w:color="auto" w:fill="FFFFFF" w:themeFill="background1"/>
            <w:noWrap/>
            <w:vAlign w:val="bottom"/>
            <w:hideMark/>
          </w:tcPr>
          <w:p w14:paraId="094BC5D1" w14:textId="77777777" w:rsidR="00E917FC" w:rsidRPr="004C30D8" w:rsidRDefault="34B096E2" w:rsidP="34B096E2">
            <w:pPr>
              <w:spacing w:after="0"/>
              <w:jc w:val="left"/>
              <w:rPr>
                <w:sz w:val="22"/>
                <w:szCs w:val="22"/>
              </w:rPr>
            </w:pPr>
            <w:r w:rsidRPr="34B096E2">
              <w:rPr>
                <w:sz w:val="22"/>
                <w:szCs w:val="22"/>
              </w:rPr>
              <w:t> </w:t>
            </w:r>
          </w:p>
        </w:tc>
        <w:tc>
          <w:tcPr>
            <w:tcW w:w="340" w:type="dxa"/>
            <w:tcBorders>
              <w:top w:val="nil"/>
              <w:left w:val="nil"/>
              <w:bottom w:val="nil"/>
              <w:right w:val="nil"/>
            </w:tcBorders>
            <w:shd w:val="clear" w:color="auto" w:fill="FFFFFF" w:themeFill="background1"/>
            <w:noWrap/>
            <w:vAlign w:val="bottom"/>
            <w:hideMark/>
          </w:tcPr>
          <w:p w14:paraId="3AF09607" w14:textId="77777777" w:rsidR="00E917FC" w:rsidRPr="004C30D8" w:rsidRDefault="34B096E2" w:rsidP="34B096E2">
            <w:pPr>
              <w:spacing w:after="0"/>
              <w:jc w:val="left"/>
              <w:rPr>
                <w:sz w:val="22"/>
                <w:szCs w:val="22"/>
              </w:rPr>
            </w:pPr>
            <w:r w:rsidRPr="34B096E2">
              <w:rPr>
                <w:sz w:val="22"/>
                <w:szCs w:val="22"/>
              </w:rPr>
              <w:t> </w:t>
            </w:r>
          </w:p>
        </w:tc>
        <w:tc>
          <w:tcPr>
            <w:tcW w:w="4192" w:type="dxa"/>
            <w:tcBorders>
              <w:top w:val="nil"/>
              <w:left w:val="nil"/>
              <w:bottom w:val="nil"/>
              <w:right w:val="single" w:sz="4" w:space="0" w:color="auto"/>
            </w:tcBorders>
            <w:shd w:val="clear" w:color="auto" w:fill="FFFFFF" w:themeFill="background1"/>
            <w:noWrap/>
            <w:vAlign w:val="bottom"/>
            <w:hideMark/>
          </w:tcPr>
          <w:p w14:paraId="3AB85FBD" w14:textId="77777777" w:rsidR="00E917FC" w:rsidRPr="004C30D8" w:rsidRDefault="34B096E2" w:rsidP="34B096E2">
            <w:pPr>
              <w:spacing w:after="0"/>
              <w:jc w:val="left"/>
              <w:rPr>
                <w:i/>
                <w:iCs/>
                <w:sz w:val="22"/>
                <w:szCs w:val="22"/>
              </w:rPr>
            </w:pPr>
            <w:r w:rsidRPr="34B096E2">
              <w:rPr>
                <w:i/>
                <w:iCs/>
                <w:sz w:val="22"/>
                <w:szCs w:val="22"/>
              </w:rPr>
              <w:t>2.2.2. Devizakötvények kamata</w:t>
            </w:r>
          </w:p>
        </w:tc>
        <w:tc>
          <w:tcPr>
            <w:tcW w:w="1134" w:type="dxa"/>
            <w:tcBorders>
              <w:top w:val="nil"/>
              <w:left w:val="single" w:sz="4" w:space="0" w:color="auto"/>
              <w:bottom w:val="nil"/>
              <w:right w:val="single" w:sz="4" w:space="0" w:color="auto"/>
            </w:tcBorders>
            <w:shd w:val="clear" w:color="auto" w:fill="auto"/>
            <w:noWrap/>
            <w:vAlign w:val="bottom"/>
          </w:tcPr>
          <w:p w14:paraId="4E3D9D4B" w14:textId="63639E1C" w:rsidR="00E917FC" w:rsidRPr="004C30D8" w:rsidRDefault="007754F0" w:rsidP="34B096E2">
            <w:pPr>
              <w:spacing w:after="0"/>
              <w:jc w:val="right"/>
              <w:rPr>
                <w:i/>
                <w:iCs/>
                <w:sz w:val="22"/>
                <w:szCs w:val="22"/>
              </w:rPr>
            </w:pPr>
            <w:r>
              <w:rPr>
                <w:i/>
                <w:iCs/>
                <w:sz w:val="22"/>
                <w:szCs w:val="22"/>
              </w:rPr>
              <w:t>163,1</w:t>
            </w:r>
          </w:p>
        </w:tc>
        <w:tc>
          <w:tcPr>
            <w:tcW w:w="1110" w:type="dxa"/>
            <w:tcBorders>
              <w:top w:val="nil"/>
              <w:left w:val="nil"/>
              <w:bottom w:val="nil"/>
              <w:right w:val="single" w:sz="4" w:space="0" w:color="auto"/>
            </w:tcBorders>
            <w:shd w:val="clear" w:color="auto" w:fill="auto"/>
            <w:noWrap/>
            <w:vAlign w:val="bottom"/>
          </w:tcPr>
          <w:p w14:paraId="2CC81299" w14:textId="735BBB4A" w:rsidR="00E917FC" w:rsidRPr="004C30D8" w:rsidRDefault="007754F0" w:rsidP="34B096E2">
            <w:pPr>
              <w:spacing w:after="0"/>
              <w:jc w:val="right"/>
              <w:rPr>
                <w:i/>
                <w:iCs/>
                <w:sz w:val="22"/>
                <w:szCs w:val="22"/>
              </w:rPr>
            </w:pPr>
            <w:r>
              <w:rPr>
                <w:i/>
                <w:iCs/>
                <w:sz w:val="22"/>
                <w:szCs w:val="22"/>
              </w:rPr>
              <w:t>209,4</w:t>
            </w:r>
          </w:p>
        </w:tc>
      </w:tr>
      <w:tr w:rsidR="00F1271F" w:rsidRPr="004C30D8" w14:paraId="123C030E" w14:textId="77777777" w:rsidTr="34B096E2">
        <w:trPr>
          <w:trHeight w:val="300"/>
          <w:jc w:val="center"/>
        </w:trPr>
        <w:tc>
          <w:tcPr>
            <w:tcW w:w="195" w:type="dxa"/>
            <w:tcBorders>
              <w:top w:val="single" w:sz="4" w:space="0" w:color="auto"/>
              <w:left w:val="single" w:sz="4" w:space="0" w:color="auto"/>
              <w:bottom w:val="single" w:sz="4" w:space="0" w:color="auto"/>
              <w:right w:val="nil"/>
            </w:tcBorders>
            <w:shd w:val="clear" w:color="auto" w:fill="FFFFFF" w:themeFill="background1"/>
            <w:noWrap/>
            <w:vAlign w:val="bottom"/>
            <w:hideMark/>
          </w:tcPr>
          <w:p w14:paraId="138D87D5" w14:textId="77777777" w:rsidR="00F1271F" w:rsidRPr="004C30D8" w:rsidRDefault="34B096E2" w:rsidP="34B096E2">
            <w:pPr>
              <w:spacing w:after="0"/>
              <w:jc w:val="left"/>
              <w:rPr>
                <w:sz w:val="22"/>
                <w:szCs w:val="22"/>
              </w:rPr>
            </w:pPr>
            <w:r w:rsidRPr="34B096E2">
              <w:rPr>
                <w:sz w:val="22"/>
                <w:szCs w:val="22"/>
              </w:rPr>
              <w:t> </w:t>
            </w:r>
          </w:p>
        </w:tc>
        <w:tc>
          <w:tcPr>
            <w:tcW w:w="340" w:type="dxa"/>
            <w:tcBorders>
              <w:top w:val="single" w:sz="4" w:space="0" w:color="auto"/>
              <w:left w:val="nil"/>
              <w:bottom w:val="single" w:sz="4" w:space="0" w:color="auto"/>
              <w:right w:val="nil"/>
            </w:tcBorders>
            <w:shd w:val="clear" w:color="auto" w:fill="FFFFFF" w:themeFill="background1"/>
            <w:noWrap/>
            <w:vAlign w:val="bottom"/>
            <w:hideMark/>
          </w:tcPr>
          <w:p w14:paraId="37A0A788" w14:textId="77777777" w:rsidR="00F1271F" w:rsidRPr="004C30D8" w:rsidRDefault="34B096E2" w:rsidP="34B096E2">
            <w:pPr>
              <w:spacing w:after="0"/>
              <w:jc w:val="left"/>
              <w:rPr>
                <w:sz w:val="22"/>
                <w:szCs w:val="22"/>
              </w:rPr>
            </w:pPr>
            <w:r w:rsidRPr="34B096E2">
              <w:rPr>
                <w:sz w:val="22"/>
                <w:szCs w:val="22"/>
              </w:rPr>
              <w:t> </w:t>
            </w:r>
          </w:p>
        </w:tc>
        <w:tc>
          <w:tcPr>
            <w:tcW w:w="4192"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947EC3E" w14:textId="77777777" w:rsidR="00F1271F" w:rsidRPr="004C30D8" w:rsidRDefault="34B096E2" w:rsidP="34B096E2">
            <w:pPr>
              <w:spacing w:after="0"/>
              <w:jc w:val="left"/>
              <w:rPr>
                <w:sz w:val="22"/>
                <w:szCs w:val="22"/>
              </w:rPr>
            </w:pPr>
            <w:r w:rsidRPr="34B096E2">
              <w:rPr>
                <w:sz w:val="22"/>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EC636" w14:textId="6D850F3C" w:rsidR="00F1271F" w:rsidRPr="004C30D8" w:rsidRDefault="00F1271F" w:rsidP="27083F14">
            <w:pPr>
              <w:spacing w:after="0"/>
              <w:jc w:val="left"/>
              <w:rPr>
                <w:sz w:val="22"/>
                <w:szCs w:val="22"/>
              </w:rPr>
            </w:pPr>
          </w:p>
        </w:tc>
        <w:tc>
          <w:tcPr>
            <w:tcW w:w="1110" w:type="dxa"/>
            <w:tcBorders>
              <w:top w:val="single" w:sz="4" w:space="0" w:color="auto"/>
              <w:left w:val="nil"/>
              <w:bottom w:val="single" w:sz="4" w:space="0" w:color="auto"/>
              <w:right w:val="single" w:sz="4" w:space="0" w:color="auto"/>
            </w:tcBorders>
            <w:shd w:val="clear" w:color="auto" w:fill="auto"/>
            <w:noWrap/>
            <w:vAlign w:val="bottom"/>
          </w:tcPr>
          <w:p w14:paraId="4E46EE97" w14:textId="1795EBD5" w:rsidR="00F1271F" w:rsidRPr="004C30D8" w:rsidRDefault="00F1271F" w:rsidP="27083F14">
            <w:pPr>
              <w:spacing w:after="0"/>
              <w:jc w:val="left"/>
              <w:rPr>
                <w:sz w:val="22"/>
                <w:szCs w:val="22"/>
              </w:rPr>
            </w:pPr>
          </w:p>
        </w:tc>
      </w:tr>
      <w:tr w:rsidR="00E917FC" w:rsidRPr="004C30D8" w14:paraId="18498B80" w14:textId="77777777" w:rsidTr="34B096E2">
        <w:trPr>
          <w:trHeight w:val="285"/>
          <w:jc w:val="center"/>
        </w:trPr>
        <w:tc>
          <w:tcPr>
            <w:tcW w:w="4727" w:type="dxa"/>
            <w:gridSpan w:val="3"/>
            <w:tcBorders>
              <w:top w:val="nil"/>
              <w:left w:val="single" w:sz="4" w:space="0" w:color="auto"/>
              <w:bottom w:val="single" w:sz="4" w:space="0" w:color="auto"/>
              <w:right w:val="single" w:sz="4" w:space="0" w:color="auto"/>
            </w:tcBorders>
            <w:shd w:val="clear" w:color="auto" w:fill="FFFFFF" w:themeFill="background1"/>
            <w:noWrap/>
            <w:vAlign w:val="center"/>
            <w:hideMark/>
          </w:tcPr>
          <w:p w14:paraId="234DEEA7" w14:textId="77777777" w:rsidR="00E917FC" w:rsidRPr="004C30D8" w:rsidRDefault="34B096E2" w:rsidP="34B096E2">
            <w:pPr>
              <w:spacing w:after="0"/>
              <w:jc w:val="left"/>
              <w:rPr>
                <w:b/>
                <w:bCs/>
                <w:sz w:val="22"/>
                <w:szCs w:val="22"/>
              </w:rPr>
            </w:pPr>
            <w:r w:rsidRPr="34B096E2">
              <w:rPr>
                <w:b/>
                <w:bCs/>
                <w:sz w:val="22"/>
                <w:szCs w:val="22"/>
              </w:rPr>
              <w:t>3. Kamategyenleg</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FC949D7" w14:textId="1B1D8C1C" w:rsidR="00E917FC" w:rsidRPr="004C30D8" w:rsidRDefault="007754F0" w:rsidP="34B096E2">
            <w:pPr>
              <w:spacing w:after="0"/>
              <w:jc w:val="right"/>
              <w:rPr>
                <w:b/>
                <w:bCs/>
                <w:sz w:val="22"/>
                <w:szCs w:val="22"/>
              </w:rPr>
            </w:pPr>
            <w:r>
              <w:rPr>
                <w:b/>
                <w:bCs/>
                <w:sz w:val="22"/>
                <w:szCs w:val="22"/>
              </w:rPr>
              <w:t>776,0</w:t>
            </w:r>
          </w:p>
        </w:tc>
        <w:tc>
          <w:tcPr>
            <w:tcW w:w="1110" w:type="dxa"/>
            <w:tcBorders>
              <w:top w:val="nil"/>
              <w:left w:val="nil"/>
              <w:bottom w:val="single" w:sz="4" w:space="0" w:color="auto"/>
              <w:right w:val="single" w:sz="4" w:space="0" w:color="auto"/>
            </w:tcBorders>
            <w:shd w:val="clear" w:color="auto" w:fill="auto"/>
            <w:noWrap/>
            <w:vAlign w:val="center"/>
          </w:tcPr>
          <w:p w14:paraId="6822C0C1" w14:textId="01CA23FD" w:rsidR="00E917FC" w:rsidRPr="004C30D8" w:rsidRDefault="007754F0" w:rsidP="34B096E2">
            <w:pPr>
              <w:spacing w:after="0"/>
              <w:jc w:val="right"/>
              <w:rPr>
                <w:b/>
                <w:bCs/>
                <w:sz w:val="22"/>
                <w:szCs w:val="22"/>
              </w:rPr>
            </w:pPr>
            <w:r>
              <w:rPr>
                <w:b/>
                <w:bCs/>
                <w:sz w:val="22"/>
                <w:szCs w:val="22"/>
              </w:rPr>
              <w:t>955,1</w:t>
            </w:r>
          </w:p>
        </w:tc>
      </w:tr>
    </w:tbl>
    <w:p w14:paraId="4AAEFFE5" w14:textId="77777777" w:rsidR="00D013E1" w:rsidRDefault="00E4079D" w:rsidP="34B096E2">
      <w:pPr>
        <w:pStyle w:val="Cmsor4"/>
        <w:ind w:right="-1"/>
        <w:jc w:val="center"/>
        <w:rPr>
          <w:caps/>
        </w:rPr>
      </w:pPr>
      <w:r w:rsidRPr="34B096E2">
        <w:rPr>
          <w:caps/>
        </w:rPr>
        <w:br w:type="page"/>
      </w:r>
      <w:r w:rsidR="34B096E2" w:rsidRPr="34B096E2">
        <w:rPr>
          <w:caps/>
        </w:rPr>
        <w:lastRenderedPageBreak/>
        <w:t>II.</w:t>
      </w:r>
      <w:r>
        <w:br/>
      </w:r>
      <w:r w:rsidR="34B096E2" w:rsidRPr="34B096E2">
        <w:rPr>
          <w:caps/>
        </w:rPr>
        <w:t>Az államháztartás központi alrendszerének finanszírozása</w:t>
      </w:r>
    </w:p>
    <w:p w14:paraId="369BC0B2" w14:textId="77777777" w:rsidR="00D013E1" w:rsidRPr="00650CB3" w:rsidRDefault="00D013E1" w:rsidP="00D013E1"/>
    <w:p w14:paraId="103C319A" w14:textId="77777777" w:rsidR="00D013E1" w:rsidRDefault="34B096E2" w:rsidP="00D013E1">
      <w:pPr>
        <w:pStyle w:val="Cmsor4"/>
        <w:numPr>
          <w:ilvl w:val="0"/>
          <w:numId w:val="5"/>
        </w:numPr>
        <w:spacing w:before="120"/>
        <w:ind w:left="567" w:hanging="567"/>
      </w:pPr>
      <w:r>
        <w:t xml:space="preserve">Állományi adatok </w:t>
      </w:r>
    </w:p>
    <w:p w14:paraId="2B4B3BCF" w14:textId="77777777" w:rsidR="00483A9A" w:rsidRPr="006C0126" w:rsidRDefault="00483A9A" w:rsidP="00483A9A">
      <w:pPr>
        <w:spacing w:after="240"/>
        <w:ind w:right="23"/>
        <w:rPr>
          <w:bCs/>
          <w:szCs w:val="26"/>
        </w:rPr>
      </w:pPr>
      <w:r w:rsidRPr="006C0126">
        <w:rPr>
          <w:b/>
          <w:bCs/>
          <w:szCs w:val="26"/>
        </w:rPr>
        <w:t xml:space="preserve">A központi költségvetés adóssága november </w:t>
      </w:r>
      <w:r w:rsidRPr="006C0126">
        <w:rPr>
          <w:bCs/>
          <w:szCs w:val="26"/>
        </w:rPr>
        <w:t>végéig 5457,5</w:t>
      </w:r>
      <w:r>
        <w:rPr>
          <w:bCs/>
          <w:szCs w:val="26"/>
        </w:rPr>
        <w:t> milliárd</w:t>
      </w:r>
      <w:r w:rsidRPr="006C0126">
        <w:rPr>
          <w:bCs/>
          <w:szCs w:val="26"/>
        </w:rPr>
        <w:t xml:space="preserve"> forinttal </w:t>
      </w:r>
      <w:r w:rsidRPr="006C0126">
        <w:rPr>
          <w:b/>
          <w:bCs/>
          <w:szCs w:val="26"/>
        </w:rPr>
        <w:t xml:space="preserve">növekedett </w:t>
      </w:r>
      <w:r w:rsidRPr="006C0126">
        <w:rPr>
          <w:bCs/>
          <w:szCs w:val="26"/>
        </w:rPr>
        <w:t>a következő négy tényező eredményeképpen:</w:t>
      </w:r>
    </w:p>
    <w:p w14:paraId="004244FA" w14:textId="77777777" w:rsidR="00483A9A" w:rsidRPr="006C0126" w:rsidRDefault="00483A9A" w:rsidP="00483A9A">
      <w:pPr>
        <w:numPr>
          <w:ilvl w:val="0"/>
          <w:numId w:val="7"/>
        </w:numPr>
        <w:spacing w:before="120" w:after="240"/>
        <w:ind w:left="714" w:right="23" w:hanging="357"/>
        <w:rPr>
          <w:b/>
          <w:bCs/>
          <w:szCs w:val="26"/>
        </w:rPr>
      </w:pPr>
      <w:r w:rsidRPr="006C0126">
        <w:rPr>
          <w:b/>
          <w:bCs/>
          <w:szCs w:val="26"/>
        </w:rPr>
        <w:t>Az első tényező</w:t>
      </w:r>
      <w:r w:rsidRPr="006C0126">
        <w:rPr>
          <w:bCs/>
          <w:szCs w:val="26"/>
        </w:rPr>
        <w:t xml:space="preserve"> a nettó forintkibocsátás 3519,6</w:t>
      </w:r>
      <w:r>
        <w:rPr>
          <w:bCs/>
          <w:szCs w:val="26"/>
        </w:rPr>
        <w:t> milliárd</w:t>
      </w:r>
      <w:r w:rsidRPr="006C0126">
        <w:rPr>
          <w:bCs/>
          <w:szCs w:val="26"/>
        </w:rPr>
        <w:t xml:space="preserve"> forint összegben, ami a költségvetés hiányát </w:t>
      </w:r>
      <w:proofErr w:type="gramStart"/>
      <w:r w:rsidRPr="006C0126">
        <w:rPr>
          <w:bCs/>
          <w:szCs w:val="26"/>
        </w:rPr>
        <w:t>finanszírozza</w:t>
      </w:r>
      <w:proofErr w:type="gramEnd"/>
      <w:r w:rsidRPr="006C0126">
        <w:rPr>
          <w:bCs/>
          <w:szCs w:val="26"/>
        </w:rPr>
        <w:t>.</w:t>
      </w:r>
    </w:p>
    <w:p w14:paraId="095CD6F5" w14:textId="77777777" w:rsidR="00483A9A" w:rsidRPr="006C0126" w:rsidRDefault="00483A9A" w:rsidP="00483A9A">
      <w:pPr>
        <w:numPr>
          <w:ilvl w:val="0"/>
          <w:numId w:val="7"/>
        </w:numPr>
        <w:spacing w:before="120" w:after="240"/>
        <w:ind w:left="714" w:right="23" w:hanging="357"/>
        <w:rPr>
          <w:b/>
          <w:bCs/>
          <w:szCs w:val="26"/>
        </w:rPr>
      </w:pPr>
      <w:r w:rsidRPr="006C0126">
        <w:rPr>
          <w:b/>
          <w:bCs/>
          <w:szCs w:val="26"/>
        </w:rPr>
        <w:t xml:space="preserve">A második – növelő hatású – tényező </w:t>
      </w:r>
      <w:r w:rsidRPr="006C0126">
        <w:rPr>
          <w:bCs/>
          <w:szCs w:val="26"/>
        </w:rPr>
        <w:t xml:space="preserve">a nettó </w:t>
      </w:r>
      <w:proofErr w:type="spellStart"/>
      <w:r w:rsidRPr="006C0126">
        <w:rPr>
          <w:bCs/>
          <w:szCs w:val="26"/>
        </w:rPr>
        <w:t>devizakibocsátás</w:t>
      </w:r>
      <w:proofErr w:type="spellEnd"/>
      <w:r w:rsidRPr="006C0126">
        <w:rPr>
          <w:bCs/>
          <w:szCs w:val="26"/>
        </w:rPr>
        <w:t>, amely 1518,3</w:t>
      </w:r>
      <w:r>
        <w:rPr>
          <w:bCs/>
          <w:szCs w:val="26"/>
        </w:rPr>
        <w:t> milliárd</w:t>
      </w:r>
      <w:r w:rsidRPr="006C0126">
        <w:rPr>
          <w:bCs/>
          <w:szCs w:val="26"/>
        </w:rPr>
        <w:t xml:space="preserve"> forinttal növelte a költségvetés adósságát.</w:t>
      </w:r>
    </w:p>
    <w:p w14:paraId="49AF27F5" w14:textId="77777777" w:rsidR="00483A9A" w:rsidRPr="006C0126" w:rsidRDefault="00483A9A" w:rsidP="00483A9A">
      <w:pPr>
        <w:numPr>
          <w:ilvl w:val="0"/>
          <w:numId w:val="7"/>
        </w:numPr>
        <w:spacing w:before="120" w:after="240"/>
        <w:ind w:left="714" w:right="23" w:hanging="357"/>
        <w:rPr>
          <w:bCs/>
          <w:szCs w:val="26"/>
        </w:rPr>
      </w:pPr>
      <w:r w:rsidRPr="006C0126">
        <w:rPr>
          <w:b/>
          <w:bCs/>
          <w:szCs w:val="26"/>
        </w:rPr>
        <w:t xml:space="preserve">A harmadik – szintén növelő hatású – tényező </w:t>
      </w:r>
      <w:r w:rsidRPr="006C0126">
        <w:rPr>
          <w:bCs/>
          <w:szCs w:val="26"/>
        </w:rPr>
        <w:t>a forint árfolyamának az elmúlt év végéhez képest bekövetkezett gyengülése, amely az adósság devizában fennálló részének forintban számított nyilvántartási értékét 446,7</w:t>
      </w:r>
      <w:r>
        <w:rPr>
          <w:bCs/>
          <w:szCs w:val="26"/>
        </w:rPr>
        <w:t> milliárd</w:t>
      </w:r>
      <w:r w:rsidRPr="006C0126">
        <w:rPr>
          <w:bCs/>
          <w:szCs w:val="26"/>
        </w:rPr>
        <w:t xml:space="preserve"> forinttal növelte.</w:t>
      </w:r>
    </w:p>
    <w:p w14:paraId="4AB7DF50" w14:textId="5F9CB7A3" w:rsidR="00D013E1" w:rsidRPr="00AC5FC2" w:rsidRDefault="34B096E2" w:rsidP="005321B7">
      <w:pPr>
        <w:numPr>
          <w:ilvl w:val="0"/>
          <w:numId w:val="7"/>
        </w:numPr>
        <w:spacing w:before="120" w:after="240"/>
        <w:ind w:right="23"/>
        <w:sectPr w:rsidR="00D013E1" w:rsidRPr="00AC5FC2" w:rsidSect="00D46179">
          <w:headerReference w:type="default" r:id="rId25"/>
          <w:headerReference w:type="first" r:id="rId26"/>
          <w:footnotePr>
            <w:numRestart w:val="eachPage"/>
          </w:footnotePr>
          <w:pgSz w:w="11907" w:h="16840" w:code="9"/>
          <w:pgMar w:top="1134" w:right="1134" w:bottom="1418" w:left="1418" w:header="709" w:footer="709" w:gutter="0"/>
          <w:pgNumType w:start="1"/>
          <w:cols w:space="708"/>
          <w:docGrid w:linePitch="354"/>
        </w:sectPr>
      </w:pPr>
      <w:r w:rsidRPr="34B096E2">
        <w:rPr>
          <w:b/>
          <w:bCs/>
        </w:rPr>
        <w:t xml:space="preserve">A negyedik – fentiekkel ellentétes, csökkentő hatású – tényező </w:t>
      </w:r>
      <w:r>
        <w:t xml:space="preserve">a deviza-keresztárfolyamok változása és egyéb tényezők miatt bekövetkezett </w:t>
      </w:r>
      <w:proofErr w:type="spellStart"/>
      <w:r>
        <w:t>mark-to-market</w:t>
      </w:r>
      <w:proofErr w:type="spellEnd"/>
      <w:r>
        <w:t xml:space="preserve"> betétállományok csökkenése </w:t>
      </w:r>
      <w:r w:rsidR="00483A9A" w:rsidRPr="006C0126">
        <w:rPr>
          <w:bCs/>
          <w:szCs w:val="26"/>
        </w:rPr>
        <w:t>27,1</w:t>
      </w:r>
      <w:r>
        <w:t> milliárd forint összegben.</w:t>
      </w:r>
    </w:p>
    <w:p w14:paraId="0AFEF029" w14:textId="60AF6504" w:rsidR="00D013E1" w:rsidRPr="00256EE8" w:rsidRDefault="34B096E2" w:rsidP="00D013E1">
      <w:pPr>
        <w:ind w:right="23"/>
        <w:rPr>
          <w:bCs/>
          <w:szCs w:val="26"/>
        </w:rPr>
      </w:pPr>
      <w:r>
        <w:lastRenderedPageBreak/>
        <w:t xml:space="preserve">Az előzetes adatok szerint </w:t>
      </w:r>
      <w:r w:rsidR="00483A9A">
        <w:t>november</w:t>
      </w:r>
      <w:r>
        <w:t xml:space="preserve"> végén a </w:t>
      </w:r>
      <w:r w:rsidRPr="34B096E2">
        <w:rPr>
          <w:b/>
          <w:bCs/>
        </w:rPr>
        <w:t xml:space="preserve">központi költségvetés forint- és devizaadóssága </w:t>
      </w:r>
      <w:r>
        <w:t>az alábbiak szerint alakult:</w:t>
      </w:r>
    </w:p>
    <w:p w14:paraId="714FFE2D" w14:textId="77777777" w:rsidR="00D013E1" w:rsidRDefault="34B096E2" w:rsidP="00D013E1">
      <w:pPr>
        <w:overflowPunct w:val="0"/>
        <w:autoSpaceDE w:val="0"/>
        <w:autoSpaceDN w:val="0"/>
        <w:adjustRightInd w:val="0"/>
        <w:spacing w:before="240" w:after="240"/>
        <w:ind w:right="23"/>
        <w:jc w:val="center"/>
        <w:textAlignment w:val="baseline"/>
      </w:pPr>
      <w:r>
        <w:t>A központi költségvetés adósságának alakulása 2020-ban, milliárd forint</w:t>
      </w:r>
    </w:p>
    <w:p w14:paraId="24D707C6" w14:textId="3C0F3D72" w:rsidR="00D013E1" w:rsidRDefault="00483A9A" w:rsidP="00D013E1">
      <w:pPr>
        <w:jc w:val="left"/>
        <w:rPr>
          <w:i/>
          <w:iCs/>
          <w:sz w:val="20"/>
        </w:rPr>
      </w:pPr>
      <w:r w:rsidRPr="00483A9A">
        <w:rPr>
          <w:noProof/>
        </w:rPr>
        <w:drawing>
          <wp:inline distT="0" distB="0" distL="0" distR="0" wp14:anchorId="3D41E5C8" wp14:editId="387061B6">
            <wp:extent cx="9072880" cy="3928921"/>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072880" cy="3928921"/>
                    </a:xfrm>
                    <a:prstGeom prst="rect">
                      <a:avLst/>
                    </a:prstGeom>
                    <a:noFill/>
                    <a:ln>
                      <a:noFill/>
                    </a:ln>
                  </pic:spPr>
                </pic:pic>
              </a:graphicData>
            </a:graphic>
          </wp:inline>
        </w:drawing>
      </w:r>
    </w:p>
    <w:p w14:paraId="6852017B" w14:textId="77777777" w:rsidR="00D013E1" w:rsidRPr="00DB479B" w:rsidRDefault="34B096E2" w:rsidP="34B096E2">
      <w:pPr>
        <w:rPr>
          <w:sz w:val="20"/>
        </w:rPr>
      </w:pPr>
      <w:r w:rsidRPr="34B096E2">
        <w:rPr>
          <w:i/>
          <w:iCs/>
          <w:sz w:val="20"/>
        </w:rPr>
        <w:t>Megjegyzés: a táblában szereplő tizedes eltérések kerekítésből adódnak.</w:t>
      </w:r>
    </w:p>
    <w:p w14:paraId="2D0FC19F" w14:textId="77777777" w:rsidR="00D013E1" w:rsidRDefault="00D013E1" w:rsidP="00D013E1">
      <w:pPr>
        <w:overflowPunct w:val="0"/>
        <w:autoSpaceDE w:val="0"/>
        <w:autoSpaceDN w:val="0"/>
        <w:adjustRightInd w:val="0"/>
        <w:spacing w:before="120"/>
        <w:ind w:right="23"/>
        <w:textAlignment w:val="baseline"/>
        <w:rPr>
          <w:b/>
          <w:bCs/>
          <w:szCs w:val="26"/>
        </w:rPr>
        <w:sectPr w:rsidR="00D013E1" w:rsidSect="00D46179">
          <w:headerReference w:type="default" r:id="rId28"/>
          <w:headerReference w:type="first" r:id="rId29"/>
          <w:footnotePr>
            <w:numRestart w:val="eachPage"/>
          </w:footnotePr>
          <w:pgSz w:w="16840" w:h="11907" w:orient="landscape" w:code="9"/>
          <w:pgMar w:top="993" w:right="1134" w:bottom="1134" w:left="1418" w:header="709" w:footer="709" w:gutter="0"/>
          <w:cols w:space="708"/>
          <w:titlePg/>
        </w:sectPr>
      </w:pPr>
    </w:p>
    <w:p w14:paraId="6614BF01" w14:textId="61FA277E" w:rsidR="005321B7" w:rsidRDefault="34B096E2" w:rsidP="34B096E2">
      <w:pPr>
        <w:pStyle w:val="Szvegtrzs"/>
        <w:rPr>
          <w:color w:val="auto"/>
        </w:rPr>
      </w:pPr>
      <w:r w:rsidRPr="00360353">
        <w:rPr>
          <w:b/>
          <w:color w:val="auto"/>
        </w:rPr>
        <w:lastRenderedPageBreak/>
        <w:t>A központi költségvetés devizaadóssága</w:t>
      </w:r>
      <w:r w:rsidRPr="00360353">
        <w:rPr>
          <w:color w:val="auto"/>
        </w:rPr>
        <w:t xml:space="preserve"> </w:t>
      </w:r>
      <w:r w:rsidR="007B7BD0" w:rsidRPr="00360353">
        <w:rPr>
          <w:color w:val="auto"/>
          <w:szCs w:val="26"/>
        </w:rPr>
        <w:t>november</w:t>
      </w:r>
      <w:r w:rsidRPr="00360353">
        <w:rPr>
          <w:color w:val="auto"/>
        </w:rPr>
        <w:t xml:space="preserve"> végéig </w:t>
      </w:r>
      <w:r w:rsidR="007B7BD0" w:rsidRPr="00360353">
        <w:rPr>
          <w:color w:val="auto"/>
          <w:szCs w:val="26"/>
        </w:rPr>
        <w:t>1964,9</w:t>
      </w:r>
      <w:r w:rsidRPr="00360353">
        <w:rPr>
          <w:color w:val="auto"/>
        </w:rPr>
        <w:t xml:space="preserve"> milliárd forinttal </w:t>
      </w:r>
      <w:r w:rsidR="007B7BD0" w:rsidRPr="00360353">
        <w:rPr>
          <w:color w:val="auto"/>
          <w:szCs w:val="26"/>
        </w:rPr>
        <w:t>7086,1</w:t>
      </w:r>
      <w:r w:rsidRPr="00360353">
        <w:rPr>
          <w:color w:val="auto"/>
        </w:rPr>
        <w:t xml:space="preserve"> milliárd forintra növekedett az elmúlt év végéhez képest. A devizaadósság részaránya a 2019. év végi 17%-os szintről </w:t>
      </w:r>
      <w:r w:rsidR="007B7BD0" w:rsidRPr="00360353">
        <w:rPr>
          <w:color w:val="auto"/>
          <w:szCs w:val="26"/>
        </w:rPr>
        <w:t>elérte 20</w:t>
      </w:r>
      <w:r w:rsidRPr="00360353">
        <w:rPr>
          <w:color w:val="auto"/>
        </w:rPr>
        <w:t xml:space="preserve">%-os </w:t>
      </w:r>
      <w:r w:rsidR="007B7BD0" w:rsidRPr="00360353">
        <w:rPr>
          <w:color w:val="auto"/>
          <w:szCs w:val="26"/>
        </w:rPr>
        <w:t>szintet</w:t>
      </w:r>
      <w:r w:rsidRPr="00360353">
        <w:rPr>
          <w:color w:val="auto"/>
        </w:rPr>
        <w:t xml:space="preserve"> a teljes adósságon belül. A növekedés hátterében </w:t>
      </w:r>
      <w:r w:rsidR="007B7BD0" w:rsidRPr="00360353">
        <w:rPr>
          <w:color w:val="auto"/>
          <w:szCs w:val="26"/>
        </w:rPr>
        <w:t xml:space="preserve">elsősorban az év során végrehajtott kötvénykibocsátások állnak: </w:t>
      </w:r>
      <w:r w:rsidRPr="00360353">
        <w:rPr>
          <w:color w:val="auto"/>
        </w:rPr>
        <w:t>Magyarország első nemzetközi Zöld Kötvényének június eleji kibocsátása 518,4 milliárd forint (1,5 milliárd euró) összegben, az április végén kibocsátott 707,6 milliárd forint (1</w:t>
      </w:r>
      <w:r w:rsidR="00EF4448">
        <w:rPr>
          <w:color w:val="auto"/>
        </w:rPr>
        <w:noBreakHyphen/>
      </w:r>
      <w:r w:rsidRPr="00360353">
        <w:rPr>
          <w:color w:val="auto"/>
        </w:rPr>
        <w:t xml:space="preserve">1 milliárd euró) </w:t>
      </w:r>
      <w:r w:rsidR="007B7BD0" w:rsidRPr="00360353">
        <w:rPr>
          <w:color w:val="auto"/>
          <w:szCs w:val="26"/>
        </w:rPr>
        <w:t xml:space="preserve">összegű </w:t>
      </w:r>
      <w:r w:rsidRPr="00360353">
        <w:rPr>
          <w:color w:val="auto"/>
        </w:rPr>
        <w:t>devizakötvény</w:t>
      </w:r>
      <w:r w:rsidR="00AE7B7E">
        <w:rPr>
          <w:color w:val="auto"/>
        </w:rPr>
        <w:t>-</w:t>
      </w:r>
      <w:r w:rsidR="007B7BD0" w:rsidRPr="00360353">
        <w:rPr>
          <w:color w:val="auto"/>
          <w:szCs w:val="26"/>
        </w:rPr>
        <w:t>kibocsátás, illetve a szeptemberben</w:t>
      </w:r>
      <w:r w:rsidRPr="00360353">
        <w:rPr>
          <w:color w:val="auto"/>
        </w:rPr>
        <w:t xml:space="preserve"> japán jenben denominált ún. Szamuráj-kötvények </w:t>
      </w:r>
      <w:r w:rsidR="007B7BD0" w:rsidRPr="00360353">
        <w:rPr>
          <w:color w:val="auto"/>
          <w:szCs w:val="26"/>
        </w:rPr>
        <w:t>kibocsátása</w:t>
      </w:r>
      <w:r w:rsidRPr="00360353">
        <w:rPr>
          <w:color w:val="auto"/>
        </w:rPr>
        <w:t xml:space="preserve"> 180,3 milliárd forint (62,7 milliárd jen) összegben. </w:t>
      </w:r>
      <w:r w:rsidR="007B7BD0" w:rsidRPr="00360353">
        <w:rPr>
          <w:color w:val="auto"/>
          <w:szCs w:val="26"/>
        </w:rPr>
        <w:t>Novemberben, 2021. évre vonatkozó előfinanszírozási céllal került kibocsátásra 895,2 milliárd forint (2,5 milliárd euró) összegű kötvény</w:t>
      </w:r>
      <w:r w:rsidR="00650895">
        <w:rPr>
          <w:color w:val="auto"/>
          <w:szCs w:val="26"/>
        </w:rPr>
        <w:t>, egy</w:t>
      </w:r>
      <w:r w:rsidR="007B7BD0" w:rsidRPr="00360353">
        <w:rPr>
          <w:color w:val="auto"/>
          <w:szCs w:val="26"/>
        </w:rPr>
        <w:t xml:space="preserve"> 10 éves és egy 30 éves futamidejű 1,25-1,25 milliárd euró értékű kötvény, amely kibocsátások átmenetileg hozzájárultak a devizaadósság</w:t>
      </w:r>
      <w:r w:rsidR="00175C24">
        <w:rPr>
          <w:color w:val="auto"/>
          <w:szCs w:val="26"/>
        </w:rPr>
        <w:t xml:space="preserve"> </w:t>
      </w:r>
      <w:r w:rsidR="007B7BD0" w:rsidRPr="00360353">
        <w:rPr>
          <w:color w:val="auto"/>
          <w:szCs w:val="26"/>
        </w:rPr>
        <w:t>ráta megemelkedéséhez, azonban az év hátralévő részében a devizaadósság ráta kismértékű csökkenése várható</w:t>
      </w:r>
      <w:r w:rsidRPr="00360353">
        <w:rPr>
          <w:color w:val="auto"/>
        </w:rPr>
        <w:t>.</w:t>
      </w:r>
    </w:p>
    <w:p w14:paraId="14DF1C01" w14:textId="61DEBDFC" w:rsidR="006D4345" w:rsidRDefault="006D4345" w:rsidP="006D4345">
      <w:pPr>
        <w:spacing w:before="240"/>
      </w:pPr>
      <w:r>
        <w:rPr>
          <w:b/>
          <w:bCs/>
          <w:szCs w:val="26"/>
        </w:rPr>
        <w:t>A költségvetés forintadóssága</w:t>
      </w:r>
      <w:r>
        <w:rPr>
          <w:szCs w:val="26"/>
        </w:rPr>
        <w:t xml:space="preserve"> november végéig 3519,6 milliárd forinttal nőtt, és 27 876,7 milliárd forintot ért el, a forint részarány a teljes államadósság 79%-át teszi ki. 2019 decemberében ez az arány 82% volt.</w:t>
      </w:r>
      <w:bookmarkStart w:id="1" w:name="_GoBack"/>
      <w:bookmarkEnd w:id="1"/>
    </w:p>
    <w:p w14:paraId="61C6F516" w14:textId="77777777" w:rsidR="007B7BD0" w:rsidRPr="006C0126" w:rsidRDefault="007B7BD0" w:rsidP="007B7BD0">
      <w:pPr>
        <w:spacing w:before="120"/>
        <w:rPr>
          <w:bCs/>
          <w:szCs w:val="26"/>
        </w:rPr>
      </w:pPr>
      <w:r w:rsidRPr="006C0126">
        <w:rPr>
          <w:szCs w:val="26"/>
        </w:rPr>
        <w:t>2020.</w:t>
      </w:r>
      <w:r w:rsidRPr="006C0126">
        <w:rPr>
          <w:bCs/>
          <w:szCs w:val="26"/>
        </w:rPr>
        <w:t xml:space="preserve"> november </w:t>
      </w:r>
      <w:r w:rsidRPr="006C0126">
        <w:rPr>
          <w:szCs w:val="26"/>
        </w:rPr>
        <w:t>végén a lakossági állampapírok állománya 9037,2</w:t>
      </w:r>
      <w:r>
        <w:rPr>
          <w:szCs w:val="26"/>
        </w:rPr>
        <w:t> milliárd</w:t>
      </w:r>
      <w:r w:rsidRPr="006C0126">
        <w:rPr>
          <w:szCs w:val="26"/>
        </w:rPr>
        <w:t xml:space="preserve"> forintot tett ki, ami</w:t>
      </w:r>
      <w:r>
        <w:rPr>
          <w:szCs w:val="26"/>
        </w:rPr>
        <w:t xml:space="preserve"> </w:t>
      </w:r>
      <w:r w:rsidRPr="006C0126">
        <w:rPr>
          <w:szCs w:val="26"/>
        </w:rPr>
        <w:t>36,8</w:t>
      </w:r>
      <w:r>
        <w:rPr>
          <w:szCs w:val="26"/>
        </w:rPr>
        <w:t> milliárd</w:t>
      </w:r>
      <w:r w:rsidRPr="006C0126">
        <w:rPr>
          <w:szCs w:val="26"/>
        </w:rPr>
        <w:t xml:space="preserve"> forint csökkenést jelent 2019. december vége óta. </w:t>
      </w:r>
      <w:r w:rsidRPr="006C0126">
        <w:rPr>
          <w:bCs/>
          <w:szCs w:val="26"/>
        </w:rPr>
        <w:t>A csökkenést az egyéb intézményi befektetők tulajdonában lévő lakossági állampapírok lejárata</w:t>
      </w:r>
      <w:r>
        <w:rPr>
          <w:bCs/>
          <w:szCs w:val="26"/>
        </w:rPr>
        <w:t xml:space="preserve"> okozta.</w:t>
      </w:r>
    </w:p>
    <w:p w14:paraId="28B52748" w14:textId="3C75D16B" w:rsidR="007B7BD0" w:rsidRPr="006C0126" w:rsidRDefault="007B7BD0" w:rsidP="007B7BD0">
      <w:pPr>
        <w:spacing w:before="120"/>
        <w:rPr>
          <w:szCs w:val="26"/>
        </w:rPr>
      </w:pPr>
      <w:r w:rsidRPr="006C0126">
        <w:rPr>
          <w:bCs/>
          <w:szCs w:val="26"/>
        </w:rPr>
        <w:t xml:space="preserve">A </w:t>
      </w:r>
      <w:r w:rsidRPr="006C0126">
        <w:rPr>
          <w:szCs w:val="26"/>
        </w:rPr>
        <w:t xml:space="preserve">lakossági </w:t>
      </w:r>
      <w:proofErr w:type="gramStart"/>
      <w:r w:rsidRPr="006C0126">
        <w:rPr>
          <w:szCs w:val="26"/>
        </w:rPr>
        <w:t>állampapír</w:t>
      </w:r>
      <w:r w:rsidR="005C2297">
        <w:rPr>
          <w:szCs w:val="26"/>
        </w:rPr>
        <w:t>-</w:t>
      </w:r>
      <w:r w:rsidRPr="006C0126">
        <w:rPr>
          <w:szCs w:val="26"/>
        </w:rPr>
        <w:t>kereslet döntő</w:t>
      </w:r>
      <w:proofErr w:type="gramEnd"/>
      <w:r w:rsidRPr="006C0126">
        <w:rPr>
          <w:szCs w:val="26"/>
        </w:rPr>
        <w:t xml:space="preserve"> hányadát </w:t>
      </w:r>
      <w:r w:rsidRPr="006C0126">
        <w:rPr>
          <w:bCs/>
          <w:szCs w:val="26"/>
        </w:rPr>
        <w:t xml:space="preserve">a Magyar Állampapír Plusz értékesítése képezte. </w:t>
      </w:r>
      <w:r w:rsidRPr="006C0126">
        <w:rPr>
          <w:szCs w:val="26"/>
        </w:rPr>
        <w:t xml:space="preserve">A kizárólag lakossági ügyfelek által vásárolható </w:t>
      </w:r>
      <w:r w:rsidRPr="006C0126">
        <w:rPr>
          <w:bCs/>
          <w:szCs w:val="26"/>
        </w:rPr>
        <w:t>Magyar Állampapír Plusz állomány november végéig 1731,9</w:t>
      </w:r>
      <w:r>
        <w:rPr>
          <w:bCs/>
          <w:szCs w:val="26"/>
        </w:rPr>
        <w:t> milliárd</w:t>
      </w:r>
      <w:r w:rsidRPr="006C0126">
        <w:rPr>
          <w:bCs/>
          <w:szCs w:val="26"/>
        </w:rPr>
        <w:t xml:space="preserve"> forinttal növekedett, hó végére 4867,9</w:t>
      </w:r>
      <w:r>
        <w:rPr>
          <w:bCs/>
          <w:szCs w:val="26"/>
        </w:rPr>
        <w:t> milliárd</w:t>
      </w:r>
      <w:r w:rsidRPr="006C0126">
        <w:rPr>
          <w:bCs/>
          <w:szCs w:val="26"/>
        </w:rPr>
        <w:t xml:space="preserve"> forintot ért el. A nyomdai úton előállított Magyar Állampapír Plusz állománya 182,0</w:t>
      </w:r>
      <w:r>
        <w:rPr>
          <w:bCs/>
          <w:szCs w:val="26"/>
        </w:rPr>
        <w:t> milliárd</w:t>
      </w:r>
      <w:r w:rsidRPr="006C0126">
        <w:rPr>
          <w:bCs/>
          <w:szCs w:val="26"/>
        </w:rPr>
        <w:t xml:space="preserve"> </w:t>
      </w:r>
      <w:proofErr w:type="gramStart"/>
      <w:r w:rsidRPr="006C0126">
        <w:rPr>
          <w:bCs/>
          <w:szCs w:val="26"/>
        </w:rPr>
        <w:t>forint növekedés</w:t>
      </w:r>
      <w:proofErr w:type="gramEnd"/>
      <w:r w:rsidRPr="006C0126">
        <w:rPr>
          <w:bCs/>
          <w:szCs w:val="26"/>
        </w:rPr>
        <w:t xml:space="preserve"> következtében 242,2</w:t>
      </w:r>
      <w:r>
        <w:rPr>
          <w:bCs/>
          <w:szCs w:val="26"/>
        </w:rPr>
        <w:t> milliárd</w:t>
      </w:r>
      <w:r w:rsidRPr="006C0126">
        <w:rPr>
          <w:bCs/>
          <w:szCs w:val="26"/>
        </w:rPr>
        <w:t xml:space="preserve"> forint volt hó végén. Az</w:t>
      </w:r>
      <w:r w:rsidRPr="006C0126">
        <w:rPr>
          <w:szCs w:val="26"/>
        </w:rPr>
        <w:t xml:space="preserve"> egy évnél hosszabb futamidejű Prémium Magyar Állampapír állománya az intézményi befektetők tulajdonában lévő jelentős összegű lejárat, illetve a forgalmazóktól történő visszavásárlás következtében 2020. november végén 246,5</w:t>
      </w:r>
      <w:r>
        <w:rPr>
          <w:szCs w:val="26"/>
        </w:rPr>
        <w:t> milliárd</w:t>
      </w:r>
      <w:r w:rsidRPr="006C0126">
        <w:rPr>
          <w:szCs w:val="26"/>
        </w:rPr>
        <w:t xml:space="preserve"> forinttal csökkent, amely így 2271,9</w:t>
      </w:r>
      <w:r>
        <w:rPr>
          <w:szCs w:val="26"/>
        </w:rPr>
        <w:t> milliárd</w:t>
      </w:r>
      <w:r w:rsidRPr="006C0126">
        <w:rPr>
          <w:szCs w:val="26"/>
        </w:rPr>
        <w:t xml:space="preserve"> forintot tett ki.</w:t>
      </w:r>
    </w:p>
    <w:p w14:paraId="48B0CA46" w14:textId="362E33CB" w:rsidR="007B7BD0" w:rsidRPr="006C0126" w:rsidRDefault="007B7BD0" w:rsidP="007B7BD0">
      <w:pPr>
        <w:pStyle w:val="Default"/>
        <w:spacing w:before="120"/>
        <w:jc w:val="both"/>
        <w:rPr>
          <w:rFonts w:ascii="Times New Roman" w:hAnsi="Times New Roman" w:cs="Times New Roman"/>
          <w:sz w:val="26"/>
          <w:szCs w:val="26"/>
        </w:rPr>
      </w:pPr>
      <w:r w:rsidRPr="006C0126">
        <w:rPr>
          <w:rFonts w:ascii="Times New Roman" w:hAnsi="Times New Roman" w:cs="Times New Roman"/>
          <w:sz w:val="26"/>
          <w:szCs w:val="26"/>
        </w:rPr>
        <w:t>A már nem értékesített Bónusz Magyar Állampapír 389,8</w:t>
      </w:r>
      <w:r>
        <w:rPr>
          <w:rFonts w:ascii="Times New Roman" w:hAnsi="Times New Roman" w:cs="Times New Roman"/>
          <w:sz w:val="26"/>
          <w:szCs w:val="26"/>
        </w:rPr>
        <w:t> milliárd</w:t>
      </w:r>
      <w:r w:rsidRPr="006C0126">
        <w:rPr>
          <w:rFonts w:ascii="Times New Roman" w:hAnsi="Times New Roman" w:cs="Times New Roman"/>
          <w:sz w:val="26"/>
          <w:szCs w:val="26"/>
        </w:rPr>
        <w:t xml:space="preserve"> forint csökkenést követően 61,6</w:t>
      </w:r>
      <w:r>
        <w:rPr>
          <w:rFonts w:ascii="Times New Roman" w:hAnsi="Times New Roman" w:cs="Times New Roman"/>
          <w:sz w:val="26"/>
          <w:szCs w:val="26"/>
        </w:rPr>
        <w:t> milliárd</w:t>
      </w:r>
      <w:r w:rsidRPr="006C0126">
        <w:rPr>
          <w:rFonts w:ascii="Times New Roman" w:hAnsi="Times New Roman" w:cs="Times New Roman"/>
          <w:sz w:val="26"/>
          <w:szCs w:val="26"/>
        </w:rPr>
        <w:t xml:space="preserve"> forintos állománnyal zárt hó végén.</w:t>
      </w:r>
      <w:r w:rsidRPr="006C0126">
        <w:rPr>
          <w:rFonts w:ascii="Times New Roman" w:hAnsi="Times New Roman" w:cs="Times New Roman"/>
          <w:bCs/>
          <w:sz w:val="26"/>
          <w:szCs w:val="26"/>
        </w:rPr>
        <w:t xml:space="preserve"> </w:t>
      </w:r>
      <w:r w:rsidRPr="006C0126">
        <w:rPr>
          <w:rFonts w:ascii="Times New Roman" w:hAnsi="Times New Roman" w:cs="Times New Roman"/>
          <w:sz w:val="26"/>
          <w:szCs w:val="26"/>
        </w:rPr>
        <w:t xml:space="preserve">A szintén nem forgalmazott kétéves futamidejű, </w:t>
      </w:r>
      <w:proofErr w:type="gramStart"/>
      <w:r w:rsidRPr="006C0126">
        <w:rPr>
          <w:rFonts w:ascii="Times New Roman" w:hAnsi="Times New Roman" w:cs="Times New Roman"/>
          <w:sz w:val="26"/>
          <w:szCs w:val="26"/>
        </w:rPr>
        <w:t>fix</w:t>
      </w:r>
      <w:proofErr w:type="gramEnd"/>
      <w:r w:rsidRPr="006C0126">
        <w:rPr>
          <w:rFonts w:ascii="Times New Roman" w:hAnsi="Times New Roman" w:cs="Times New Roman"/>
          <w:sz w:val="26"/>
          <w:szCs w:val="26"/>
        </w:rPr>
        <w:t xml:space="preserve"> kamatozású állampapír állománya 155,5</w:t>
      </w:r>
      <w:r>
        <w:rPr>
          <w:rFonts w:ascii="Times New Roman" w:hAnsi="Times New Roman" w:cs="Times New Roman"/>
          <w:sz w:val="26"/>
          <w:szCs w:val="26"/>
        </w:rPr>
        <w:t> milliárd</w:t>
      </w:r>
      <w:r w:rsidRPr="006C0126">
        <w:rPr>
          <w:rFonts w:ascii="Times New Roman" w:hAnsi="Times New Roman" w:cs="Times New Roman"/>
          <w:sz w:val="26"/>
          <w:szCs w:val="26"/>
        </w:rPr>
        <w:t xml:space="preserve"> forinttal 59,7</w:t>
      </w:r>
      <w:r>
        <w:rPr>
          <w:rFonts w:ascii="Times New Roman" w:hAnsi="Times New Roman" w:cs="Times New Roman"/>
          <w:sz w:val="26"/>
          <w:szCs w:val="26"/>
        </w:rPr>
        <w:t> milliárd</w:t>
      </w:r>
      <w:r w:rsidRPr="006C0126">
        <w:rPr>
          <w:rFonts w:ascii="Times New Roman" w:hAnsi="Times New Roman" w:cs="Times New Roman"/>
          <w:sz w:val="26"/>
          <w:szCs w:val="26"/>
        </w:rPr>
        <w:t xml:space="preserve"> forintra mérséklődött november</w:t>
      </w:r>
      <w:r w:rsidRPr="006C0126">
        <w:rPr>
          <w:rFonts w:ascii="Times New Roman" w:hAnsi="Times New Roman" w:cs="Times New Roman"/>
          <w:bCs/>
          <w:sz w:val="26"/>
          <w:szCs w:val="26"/>
        </w:rPr>
        <w:t xml:space="preserve"> </w:t>
      </w:r>
      <w:r w:rsidRPr="006C0126">
        <w:rPr>
          <w:rFonts w:ascii="Times New Roman" w:hAnsi="Times New Roman" w:cs="Times New Roman"/>
          <w:sz w:val="26"/>
          <w:szCs w:val="26"/>
        </w:rPr>
        <w:t>hó végéig. Az Egyéves Magyar Állampapír állománya 1103,4</w:t>
      </w:r>
      <w:r>
        <w:rPr>
          <w:rFonts w:ascii="Times New Roman" w:hAnsi="Times New Roman" w:cs="Times New Roman"/>
          <w:sz w:val="26"/>
          <w:szCs w:val="26"/>
        </w:rPr>
        <w:t> milliárd</w:t>
      </w:r>
      <w:r w:rsidRPr="006C0126">
        <w:rPr>
          <w:rFonts w:ascii="Times New Roman" w:hAnsi="Times New Roman" w:cs="Times New Roman"/>
          <w:sz w:val="26"/>
          <w:szCs w:val="26"/>
        </w:rPr>
        <w:t xml:space="preserve"> forint volt november</w:t>
      </w:r>
      <w:r w:rsidRPr="006C0126">
        <w:rPr>
          <w:rFonts w:ascii="Times New Roman" w:hAnsi="Times New Roman" w:cs="Times New Roman"/>
          <w:bCs/>
          <w:sz w:val="26"/>
          <w:szCs w:val="26"/>
        </w:rPr>
        <w:t xml:space="preserve"> </w:t>
      </w:r>
      <w:r w:rsidRPr="006C0126">
        <w:rPr>
          <w:rFonts w:ascii="Times New Roman" w:hAnsi="Times New Roman" w:cs="Times New Roman"/>
          <w:sz w:val="26"/>
          <w:szCs w:val="26"/>
        </w:rPr>
        <w:t>végén, ami 1054,6</w:t>
      </w:r>
      <w:r>
        <w:rPr>
          <w:rFonts w:ascii="Times New Roman" w:hAnsi="Times New Roman" w:cs="Times New Roman"/>
          <w:sz w:val="26"/>
          <w:szCs w:val="26"/>
        </w:rPr>
        <w:t> milliárd</w:t>
      </w:r>
      <w:r w:rsidRPr="006C0126">
        <w:rPr>
          <w:rFonts w:ascii="Times New Roman" w:hAnsi="Times New Roman" w:cs="Times New Roman"/>
          <w:sz w:val="26"/>
          <w:szCs w:val="26"/>
        </w:rPr>
        <w:t xml:space="preserve"> forinttal alacsonyabb a 2019. év végi állománynál. Az Egyéves Magyar Állampapír állománycsökkenés</w:t>
      </w:r>
      <w:r w:rsidR="00463A0F">
        <w:rPr>
          <w:rFonts w:ascii="Times New Roman" w:hAnsi="Times New Roman" w:cs="Times New Roman"/>
          <w:sz w:val="26"/>
          <w:szCs w:val="26"/>
        </w:rPr>
        <w:t>ének</w:t>
      </w:r>
      <w:r w:rsidRPr="006C0126">
        <w:rPr>
          <w:rFonts w:ascii="Times New Roman" w:hAnsi="Times New Roman" w:cs="Times New Roman"/>
          <w:sz w:val="26"/>
          <w:szCs w:val="26"/>
        </w:rPr>
        <w:t xml:space="preserve"> oka az intézményi lejáratok mellett, hogy a lakossági befektetők lejáró értékpapírjaikból képződő bevételeiket Magyar Állampapír Plusz vásárlására fordítják.</w:t>
      </w:r>
    </w:p>
    <w:p w14:paraId="414CC675" w14:textId="77777777" w:rsidR="007B7BD0" w:rsidRPr="006C0126" w:rsidRDefault="007B7BD0" w:rsidP="007B7BD0">
      <w:pPr>
        <w:pStyle w:val="Default"/>
        <w:spacing w:before="120"/>
        <w:jc w:val="both"/>
        <w:rPr>
          <w:rFonts w:ascii="Times New Roman" w:hAnsi="Times New Roman" w:cs="Times New Roman"/>
          <w:sz w:val="26"/>
          <w:szCs w:val="26"/>
        </w:rPr>
      </w:pPr>
      <w:r w:rsidRPr="006C0126">
        <w:rPr>
          <w:rFonts w:ascii="Times New Roman" w:hAnsi="Times New Roman" w:cs="Times New Roman"/>
          <w:sz w:val="26"/>
          <w:szCs w:val="26"/>
        </w:rPr>
        <w:t xml:space="preserve">Az ÁKK </w:t>
      </w:r>
      <w:proofErr w:type="spellStart"/>
      <w:r w:rsidRPr="006C0126">
        <w:rPr>
          <w:rFonts w:ascii="Times New Roman" w:hAnsi="Times New Roman" w:cs="Times New Roman"/>
          <w:sz w:val="26"/>
          <w:szCs w:val="26"/>
        </w:rPr>
        <w:t>Zrt</w:t>
      </w:r>
      <w:proofErr w:type="spellEnd"/>
      <w:r w:rsidRPr="006C0126">
        <w:rPr>
          <w:rFonts w:ascii="Times New Roman" w:hAnsi="Times New Roman" w:cs="Times New Roman"/>
          <w:sz w:val="26"/>
          <w:szCs w:val="26"/>
        </w:rPr>
        <w:t>. november hó folyamán 71,7</w:t>
      </w:r>
      <w:r>
        <w:rPr>
          <w:rFonts w:ascii="Times New Roman" w:hAnsi="Times New Roman" w:cs="Times New Roman"/>
          <w:sz w:val="26"/>
          <w:szCs w:val="26"/>
        </w:rPr>
        <w:t> milliárd</w:t>
      </w:r>
      <w:r w:rsidRPr="006C0126">
        <w:rPr>
          <w:rFonts w:ascii="Times New Roman" w:hAnsi="Times New Roman" w:cs="Times New Roman"/>
          <w:sz w:val="26"/>
          <w:szCs w:val="26"/>
        </w:rPr>
        <w:t xml:space="preserve"> forint összegben vásárolt vissza lakossági állampapírokat a forgalmazó bankoktól.</w:t>
      </w:r>
    </w:p>
    <w:p w14:paraId="396646FA" w14:textId="6537A6BF" w:rsidR="007B7BD0" w:rsidRPr="006C0126" w:rsidRDefault="007B7BD0" w:rsidP="007B7BD0">
      <w:pPr>
        <w:spacing w:before="240"/>
        <w:ind w:right="23"/>
        <w:rPr>
          <w:szCs w:val="26"/>
        </w:rPr>
      </w:pPr>
      <w:r w:rsidRPr="006C0126">
        <w:rPr>
          <w:szCs w:val="26"/>
        </w:rPr>
        <w:t xml:space="preserve">A </w:t>
      </w:r>
      <w:r w:rsidRPr="006C0126">
        <w:rPr>
          <w:iCs/>
          <w:szCs w:val="26"/>
        </w:rPr>
        <w:t>külföldi befektetők állampapír</w:t>
      </w:r>
      <w:r w:rsidR="002368D4">
        <w:rPr>
          <w:iCs/>
          <w:szCs w:val="26"/>
        </w:rPr>
        <w:t>-</w:t>
      </w:r>
      <w:r w:rsidRPr="006C0126">
        <w:rPr>
          <w:iCs/>
          <w:szCs w:val="26"/>
        </w:rPr>
        <w:t>állománya novemberben</w:t>
      </w:r>
      <w:r w:rsidRPr="006C0126">
        <w:rPr>
          <w:szCs w:val="26"/>
        </w:rPr>
        <w:t xml:space="preserve"> 43,1</w:t>
      </w:r>
      <w:r>
        <w:rPr>
          <w:szCs w:val="26"/>
        </w:rPr>
        <w:t> milliárd</w:t>
      </w:r>
      <w:r w:rsidRPr="006C0126">
        <w:rPr>
          <w:szCs w:val="26"/>
        </w:rPr>
        <w:t xml:space="preserve"> forinttal növekedett az előző hónaphoz képest. A külföldi állomány 99,7%-</w:t>
      </w:r>
      <w:proofErr w:type="gramStart"/>
      <w:r w:rsidRPr="006C0126">
        <w:rPr>
          <w:szCs w:val="26"/>
        </w:rPr>
        <w:t>a</w:t>
      </w:r>
      <w:proofErr w:type="gramEnd"/>
      <w:r w:rsidRPr="006C0126">
        <w:rPr>
          <w:szCs w:val="26"/>
        </w:rPr>
        <w:t>, 4436,0</w:t>
      </w:r>
      <w:r>
        <w:rPr>
          <w:szCs w:val="26"/>
        </w:rPr>
        <w:t> milliárd</w:t>
      </w:r>
      <w:r w:rsidRPr="006C0126">
        <w:rPr>
          <w:szCs w:val="26"/>
        </w:rPr>
        <w:t xml:space="preserve"> forint államkötvény és 0,3%-a, 13,9</w:t>
      </w:r>
      <w:r>
        <w:rPr>
          <w:szCs w:val="26"/>
        </w:rPr>
        <w:t> milliárd</w:t>
      </w:r>
      <w:r w:rsidRPr="006C0126">
        <w:rPr>
          <w:szCs w:val="26"/>
        </w:rPr>
        <w:t xml:space="preserve"> forint diszkontkincstárjegy. A külföldi állomány átlagos hátralévő futamideje november végén 5,9 év volt, amely enyhén emelkedett az előző hónap végéhez képest.</w:t>
      </w:r>
    </w:p>
    <w:p w14:paraId="6314962E" w14:textId="4B2EC26F" w:rsidR="00D013E1" w:rsidRPr="00960D18" w:rsidRDefault="34B096E2" w:rsidP="005321B7">
      <w:pPr>
        <w:spacing w:before="240"/>
      </w:pPr>
      <w:r>
        <w:lastRenderedPageBreak/>
        <w:t xml:space="preserve">A deviza-államadósság kockázatainak csökkentése érdekében az ÁKK </w:t>
      </w:r>
      <w:proofErr w:type="spellStart"/>
      <w:r>
        <w:t>Zrt</w:t>
      </w:r>
      <w:proofErr w:type="spellEnd"/>
      <w:r>
        <w:t xml:space="preserve">. </w:t>
      </w:r>
      <w:proofErr w:type="spellStart"/>
      <w:r w:rsidR="007B7BD0" w:rsidRPr="006C0126">
        <w:rPr>
          <w:szCs w:val="26"/>
        </w:rPr>
        <w:t>swapműveleteket</w:t>
      </w:r>
      <w:proofErr w:type="spellEnd"/>
      <w:r>
        <w:t xml:space="preserve"> köt, amiből az adósságállomány részét képezik az ezen ügyletek után az ÁKK </w:t>
      </w:r>
      <w:proofErr w:type="spellStart"/>
      <w:r>
        <w:t>Zrt.-nél</w:t>
      </w:r>
      <w:proofErr w:type="spellEnd"/>
      <w:r>
        <w:t xml:space="preserve"> elhelyezésre kerülő fedezeti összegek (az ún. </w:t>
      </w:r>
      <w:proofErr w:type="spellStart"/>
      <w:r>
        <w:t>mark-to-market</w:t>
      </w:r>
      <w:proofErr w:type="spellEnd"/>
      <w:r>
        <w:t xml:space="preserve"> betétek) az egyéb kötelezettségek soron. Az elmúlt években az egyéb devizák (főként az USD) jelentősen felértékelődtek az euróhoz képest, az emiatt keletkező többletadósságot viszont a </w:t>
      </w:r>
      <w:proofErr w:type="spellStart"/>
      <w:r>
        <w:t>swapkötéssel</w:t>
      </w:r>
      <w:proofErr w:type="spellEnd"/>
      <w:r>
        <w:t xml:space="preserve"> sikerült kizárni. A vizsgált időszakban az egyéb kötelezettségek állománya </w:t>
      </w:r>
      <w:r w:rsidR="007B7BD0" w:rsidRPr="006C0126">
        <w:rPr>
          <w:szCs w:val="26"/>
        </w:rPr>
        <w:t>27,1</w:t>
      </w:r>
      <w:r>
        <w:t xml:space="preserve"> milliárd forinttal csökkent. </w:t>
      </w:r>
      <w:r w:rsidR="007B7BD0" w:rsidRPr="006C0126">
        <w:rPr>
          <w:szCs w:val="26"/>
        </w:rPr>
        <w:t>November</w:t>
      </w:r>
      <w:r>
        <w:t xml:space="preserve"> végén az állomány </w:t>
      </w:r>
      <w:r w:rsidR="007B7BD0" w:rsidRPr="006C0126">
        <w:rPr>
          <w:szCs w:val="26"/>
        </w:rPr>
        <w:t>176,6</w:t>
      </w:r>
      <w:r>
        <w:t> milliárd forintot tett ki, ami a teljes államadósság 0,5%-</w:t>
      </w:r>
      <w:proofErr w:type="gramStart"/>
      <w:r w:rsidR="00E65120">
        <w:t>a</w:t>
      </w:r>
      <w:r>
        <w:t>.</w:t>
      </w:r>
      <w:proofErr w:type="gramEnd"/>
    </w:p>
    <w:p w14:paraId="27D23C54" w14:textId="77777777" w:rsidR="00D013E1" w:rsidRDefault="34B096E2" w:rsidP="34B096E2">
      <w:pPr>
        <w:keepNext/>
        <w:numPr>
          <w:ilvl w:val="0"/>
          <w:numId w:val="5"/>
        </w:numPr>
        <w:overflowPunct w:val="0"/>
        <w:autoSpaceDE w:val="0"/>
        <w:autoSpaceDN w:val="0"/>
        <w:adjustRightInd w:val="0"/>
        <w:ind w:left="567" w:hanging="567"/>
        <w:jc w:val="left"/>
        <w:textAlignment w:val="baseline"/>
        <w:outlineLvl w:val="3"/>
        <w:rPr>
          <w:b/>
          <w:bCs/>
        </w:rPr>
      </w:pPr>
      <w:r w:rsidRPr="34B096E2">
        <w:rPr>
          <w:b/>
          <w:bCs/>
        </w:rPr>
        <w:t>Kamatok, hozamok alakulása</w:t>
      </w:r>
    </w:p>
    <w:p w14:paraId="47611F48" w14:textId="61D29DF5" w:rsidR="00D013E1" w:rsidRDefault="33AD6429" w:rsidP="00D013E1">
      <w:pPr>
        <w:overflowPunct w:val="0"/>
        <w:autoSpaceDE w:val="0"/>
        <w:autoSpaceDN w:val="0"/>
        <w:adjustRightInd w:val="0"/>
        <w:textAlignment w:val="baseline"/>
      </w:pPr>
      <w:r>
        <w:t xml:space="preserve">A diszkontkincstárjegyek </w:t>
      </w:r>
      <w:r w:rsidR="007B7BD0" w:rsidRPr="007B7BD0">
        <w:t>novemberi</w:t>
      </w:r>
      <w:r>
        <w:t xml:space="preserve"> </w:t>
      </w:r>
      <w:proofErr w:type="gramStart"/>
      <w:r>
        <w:t>aukcióin</w:t>
      </w:r>
      <w:proofErr w:type="gramEnd"/>
      <w:r>
        <w:t xml:space="preserve"> a havi átlagos fedezettség az előző havi </w:t>
      </w:r>
      <w:r w:rsidR="007B7BD0" w:rsidRPr="007B7BD0">
        <w:t>2</w:t>
      </w:r>
      <w:r>
        <w:t>,7</w:t>
      </w:r>
      <w:r w:rsidR="007B7BD0" w:rsidRPr="007B7BD0">
        <w:t>-</w:t>
      </w:r>
      <w:r>
        <w:t>ről 2,</w:t>
      </w:r>
      <w:r w:rsidR="007B7BD0" w:rsidRPr="007B7BD0">
        <w:t>2</w:t>
      </w:r>
      <w:r>
        <w:t xml:space="preserve">-re </w:t>
      </w:r>
      <w:r w:rsidR="007B7BD0" w:rsidRPr="007B7BD0">
        <w:t>csökkent.</w:t>
      </w:r>
      <w:r>
        <w:t xml:space="preserve"> A kötvényaukciókon a havi átlagos fedezettség az előző havi 2,</w:t>
      </w:r>
      <w:r w:rsidR="007B7BD0" w:rsidRPr="007B7BD0">
        <w:t>5</w:t>
      </w:r>
      <w:r w:rsidR="003508CA">
        <w:noBreakHyphen/>
      </w:r>
      <w:r>
        <w:t>ről 2,</w:t>
      </w:r>
      <w:r w:rsidR="007B7BD0" w:rsidRPr="007B7BD0">
        <w:t>2</w:t>
      </w:r>
      <w:r>
        <w:t xml:space="preserve">-re </w:t>
      </w:r>
      <w:r w:rsidR="007B7BD0" w:rsidRPr="007B7BD0">
        <w:t>mérséklődött</w:t>
      </w:r>
      <w:r>
        <w:t>.</w:t>
      </w:r>
    </w:p>
    <w:p w14:paraId="73F9F2E8" w14:textId="4154C6AE" w:rsidR="00D013E1" w:rsidRDefault="34B096E2" w:rsidP="00D013E1">
      <w:pPr>
        <w:overflowPunct w:val="0"/>
        <w:autoSpaceDE w:val="0"/>
        <w:autoSpaceDN w:val="0"/>
        <w:adjustRightInd w:val="0"/>
        <w:textAlignment w:val="baseline"/>
      </w:pPr>
      <w:r>
        <w:t xml:space="preserve">A 3 hónapos diszkontkincstárjegy utolsó </w:t>
      </w:r>
      <w:r w:rsidR="007B7BD0" w:rsidRPr="007B7BD0">
        <w:t xml:space="preserve">novemberi </w:t>
      </w:r>
      <w:proofErr w:type="gramStart"/>
      <w:r>
        <w:t>aukcióján</w:t>
      </w:r>
      <w:proofErr w:type="gramEnd"/>
      <w:r>
        <w:t xml:space="preserve"> a hozam az egy hónappal korábbi aukcióhoz képest </w:t>
      </w:r>
      <w:r w:rsidR="007B7BD0" w:rsidRPr="007B7BD0">
        <w:t>7</w:t>
      </w:r>
      <w:r>
        <w:t xml:space="preserve"> bázisponttal </w:t>
      </w:r>
      <w:r w:rsidR="007B7BD0" w:rsidRPr="007B7BD0">
        <w:t>csökkent</w:t>
      </w:r>
      <w:r>
        <w:t>, és 0,</w:t>
      </w:r>
      <w:r w:rsidR="007B7BD0" w:rsidRPr="007B7BD0">
        <w:t>42</w:t>
      </w:r>
      <w:r>
        <w:t xml:space="preserve">%-ot tett ki. A 12 hónapos kincstárjegy utolsó </w:t>
      </w:r>
      <w:r w:rsidR="007B7BD0" w:rsidRPr="007B7BD0">
        <w:t>novemberi</w:t>
      </w:r>
      <w:r>
        <w:t xml:space="preserve"> </w:t>
      </w:r>
      <w:proofErr w:type="gramStart"/>
      <w:r>
        <w:t>aukcióján</w:t>
      </w:r>
      <w:proofErr w:type="gramEnd"/>
      <w:r>
        <w:t xml:space="preserve"> a kialakult átlaghozam 0,</w:t>
      </w:r>
      <w:r w:rsidR="007B7BD0" w:rsidRPr="007B7BD0">
        <w:t>48</w:t>
      </w:r>
      <w:r>
        <w:t xml:space="preserve">% lett, amely </w:t>
      </w:r>
      <w:r w:rsidR="007B7BD0" w:rsidRPr="007B7BD0">
        <w:t>22</w:t>
      </w:r>
      <w:r w:rsidR="00203CA6">
        <w:t> </w:t>
      </w:r>
      <w:r>
        <w:t xml:space="preserve">bázisponttal alacsonyabb </w:t>
      </w:r>
      <w:r w:rsidR="007B7BD0" w:rsidRPr="007B7BD0">
        <w:t xml:space="preserve">az októberi </w:t>
      </w:r>
      <w:r>
        <w:t>értéknél.</w:t>
      </w:r>
    </w:p>
    <w:p w14:paraId="5D4F03D9" w14:textId="0E3A7303" w:rsidR="00D52A69" w:rsidRPr="29F45AC7" w:rsidRDefault="34B096E2" w:rsidP="34B096E2">
      <w:pPr>
        <w:tabs>
          <w:tab w:val="left" w:pos="550"/>
        </w:tabs>
        <w:spacing w:before="120"/>
        <w:rPr>
          <w:caps/>
        </w:rPr>
      </w:pPr>
      <w:r>
        <w:t xml:space="preserve">A 3 éves kötvényaukción a hozam </w:t>
      </w:r>
      <w:r w:rsidR="007B7BD0" w:rsidRPr="007B7BD0">
        <w:t>0,98</w:t>
      </w:r>
      <w:r>
        <w:t xml:space="preserve">%-ot tett ki, amely </w:t>
      </w:r>
      <w:r w:rsidR="007B7BD0" w:rsidRPr="007B7BD0">
        <w:t>28</w:t>
      </w:r>
      <w:r>
        <w:t xml:space="preserve"> bázisponttal alacsonyabb, mint az utolsó </w:t>
      </w:r>
      <w:r w:rsidR="007B7BD0" w:rsidRPr="007B7BD0">
        <w:t xml:space="preserve">októberi </w:t>
      </w:r>
      <w:proofErr w:type="gramStart"/>
      <w:r>
        <w:t>aukción</w:t>
      </w:r>
      <w:proofErr w:type="gramEnd"/>
      <w:r>
        <w:t xml:space="preserve"> kialakult átlaghozam. Az 5 éves kötvény utolsó </w:t>
      </w:r>
      <w:r w:rsidR="007B7BD0" w:rsidRPr="007B7BD0">
        <w:t xml:space="preserve">novemberi </w:t>
      </w:r>
      <w:proofErr w:type="gramStart"/>
      <w:r>
        <w:t>aukcióján</w:t>
      </w:r>
      <w:proofErr w:type="gramEnd"/>
      <w:r>
        <w:t xml:space="preserve"> az átlaghozam 1,</w:t>
      </w:r>
      <w:r w:rsidR="007B7BD0" w:rsidRPr="007B7BD0">
        <w:t>50</w:t>
      </w:r>
      <w:r>
        <w:t xml:space="preserve">%-ot ért el, amely </w:t>
      </w:r>
      <w:r w:rsidR="007B7BD0" w:rsidRPr="007B7BD0">
        <w:t>21</w:t>
      </w:r>
      <w:r>
        <w:t xml:space="preserve"> bázisponttal elmarad az utolsó </w:t>
      </w:r>
      <w:r w:rsidR="007B7BD0" w:rsidRPr="007B7BD0">
        <w:t>októberi</w:t>
      </w:r>
      <w:r>
        <w:t xml:space="preserve"> aukción kialakult átlaghozamtól. A 10 éves kötvényaukció 2,</w:t>
      </w:r>
      <w:r w:rsidR="007B7BD0" w:rsidRPr="007B7BD0">
        <w:t>18</w:t>
      </w:r>
      <w:r>
        <w:t xml:space="preserve">%-os átlaghozama </w:t>
      </w:r>
      <w:r w:rsidR="007B7BD0" w:rsidRPr="007B7BD0">
        <w:t>10</w:t>
      </w:r>
      <w:r>
        <w:t xml:space="preserve"> bázisponttal alacsonyabb, mint az utolsó </w:t>
      </w:r>
      <w:r w:rsidR="007B7BD0" w:rsidRPr="007B7BD0">
        <w:t>októberi</w:t>
      </w:r>
      <w:r>
        <w:t xml:space="preserve"> </w:t>
      </w:r>
      <w:proofErr w:type="gramStart"/>
      <w:r>
        <w:t>aukción</w:t>
      </w:r>
      <w:proofErr w:type="gramEnd"/>
      <w:r>
        <w:t xml:space="preserve"> kialakult átlaghozam. A 15 éves kötvényaukció 2,</w:t>
      </w:r>
      <w:r w:rsidR="007B7BD0" w:rsidRPr="007B7BD0">
        <w:t>32</w:t>
      </w:r>
      <w:r>
        <w:t xml:space="preserve">%-os átlaghozama </w:t>
      </w:r>
      <w:r w:rsidR="007B7BD0" w:rsidRPr="007B7BD0">
        <w:t>33</w:t>
      </w:r>
      <w:r>
        <w:t xml:space="preserve"> bázisponttal </w:t>
      </w:r>
      <w:r w:rsidR="007B7BD0" w:rsidRPr="007B7BD0">
        <w:t>elmarad</w:t>
      </w:r>
      <w:r w:rsidR="00FC6D9E">
        <w:t>t</w:t>
      </w:r>
      <w:r>
        <w:t xml:space="preserve"> az utolsó </w:t>
      </w:r>
      <w:r w:rsidR="007B7BD0" w:rsidRPr="007B7BD0">
        <w:t>októberi</w:t>
      </w:r>
      <w:r>
        <w:t xml:space="preserve"> </w:t>
      </w:r>
      <w:proofErr w:type="gramStart"/>
      <w:r>
        <w:t>aukción</w:t>
      </w:r>
      <w:proofErr w:type="gramEnd"/>
      <w:r>
        <w:t xml:space="preserve"> kialakult átlaghozamtól. A 20 éves kötvényaukció 2,</w:t>
      </w:r>
      <w:r w:rsidR="007B7BD0" w:rsidRPr="007B7BD0">
        <w:t>50</w:t>
      </w:r>
      <w:r>
        <w:t xml:space="preserve">%-os átlaghozama </w:t>
      </w:r>
      <w:r w:rsidR="007B7BD0" w:rsidRPr="007B7BD0">
        <w:t>18</w:t>
      </w:r>
      <w:r>
        <w:t xml:space="preserve"> bázisponttal alacsonyabb, mint </w:t>
      </w:r>
      <w:r w:rsidR="007B7BD0" w:rsidRPr="007B7BD0">
        <w:t>a</w:t>
      </w:r>
      <w:r>
        <w:t xml:space="preserve"> megelőző </w:t>
      </w:r>
      <w:r w:rsidR="007B7BD0" w:rsidRPr="007B7BD0">
        <w:t xml:space="preserve">októberi </w:t>
      </w:r>
      <w:proofErr w:type="gramStart"/>
      <w:r w:rsidR="007B7BD0" w:rsidRPr="007B7BD0">
        <w:t>aukció</w:t>
      </w:r>
      <w:proofErr w:type="gramEnd"/>
      <w:r>
        <w:t xml:space="preserve"> átlaghozama.</w:t>
      </w:r>
    </w:p>
    <w:sectPr w:rsidR="00D52A69" w:rsidRPr="29F45AC7" w:rsidSect="00730878">
      <w:headerReference w:type="default" r:id="rId30"/>
      <w:headerReference w:type="first" r:id="rId31"/>
      <w:footnotePr>
        <w:numRestart w:val="eachPage"/>
      </w:footnotePr>
      <w:pgSz w:w="11907" w:h="16840" w:code="9"/>
      <w:pgMar w:top="1134" w:right="1134" w:bottom="1418" w:left="1418" w:header="709" w:footer="283" w:gutter="0"/>
      <w:cols w:space="708"/>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70660" w14:textId="77777777" w:rsidR="003F1E5E" w:rsidRDefault="003F1E5E">
      <w:r>
        <w:separator/>
      </w:r>
    </w:p>
  </w:endnote>
  <w:endnote w:type="continuationSeparator" w:id="0">
    <w:p w14:paraId="08606D55" w14:textId="77777777" w:rsidR="003F1E5E" w:rsidRDefault="003F1E5E">
      <w:r>
        <w:continuationSeparator/>
      </w:r>
    </w:p>
  </w:endnote>
  <w:endnote w:type="continuationNotice" w:id="1">
    <w:p w14:paraId="4FD668DC" w14:textId="77777777" w:rsidR="003F1E5E" w:rsidRDefault="003F1E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671311"/>
      <w:docPartObj>
        <w:docPartGallery w:val="Page Numbers (Bottom of Page)"/>
        <w:docPartUnique/>
      </w:docPartObj>
    </w:sdtPr>
    <w:sdtEndPr/>
    <w:sdtContent>
      <w:p w14:paraId="47A602DE" w14:textId="754FEDB4" w:rsidR="00397005" w:rsidRDefault="00397005">
        <w:pPr>
          <w:pStyle w:val="llb"/>
          <w:jc w:val="center"/>
        </w:pPr>
        <w:r>
          <w:fldChar w:fldCharType="begin"/>
        </w:r>
        <w:r>
          <w:instrText>PAGE   \* MERGEFORMAT</w:instrText>
        </w:r>
        <w:r>
          <w:fldChar w:fldCharType="separate"/>
        </w:r>
        <w:r w:rsidR="006D4345">
          <w:rPr>
            <w:noProof/>
          </w:rPr>
          <w:t>25</w:t>
        </w:r>
        <w:r>
          <w:fldChar w:fldCharType="end"/>
        </w:r>
      </w:p>
    </w:sdtContent>
  </w:sdt>
  <w:p w14:paraId="5D4F0473" w14:textId="77777777" w:rsidR="00397005" w:rsidRPr="00B65D56" w:rsidRDefault="00397005" w:rsidP="00B65D56">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190023"/>
      <w:docPartObj>
        <w:docPartGallery w:val="Page Numbers (Bottom of Page)"/>
        <w:docPartUnique/>
      </w:docPartObj>
    </w:sdtPr>
    <w:sdtEndPr/>
    <w:sdtContent>
      <w:p w14:paraId="5FB57992" w14:textId="371C8032" w:rsidR="00397005" w:rsidRDefault="00397005">
        <w:pPr>
          <w:pStyle w:val="llb"/>
          <w:jc w:val="center"/>
        </w:pPr>
        <w:r>
          <w:fldChar w:fldCharType="begin"/>
        </w:r>
        <w:r>
          <w:instrText>PAGE   \* MERGEFORMAT</w:instrText>
        </w:r>
        <w:r>
          <w:fldChar w:fldCharType="separate"/>
        </w:r>
        <w:r w:rsidR="006D4345">
          <w:rPr>
            <w:noProof/>
          </w:rPr>
          <w:t>24</w:t>
        </w:r>
        <w:r>
          <w:fldChar w:fldCharType="end"/>
        </w:r>
      </w:p>
    </w:sdtContent>
  </w:sdt>
  <w:p w14:paraId="2F25FF07" w14:textId="77777777" w:rsidR="00397005" w:rsidRDefault="0039700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BC1143" w14:textId="77777777" w:rsidR="003F1E5E" w:rsidRDefault="003F1E5E">
      <w:r>
        <w:separator/>
      </w:r>
    </w:p>
  </w:footnote>
  <w:footnote w:type="continuationSeparator" w:id="0">
    <w:p w14:paraId="7A93047D" w14:textId="77777777" w:rsidR="003F1E5E" w:rsidRDefault="003F1E5E">
      <w:r>
        <w:continuationSeparator/>
      </w:r>
    </w:p>
  </w:footnote>
  <w:footnote w:type="continuationNotice" w:id="1">
    <w:p w14:paraId="6BDE4DAA" w14:textId="77777777" w:rsidR="003F1E5E" w:rsidRDefault="003F1E5E">
      <w:pPr>
        <w:spacing w:after="0"/>
      </w:pPr>
    </w:p>
  </w:footnote>
  <w:footnote w:id="2">
    <w:p w14:paraId="5D4F0478" w14:textId="77777777" w:rsidR="00397005" w:rsidRDefault="00397005" w:rsidP="34B096E2">
      <w:pPr>
        <w:pStyle w:val="Lbjegyzetszveg"/>
        <w:ind w:hanging="142"/>
        <w:jc w:val="both"/>
        <w:rPr>
          <w:sz w:val="18"/>
          <w:szCs w:val="18"/>
        </w:rPr>
      </w:pPr>
      <w:r w:rsidRPr="2291142B">
        <w:rPr>
          <w:rStyle w:val="Lbjegyzet-hivatkozs"/>
          <w:sz w:val="18"/>
          <w:szCs w:val="18"/>
        </w:rPr>
        <w:t>*</w:t>
      </w:r>
      <w:r>
        <w:rPr>
          <w:sz w:val="18"/>
        </w:rPr>
        <w:tab/>
      </w:r>
      <w:r w:rsidRPr="2291142B">
        <w:rPr>
          <w:sz w:val="18"/>
          <w:szCs w:val="18"/>
        </w:rPr>
        <w:t>Az államháztartás központi alrendszerének havonkénti részletes adatai megtalálhatók a Magyar Államkincstár honlapján (http://www.allamkincstar.gov.hu).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6AB72" w14:textId="77777777" w:rsidR="00397005" w:rsidRPr="00881044" w:rsidRDefault="00397005" w:rsidP="00881044">
    <w:pPr>
      <w:pStyle w:val="lfej"/>
      <w:rPr>
        <w:rStyle w:val="Oldalszm"/>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8F714" w14:textId="77777777" w:rsidR="00397005" w:rsidRPr="00FE4DD1" w:rsidRDefault="00397005" w:rsidP="00FE4DD1">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D8CAE" w14:textId="77777777" w:rsidR="00397005" w:rsidRPr="00881044" w:rsidRDefault="00397005" w:rsidP="00881044">
    <w:pPr>
      <w:pStyle w:val="lfej"/>
      <w:rPr>
        <w:rStyle w:val="Oldalszm"/>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5C9468" w14:textId="77777777" w:rsidR="00397005" w:rsidRPr="00FE4DD1" w:rsidRDefault="00397005" w:rsidP="00FE4DD1">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F0476" w14:textId="77777777" w:rsidR="00397005" w:rsidRPr="00881044" w:rsidRDefault="00397005" w:rsidP="00881044">
    <w:pPr>
      <w:pStyle w:val="lfej"/>
      <w:rPr>
        <w:rStyle w:val="Oldalszm"/>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4F0477" w14:textId="77777777" w:rsidR="00397005" w:rsidRPr="00FE4DD1" w:rsidRDefault="00397005" w:rsidP="00FE4DD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27298"/>
    <w:multiLevelType w:val="hybridMultilevel"/>
    <w:tmpl w:val="44CCC2AC"/>
    <w:lvl w:ilvl="0" w:tplc="08783BEC">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BA535F0"/>
    <w:multiLevelType w:val="hybridMultilevel"/>
    <w:tmpl w:val="078025E6"/>
    <w:lvl w:ilvl="0" w:tplc="8D9AF2B6">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2E6876C3"/>
    <w:multiLevelType w:val="hybridMultilevel"/>
    <w:tmpl w:val="1760077C"/>
    <w:lvl w:ilvl="0" w:tplc="8CDC5FA0">
      <w:start w:val="20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F9E7043"/>
    <w:multiLevelType w:val="hybridMultilevel"/>
    <w:tmpl w:val="1498719C"/>
    <w:lvl w:ilvl="0" w:tplc="0C4C157A">
      <w:start w:val="1"/>
      <w:numFmt w:val="decimal"/>
      <w:lvlText w:val="%1."/>
      <w:lvlJc w:val="left"/>
      <w:pPr>
        <w:ind w:left="720" w:hanging="360"/>
      </w:pPr>
      <w:rPr>
        <w:rFonts w:ascii="Times New Roman" w:hAnsi="Times New Roman" w:hint="default"/>
        <w:b w:val="0"/>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366A2F41"/>
    <w:multiLevelType w:val="hybridMultilevel"/>
    <w:tmpl w:val="3D987462"/>
    <w:lvl w:ilvl="0" w:tplc="040E000F">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6EA776E"/>
    <w:multiLevelType w:val="hybridMultilevel"/>
    <w:tmpl w:val="F278880E"/>
    <w:lvl w:ilvl="0" w:tplc="8D9AF2B6">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4E875348"/>
    <w:multiLevelType w:val="hybridMultilevel"/>
    <w:tmpl w:val="4C7C8330"/>
    <w:lvl w:ilvl="0" w:tplc="EEE8FA84">
      <w:start w:val="1"/>
      <w:numFmt w:val="upperRoman"/>
      <w:pStyle w:val="Kpalrs"/>
      <w:lvlText w:val="%1."/>
      <w:lvlJc w:val="left"/>
      <w:pPr>
        <w:tabs>
          <w:tab w:val="num" w:pos="1080"/>
        </w:tabs>
        <w:ind w:left="1080" w:hanging="720"/>
      </w:pPr>
      <w:rPr>
        <w:rFonts w:hint="default"/>
        <w:u w:val="none"/>
      </w:rPr>
    </w:lvl>
    <w:lvl w:ilvl="1" w:tplc="4F781A04">
      <w:start w:val="1"/>
      <w:numFmt w:val="decimal"/>
      <w:lvlText w:val="%2."/>
      <w:lvlJc w:val="left"/>
      <w:pPr>
        <w:tabs>
          <w:tab w:val="num" w:pos="1440"/>
        </w:tabs>
        <w:ind w:left="1440" w:hanging="360"/>
      </w:pPr>
      <w:rPr>
        <w:rFonts w:hint="default"/>
        <w:u w:val="none"/>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573523A"/>
    <w:multiLevelType w:val="hybridMultilevel"/>
    <w:tmpl w:val="92D45DA0"/>
    <w:lvl w:ilvl="0" w:tplc="5E42905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5E7C7F0F"/>
    <w:multiLevelType w:val="hybridMultilevel"/>
    <w:tmpl w:val="710EC92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5FD006B9"/>
    <w:multiLevelType w:val="hybridMultilevel"/>
    <w:tmpl w:val="50901804"/>
    <w:lvl w:ilvl="0" w:tplc="040E000F">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2F47659"/>
    <w:multiLevelType w:val="hybridMultilevel"/>
    <w:tmpl w:val="C60A11E4"/>
    <w:lvl w:ilvl="0" w:tplc="D9649056">
      <w:start w:val="201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6FA549BC"/>
    <w:multiLevelType w:val="hybridMultilevel"/>
    <w:tmpl w:val="DD082DA0"/>
    <w:lvl w:ilvl="0" w:tplc="040E0001">
      <w:numFmt w:val="bullet"/>
      <w:lvlText w:val=""/>
      <w:lvlJc w:val="left"/>
      <w:pPr>
        <w:ind w:left="720" w:hanging="360"/>
      </w:pPr>
      <w:rPr>
        <w:rFonts w:ascii="Symbol" w:eastAsia="Times New Roman"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7CCE33D1"/>
    <w:multiLevelType w:val="hybridMultilevel"/>
    <w:tmpl w:val="D4381014"/>
    <w:lvl w:ilvl="0" w:tplc="B60223D4">
      <w:start w:val="2016"/>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5"/>
  </w:num>
  <w:num w:numId="4">
    <w:abstractNumId w:val="3"/>
  </w:num>
  <w:num w:numId="5">
    <w:abstractNumId w:val="4"/>
  </w:num>
  <w:num w:numId="6">
    <w:abstractNumId w:val="8"/>
  </w:num>
  <w:num w:numId="7">
    <w:abstractNumId w:val="7"/>
  </w:num>
  <w:num w:numId="8">
    <w:abstractNumId w:val="0"/>
  </w:num>
  <w:num w:numId="9">
    <w:abstractNumId w:val="10"/>
  </w:num>
  <w:num w:numId="10">
    <w:abstractNumId w:val="12"/>
  </w:num>
  <w:num w:numId="11">
    <w:abstractNumId w:val="2"/>
  </w:num>
  <w:num w:numId="12">
    <w:abstractNumId w:val="9"/>
  </w:num>
  <w:num w:numId="1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removePersonalInformation/>
  <w:removeDateAndTime/>
  <w:activeWritingStyle w:appName="MSWord" w:lang="hu-HU" w:vendorID="7" w:dllVersion="513" w:checkStyle="0"/>
  <w:activeWritingStyle w:appName="MSWord" w:lang="hu-HU" w:vendorID="7" w:dllVersion="52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30"/>
  <w:drawingGridVerticalSpacing w:val="120"/>
  <w:displayHorizontalDrawingGridEvery w:val="2"/>
  <w:displayVerticalDrawingGridEvery w:val="0"/>
  <w:noPunctuationKerning/>
  <w:characterSpacingControl w:val="doNotCompress"/>
  <w:hdrShapeDefaults>
    <o:shapedefaults v:ext="edit" spidmax="4097"/>
  </w:hdrShapeDefaults>
  <w:footnotePr>
    <w:numRestart w:val="eachPage"/>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9A"/>
    <w:rsid w:val="00000082"/>
    <w:rsid w:val="00000262"/>
    <w:rsid w:val="0000053E"/>
    <w:rsid w:val="00000779"/>
    <w:rsid w:val="000007C3"/>
    <w:rsid w:val="000007F2"/>
    <w:rsid w:val="00000BD9"/>
    <w:rsid w:val="00000C70"/>
    <w:rsid w:val="00000FA7"/>
    <w:rsid w:val="00001164"/>
    <w:rsid w:val="00001A1C"/>
    <w:rsid w:val="00001B34"/>
    <w:rsid w:val="00002431"/>
    <w:rsid w:val="00002AC9"/>
    <w:rsid w:val="00002D44"/>
    <w:rsid w:val="00002EBA"/>
    <w:rsid w:val="00002F32"/>
    <w:rsid w:val="0000319C"/>
    <w:rsid w:val="000031E7"/>
    <w:rsid w:val="0000346F"/>
    <w:rsid w:val="000039C4"/>
    <w:rsid w:val="00003A0A"/>
    <w:rsid w:val="00003AB5"/>
    <w:rsid w:val="00003AFF"/>
    <w:rsid w:val="00003D71"/>
    <w:rsid w:val="00003DAA"/>
    <w:rsid w:val="00003E72"/>
    <w:rsid w:val="000040A1"/>
    <w:rsid w:val="000041CC"/>
    <w:rsid w:val="0000447C"/>
    <w:rsid w:val="00004A2B"/>
    <w:rsid w:val="00004A6C"/>
    <w:rsid w:val="00004B11"/>
    <w:rsid w:val="00004C60"/>
    <w:rsid w:val="00004CD3"/>
    <w:rsid w:val="000050A4"/>
    <w:rsid w:val="00005414"/>
    <w:rsid w:val="00005653"/>
    <w:rsid w:val="00005ABA"/>
    <w:rsid w:val="00006580"/>
    <w:rsid w:val="00006BEB"/>
    <w:rsid w:val="00006C1C"/>
    <w:rsid w:val="00006E83"/>
    <w:rsid w:val="00007429"/>
    <w:rsid w:val="0000786D"/>
    <w:rsid w:val="00007C32"/>
    <w:rsid w:val="0001032C"/>
    <w:rsid w:val="00010E9B"/>
    <w:rsid w:val="00010EF9"/>
    <w:rsid w:val="00010FD3"/>
    <w:rsid w:val="00010FED"/>
    <w:rsid w:val="000111EE"/>
    <w:rsid w:val="00011390"/>
    <w:rsid w:val="000115A7"/>
    <w:rsid w:val="000118A8"/>
    <w:rsid w:val="00011944"/>
    <w:rsid w:val="00011A1C"/>
    <w:rsid w:val="00011A69"/>
    <w:rsid w:val="00011AEC"/>
    <w:rsid w:val="00011CA1"/>
    <w:rsid w:val="00011E90"/>
    <w:rsid w:val="000122E0"/>
    <w:rsid w:val="00012570"/>
    <w:rsid w:val="00012954"/>
    <w:rsid w:val="00012962"/>
    <w:rsid w:val="00012FB0"/>
    <w:rsid w:val="00012FE4"/>
    <w:rsid w:val="000133A4"/>
    <w:rsid w:val="000133DD"/>
    <w:rsid w:val="000134F5"/>
    <w:rsid w:val="00013907"/>
    <w:rsid w:val="00013A33"/>
    <w:rsid w:val="00013CD2"/>
    <w:rsid w:val="00013DD0"/>
    <w:rsid w:val="000140C0"/>
    <w:rsid w:val="00014401"/>
    <w:rsid w:val="000148D6"/>
    <w:rsid w:val="00014A69"/>
    <w:rsid w:val="00014D97"/>
    <w:rsid w:val="000150A0"/>
    <w:rsid w:val="00015128"/>
    <w:rsid w:val="00015137"/>
    <w:rsid w:val="0001522C"/>
    <w:rsid w:val="00015230"/>
    <w:rsid w:val="0001572F"/>
    <w:rsid w:val="000158B9"/>
    <w:rsid w:val="000159D2"/>
    <w:rsid w:val="00015DD1"/>
    <w:rsid w:val="00015EFD"/>
    <w:rsid w:val="000162DD"/>
    <w:rsid w:val="000171BE"/>
    <w:rsid w:val="0001738B"/>
    <w:rsid w:val="000173CF"/>
    <w:rsid w:val="00017505"/>
    <w:rsid w:val="000176FF"/>
    <w:rsid w:val="00017AB9"/>
    <w:rsid w:val="00017D30"/>
    <w:rsid w:val="00017D97"/>
    <w:rsid w:val="0002048B"/>
    <w:rsid w:val="00020553"/>
    <w:rsid w:val="0002080A"/>
    <w:rsid w:val="0002092A"/>
    <w:rsid w:val="000209F2"/>
    <w:rsid w:val="00021491"/>
    <w:rsid w:val="00021768"/>
    <w:rsid w:val="00021A79"/>
    <w:rsid w:val="00021DAB"/>
    <w:rsid w:val="00022190"/>
    <w:rsid w:val="00022859"/>
    <w:rsid w:val="0002286F"/>
    <w:rsid w:val="000228D4"/>
    <w:rsid w:val="00022C6B"/>
    <w:rsid w:val="000230A1"/>
    <w:rsid w:val="0002313D"/>
    <w:rsid w:val="00023277"/>
    <w:rsid w:val="00023497"/>
    <w:rsid w:val="00023517"/>
    <w:rsid w:val="000235DE"/>
    <w:rsid w:val="0002365F"/>
    <w:rsid w:val="00023977"/>
    <w:rsid w:val="00023B1E"/>
    <w:rsid w:val="00023D4A"/>
    <w:rsid w:val="000244AA"/>
    <w:rsid w:val="0002458E"/>
    <w:rsid w:val="000249CF"/>
    <w:rsid w:val="00024A56"/>
    <w:rsid w:val="00024C1D"/>
    <w:rsid w:val="00024F61"/>
    <w:rsid w:val="00025088"/>
    <w:rsid w:val="0002532C"/>
    <w:rsid w:val="000253CA"/>
    <w:rsid w:val="00025486"/>
    <w:rsid w:val="00025629"/>
    <w:rsid w:val="00025989"/>
    <w:rsid w:val="00025BA3"/>
    <w:rsid w:val="00025C6B"/>
    <w:rsid w:val="00025F45"/>
    <w:rsid w:val="0002604D"/>
    <w:rsid w:val="00026280"/>
    <w:rsid w:val="0002642B"/>
    <w:rsid w:val="000264E2"/>
    <w:rsid w:val="000266DF"/>
    <w:rsid w:val="00026701"/>
    <w:rsid w:val="000267A2"/>
    <w:rsid w:val="000268B5"/>
    <w:rsid w:val="00026C3E"/>
    <w:rsid w:val="00026CF8"/>
    <w:rsid w:val="00026D90"/>
    <w:rsid w:val="00027046"/>
    <w:rsid w:val="0002735F"/>
    <w:rsid w:val="00027464"/>
    <w:rsid w:val="0002749C"/>
    <w:rsid w:val="000274E3"/>
    <w:rsid w:val="000278D7"/>
    <w:rsid w:val="00027B85"/>
    <w:rsid w:val="00027D41"/>
    <w:rsid w:val="00027DC2"/>
    <w:rsid w:val="000301B5"/>
    <w:rsid w:val="000302F7"/>
    <w:rsid w:val="0003036C"/>
    <w:rsid w:val="0003042E"/>
    <w:rsid w:val="00031079"/>
    <w:rsid w:val="00031114"/>
    <w:rsid w:val="00031212"/>
    <w:rsid w:val="00031A7F"/>
    <w:rsid w:val="00031EE0"/>
    <w:rsid w:val="00032036"/>
    <w:rsid w:val="0003206C"/>
    <w:rsid w:val="000326B6"/>
    <w:rsid w:val="0003279A"/>
    <w:rsid w:val="000327EC"/>
    <w:rsid w:val="00032981"/>
    <w:rsid w:val="000329B0"/>
    <w:rsid w:val="000329C3"/>
    <w:rsid w:val="00032B54"/>
    <w:rsid w:val="00032F08"/>
    <w:rsid w:val="00033326"/>
    <w:rsid w:val="000336BA"/>
    <w:rsid w:val="000337E0"/>
    <w:rsid w:val="00033817"/>
    <w:rsid w:val="000338C7"/>
    <w:rsid w:val="00033B0A"/>
    <w:rsid w:val="00034164"/>
    <w:rsid w:val="000341D4"/>
    <w:rsid w:val="00034A1C"/>
    <w:rsid w:val="00034E9F"/>
    <w:rsid w:val="0003506A"/>
    <w:rsid w:val="000353E7"/>
    <w:rsid w:val="000356B8"/>
    <w:rsid w:val="00035846"/>
    <w:rsid w:val="000359D1"/>
    <w:rsid w:val="00035B72"/>
    <w:rsid w:val="00035C37"/>
    <w:rsid w:val="00035DFD"/>
    <w:rsid w:val="00035E6C"/>
    <w:rsid w:val="00035E93"/>
    <w:rsid w:val="00035FC8"/>
    <w:rsid w:val="00036A80"/>
    <w:rsid w:val="00036B13"/>
    <w:rsid w:val="00036CEF"/>
    <w:rsid w:val="00036D6A"/>
    <w:rsid w:val="000370CB"/>
    <w:rsid w:val="000371AA"/>
    <w:rsid w:val="000374B0"/>
    <w:rsid w:val="000374D9"/>
    <w:rsid w:val="000375DB"/>
    <w:rsid w:val="0003779F"/>
    <w:rsid w:val="00037A25"/>
    <w:rsid w:val="00037DE9"/>
    <w:rsid w:val="00037E5D"/>
    <w:rsid w:val="00040071"/>
    <w:rsid w:val="000402A8"/>
    <w:rsid w:val="00040819"/>
    <w:rsid w:val="00040D56"/>
    <w:rsid w:val="000411F7"/>
    <w:rsid w:val="00041242"/>
    <w:rsid w:val="00041496"/>
    <w:rsid w:val="00041712"/>
    <w:rsid w:val="00041A2F"/>
    <w:rsid w:val="00041DA5"/>
    <w:rsid w:val="00041E51"/>
    <w:rsid w:val="00041F52"/>
    <w:rsid w:val="000423AE"/>
    <w:rsid w:val="000424F9"/>
    <w:rsid w:val="0004255E"/>
    <w:rsid w:val="00042AAC"/>
    <w:rsid w:val="00042E08"/>
    <w:rsid w:val="00042F3F"/>
    <w:rsid w:val="00042F7E"/>
    <w:rsid w:val="0004309A"/>
    <w:rsid w:val="0004312B"/>
    <w:rsid w:val="00043F64"/>
    <w:rsid w:val="0004429E"/>
    <w:rsid w:val="000444EE"/>
    <w:rsid w:val="0004453C"/>
    <w:rsid w:val="00044996"/>
    <w:rsid w:val="00044B91"/>
    <w:rsid w:val="00044E9F"/>
    <w:rsid w:val="000450BB"/>
    <w:rsid w:val="00045390"/>
    <w:rsid w:val="0004560C"/>
    <w:rsid w:val="000459B0"/>
    <w:rsid w:val="00045EDE"/>
    <w:rsid w:val="00046118"/>
    <w:rsid w:val="00046204"/>
    <w:rsid w:val="00046229"/>
    <w:rsid w:val="0004639A"/>
    <w:rsid w:val="000463F7"/>
    <w:rsid w:val="000464B0"/>
    <w:rsid w:val="000464EB"/>
    <w:rsid w:val="000465F9"/>
    <w:rsid w:val="00046834"/>
    <w:rsid w:val="000468C4"/>
    <w:rsid w:val="000468D4"/>
    <w:rsid w:val="00046D1C"/>
    <w:rsid w:val="0004748D"/>
    <w:rsid w:val="0004754D"/>
    <w:rsid w:val="0004788F"/>
    <w:rsid w:val="000478D9"/>
    <w:rsid w:val="00047986"/>
    <w:rsid w:val="00047A20"/>
    <w:rsid w:val="00047B8A"/>
    <w:rsid w:val="00050055"/>
    <w:rsid w:val="00050561"/>
    <w:rsid w:val="00050A93"/>
    <w:rsid w:val="00050BE9"/>
    <w:rsid w:val="00050C3F"/>
    <w:rsid w:val="00050E7F"/>
    <w:rsid w:val="000513D6"/>
    <w:rsid w:val="00051653"/>
    <w:rsid w:val="00051D83"/>
    <w:rsid w:val="00051E51"/>
    <w:rsid w:val="00051F8F"/>
    <w:rsid w:val="000521E9"/>
    <w:rsid w:val="00052378"/>
    <w:rsid w:val="0005257C"/>
    <w:rsid w:val="00052606"/>
    <w:rsid w:val="00052889"/>
    <w:rsid w:val="0005295B"/>
    <w:rsid w:val="00052C8F"/>
    <w:rsid w:val="00052DE7"/>
    <w:rsid w:val="00052F5F"/>
    <w:rsid w:val="00052F73"/>
    <w:rsid w:val="00053202"/>
    <w:rsid w:val="00053627"/>
    <w:rsid w:val="00053733"/>
    <w:rsid w:val="000538A1"/>
    <w:rsid w:val="000538D8"/>
    <w:rsid w:val="00053930"/>
    <w:rsid w:val="00053AC8"/>
    <w:rsid w:val="00053BEC"/>
    <w:rsid w:val="00053CEC"/>
    <w:rsid w:val="0005407D"/>
    <w:rsid w:val="000540CA"/>
    <w:rsid w:val="000540E7"/>
    <w:rsid w:val="000541ED"/>
    <w:rsid w:val="00054213"/>
    <w:rsid w:val="0005467E"/>
    <w:rsid w:val="00054697"/>
    <w:rsid w:val="000547B5"/>
    <w:rsid w:val="000547CF"/>
    <w:rsid w:val="00054A93"/>
    <w:rsid w:val="00054C52"/>
    <w:rsid w:val="00054FE3"/>
    <w:rsid w:val="00055097"/>
    <w:rsid w:val="00055115"/>
    <w:rsid w:val="000551F1"/>
    <w:rsid w:val="000556FC"/>
    <w:rsid w:val="000557AC"/>
    <w:rsid w:val="00055A38"/>
    <w:rsid w:val="00055A48"/>
    <w:rsid w:val="00055AB9"/>
    <w:rsid w:val="00055D3F"/>
    <w:rsid w:val="0005635E"/>
    <w:rsid w:val="00056922"/>
    <w:rsid w:val="00056BC3"/>
    <w:rsid w:val="00057672"/>
    <w:rsid w:val="0005769C"/>
    <w:rsid w:val="000577AA"/>
    <w:rsid w:val="00057912"/>
    <w:rsid w:val="00057ABF"/>
    <w:rsid w:val="00057AFF"/>
    <w:rsid w:val="00057F9F"/>
    <w:rsid w:val="0006001E"/>
    <w:rsid w:val="00060784"/>
    <w:rsid w:val="00060819"/>
    <w:rsid w:val="00060826"/>
    <w:rsid w:val="00060844"/>
    <w:rsid w:val="00060866"/>
    <w:rsid w:val="00060AF3"/>
    <w:rsid w:val="00060D40"/>
    <w:rsid w:val="000610CB"/>
    <w:rsid w:val="00061530"/>
    <w:rsid w:val="000616B7"/>
    <w:rsid w:val="00061C42"/>
    <w:rsid w:val="00061DFB"/>
    <w:rsid w:val="00061E39"/>
    <w:rsid w:val="000621F4"/>
    <w:rsid w:val="000622F9"/>
    <w:rsid w:val="00062332"/>
    <w:rsid w:val="000625BF"/>
    <w:rsid w:val="00062A7C"/>
    <w:rsid w:val="0006326A"/>
    <w:rsid w:val="00063356"/>
    <w:rsid w:val="0006342C"/>
    <w:rsid w:val="000636B7"/>
    <w:rsid w:val="00063730"/>
    <w:rsid w:val="0006386C"/>
    <w:rsid w:val="000639D7"/>
    <w:rsid w:val="00063B10"/>
    <w:rsid w:val="00063BB3"/>
    <w:rsid w:val="000640FE"/>
    <w:rsid w:val="0006470B"/>
    <w:rsid w:val="0006483D"/>
    <w:rsid w:val="00064E97"/>
    <w:rsid w:val="00065234"/>
    <w:rsid w:val="0006524F"/>
    <w:rsid w:val="000652D1"/>
    <w:rsid w:val="00065AAD"/>
    <w:rsid w:val="00065B27"/>
    <w:rsid w:val="00065B4D"/>
    <w:rsid w:val="00065C49"/>
    <w:rsid w:val="00065F1C"/>
    <w:rsid w:val="00065F9D"/>
    <w:rsid w:val="000660FE"/>
    <w:rsid w:val="0006642A"/>
    <w:rsid w:val="0006644F"/>
    <w:rsid w:val="0006662A"/>
    <w:rsid w:val="00066A73"/>
    <w:rsid w:val="00066F74"/>
    <w:rsid w:val="000676EC"/>
    <w:rsid w:val="0006777F"/>
    <w:rsid w:val="00067824"/>
    <w:rsid w:val="00067BCE"/>
    <w:rsid w:val="00067C20"/>
    <w:rsid w:val="00070086"/>
    <w:rsid w:val="000702D0"/>
    <w:rsid w:val="000704E9"/>
    <w:rsid w:val="00070707"/>
    <w:rsid w:val="00071166"/>
    <w:rsid w:val="000712BF"/>
    <w:rsid w:val="0007134D"/>
    <w:rsid w:val="0007139D"/>
    <w:rsid w:val="00071668"/>
    <w:rsid w:val="00071860"/>
    <w:rsid w:val="00071BE9"/>
    <w:rsid w:val="00072079"/>
    <w:rsid w:val="000720C3"/>
    <w:rsid w:val="0007223D"/>
    <w:rsid w:val="00073031"/>
    <w:rsid w:val="0007308B"/>
    <w:rsid w:val="00073170"/>
    <w:rsid w:val="000736A3"/>
    <w:rsid w:val="000738A3"/>
    <w:rsid w:val="00073991"/>
    <w:rsid w:val="00073A61"/>
    <w:rsid w:val="00073D4B"/>
    <w:rsid w:val="00073EB1"/>
    <w:rsid w:val="00073F41"/>
    <w:rsid w:val="0007424D"/>
    <w:rsid w:val="00074329"/>
    <w:rsid w:val="000744B6"/>
    <w:rsid w:val="00074544"/>
    <w:rsid w:val="0007454D"/>
    <w:rsid w:val="00074742"/>
    <w:rsid w:val="00074C6F"/>
    <w:rsid w:val="00074D2D"/>
    <w:rsid w:val="0007523F"/>
    <w:rsid w:val="000754B7"/>
    <w:rsid w:val="000756AB"/>
    <w:rsid w:val="00075A68"/>
    <w:rsid w:val="00075EA6"/>
    <w:rsid w:val="00075FCE"/>
    <w:rsid w:val="00076374"/>
    <w:rsid w:val="00076937"/>
    <w:rsid w:val="0007698D"/>
    <w:rsid w:val="00076F7E"/>
    <w:rsid w:val="0007709B"/>
    <w:rsid w:val="000772FD"/>
    <w:rsid w:val="0007731E"/>
    <w:rsid w:val="000774D1"/>
    <w:rsid w:val="00077D0E"/>
    <w:rsid w:val="000806E9"/>
    <w:rsid w:val="00080A8A"/>
    <w:rsid w:val="00080BBB"/>
    <w:rsid w:val="00080BF9"/>
    <w:rsid w:val="00080C35"/>
    <w:rsid w:val="00080E92"/>
    <w:rsid w:val="0008118D"/>
    <w:rsid w:val="0008129E"/>
    <w:rsid w:val="0008147F"/>
    <w:rsid w:val="00081667"/>
    <w:rsid w:val="000818EC"/>
    <w:rsid w:val="00081900"/>
    <w:rsid w:val="00081A82"/>
    <w:rsid w:val="00081FB2"/>
    <w:rsid w:val="00082202"/>
    <w:rsid w:val="0008235E"/>
    <w:rsid w:val="0008236A"/>
    <w:rsid w:val="000827C1"/>
    <w:rsid w:val="000828B9"/>
    <w:rsid w:val="00082A5E"/>
    <w:rsid w:val="00082C4A"/>
    <w:rsid w:val="000832B8"/>
    <w:rsid w:val="00083625"/>
    <w:rsid w:val="00083647"/>
    <w:rsid w:val="0008374D"/>
    <w:rsid w:val="000838E8"/>
    <w:rsid w:val="00083928"/>
    <w:rsid w:val="000839C4"/>
    <w:rsid w:val="00083D48"/>
    <w:rsid w:val="00083DB7"/>
    <w:rsid w:val="00083E03"/>
    <w:rsid w:val="0008442C"/>
    <w:rsid w:val="000846B0"/>
    <w:rsid w:val="00084C35"/>
    <w:rsid w:val="00084E94"/>
    <w:rsid w:val="00084F8F"/>
    <w:rsid w:val="0008512A"/>
    <w:rsid w:val="00085183"/>
    <w:rsid w:val="000851FF"/>
    <w:rsid w:val="00086040"/>
    <w:rsid w:val="0008659E"/>
    <w:rsid w:val="000865F4"/>
    <w:rsid w:val="00086830"/>
    <w:rsid w:val="00086F21"/>
    <w:rsid w:val="00086F64"/>
    <w:rsid w:val="00087150"/>
    <w:rsid w:val="00087423"/>
    <w:rsid w:val="00087444"/>
    <w:rsid w:val="000875CA"/>
    <w:rsid w:val="000876A5"/>
    <w:rsid w:val="00087987"/>
    <w:rsid w:val="00087CD3"/>
    <w:rsid w:val="0009025B"/>
    <w:rsid w:val="00090271"/>
    <w:rsid w:val="000903CD"/>
    <w:rsid w:val="0009055D"/>
    <w:rsid w:val="0009067F"/>
    <w:rsid w:val="0009087F"/>
    <w:rsid w:val="000908D4"/>
    <w:rsid w:val="000908E7"/>
    <w:rsid w:val="00090AB4"/>
    <w:rsid w:val="00090BAC"/>
    <w:rsid w:val="00090C97"/>
    <w:rsid w:val="00090CE7"/>
    <w:rsid w:val="00091084"/>
    <w:rsid w:val="000910DA"/>
    <w:rsid w:val="0009121C"/>
    <w:rsid w:val="00091B8D"/>
    <w:rsid w:val="00091B97"/>
    <w:rsid w:val="00091C45"/>
    <w:rsid w:val="00091E5E"/>
    <w:rsid w:val="00091E96"/>
    <w:rsid w:val="000920AA"/>
    <w:rsid w:val="00092180"/>
    <w:rsid w:val="000921FE"/>
    <w:rsid w:val="0009222C"/>
    <w:rsid w:val="0009228A"/>
    <w:rsid w:val="00092529"/>
    <w:rsid w:val="00092B62"/>
    <w:rsid w:val="00093352"/>
    <w:rsid w:val="000933D7"/>
    <w:rsid w:val="00093521"/>
    <w:rsid w:val="00093854"/>
    <w:rsid w:val="000938C6"/>
    <w:rsid w:val="00093B1E"/>
    <w:rsid w:val="00093CEC"/>
    <w:rsid w:val="00093D38"/>
    <w:rsid w:val="00094414"/>
    <w:rsid w:val="00094808"/>
    <w:rsid w:val="00094843"/>
    <w:rsid w:val="00095B41"/>
    <w:rsid w:val="00095DE3"/>
    <w:rsid w:val="0009606B"/>
    <w:rsid w:val="000961B9"/>
    <w:rsid w:val="0009641E"/>
    <w:rsid w:val="00096B6E"/>
    <w:rsid w:val="00096BD2"/>
    <w:rsid w:val="00096D11"/>
    <w:rsid w:val="00096D3E"/>
    <w:rsid w:val="00096FF2"/>
    <w:rsid w:val="00097721"/>
    <w:rsid w:val="00097A1F"/>
    <w:rsid w:val="00097DA2"/>
    <w:rsid w:val="00097E81"/>
    <w:rsid w:val="00097EC8"/>
    <w:rsid w:val="00097ED1"/>
    <w:rsid w:val="000A0825"/>
    <w:rsid w:val="000A0935"/>
    <w:rsid w:val="000A0A12"/>
    <w:rsid w:val="000A0A38"/>
    <w:rsid w:val="000A10BA"/>
    <w:rsid w:val="000A10BD"/>
    <w:rsid w:val="000A1E01"/>
    <w:rsid w:val="000A1FC2"/>
    <w:rsid w:val="000A209E"/>
    <w:rsid w:val="000A20A8"/>
    <w:rsid w:val="000A271A"/>
    <w:rsid w:val="000A30EA"/>
    <w:rsid w:val="000A3113"/>
    <w:rsid w:val="000A3214"/>
    <w:rsid w:val="000A3327"/>
    <w:rsid w:val="000A38EF"/>
    <w:rsid w:val="000A3BEE"/>
    <w:rsid w:val="000A3E99"/>
    <w:rsid w:val="000A41AF"/>
    <w:rsid w:val="000A42B7"/>
    <w:rsid w:val="000A45CB"/>
    <w:rsid w:val="000A4F88"/>
    <w:rsid w:val="000A55BD"/>
    <w:rsid w:val="000A56C8"/>
    <w:rsid w:val="000A58E7"/>
    <w:rsid w:val="000A5E92"/>
    <w:rsid w:val="000A64D5"/>
    <w:rsid w:val="000A683F"/>
    <w:rsid w:val="000A6F73"/>
    <w:rsid w:val="000A6FDB"/>
    <w:rsid w:val="000A741E"/>
    <w:rsid w:val="000A74A9"/>
    <w:rsid w:val="000A7BAE"/>
    <w:rsid w:val="000A7E87"/>
    <w:rsid w:val="000B0206"/>
    <w:rsid w:val="000B0A30"/>
    <w:rsid w:val="000B0CF3"/>
    <w:rsid w:val="000B0E2B"/>
    <w:rsid w:val="000B1186"/>
    <w:rsid w:val="000B11F1"/>
    <w:rsid w:val="000B13EA"/>
    <w:rsid w:val="000B152E"/>
    <w:rsid w:val="000B15CB"/>
    <w:rsid w:val="000B18F1"/>
    <w:rsid w:val="000B1929"/>
    <w:rsid w:val="000B1EEB"/>
    <w:rsid w:val="000B2692"/>
    <w:rsid w:val="000B2D81"/>
    <w:rsid w:val="000B2ED2"/>
    <w:rsid w:val="000B379C"/>
    <w:rsid w:val="000B3C1C"/>
    <w:rsid w:val="000B3DC8"/>
    <w:rsid w:val="000B3EC9"/>
    <w:rsid w:val="000B427F"/>
    <w:rsid w:val="000B459B"/>
    <w:rsid w:val="000B4A7E"/>
    <w:rsid w:val="000B53E0"/>
    <w:rsid w:val="000B5B7E"/>
    <w:rsid w:val="000B5BB2"/>
    <w:rsid w:val="000B615B"/>
    <w:rsid w:val="000B617B"/>
    <w:rsid w:val="000B65B0"/>
    <w:rsid w:val="000B66DA"/>
    <w:rsid w:val="000B6A3F"/>
    <w:rsid w:val="000B6AC4"/>
    <w:rsid w:val="000B6C0E"/>
    <w:rsid w:val="000B6C13"/>
    <w:rsid w:val="000B6C94"/>
    <w:rsid w:val="000B6FDC"/>
    <w:rsid w:val="000B70BB"/>
    <w:rsid w:val="000B74D4"/>
    <w:rsid w:val="000B7925"/>
    <w:rsid w:val="000B79EC"/>
    <w:rsid w:val="000B7D3E"/>
    <w:rsid w:val="000B7D41"/>
    <w:rsid w:val="000C0263"/>
    <w:rsid w:val="000C037A"/>
    <w:rsid w:val="000C040F"/>
    <w:rsid w:val="000C0520"/>
    <w:rsid w:val="000C0CFD"/>
    <w:rsid w:val="000C0E4E"/>
    <w:rsid w:val="000C10AD"/>
    <w:rsid w:val="000C1110"/>
    <w:rsid w:val="000C11C6"/>
    <w:rsid w:val="000C17B1"/>
    <w:rsid w:val="000C18B6"/>
    <w:rsid w:val="000C18FE"/>
    <w:rsid w:val="000C1AA1"/>
    <w:rsid w:val="000C22FD"/>
    <w:rsid w:val="000C2319"/>
    <w:rsid w:val="000C23BC"/>
    <w:rsid w:val="000C243D"/>
    <w:rsid w:val="000C2553"/>
    <w:rsid w:val="000C2C75"/>
    <w:rsid w:val="000C321A"/>
    <w:rsid w:val="000C3448"/>
    <w:rsid w:val="000C398C"/>
    <w:rsid w:val="000C3E03"/>
    <w:rsid w:val="000C3E3E"/>
    <w:rsid w:val="000C41ED"/>
    <w:rsid w:val="000C45BE"/>
    <w:rsid w:val="000C463E"/>
    <w:rsid w:val="000C4664"/>
    <w:rsid w:val="000C4867"/>
    <w:rsid w:val="000C508F"/>
    <w:rsid w:val="000C5241"/>
    <w:rsid w:val="000C549B"/>
    <w:rsid w:val="000C5604"/>
    <w:rsid w:val="000C56CA"/>
    <w:rsid w:val="000C58F6"/>
    <w:rsid w:val="000C5968"/>
    <w:rsid w:val="000C6061"/>
    <w:rsid w:val="000C624F"/>
    <w:rsid w:val="000C62A0"/>
    <w:rsid w:val="000C6BCD"/>
    <w:rsid w:val="000C6C5B"/>
    <w:rsid w:val="000C6FB4"/>
    <w:rsid w:val="000C733A"/>
    <w:rsid w:val="000C7391"/>
    <w:rsid w:val="000C7453"/>
    <w:rsid w:val="000C794C"/>
    <w:rsid w:val="000C7B8F"/>
    <w:rsid w:val="000C7F09"/>
    <w:rsid w:val="000D02C7"/>
    <w:rsid w:val="000D0477"/>
    <w:rsid w:val="000D04EE"/>
    <w:rsid w:val="000D068B"/>
    <w:rsid w:val="000D0735"/>
    <w:rsid w:val="000D07ED"/>
    <w:rsid w:val="000D0BC6"/>
    <w:rsid w:val="000D0CCF"/>
    <w:rsid w:val="000D0EC8"/>
    <w:rsid w:val="000D1080"/>
    <w:rsid w:val="000D12A6"/>
    <w:rsid w:val="000D134F"/>
    <w:rsid w:val="000D143E"/>
    <w:rsid w:val="000D1773"/>
    <w:rsid w:val="000D1AEC"/>
    <w:rsid w:val="000D1B22"/>
    <w:rsid w:val="000D2162"/>
    <w:rsid w:val="000D2222"/>
    <w:rsid w:val="000D22DD"/>
    <w:rsid w:val="000D2A91"/>
    <w:rsid w:val="000D2ACD"/>
    <w:rsid w:val="000D2BFD"/>
    <w:rsid w:val="000D2C0D"/>
    <w:rsid w:val="000D3729"/>
    <w:rsid w:val="000D3807"/>
    <w:rsid w:val="000D3CDF"/>
    <w:rsid w:val="000D3EB0"/>
    <w:rsid w:val="000D3F95"/>
    <w:rsid w:val="000D45AE"/>
    <w:rsid w:val="000D4BD6"/>
    <w:rsid w:val="000D4EF1"/>
    <w:rsid w:val="000D51E1"/>
    <w:rsid w:val="000D5292"/>
    <w:rsid w:val="000D542F"/>
    <w:rsid w:val="000D54C4"/>
    <w:rsid w:val="000D577A"/>
    <w:rsid w:val="000D5CCD"/>
    <w:rsid w:val="000D5D99"/>
    <w:rsid w:val="000D6810"/>
    <w:rsid w:val="000D6C76"/>
    <w:rsid w:val="000D6E2E"/>
    <w:rsid w:val="000D6E87"/>
    <w:rsid w:val="000D6FE6"/>
    <w:rsid w:val="000D79F5"/>
    <w:rsid w:val="000D7C17"/>
    <w:rsid w:val="000D7D3C"/>
    <w:rsid w:val="000E0020"/>
    <w:rsid w:val="000E0040"/>
    <w:rsid w:val="000E04FD"/>
    <w:rsid w:val="000E05E5"/>
    <w:rsid w:val="000E07AE"/>
    <w:rsid w:val="000E0B80"/>
    <w:rsid w:val="000E0F46"/>
    <w:rsid w:val="000E12F9"/>
    <w:rsid w:val="000E130C"/>
    <w:rsid w:val="000E1845"/>
    <w:rsid w:val="000E1AFF"/>
    <w:rsid w:val="000E1DE7"/>
    <w:rsid w:val="000E20B0"/>
    <w:rsid w:val="000E223E"/>
    <w:rsid w:val="000E2466"/>
    <w:rsid w:val="000E25CA"/>
    <w:rsid w:val="000E26F1"/>
    <w:rsid w:val="000E2940"/>
    <w:rsid w:val="000E2DA0"/>
    <w:rsid w:val="000E312F"/>
    <w:rsid w:val="000E3278"/>
    <w:rsid w:val="000E3387"/>
    <w:rsid w:val="000E3420"/>
    <w:rsid w:val="000E3430"/>
    <w:rsid w:val="000E366F"/>
    <w:rsid w:val="000E3CF5"/>
    <w:rsid w:val="000E3D46"/>
    <w:rsid w:val="000E41DC"/>
    <w:rsid w:val="000E420F"/>
    <w:rsid w:val="000E4277"/>
    <w:rsid w:val="000E47AC"/>
    <w:rsid w:val="000E503A"/>
    <w:rsid w:val="000E525A"/>
    <w:rsid w:val="000E5591"/>
    <w:rsid w:val="000E5A34"/>
    <w:rsid w:val="000E5F7D"/>
    <w:rsid w:val="000E6041"/>
    <w:rsid w:val="000E62B5"/>
    <w:rsid w:val="000E662E"/>
    <w:rsid w:val="000E6909"/>
    <w:rsid w:val="000E6B85"/>
    <w:rsid w:val="000E6E60"/>
    <w:rsid w:val="000E6F1C"/>
    <w:rsid w:val="000E6FB7"/>
    <w:rsid w:val="000E7350"/>
    <w:rsid w:val="000E745B"/>
    <w:rsid w:val="000E770A"/>
    <w:rsid w:val="000E7B7C"/>
    <w:rsid w:val="000F023F"/>
    <w:rsid w:val="000F098D"/>
    <w:rsid w:val="000F0E46"/>
    <w:rsid w:val="000F154F"/>
    <w:rsid w:val="000F1996"/>
    <w:rsid w:val="000F1BD8"/>
    <w:rsid w:val="000F1E65"/>
    <w:rsid w:val="000F24A1"/>
    <w:rsid w:val="000F24A3"/>
    <w:rsid w:val="000F2876"/>
    <w:rsid w:val="000F2919"/>
    <w:rsid w:val="000F2FB7"/>
    <w:rsid w:val="000F341F"/>
    <w:rsid w:val="000F363A"/>
    <w:rsid w:val="000F3838"/>
    <w:rsid w:val="000F39AE"/>
    <w:rsid w:val="000F3C2E"/>
    <w:rsid w:val="000F3D41"/>
    <w:rsid w:val="000F3DCE"/>
    <w:rsid w:val="000F3E1A"/>
    <w:rsid w:val="000F3EDB"/>
    <w:rsid w:val="000F3F4D"/>
    <w:rsid w:val="000F3FA9"/>
    <w:rsid w:val="000F4030"/>
    <w:rsid w:val="000F43D9"/>
    <w:rsid w:val="000F49B7"/>
    <w:rsid w:val="000F4C4D"/>
    <w:rsid w:val="000F4D1A"/>
    <w:rsid w:val="000F5147"/>
    <w:rsid w:val="000F5785"/>
    <w:rsid w:val="000F5CD3"/>
    <w:rsid w:val="000F5DF9"/>
    <w:rsid w:val="000F5FF7"/>
    <w:rsid w:val="000F6073"/>
    <w:rsid w:val="000F6439"/>
    <w:rsid w:val="000F6B36"/>
    <w:rsid w:val="000F6DEC"/>
    <w:rsid w:val="000F7060"/>
    <w:rsid w:val="000F7170"/>
    <w:rsid w:val="000F744F"/>
    <w:rsid w:val="000F7849"/>
    <w:rsid w:val="000F7AD4"/>
    <w:rsid w:val="000F7B58"/>
    <w:rsid w:val="000F7F23"/>
    <w:rsid w:val="001006F2"/>
    <w:rsid w:val="00100AED"/>
    <w:rsid w:val="00100E92"/>
    <w:rsid w:val="00101701"/>
    <w:rsid w:val="00101917"/>
    <w:rsid w:val="00101B9B"/>
    <w:rsid w:val="00101BC2"/>
    <w:rsid w:val="00101FDA"/>
    <w:rsid w:val="0010208B"/>
    <w:rsid w:val="00102255"/>
    <w:rsid w:val="00102343"/>
    <w:rsid w:val="001024C6"/>
    <w:rsid w:val="001027C3"/>
    <w:rsid w:val="00102ABC"/>
    <w:rsid w:val="00102AFD"/>
    <w:rsid w:val="00102D54"/>
    <w:rsid w:val="00103AF9"/>
    <w:rsid w:val="00103D59"/>
    <w:rsid w:val="0010441F"/>
    <w:rsid w:val="00104479"/>
    <w:rsid w:val="00104728"/>
    <w:rsid w:val="0010496A"/>
    <w:rsid w:val="00104AEE"/>
    <w:rsid w:val="00104B53"/>
    <w:rsid w:val="00104BAF"/>
    <w:rsid w:val="00104D97"/>
    <w:rsid w:val="00105314"/>
    <w:rsid w:val="00105777"/>
    <w:rsid w:val="00105951"/>
    <w:rsid w:val="00105CA3"/>
    <w:rsid w:val="00105D1F"/>
    <w:rsid w:val="001062DE"/>
    <w:rsid w:val="001063AD"/>
    <w:rsid w:val="00106752"/>
    <w:rsid w:val="001069E7"/>
    <w:rsid w:val="00106BC7"/>
    <w:rsid w:val="00106CDC"/>
    <w:rsid w:val="00106F31"/>
    <w:rsid w:val="00107058"/>
    <w:rsid w:val="0010707D"/>
    <w:rsid w:val="001071AB"/>
    <w:rsid w:val="0010724A"/>
    <w:rsid w:val="00107318"/>
    <w:rsid w:val="001076BA"/>
    <w:rsid w:val="00107827"/>
    <w:rsid w:val="00110091"/>
    <w:rsid w:val="0011034D"/>
    <w:rsid w:val="00110748"/>
    <w:rsid w:val="00110B6A"/>
    <w:rsid w:val="00110C23"/>
    <w:rsid w:val="00111085"/>
    <w:rsid w:val="00111564"/>
    <w:rsid w:val="00111635"/>
    <w:rsid w:val="00111904"/>
    <w:rsid w:val="00111B0B"/>
    <w:rsid w:val="001121BA"/>
    <w:rsid w:val="001121FA"/>
    <w:rsid w:val="00112BAF"/>
    <w:rsid w:val="00112BB6"/>
    <w:rsid w:val="00112BE5"/>
    <w:rsid w:val="001136A2"/>
    <w:rsid w:val="001136F6"/>
    <w:rsid w:val="001139C5"/>
    <w:rsid w:val="00113B53"/>
    <w:rsid w:val="00113BAF"/>
    <w:rsid w:val="00113C91"/>
    <w:rsid w:val="00113DA3"/>
    <w:rsid w:val="00113E14"/>
    <w:rsid w:val="00113F82"/>
    <w:rsid w:val="001149ED"/>
    <w:rsid w:val="0011508B"/>
    <w:rsid w:val="001150A8"/>
    <w:rsid w:val="001153FE"/>
    <w:rsid w:val="00115546"/>
    <w:rsid w:val="00115750"/>
    <w:rsid w:val="0011595F"/>
    <w:rsid w:val="00115BDF"/>
    <w:rsid w:val="00116176"/>
    <w:rsid w:val="00116427"/>
    <w:rsid w:val="00116AB1"/>
    <w:rsid w:val="00116DAD"/>
    <w:rsid w:val="00116FB4"/>
    <w:rsid w:val="00117574"/>
    <w:rsid w:val="00117717"/>
    <w:rsid w:val="00117BD7"/>
    <w:rsid w:val="00117C41"/>
    <w:rsid w:val="0012048C"/>
    <w:rsid w:val="001204FC"/>
    <w:rsid w:val="00120A2C"/>
    <w:rsid w:val="00120AC8"/>
    <w:rsid w:val="00120F4A"/>
    <w:rsid w:val="00120F61"/>
    <w:rsid w:val="00120FEB"/>
    <w:rsid w:val="001210AF"/>
    <w:rsid w:val="001212C9"/>
    <w:rsid w:val="0012135A"/>
    <w:rsid w:val="00121410"/>
    <w:rsid w:val="0012144F"/>
    <w:rsid w:val="001218B0"/>
    <w:rsid w:val="00121D65"/>
    <w:rsid w:val="00121DE4"/>
    <w:rsid w:val="00121E1C"/>
    <w:rsid w:val="00122463"/>
    <w:rsid w:val="0012263B"/>
    <w:rsid w:val="001226AA"/>
    <w:rsid w:val="00122CDD"/>
    <w:rsid w:val="00122FC6"/>
    <w:rsid w:val="00123245"/>
    <w:rsid w:val="001239CC"/>
    <w:rsid w:val="00123CD0"/>
    <w:rsid w:val="00124225"/>
    <w:rsid w:val="00124607"/>
    <w:rsid w:val="0012476B"/>
    <w:rsid w:val="0012477D"/>
    <w:rsid w:val="0012483F"/>
    <w:rsid w:val="00124897"/>
    <w:rsid w:val="00124967"/>
    <w:rsid w:val="00125076"/>
    <w:rsid w:val="0012513D"/>
    <w:rsid w:val="00125141"/>
    <w:rsid w:val="00125AC8"/>
    <w:rsid w:val="00125B76"/>
    <w:rsid w:val="00125D2F"/>
    <w:rsid w:val="00125D90"/>
    <w:rsid w:val="0012618A"/>
    <w:rsid w:val="00126262"/>
    <w:rsid w:val="001264AC"/>
    <w:rsid w:val="00126620"/>
    <w:rsid w:val="001266B5"/>
    <w:rsid w:val="00126746"/>
    <w:rsid w:val="00126867"/>
    <w:rsid w:val="001268D1"/>
    <w:rsid w:val="00126E66"/>
    <w:rsid w:val="00127139"/>
    <w:rsid w:val="00127181"/>
    <w:rsid w:val="00127395"/>
    <w:rsid w:val="0012794E"/>
    <w:rsid w:val="00127C84"/>
    <w:rsid w:val="0013003B"/>
    <w:rsid w:val="00130ABA"/>
    <w:rsid w:val="00130B55"/>
    <w:rsid w:val="00131129"/>
    <w:rsid w:val="001312D1"/>
    <w:rsid w:val="001312E2"/>
    <w:rsid w:val="0013137D"/>
    <w:rsid w:val="00131485"/>
    <w:rsid w:val="00131900"/>
    <w:rsid w:val="00131E55"/>
    <w:rsid w:val="0013241C"/>
    <w:rsid w:val="00132592"/>
    <w:rsid w:val="00133101"/>
    <w:rsid w:val="0013350D"/>
    <w:rsid w:val="00133884"/>
    <w:rsid w:val="00133D79"/>
    <w:rsid w:val="0013409A"/>
    <w:rsid w:val="0013447D"/>
    <w:rsid w:val="00134C90"/>
    <w:rsid w:val="00134F0C"/>
    <w:rsid w:val="0013513D"/>
    <w:rsid w:val="00135388"/>
    <w:rsid w:val="00135696"/>
    <w:rsid w:val="00135AEC"/>
    <w:rsid w:val="00135BA6"/>
    <w:rsid w:val="00135D7A"/>
    <w:rsid w:val="00135E47"/>
    <w:rsid w:val="00135E8F"/>
    <w:rsid w:val="00136092"/>
    <w:rsid w:val="0013609D"/>
    <w:rsid w:val="00136531"/>
    <w:rsid w:val="001365AE"/>
    <w:rsid w:val="0013661D"/>
    <w:rsid w:val="00136AEA"/>
    <w:rsid w:val="00136DD0"/>
    <w:rsid w:val="00136DD3"/>
    <w:rsid w:val="00136EB9"/>
    <w:rsid w:val="00137097"/>
    <w:rsid w:val="0013711F"/>
    <w:rsid w:val="001371CF"/>
    <w:rsid w:val="001376D7"/>
    <w:rsid w:val="00137A21"/>
    <w:rsid w:val="00137B29"/>
    <w:rsid w:val="00137C45"/>
    <w:rsid w:val="00137D4B"/>
    <w:rsid w:val="00140219"/>
    <w:rsid w:val="001402FD"/>
    <w:rsid w:val="00140314"/>
    <w:rsid w:val="0014031C"/>
    <w:rsid w:val="0014082F"/>
    <w:rsid w:val="00140A48"/>
    <w:rsid w:val="00140F6E"/>
    <w:rsid w:val="001411DD"/>
    <w:rsid w:val="0014126A"/>
    <w:rsid w:val="0014129D"/>
    <w:rsid w:val="0014148F"/>
    <w:rsid w:val="00141579"/>
    <w:rsid w:val="00142069"/>
    <w:rsid w:val="001423BA"/>
    <w:rsid w:val="0014275D"/>
    <w:rsid w:val="0014279B"/>
    <w:rsid w:val="0014298A"/>
    <w:rsid w:val="00142E30"/>
    <w:rsid w:val="00142F34"/>
    <w:rsid w:val="00142F57"/>
    <w:rsid w:val="0014316A"/>
    <w:rsid w:val="00143392"/>
    <w:rsid w:val="00143671"/>
    <w:rsid w:val="001437F8"/>
    <w:rsid w:val="001438EA"/>
    <w:rsid w:val="00143A35"/>
    <w:rsid w:val="00143A57"/>
    <w:rsid w:val="00143C04"/>
    <w:rsid w:val="00143C5A"/>
    <w:rsid w:val="00143DD0"/>
    <w:rsid w:val="00143E8D"/>
    <w:rsid w:val="00143F1B"/>
    <w:rsid w:val="0014446E"/>
    <w:rsid w:val="0014479F"/>
    <w:rsid w:val="00144B94"/>
    <w:rsid w:val="0014569E"/>
    <w:rsid w:val="00145A32"/>
    <w:rsid w:val="00145D01"/>
    <w:rsid w:val="00145D9D"/>
    <w:rsid w:val="00145F80"/>
    <w:rsid w:val="00145FF7"/>
    <w:rsid w:val="00146209"/>
    <w:rsid w:val="00146945"/>
    <w:rsid w:val="001469D6"/>
    <w:rsid w:val="00146A4C"/>
    <w:rsid w:val="00146AE4"/>
    <w:rsid w:val="00146C74"/>
    <w:rsid w:val="00146D9E"/>
    <w:rsid w:val="00146F36"/>
    <w:rsid w:val="001473C4"/>
    <w:rsid w:val="00147482"/>
    <w:rsid w:val="00147585"/>
    <w:rsid w:val="00147A25"/>
    <w:rsid w:val="00147C45"/>
    <w:rsid w:val="001501D7"/>
    <w:rsid w:val="0015045E"/>
    <w:rsid w:val="00150A96"/>
    <w:rsid w:val="00150EC6"/>
    <w:rsid w:val="00150ECC"/>
    <w:rsid w:val="00151165"/>
    <w:rsid w:val="00151DFA"/>
    <w:rsid w:val="00151E44"/>
    <w:rsid w:val="0015205B"/>
    <w:rsid w:val="00152292"/>
    <w:rsid w:val="00152C6F"/>
    <w:rsid w:val="00152E35"/>
    <w:rsid w:val="00152EB0"/>
    <w:rsid w:val="00153027"/>
    <w:rsid w:val="0015307F"/>
    <w:rsid w:val="001532A4"/>
    <w:rsid w:val="001534F3"/>
    <w:rsid w:val="0015383C"/>
    <w:rsid w:val="00153905"/>
    <w:rsid w:val="00153A75"/>
    <w:rsid w:val="001544DA"/>
    <w:rsid w:val="00154A48"/>
    <w:rsid w:val="00154A89"/>
    <w:rsid w:val="00154DD5"/>
    <w:rsid w:val="00154FFA"/>
    <w:rsid w:val="00155223"/>
    <w:rsid w:val="0015540C"/>
    <w:rsid w:val="00155784"/>
    <w:rsid w:val="00155ED0"/>
    <w:rsid w:val="00155F30"/>
    <w:rsid w:val="001560DC"/>
    <w:rsid w:val="00156230"/>
    <w:rsid w:val="00156C00"/>
    <w:rsid w:val="00156D2A"/>
    <w:rsid w:val="0015742E"/>
    <w:rsid w:val="00157963"/>
    <w:rsid w:val="00157964"/>
    <w:rsid w:val="00157E6F"/>
    <w:rsid w:val="00157ECB"/>
    <w:rsid w:val="00160175"/>
    <w:rsid w:val="00160641"/>
    <w:rsid w:val="0016092E"/>
    <w:rsid w:val="00160CEB"/>
    <w:rsid w:val="00160D8C"/>
    <w:rsid w:val="0016103C"/>
    <w:rsid w:val="001615B7"/>
    <w:rsid w:val="00161659"/>
    <w:rsid w:val="001616CB"/>
    <w:rsid w:val="001619E6"/>
    <w:rsid w:val="00161C60"/>
    <w:rsid w:val="00161DA4"/>
    <w:rsid w:val="00161E2D"/>
    <w:rsid w:val="001621EF"/>
    <w:rsid w:val="001624B0"/>
    <w:rsid w:val="0016263B"/>
    <w:rsid w:val="00162ABA"/>
    <w:rsid w:val="00162AC3"/>
    <w:rsid w:val="00162DDF"/>
    <w:rsid w:val="00162F2A"/>
    <w:rsid w:val="00162FF4"/>
    <w:rsid w:val="001631A9"/>
    <w:rsid w:val="00163243"/>
    <w:rsid w:val="001637A1"/>
    <w:rsid w:val="00163BF1"/>
    <w:rsid w:val="00163C01"/>
    <w:rsid w:val="00163D1F"/>
    <w:rsid w:val="0016436C"/>
    <w:rsid w:val="0016444F"/>
    <w:rsid w:val="0016456F"/>
    <w:rsid w:val="00164878"/>
    <w:rsid w:val="00164A1E"/>
    <w:rsid w:val="00164C34"/>
    <w:rsid w:val="00164F57"/>
    <w:rsid w:val="00164FAC"/>
    <w:rsid w:val="00165003"/>
    <w:rsid w:val="00165DD6"/>
    <w:rsid w:val="00165F22"/>
    <w:rsid w:val="00166196"/>
    <w:rsid w:val="001664BB"/>
    <w:rsid w:val="001664DF"/>
    <w:rsid w:val="00166F66"/>
    <w:rsid w:val="00167475"/>
    <w:rsid w:val="00167532"/>
    <w:rsid w:val="00167B8E"/>
    <w:rsid w:val="00167EA0"/>
    <w:rsid w:val="00167FF6"/>
    <w:rsid w:val="00170138"/>
    <w:rsid w:val="001701CA"/>
    <w:rsid w:val="001702A3"/>
    <w:rsid w:val="00170361"/>
    <w:rsid w:val="0017042D"/>
    <w:rsid w:val="001706AA"/>
    <w:rsid w:val="0017098E"/>
    <w:rsid w:val="001710D9"/>
    <w:rsid w:val="001711F0"/>
    <w:rsid w:val="00171261"/>
    <w:rsid w:val="00171283"/>
    <w:rsid w:val="00171427"/>
    <w:rsid w:val="00171C3F"/>
    <w:rsid w:val="00171DAF"/>
    <w:rsid w:val="0017229E"/>
    <w:rsid w:val="0017242D"/>
    <w:rsid w:val="00172BE9"/>
    <w:rsid w:val="00172C42"/>
    <w:rsid w:val="00172E1B"/>
    <w:rsid w:val="00173014"/>
    <w:rsid w:val="00173160"/>
    <w:rsid w:val="00173290"/>
    <w:rsid w:val="001734BB"/>
    <w:rsid w:val="001736C2"/>
    <w:rsid w:val="00173BFB"/>
    <w:rsid w:val="00173F4F"/>
    <w:rsid w:val="0017462A"/>
    <w:rsid w:val="00174E61"/>
    <w:rsid w:val="0017518F"/>
    <w:rsid w:val="00175289"/>
    <w:rsid w:val="001752C0"/>
    <w:rsid w:val="0017578F"/>
    <w:rsid w:val="00175830"/>
    <w:rsid w:val="00175B91"/>
    <w:rsid w:val="00175C24"/>
    <w:rsid w:val="00175CFC"/>
    <w:rsid w:val="00175D0C"/>
    <w:rsid w:val="00175D85"/>
    <w:rsid w:val="00175E8F"/>
    <w:rsid w:val="0017601F"/>
    <w:rsid w:val="0017607A"/>
    <w:rsid w:val="00176479"/>
    <w:rsid w:val="00176574"/>
    <w:rsid w:val="001765F3"/>
    <w:rsid w:val="00176A14"/>
    <w:rsid w:val="00176AF6"/>
    <w:rsid w:val="00177104"/>
    <w:rsid w:val="00177593"/>
    <w:rsid w:val="00177819"/>
    <w:rsid w:val="00177B0B"/>
    <w:rsid w:val="00177C38"/>
    <w:rsid w:val="00177CFE"/>
    <w:rsid w:val="00177EE6"/>
    <w:rsid w:val="001808E8"/>
    <w:rsid w:val="0018091B"/>
    <w:rsid w:val="00180932"/>
    <w:rsid w:val="00180A1B"/>
    <w:rsid w:val="00180C76"/>
    <w:rsid w:val="00181096"/>
    <w:rsid w:val="001812A7"/>
    <w:rsid w:val="001813A7"/>
    <w:rsid w:val="001819C2"/>
    <w:rsid w:val="0018208B"/>
    <w:rsid w:val="00182096"/>
    <w:rsid w:val="00182593"/>
    <w:rsid w:val="001828D0"/>
    <w:rsid w:val="00182E26"/>
    <w:rsid w:val="00182EAC"/>
    <w:rsid w:val="00182FAF"/>
    <w:rsid w:val="00183087"/>
    <w:rsid w:val="0018317F"/>
    <w:rsid w:val="001831E4"/>
    <w:rsid w:val="00183417"/>
    <w:rsid w:val="001834FC"/>
    <w:rsid w:val="00183501"/>
    <w:rsid w:val="00183580"/>
    <w:rsid w:val="001835EC"/>
    <w:rsid w:val="0018366C"/>
    <w:rsid w:val="001839E8"/>
    <w:rsid w:val="00183C61"/>
    <w:rsid w:val="00184119"/>
    <w:rsid w:val="001843FE"/>
    <w:rsid w:val="001844D8"/>
    <w:rsid w:val="00184754"/>
    <w:rsid w:val="001848FF"/>
    <w:rsid w:val="00184C77"/>
    <w:rsid w:val="00184CFF"/>
    <w:rsid w:val="00184D31"/>
    <w:rsid w:val="00184D61"/>
    <w:rsid w:val="00184ED0"/>
    <w:rsid w:val="00184FA0"/>
    <w:rsid w:val="001855AD"/>
    <w:rsid w:val="00185792"/>
    <w:rsid w:val="00185957"/>
    <w:rsid w:val="00185C47"/>
    <w:rsid w:val="0018608A"/>
    <w:rsid w:val="001863D5"/>
    <w:rsid w:val="00186629"/>
    <w:rsid w:val="00186FB8"/>
    <w:rsid w:val="00186FD4"/>
    <w:rsid w:val="001871F1"/>
    <w:rsid w:val="001872BD"/>
    <w:rsid w:val="001873FA"/>
    <w:rsid w:val="0018754E"/>
    <w:rsid w:val="00187693"/>
    <w:rsid w:val="00187A34"/>
    <w:rsid w:val="00187DFE"/>
    <w:rsid w:val="0019002C"/>
    <w:rsid w:val="001907A0"/>
    <w:rsid w:val="001909EA"/>
    <w:rsid w:val="00190A7E"/>
    <w:rsid w:val="00190BAC"/>
    <w:rsid w:val="00190F89"/>
    <w:rsid w:val="00191196"/>
    <w:rsid w:val="0019121A"/>
    <w:rsid w:val="00191462"/>
    <w:rsid w:val="001916BE"/>
    <w:rsid w:val="00191925"/>
    <w:rsid w:val="00191C2B"/>
    <w:rsid w:val="00191F5D"/>
    <w:rsid w:val="00192332"/>
    <w:rsid w:val="00192427"/>
    <w:rsid w:val="00192667"/>
    <w:rsid w:val="001927BA"/>
    <w:rsid w:val="00193225"/>
    <w:rsid w:val="00193579"/>
    <w:rsid w:val="00194256"/>
    <w:rsid w:val="001943CB"/>
    <w:rsid w:val="00194B05"/>
    <w:rsid w:val="00194B3F"/>
    <w:rsid w:val="0019518A"/>
    <w:rsid w:val="0019520F"/>
    <w:rsid w:val="00195214"/>
    <w:rsid w:val="0019548C"/>
    <w:rsid w:val="001956D7"/>
    <w:rsid w:val="00195ECF"/>
    <w:rsid w:val="001960A1"/>
    <w:rsid w:val="001960EB"/>
    <w:rsid w:val="00196207"/>
    <w:rsid w:val="00196366"/>
    <w:rsid w:val="001963B1"/>
    <w:rsid w:val="001966C8"/>
    <w:rsid w:val="0019680E"/>
    <w:rsid w:val="0019688A"/>
    <w:rsid w:val="00196C0C"/>
    <w:rsid w:val="00196EB7"/>
    <w:rsid w:val="00196F8D"/>
    <w:rsid w:val="0019705B"/>
    <w:rsid w:val="0019732A"/>
    <w:rsid w:val="001973AC"/>
    <w:rsid w:val="00197428"/>
    <w:rsid w:val="00197454"/>
    <w:rsid w:val="00197645"/>
    <w:rsid w:val="0019766B"/>
    <w:rsid w:val="00197758"/>
    <w:rsid w:val="0019780A"/>
    <w:rsid w:val="00197BF4"/>
    <w:rsid w:val="00197CBA"/>
    <w:rsid w:val="00197E5D"/>
    <w:rsid w:val="001A0137"/>
    <w:rsid w:val="001A0367"/>
    <w:rsid w:val="001A084F"/>
    <w:rsid w:val="001A0D1A"/>
    <w:rsid w:val="001A11AE"/>
    <w:rsid w:val="001A1354"/>
    <w:rsid w:val="001A13B2"/>
    <w:rsid w:val="001A143D"/>
    <w:rsid w:val="001A1B7A"/>
    <w:rsid w:val="001A20AE"/>
    <w:rsid w:val="001A217B"/>
    <w:rsid w:val="001A22C7"/>
    <w:rsid w:val="001A2601"/>
    <w:rsid w:val="001A27D2"/>
    <w:rsid w:val="001A2CC7"/>
    <w:rsid w:val="001A2E56"/>
    <w:rsid w:val="001A3540"/>
    <w:rsid w:val="001A3624"/>
    <w:rsid w:val="001A3CC8"/>
    <w:rsid w:val="001A3DC7"/>
    <w:rsid w:val="001A3E96"/>
    <w:rsid w:val="001A3EFD"/>
    <w:rsid w:val="001A40BE"/>
    <w:rsid w:val="001A42A0"/>
    <w:rsid w:val="001A4555"/>
    <w:rsid w:val="001A4A0F"/>
    <w:rsid w:val="001A5268"/>
    <w:rsid w:val="001A56D0"/>
    <w:rsid w:val="001A570B"/>
    <w:rsid w:val="001A5A54"/>
    <w:rsid w:val="001A5F47"/>
    <w:rsid w:val="001A6102"/>
    <w:rsid w:val="001A72C9"/>
    <w:rsid w:val="001A7A0E"/>
    <w:rsid w:val="001A7A40"/>
    <w:rsid w:val="001A7E52"/>
    <w:rsid w:val="001A7E84"/>
    <w:rsid w:val="001A7ECE"/>
    <w:rsid w:val="001B0B96"/>
    <w:rsid w:val="001B0F06"/>
    <w:rsid w:val="001B1635"/>
    <w:rsid w:val="001B188F"/>
    <w:rsid w:val="001B1912"/>
    <w:rsid w:val="001B1A2F"/>
    <w:rsid w:val="001B1E31"/>
    <w:rsid w:val="001B20B6"/>
    <w:rsid w:val="001B21EB"/>
    <w:rsid w:val="001B22DA"/>
    <w:rsid w:val="001B2540"/>
    <w:rsid w:val="001B2574"/>
    <w:rsid w:val="001B2696"/>
    <w:rsid w:val="001B26F3"/>
    <w:rsid w:val="001B2772"/>
    <w:rsid w:val="001B27E4"/>
    <w:rsid w:val="001B2AA1"/>
    <w:rsid w:val="001B3544"/>
    <w:rsid w:val="001B35F2"/>
    <w:rsid w:val="001B39C7"/>
    <w:rsid w:val="001B3E12"/>
    <w:rsid w:val="001B3F9A"/>
    <w:rsid w:val="001B3FA1"/>
    <w:rsid w:val="001B40BB"/>
    <w:rsid w:val="001B4158"/>
    <w:rsid w:val="001B4207"/>
    <w:rsid w:val="001B425B"/>
    <w:rsid w:val="001B474F"/>
    <w:rsid w:val="001B47A9"/>
    <w:rsid w:val="001B495D"/>
    <w:rsid w:val="001B4BE2"/>
    <w:rsid w:val="001B4CF4"/>
    <w:rsid w:val="001B4E58"/>
    <w:rsid w:val="001B528E"/>
    <w:rsid w:val="001B5764"/>
    <w:rsid w:val="001B5901"/>
    <w:rsid w:val="001B59C2"/>
    <w:rsid w:val="001B59DA"/>
    <w:rsid w:val="001B5D7C"/>
    <w:rsid w:val="001B609D"/>
    <w:rsid w:val="001B6293"/>
    <w:rsid w:val="001B647A"/>
    <w:rsid w:val="001B64BC"/>
    <w:rsid w:val="001B64E6"/>
    <w:rsid w:val="001B7291"/>
    <w:rsid w:val="001B79C0"/>
    <w:rsid w:val="001B7B2E"/>
    <w:rsid w:val="001B7EC3"/>
    <w:rsid w:val="001C00FC"/>
    <w:rsid w:val="001C06F5"/>
    <w:rsid w:val="001C0822"/>
    <w:rsid w:val="001C097A"/>
    <w:rsid w:val="001C09F1"/>
    <w:rsid w:val="001C1240"/>
    <w:rsid w:val="001C1471"/>
    <w:rsid w:val="001C160A"/>
    <w:rsid w:val="001C196C"/>
    <w:rsid w:val="001C1A94"/>
    <w:rsid w:val="001C1EF5"/>
    <w:rsid w:val="001C202A"/>
    <w:rsid w:val="001C230B"/>
    <w:rsid w:val="001C255B"/>
    <w:rsid w:val="001C27A9"/>
    <w:rsid w:val="001C2AF6"/>
    <w:rsid w:val="001C2C86"/>
    <w:rsid w:val="001C2D9E"/>
    <w:rsid w:val="001C2EA3"/>
    <w:rsid w:val="001C38B7"/>
    <w:rsid w:val="001C38C6"/>
    <w:rsid w:val="001C4050"/>
    <w:rsid w:val="001C4384"/>
    <w:rsid w:val="001C44E4"/>
    <w:rsid w:val="001C4AF1"/>
    <w:rsid w:val="001C4BE4"/>
    <w:rsid w:val="001C505A"/>
    <w:rsid w:val="001C530D"/>
    <w:rsid w:val="001C5E20"/>
    <w:rsid w:val="001C5E6E"/>
    <w:rsid w:val="001C5F2E"/>
    <w:rsid w:val="001C694B"/>
    <w:rsid w:val="001C6BD8"/>
    <w:rsid w:val="001C6C81"/>
    <w:rsid w:val="001C6D64"/>
    <w:rsid w:val="001C6EC0"/>
    <w:rsid w:val="001C714E"/>
    <w:rsid w:val="001C7188"/>
    <w:rsid w:val="001C7231"/>
    <w:rsid w:val="001C7834"/>
    <w:rsid w:val="001D0049"/>
    <w:rsid w:val="001D01AE"/>
    <w:rsid w:val="001D024E"/>
    <w:rsid w:val="001D077F"/>
    <w:rsid w:val="001D15AA"/>
    <w:rsid w:val="001D1C7F"/>
    <w:rsid w:val="001D21DA"/>
    <w:rsid w:val="001D3178"/>
    <w:rsid w:val="001D351B"/>
    <w:rsid w:val="001D3702"/>
    <w:rsid w:val="001D3709"/>
    <w:rsid w:val="001D39D2"/>
    <w:rsid w:val="001D3C35"/>
    <w:rsid w:val="001D42BF"/>
    <w:rsid w:val="001D48C1"/>
    <w:rsid w:val="001D4A12"/>
    <w:rsid w:val="001D4BEC"/>
    <w:rsid w:val="001D4C9B"/>
    <w:rsid w:val="001D51CE"/>
    <w:rsid w:val="001D5317"/>
    <w:rsid w:val="001D5468"/>
    <w:rsid w:val="001D5777"/>
    <w:rsid w:val="001D5C83"/>
    <w:rsid w:val="001D603C"/>
    <w:rsid w:val="001D6370"/>
    <w:rsid w:val="001D67C4"/>
    <w:rsid w:val="001D67FE"/>
    <w:rsid w:val="001D6B71"/>
    <w:rsid w:val="001D6C5B"/>
    <w:rsid w:val="001D6DF6"/>
    <w:rsid w:val="001D6F83"/>
    <w:rsid w:val="001D70A4"/>
    <w:rsid w:val="001D73E3"/>
    <w:rsid w:val="001D758F"/>
    <w:rsid w:val="001D75F1"/>
    <w:rsid w:val="001D7682"/>
    <w:rsid w:val="001D7A65"/>
    <w:rsid w:val="001D7B57"/>
    <w:rsid w:val="001D7BE0"/>
    <w:rsid w:val="001D7E9D"/>
    <w:rsid w:val="001D7EBA"/>
    <w:rsid w:val="001E0026"/>
    <w:rsid w:val="001E005B"/>
    <w:rsid w:val="001E053A"/>
    <w:rsid w:val="001E0CA7"/>
    <w:rsid w:val="001E1334"/>
    <w:rsid w:val="001E142E"/>
    <w:rsid w:val="001E144D"/>
    <w:rsid w:val="001E155D"/>
    <w:rsid w:val="001E176B"/>
    <w:rsid w:val="001E181D"/>
    <w:rsid w:val="001E19AD"/>
    <w:rsid w:val="001E1ADC"/>
    <w:rsid w:val="001E1F27"/>
    <w:rsid w:val="001E20FE"/>
    <w:rsid w:val="001E259E"/>
    <w:rsid w:val="001E2A6D"/>
    <w:rsid w:val="001E2C86"/>
    <w:rsid w:val="001E2DF0"/>
    <w:rsid w:val="001E3297"/>
    <w:rsid w:val="001E33F7"/>
    <w:rsid w:val="001E35C3"/>
    <w:rsid w:val="001E37AA"/>
    <w:rsid w:val="001E37D3"/>
    <w:rsid w:val="001E4141"/>
    <w:rsid w:val="001E426F"/>
    <w:rsid w:val="001E43E5"/>
    <w:rsid w:val="001E4959"/>
    <w:rsid w:val="001E4AB1"/>
    <w:rsid w:val="001E4CCC"/>
    <w:rsid w:val="001E4DA2"/>
    <w:rsid w:val="001E4F63"/>
    <w:rsid w:val="001E57B5"/>
    <w:rsid w:val="001E5A93"/>
    <w:rsid w:val="001E5D38"/>
    <w:rsid w:val="001E5E63"/>
    <w:rsid w:val="001E5EA9"/>
    <w:rsid w:val="001E603C"/>
    <w:rsid w:val="001E677B"/>
    <w:rsid w:val="001E6840"/>
    <w:rsid w:val="001E6BD1"/>
    <w:rsid w:val="001E6EDC"/>
    <w:rsid w:val="001E73DE"/>
    <w:rsid w:val="001F0049"/>
    <w:rsid w:val="001F00D1"/>
    <w:rsid w:val="001F01D6"/>
    <w:rsid w:val="001F03A3"/>
    <w:rsid w:val="001F06B9"/>
    <w:rsid w:val="001F0997"/>
    <w:rsid w:val="001F0A97"/>
    <w:rsid w:val="001F0A99"/>
    <w:rsid w:val="001F0DC5"/>
    <w:rsid w:val="001F1095"/>
    <w:rsid w:val="001F1299"/>
    <w:rsid w:val="001F14DF"/>
    <w:rsid w:val="001F1507"/>
    <w:rsid w:val="001F183D"/>
    <w:rsid w:val="001F195A"/>
    <w:rsid w:val="001F1AC0"/>
    <w:rsid w:val="001F207C"/>
    <w:rsid w:val="001F2088"/>
    <w:rsid w:val="001F22F3"/>
    <w:rsid w:val="001F29AE"/>
    <w:rsid w:val="001F2AB3"/>
    <w:rsid w:val="001F2CEA"/>
    <w:rsid w:val="001F32A7"/>
    <w:rsid w:val="001F385D"/>
    <w:rsid w:val="001F3BFF"/>
    <w:rsid w:val="001F3CD9"/>
    <w:rsid w:val="001F3F4E"/>
    <w:rsid w:val="001F4158"/>
    <w:rsid w:val="001F4520"/>
    <w:rsid w:val="001F45C6"/>
    <w:rsid w:val="001F4A79"/>
    <w:rsid w:val="001F4BF3"/>
    <w:rsid w:val="001F4E40"/>
    <w:rsid w:val="001F57E2"/>
    <w:rsid w:val="001F5C65"/>
    <w:rsid w:val="001F5CC3"/>
    <w:rsid w:val="001F5DB3"/>
    <w:rsid w:val="001F5F28"/>
    <w:rsid w:val="001F6399"/>
    <w:rsid w:val="001F63F8"/>
    <w:rsid w:val="001F6543"/>
    <w:rsid w:val="001F6889"/>
    <w:rsid w:val="001F6AFC"/>
    <w:rsid w:val="001F6E41"/>
    <w:rsid w:val="001F70CF"/>
    <w:rsid w:val="001F715D"/>
    <w:rsid w:val="001F7308"/>
    <w:rsid w:val="001F7461"/>
    <w:rsid w:val="001F7742"/>
    <w:rsid w:val="001F78F1"/>
    <w:rsid w:val="001F7CAF"/>
    <w:rsid w:val="001F7D91"/>
    <w:rsid w:val="001F7E56"/>
    <w:rsid w:val="001F7F01"/>
    <w:rsid w:val="001F7FE0"/>
    <w:rsid w:val="002003B0"/>
    <w:rsid w:val="002003DB"/>
    <w:rsid w:val="002009DE"/>
    <w:rsid w:val="0020136C"/>
    <w:rsid w:val="0020142B"/>
    <w:rsid w:val="00201628"/>
    <w:rsid w:val="00201781"/>
    <w:rsid w:val="0020185F"/>
    <w:rsid w:val="00201865"/>
    <w:rsid w:val="00201A65"/>
    <w:rsid w:val="00201D02"/>
    <w:rsid w:val="00201F00"/>
    <w:rsid w:val="0020222D"/>
    <w:rsid w:val="002029DC"/>
    <w:rsid w:val="00203303"/>
    <w:rsid w:val="0020334E"/>
    <w:rsid w:val="00203483"/>
    <w:rsid w:val="002037B2"/>
    <w:rsid w:val="00203970"/>
    <w:rsid w:val="00203AAD"/>
    <w:rsid w:val="00203BC0"/>
    <w:rsid w:val="00203CA6"/>
    <w:rsid w:val="00203FE0"/>
    <w:rsid w:val="00204100"/>
    <w:rsid w:val="00204621"/>
    <w:rsid w:val="00204CE2"/>
    <w:rsid w:val="00205693"/>
    <w:rsid w:val="00205950"/>
    <w:rsid w:val="00205A89"/>
    <w:rsid w:val="00205C0D"/>
    <w:rsid w:val="00205DA5"/>
    <w:rsid w:val="00206263"/>
    <w:rsid w:val="0020650C"/>
    <w:rsid w:val="00206AF2"/>
    <w:rsid w:val="00206F45"/>
    <w:rsid w:val="00207E25"/>
    <w:rsid w:val="00207E9A"/>
    <w:rsid w:val="00207F7B"/>
    <w:rsid w:val="00207F81"/>
    <w:rsid w:val="00210147"/>
    <w:rsid w:val="002105C1"/>
    <w:rsid w:val="0021062E"/>
    <w:rsid w:val="002106A7"/>
    <w:rsid w:val="0021079F"/>
    <w:rsid w:val="00210948"/>
    <w:rsid w:val="002109BE"/>
    <w:rsid w:val="002109C0"/>
    <w:rsid w:val="002109F5"/>
    <w:rsid w:val="00210A98"/>
    <w:rsid w:val="00210C92"/>
    <w:rsid w:val="00210D88"/>
    <w:rsid w:val="00210DED"/>
    <w:rsid w:val="00211167"/>
    <w:rsid w:val="0021134C"/>
    <w:rsid w:val="002113A3"/>
    <w:rsid w:val="0021154F"/>
    <w:rsid w:val="00211A60"/>
    <w:rsid w:val="00212185"/>
    <w:rsid w:val="00212205"/>
    <w:rsid w:val="00212432"/>
    <w:rsid w:val="0021243C"/>
    <w:rsid w:val="00212677"/>
    <w:rsid w:val="002126DA"/>
    <w:rsid w:val="002126EB"/>
    <w:rsid w:val="00212784"/>
    <w:rsid w:val="00212841"/>
    <w:rsid w:val="00212A87"/>
    <w:rsid w:val="00212AA3"/>
    <w:rsid w:val="00212BFA"/>
    <w:rsid w:val="00212E05"/>
    <w:rsid w:val="00213107"/>
    <w:rsid w:val="00213299"/>
    <w:rsid w:val="00213791"/>
    <w:rsid w:val="00213915"/>
    <w:rsid w:val="002139BD"/>
    <w:rsid w:val="00213A05"/>
    <w:rsid w:val="00214548"/>
    <w:rsid w:val="00214BF3"/>
    <w:rsid w:val="002153E3"/>
    <w:rsid w:val="00215474"/>
    <w:rsid w:val="002154AB"/>
    <w:rsid w:val="00215716"/>
    <w:rsid w:val="00215F0D"/>
    <w:rsid w:val="002163E0"/>
    <w:rsid w:val="00216571"/>
    <w:rsid w:val="00216A25"/>
    <w:rsid w:val="00216B10"/>
    <w:rsid w:val="00216BC3"/>
    <w:rsid w:val="00216FEB"/>
    <w:rsid w:val="002173DB"/>
    <w:rsid w:val="0021751F"/>
    <w:rsid w:val="0021752D"/>
    <w:rsid w:val="002175E8"/>
    <w:rsid w:val="00217903"/>
    <w:rsid w:val="002179B2"/>
    <w:rsid w:val="00217BE8"/>
    <w:rsid w:val="00217F2A"/>
    <w:rsid w:val="00220093"/>
    <w:rsid w:val="0022029D"/>
    <w:rsid w:val="0022065B"/>
    <w:rsid w:val="002206EA"/>
    <w:rsid w:val="00220AFD"/>
    <w:rsid w:val="00220BB8"/>
    <w:rsid w:val="002210F4"/>
    <w:rsid w:val="00221615"/>
    <w:rsid w:val="002216E0"/>
    <w:rsid w:val="0022178D"/>
    <w:rsid w:val="0022179D"/>
    <w:rsid w:val="0022185C"/>
    <w:rsid w:val="002218A2"/>
    <w:rsid w:val="002218A4"/>
    <w:rsid w:val="002219C4"/>
    <w:rsid w:val="00221DB6"/>
    <w:rsid w:val="00221ED8"/>
    <w:rsid w:val="0022223D"/>
    <w:rsid w:val="002227D9"/>
    <w:rsid w:val="00222A7E"/>
    <w:rsid w:val="00222BE0"/>
    <w:rsid w:val="00222D05"/>
    <w:rsid w:val="00222F82"/>
    <w:rsid w:val="00223142"/>
    <w:rsid w:val="00223956"/>
    <w:rsid w:val="00223AD3"/>
    <w:rsid w:val="00223BA0"/>
    <w:rsid w:val="0022431D"/>
    <w:rsid w:val="002246F7"/>
    <w:rsid w:val="002247D8"/>
    <w:rsid w:val="00224B31"/>
    <w:rsid w:val="002251C6"/>
    <w:rsid w:val="002254D0"/>
    <w:rsid w:val="00225793"/>
    <w:rsid w:val="00225967"/>
    <w:rsid w:val="002259F3"/>
    <w:rsid w:val="00226188"/>
    <w:rsid w:val="002264DD"/>
    <w:rsid w:val="00226C84"/>
    <w:rsid w:val="002272CF"/>
    <w:rsid w:val="00227320"/>
    <w:rsid w:val="00227424"/>
    <w:rsid w:val="002276C4"/>
    <w:rsid w:val="00230033"/>
    <w:rsid w:val="002300BB"/>
    <w:rsid w:val="002304FF"/>
    <w:rsid w:val="002309A7"/>
    <w:rsid w:val="00230CE2"/>
    <w:rsid w:val="00230D7B"/>
    <w:rsid w:val="002311B8"/>
    <w:rsid w:val="002314D5"/>
    <w:rsid w:val="00231664"/>
    <w:rsid w:val="00231949"/>
    <w:rsid w:val="00231B39"/>
    <w:rsid w:val="00231BFE"/>
    <w:rsid w:val="00231F22"/>
    <w:rsid w:val="00231FBD"/>
    <w:rsid w:val="00232288"/>
    <w:rsid w:val="0023231A"/>
    <w:rsid w:val="00232763"/>
    <w:rsid w:val="00232A2E"/>
    <w:rsid w:val="00232FA9"/>
    <w:rsid w:val="00233082"/>
    <w:rsid w:val="00233180"/>
    <w:rsid w:val="00233474"/>
    <w:rsid w:val="00233674"/>
    <w:rsid w:val="002336C5"/>
    <w:rsid w:val="00233E42"/>
    <w:rsid w:val="00233E7F"/>
    <w:rsid w:val="002340A9"/>
    <w:rsid w:val="00234110"/>
    <w:rsid w:val="00234120"/>
    <w:rsid w:val="002343F1"/>
    <w:rsid w:val="00234437"/>
    <w:rsid w:val="002349CF"/>
    <w:rsid w:val="002349ED"/>
    <w:rsid w:val="00234F4A"/>
    <w:rsid w:val="0023538F"/>
    <w:rsid w:val="002355D3"/>
    <w:rsid w:val="002358F8"/>
    <w:rsid w:val="00235AE2"/>
    <w:rsid w:val="00236294"/>
    <w:rsid w:val="002368D4"/>
    <w:rsid w:val="002368F6"/>
    <w:rsid w:val="00236DAC"/>
    <w:rsid w:val="00236F99"/>
    <w:rsid w:val="0023731C"/>
    <w:rsid w:val="00237681"/>
    <w:rsid w:val="002377C2"/>
    <w:rsid w:val="002378CB"/>
    <w:rsid w:val="00237963"/>
    <w:rsid w:val="0024056B"/>
    <w:rsid w:val="00240682"/>
    <w:rsid w:val="002406E0"/>
    <w:rsid w:val="00240D1D"/>
    <w:rsid w:val="00240EB9"/>
    <w:rsid w:val="0024119A"/>
    <w:rsid w:val="002414B9"/>
    <w:rsid w:val="0024151C"/>
    <w:rsid w:val="00241810"/>
    <w:rsid w:val="00241A63"/>
    <w:rsid w:val="00241C3E"/>
    <w:rsid w:val="00241CF4"/>
    <w:rsid w:val="00241E2B"/>
    <w:rsid w:val="00242439"/>
    <w:rsid w:val="00242A5F"/>
    <w:rsid w:val="00242BC3"/>
    <w:rsid w:val="00242C51"/>
    <w:rsid w:val="00242D3A"/>
    <w:rsid w:val="00242D74"/>
    <w:rsid w:val="0024339F"/>
    <w:rsid w:val="002434A9"/>
    <w:rsid w:val="00243535"/>
    <w:rsid w:val="00243EAD"/>
    <w:rsid w:val="0024442A"/>
    <w:rsid w:val="00244709"/>
    <w:rsid w:val="00244A0D"/>
    <w:rsid w:val="00244AE7"/>
    <w:rsid w:val="00244E54"/>
    <w:rsid w:val="002452CA"/>
    <w:rsid w:val="00245571"/>
    <w:rsid w:val="00245695"/>
    <w:rsid w:val="00245DB2"/>
    <w:rsid w:val="00245F5B"/>
    <w:rsid w:val="00246195"/>
    <w:rsid w:val="00246675"/>
    <w:rsid w:val="002467C2"/>
    <w:rsid w:val="002469EA"/>
    <w:rsid w:val="00246D63"/>
    <w:rsid w:val="00246DC2"/>
    <w:rsid w:val="0024709B"/>
    <w:rsid w:val="002473B8"/>
    <w:rsid w:val="00247638"/>
    <w:rsid w:val="0024768E"/>
    <w:rsid w:val="0024776A"/>
    <w:rsid w:val="0024778E"/>
    <w:rsid w:val="0024784E"/>
    <w:rsid w:val="002479A4"/>
    <w:rsid w:val="002479B9"/>
    <w:rsid w:val="00247BCC"/>
    <w:rsid w:val="00247F3C"/>
    <w:rsid w:val="00250253"/>
    <w:rsid w:val="002504FE"/>
    <w:rsid w:val="00250C9F"/>
    <w:rsid w:val="00250EAA"/>
    <w:rsid w:val="00251099"/>
    <w:rsid w:val="002514C9"/>
    <w:rsid w:val="0025172B"/>
    <w:rsid w:val="00251984"/>
    <w:rsid w:val="00251A60"/>
    <w:rsid w:val="00251CDB"/>
    <w:rsid w:val="00251D1C"/>
    <w:rsid w:val="00251EFA"/>
    <w:rsid w:val="00252586"/>
    <w:rsid w:val="002525C6"/>
    <w:rsid w:val="002528F9"/>
    <w:rsid w:val="00252B28"/>
    <w:rsid w:val="00252BAF"/>
    <w:rsid w:val="00252CF7"/>
    <w:rsid w:val="00252D36"/>
    <w:rsid w:val="002530F8"/>
    <w:rsid w:val="002539C0"/>
    <w:rsid w:val="00253E19"/>
    <w:rsid w:val="00253F11"/>
    <w:rsid w:val="00254199"/>
    <w:rsid w:val="002542CD"/>
    <w:rsid w:val="00254597"/>
    <w:rsid w:val="00254AD2"/>
    <w:rsid w:val="00254E63"/>
    <w:rsid w:val="0025508A"/>
    <w:rsid w:val="002551C0"/>
    <w:rsid w:val="002551D2"/>
    <w:rsid w:val="002554F4"/>
    <w:rsid w:val="0025560B"/>
    <w:rsid w:val="002557C7"/>
    <w:rsid w:val="00255BC0"/>
    <w:rsid w:val="00256069"/>
    <w:rsid w:val="002562B9"/>
    <w:rsid w:val="00256495"/>
    <w:rsid w:val="0025651F"/>
    <w:rsid w:val="00256E1E"/>
    <w:rsid w:val="00256EE8"/>
    <w:rsid w:val="00257080"/>
    <w:rsid w:val="002577A0"/>
    <w:rsid w:val="002579AC"/>
    <w:rsid w:val="00257B18"/>
    <w:rsid w:val="00257DF6"/>
    <w:rsid w:val="002601E8"/>
    <w:rsid w:val="0026033F"/>
    <w:rsid w:val="00260386"/>
    <w:rsid w:val="00260651"/>
    <w:rsid w:val="00260742"/>
    <w:rsid w:val="0026078A"/>
    <w:rsid w:val="002609BB"/>
    <w:rsid w:val="00260D0A"/>
    <w:rsid w:val="002610F3"/>
    <w:rsid w:val="00261118"/>
    <w:rsid w:val="00261261"/>
    <w:rsid w:val="00261279"/>
    <w:rsid w:val="0026187B"/>
    <w:rsid w:val="00261A18"/>
    <w:rsid w:val="00261C2C"/>
    <w:rsid w:val="00261D48"/>
    <w:rsid w:val="0026201C"/>
    <w:rsid w:val="00262316"/>
    <w:rsid w:val="0026266D"/>
    <w:rsid w:val="0026278D"/>
    <w:rsid w:val="00262803"/>
    <w:rsid w:val="0026289F"/>
    <w:rsid w:val="00262EC5"/>
    <w:rsid w:val="002630DF"/>
    <w:rsid w:val="00263619"/>
    <w:rsid w:val="002637FC"/>
    <w:rsid w:val="00263A57"/>
    <w:rsid w:val="00263DC4"/>
    <w:rsid w:val="00264A3D"/>
    <w:rsid w:val="00264A5E"/>
    <w:rsid w:val="00264B01"/>
    <w:rsid w:val="00265193"/>
    <w:rsid w:val="00265249"/>
    <w:rsid w:val="002652EE"/>
    <w:rsid w:val="002656F3"/>
    <w:rsid w:val="00265736"/>
    <w:rsid w:val="00265739"/>
    <w:rsid w:val="00265830"/>
    <w:rsid w:val="00265B2D"/>
    <w:rsid w:val="00265B74"/>
    <w:rsid w:val="00265CF4"/>
    <w:rsid w:val="002660E7"/>
    <w:rsid w:val="002663A6"/>
    <w:rsid w:val="00266436"/>
    <w:rsid w:val="002665F7"/>
    <w:rsid w:val="00266749"/>
    <w:rsid w:val="00266816"/>
    <w:rsid w:val="0026687D"/>
    <w:rsid w:val="002668A7"/>
    <w:rsid w:val="00266AE8"/>
    <w:rsid w:val="00266B7D"/>
    <w:rsid w:val="00266CF4"/>
    <w:rsid w:val="00266D0B"/>
    <w:rsid w:val="0026700F"/>
    <w:rsid w:val="0026790D"/>
    <w:rsid w:val="00267B57"/>
    <w:rsid w:val="0027009D"/>
    <w:rsid w:val="00270562"/>
    <w:rsid w:val="002706AA"/>
    <w:rsid w:val="002708D5"/>
    <w:rsid w:val="00270C7F"/>
    <w:rsid w:val="002711E2"/>
    <w:rsid w:val="00271439"/>
    <w:rsid w:val="00271D40"/>
    <w:rsid w:val="002724A5"/>
    <w:rsid w:val="00272916"/>
    <w:rsid w:val="00272C18"/>
    <w:rsid w:val="00272EF5"/>
    <w:rsid w:val="002736CA"/>
    <w:rsid w:val="0027391A"/>
    <w:rsid w:val="00273B49"/>
    <w:rsid w:val="00273C12"/>
    <w:rsid w:val="00273D39"/>
    <w:rsid w:val="00273D64"/>
    <w:rsid w:val="00274014"/>
    <w:rsid w:val="002741B7"/>
    <w:rsid w:val="00274470"/>
    <w:rsid w:val="00274500"/>
    <w:rsid w:val="002746A4"/>
    <w:rsid w:val="00274787"/>
    <w:rsid w:val="00274B2C"/>
    <w:rsid w:val="00274E5F"/>
    <w:rsid w:val="00275201"/>
    <w:rsid w:val="0027531C"/>
    <w:rsid w:val="00275D02"/>
    <w:rsid w:val="00275D19"/>
    <w:rsid w:val="00275EB5"/>
    <w:rsid w:val="002764A8"/>
    <w:rsid w:val="002765B4"/>
    <w:rsid w:val="00276C52"/>
    <w:rsid w:val="00276FA2"/>
    <w:rsid w:val="002770BA"/>
    <w:rsid w:val="00277507"/>
    <w:rsid w:val="00277551"/>
    <w:rsid w:val="00277566"/>
    <w:rsid w:val="002776A7"/>
    <w:rsid w:val="002776F1"/>
    <w:rsid w:val="00277764"/>
    <w:rsid w:val="00277AC3"/>
    <w:rsid w:val="00277B59"/>
    <w:rsid w:val="00277D42"/>
    <w:rsid w:val="00277FE2"/>
    <w:rsid w:val="0028000B"/>
    <w:rsid w:val="00280129"/>
    <w:rsid w:val="002801BE"/>
    <w:rsid w:val="002803D4"/>
    <w:rsid w:val="0028055C"/>
    <w:rsid w:val="00280A66"/>
    <w:rsid w:val="00280EE2"/>
    <w:rsid w:val="002811FC"/>
    <w:rsid w:val="0028121E"/>
    <w:rsid w:val="002812DE"/>
    <w:rsid w:val="0028150E"/>
    <w:rsid w:val="00281636"/>
    <w:rsid w:val="0028181E"/>
    <w:rsid w:val="00281A9D"/>
    <w:rsid w:val="00281C3B"/>
    <w:rsid w:val="00281D7B"/>
    <w:rsid w:val="002822CF"/>
    <w:rsid w:val="002822F7"/>
    <w:rsid w:val="002829AF"/>
    <w:rsid w:val="00282A0E"/>
    <w:rsid w:val="00282B45"/>
    <w:rsid w:val="0028325B"/>
    <w:rsid w:val="00283527"/>
    <w:rsid w:val="00283599"/>
    <w:rsid w:val="002835EB"/>
    <w:rsid w:val="00283EC1"/>
    <w:rsid w:val="00284188"/>
    <w:rsid w:val="00284219"/>
    <w:rsid w:val="002842B4"/>
    <w:rsid w:val="002843C6"/>
    <w:rsid w:val="00284456"/>
    <w:rsid w:val="00284495"/>
    <w:rsid w:val="002846D2"/>
    <w:rsid w:val="00284A44"/>
    <w:rsid w:val="002850E3"/>
    <w:rsid w:val="00285259"/>
    <w:rsid w:val="00285296"/>
    <w:rsid w:val="002854A2"/>
    <w:rsid w:val="002859E6"/>
    <w:rsid w:val="00286081"/>
    <w:rsid w:val="00286A48"/>
    <w:rsid w:val="00286FA6"/>
    <w:rsid w:val="00287165"/>
    <w:rsid w:val="00287236"/>
    <w:rsid w:val="00287749"/>
    <w:rsid w:val="00287948"/>
    <w:rsid w:val="00287F4C"/>
    <w:rsid w:val="00290547"/>
    <w:rsid w:val="00290623"/>
    <w:rsid w:val="002908C3"/>
    <w:rsid w:val="00290921"/>
    <w:rsid w:val="00290D74"/>
    <w:rsid w:val="002911A9"/>
    <w:rsid w:val="002913E1"/>
    <w:rsid w:val="002918E0"/>
    <w:rsid w:val="00291950"/>
    <w:rsid w:val="00291D28"/>
    <w:rsid w:val="00291FFE"/>
    <w:rsid w:val="00292187"/>
    <w:rsid w:val="0029230C"/>
    <w:rsid w:val="0029270C"/>
    <w:rsid w:val="00292763"/>
    <w:rsid w:val="00292784"/>
    <w:rsid w:val="00292BE7"/>
    <w:rsid w:val="00292C00"/>
    <w:rsid w:val="00293002"/>
    <w:rsid w:val="0029331F"/>
    <w:rsid w:val="00293377"/>
    <w:rsid w:val="002933D6"/>
    <w:rsid w:val="002933DF"/>
    <w:rsid w:val="002934DC"/>
    <w:rsid w:val="0029355C"/>
    <w:rsid w:val="002938B3"/>
    <w:rsid w:val="00293C73"/>
    <w:rsid w:val="00293E30"/>
    <w:rsid w:val="00294001"/>
    <w:rsid w:val="00294019"/>
    <w:rsid w:val="002946B9"/>
    <w:rsid w:val="00294888"/>
    <w:rsid w:val="00294B4F"/>
    <w:rsid w:val="00294B9E"/>
    <w:rsid w:val="00295095"/>
    <w:rsid w:val="002957E1"/>
    <w:rsid w:val="00295E02"/>
    <w:rsid w:val="00295F5D"/>
    <w:rsid w:val="0029601F"/>
    <w:rsid w:val="0029612F"/>
    <w:rsid w:val="00296320"/>
    <w:rsid w:val="00296368"/>
    <w:rsid w:val="00296476"/>
    <w:rsid w:val="00296579"/>
    <w:rsid w:val="00296907"/>
    <w:rsid w:val="002969E3"/>
    <w:rsid w:val="00296BB7"/>
    <w:rsid w:val="0029743E"/>
    <w:rsid w:val="002974BF"/>
    <w:rsid w:val="00297702"/>
    <w:rsid w:val="002977F4"/>
    <w:rsid w:val="002979E9"/>
    <w:rsid w:val="00297BE8"/>
    <w:rsid w:val="00297C51"/>
    <w:rsid w:val="00297D2B"/>
    <w:rsid w:val="002A0DBF"/>
    <w:rsid w:val="002A0E97"/>
    <w:rsid w:val="002A11CD"/>
    <w:rsid w:val="002A11F1"/>
    <w:rsid w:val="002A1607"/>
    <w:rsid w:val="002A1668"/>
    <w:rsid w:val="002A2116"/>
    <w:rsid w:val="002A2628"/>
    <w:rsid w:val="002A285F"/>
    <w:rsid w:val="002A2D70"/>
    <w:rsid w:val="002A343D"/>
    <w:rsid w:val="002A348C"/>
    <w:rsid w:val="002A3624"/>
    <w:rsid w:val="002A3678"/>
    <w:rsid w:val="002A381F"/>
    <w:rsid w:val="002A3DBC"/>
    <w:rsid w:val="002A3E00"/>
    <w:rsid w:val="002A4128"/>
    <w:rsid w:val="002A4297"/>
    <w:rsid w:val="002A462A"/>
    <w:rsid w:val="002A4F06"/>
    <w:rsid w:val="002A4F2A"/>
    <w:rsid w:val="002A577C"/>
    <w:rsid w:val="002A5CFF"/>
    <w:rsid w:val="002A5E7F"/>
    <w:rsid w:val="002A5F7A"/>
    <w:rsid w:val="002A66F5"/>
    <w:rsid w:val="002A6760"/>
    <w:rsid w:val="002A6E34"/>
    <w:rsid w:val="002A6E36"/>
    <w:rsid w:val="002A71A3"/>
    <w:rsid w:val="002A77DD"/>
    <w:rsid w:val="002A7A8A"/>
    <w:rsid w:val="002A7DE8"/>
    <w:rsid w:val="002B02B6"/>
    <w:rsid w:val="002B02C9"/>
    <w:rsid w:val="002B0315"/>
    <w:rsid w:val="002B0473"/>
    <w:rsid w:val="002B0504"/>
    <w:rsid w:val="002B055D"/>
    <w:rsid w:val="002B05B2"/>
    <w:rsid w:val="002B05D4"/>
    <w:rsid w:val="002B0A1C"/>
    <w:rsid w:val="002B0D00"/>
    <w:rsid w:val="002B118B"/>
    <w:rsid w:val="002B122F"/>
    <w:rsid w:val="002B1646"/>
    <w:rsid w:val="002B1811"/>
    <w:rsid w:val="002B1A62"/>
    <w:rsid w:val="002B1D5F"/>
    <w:rsid w:val="002B1E21"/>
    <w:rsid w:val="002B24E1"/>
    <w:rsid w:val="002B2CA1"/>
    <w:rsid w:val="002B2D5E"/>
    <w:rsid w:val="002B2F9E"/>
    <w:rsid w:val="002B316D"/>
    <w:rsid w:val="002B3201"/>
    <w:rsid w:val="002B37DA"/>
    <w:rsid w:val="002B3ADA"/>
    <w:rsid w:val="002B3B31"/>
    <w:rsid w:val="002B400C"/>
    <w:rsid w:val="002B40E3"/>
    <w:rsid w:val="002B422A"/>
    <w:rsid w:val="002B4431"/>
    <w:rsid w:val="002B48C2"/>
    <w:rsid w:val="002B5037"/>
    <w:rsid w:val="002B51F5"/>
    <w:rsid w:val="002B5504"/>
    <w:rsid w:val="002B5A80"/>
    <w:rsid w:val="002B6141"/>
    <w:rsid w:val="002B6253"/>
    <w:rsid w:val="002B6528"/>
    <w:rsid w:val="002B6B28"/>
    <w:rsid w:val="002B6EF3"/>
    <w:rsid w:val="002C0591"/>
    <w:rsid w:val="002C0773"/>
    <w:rsid w:val="002C0826"/>
    <w:rsid w:val="002C0985"/>
    <w:rsid w:val="002C098D"/>
    <w:rsid w:val="002C0BEF"/>
    <w:rsid w:val="002C0D29"/>
    <w:rsid w:val="002C109F"/>
    <w:rsid w:val="002C157F"/>
    <w:rsid w:val="002C1632"/>
    <w:rsid w:val="002C1817"/>
    <w:rsid w:val="002C18AD"/>
    <w:rsid w:val="002C1E64"/>
    <w:rsid w:val="002C201C"/>
    <w:rsid w:val="002C216E"/>
    <w:rsid w:val="002C21B6"/>
    <w:rsid w:val="002C23EF"/>
    <w:rsid w:val="002C27F3"/>
    <w:rsid w:val="002C2B8C"/>
    <w:rsid w:val="002C2C23"/>
    <w:rsid w:val="002C30D0"/>
    <w:rsid w:val="002C3122"/>
    <w:rsid w:val="002C31DD"/>
    <w:rsid w:val="002C340D"/>
    <w:rsid w:val="002C350A"/>
    <w:rsid w:val="002C3558"/>
    <w:rsid w:val="002C3A02"/>
    <w:rsid w:val="002C3F27"/>
    <w:rsid w:val="002C429C"/>
    <w:rsid w:val="002C459B"/>
    <w:rsid w:val="002C4A86"/>
    <w:rsid w:val="002C4DA2"/>
    <w:rsid w:val="002C4DBB"/>
    <w:rsid w:val="002C4E4B"/>
    <w:rsid w:val="002C4E50"/>
    <w:rsid w:val="002C4FA3"/>
    <w:rsid w:val="002C50F7"/>
    <w:rsid w:val="002C5165"/>
    <w:rsid w:val="002C5187"/>
    <w:rsid w:val="002C546F"/>
    <w:rsid w:val="002C567A"/>
    <w:rsid w:val="002C598F"/>
    <w:rsid w:val="002C5996"/>
    <w:rsid w:val="002C653C"/>
    <w:rsid w:val="002C66A5"/>
    <w:rsid w:val="002C6A04"/>
    <w:rsid w:val="002C6B51"/>
    <w:rsid w:val="002C6DDC"/>
    <w:rsid w:val="002C6F4F"/>
    <w:rsid w:val="002C6F6E"/>
    <w:rsid w:val="002C7014"/>
    <w:rsid w:val="002C701C"/>
    <w:rsid w:val="002C7175"/>
    <w:rsid w:val="002C7621"/>
    <w:rsid w:val="002C7A6E"/>
    <w:rsid w:val="002C7CC1"/>
    <w:rsid w:val="002C7ED6"/>
    <w:rsid w:val="002C7EFD"/>
    <w:rsid w:val="002D029A"/>
    <w:rsid w:val="002D0407"/>
    <w:rsid w:val="002D0480"/>
    <w:rsid w:val="002D0606"/>
    <w:rsid w:val="002D07BD"/>
    <w:rsid w:val="002D0C6C"/>
    <w:rsid w:val="002D0CC9"/>
    <w:rsid w:val="002D0D9F"/>
    <w:rsid w:val="002D0E1C"/>
    <w:rsid w:val="002D10E8"/>
    <w:rsid w:val="002D17C2"/>
    <w:rsid w:val="002D1972"/>
    <w:rsid w:val="002D1B15"/>
    <w:rsid w:val="002D1BA4"/>
    <w:rsid w:val="002D1E69"/>
    <w:rsid w:val="002D211F"/>
    <w:rsid w:val="002D2222"/>
    <w:rsid w:val="002D22FB"/>
    <w:rsid w:val="002D23D5"/>
    <w:rsid w:val="002D2507"/>
    <w:rsid w:val="002D26E7"/>
    <w:rsid w:val="002D2918"/>
    <w:rsid w:val="002D2B2C"/>
    <w:rsid w:val="002D30B3"/>
    <w:rsid w:val="002D3A45"/>
    <w:rsid w:val="002D3B6C"/>
    <w:rsid w:val="002D3E79"/>
    <w:rsid w:val="002D4087"/>
    <w:rsid w:val="002D40C3"/>
    <w:rsid w:val="002D4C5D"/>
    <w:rsid w:val="002D502F"/>
    <w:rsid w:val="002D512D"/>
    <w:rsid w:val="002D550F"/>
    <w:rsid w:val="002D5666"/>
    <w:rsid w:val="002D5A48"/>
    <w:rsid w:val="002D5A95"/>
    <w:rsid w:val="002D5E76"/>
    <w:rsid w:val="002D5F18"/>
    <w:rsid w:val="002D6296"/>
    <w:rsid w:val="002D659B"/>
    <w:rsid w:val="002D666A"/>
    <w:rsid w:val="002D683A"/>
    <w:rsid w:val="002D69FC"/>
    <w:rsid w:val="002D6B72"/>
    <w:rsid w:val="002D6D39"/>
    <w:rsid w:val="002D72DF"/>
    <w:rsid w:val="002D7306"/>
    <w:rsid w:val="002D7D04"/>
    <w:rsid w:val="002E0082"/>
    <w:rsid w:val="002E02A0"/>
    <w:rsid w:val="002E058F"/>
    <w:rsid w:val="002E0925"/>
    <w:rsid w:val="002E09EC"/>
    <w:rsid w:val="002E0D51"/>
    <w:rsid w:val="002E1423"/>
    <w:rsid w:val="002E16BA"/>
    <w:rsid w:val="002E1772"/>
    <w:rsid w:val="002E1808"/>
    <w:rsid w:val="002E1DF6"/>
    <w:rsid w:val="002E2818"/>
    <w:rsid w:val="002E2C8E"/>
    <w:rsid w:val="002E300F"/>
    <w:rsid w:val="002E3DAA"/>
    <w:rsid w:val="002E4237"/>
    <w:rsid w:val="002E495B"/>
    <w:rsid w:val="002E4E7A"/>
    <w:rsid w:val="002E53E0"/>
    <w:rsid w:val="002E588B"/>
    <w:rsid w:val="002E5A13"/>
    <w:rsid w:val="002E5C94"/>
    <w:rsid w:val="002E5FED"/>
    <w:rsid w:val="002E615D"/>
    <w:rsid w:val="002E6851"/>
    <w:rsid w:val="002E6907"/>
    <w:rsid w:val="002E6B2D"/>
    <w:rsid w:val="002E6CC7"/>
    <w:rsid w:val="002E6ED8"/>
    <w:rsid w:val="002E6F57"/>
    <w:rsid w:val="002E7220"/>
    <w:rsid w:val="002E7BDC"/>
    <w:rsid w:val="002E7D35"/>
    <w:rsid w:val="002E7DD9"/>
    <w:rsid w:val="002E7E02"/>
    <w:rsid w:val="002F0713"/>
    <w:rsid w:val="002F0805"/>
    <w:rsid w:val="002F08A7"/>
    <w:rsid w:val="002F0999"/>
    <w:rsid w:val="002F0B40"/>
    <w:rsid w:val="002F0BFE"/>
    <w:rsid w:val="002F11DE"/>
    <w:rsid w:val="002F1451"/>
    <w:rsid w:val="002F1AC3"/>
    <w:rsid w:val="002F1E10"/>
    <w:rsid w:val="002F1E9E"/>
    <w:rsid w:val="002F2221"/>
    <w:rsid w:val="002F23EF"/>
    <w:rsid w:val="002F2404"/>
    <w:rsid w:val="002F25E1"/>
    <w:rsid w:val="002F272E"/>
    <w:rsid w:val="002F278B"/>
    <w:rsid w:val="002F2A64"/>
    <w:rsid w:val="002F2B19"/>
    <w:rsid w:val="002F2B88"/>
    <w:rsid w:val="002F2D86"/>
    <w:rsid w:val="002F2F47"/>
    <w:rsid w:val="002F32FF"/>
    <w:rsid w:val="002F33C4"/>
    <w:rsid w:val="002F34A7"/>
    <w:rsid w:val="002F3C17"/>
    <w:rsid w:val="002F3EC7"/>
    <w:rsid w:val="002F48F7"/>
    <w:rsid w:val="002F4C2F"/>
    <w:rsid w:val="002F4DCA"/>
    <w:rsid w:val="002F4FA7"/>
    <w:rsid w:val="002F5538"/>
    <w:rsid w:val="002F5588"/>
    <w:rsid w:val="002F5772"/>
    <w:rsid w:val="002F5779"/>
    <w:rsid w:val="002F6032"/>
    <w:rsid w:val="002F60D8"/>
    <w:rsid w:val="002F613E"/>
    <w:rsid w:val="002F62F7"/>
    <w:rsid w:val="002F6378"/>
    <w:rsid w:val="002F667D"/>
    <w:rsid w:val="002F669D"/>
    <w:rsid w:val="002F66C8"/>
    <w:rsid w:val="002F6AEE"/>
    <w:rsid w:val="002F6C17"/>
    <w:rsid w:val="002F7366"/>
    <w:rsid w:val="002F74BD"/>
    <w:rsid w:val="002F7675"/>
    <w:rsid w:val="002F7B12"/>
    <w:rsid w:val="003004AE"/>
    <w:rsid w:val="00300646"/>
    <w:rsid w:val="00300C12"/>
    <w:rsid w:val="00300C27"/>
    <w:rsid w:val="00300D96"/>
    <w:rsid w:val="00300E6A"/>
    <w:rsid w:val="003013FF"/>
    <w:rsid w:val="00301498"/>
    <w:rsid w:val="00301767"/>
    <w:rsid w:val="00302031"/>
    <w:rsid w:val="00302521"/>
    <w:rsid w:val="0030270D"/>
    <w:rsid w:val="0030285E"/>
    <w:rsid w:val="00302B9E"/>
    <w:rsid w:val="00302C30"/>
    <w:rsid w:val="00302DEA"/>
    <w:rsid w:val="0030303F"/>
    <w:rsid w:val="00303073"/>
    <w:rsid w:val="003030B3"/>
    <w:rsid w:val="003031F3"/>
    <w:rsid w:val="00303333"/>
    <w:rsid w:val="00303513"/>
    <w:rsid w:val="003036EB"/>
    <w:rsid w:val="00303A4F"/>
    <w:rsid w:val="00303BDC"/>
    <w:rsid w:val="00303DB8"/>
    <w:rsid w:val="0030405E"/>
    <w:rsid w:val="0030452B"/>
    <w:rsid w:val="0030455D"/>
    <w:rsid w:val="00304666"/>
    <w:rsid w:val="003047B4"/>
    <w:rsid w:val="00304835"/>
    <w:rsid w:val="0030487D"/>
    <w:rsid w:val="003049BD"/>
    <w:rsid w:val="00304B91"/>
    <w:rsid w:val="00304FB8"/>
    <w:rsid w:val="003051DB"/>
    <w:rsid w:val="00305892"/>
    <w:rsid w:val="00305957"/>
    <w:rsid w:val="00305E1F"/>
    <w:rsid w:val="00305EE4"/>
    <w:rsid w:val="00306077"/>
    <w:rsid w:val="003061CB"/>
    <w:rsid w:val="0030623C"/>
    <w:rsid w:val="00306842"/>
    <w:rsid w:val="0030694B"/>
    <w:rsid w:val="00306958"/>
    <w:rsid w:val="00306A87"/>
    <w:rsid w:val="00306B2C"/>
    <w:rsid w:val="0030702F"/>
    <w:rsid w:val="003070F7"/>
    <w:rsid w:val="0030710C"/>
    <w:rsid w:val="00307153"/>
    <w:rsid w:val="0030796F"/>
    <w:rsid w:val="0030797A"/>
    <w:rsid w:val="00307D41"/>
    <w:rsid w:val="00307D93"/>
    <w:rsid w:val="00310063"/>
    <w:rsid w:val="003100FD"/>
    <w:rsid w:val="0031067F"/>
    <w:rsid w:val="00310851"/>
    <w:rsid w:val="00310CAB"/>
    <w:rsid w:val="00311013"/>
    <w:rsid w:val="00311152"/>
    <w:rsid w:val="00311186"/>
    <w:rsid w:val="003113C0"/>
    <w:rsid w:val="0031141F"/>
    <w:rsid w:val="00311577"/>
    <w:rsid w:val="003116E8"/>
    <w:rsid w:val="003116E9"/>
    <w:rsid w:val="003117B1"/>
    <w:rsid w:val="00311851"/>
    <w:rsid w:val="00311AAA"/>
    <w:rsid w:val="00311E0B"/>
    <w:rsid w:val="003121B8"/>
    <w:rsid w:val="003122E3"/>
    <w:rsid w:val="003125B7"/>
    <w:rsid w:val="003126D8"/>
    <w:rsid w:val="0031283E"/>
    <w:rsid w:val="003129FE"/>
    <w:rsid w:val="00312BE0"/>
    <w:rsid w:val="00312EC5"/>
    <w:rsid w:val="00312F98"/>
    <w:rsid w:val="00313119"/>
    <w:rsid w:val="003131B9"/>
    <w:rsid w:val="00313341"/>
    <w:rsid w:val="0031341A"/>
    <w:rsid w:val="00313A5F"/>
    <w:rsid w:val="00313C49"/>
    <w:rsid w:val="00313E25"/>
    <w:rsid w:val="00314119"/>
    <w:rsid w:val="0031426C"/>
    <w:rsid w:val="0031454E"/>
    <w:rsid w:val="003145E4"/>
    <w:rsid w:val="003149E2"/>
    <w:rsid w:val="00314EBA"/>
    <w:rsid w:val="00314F8B"/>
    <w:rsid w:val="003155FA"/>
    <w:rsid w:val="00315639"/>
    <w:rsid w:val="00315781"/>
    <w:rsid w:val="00315A8A"/>
    <w:rsid w:val="00315B33"/>
    <w:rsid w:val="00315E92"/>
    <w:rsid w:val="003160C8"/>
    <w:rsid w:val="003160D7"/>
    <w:rsid w:val="00316147"/>
    <w:rsid w:val="00316484"/>
    <w:rsid w:val="003166A8"/>
    <w:rsid w:val="00316759"/>
    <w:rsid w:val="003169A3"/>
    <w:rsid w:val="003169E0"/>
    <w:rsid w:val="00316D5C"/>
    <w:rsid w:val="00316DDA"/>
    <w:rsid w:val="00316EBC"/>
    <w:rsid w:val="00316F22"/>
    <w:rsid w:val="00316F7E"/>
    <w:rsid w:val="00317298"/>
    <w:rsid w:val="00317430"/>
    <w:rsid w:val="00317B62"/>
    <w:rsid w:val="00317BA8"/>
    <w:rsid w:val="00317C71"/>
    <w:rsid w:val="00317C77"/>
    <w:rsid w:val="00317DC6"/>
    <w:rsid w:val="00317F0D"/>
    <w:rsid w:val="00317F2F"/>
    <w:rsid w:val="00317F7C"/>
    <w:rsid w:val="00320651"/>
    <w:rsid w:val="00320744"/>
    <w:rsid w:val="00320923"/>
    <w:rsid w:val="00320BD6"/>
    <w:rsid w:val="00320C22"/>
    <w:rsid w:val="00320C3A"/>
    <w:rsid w:val="003210FA"/>
    <w:rsid w:val="003213C9"/>
    <w:rsid w:val="0032142C"/>
    <w:rsid w:val="003214FC"/>
    <w:rsid w:val="00321527"/>
    <w:rsid w:val="003219E9"/>
    <w:rsid w:val="003219FA"/>
    <w:rsid w:val="00321A47"/>
    <w:rsid w:val="0032203A"/>
    <w:rsid w:val="00322103"/>
    <w:rsid w:val="00322382"/>
    <w:rsid w:val="003223DA"/>
    <w:rsid w:val="00322433"/>
    <w:rsid w:val="00322462"/>
    <w:rsid w:val="0032263A"/>
    <w:rsid w:val="0032276E"/>
    <w:rsid w:val="003228CB"/>
    <w:rsid w:val="00322CF5"/>
    <w:rsid w:val="003232D1"/>
    <w:rsid w:val="0032342F"/>
    <w:rsid w:val="00323533"/>
    <w:rsid w:val="003237B2"/>
    <w:rsid w:val="00323D6D"/>
    <w:rsid w:val="00324111"/>
    <w:rsid w:val="00324162"/>
    <w:rsid w:val="003243CE"/>
    <w:rsid w:val="0032444A"/>
    <w:rsid w:val="003245D7"/>
    <w:rsid w:val="0032466A"/>
    <w:rsid w:val="003248AA"/>
    <w:rsid w:val="00324A87"/>
    <w:rsid w:val="00324C63"/>
    <w:rsid w:val="00324D7D"/>
    <w:rsid w:val="00325292"/>
    <w:rsid w:val="00325395"/>
    <w:rsid w:val="00325576"/>
    <w:rsid w:val="0032560F"/>
    <w:rsid w:val="00325B64"/>
    <w:rsid w:val="00325B6B"/>
    <w:rsid w:val="00325D3E"/>
    <w:rsid w:val="00325E85"/>
    <w:rsid w:val="00325F83"/>
    <w:rsid w:val="003264F4"/>
    <w:rsid w:val="003265CE"/>
    <w:rsid w:val="003265F4"/>
    <w:rsid w:val="003267C4"/>
    <w:rsid w:val="00327069"/>
    <w:rsid w:val="003272D6"/>
    <w:rsid w:val="00327325"/>
    <w:rsid w:val="00327457"/>
    <w:rsid w:val="00327476"/>
    <w:rsid w:val="00327566"/>
    <w:rsid w:val="003275F1"/>
    <w:rsid w:val="0032774E"/>
    <w:rsid w:val="003279C4"/>
    <w:rsid w:val="00327F83"/>
    <w:rsid w:val="0033013D"/>
    <w:rsid w:val="00330640"/>
    <w:rsid w:val="0033064D"/>
    <w:rsid w:val="00330731"/>
    <w:rsid w:val="003313F2"/>
    <w:rsid w:val="003315A9"/>
    <w:rsid w:val="003315AE"/>
    <w:rsid w:val="003316FA"/>
    <w:rsid w:val="00331CD4"/>
    <w:rsid w:val="003321E3"/>
    <w:rsid w:val="00332462"/>
    <w:rsid w:val="00332704"/>
    <w:rsid w:val="00332ADB"/>
    <w:rsid w:val="00332B8F"/>
    <w:rsid w:val="00333092"/>
    <w:rsid w:val="00333841"/>
    <w:rsid w:val="00333EC8"/>
    <w:rsid w:val="00334AD7"/>
    <w:rsid w:val="00335205"/>
    <w:rsid w:val="0033560D"/>
    <w:rsid w:val="00335A5F"/>
    <w:rsid w:val="00335A94"/>
    <w:rsid w:val="00335D7A"/>
    <w:rsid w:val="00335F09"/>
    <w:rsid w:val="00336169"/>
    <w:rsid w:val="00336247"/>
    <w:rsid w:val="0033647B"/>
    <w:rsid w:val="003365D7"/>
    <w:rsid w:val="00336992"/>
    <w:rsid w:val="00336A1A"/>
    <w:rsid w:val="00336A4C"/>
    <w:rsid w:val="00336EE1"/>
    <w:rsid w:val="003373FA"/>
    <w:rsid w:val="003374A5"/>
    <w:rsid w:val="00337529"/>
    <w:rsid w:val="003377B5"/>
    <w:rsid w:val="003378F7"/>
    <w:rsid w:val="003379EB"/>
    <w:rsid w:val="00337D38"/>
    <w:rsid w:val="00337F6F"/>
    <w:rsid w:val="00337FB8"/>
    <w:rsid w:val="003401B6"/>
    <w:rsid w:val="0034035F"/>
    <w:rsid w:val="0034045D"/>
    <w:rsid w:val="003405DF"/>
    <w:rsid w:val="00340733"/>
    <w:rsid w:val="00340911"/>
    <w:rsid w:val="00340C59"/>
    <w:rsid w:val="00340E5D"/>
    <w:rsid w:val="00340F30"/>
    <w:rsid w:val="00342044"/>
    <w:rsid w:val="003420F2"/>
    <w:rsid w:val="00342590"/>
    <w:rsid w:val="00342663"/>
    <w:rsid w:val="00342A8D"/>
    <w:rsid w:val="00342DCF"/>
    <w:rsid w:val="003431C3"/>
    <w:rsid w:val="003434F5"/>
    <w:rsid w:val="00344565"/>
    <w:rsid w:val="0034467A"/>
    <w:rsid w:val="0034474A"/>
    <w:rsid w:val="00344BD2"/>
    <w:rsid w:val="00344E92"/>
    <w:rsid w:val="00344EEA"/>
    <w:rsid w:val="00345043"/>
    <w:rsid w:val="003454DD"/>
    <w:rsid w:val="00345B3F"/>
    <w:rsid w:val="00345BC6"/>
    <w:rsid w:val="0034663B"/>
    <w:rsid w:val="00346D8F"/>
    <w:rsid w:val="00346F5A"/>
    <w:rsid w:val="00347012"/>
    <w:rsid w:val="003470B4"/>
    <w:rsid w:val="00347452"/>
    <w:rsid w:val="0034769C"/>
    <w:rsid w:val="00347BA9"/>
    <w:rsid w:val="00350451"/>
    <w:rsid w:val="00350570"/>
    <w:rsid w:val="003508CA"/>
    <w:rsid w:val="00350A71"/>
    <w:rsid w:val="00350D4C"/>
    <w:rsid w:val="00350E6B"/>
    <w:rsid w:val="003510F4"/>
    <w:rsid w:val="00351170"/>
    <w:rsid w:val="0035166B"/>
    <w:rsid w:val="00351C81"/>
    <w:rsid w:val="00352499"/>
    <w:rsid w:val="00352863"/>
    <w:rsid w:val="00352AD3"/>
    <w:rsid w:val="00352FCF"/>
    <w:rsid w:val="003532A6"/>
    <w:rsid w:val="00353318"/>
    <w:rsid w:val="00353909"/>
    <w:rsid w:val="00353ACA"/>
    <w:rsid w:val="00353B7E"/>
    <w:rsid w:val="0035402B"/>
    <w:rsid w:val="00354443"/>
    <w:rsid w:val="003545D4"/>
    <w:rsid w:val="00354CD5"/>
    <w:rsid w:val="00354E31"/>
    <w:rsid w:val="00354F11"/>
    <w:rsid w:val="0035500F"/>
    <w:rsid w:val="00355093"/>
    <w:rsid w:val="00355772"/>
    <w:rsid w:val="0035584D"/>
    <w:rsid w:val="003559EA"/>
    <w:rsid w:val="00355DB0"/>
    <w:rsid w:val="00355DBF"/>
    <w:rsid w:val="00355F23"/>
    <w:rsid w:val="003561B8"/>
    <w:rsid w:val="00356260"/>
    <w:rsid w:val="0035628B"/>
    <w:rsid w:val="0035666F"/>
    <w:rsid w:val="0035679D"/>
    <w:rsid w:val="00356841"/>
    <w:rsid w:val="00356CE1"/>
    <w:rsid w:val="00356D8E"/>
    <w:rsid w:val="00356ED7"/>
    <w:rsid w:val="00357588"/>
    <w:rsid w:val="003577A5"/>
    <w:rsid w:val="003579D8"/>
    <w:rsid w:val="0036011E"/>
    <w:rsid w:val="00360353"/>
    <w:rsid w:val="00360714"/>
    <w:rsid w:val="00360776"/>
    <w:rsid w:val="00360928"/>
    <w:rsid w:val="00360C33"/>
    <w:rsid w:val="00360DE2"/>
    <w:rsid w:val="00361272"/>
    <w:rsid w:val="00361522"/>
    <w:rsid w:val="003617E9"/>
    <w:rsid w:val="00361AAA"/>
    <w:rsid w:val="00361AFB"/>
    <w:rsid w:val="00362333"/>
    <w:rsid w:val="0036233D"/>
    <w:rsid w:val="00362373"/>
    <w:rsid w:val="003626EA"/>
    <w:rsid w:val="00362BA1"/>
    <w:rsid w:val="00362F33"/>
    <w:rsid w:val="003635A8"/>
    <w:rsid w:val="00363A81"/>
    <w:rsid w:val="00363B34"/>
    <w:rsid w:val="00363B51"/>
    <w:rsid w:val="00363DEE"/>
    <w:rsid w:val="00363EEE"/>
    <w:rsid w:val="00364670"/>
    <w:rsid w:val="00364E9E"/>
    <w:rsid w:val="00365118"/>
    <w:rsid w:val="0036524A"/>
    <w:rsid w:val="00365F9C"/>
    <w:rsid w:val="00366186"/>
    <w:rsid w:val="00366543"/>
    <w:rsid w:val="0036677B"/>
    <w:rsid w:val="0036688C"/>
    <w:rsid w:val="00366BC0"/>
    <w:rsid w:val="00366F22"/>
    <w:rsid w:val="00367395"/>
    <w:rsid w:val="0036777E"/>
    <w:rsid w:val="00367990"/>
    <w:rsid w:val="00367D92"/>
    <w:rsid w:val="00367DF1"/>
    <w:rsid w:val="00367E4C"/>
    <w:rsid w:val="003703D6"/>
    <w:rsid w:val="0037040D"/>
    <w:rsid w:val="003706EE"/>
    <w:rsid w:val="003708A7"/>
    <w:rsid w:val="00371124"/>
    <w:rsid w:val="0037140F"/>
    <w:rsid w:val="00371D5F"/>
    <w:rsid w:val="00372100"/>
    <w:rsid w:val="0037223B"/>
    <w:rsid w:val="00372475"/>
    <w:rsid w:val="0037248B"/>
    <w:rsid w:val="00372605"/>
    <w:rsid w:val="003726C1"/>
    <w:rsid w:val="003727F6"/>
    <w:rsid w:val="00372ACF"/>
    <w:rsid w:val="00372DCB"/>
    <w:rsid w:val="00372FC0"/>
    <w:rsid w:val="00373151"/>
    <w:rsid w:val="00373294"/>
    <w:rsid w:val="003733B4"/>
    <w:rsid w:val="003734EE"/>
    <w:rsid w:val="003737C0"/>
    <w:rsid w:val="003737D5"/>
    <w:rsid w:val="00373AFA"/>
    <w:rsid w:val="00373B0D"/>
    <w:rsid w:val="00373CFB"/>
    <w:rsid w:val="00373DC3"/>
    <w:rsid w:val="00373E66"/>
    <w:rsid w:val="00373F12"/>
    <w:rsid w:val="00374107"/>
    <w:rsid w:val="00374317"/>
    <w:rsid w:val="003744C9"/>
    <w:rsid w:val="00374655"/>
    <w:rsid w:val="003746B5"/>
    <w:rsid w:val="0037535E"/>
    <w:rsid w:val="003753E2"/>
    <w:rsid w:val="00375454"/>
    <w:rsid w:val="00375790"/>
    <w:rsid w:val="003758B7"/>
    <w:rsid w:val="003759CE"/>
    <w:rsid w:val="00375AE9"/>
    <w:rsid w:val="00375BB0"/>
    <w:rsid w:val="003766EE"/>
    <w:rsid w:val="00376ED3"/>
    <w:rsid w:val="00377379"/>
    <w:rsid w:val="00377460"/>
    <w:rsid w:val="003776B8"/>
    <w:rsid w:val="003778D9"/>
    <w:rsid w:val="0037792D"/>
    <w:rsid w:val="003779C3"/>
    <w:rsid w:val="00377AA0"/>
    <w:rsid w:val="0038031E"/>
    <w:rsid w:val="003805D1"/>
    <w:rsid w:val="00380BC8"/>
    <w:rsid w:val="0038103B"/>
    <w:rsid w:val="0038113C"/>
    <w:rsid w:val="0038139F"/>
    <w:rsid w:val="0038160C"/>
    <w:rsid w:val="00381C53"/>
    <w:rsid w:val="00381E75"/>
    <w:rsid w:val="003820D6"/>
    <w:rsid w:val="0038217C"/>
    <w:rsid w:val="0038229E"/>
    <w:rsid w:val="00382311"/>
    <w:rsid w:val="00382729"/>
    <w:rsid w:val="00382BAC"/>
    <w:rsid w:val="00382CE0"/>
    <w:rsid w:val="0038325F"/>
    <w:rsid w:val="003832DB"/>
    <w:rsid w:val="0038333B"/>
    <w:rsid w:val="00383999"/>
    <w:rsid w:val="00383AEB"/>
    <w:rsid w:val="00383AF2"/>
    <w:rsid w:val="00383DB0"/>
    <w:rsid w:val="00383FC4"/>
    <w:rsid w:val="00384101"/>
    <w:rsid w:val="003842E0"/>
    <w:rsid w:val="0038464F"/>
    <w:rsid w:val="003846CD"/>
    <w:rsid w:val="00384807"/>
    <w:rsid w:val="003848E8"/>
    <w:rsid w:val="00384A2B"/>
    <w:rsid w:val="00384EA2"/>
    <w:rsid w:val="0038586B"/>
    <w:rsid w:val="00385BED"/>
    <w:rsid w:val="00385C0A"/>
    <w:rsid w:val="00385CF6"/>
    <w:rsid w:val="00385D82"/>
    <w:rsid w:val="00385E6F"/>
    <w:rsid w:val="00385FD8"/>
    <w:rsid w:val="00385FE2"/>
    <w:rsid w:val="00385FFB"/>
    <w:rsid w:val="0038600B"/>
    <w:rsid w:val="003862A8"/>
    <w:rsid w:val="003869C6"/>
    <w:rsid w:val="00386A09"/>
    <w:rsid w:val="00386A1A"/>
    <w:rsid w:val="00386BC5"/>
    <w:rsid w:val="00386C17"/>
    <w:rsid w:val="00386FC9"/>
    <w:rsid w:val="00387B10"/>
    <w:rsid w:val="0039030A"/>
    <w:rsid w:val="00390493"/>
    <w:rsid w:val="00390575"/>
    <w:rsid w:val="003908B8"/>
    <w:rsid w:val="00390984"/>
    <w:rsid w:val="00390DF9"/>
    <w:rsid w:val="00390FEA"/>
    <w:rsid w:val="00391232"/>
    <w:rsid w:val="003919E7"/>
    <w:rsid w:val="00391ABA"/>
    <w:rsid w:val="00391B3B"/>
    <w:rsid w:val="00391D38"/>
    <w:rsid w:val="0039211A"/>
    <w:rsid w:val="0039241B"/>
    <w:rsid w:val="00392B55"/>
    <w:rsid w:val="00392B5A"/>
    <w:rsid w:val="00392C84"/>
    <w:rsid w:val="00392C94"/>
    <w:rsid w:val="00392CDD"/>
    <w:rsid w:val="00393216"/>
    <w:rsid w:val="003933A8"/>
    <w:rsid w:val="00393567"/>
    <w:rsid w:val="0039356D"/>
    <w:rsid w:val="003937A8"/>
    <w:rsid w:val="00393B66"/>
    <w:rsid w:val="00394D69"/>
    <w:rsid w:val="00394E50"/>
    <w:rsid w:val="0039503A"/>
    <w:rsid w:val="00395135"/>
    <w:rsid w:val="003958D7"/>
    <w:rsid w:val="00395CE9"/>
    <w:rsid w:val="00395D64"/>
    <w:rsid w:val="00395EBD"/>
    <w:rsid w:val="003960D4"/>
    <w:rsid w:val="003963F2"/>
    <w:rsid w:val="0039680F"/>
    <w:rsid w:val="00396AC0"/>
    <w:rsid w:val="00396AEA"/>
    <w:rsid w:val="00396C09"/>
    <w:rsid w:val="00396C54"/>
    <w:rsid w:val="00396D31"/>
    <w:rsid w:val="00396FB0"/>
    <w:rsid w:val="00397005"/>
    <w:rsid w:val="00397379"/>
    <w:rsid w:val="0039753B"/>
    <w:rsid w:val="00397665"/>
    <w:rsid w:val="00397ADC"/>
    <w:rsid w:val="00397B76"/>
    <w:rsid w:val="00397CD7"/>
    <w:rsid w:val="00397CF1"/>
    <w:rsid w:val="003A027F"/>
    <w:rsid w:val="003A03D9"/>
    <w:rsid w:val="003A0415"/>
    <w:rsid w:val="003A0438"/>
    <w:rsid w:val="003A0471"/>
    <w:rsid w:val="003A0533"/>
    <w:rsid w:val="003A07D0"/>
    <w:rsid w:val="003A0B63"/>
    <w:rsid w:val="003A0E17"/>
    <w:rsid w:val="003A0F38"/>
    <w:rsid w:val="003A14FC"/>
    <w:rsid w:val="003A17E5"/>
    <w:rsid w:val="003A187F"/>
    <w:rsid w:val="003A1D91"/>
    <w:rsid w:val="003A1FA6"/>
    <w:rsid w:val="003A2331"/>
    <w:rsid w:val="003A23EF"/>
    <w:rsid w:val="003A26C3"/>
    <w:rsid w:val="003A2A86"/>
    <w:rsid w:val="003A2B97"/>
    <w:rsid w:val="003A2CBC"/>
    <w:rsid w:val="003A339B"/>
    <w:rsid w:val="003A3B71"/>
    <w:rsid w:val="003A4581"/>
    <w:rsid w:val="003A4A96"/>
    <w:rsid w:val="003A4AF3"/>
    <w:rsid w:val="003A4C92"/>
    <w:rsid w:val="003A4EF6"/>
    <w:rsid w:val="003A511F"/>
    <w:rsid w:val="003A52D9"/>
    <w:rsid w:val="003A53FE"/>
    <w:rsid w:val="003A5522"/>
    <w:rsid w:val="003A5902"/>
    <w:rsid w:val="003A5ACB"/>
    <w:rsid w:val="003A5B1C"/>
    <w:rsid w:val="003A5B9E"/>
    <w:rsid w:val="003A5F5A"/>
    <w:rsid w:val="003A5FBA"/>
    <w:rsid w:val="003A5FF4"/>
    <w:rsid w:val="003A600C"/>
    <w:rsid w:val="003A61C2"/>
    <w:rsid w:val="003A61C5"/>
    <w:rsid w:val="003A652C"/>
    <w:rsid w:val="003A66C1"/>
    <w:rsid w:val="003A6860"/>
    <w:rsid w:val="003A6A40"/>
    <w:rsid w:val="003A6BAB"/>
    <w:rsid w:val="003A71E6"/>
    <w:rsid w:val="003A746E"/>
    <w:rsid w:val="003A74A3"/>
    <w:rsid w:val="003A7CCC"/>
    <w:rsid w:val="003A7CF9"/>
    <w:rsid w:val="003B00C2"/>
    <w:rsid w:val="003B0174"/>
    <w:rsid w:val="003B03E1"/>
    <w:rsid w:val="003B07B3"/>
    <w:rsid w:val="003B0918"/>
    <w:rsid w:val="003B0A22"/>
    <w:rsid w:val="003B0AEC"/>
    <w:rsid w:val="003B0DD1"/>
    <w:rsid w:val="003B0ED6"/>
    <w:rsid w:val="003B12EF"/>
    <w:rsid w:val="003B14E3"/>
    <w:rsid w:val="003B1698"/>
    <w:rsid w:val="003B1861"/>
    <w:rsid w:val="003B1BBD"/>
    <w:rsid w:val="003B1C2D"/>
    <w:rsid w:val="003B1C34"/>
    <w:rsid w:val="003B2164"/>
    <w:rsid w:val="003B2274"/>
    <w:rsid w:val="003B25E5"/>
    <w:rsid w:val="003B2816"/>
    <w:rsid w:val="003B2901"/>
    <w:rsid w:val="003B2B28"/>
    <w:rsid w:val="003B2C77"/>
    <w:rsid w:val="003B3220"/>
    <w:rsid w:val="003B328D"/>
    <w:rsid w:val="003B39BE"/>
    <w:rsid w:val="003B3A8D"/>
    <w:rsid w:val="003B3E95"/>
    <w:rsid w:val="003B4422"/>
    <w:rsid w:val="003B45AE"/>
    <w:rsid w:val="003B47B1"/>
    <w:rsid w:val="003B48D5"/>
    <w:rsid w:val="003B4A5D"/>
    <w:rsid w:val="003B4A7A"/>
    <w:rsid w:val="003B4B20"/>
    <w:rsid w:val="003B4CDD"/>
    <w:rsid w:val="003B4F0D"/>
    <w:rsid w:val="003B5133"/>
    <w:rsid w:val="003B515D"/>
    <w:rsid w:val="003B59BE"/>
    <w:rsid w:val="003B5B99"/>
    <w:rsid w:val="003B5DC3"/>
    <w:rsid w:val="003B646E"/>
    <w:rsid w:val="003B6589"/>
    <w:rsid w:val="003B674C"/>
    <w:rsid w:val="003B6797"/>
    <w:rsid w:val="003B67F3"/>
    <w:rsid w:val="003B680A"/>
    <w:rsid w:val="003B6A06"/>
    <w:rsid w:val="003B6A60"/>
    <w:rsid w:val="003B6DC7"/>
    <w:rsid w:val="003B6E7F"/>
    <w:rsid w:val="003B6E95"/>
    <w:rsid w:val="003B70CF"/>
    <w:rsid w:val="003B7723"/>
    <w:rsid w:val="003B7847"/>
    <w:rsid w:val="003B7D72"/>
    <w:rsid w:val="003B7DC4"/>
    <w:rsid w:val="003B7E2D"/>
    <w:rsid w:val="003C0658"/>
    <w:rsid w:val="003C0EAD"/>
    <w:rsid w:val="003C0F27"/>
    <w:rsid w:val="003C135C"/>
    <w:rsid w:val="003C1375"/>
    <w:rsid w:val="003C14BD"/>
    <w:rsid w:val="003C14FD"/>
    <w:rsid w:val="003C16A6"/>
    <w:rsid w:val="003C1A48"/>
    <w:rsid w:val="003C1DBA"/>
    <w:rsid w:val="003C20E3"/>
    <w:rsid w:val="003C2147"/>
    <w:rsid w:val="003C23C0"/>
    <w:rsid w:val="003C2520"/>
    <w:rsid w:val="003C254C"/>
    <w:rsid w:val="003C28F8"/>
    <w:rsid w:val="003C294E"/>
    <w:rsid w:val="003C2ED4"/>
    <w:rsid w:val="003C2FAE"/>
    <w:rsid w:val="003C30C4"/>
    <w:rsid w:val="003C3333"/>
    <w:rsid w:val="003C353F"/>
    <w:rsid w:val="003C3D19"/>
    <w:rsid w:val="003C3E6F"/>
    <w:rsid w:val="003C3F4D"/>
    <w:rsid w:val="003C416A"/>
    <w:rsid w:val="003C4E3A"/>
    <w:rsid w:val="003C50E3"/>
    <w:rsid w:val="003C5135"/>
    <w:rsid w:val="003C5DA5"/>
    <w:rsid w:val="003C5ED6"/>
    <w:rsid w:val="003C638B"/>
    <w:rsid w:val="003C6549"/>
    <w:rsid w:val="003C665F"/>
    <w:rsid w:val="003C676E"/>
    <w:rsid w:val="003C6DB8"/>
    <w:rsid w:val="003C6F30"/>
    <w:rsid w:val="003C73A6"/>
    <w:rsid w:val="003C75F7"/>
    <w:rsid w:val="003C7779"/>
    <w:rsid w:val="003C7785"/>
    <w:rsid w:val="003C77B4"/>
    <w:rsid w:val="003C790E"/>
    <w:rsid w:val="003C7A26"/>
    <w:rsid w:val="003C7BA2"/>
    <w:rsid w:val="003C7C11"/>
    <w:rsid w:val="003D037A"/>
    <w:rsid w:val="003D03E0"/>
    <w:rsid w:val="003D04E8"/>
    <w:rsid w:val="003D0699"/>
    <w:rsid w:val="003D08B0"/>
    <w:rsid w:val="003D09E1"/>
    <w:rsid w:val="003D0B03"/>
    <w:rsid w:val="003D0BEC"/>
    <w:rsid w:val="003D0F0B"/>
    <w:rsid w:val="003D11A9"/>
    <w:rsid w:val="003D12E0"/>
    <w:rsid w:val="003D12ED"/>
    <w:rsid w:val="003D1F22"/>
    <w:rsid w:val="003D2835"/>
    <w:rsid w:val="003D28F1"/>
    <w:rsid w:val="003D2DA7"/>
    <w:rsid w:val="003D2F5C"/>
    <w:rsid w:val="003D344E"/>
    <w:rsid w:val="003D386B"/>
    <w:rsid w:val="003D3A51"/>
    <w:rsid w:val="003D3DCF"/>
    <w:rsid w:val="003D4411"/>
    <w:rsid w:val="003D4548"/>
    <w:rsid w:val="003D4B83"/>
    <w:rsid w:val="003D4F51"/>
    <w:rsid w:val="003D51D2"/>
    <w:rsid w:val="003D5238"/>
    <w:rsid w:val="003D52F8"/>
    <w:rsid w:val="003D5492"/>
    <w:rsid w:val="003D5782"/>
    <w:rsid w:val="003D59F4"/>
    <w:rsid w:val="003D5D7C"/>
    <w:rsid w:val="003D5E7B"/>
    <w:rsid w:val="003D5F4B"/>
    <w:rsid w:val="003D6246"/>
    <w:rsid w:val="003D686F"/>
    <w:rsid w:val="003D697B"/>
    <w:rsid w:val="003D698F"/>
    <w:rsid w:val="003D6A64"/>
    <w:rsid w:val="003D6C5E"/>
    <w:rsid w:val="003D708D"/>
    <w:rsid w:val="003D759B"/>
    <w:rsid w:val="003D78A5"/>
    <w:rsid w:val="003D7F6E"/>
    <w:rsid w:val="003E0025"/>
    <w:rsid w:val="003E006C"/>
    <w:rsid w:val="003E0337"/>
    <w:rsid w:val="003E033D"/>
    <w:rsid w:val="003E03BB"/>
    <w:rsid w:val="003E0583"/>
    <w:rsid w:val="003E068B"/>
    <w:rsid w:val="003E07DF"/>
    <w:rsid w:val="003E0A52"/>
    <w:rsid w:val="003E0BCE"/>
    <w:rsid w:val="003E0D11"/>
    <w:rsid w:val="003E0F89"/>
    <w:rsid w:val="003E105C"/>
    <w:rsid w:val="003E11E0"/>
    <w:rsid w:val="003E15F4"/>
    <w:rsid w:val="003E16C4"/>
    <w:rsid w:val="003E16FC"/>
    <w:rsid w:val="003E1EBB"/>
    <w:rsid w:val="003E205A"/>
    <w:rsid w:val="003E20DC"/>
    <w:rsid w:val="003E2CB5"/>
    <w:rsid w:val="003E341E"/>
    <w:rsid w:val="003E3AEB"/>
    <w:rsid w:val="003E3D6A"/>
    <w:rsid w:val="003E3E72"/>
    <w:rsid w:val="003E416F"/>
    <w:rsid w:val="003E4220"/>
    <w:rsid w:val="003E42C4"/>
    <w:rsid w:val="003E42E8"/>
    <w:rsid w:val="003E44D4"/>
    <w:rsid w:val="003E4AAF"/>
    <w:rsid w:val="003E4D6D"/>
    <w:rsid w:val="003E4F7E"/>
    <w:rsid w:val="003E51C3"/>
    <w:rsid w:val="003E56F1"/>
    <w:rsid w:val="003E5739"/>
    <w:rsid w:val="003E5985"/>
    <w:rsid w:val="003E5CD0"/>
    <w:rsid w:val="003E5E84"/>
    <w:rsid w:val="003E5ED6"/>
    <w:rsid w:val="003E6044"/>
    <w:rsid w:val="003E6120"/>
    <w:rsid w:val="003E66BC"/>
    <w:rsid w:val="003E6DE7"/>
    <w:rsid w:val="003E6FCE"/>
    <w:rsid w:val="003E7143"/>
    <w:rsid w:val="003E7500"/>
    <w:rsid w:val="003E7569"/>
    <w:rsid w:val="003E7693"/>
    <w:rsid w:val="003E771A"/>
    <w:rsid w:val="003E77BC"/>
    <w:rsid w:val="003E7819"/>
    <w:rsid w:val="003E7A02"/>
    <w:rsid w:val="003E7C51"/>
    <w:rsid w:val="003E7DC1"/>
    <w:rsid w:val="003E7E1D"/>
    <w:rsid w:val="003E7FDA"/>
    <w:rsid w:val="003F06E0"/>
    <w:rsid w:val="003F0722"/>
    <w:rsid w:val="003F078D"/>
    <w:rsid w:val="003F0957"/>
    <w:rsid w:val="003F0B64"/>
    <w:rsid w:val="003F0B80"/>
    <w:rsid w:val="003F111D"/>
    <w:rsid w:val="003F12BD"/>
    <w:rsid w:val="003F1341"/>
    <w:rsid w:val="003F1352"/>
    <w:rsid w:val="003F1CB2"/>
    <w:rsid w:val="003F1E5E"/>
    <w:rsid w:val="003F1F70"/>
    <w:rsid w:val="003F20FD"/>
    <w:rsid w:val="003F2787"/>
    <w:rsid w:val="003F2FB9"/>
    <w:rsid w:val="003F3257"/>
    <w:rsid w:val="003F32F0"/>
    <w:rsid w:val="003F34B5"/>
    <w:rsid w:val="003F34B7"/>
    <w:rsid w:val="003F365C"/>
    <w:rsid w:val="003F36DA"/>
    <w:rsid w:val="003F38DE"/>
    <w:rsid w:val="003F4ABF"/>
    <w:rsid w:val="003F4C32"/>
    <w:rsid w:val="003F4C65"/>
    <w:rsid w:val="003F4F01"/>
    <w:rsid w:val="003F4FD5"/>
    <w:rsid w:val="003F514D"/>
    <w:rsid w:val="003F5839"/>
    <w:rsid w:val="003F5A06"/>
    <w:rsid w:val="003F6175"/>
    <w:rsid w:val="003F66E5"/>
    <w:rsid w:val="003F66EB"/>
    <w:rsid w:val="003F6AD0"/>
    <w:rsid w:val="003F6B2B"/>
    <w:rsid w:val="003F6CAC"/>
    <w:rsid w:val="003F702F"/>
    <w:rsid w:val="003F717C"/>
    <w:rsid w:val="003F7347"/>
    <w:rsid w:val="003F7417"/>
    <w:rsid w:val="003F76B8"/>
    <w:rsid w:val="003F7D04"/>
    <w:rsid w:val="003F7F61"/>
    <w:rsid w:val="0040000D"/>
    <w:rsid w:val="004000A1"/>
    <w:rsid w:val="004001FF"/>
    <w:rsid w:val="004002D0"/>
    <w:rsid w:val="00400482"/>
    <w:rsid w:val="0040066B"/>
    <w:rsid w:val="004007A7"/>
    <w:rsid w:val="0040097D"/>
    <w:rsid w:val="00400A7F"/>
    <w:rsid w:val="00400DA4"/>
    <w:rsid w:val="00400EF8"/>
    <w:rsid w:val="0040107A"/>
    <w:rsid w:val="004012B4"/>
    <w:rsid w:val="004014FF"/>
    <w:rsid w:val="00401798"/>
    <w:rsid w:val="004017B9"/>
    <w:rsid w:val="004017C0"/>
    <w:rsid w:val="00401E2D"/>
    <w:rsid w:val="00401EA7"/>
    <w:rsid w:val="00402139"/>
    <w:rsid w:val="00402601"/>
    <w:rsid w:val="004026C5"/>
    <w:rsid w:val="004026D3"/>
    <w:rsid w:val="00402AC5"/>
    <w:rsid w:val="00402F9C"/>
    <w:rsid w:val="00403014"/>
    <w:rsid w:val="004036D0"/>
    <w:rsid w:val="00403D99"/>
    <w:rsid w:val="00404061"/>
    <w:rsid w:val="00404518"/>
    <w:rsid w:val="004045D2"/>
    <w:rsid w:val="00404845"/>
    <w:rsid w:val="004049DC"/>
    <w:rsid w:val="00404DFC"/>
    <w:rsid w:val="0040524C"/>
    <w:rsid w:val="00405258"/>
    <w:rsid w:val="0040563A"/>
    <w:rsid w:val="0040586E"/>
    <w:rsid w:val="00405B50"/>
    <w:rsid w:val="00406144"/>
    <w:rsid w:val="004064C9"/>
    <w:rsid w:val="004064FF"/>
    <w:rsid w:val="0040666D"/>
    <w:rsid w:val="00406786"/>
    <w:rsid w:val="004069E6"/>
    <w:rsid w:val="00406A98"/>
    <w:rsid w:val="00406B87"/>
    <w:rsid w:val="00406D3F"/>
    <w:rsid w:val="00407241"/>
    <w:rsid w:val="004078AB"/>
    <w:rsid w:val="00410263"/>
    <w:rsid w:val="0041038D"/>
    <w:rsid w:val="004103CB"/>
    <w:rsid w:val="004104FC"/>
    <w:rsid w:val="0041050B"/>
    <w:rsid w:val="00410B6B"/>
    <w:rsid w:val="00410FAC"/>
    <w:rsid w:val="0041107F"/>
    <w:rsid w:val="004111D3"/>
    <w:rsid w:val="004111F9"/>
    <w:rsid w:val="00411B3B"/>
    <w:rsid w:val="00411D7C"/>
    <w:rsid w:val="004122A9"/>
    <w:rsid w:val="00412476"/>
    <w:rsid w:val="00412B19"/>
    <w:rsid w:val="00413183"/>
    <w:rsid w:val="00413712"/>
    <w:rsid w:val="004137CB"/>
    <w:rsid w:val="004138D7"/>
    <w:rsid w:val="00413FEB"/>
    <w:rsid w:val="00414162"/>
    <w:rsid w:val="00414762"/>
    <w:rsid w:val="00414E7B"/>
    <w:rsid w:val="00414EF6"/>
    <w:rsid w:val="00414F4F"/>
    <w:rsid w:val="00415158"/>
    <w:rsid w:val="0041536F"/>
    <w:rsid w:val="00415634"/>
    <w:rsid w:val="00415E52"/>
    <w:rsid w:val="00415F9B"/>
    <w:rsid w:val="00415FF8"/>
    <w:rsid w:val="004164B9"/>
    <w:rsid w:val="004167FC"/>
    <w:rsid w:val="00416A65"/>
    <w:rsid w:val="00416DA2"/>
    <w:rsid w:val="0041713E"/>
    <w:rsid w:val="004172E9"/>
    <w:rsid w:val="004174CF"/>
    <w:rsid w:val="00417924"/>
    <w:rsid w:val="00417E5C"/>
    <w:rsid w:val="00417FC4"/>
    <w:rsid w:val="00420025"/>
    <w:rsid w:val="0042080C"/>
    <w:rsid w:val="0042086B"/>
    <w:rsid w:val="0042110A"/>
    <w:rsid w:val="0042127C"/>
    <w:rsid w:val="004212BF"/>
    <w:rsid w:val="00421486"/>
    <w:rsid w:val="00421756"/>
    <w:rsid w:val="004218EF"/>
    <w:rsid w:val="0042195B"/>
    <w:rsid w:val="00421B1E"/>
    <w:rsid w:val="00421F24"/>
    <w:rsid w:val="00422054"/>
    <w:rsid w:val="0042217D"/>
    <w:rsid w:val="004221DA"/>
    <w:rsid w:val="00422304"/>
    <w:rsid w:val="00422EED"/>
    <w:rsid w:val="00422FA7"/>
    <w:rsid w:val="0042302D"/>
    <w:rsid w:val="0042316A"/>
    <w:rsid w:val="00423230"/>
    <w:rsid w:val="0042382F"/>
    <w:rsid w:val="0042386C"/>
    <w:rsid w:val="00423B28"/>
    <w:rsid w:val="00423C94"/>
    <w:rsid w:val="00423DF5"/>
    <w:rsid w:val="00424007"/>
    <w:rsid w:val="00424156"/>
    <w:rsid w:val="00424215"/>
    <w:rsid w:val="004243CD"/>
    <w:rsid w:val="00424499"/>
    <w:rsid w:val="0042467C"/>
    <w:rsid w:val="00424834"/>
    <w:rsid w:val="004249F9"/>
    <w:rsid w:val="0042564B"/>
    <w:rsid w:val="004257E1"/>
    <w:rsid w:val="00425811"/>
    <w:rsid w:val="00425818"/>
    <w:rsid w:val="004258A8"/>
    <w:rsid w:val="004258D7"/>
    <w:rsid w:val="0042590C"/>
    <w:rsid w:val="00425A63"/>
    <w:rsid w:val="00425BBC"/>
    <w:rsid w:val="00425E07"/>
    <w:rsid w:val="00426200"/>
    <w:rsid w:val="00426469"/>
    <w:rsid w:val="0042664D"/>
    <w:rsid w:val="00426752"/>
    <w:rsid w:val="00426B0A"/>
    <w:rsid w:val="00426BD3"/>
    <w:rsid w:val="00426F41"/>
    <w:rsid w:val="0042712E"/>
    <w:rsid w:val="00427411"/>
    <w:rsid w:val="00427696"/>
    <w:rsid w:val="00427794"/>
    <w:rsid w:val="004277EE"/>
    <w:rsid w:val="00427EDA"/>
    <w:rsid w:val="00430348"/>
    <w:rsid w:val="004303C7"/>
    <w:rsid w:val="004307AD"/>
    <w:rsid w:val="0043092A"/>
    <w:rsid w:val="00430F78"/>
    <w:rsid w:val="004311A0"/>
    <w:rsid w:val="00431C28"/>
    <w:rsid w:val="00431D3B"/>
    <w:rsid w:val="00431E56"/>
    <w:rsid w:val="00432356"/>
    <w:rsid w:val="00432379"/>
    <w:rsid w:val="0043254A"/>
    <w:rsid w:val="00432984"/>
    <w:rsid w:val="004329AB"/>
    <w:rsid w:val="00432A08"/>
    <w:rsid w:val="004332F6"/>
    <w:rsid w:val="00433365"/>
    <w:rsid w:val="004334CE"/>
    <w:rsid w:val="0043382A"/>
    <w:rsid w:val="00433CE0"/>
    <w:rsid w:val="00433D8F"/>
    <w:rsid w:val="00433F60"/>
    <w:rsid w:val="00434102"/>
    <w:rsid w:val="0043434C"/>
    <w:rsid w:val="0043454A"/>
    <w:rsid w:val="00434A24"/>
    <w:rsid w:val="00434DB6"/>
    <w:rsid w:val="00435309"/>
    <w:rsid w:val="004358C4"/>
    <w:rsid w:val="00436205"/>
    <w:rsid w:val="00436349"/>
    <w:rsid w:val="004365E3"/>
    <w:rsid w:val="004374ED"/>
    <w:rsid w:val="004376B2"/>
    <w:rsid w:val="00437F7E"/>
    <w:rsid w:val="004407D5"/>
    <w:rsid w:val="00441BF2"/>
    <w:rsid w:val="00441ED1"/>
    <w:rsid w:val="004423F8"/>
    <w:rsid w:val="00442E12"/>
    <w:rsid w:val="00442F91"/>
    <w:rsid w:val="004432D2"/>
    <w:rsid w:val="00443480"/>
    <w:rsid w:val="00443655"/>
    <w:rsid w:val="0044386D"/>
    <w:rsid w:val="00443E58"/>
    <w:rsid w:val="004442E2"/>
    <w:rsid w:val="0044465C"/>
    <w:rsid w:val="004446D0"/>
    <w:rsid w:val="004448B3"/>
    <w:rsid w:val="004448CD"/>
    <w:rsid w:val="00444921"/>
    <w:rsid w:val="00444A34"/>
    <w:rsid w:val="00444F31"/>
    <w:rsid w:val="004453FD"/>
    <w:rsid w:val="00445895"/>
    <w:rsid w:val="00445AA5"/>
    <w:rsid w:val="00445D0B"/>
    <w:rsid w:val="00445D50"/>
    <w:rsid w:val="00445E4D"/>
    <w:rsid w:val="00445FB3"/>
    <w:rsid w:val="00446060"/>
    <w:rsid w:val="004461E9"/>
    <w:rsid w:val="0044643B"/>
    <w:rsid w:val="00446938"/>
    <w:rsid w:val="00446CCE"/>
    <w:rsid w:val="004470B1"/>
    <w:rsid w:val="004470D7"/>
    <w:rsid w:val="00447AE9"/>
    <w:rsid w:val="00447D2B"/>
    <w:rsid w:val="004500FC"/>
    <w:rsid w:val="00450791"/>
    <w:rsid w:val="00450A34"/>
    <w:rsid w:val="00450F11"/>
    <w:rsid w:val="004512A1"/>
    <w:rsid w:val="004513CB"/>
    <w:rsid w:val="00451601"/>
    <w:rsid w:val="0045180E"/>
    <w:rsid w:val="00451B7A"/>
    <w:rsid w:val="00451C14"/>
    <w:rsid w:val="00451D55"/>
    <w:rsid w:val="00452218"/>
    <w:rsid w:val="00452413"/>
    <w:rsid w:val="0045257F"/>
    <w:rsid w:val="00452A10"/>
    <w:rsid w:val="00452DF6"/>
    <w:rsid w:val="00452F82"/>
    <w:rsid w:val="00453007"/>
    <w:rsid w:val="004530CD"/>
    <w:rsid w:val="004536A0"/>
    <w:rsid w:val="0045374D"/>
    <w:rsid w:val="00453EDD"/>
    <w:rsid w:val="00453EFE"/>
    <w:rsid w:val="00454145"/>
    <w:rsid w:val="004541C4"/>
    <w:rsid w:val="0045444E"/>
    <w:rsid w:val="00454553"/>
    <w:rsid w:val="00454974"/>
    <w:rsid w:val="00454E4D"/>
    <w:rsid w:val="00454ECC"/>
    <w:rsid w:val="00454F56"/>
    <w:rsid w:val="00455189"/>
    <w:rsid w:val="0045530E"/>
    <w:rsid w:val="00455477"/>
    <w:rsid w:val="00455569"/>
    <w:rsid w:val="00455B50"/>
    <w:rsid w:val="00455DCE"/>
    <w:rsid w:val="00455E7A"/>
    <w:rsid w:val="00455F14"/>
    <w:rsid w:val="00456722"/>
    <w:rsid w:val="00456935"/>
    <w:rsid w:val="00456950"/>
    <w:rsid w:val="00456FA7"/>
    <w:rsid w:val="004576D0"/>
    <w:rsid w:val="0045790C"/>
    <w:rsid w:val="00457ECB"/>
    <w:rsid w:val="00460237"/>
    <w:rsid w:val="00460492"/>
    <w:rsid w:val="00460543"/>
    <w:rsid w:val="0046067F"/>
    <w:rsid w:val="004607AA"/>
    <w:rsid w:val="004608FB"/>
    <w:rsid w:val="004609D1"/>
    <w:rsid w:val="00460B56"/>
    <w:rsid w:val="00460CE1"/>
    <w:rsid w:val="00460E72"/>
    <w:rsid w:val="00460FC2"/>
    <w:rsid w:val="004610D8"/>
    <w:rsid w:val="004616A1"/>
    <w:rsid w:val="00461A02"/>
    <w:rsid w:val="00462476"/>
    <w:rsid w:val="004624E2"/>
    <w:rsid w:val="00462755"/>
    <w:rsid w:val="00462922"/>
    <w:rsid w:val="00463182"/>
    <w:rsid w:val="004633BA"/>
    <w:rsid w:val="00463843"/>
    <w:rsid w:val="00463A0F"/>
    <w:rsid w:val="00463B47"/>
    <w:rsid w:val="00463E6A"/>
    <w:rsid w:val="00463F06"/>
    <w:rsid w:val="0046437C"/>
    <w:rsid w:val="0046438A"/>
    <w:rsid w:val="004644EB"/>
    <w:rsid w:val="00464531"/>
    <w:rsid w:val="00464B4B"/>
    <w:rsid w:val="00464B8A"/>
    <w:rsid w:val="00464C76"/>
    <w:rsid w:val="00464E2B"/>
    <w:rsid w:val="00464F08"/>
    <w:rsid w:val="00465154"/>
    <w:rsid w:val="004653F2"/>
    <w:rsid w:val="0046547C"/>
    <w:rsid w:val="00465AC4"/>
    <w:rsid w:val="00465ADF"/>
    <w:rsid w:val="00465BAD"/>
    <w:rsid w:val="00465BE6"/>
    <w:rsid w:val="00465CD3"/>
    <w:rsid w:val="00465F7C"/>
    <w:rsid w:val="004660EF"/>
    <w:rsid w:val="00466281"/>
    <w:rsid w:val="004665C7"/>
    <w:rsid w:val="004667E2"/>
    <w:rsid w:val="00466B0F"/>
    <w:rsid w:val="00466C67"/>
    <w:rsid w:val="00466D6E"/>
    <w:rsid w:val="00466D70"/>
    <w:rsid w:val="00466F48"/>
    <w:rsid w:val="00467148"/>
    <w:rsid w:val="0046783F"/>
    <w:rsid w:val="00467B6B"/>
    <w:rsid w:val="00467E17"/>
    <w:rsid w:val="00467EAF"/>
    <w:rsid w:val="004702E7"/>
    <w:rsid w:val="004704CF"/>
    <w:rsid w:val="004706EB"/>
    <w:rsid w:val="00470811"/>
    <w:rsid w:val="00470EB5"/>
    <w:rsid w:val="004711B2"/>
    <w:rsid w:val="004713AB"/>
    <w:rsid w:val="004716E4"/>
    <w:rsid w:val="00471742"/>
    <w:rsid w:val="00471D0C"/>
    <w:rsid w:val="00471F27"/>
    <w:rsid w:val="00471F48"/>
    <w:rsid w:val="0047263B"/>
    <w:rsid w:val="0047279A"/>
    <w:rsid w:val="00472C25"/>
    <w:rsid w:val="00473043"/>
    <w:rsid w:val="00473070"/>
    <w:rsid w:val="00473071"/>
    <w:rsid w:val="0047336E"/>
    <w:rsid w:val="004735D5"/>
    <w:rsid w:val="004737B7"/>
    <w:rsid w:val="00473B72"/>
    <w:rsid w:val="00473C85"/>
    <w:rsid w:val="004740CB"/>
    <w:rsid w:val="004741DD"/>
    <w:rsid w:val="004742BB"/>
    <w:rsid w:val="00474A9E"/>
    <w:rsid w:val="00474C08"/>
    <w:rsid w:val="00474E06"/>
    <w:rsid w:val="00474F3B"/>
    <w:rsid w:val="00474F7B"/>
    <w:rsid w:val="0047568B"/>
    <w:rsid w:val="0047595C"/>
    <w:rsid w:val="004759D3"/>
    <w:rsid w:val="00475BA4"/>
    <w:rsid w:val="00475C23"/>
    <w:rsid w:val="00475CC6"/>
    <w:rsid w:val="00475E0D"/>
    <w:rsid w:val="00475EB2"/>
    <w:rsid w:val="0047607E"/>
    <w:rsid w:val="0047610F"/>
    <w:rsid w:val="004765CC"/>
    <w:rsid w:val="0047671B"/>
    <w:rsid w:val="00476CE7"/>
    <w:rsid w:val="00476E5C"/>
    <w:rsid w:val="00476FB5"/>
    <w:rsid w:val="00477238"/>
    <w:rsid w:val="00477411"/>
    <w:rsid w:val="0047758F"/>
    <w:rsid w:val="004776F8"/>
    <w:rsid w:val="00477A35"/>
    <w:rsid w:val="00477CDE"/>
    <w:rsid w:val="00477DB5"/>
    <w:rsid w:val="004808BF"/>
    <w:rsid w:val="00481247"/>
    <w:rsid w:val="00481265"/>
    <w:rsid w:val="004814B2"/>
    <w:rsid w:val="004814ED"/>
    <w:rsid w:val="0048150E"/>
    <w:rsid w:val="004815B4"/>
    <w:rsid w:val="0048167D"/>
    <w:rsid w:val="0048193C"/>
    <w:rsid w:val="00481BD0"/>
    <w:rsid w:val="00481C9A"/>
    <w:rsid w:val="00481FE7"/>
    <w:rsid w:val="0048221C"/>
    <w:rsid w:val="00482239"/>
    <w:rsid w:val="004825F3"/>
    <w:rsid w:val="0048286A"/>
    <w:rsid w:val="004828B1"/>
    <w:rsid w:val="004831CF"/>
    <w:rsid w:val="004831F7"/>
    <w:rsid w:val="004834C6"/>
    <w:rsid w:val="0048363E"/>
    <w:rsid w:val="00483A53"/>
    <w:rsid w:val="00483A9A"/>
    <w:rsid w:val="00483DB0"/>
    <w:rsid w:val="00484034"/>
    <w:rsid w:val="0048403E"/>
    <w:rsid w:val="0048489A"/>
    <w:rsid w:val="00484E3C"/>
    <w:rsid w:val="00484E5A"/>
    <w:rsid w:val="00484FD1"/>
    <w:rsid w:val="004851BC"/>
    <w:rsid w:val="00485273"/>
    <w:rsid w:val="00485535"/>
    <w:rsid w:val="00485605"/>
    <w:rsid w:val="0048564B"/>
    <w:rsid w:val="00485788"/>
    <w:rsid w:val="004857A2"/>
    <w:rsid w:val="004857C8"/>
    <w:rsid w:val="00485A0A"/>
    <w:rsid w:val="00485CEE"/>
    <w:rsid w:val="00485E28"/>
    <w:rsid w:val="004866EA"/>
    <w:rsid w:val="0048677C"/>
    <w:rsid w:val="00486CED"/>
    <w:rsid w:val="00487259"/>
    <w:rsid w:val="004872A5"/>
    <w:rsid w:val="0048741B"/>
    <w:rsid w:val="004875A8"/>
    <w:rsid w:val="0048760A"/>
    <w:rsid w:val="00487626"/>
    <w:rsid w:val="004876CE"/>
    <w:rsid w:val="004876EC"/>
    <w:rsid w:val="00487F6D"/>
    <w:rsid w:val="004905CE"/>
    <w:rsid w:val="00490659"/>
    <w:rsid w:val="00490961"/>
    <w:rsid w:val="00490BB0"/>
    <w:rsid w:val="00491155"/>
    <w:rsid w:val="00491215"/>
    <w:rsid w:val="0049121D"/>
    <w:rsid w:val="00491599"/>
    <w:rsid w:val="004919AA"/>
    <w:rsid w:val="004927A8"/>
    <w:rsid w:val="004929A6"/>
    <w:rsid w:val="004929BD"/>
    <w:rsid w:val="00492D94"/>
    <w:rsid w:val="00493588"/>
    <w:rsid w:val="00493707"/>
    <w:rsid w:val="004939B6"/>
    <w:rsid w:val="00493C16"/>
    <w:rsid w:val="0049408C"/>
    <w:rsid w:val="0049455C"/>
    <w:rsid w:val="00494788"/>
    <w:rsid w:val="00494BC7"/>
    <w:rsid w:val="00494E3A"/>
    <w:rsid w:val="00494F90"/>
    <w:rsid w:val="004957D9"/>
    <w:rsid w:val="0049580B"/>
    <w:rsid w:val="00495B93"/>
    <w:rsid w:val="00495C16"/>
    <w:rsid w:val="00495F2D"/>
    <w:rsid w:val="004964B5"/>
    <w:rsid w:val="004964F4"/>
    <w:rsid w:val="004967A0"/>
    <w:rsid w:val="00496BF9"/>
    <w:rsid w:val="00496CB3"/>
    <w:rsid w:val="004970FC"/>
    <w:rsid w:val="004972B7"/>
    <w:rsid w:val="00497523"/>
    <w:rsid w:val="0049778F"/>
    <w:rsid w:val="004978BE"/>
    <w:rsid w:val="004978DD"/>
    <w:rsid w:val="004979D2"/>
    <w:rsid w:val="00497B99"/>
    <w:rsid w:val="00497CCD"/>
    <w:rsid w:val="00497D81"/>
    <w:rsid w:val="004A0129"/>
    <w:rsid w:val="004A0166"/>
    <w:rsid w:val="004A01DE"/>
    <w:rsid w:val="004A025D"/>
    <w:rsid w:val="004A068D"/>
    <w:rsid w:val="004A0937"/>
    <w:rsid w:val="004A0D9B"/>
    <w:rsid w:val="004A0E75"/>
    <w:rsid w:val="004A0F65"/>
    <w:rsid w:val="004A11A2"/>
    <w:rsid w:val="004A157E"/>
    <w:rsid w:val="004A1BEA"/>
    <w:rsid w:val="004A1FF2"/>
    <w:rsid w:val="004A20D1"/>
    <w:rsid w:val="004A21C2"/>
    <w:rsid w:val="004A2207"/>
    <w:rsid w:val="004A29F9"/>
    <w:rsid w:val="004A2CA7"/>
    <w:rsid w:val="004A2F5A"/>
    <w:rsid w:val="004A2F7D"/>
    <w:rsid w:val="004A2FC6"/>
    <w:rsid w:val="004A352E"/>
    <w:rsid w:val="004A42CA"/>
    <w:rsid w:val="004A4731"/>
    <w:rsid w:val="004A4AEF"/>
    <w:rsid w:val="004A4D8C"/>
    <w:rsid w:val="004A4F4B"/>
    <w:rsid w:val="004A518A"/>
    <w:rsid w:val="004A649E"/>
    <w:rsid w:val="004A6A0E"/>
    <w:rsid w:val="004A6C08"/>
    <w:rsid w:val="004A6C93"/>
    <w:rsid w:val="004A6F86"/>
    <w:rsid w:val="004A700F"/>
    <w:rsid w:val="004A713C"/>
    <w:rsid w:val="004A7167"/>
    <w:rsid w:val="004A7554"/>
    <w:rsid w:val="004A7602"/>
    <w:rsid w:val="004A77A9"/>
    <w:rsid w:val="004A7AB9"/>
    <w:rsid w:val="004A7DFF"/>
    <w:rsid w:val="004B0075"/>
    <w:rsid w:val="004B00C0"/>
    <w:rsid w:val="004B03FB"/>
    <w:rsid w:val="004B0866"/>
    <w:rsid w:val="004B0B66"/>
    <w:rsid w:val="004B14B0"/>
    <w:rsid w:val="004B15F3"/>
    <w:rsid w:val="004B18B5"/>
    <w:rsid w:val="004B18C2"/>
    <w:rsid w:val="004B1F75"/>
    <w:rsid w:val="004B2194"/>
    <w:rsid w:val="004B21C7"/>
    <w:rsid w:val="004B22C0"/>
    <w:rsid w:val="004B22CE"/>
    <w:rsid w:val="004B2379"/>
    <w:rsid w:val="004B23A8"/>
    <w:rsid w:val="004B243D"/>
    <w:rsid w:val="004B2642"/>
    <w:rsid w:val="004B2AAA"/>
    <w:rsid w:val="004B2D10"/>
    <w:rsid w:val="004B2D49"/>
    <w:rsid w:val="004B2E03"/>
    <w:rsid w:val="004B362B"/>
    <w:rsid w:val="004B3931"/>
    <w:rsid w:val="004B3994"/>
    <w:rsid w:val="004B3FA5"/>
    <w:rsid w:val="004B43BF"/>
    <w:rsid w:val="004B43DF"/>
    <w:rsid w:val="004B4551"/>
    <w:rsid w:val="004B499C"/>
    <w:rsid w:val="004B4C2B"/>
    <w:rsid w:val="004B4C6D"/>
    <w:rsid w:val="004B56DF"/>
    <w:rsid w:val="004B58F3"/>
    <w:rsid w:val="004B5A00"/>
    <w:rsid w:val="004B5C55"/>
    <w:rsid w:val="004B612E"/>
    <w:rsid w:val="004B6130"/>
    <w:rsid w:val="004B6313"/>
    <w:rsid w:val="004B6A83"/>
    <w:rsid w:val="004B6F89"/>
    <w:rsid w:val="004B74BC"/>
    <w:rsid w:val="004B75E0"/>
    <w:rsid w:val="004B76CD"/>
    <w:rsid w:val="004B776E"/>
    <w:rsid w:val="004B79FE"/>
    <w:rsid w:val="004B7F62"/>
    <w:rsid w:val="004C0416"/>
    <w:rsid w:val="004C04D3"/>
    <w:rsid w:val="004C095F"/>
    <w:rsid w:val="004C099E"/>
    <w:rsid w:val="004C0AAC"/>
    <w:rsid w:val="004C0BC5"/>
    <w:rsid w:val="004C0E3E"/>
    <w:rsid w:val="004C12AE"/>
    <w:rsid w:val="004C1410"/>
    <w:rsid w:val="004C1494"/>
    <w:rsid w:val="004C17B3"/>
    <w:rsid w:val="004C1C8B"/>
    <w:rsid w:val="004C1E6C"/>
    <w:rsid w:val="004C1FE6"/>
    <w:rsid w:val="004C203B"/>
    <w:rsid w:val="004C22C1"/>
    <w:rsid w:val="004C257D"/>
    <w:rsid w:val="004C3033"/>
    <w:rsid w:val="004C30D8"/>
    <w:rsid w:val="004C30F8"/>
    <w:rsid w:val="004C356F"/>
    <w:rsid w:val="004C39DF"/>
    <w:rsid w:val="004C3C2D"/>
    <w:rsid w:val="004C3C8E"/>
    <w:rsid w:val="004C3D0C"/>
    <w:rsid w:val="004C3FE9"/>
    <w:rsid w:val="004C4442"/>
    <w:rsid w:val="004C497C"/>
    <w:rsid w:val="004C4BC1"/>
    <w:rsid w:val="004C4F28"/>
    <w:rsid w:val="004C52DC"/>
    <w:rsid w:val="004C56B8"/>
    <w:rsid w:val="004C5CA0"/>
    <w:rsid w:val="004C5FDC"/>
    <w:rsid w:val="004C61AE"/>
    <w:rsid w:val="004C6275"/>
    <w:rsid w:val="004C6347"/>
    <w:rsid w:val="004C63DF"/>
    <w:rsid w:val="004C68F7"/>
    <w:rsid w:val="004C6C42"/>
    <w:rsid w:val="004C6D17"/>
    <w:rsid w:val="004C6EBA"/>
    <w:rsid w:val="004C7638"/>
    <w:rsid w:val="004C7955"/>
    <w:rsid w:val="004D057C"/>
    <w:rsid w:val="004D0CC3"/>
    <w:rsid w:val="004D0FF4"/>
    <w:rsid w:val="004D1474"/>
    <w:rsid w:val="004D1589"/>
    <w:rsid w:val="004D1B6A"/>
    <w:rsid w:val="004D207B"/>
    <w:rsid w:val="004D20D3"/>
    <w:rsid w:val="004D23C2"/>
    <w:rsid w:val="004D2B1E"/>
    <w:rsid w:val="004D2D53"/>
    <w:rsid w:val="004D32AD"/>
    <w:rsid w:val="004D3A79"/>
    <w:rsid w:val="004D3E95"/>
    <w:rsid w:val="004D3ECD"/>
    <w:rsid w:val="004D43BF"/>
    <w:rsid w:val="004D4685"/>
    <w:rsid w:val="004D4A7D"/>
    <w:rsid w:val="004D51DF"/>
    <w:rsid w:val="004D52AE"/>
    <w:rsid w:val="004D52EC"/>
    <w:rsid w:val="004D5483"/>
    <w:rsid w:val="004D5569"/>
    <w:rsid w:val="004D568D"/>
    <w:rsid w:val="004D5821"/>
    <w:rsid w:val="004D5CC2"/>
    <w:rsid w:val="004D5E3F"/>
    <w:rsid w:val="004D5E43"/>
    <w:rsid w:val="004D5F02"/>
    <w:rsid w:val="004D6247"/>
    <w:rsid w:val="004D6353"/>
    <w:rsid w:val="004D638A"/>
    <w:rsid w:val="004D6682"/>
    <w:rsid w:val="004D6E3B"/>
    <w:rsid w:val="004D7005"/>
    <w:rsid w:val="004D7462"/>
    <w:rsid w:val="004D765B"/>
    <w:rsid w:val="004D7677"/>
    <w:rsid w:val="004D7809"/>
    <w:rsid w:val="004D7A46"/>
    <w:rsid w:val="004D7F5E"/>
    <w:rsid w:val="004E012E"/>
    <w:rsid w:val="004E02DE"/>
    <w:rsid w:val="004E04B6"/>
    <w:rsid w:val="004E04BB"/>
    <w:rsid w:val="004E0640"/>
    <w:rsid w:val="004E0772"/>
    <w:rsid w:val="004E08F1"/>
    <w:rsid w:val="004E0A1B"/>
    <w:rsid w:val="004E0EA3"/>
    <w:rsid w:val="004E143B"/>
    <w:rsid w:val="004E14CD"/>
    <w:rsid w:val="004E161A"/>
    <w:rsid w:val="004E1A76"/>
    <w:rsid w:val="004E1D7B"/>
    <w:rsid w:val="004E1D8B"/>
    <w:rsid w:val="004E1E71"/>
    <w:rsid w:val="004E1F4C"/>
    <w:rsid w:val="004E226D"/>
    <w:rsid w:val="004E2272"/>
    <w:rsid w:val="004E2329"/>
    <w:rsid w:val="004E245C"/>
    <w:rsid w:val="004E251E"/>
    <w:rsid w:val="004E25F8"/>
    <w:rsid w:val="004E26F1"/>
    <w:rsid w:val="004E2944"/>
    <w:rsid w:val="004E2E1F"/>
    <w:rsid w:val="004E3126"/>
    <w:rsid w:val="004E3479"/>
    <w:rsid w:val="004E3C6C"/>
    <w:rsid w:val="004E3EEB"/>
    <w:rsid w:val="004E4492"/>
    <w:rsid w:val="004E44E0"/>
    <w:rsid w:val="004E46EC"/>
    <w:rsid w:val="004E4890"/>
    <w:rsid w:val="004E4C7C"/>
    <w:rsid w:val="004E4CBB"/>
    <w:rsid w:val="004E4FA3"/>
    <w:rsid w:val="004E4FCA"/>
    <w:rsid w:val="004E5274"/>
    <w:rsid w:val="004E58BF"/>
    <w:rsid w:val="004E5979"/>
    <w:rsid w:val="004E59AA"/>
    <w:rsid w:val="004E5B43"/>
    <w:rsid w:val="004E5C56"/>
    <w:rsid w:val="004E5C67"/>
    <w:rsid w:val="004E633E"/>
    <w:rsid w:val="004E67EC"/>
    <w:rsid w:val="004E68FD"/>
    <w:rsid w:val="004E6978"/>
    <w:rsid w:val="004E69C6"/>
    <w:rsid w:val="004E6C4B"/>
    <w:rsid w:val="004E7442"/>
    <w:rsid w:val="004E77F4"/>
    <w:rsid w:val="004E7A9D"/>
    <w:rsid w:val="004F003C"/>
    <w:rsid w:val="004F0393"/>
    <w:rsid w:val="004F09ED"/>
    <w:rsid w:val="004F0D19"/>
    <w:rsid w:val="004F0EBB"/>
    <w:rsid w:val="004F10CA"/>
    <w:rsid w:val="004F1256"/>
    <w:rsid w:val="004F12FC"/>
    <w:rsid w:val="004F13E9"/>
    <w:rsid w:val="004F1411"/>
    <w:rsid w:val="004F1527"/>
    <w:rsid w:val="004F2272"/>
    <w:rsid w:val="004F2401"/>
    <w:rsid w:val="004F25E7"/>
    <w:rsid w:val="004F2681"/>
    <w:rsid w:val="004F289D"/>
    <w:rsid w:val="004F2906"/>
    <w:rsid w:val="004F3000"/>
    <w:rsid w:val="004F3061"/>
    <w:rsid w:val="004F396D"/>
    <w:rsid w:val="004F3A18"/>
    <w:rsid w:val="004F3ABF"/>
    <w:rsid w:val="004F3D72"/>
    <w:rsid w:val="004F3FB5"/>
    <w:rsid w:val="004F412B"/>
    <w:rsid w:val="004F4633"/>
    <w:rsid w:val="004F4638"/>
    <w:rsid w:val="004F47D2"/>
    <w:rsid w:val="004F49FE"/>
    <w:rsid w:val="004F4C2A"/>
    <w:rsid w:val="004F53BF"/>
    <w:rsid w:val="004F54B6"/>
    <w:rsid w:val="004F5FAB"/>
    <w:rsid w:val="004F5FFF"/>
    <w:rsid w:val="004F606A"/>
    <w:rsid w:val="004F649E"/>
    <w:rsid w:val="004F6B24"/>
    <w:rsid w:val="004F7094"/>
    <w:rsid w:val="004F7638"/>
    <w:rsid w:val="004F7700"/>
    <w:rsid w:val="004F77AB"/>
    <w:rsid w:val="005001E2"/>
    <w:rsid w:val="00500678"/>
    <w:rsid w:val="00500C21"/>
    <w:rsid w:val="00501762"/>
    <w:rsid w:val="0050193A"/>
    <w:rsid w:val="00501E8F"/>
    <w:rsid w:val="0050258A"/>
    <w:rsid w:val="005025BE"/>
    <w:rsid w:val="005029DF"/>
    <w:rsid w:val="00502A1E"/>
    <w:rsid w:val="0050309B"/>
    <w:rsid w:val="005039F7"/>
    <w:rsid w:val="005039F8"/>
    <w:rsid w:val="00503B90"/>
    <w:rsid w:val="00503CF4"/>
    <w:rsid w:val="005040A6"/>
    <w:rsid w:val="005043A8"/>
    <w:rsid w:val="00504841"/>
    <w:rsid w:val="00504887"/>
    <w:rsid w:val="0050492D"/>
    <w:rsid w:val="00504D34"/>
    <w:rsid w:val="00504D92"/>
    <w:rsid w:val="00504F9E"/>
    <w:rsid w:val="00505163"/>
    <w:rsid w:val="005053A0"/>
    <w:rsid w:val="005053DB"/>
    <w:rsid w:val="0050580C"/>
    <w:rsid w:val="005058F8"/>
    <w:rsid w:val="00505D1C"/>
    <w:rsid w:val="00505DBB"/>
    <w:rsid w:val="005060C9"/>
    <w:rsid w:val="00506293"/>
    <w:rsid w:val="005062C7"/>
    <w:rsid w:val="00506504"/>
    <w:rsid w:val="00506A9B"/>
    <w:rsid w:val="005072A1"/>
    <w:rsid w:val="005074E5"/>
    <w:rsid w:val="00507967"/>
    <w:rsid w:val="00507C3E"/>
    <w:rsid w:val="00510352"/>
    <w:rsid w:val="00510988"/>
    <w:rsid w:val="00510A3F"/>
    <w:rsid w:val="00510EB1"/>
    <w:rsid w:val="00510F20"/>
    <w:rsid w:val="00510FB0"/>
    <w:rsid w:val="0051102F"/>
    <w:rsid w:val="00511071"/>
    <w:rsid w:val="005112F3"/>
    <w:rsid w:val="00511DB1"/>
    <w:rsid w:val="005126BA"/>
    <w:rsid w:val="00512899"/>
    <w:rsid w:val="005128DA"/>
    <w:rsid w:val="00512917"/>
    <w:rsid w:val="00512B57"/>
    <w:rsid w:val="00512F40"/>
    <w:rsid w:val="00513061"/>
    <w:rsid w:val="005132FB"/>
    <w:rsid w:val="0051345C"/>
    <w:rsid w:val="005134F9"/>
    <w:rsid w:val="00513C2E"/>
    <w:rsid w:val="005140D8"/>
    <w:rsid w:val="0051419C"/>
    <w:rsid w:val="00514880"/>
    <w:rsid w:val="00515AA8"/>
    <w:rsid w:val="00515EB8"/>
    <w:rsid w:val="00515F98"/>
    <w:rsid w:val="00516127"/>
    <w:rsid w:val="0051639D"/>
    <w:rsid w:val="00516621"/>
    <w:rsid w:val="005167F3"/>
    <w:rsid w:val="00516962"/>
    <w:rsid w:val="00516CA7"/>
    <w:rsid w:val="005175E2"/>
    <w:rsid w:val="00517DE4"/>
    <w:rsid w:val="0052016B"/>
    <w:rsid w:val="0052092D"/>
    <w:rsid w:val="00520C21"/>
    <w:rsid w:val="00520D35"/>
    <w:rsid w:val="00520D6F"/>
    <w:rsid w:val="00520E4C"/>
    <w:rsid w:val="00521005"/>
    <w:rsid w:val="00521231"/>
    <w:rsid w:val="005213C0"/>
    <w:rsid w:val="005216E1"/>
    <w:rsid w:val="00521706"/>
    <w:rsid w:val="00521897"/>
    <w:rsid w:val="00521BF5"/>
    <w:rsid w:val="00521E81"/>
    <w:rsid w:val="00521FA1"/>
    <w:rsid w:val="005224D3"/>
    <w:rsid w:val="005225EE"/>
    <w:rsid w:val="00522A4D"/>
    <w:rsid w:val="00522E15"/>
    <w:rsid w:val="00522E26"/>
    <w:rsid w:val="00523122"/>
    <w:rsid w:val="00523250"/>
    <w:rsid w:val="005232BF"/>
    <w:rsid w:val="00523320"/>
    <w:rsid w:val="00523691"/>
    <w:rsid w:val="005238B5"/>
    <w:rsid w:val="00523A8B"/>
    <w:rsid w:val="00523E22"/>
    <w:rsid w:val="00523F14"/>
    <w:rsid w:val="00524324"/>
    <w:rsid w:val="005243EE"/>
    <w:rsid w:val="0052449A"/>
    <w:rsid w:val="0052454C"/>
    <w:rsid w:val="00524A80"/>
    <w:rsid w:val="00524AAD"/>
    <w:rsid w:val="00524D09"/>
    <w:rsid w:val="00524DC7"/>
    <w:rsid w:val="00524E32"/>
    <w:rsid w:val="00524F29"/>
    <w:rsid w:val="005256AA"/>
    <w:rsid w:val="0052575A"/>
    <w:rsid w:val="0052586C"/>
    <w:rsid w:val="00525ACE"/>
    <w:rsid w:val="00525D43"/>
    <w:rsid w:val="00526183"/>
    <w:rsid w:val="00526194"/>
    <w:rsid w:val="005264BF"/>
    <w:rsid w:val="00526AC9"/>
    <w:rsid w:val="00526B3A"/>
    <w:rsid w:val="00526BBF"/>
    <w:rsid w:val="00526BFA"/>
    <w:rsid w:val="005271A4"/>
    <w:rsid w:val="005273FB"/>
    <w:rsid w:val="00527660"/>
    <w:rsid w:val="005276A9"/>
    <w:rsid w:val="00527BFA"/>
    <w:rsid w:val="00527C77"/>
    <w:rsid w:val="00527E25"/>
    <w:rsid w:val="00527EA5"/>
    <w:rsid w:val="00527F5D"/>
    <w:rsid w:val="0053003D"/>
    <w:rsid w:val="005301AD"/>
    <w:rsid w:val="005303A1"/>
    <w:rsid w:val="005309CF"/>
    <w:rsid w:val="00530C31"/>
    <w:rsid w:val="00530CB6"/>
    <w:rsid w:val="00530CC2"/>
    <w:rsid w:val="00530D2C"/>
    <w:rsid w:val="00530DFE"/>
    <w:rsid w:val="005311CC"/>
    <w:rsid w:val="005311D3"/>
    <w:rsid w:val="00531294"/>
    <w:rsid w:val="005312EB"/>
    <w:rsid w:val="005315A2"/>
    <w:rsid w:val="005317CD"/>
    <w:rsid w:val="0053190D"/>
    <w:rsid w:val="005321B7"/>
    <w:rsid w:val="005325D1"/>
    <w:rsid w:val="00532772"/>
    <w:rsid w:val="0053287D"/>
    <w:rsid w:val="00532A8C"/>
    <w:rsid w:val="00532B71"/>
    <w:rsid w:val="00532ECE"/>
    <w:rsid w:val="00533339"/>
    <w:rsid w:val="00533986"/>
    <w:rsid w:val="00533ABD"/>
    <w:rsid w:val="00533C62"/>
    <w:rsid w:val="00533D59"/>
    <w:rsid w:val="00534342"/>
    <w:rsid w:val="0053452B"/>
    <w:rsid w:val="005346DA"/>
    <w:rsid w:val="005347F0"/>
    <w:rsid w:val="00534E0A"/>
    <w:rsid w:val="00534E79"/>
    <w:rsid w:val="00535015"/>
    <w:rsid w:val="0053505E"/>
    <w:rsid w:val="005353AA"/>
    <w:rsid w:val="00535542"/>
    <w:rsid w:val="00535678"/>
    <w:rsid w:val="00535E5B"/>
    <w:rsid w:val="00535F5B"/>
    <w:rsid w:val="00535F87"/>
    <w:rsid w:val="00535FDF"/>
    <w:rsid w:val="0053636A"/>
    <w:rsid w:val="00536EAC"/>
    <w:rsid w:val="00537179"/>
    <w:rsid w:val="005371D8"/>
    <w:rsid w:val="005379A7"/>
    <w:rsid w:val="00540808"/>
    <w:rsid w:val="00540870"/>
    <w:rsid w:val="005408B5"/>
    <w:rsid w:val="00540935"/>
    <w:rsid w:val="00540961"/>
    <w:rsid w:val="00540B1F"/>
    <w:rsid w:val="00540BFD"/>
    <w:rsid w:val="00540F31"/>
    <w:rsid w:val="00540F39"/>
    <w:rsid w:val="0054121C"/>
    <w:rsid w:val="00541235"/>
    <w:rsid w:val="0054125C"/>
    <w:rsid w:val="00541590"/>
    <w:rsid w:val="005417D0"/>
    <w:rsid w:val="00541E12"/>
    <w:rsid w:val="00541EBA"/>
    <w:rsid w:val="0054218E"/>
    <w:rsid w:val="00542276"/>
    <w:rsid w:val="00542409"/>
    <w:rsid w:val="005429D1"/>
    <w:rsid w:val="0054305F"/>
    <w:rsid w:val="00543976"/>
    <w:rsid w:val="005439B7"/>
    <w:rsid w:val="00543B3F"/>
    <w:rsid w:val="00543B97"/>
    <w:rsid w:val="0054403B"/>
    <w:rsid w:val="0054412D"/>
    <w:rsid w:val="00544268"/>
    <w:rsid w:val="005442DF"/>
    <w:rsid w:val="0054434A"/>
    <w:rsid w:val="0054437E"/>
    <w:rsid w:val="005443C3"/>
    <w:rsid w:val="0054443C"/>
    <w:rsid w:val="005448C9"/>
    <w:rsid w:val="00544DC0"/>
    <w:rsid w:val="00545085"/>
    <w:rsid w:val="005454C8"/>
    <w:rsid w:val="00545626"/>
    <w:rsid w:val="0054633C"/>
    <w:rsid w:val="00546345"/>
    <w:rsid w:val="0054636E"/>
    <w:rsid w:val="00546700"/>
    <w:rsid w:val="00546A40"/>
    <w:rsid w:val="00546A86"/>
    <w:rsid w:val="00546CA1"/>
    <w:rsid w:val="00546EA7"/>
    <w:rsid w:val="0054771B"/>
    <w:rsid w:val="0054786F"/>
    <w:rsid w:val="00547BD9"/>
    <w:rsid w:val="00547D49"/>
    <w:rsid w:val="00550213"/>
    <w:rsid w:val="00550DB8"/>
    <w:rsid w:val="00551291"/>
    <w:rsid w:val="005513F9"/>
    <w:rsid w:val="00551563"/>
    <w:rsid w:val="00551739"/>
    <w:rsid w:val="00551800"/>
    <w:rsid w:val="00551892"/>
    <w:rsid w:val="0055200A"/>
    <w:rsid w:val="005523A5"/>
    <w:rsid w:val="00552BAD"/>
    <w:rsid w:val="00552E0E"/>
    <w:rsid w:val="00553508"/>
    <w:rsid w:val="0055359B"/>
    <w:rsid w:val="0055391C"/>
    <w:rsid w:val="00553B58"/>
    <w:rsid w:val="00554205"/>
    <w:rsid w:val="005543D5"/>
    <w:rsid w:val="005547B1"/>
    <w:rsid w:val="00554810"/>
    <w:rsid w:val="00554F38"/>
    <w:rsid w:val="00555153"/>
    <w:rsid w:val="005551B0"/>
    <w:rsid w:val="00555628"/>
    <w:rsid w:val="005558CC"/>
    <w:rsid w:val="00555D19"/>
    <w:rsid w:val="00555EB2"/>
    <w:rsid w:val="00556395"/>
    <w:rsid w:val="00556A44"/>
    <w:rsid w:val="00556E1D"/>
    <w:rsid w:val="00556E89"/>
    <w:rsid w:val="005572E6"/>
    <w:rsid w:val="0055747D"/>
    <w:rsid w:val="005576BE"/>
    <w:rsid w:val="00557706"/>
    <w:rsid w:val="00557BA4"/>
    <w:rsid w:val="00557D2B"/>
    <w:rsid w:val="00560197"/>
    <w:rsid w:val="00560618"/>
    <w:rsid w:val="00560725"/>
    <w:rsid w:val="00560C55"/>
    <w:rsid w:val="00560D46"/>
    <w:rsid w:val="00560F64"/>
    <w:rsid w:val="00561232"/>
    <w:rsid w:val="0056189E"/>
    <w:rsid w:val="005619D9"/>
    <w:rsid w:val="00561BE5"/>
    <w:rsid w:val="00561CA7"/>
    <w:rsid w:val="00562019"/>
    <w:rsid w:val="005629C1"/>
    <w:rsid w:val="00562A31"/>
    <w:rsid w:val="00562B30"/>
    <w:rsid w:val="00562E01"/>
    <w:rsid w:val="00562F7B"/>
    <w:rsid w:val="0056301A"/>
    <w:rsid w:val="005634DB"/>
    <w:rsid w:val="00563642"/>
    <w:rsid w:val="00563756"/>
    <w:rsid w:val="0056473C"/>
    <w:rsid w:val="0056498C"/>
    <w:rsid w:val="005649BF"/>
    <w:rsid w:val="00564B8E"/>
    <w:rsid w:val="00564C82"/>
    <w:rsid w:val="005651DD"/>
    <w:rsid w:val="0056520D"/>
    <w:rsid w:val="0056530E"/>
    <w:rsid w:val="005653EB"/>
    <w:rsid w:val="00565BA8"/>
    <w:rsid w:val="00565BC1"/>
    <w:rsid w:val="00565CE3"/>
    <w:rsid w:val="00565DB1"/>
    <w:rsid w:val="005661DC"/>
    <w:rsid w:val="0056639C"/>
    <w:rsid w:val="00566565"/>
    <w:rsid w:val="00566D8D"/>
    <w:rsid w:val="00567033"/>
    <w:rsid w:val="005677C0"/>
    <w:rsid w:val="00567AAE"/>
    <w:rsid w:val="00567B09"/>
    <w:rsid w:val="00567B9D"/>
    <w:rsid w:val="00567C2C"/>
    <w:rsid w:val="00567ECF"/>
    <w:rsid w:val="00570183"/>
    <w:rsid w:val="0057028C"/>
    <w:rsid w:val="0057052F"/>
    <w:rsid w:val="00570A8E"/>
    <w:rsid w:val="00570CDF"/>
    <w:rsid w:val="00571233"/>
    <w:rsid w:val="00571393"/>
    <w:rsid w:val="00571A2B"/>
    <w:rsid w:val="00571C4B"/>
    <w:rsid w:val="00571F96"/>
    <w:rsid w:val="005721FD"/>
    <w:rsid w:val="00572249"/>
    <w:rsid w:val="0057304A"/>
    <w:rsid w:val="0057320B"/>
    <w:rsid w:val="00573557"/>
    <w:rsid w:val="0057378F"/>
    <w:rsid w:val="00573865"/>
    <w:rsid w:val="005738D3"/>
    <w:rsid w:val="00573A07"/>
    <w:rsid w:val="00573A99"/>
    <w:rsid w:val="00573C01"/>
    <w:rsid w:val="005745A6"/>
    <w:rsid w:val="00574CFA"/>
    <w:rsid w:val="00574D38"/>
    <w:rsid w:val="00574E62"/>
    <w:rsid w:val="00575226"/>
    <w:rsid w:val="00575423"/>
    <w:rsid w:val="005754C8"/>
    <w:rsid w:val="0057572C"/>
    <w:rsid w:val="00575917"/>
    <w:rsid w:val="0057591B"/>
    <w:rsid w:val="00575B46"/>
    <w:rsid w:val="00575EFE"/>
    <w:rsid w:val="0057627A"/>
    <w:rsid w:val="0057677F"/>
    <w:rsid w:val="005769AE"/>
    <w:rsid w:val="00576AD3"/>
    <w:rsid w:val="0057795B"/>
    <w:rsid w:val="005779FD"/>
    <w:rsid w:val="00577D42"/>
    <w:rsid w:val="00577E78"/>
    <w:rsid w:val="0058002C"/>
    <w:rsid w:val="0058020D"/>
    <w:rsid w:val="0058043D"/>
    <w:rsid w:val="005805CE"/>
    <w:rsid w:val="00580629"/>
    <w:rsid w:val="00580C90"/>
    <w:rsid w:val="00580DC9"/>
    <w:rsid w:val="00580FE6"/>
    <w:rsid w:val="00581375"/>
    <w:rsid w:val="005814A2"/>
    <w:rsid w:val="00581543"/>
    <w:rsid w:val="00581F24"/>
    <w:rsid w:val="005821A6"/>
    <w:rsid w:val="005821FC"/>
    <w:rsid w:val="0058251E"/>
    <w:rsid w:val="00582900"/>
    <w:rsid w:val="00582BE0"/>
    <w:rsid w:val="00582D89"/>
    <w:rsid w:val="00583089"/>
    <w:rsid w:val="005833BD"/>
    <w:rsid w:val="00583711"/>
    <w:rsid w:val="00583743"/>
    <w:rsid w:val="005838F5"/>
    <w:rsid w:val="00583977"/>
    <w:rsid w:val="00583A44"/>
    <w:rsid w:val="0058400A"/>
    <w:rsid w:val="00584AFB"/>
    <w:rsid w:val="0058509B"/>
    <w:rsid w:val="005854F6"/>
    <w:rsid w:val="00586028"/>
    <w:rsid w:val="00586581"/>
    <w:rsid w:val="00586722"/>
    <w:rsid w:val="00586A14"/>
    <w:rsid w:val="00586B99"/>
    <w:rsid w:val="00587004"/>
    <w:rsid w:val="0058722B"/>
    <w:rsid w:val="00587405"/>
    <w:rsid w:val="0058743C"/>
    <w:rsid w:val="00587AB5"/>
    <w:rsid w:val="00587BFF"/>
    <w:rsid w:val="00587C24"/>
    <w:rsid w:val="00587EFA"/>
    <w:rsid w:val="005901CB"/>
    <w:rsid w:val="005901D3"/>
    <w:rsid w:val="005905D0"/>
    <w:rsid w:val="0059098B"/>
    <w:rsid w:val="00590993"/>
    <w:rsid w:val="00590AF6"/>
    <w:rsid w:val="00590CA9"/>
    <w:rsid w:val="00590D7C"/>
    <w:rsid w:val="005910BD"/>
    <w:rsid w:val="005914FD"/>
    <w:rsid w:val="00591860"/>
    <w:rsid w:val="00591D4F"/>
    <w:rsid w:val="00591E10"/>
    <w:rsid w:val="00591E53"/>
    <w:rsid w:val="00591EC2"/>
    <w:rsid w:val="005920BE"/>
    <w:rsid w:val="00592382"/>
    <w:rsid w:val="005927BC"/>
    <w:rsid w:val="00592B34"/>
    <w:rsid w:val="00592B97"/>
    <w:rsid w:val="00592F7D"/>
    <w:rsid w:val="00592F83"/>
    <w:rsid w:val="0059338A"/>
    <w:rsid w:val="00593CFD"/>
    <w:rsid w:val="00594047"/>
    <w:rsid w:val="005944BB"/>
    <w:rsid w:val="00594589"/>
    <w:rsid w:val="0059459F"/>
    <w:rsid w:val="00594A98"/>
    <w:rsid w:val="00594C29"/>
    <w:rsid w:val="0059503E"/>
    <w:rsid w:val="00595366"/>
    <w:rsid w:val="00595622"/>
    <w:rsid w:val="00595A5F"/>
    <w:rsid w:val="00595C50"/>
    <w:rsid w:val="00595DAE"/>
    <w:rsid w:val="00595E3D"/>
    <w:rsid w:val="00596024"/>
    <w:rsid w:val="00596622"/>
    <w:rsid w:val="00596785"/>
    <w:rsid w:val="005967AD"/>
    <w:rsid w:val="0059680D"/>
    <w:rsid w:val="00596878"/>
    <w:rsid w:val="00596D9E"/>
    <w:rsid w:val="0059766C"/>
    <w:rsid w:val="00597882"/>
    <w:rsid w:val="00597C40"/>
    <w:rsid w:val="005A05A8"/>
    <w:rsid w:val="005A065E"/>
    <w:rsid w:val="005A07AF"/>
    <w:rsid w:val="005A0905"/>
    <w:rsid w:val="005A0917"/>
    <w:rsid w:val="005A0DB5"/>
    <w:rsid w:val="005A19B9"/>
    <w:rsid w:val="005A19EC"/>
    <w:rsid w:val="005A1BFA"/>
    <w:rsid w:val="005A2122"/>
    <w:rsid w:val="005A23F5"/>
    <w:rsid w:val="005A246C"/>
    <w:rsid w:val="005A25D7"/>
    <w:rsid w:val="005A27B7"/>
    <w:rsid w:val="005A285E"/>
    <w:rsid w:val="005A2A63"/>
    <w:rsid w:val="005A32B7"/>
    <w:rsid w:val="005A3599"/>
    <w:rsid w:val="005A373F"/>
    <w:rsid w:val="005A381C"/>
    <w:rsid w:val="005A3CB8"/>
    <w:rsid w:val="005A411D"/>
    <w:rsid w:val="005A422D"/>
    <w:rsid w:val="005A45BC"/>
    <w:rsid w:val="005A4605"/>
    <w:rsid w:val="005A4625"/>
    <w:rsid w:val="005A47DD"/>
    <w:rsid w:val="005A4D96"/>
    <w:rsid w:val="005A4DD5"/>
    <w:rsid w:val="005A4E18"/>
    <w:rsid w:val="005A5556"/>
    <w:rsid w:val="005A5585"/>
    <w:rsid w:val="005A57AC"/>
    <w:rsid w:val="005A59E1"/>
    <w:rsid w:val="005A5ACD"/>
    <w:rsid w:val="005A5AE9"/>
    <w:rsid w:val="005A5C8A"/>
    <w:rsid w:val="005A5DB9"/>
    <w:rsid w:val="005A6008"/>
    <w:rsid w:val="005A6251"/>
    <w:rsid w:val="005A6294"/>
    <w:rsid w:val="005A6ACB"/>
    <w:rsid w:val="005A6C2E"/>
    <w:rsid w:val="005A714C"/>
    <w:rsid w:val="005A735B"/>
    <w:rsid w:val="005A7A16"/>
    <w:rsid w:val="005A7ACF"/>
    <w:rsid w:val="005A7AE4"/>
    <w:rsid w:val="005A7B50"/>
    <w:rsid w:val="005A7C12"/>
    <w:rsid w:val="005A7CFB"/>
    <w:rsid w:val="005B01B2"/>
    <w:rsid w:val="005B084C"/>
    <w:rsid w:val="005B0A2D"/>
    <w:rsid w:val="005B0AA0"/>
    <w:rsid w:val="005B0B38"/>
    <w:rsid w:val="005B102F"/>
    <w:rsid w:val="005B10B7"/>
    <w:rsid w:val="005B128F"/>
    <w:rsid w:val="005B129C"/>
    <w:rsid w:val="005B1302"/>
    <w:rsid w:val="005B132F"/>
    <w:rsid w:val="005B1617"/>
    <w:rsid w:val="005B177A"/>
    <w:rsid w:val="005B1827"/>
    <w:rsid w:val="005B192D"/>
    <w:rsid w:val="005B1D85"/>
    <w:rsid w:val="005B1E7A"/>
    <w:rsid w:val="005B2073"/>
    <w:rsid w:val="005B2115"/>
    <w:rsid w:val="005B21C6"/>
    <w:rsid w:val="005B2223"/>
    <w:rsid w:val="005B222C"/>
    <w:rsid w:val="005B287E"/>
    <w:rsid w:val="005B2939"/>
    <w:rsid w:val="005B2C71"/>
    <w:rsid w:val="005B2C86"/>
    <w:rsid w:val="005B2E7C"/>
    <w:rsid w:val="005B3055"/>
    <w:rsid w:val="005B31BA"/>
    <w:rsid w:val="005B3328"/>
    <w:rsid w:val="005B36BD"/>
    <w:rsid w:val="005B3791"/>
    <w:rsid w:val="005B38B0"/>
    <w:rsid w:val="005B391F"/>
    <w:rsid w:val="005B45E4"/>
    <w:rsid w:val="005B4F97"/>
    <w:rsid w:val="005B5377"/>
    <w:rsid w:val="005B5696"/>
    <w:rsid w:val="005B59DA"/>
    <w:rsid w:val="005B5CE0"/>
    <w:rsid w:val="005B6264"/>
    <w:rsid w:val="005B63AC"/>
    <w:rsid w:val="005B63BD"/>
    <w:rsid w:val="005B67D0"/>
    <w:rsid w:val="005B6A90"/>
    <w:rsid w:val="005B6D63"/>
    <w:rsid w:val="005B6D99"/>
    <w:rsid w:val="005B6F76"/>
    <w:rsid w:val="005B6FD8"/>
    <w:rsid w:val="005B7245"/>
    <w:rsid w:val="005B7637"/>
    <w:rsid w:val="005B76DB"/>
    <w:rsid w:val="005B7B20"/>
    <w:rsid w:val="005B7D2B"/>
    <w:rsid w:val="005C078E"/>
    <w:rsid w:val="005C0914"/>
    <w:rsid w:val="005C099C"/>
    <w:rsid w:val="005C118F"/>
    <w:rsid w:val="005C12BF"/>
    <w:rsid w:val="005C162D"/>
    <w:rsid w:val="005C1673"/>
    <w:rsid w:val="005C17A3"/>
    <w:rsid w:val="005C17AE"/>
    <w:rsid w:val="005C1866"/>
    <w:rsid w:val="005C1BF9"/>
    <w:rsid w:val="005C1CA4"/>
    <w:rsid w:val="005C1D1B"/>
    <w:rsid w:val="005C1D40"/>
    <w:rsid w:val="005C1D4B"/>
    <w:rsid w:val="005C2216"/>
    <w:rsid w:val="005C2297"/>
    <w:rsid w:val="005C2453"/>
    <w:rsid w:val="005C26C4"/>
    <w:rsid w:val="005C2B54"/>
    <w:rsid w:val="005C2B61"/>
    <w:rsid w:val="005C2FF3"/>
    <w:rsid w:val="005C301D"/>
    <w:rsid w:val="005C327B"/>
    <w:rsid w:val="005C342D"/>
    <w:rsid w:val="005C37A9"/>
    <w:rsid w:val="005C3AD2"/>
    <w:rsid w:val="005C3AEA"/>
    <w:rsid w:val="005C3AF6"/>
    <w:rsid w:val="005C3BB2"/>
    <w:rsid w:val="005C3CC3"/>
    <w:rsid w:val="005C44C9"/>
    <w:rsid w:val="005C487F"/>
    <w:rsid w:val="005C4CB5"/>
    <w:rsid w:val="005C4CD9"/>
    <w:rsid w:val="005C4CF8"/>
    <w:rsid w:val="005C503B"/>
    <w:rsid w:val="005C507A"/>
    <w:rsid w:val="005C5632"/>
    <w:rsid w:val="005C5703"/>
    <w:rsid w:val="005C5CDE"/>
    <w:rsid w:val="005C65ED"/>
    <w:rsid w:val="005C6704"/>
    <w:rsid w:val="005C690D"/>
    <w:rsid w:val="005C6DE5"/>
    <w:rsid w:val="005C70E0"/>
    <w:rsid w:val="005C7676"/>
    <w:rsid w:val="005C769B"/>
    <w:rsid w:val="005C7716"/>
    <w:rsid w:val="005C7E06"/>
    <w:rsid w:val="005D0050"/>
    <w:rsid w:val="005D0883"/>
    <w:rsid w:val="005D0951"/>
    <w:rsid w:val="005D0E9E"/>
    <w:rsid w:val="005D103C"/>
    <w:rsid w:val="005D10BD"/>
    <w:rsid w:val="005D1134"/>
    <w:rsid w:val="005D128B"/>
    <w:rsid w:val="005D1312"/>
    <w:rsid w:val="005D1548"/>
    <w:rsid w:val="005D15C9"/>
    <w:rsid w:val="005D194B"/>
    <w:rsid w:val="005D1BD2"/>
    <w:rsid w:val="005D1C0E"/>
    <w:rsid w:val="005D2181"/>
    <w:rsid w:val="005D2DCF"/>
    <w:rsid w:val="005D2DFA"/>
    <w:rsid w:val="005D3193"/>
    <w:rsid w:val="005D31C8"/>
    <w:rsid w:val="005D3687"/>
    <w:rsid w:val="005D38CB"/>
    <w:rsid w:val="005D38E3"/>
    <w:rsid w:val="005D3D4D"/>
    <w:rsid w:val="005D3D7A"/>
    <w:rsid w:val="005D40D0"/>
    <w:rsid w:val="005D4787"/>
    <w:rsid w:val="005D4D3D"/>
    <w:rsid w:val="005D4D54"/>
    <w:rsid w:val="005D500D"/>
    <w:rsid w:val="005D502F"/>
    <w:rsid w:val="005D51B9"/>
    <w:rsid w:val="005D54E5"/>
    <w:rsid w:val="005D5796"/>
    <w:rsid w:val="005D597F"/>
    <w:rsid w:val="005D5C44"/>
    <w:rsid w:val="005D5D45"/>
    <w:rsid w:val="005D6034"/>
    <w:rsid w:val="005D62AD"/>
    <w:rsid w:val="005D636E"/>
    <w:rsid w:val="005D63BB"/>
    <w:rsid w:val="005D6487"/>
    <w:rsid w:val="005D6643"/>
    <w:rsid w:val="005D6993"/>
    <w:rsid w:val="005D6AD0"/>
    <w:rsid w:val="005D7117"/>
    <w:rsid w:val="005D7505"/>
    <w:rsid w:val="005D762C"/>
    <w:rsid w:val="005D7C28"/>
    <w:rsid w:val="005E02CB"/>
    <w:rsid w:val="005E04F7"/>
    <w:rsid w:val="005E0BE1"/>
    <w:rsid w:val="005E1174"/>
    <w:rsid w:val="005E11DE"/>
    <w:rsid w:val="005E1729"/>
    <w:rsid w:val="005E1770"/>
    <w:rsid w:val="005E1C18"/>
    <w:rsid w:val="005E260C"/>
    <w:rsid w:val="005E276A"/>
    <w:rsid w:val="005E2827"/>
    <w:rsid w:val="005E2E92"/>
    <w:rsid w:val="005E2F17"/>
    <w:rsid w:val="005E2FA1"/>
    <w:rsid w:val="005E30DE"/>
    <w:rsid w:val="005E31ED"/>
    <w:rsid w:val="005E33F3"/>
    <w:rsid w:val="005E3593"/>
    <w:rsid w:val="005E3617"/>
    <w:rsid w:val="005E3A17"/>
    <w:rsid w:val="005E3A51"/>
    <w:rsid w:val="005E3DB1"/>
    <w:rsid w:val="005E3E6E"/>
    <w:rsid w:val="005E4188"/>
    <w:rsid w:val="005E4380"/>
    <w:rsid w:val="005E494D"/>
    <w:rsid w:val="005E4A6E"/>
    <w:rsid w:val="005E514E"/>
    <w:rsid w:val="005E55D1"/>
    <w:rsid w:val="005E56B5"/>
    <w:rsid w:val="005E62B3"/>
    <w:rsid w:val="005E6B7C"/>
    <w:rsid w:val="005E6C7C"/>
    <w:rsid w:val="005E6C8F"/>
    <w:rsid w:val="005E6CD7"/>
    <w:rsid w:val="005E6DC4"/>
    <w:rsid w:val="005E7036"/>
    <w:rsid w:val="005E7862"/>
    <w:rsid w:val="005E7A51"/>
    <w:rsid w:val="005E7AD1"/>
    <w:rsid w:val="005E7B21"/>
    <w:rsid w:val="005E7D72"/>
    <w:rsid w:val="005E7E46"/>
    <w:rsid w:val="005F0022"/>
    <w:rsid w:val="005F0109"/>
    <w:rsid w:val="005F06FB"/>
    <w:rsid w:val="005F09AA"/>
    <w:rsid w:val="005F0B4F"/>
    <w:rsid w:val="005F0BE1"/>
    <w:rsid w:val="005F113E"/>
    <w:rsid w:val="005F1274"/>
    <w:rsid w:val="005F174C"/>
    <w:rsid w:val="005F1B75"/>
    <w:rsid w:val="005F20A3"/>
    <w:rsid w:val="005F215C"/>
    <w:rsid w:val="005F217A"/>
    <w:rsid w:val="005F24BD"/>
    <w:rsid w:val="005F2789"/>
    <w:rsid w:val="005F2AEE"/>
    <w:rsid w:val="005F2D15"/>
    <w:rsid w:val="005F30A8"/>
    <w:rsid w:val="005F3858"/>
    <w:rsid w:val="005F3DE9"/>
    <w:rsid w:val="005F409B"/>
    <w:rsid w:val="005F417D"/>
    <w:rsid w:val="005F42FE"/>
    <w:rsid w:val="005F4678"/>
    <w:rsid w:val="005F48B0"/>
    <w:rsid w:val="005F4A4A"/>
    <w:rsid w:val="005F4A99"/>
    <w:rsid w:val="005F4DF5"/>
    <w:rsid w:val="005F5046"/>
    <w:rsid w:val="005F50AE"/>
    <w:rsid w:val="005F54BC"/>
    <w:rsid w:val="005F5787"/>
    <w:rsid w:val="005F5C7C"/>
    <w:rsid w:val="005F5DDE"/>
    <w:rsid w:val="005F5FBA"/>
    <w:rsid w:val="005F6148"/>
    <w:rsid w:val="005F651E"/>
    <w:rsid w:val="005F65F0"/>
    <w:rsid w:val="005F68BF"/>
    <w:rsid w:val="005F6D38"/>
    <w:rsid w:val="005F717B"/>
    <w:rsid w:val="005F720B"/>
    <w:rsid w:val="005F7642"/>
    <w:rsid w:val="005F7A1E"/>
    <w:rsid w:val="005F7D51"/>
    <w:rsid w:val="006004A8"/>
    <w:rsid w:val="006009D7"/>
    <w:rsid w:val="00600BB2"/>
    <w:rsid w:val="00600F2D"/>
    <w:rsid w:val="00601003"/>
    <w:rsid w:val="00601712"/>
    <w:rsid w:val="00601EBF"/>
    <w:rsid w:val="006020C2"/>
    <w:rsid w:val="00602200"/>
    <w:rsid w:val="00602372"/>
    <w:rsid w:val="006026BC"/>
    <w:rsid w:val="00602E94"/>
    <w:rsid w:val="006032A0"/>
    <w:rsid w:val="00603441"/>
    <w:rsid w:val="00603642"/>
    <w:rsid w:val="00603AC7"/>
    <w:rsid w:val="0060427B"/>
    <w:rsid w:val="006045E3"/>
    <w:rsid w:val="00604948"/>
    <w:rsid w:val="006049F9"/>
    <w:rsid w:val="006050B5"/>
    <w:rsid w:val="006050CE"/>
    <w:rsid w:val="0060544F"/>
    <w:rsid w:val="006054A8"/>
    <w:rsid w:val="006054D4"/>
    <w:rsid w:val="0060563F"/>
    <w:rsid w:val="00605B6E"/>
    <w:rsid w:val="00606085"/>
    <w:rsid w:val="006062FE"/>
    <w:rsid w:val="006064B8"/>
    <w:rsid w:val="006067C3"/>
    <w:rsid w:val="00606814"/>
    <w:rsid w:val="00606ABA"/>
    <w:rsid w:val="00606B12"/>
    <w:rsid w:val="00606D2E"/>
    <w:rsid w:val="006072BC"/>
    <w:rsid w:val="00607306"/>
    <w:rsid w:val="0060750A"/>
    <w:rsid w:val="006079D7"/>
    <w:rsid w:val="00607ABA"/>
    <w:rsid w:val="00607C9F"/>
    <w:rsid w:val="00607E3D"/>
    <w:rsid w:val="00607EA5"/>
    <w:rsid w:val="00607EDA"/>
    <w:rsid w:val="00607F07"/>
    <w:rsid w:val="00610086"/>
    <w:rsid w:val="0061032A"/>
    <w:rsid w:val="00610442"/>
    <w:rsid w:val="00610CC3"/>
    <w:rsid w:val="00610EC1"/>
    <w:rsid w:val="0061108B"/>
    <w:rsid w:val="00611B15"/>
    <w:rsid w:val="00611DB6"/>
    <w:rsid w:val="00611E56"/>
    <w:rsid w:val="006125E5"/>
    <w:rsid w:val="006126E1"/>
    <w:rsid w:val="00612A6D"/>
    <w:rsid w:val="006132FF"/>
    <w:rsid w:val="006137C2"/>
    <w:rsid w:val="00613822"/>
    <w:rsid w:val="00613B68"/>
    <w:rsid w:val="00613E71"/>
    <w:rsid w:val="006143D2"/>
    <w:rsid w:val="006144A5"/>
    <w:rsid w:val="00614D0C"/>
    <w:rsid w:val="00614E7D"/>
    <w:rsid w:val="00614EB6"/>
    <w:rsid w:val="00614F77"/>
    <w:rsid w:val="00615613"/>
    <w:rsid w:val="006158E6"/>
    <w:rsid w:val="00615903"/>
    <w:rsid w:val="00615EF4"/>
    <w:rsid w:val="00616195"/>
    <w:rsid w:val="00616474"/>
    <w:rsid w:val="0061647F"/>
    <w:rsid w:val="0061670C"/>
    <w:rsid w:val="00616804"/>
    <w:rsid w:val="00616A0F"/>
    <w:rsid w:val="00616A23"/>
    <w:rsid w:val="00616D68"/>
    <w:rsid w:val="00617336"/>
    <w:rsid w:val="006174A5"/>
    <w:rsid w:val="00617666"/>
    <w:rsid w:val="00617DAF"/>
    <w:rsid w:val="00620C68"/>
    <w:rsid w:val="00620D77"/>
    <w:rsid w:val="00620DDB"/>
    <w:rsid w:val="00620F08"/>
    <w:rsid w:val="00621D96"/>
    <w:rsid w:val="00621E06"/>
    <w:rsid w:val="0062215D"/>
    <w:rsid w:val="00622165"/>
    <w:rsid w:val="0062230D"/>
    <w:rsid w:val="00622469"/>
    <w:rsid w:val="00622511"/>
    <w:rsid w:val="00622607"/>
    <w:rsid w:val="006226A4"/>
    <w:rsid w:val="00622B50"/>
    <w:rsid w:val="00622E2D"/>
    <w:rsid w:val="00623023"/>
    <w:rsid w:val="0062310D"/>
    <w:rsid w:val="00623548"/>
    <w:rsid w:val="0062381F"/>
    <w:rsid w:val="00623930"/>
    <w:rsid w:val="00623939"/>
    <w:rsid w:val="00624111"/>
    <w:rsid w:val="006241F3"/>
    <w:rsid w:val="00624375"/>
    <w:rsid w:val="00624946"/>
    <w:rsid w:val="00624CCF"/>
    <w:rsid w:val="00624EBF"/>
    <w:rsid w:val="00624F86"/>
    <w:rsid w:val="00624FDC"/>
    <w:rsid w:val="00625937"/>
    <w:rsid w:val="00625CC4"/>
    <w:rsid w:val="00625E4E"/>
    <w:rsid w:val="006260EB"/>
    <w:rsid w:val="00626341"/>
    <w:rsid w:val="00626479"/>
    <w:rsid w:val="0062683B"/>
    <w:rsid w:val="006269AF"/>
    <w:rsid w:val="00626CD1"/>
    <w:rsid w:val="00626D8D"/>
    <w:rsid w:val="00627632"/>
    <w:rsid w:val="00627A8A"/>
    <w:rsid w:val="00627D4C"/>
    <w:rsid w:val="00627D6D"/>
    <w:rsid w:val="00627E64"/>
    <w:rsid w:val="00627F1A"/>
    <w:rsid w:val="00630155"/>
    <w:rsid w:val="006301E6"/>
    <w:rsid w:val="0063056A"/>
    <w:rsid w:val="006308F8"/>
    <w:rsid w:val="00630CC9"/>
    <w:rsid w:val="00630EA7"/>
    <w:rsid w:val="00630F38"/>
    <w:rsid w:val="00631019"/>
    <w:rsid w:val="0063104B"/>
    <w:rsid w:val="0063161B"/>
    <w:rsid w:val="006316EE"/>
    <w:rsid w:val="006318CE"/>
    <w:rsid w:val="00631994"/>
    <w:rsid w:val="006321BD"/>
    <w:rsid w:val="006326F1"/>
    <w:rsid w:val="00632E5F"/>
    <w:rsid w:val="00633109"/>
    <w:rsid w:val="0063310B"/>
    <w:rsid w:val="0063361E"/>
    <w:rsid w:val="0063378C"/>
    <w:rsid w:val="0063387D"/>
    <w:rsid w:val="006339FE"/>
    <w:rsid w:val="006340A1"/>
    <w:rsid w:val="006343F5"/>
    <w:rsid w:val="006344CE"/>
    <w:rsid w:val="0063468C"/>
    <w:rsid w:val="006349E6"/>
    <w:rsid w:val="00634A25"/>
    <w:rsid w:val="00634A2C"/>
    <w:rsid w:val="00634A42"/>
    <w:rsid w:val="00634B58"/>
    <w:rsid w:val="00634E37"/>
    <w:rsid w:val="00634E60"/>
    <w:rsid w:val="00634FAC"/>
    <w:rsid w:val="00635090"/>
    <w:rsid w:val="00635829"/>
    <w:rsid w:val="006358D9"/>
    <w:rsid w:val="00635D07"/>
    <w:rsid w:val="0063630E"/>
    <w:rsid w:val="00636707"/>
    <w:rsid w:val="00636751"/>
    <w:rsid w:val="00636B84"/>
    <w:rsid w:val="00636DFA"/>
    <w:rsid w:val="00637378"/>
    <w:rsid w:val="0063751E"/>
    <w:rsid w:val="00637846"/>
    <w:rsid w:val="00637BA6"/>
    <w:rsid w:val="00637D50"/>
    <w:rsid w:val="00637FCE"/>
    <w:rsid w:val="0064014F"/>
    <w:rsid w:val="00640369"/>
    <w:rsid w:val="006403C3"/>
    <w:rsid w:val="00640500"/>
    <w:rsid w:val="00640591"/>
    <w:rsid w:val="0064099C"/>
    <w:rsid w:val="00640E87"/>
    <w:rsid w:val="00640F24"/>
    <w:rsid w:val="006410EC"/>
    <w:rsid w:val="006411E3"/>
    <w:rsid w:val="006412C3"/>
    <w:rsid w:val="00641A97"/>
    <w:rsid w:val="00641ABF"/>
    <w:rsid w:val="00641ACD"/>
    <w:rsid w:val="00641B0F"/>
    <w:rsid w:val="00641E04"/>
    <w:rsid w:val="00642394"/>
    <w:rsid w:val="00643003"/>
    <w:rsid w:val="006431DC"/>
    <w:rsid w:val="00643B0A"/>
    <w:rsid w:val="00643B98"/>
    <w:rsid w:val="00643E58"/>
    <w:rsid w:val="00643F8C"/>
    <w:rsid w:val="006441D6"/>
    <w:rsid w:val="00644208"/>
    <w:rsid w:val="006442BB"/>
    <w:rsid w:val="006442C4"/>
    <w:rsid w:val="00644683"/>
    <w:rsid w:val="0064481D"/>
    <w:rsid w:val="00644821"/>
    <w:rsid w:val="0064524F"/>
    <w:rsid w:val="0064557B"/>
    <w:rsid w:val="00645788"/>
    <w:rsid w:val="006458D3"/>
    <w:rsid w:val="00645906"/>
    <w:rsid w:val="00645CAD"/>
    <w:rsid w:val="00645CCB"/>
    <w:rsid w:val="00645D09"/>
    <w:rsid w:val="00645DA2"/>
    <w:rsid w:val="00645DBD"/>
    <w:rsid w:val="00645F51"/>
    <w:rsid w:val="00645FFD"/>
    <w:rsid w:val="00646183"/>
    <w:rsid w:val="006465BF"/>
    <w:rsid w:val="0064692C"/>
    <w:rsid w:val="00646C94"/>
    <w:rsid w:val="00647005"/>
    <w:rsid w:val="0064740E"/>
    <w:rsid w:val="00647528"/>
    <w:rsid w:val="00647C08"/>
    <w:rsid w:val="00647F8A"/>
    <w:rsid w:val="00650160"/>
    <w:rsid w:val="0065029C"/>
    <w:rsid w:val="00650506"/>
    <w:rsid w:val="00650569"/>
    <w:rsid w:val="00650895"/>
    <w:rsid w:val="00650CB3"/>
    <w:rsid w:val="0065110D"/>
    <w:rsid w:val="006511A3"/>
    <w:rsid w:val="00651744"/>
    <w:rsid w:val="0065189B"/>
    <w:rsid w:val="00651C9E"/>
    <w:rsid w:val="006520A9"/>
    <w:rsid w:val="00652147"/>
    <w:rsid w:val="00652658"/>
    <w:rsid w:val="00652CC4"/>
    <w:rsid w:val="00652DC7"/>
    <w:rsid w:val="0065338B"/>
    <w:rsid w:val="006535EF"/>
    <w:rsid w:val="0065360F"/>
    <w:rsid w:val="00653751"/>
    <w:rsid w:val="00653D1F"/>
    <w:rsid w:val="0065413C"/>
    <w:rsid w:val="006541F3"/>
    <w:rsid w:val="00654551"/>
    <w:rsid w:val="00654A69"/>
    <w:rsid w:val="00654AF0"/>
    <w:rsid w:val="00654C78"/>
    <w:rsid w:val="00654D9C"/>
    <w:rsid w:val="00654EFC"/>
    <w:rsid w:val="00655379"/>
    <w:rsid w:val="00655C27"/>
    <w:rsid w:val="00655E08"/>
    <w:rsid w:val="00655FF3"/>
    <w:rsid w:val="00656463"/>
    <w:rsid w:val="00656468"/>
    <w:rsid w:val="00656577"/>
    <w:rsid w:val="00656A23"/>
    <w:rsid w:val="00656C3B"/>
    <w:rsid w:val="00656D7C"/>
    <w:rsid w:val="00656E5D"/>
    <w:rsid w:val="00656E6A"/>
    <w:rsid w:val="00657261"/>
    <w:rsid w:val="00657ED7"/>
    <w:rsid w:val="00660172"/>
    <w:rsid w:val="00660CA7"/>
    <w:rsid w:val="00661138"/>
    <w:rsid w:val="006612A8"/>
    <w:rsid w:val="006617EA"/>
    <w:rsid w:val="00661B90"/>
    <w:rsid w:val="00661C92"/>
    <w:rsid w:val="00661CD7"/>
    <w:rsid w:val="00661F60"/>
    <w:rsid w:val="00662B44"/>
    <w:rsid w:val="00662CA7"/>
    <w:rsid w:val="00662F63"/>
    <w:rsid w:val="00663489"/>
    <w:rsid w:val="00663499"/>
    <w:rsid w:val="0066376B"/>
    <w:rsid w:val="00664054"/>
    <w:rsid w:val="00664062"/>
    <w:rsid w:val="006640BC"/>
    <w:rsid w:val="0066472E"/>
    <w:rsid w:val="006648C5"/>
    <w:rsid w:val="00664B69"/>
    <w:rsid w:val="00664CFF"/>
    <w:rsid w:val="00665085"/>
    <w:rsid w:val="006650A9"/>
    <w:rsid w:val="006657B6"/>
    <w:rsid w:val="00665C22"/>
    <w:rsid w:val="00665E97"/>
    <w:rsid w:val="00666635"/>
    <w:rsid w:val="00666728"/>
    <w:rsid w:val="00666770"/>
    <w:rsid w:val="006667AB"/>
    <w:rsid w:val="0066688B"/>
    <w:rsid w:val="00666A4D"/>
    <w:rsid w:val="00666BFD"/>
    <w:rsid w:val="00667048"/>
    <w:rsid w:val="006671C3"/>
    <w:rsid w:val="0066733D"/>
    <w:rsid w:val="006674A0"/>
    <w:rsid w:val="006678A6"/>
    <w:rsid w:val="00667965"/>
    <w:rsid w:val="006700A1"/>
    <w:rsid w:val="006700EB"/>
    <w:rsid w:val="0067016D"/>
    <w:rsid w:val="00670740"/>
    <w:rsid w:val="00670765"/>
    <w:rsid w:val="00670789"/>
    <w:rsid w:val="00670893"/>
    <w:rsid w:val="00670AD9"/>
    <w:rsid w:val="00670D75"/>
    <w:rsid w:val="006713E2"/>
    <w:rsid w:val="0067151D"/>
    <w:rsid w:val="006715CE"/>
    <w:rsid w:val="006715DA"/>
    <w:rsid w:val="0067166C"/>
    <w:rsid w:val="00671972"/>
    <w:rsid w:val="006719DF"/>
    <w:rsid w:val="00671FC0"/>
    <w:rsid w:val="00672017"/>
    <w:rsid w:val="00672144"/>
    <w:rsid w:val="0067235E"/>
    <w:rsid w:val="006723DA"/>
    <w:rsid w:val="0067257D"/>
    <w:rsid w:val="00672933"/>
    <w:rsid w:val="00672968"/>
    <w:rsid w:val="00672B84"/>
    <w:rsid w:val="00672E5B"/>
    <w:rsid w:val="00672F2D"/>
    <w:rsid w:val="006735B5"/>
    <w:rsid w:val="006738BA"/>
    <w:rsid w:val="00673FBA"/>
    <w:rsid w:val="0067401C"/>
    <w:rsid w:val="00674064"/>
    <w:rsid w:val="00674244"/>
    <w:rsid w:val="006745B3"/>
    <w:rsid w:val="0067476B"/>
    <w:rsid w:val="00674820"/>
    <w:rsid w:val="00674E32"/>
    <w:rsid w:val="00675071"/>
    <w:rsid w:val="006751CA"/>
    <w:rsid w:val="006751DA"/>
    <w:rsid w:val="00675274"/>
    <w:rsid w:val="00675448"/>
    <w:rsid w:val="006757E9"/>
    <w:rsid w:val="00675BDA"/>
    <w:rsid w:val="00675E15"/>
    <w:rsid w:val="00675FE0"/>
    <w:rsid w:val="00676015"/>
    <w:rsid w:val="00676283"/>
    <w:rsid w:val="00676302"/>
    <w:rsid w:val="00676306"/>
    <w:rsid w:val="0067631B"/>
    <w:rsid w:val="00676345"/>
    <w:rsid w:val="0067638B"/>
    <w:rsid w:val="00676471"/>
    <w:rsid w:val="0067656A"/>
    <w:rsid w:val="006766D1"/>
    <w:rsid w:val="0067684E"/>
    <w:rsid w:val="0067688E"/>
    <w:rsid w:val="006772DD"/>
    <w:rsid w:val="00677540"/>
    <w:rsid w:val="00677928"/>
    <w:rsid w:val="006779F7"/>
    <w:rsid w:val="00677EB1"/>
    <w:rsid w:val="0068002F"/>
    <w:rsid w:val="0068079F"/>
    <w:rsid w:val="00680CC1"/>
    <w:rsid w:val="00680CFD"/>
    <w:rsid w:val="00680D1A"/>
    <w:rsid w:val="00681105"/>
    <w:rsid w:val="00681620"/>
    <w:rsid w:val="00681639"/>
    <w:rsid w:val="00681714"/>
    <w:rsid w:val="00681BF1"/>
    <w:rsid w:val="00681C35"/>
    <w:rsid w:val="00681EBF"/>
    <w:rsid w:val="00682886"/>
    <w:rsid w:val="00682B81"/>
    <w:rsid w:val="00682B89"/>
    <w:rsid w:val="00682C89"/>
    <w:rsid w:val="00682D28"/>
    <w:rsid w:val="00682DBC"/>
    <w:rsid w:val="00682E14"/>
    <w:rsid w:val="006830FF"/>
    <w:rsid w:val="006832A5"/>
    <w:rsid w:val="00683B46"/>
    <w:rsid w:val="00683CBF"/>
    <w:rsid w:val="00683D62"/>
    <w:rsid w:val="00683EC2"/>
    <w:rsid w:val="006841D2"/>
    <w:rsid w:val="00684410"/>
    <w:rsid w:val="00684789"/>
    <w:rsid w:val="006847BB"/>
    <w:rsid w:val="00684E94"/>
    <w:rsid w:val="00684FB7"/>
    <w:rsid w:val="0068503D"/>
    <w:rsid w:val="006855C7"/>
    <w:rsid w:val="00685600"/>
    <w:rsid w:val="00685A9E"/>
    <w:rsid w:val="00685AB9"/>
    <w:rsid w:val="00685D44"/>
    <w:rsid w:val="0068637F"/>
    <w:rsid w:val="0068643A"/>
    <w:rsid w:val="006865A8"/>
    <w:rsid w:val="006866B4"/>
    <w:rsid w:val="006867C5"/>
    <w:rsid w:val="0068689A"/>
    <w:rsid w:val="006872CF"/>
    <w:rsid w:val="00687419"/>
    <w:rsid w:val="006874AB"/>
    <w:rsid w:val="00687921"/>
    <w:rsid w:val="00687ED3"/>
    <w:rsid w:val="00687F75"/>
    <w:rsid w:val="00690198"/>
    <w:rsid w:val="006901B5"/>
    <w:rsid w:val="0069020F"/>
    <w:rsid w:val="0069033C"/>
    <w:rsid w:val="00690426"/>
    <w:rsid w:val="006904BF"/>
    <w:rsid w:val="00690DA0"/>
    <w:rsid w:val="00690FEE"/>
    <w:rsid w:val="006911E4"/>
    <w:rsid w:val="00691367"/>
    <w:rsid w:val="00691529"/>
    <w:rsid w:val="0069154C"/>
    <w:rsid w:val="006916AE"/>
    <w:rsid w:val="0069184A"/>
    <w:rsid w:val="006918C6"/>
    <w:rsid w:val="00691C5D"/>
    <w:rsid w:val="006921C4"/>
    <w:rsid w:val="006924EF"/>
    <w:rsid w:val="006927F1"/>
    <w:rsid w:val="00692925"/>
    <w:rsid w:val="00692AEE"/>
    <w:rsid w:val="00692E26"/>
    <w:rsid w:val="0069316E"/>
    <w:rsid w:val="0069381D"/>
    <w:rsid w:val="00693A8F"/>
    <w:rsid w:val="00693BC8"/>
    <w:rsid w:val="00693F9D"/>
    <w:rsid w:val="00694218"/>
    <w:rsid w:val="006943FC"/>
    <w:rsid w:val="00694551"/>
    <w:rsid w:val="006945D1"/>
    <w:rsid w:val="00694A36"/>
    <w:rsid w:val="00694CD4"/>
    <w:rsid w:val="00694CFA"/>
    <w:rsid w:val="006951AD"/>
    <w:rsid w:val="00695E40"/>
    <w:rsid w:val="006961B8"/>
    <w:rsid w:val="00696382"/>
    <w:rsid w:val="00696775"/>
    <w:rsid w:val="006967E5"/>
    <w:rsid w:val="006968D1"/>
    <w:rsid w:val="00696A46"/>
    <w:rsid w:val="00696A58"/>
    <w:rsid w:val="00696BB4"/>
    <w:rsid w:val="00696CCF"/>
    <w:rsid w:val="00696D26"/>
    <w:rsid w:val="00696DBA"/>
    <w:rsid w:val="00696FE6"/>
    <w:rsid w:val="006971AB"/>
    <w:rsid w:val="006972C3"/>
    <w:rsid w:val="00697670"/>
    <w:rsid w:val="006976D2"/>
    <w:rsid w:val="006976F9"/>
    <w:rsid w:val="0069799B"/>
    <w:rsid w:val="006979A3"/>
    <w:rsid w:val="006A011E"/>
    <w:rsid w:val="006A04C8"/>
    <w:rsid w:val="006A06B0"/>
    <w:rsid w:val="006A09FC"/>
    <w:rsid w:val="006A0B47"/>
    <w:rsid w:val="006A142D"/>
    <w:rsid w:val="006A16C5"/>
    <w:rsid w:val="006A1867"/>
    <w:rsid w:val="006A233F"/>
    <w:rsid w:val="006A243E"/>
    <w:rsid w:val="006A24D3"/>
    <w:rsid w:val="006A2535"/>
    <w:rsid w:val="006A28F8"/>
    <w:rsid w:val="006A307C"/>
    <w:rsid w:val="006A31D1"/>
    <w:rsid w:val="006A3201"/>
    <w:rsid w:val="006A39B7"/>
    <w:rsid w:val="006A3B07"/>
    <w:rsid w:val="006A3C19"/>
    <w:rsid w:val="006A3C50"/>
    <w:rsid w:val="006A3E9E"/>
    <w:rsid w:val="006A41D4"/>
    <w:rsid w:val="006A42D2"/>
    <w:rsid w:val="006A43F5"/>
    <w:rsid w:val="006A4757"/>
    <w:rsid w:val="006A4784"/>
    <w:rsid w:val="006A581E"/>
    <w:rsid w:val="006A5B01"/>
    <w:rsid w:val="006A5B6D"/>
    <w:rsid w:val="006A5F4E"/>
    <w:rsid w:val="006A6255"/>
    <w:rsid w:val="006A63CC"/>
    <w:rsid w:val="006A65AD"/>
    <w:rsid w:val="006A69B2"/>
    <w:rsid w:val="006A6AEB"/>
    <w:rsid w:val="006A7331"/>
    <w:rsid w:val="006A75C2"/>
    <w:rsid w:val="006A7B05"/>
    <w:rsid w:val="006A7F7B"/>
    <w:rsid w:val="006A7F7F"/>
    <w:rsid w:val="006B0072"/>
    <w:rsid w:val="006B017F"/>
    <w:rsid w:val="006B03C8"/>
    <w:rsid w:val="006B094F"/>
    <w:rsid w:val="006B0D0C"/>
    <w:rsid w:val="006B0EF8"/>
    <w:rsid w:val="006B1060"/>
    <w:rsid w:val="006B1235"/>
    <w:rsid w:val="006B13FB"/>
    <w:rsid w:val="006B1A08"/>
    <w:rsid w:val="006B1C63"/>
    <w:rsid w:val="006B1D0C"/>
    <w:rsid w:val="006B1D93"/>
    <w:rsid w:val="006B221F"/>
    <w:rsid w:val="006B228D"/>
    <w:rsid w:val="006B23E4"/>
    <w:rsid w:val="006B264D"/>
    <w:rsid w:val="006B284F"/>
    <w:rsid w:val="006B2894"/>
    <w:rsid w:val="006B28B4"/>
    <w:rsid w:val="006B2993"/>
    <w:rsid w:val="006B2B96"/>
    <w:rsid w:val="006B2C3B"/>
    <w:rsid w:val="006B32E3"/>
    <w:rsid w:val="006B3547"/>
    <w:rsid w:val="006B37C1"/>
    <w:rsid w:val="006B4072"/>
    <w:rsid w:val="006B46AE"/>
    <w:rsid w:val="006B46F5"/>
    <w:rsid w:val="006B4E61"/>
    <w:rsid w:val="006B4E87"/>
    <w:rsid w:val="006B5172"/>
    <w:rsid w:val="006B5373"/>
    <w:rsid w:val="006B57AD"/>
    <w:rsid w:val="006B5CFC"/>
    <w:rsid w:val="006B5F0B"/>
    <w:rsid w:val="006B5FD8"/>
    <w:rsid w:val="006B6202"/>
    <w:rsid w:val="006B621B"/>
    <w:rsid w:val="006B645A"/>
    <w:rsid w:val="006B669B"/>
    <w:rsid w:val="006B6704"/>
    <w:rsid w:val="006B68A0"/>
    <w:rsid w:val="006B699D"/>
    <w:rsid w:val="006B6BDB"/>
    <w:rsid w:val="006B6D76"/>
    <w:rsid w:val="006B6EFC"/>
    <w:rsid w:val="006B7076"/>
    <w:rsid w:val="006B7409"/>
    <w:rsid w:val="006B7551"/>
    <w:rsid w:val="006B7664"/>
    <w:rsid w:val="006B78A1"/>
    <w:rsid w:val="006B7BB4"/>
    <w:rsid w:val="006B7BB5"/>
    <w:rsid w:val="006B7C3F"/>
    <w:rsid w:val="006B7CC9"/>
    <w:rsid w:val="006C0232"/>
    <w:rsid w:val="006C026F"/>
    <w:rsid w:val="006C0500"/>
    <w:rsid w:val="006C06F6"/>
    <w:rsid w:val="006C080D"/>
    <w:rsid w:val="006C0D33"/>
    <w:rsid w:val="006C0DBC"/>
    <w:rsid w:val="006C0F61"/>
    <w:rsid w:val="006C1065"/>
    <w:rsid w:val="006C11B8"/>
    <w:rsid w:val="006C1461"/>
    <w:rsid w:val="006C1787"/>
    <w:rsid w:val="006C19DE"/>
    <w:rsid w:val="006C1BF1"/>
    <w:rsid w:val="006C1C08"/>
    <w:rsid w:val="006C2066"/>
    <w:rsid w:val="006C2530"/>
    <w:rsid w:val="006C2B82"/>
    <w:rsid w:val="006C2BAB"/>
    <w:rsid w:val="006C2CB3"/>
    <w:rsid w:val="006C31BC"/>
    <w:rsid w:val="006C37CA"/>
    <w:rsid w:val="006C3BD7"/>
    <w:rsid w:val="006C3CDA"/>
    <w:rsid w:val="006C3CED"/>
    <w:rsid w:val="006C3DBA"/>
    <w:rsid w:val="006C3E9E"/>
    <w:rsid w:val="006C3ED0"/>
    <w:rsid w:val="006C4B9A"/>
    <w:rsid w:val="006C5142"/>
    <w:rsid w:val="006C51E7"/>
    <w:rsid w:val="006C52BE"/>
    <w:rsid w:val="006C54B1"/>
    <w:rsid w:val="006C5582"/>
    <w:rsid w:val="006C5753"/>
    <w:rsid w:val="006C57C5"/>
    <w:rsid w:val="006C5B8E"/>
    <w:rsid w:val="006C5B96"/>
    <w:rsid w:val="006C61CE"/>
    <w:rsid w:val="006C67E7"/>
    <w:rsid w:val="006C6C79"/>
    <w:rsid w:val="006C6DBC"/>
    <w:rsid w:val="006C6F00"/>
    <w:rsid w:val="006C70D9"/>
    <w:rsid w:val="006C7AFD"/>
    <w:rsid w:val="006C7B64"/>
    <w:rsid w:val="006C7B90"/>
    <w:rsid w:val="006D0006"/>
    <w:rsid w:val="006D00A1"/>
    <w:rsid w:val="006D0164"/>
    <w:rsid w:val="006D068A"/>
    <w:rsid w:val="006D0A96"/>
    <w:rsid w:val="006D0A9D"/>
    <w:rsid w:val="006D0B79"/>
    <w:rsid w:val="006D101A"/>
    <w:rsid w:val="006D1303"/>
    <w:rsid w:val="006D1371"/>
    <w:rsid w:val="006D1571"/>
    <w:rsid w:val="006D1718"/>
    <w:rsid w:val="006D1B84"/>
    <w:rsid w:val="006D1FCC"/>
    <w:rsid w:val="006D2187"/>
    <w:rsid w:val="006D23DF"/>
    <w:rsid w:val="006D290B"/>
    <w:rsid w:val="006D2ABA"/>
    <w:rsid w:val="006D2F1A"/>
    <w:rsid w:val="006D2F2F"/>
    <w:rsid w:val="006D2FCA"/>
    <w:rsid w:val="006D3044"/>
    <w:rsid w:val="006D30C1"/>
    <w:rsid w:val="006D30CB"/>
    <w:rsid w:val="006D382C"/>
    <w:rsid w:val="006D3A5D"/>
    <w:rsid w:val="006D3B8F"/>
    <w:rsid w:val="006D3F61"/>
    <w:rsid w:val="006D3F7D"/>
    <w:rsid w:val="006D3FED"/>
    <w:rsid w:val="006D41DD"/>
    <w:rsid w:val="006D4345"/>
    <w:rsid w:val="006D4536"/>
    <w:rsid w:val="006D46C4"/>
    <w:rsid w:val="006D4908"/>
    <w:rsid w:val="006D4916"/>
    <w:rsid w:val="006D4D88"/>
    <w:rsid w:val="006D5188"/>
    <w:rsid w:val="006D5591"/>
    <w:rsid w:val="006D57CE"/>
    <w:rsid w:val="006D57F3"/>
    <w:rsid w:val="006D5884"/>
    <w:rsid w:val="006D5CBC"/>
    <w:rsid w:val="006D5F68"/>
    <w:rsid w:val="006D6276"/>
    <w:rsid w:val="006D6599"/>
    <w:rsid w:val="006D66BF"/>
    <w:rsid w:val="006D6891"/>
    <w:rsid w:val="006D7299"/>
    <w:rsid w:val="006D73DA"/>
    <w:rsid w:val="006D73DC"/>
    <w:rsid w:val="006D74D0"/>
    <w:rsid w:val="006D75D2"/>
    <w:rsid w:val="006D7945"/>
    <w:rsid w:val="006D7D45"/>
    <w:rsid w:val="006E028C"/>
    <w:rsid w:val="006E04BC"/>
    <w:rsid w:val="006E0AA6"/>
    <w:rsid w:val="006E0C07"/>
    <w:rsid w:val="006E0C96"/>
    <w:rsid w:val="006E0E94"/>
    <w:rsid w:val="006E1878"/>
    <w:rsid w:val="006E1C7F"/>
    <w:rsid w:val="006E1E58"/>
    <w:rsid w:val="006E201B"/>
    <w:rsid w:val="006E22B0"/>
    <w:rsid w:val="006E23E8"/>
    <w:rsid w:val="006E24F4"/>
    <w:rsid w:val="006E2559"/>
    <w:rsid w:val="006E2922"/>
    <w:rsid w:val="006E2DCE"/>
    <w:rsid w:val="006E2EC2"/>
    <w:rsid w:val="006E3141"/>
    <w:rsid w:val="006E31BC"/>
    <w:rsid w:val="006E32E7"/>
    <w:rsid w:val="006E3BF5"/>
    <w:rsid w:val="006E3EAB"/>
    <w:rsid w:val="006E4045"/>
    <w:rsid w:val="006E4479"/>
    <w:rsid w:val="006E464E"/>
    <w:rsid w:val="006E4771"/>
    <w:rsid w:val="006E48D5"/>
    <w:rsid w:val="006E495D"/>
    <w:rsid w:val="006E4C56"/>
    <w:rsid w:val="006E4C81"/>
    <w:rsid w:val="006E4D05"/>
    <w:rsid w:val="006E4D28"/>
    <w:rsid w:val="006E4E11"/>
    <w:rsid w:val="006E4E75"/>
    <w:rsid w:val="006E4EA6"/>
    <w:rsid w:val="006E4F56"/>
    <w:rsid w:val="006E4F85"/>
    <w:rsid w:val="006E537C"/>
    <w:rsid w:val="006E5A0B"/>
    <w:rsid w:val="006E5CD2"/>
    <w:rsid w:val="006E5EE1"/>
    <w:rsid w:val="006E5F14"/>
    <w:rsid w:val="006E5FA4"/>
    <w:rsid w:val="006E6060"/>
    <w:rsid w:val="006E618A"/>
    <w:rsid w:val="006E6904"/>
    <w:rsid w:val="006E6A64"/>
    <w:rsid w:val="006E6A6A"/>
    <w:rsid w:val="006E6F5E"/>
    <w:rsid w:val="006E70E3"/>
    <w:rsid w:val="006E732F"/>
    <w:rsid w:val="006E7418"/>
    <w:rsid w:val="006E744A"/>
    <w:rsid w:val="006E7875"/>
    <w:rsid w:val="006E7950"/>
    <w:rsid w:val="006E7A11"/>
    <w:rsid w:val="006E7EDB"/>
    <w:rsid w:val="006F00F7"/>
    <w:rsid w:val="006F01A3"/>
    <w:rsid w:val="006F080C"/>
    <w:rsid w:val="006F0B61"/>
    <w:rsid w:val="006F0CC9"/>
    <w:rsid w:val="006F0E6D"/>
    <w:rsid w:val="006F1559"/>
    <w:rsid w:val="006F166C"/>
    <w:rsid w:val="006F16CA"/>
    <w:rsid w:val="006F1BE3"/>
    <w:rsid w:val="006F1DCA"/>
    <w:rsid w:val="006F20D0"/>
    <w:rsid w:val="006F2149"/>
    <w:rsid w:val="006F23DB"/>
    <w:rsid w:val="006F247F"/>
    <w:rsid w:val="006F26B9"/>
    <w:rsid w:val="006F295A"/>
    <w:rsid w:val="006F2B54"/>
    <w:rsid w:val="006F2B84"/>
    <w:rsid w:val="006F3252"/>
    <w:rsid w:val="006F3308"/>
    <w:rsid w:val="006F380D"/>
    <w:rsid w:val="006F38B3"/>
    <w:rsid w:val="006F3B06"/>
    <w:rsid w:val="006F3EC5"/>
    <w:rsid w:val="006F3EFF"/>
    <w:rsid w:val="006F48AD"/>
    <w:rsid w:val="006F49D0"/>
    <w:rsid w:val="006F4B5D"/>
    <w:rsid w:val="006F4DFF"/>
    <w:rsid w:val="006F50FB"/>
    <w:rsid w:val="006F5119"/>
    <w:rsid w:val="006F531F"/>
    <w:rsid w:val="006F53C1"/>
    <w:rsid w:val="006F53CD"/>
    <w:rsid w:val="006F5434"/>
    <w:rsid w:val="006F54FD"/>
    <w:rsid w:val="006F6225"/>
    <w:rsid w:val="006F630B"/>
    <w:rsid w:val="006F63C4"/>
    <w:rsid w:val="006F63E2"/>
    <w:rsid w:val="006F65A0"/>
    <w:rsid w:val="006F65F1"/>
    <w:rsid w:val="006F6615"/>
    <w:rsid w:val="006F6AD0"/>
    <w:rsid w:val="006F77F4"/>
    <w:rsid w:val="006F7B59"/>
    <w:rsid w:val="006F7B7E"/>
    <w:rsid w:val="00700045"/>
    <w:rsid w:val="00700274"/>
    <w:rsid w:val="00700449"/>
    <w:rsid w:val="0070071C"/>
    <w:rsid w:val="00700D8E"/>
    <w:rsid w:val="00700F9E"/>
    <w:rsid w:val="00700FD1"/>
    <w:rsid w:val="0070133C"/>
    <w:rsid w:val="00701705"/>
    <w:rsid w:val="007017C8"/>
    <w:rsid w:val="007017DB"/>
    <w:rsid w:val="0070193F"/>
    <w:rsid w:val="00701D85"/>
    <w:rsid w:val="00701E48"/>
    <w:rsid w:val="00701FD4"/>
    <w:rsid w:val="00702047"/>
    <w:rsid w:val="007021F4"/>
    <w:rsid w:val="00702248"/>
    <w:rsid w:val="00702872"/>
    <w:rsid w:val="007028A5"/>
    <w:rsid w:val="00702C48"/>
    <w:rsid w:val="00702C49"/>
    <w:rsid w:val="00702EBC"/>
    <w:rsid w:val="00702FA5"/>
    <w:rsid w:val="0070317D"/>
    <w:rsid w:val="007032C0"/>
    <w:rsid w:val="007034C9"/>
    <w:rsid w:val="007036F9"/>
    <w:rsid w:val="00703891"/>
    <w:rsid w:val="007039B1"/>
    <w:rsid w:val="007042BD"/>
    <w:rsid w:val="0070443F"/>
    <w:rsid w:val="007045CD"/>
    <w:rsid w:val="00704938"/>
    <w:rsid w:val="00704A3D"/>
    <w:rsid w:val="00704AD6"/>
    <w:rsid w:val="00704DD5"/>
    <w:rsid w:val="007054B1"/>
    <w:rsid w:val="00705576"/>
    <w:rsid w:val="00705676"/>
    <w:rsid w:val="007058B7"/>
    <w:rsid w:val="007059AB"/>
    <w:rsid w:val="00705AF8"/>
    <w:rsid w:val="00705ED7"/>
    <w:rsid w:val="007060E4"/>
    <w:rsid w:val="00706159"/>
    <w:rsid w:val="00706178"/>
    <w:rsid w:val="00706977"/>
    <w:rsid w:val="00706984"/>
    <w:rsid w:val="00706B9F"/>
    <w:rsid w:val="00706BA4"/>
    <w:rsid w:val="00706DC6"/>
    <w:rsid w:val="00707171"/>
    <w:rsid w:val="0070733C"/>
    <w:rsid w:val="007073FC"/>
    <w:rsid w:val="007076E9"/>
    <w:rsid w:val="0070779B"/>
    <w:rsid w:val="00707826"/>
    <w:rsid w:val="007079F4"/>
    <w:rsid w:val="0071001A"/>
    <w:rsid w:val="0071026F"/>
    <w:rsid w:val="007102F9"/>
    <w:rsid w:val="0071031C"/>
    <w:rsid w:val="007106E3"/>
    <w:rsid w:val="00710B37"/>
    <w:rsid w:val="00710BBE"/>
    <w:rsid w:val="00710E7F"/>
    <w:rsid w:val="00710EC9"/>
    <w:rsid w:val="007113D2"/>
    <w:rsid w:val="007114E5"/>
    <w:rsid w:val="00711873"/>
    <w:rsid w:val="00711B15"/>
    <w:rsid w:val="00711C3A"/>
    <w:rsid w:val="00711DBE"/>
    <w:rsid w:val="00711E97"/>
    <w:rsid w:val="007120E0"/>
    <w:rsid w:val="00712477"/>
    <w:rsid w:val="007129BF"/>
    <w:rsid w:val="00712C17"/>
    <w:rsid w:val="0071304C"/>
    <w:rsid w:val="007132AA"/>
    <w:rsid w:val="007135DF"/>
    <w:rsid w:val="007138FB"/>
    <w:rsid w:val="00713BBB"/>
    <w:rsid w:val="00713E02"/>
    <w:rsid w:val="007141D1"/>
    <w:rsid w:val="00714406"/>
    <w:rsid w:val="0071505E"/>
    <w:rsid w:val="007152BE"/>
    <w:rsid w:val="00715363"/>
    <w:rsid w:val="007153AC"/>
    <w:rsid w:val="00715507"/>
    <w:rsid w:val="007159BC"/>
    <w:rsid w:val="00715A0F"/>
    <w:rsid w:val="00715B02"/>
    <w:rsid w:val="00715C89"/>
    <w:rsid w:val="00716A95"/>
    <w:rsid w:val="00716D3E"/>
    <w:rsid w:val="00717406"/>
    <w:rsid w:val="0071764A"/>
    <w:rsid w:val="00717660"/>
    <w:rsid w:val="007176C8"/>
    <w:rsid w:val="007178B4"/>
    <w:rsid w:val="007178B6"/>
    <w:rsid w:val="00717B48"/>
    <w:rsid w:val="00717ECA"/>
    <w:rsid w:val="00717F19"/>
    <w:rsid w:val="0072081B"/>
    <w:rsid w:val="00720BA2"/>
    <w:rsid w:val="00720D0C"/>
    <w:rsid w:val="00720D3A"/>
    <w:rsid w:val="00721188"/>
    <w:rsid w:val="007213E0"/>
    <w:rsid w:val="0072147F"/>
    <w:rsid w:val="00721502"/>
    <w:rsid w:val="00721852"/>
    <w:rsid w:val="00721907"/>
    <w:rsid w:val="007221E3"/>
    <w:rsid w:val="00722280"/>
    <w:rsid w:val="007223A2"/>
    <w:rsid w:val="0072250E"/>
    <w:rsid w:val="007225B3"/>
    <w:rsid w:val="007228EB"/>
    <w:rsid w:val="00722A71"/>
    <w:rsid w:val="007231E2"/>
    <w:rsid w:val="00723495"/>
    <w:rsid w:val="007237C4"/>
    <w:rsid w:val="007238EE"/>
    <w:rsid w:val="00723D24"/>
    <w:rsid w:val="00723EB0"/>
    <w:rsid w:val="00725112"/>
    <w:rsid w:val="007258EC"/>
    <w:rsid w:val="007259FF"/>
    <w:rsid w:val="00725AC8"/>
    <w:rsid w:val="00726172"/>
    <w:rsid w:val="007263AC"/>
    <w:rsid w:val="00726457"/>
    <w:rsid w:val="0072660A"/>
    <w:rsid w:val="0072669E"/>
    <w:rsid w:val="007266EA"/>
    <w:rsid w:val="00726CED"/>
    <w:rsid w:val="007271BE"/>
    <w:rsid w:val="00727294"/>
    <w:rsid w:val="00727313"/>
    <w:rsid w:val="007273B6"/>
    <w:rsid w:val="00727466"/>
    <w:rsid w:val="007275CD"/>
    <w:rsid w:val="00727664"/>
    <w:rsid w:val="00727A6E"/>
    <w:rsid w:val="00727A80"/>
    <w:rsid w:val="00730182"/>
    <w:rsid w:val="007301A8"/>
    <w:rsid w:val="007303E5"/>
    <w:rsid w:val="0073053C"/>
    <w:rsid w:val="00730878"/>
    <w:rsid w:val="00730977"/>
    <w:rsid w:val="00730C5C"/>
    <w:rsid w:val="00731F7B"/>
    <w:rsid w:val="0073255D"/>
    <w:rsid w:val="007329E8"/>
    <w:rsid w:val="00732E94"/>
    <w:rsid w:val="00733668"/>
    <w:rsid w:val="00733BB0"/>
    <w:rsid w:val="00733F1C"/>
    <w:rsid w:val="00734380"/>
    <w:rsid w:val="00734635"/>
    <w:rsid w:val="00734872"/>
    <w:rsid w:val="0073493D"/>
    <w:rsid w:val="00734AFF"/>
    <w:rsid w:val="00734D5F"/>
    <w:rsid w:val="00734DEE"/>
    <w:rsid w:val="00734E57"/>
    <w:rsid w:val="0073547E"/>
    <w:rsid w:val="007357D7"/>
    <w:rsid w:val="00736135"/>
    <w:rsid w:val="00736694"/>
    <w:rsid w:val="00736758"/>
    <w:rsid w:val="0073679A"/>
    <w:rsid w:val="00736D90"/>
    <w:rsid w:val="00737020"/>
    <w:rsid w:val="007375AF"/>
    <w:rsid w:val="0073774D"/>
    <w:rsid w:val="0073779A"/>
    <w:rsid w:val="007378C7"/>
    <w:rsid w:val="00737A62"/>
    <w:rsid w:val="00737CF1"/>
    <w:rsid w:val="00740461"/>
    <w:rsid w:val="00740B03"/>
    <w:rsid w:val="00740C77"/>
    <w:rsid w:val="00740FA4"/>
    <w:rsid w:val="0074130F"/>
    <w:rsid w:val="0074145B"/>
    <w:rsid w:val="007417C7"/>
    <w:rsid w:val="00741960"/>
    <w:rsid w:val="00741A7D"/>
    <w:rsid w:val="00741A9B"/>
    <w:rsid w:val="00741CBD"/>
    <w:rsid w:val="00741F9A"/>
    <w:rsid w:val="00742555"/>
    <w:rsid w:val="00742558"/>
    <w:rsid w:val="00742BDB"/>
    <w:rsid w:val="00742BE1"/>
    <w:rsid w:val="00742F08"/>
    <w:rsid w:val="00742F32"/>
    <w:rsid w:val="00743473"/>
    <w:rsid w:val="007435CB"/>
    <w:rsid w:val="007437BC"/>
    <w:rsid w:val="007438FC"/>
    <w:rsid w:val="00743C2E"/>
    <w:rsid w:val="00743F4E"/>
    <w:rsid w:val="007441B6"/>
    <w:rsid w:val="007445E8"/>
    <w:rsid w:val="00744AFE"/>
    <w:rsid w:val="00744C0F"/>
    <w:rsid w:val="00744CEE"/>
    <w:rsid w:val="00744EAF"/>
    <w:rsid w:val="00744FD3"/>
    <w:rsid w:val="0074500A"/>
    <w:rsid w:val="007451E4"/>
    <w:rsid w:val="00745279"/>
    <w:rsid w:val="0074534C"/>
    <w:rsid w:val="00745475"/>
    <w:rsid w:val="0074573B"/>
    <w:rsid w:val="007457ED"/>
    <w:rsid w:val="00745BD5"/>
    <w:rsid w:val="00746331"/>
    <w:rsid w:val="007463DB"/>
    <w:rsid w:val="007468BD"/>
    <w:rsid w:val="0074708F"/>
    <w:rsid w:val="00747298"/>
    <w:rsid w:val="007475A4"/>
    <w:rsid w:val="007476B3"/>
    <w:rsid w:val="00747B11"/>
    <w:rsid w:val="00747F2E"/>
    <w:rsid w:val="007507A8"/>
    <w:rsid w:val="00750C40"/>
    <w:rsid w:val="0075113B"/>
    <w:rsid w:val="00751329"/>
    <w:rsid w:val="00751792"/>
    <w:rsid w:val="007519A8"/>
    <w:rsid w:val="00751B29"/>
    <w:rsid w:val="00751B4D"/>
    <w:rsid w:val="00751FD7"/>
    <w:rsid w:val="00752335"/>
    <w:rsid w:val="0075254B"/>
    <w:rsid w:val="00752844"/>
    <w:rsid w:val="00752AF3"/>
    <w:rsid w:val="00752BC5"/>
    <w:rsid w:val="00752F9E"/>
    <w:rsid w:val="00752FA6"/>
    <w:rsid w:val="00753060"/>
    <w:rsid w:val="00753242"/>
    <w:rsid w:val="007535B4"/>
    <w:rsid w:val="00753720"/>
    <w:rsid w:val="00753747"/>
    <w:rsid w:val="007538FE"/>
    <w:rsid w:val="00753BA0"/>
    <w:rsid w:val="00753EBA"/>
    <w:rsid w:val="00754221"/>
    <w:rsid w:val="00754892"/>
    <w:rsid w:val="00754AAB"/>
    <w:rsid w:val="00754D2C"/>
    <w:rsid w:val="00754F0F"/>
    <w:rsid w:val="00755057"/>
    <w:rsid w:val="00755609"/>
    <w:rsid w:val="00755898"/>
    <w:rsid w:val="007559DE"/>
    <w:rsid w:val="00755D77"/>
    <w:rsid w:val="0075622C"/>
    <w:rsid w:val="00756622"/>
    <w:rsid w:val="007578FA"/>
    <w:rsid w:val="00757A0E"/>
    <w:rsid w:val="00757B5A"/>
    <w:rsid w:val="00757DC8"/>
    <w:rsid w:val="00757E07"/>
    <w:rsid w:val="0076022D"/>
    <w:rsid w:val="0076028F"/>
    <w:rsid w:val="00760C05"/>
    <w:rsid w:val="00760E58"/>
    <w:rsid w:val="00760ED2"/>
    <w:rsid w:val="00761167"/>
    <w:rsid w:val="007613A3"/>
    <w:rsid w:val="007618A4"/>
    <w:rsid w:val="00761A37"/>
    <w:rsid w:val="00761B6A"/>
    <w:rsid w:val="00761CFB"/>
    <w:rsid w:val="00761F68"/>
    <w:rsid w:val="0076207A"/>
    <w:rsid w:val="00762236"/>
    <w:rsid w:val="00762541"/>
    <w:rsid w:val="007626A6"/>
    <w:rsid w:val="00762755"/>
    <w:rsid w:val="00762821"/>
    <w:rsid w:val="0076306A"/>
    <w:rsid w:val="00764013"/>
    <w:rsid w:val="00764684"/>
    <w:rsid w:val="007646FA"/>
    <w:rsid w:val="00764911"/>
    <w:rsid w:val="00764BAB"/>
    <w:rsid w:val="00764C40"/>
    <w:rsid w:val="00764CE0"/>
    <w:rsid w:val="0076527E"/>
    <w:rsid w:val="007652C7"/>
    <w:rsid w:val="00765C19"/>
    <w:rsid w:val="00765FF8"/>
    <w:rsid w:val="00766040"/>
    <w:rsid w:val="00766414"/>
    <w:rsid w:val="00766DAC"/>
    <w:rsid w:val="00766FE6"/>
    <w:rsid w:val="00767282"/>
    <w:rsid w:val="007674AE"/>
    <w:rsid w:val="00767810"/>
    <w:rsid w:val="00767A2A"/>
    <w:rsid w:val="00767DDB"/>
    <w:rsid w:val="00770106"/>
    <w:rsid w:val="00770178"/>
    <w:rsid w:val="0077045B"/>
    <w:rsid w:val="00770669"/>
    <w:rsid w:val="00770AAC"/>
    <w:rsid w:val="00770CE1"/>
    <w:rsid w:val="00770DA8"/>
    <w:rsid w:val="00770EB0"/>
    <w:rsid w:val="00771455"/>
    <w:rsid w:val="00771792"/>
    <w:rsid w:val="00771A57"/>
    <w:rsid w:val="00772070"/>
    <w:rsid w:val="0077289D"/>
    <w:rsid w:val="00772A80"/>
    <w:rsid w:val="00772C33"/>
    <w:rsid w:val="00772E28"/>
    <w:rsid w:val="00773122"/>
    <w:rsid w:val="007732F2"/>
    <w:rsid w:val="007733C7"/>
    <w:rsid w:val="0077347B"/>
    <w:rsid w:val="00773769"/>
    <w:rsid w:val="00773794"/>
    <w:rsid w:val="007737DA"/>
    <w:rsid w:val="0077399E"/>
    <w:rsid w:val="00773CD0"/>
    <w:rsid w:val="00774033"/>
    <w:rsid w:val="007740A5"/>
    <w:rsid w:val="007740BE"/>
    <w:rsid w:val="007741B7"/>
    <w:rsid w:val="00774312"/>
    <w:rsid w:val="00774332"/>
    <w:rsid w:val="00774427"/>
    <w:rsid w:val="0077442A"/>
    <w:rsid w:val="0077449D"/>
    <w:rsid w:val="00774688"/>
    <w:rsid w:val="00774745"/>
    <w:rsid w:val="0077491E"/>
    <w:rsid w:val="00774A00"/>
    <w:rsid w:val="007754F0"/>
    <w:rsid w:val="007755B1"/>
    <w:rsid w:val="0077591C"/>
    <w:rsid w:val="00775B36"/>
    <w:rsid w:val="00775CC6"/>
    <w:rsid w:val="00775E3A"/>
    <w:rsid w:val="00775F10"/>
    <w:rsid w:val="00775F7F"/>
    <w:rsid w:val="00775FE2"/>
    <w:rsid w:val="00776515"/>
    <w:rsid w:val="007765E0"/>
    <w:rsid w:val="00776678"/>
    <w:rsid w:val="00776BC3"/>
    <w:rsid w:val="00776BF4"/>
    <w:rsid w:val="00776EA5"/>
    <w:rsid w:val="00777019"/>
    <w:rsid w:val="00777078"/>
    <w:rsid w:val="007770F0"/>
    <w:rsid w:val="007774D1"/>
    <w:rsid w:val="007777C8"/>
    <w:rsid w:val="00777A7D"/>
    <w:rsid w:val="00777D19"/>
    <w:rsid w:val="00777D65"/>
    <w:rsid w:val="00777EF5"/>
    <w:rsid w:val="0078000D"/>
    <w:rsid w:val="0078005C"/>
    <w:rsid w:val="007801B2"/>
    <w:rsid w:val="0078048B"/>
    <w:rsid w:val="007805AE"/>
    <w:rsid w:val="00780DDB"/>
    <w:rsid w:val="00780EE0"/>
    <w:rsid w:val="00780F67"/>
    <w:rsid w:val="00781788"/>
    <w:rsid w:val="00781801"/>
    <w:rsid w:val="00781A00"/>
    <w:rsid w:val="00781D79"/>
    <w:rsid w:val="00782111"/>
    <w:rsid w:val="00782429"/>
    <w:rsid w:val="007829E9"/>
    <w:rsid w:val="00782BB3"/>
    <w:rsid w:val="00783195"/>
    <w:rsid w:val="0078350B"/>
    <w:rsid w:val="007835F9"/>
    <w:rsid w:val="007836D9"/>
    <w:rsid w:val="00783747"/>
    <w:rsid w:val="00783769"/>
    <w:rsid w:val="00783FAE"/>
    <w:rsid w:val="007840B5"/>
    <w:rsid w:val="00784321"/>
    <w:rsid w:val="007847EE"/>
    <w:rsid w:val="0078481D"/>
    <w:rsid w:val="00784868"/>
    <w:rsid w:val="00784944"/>
    <w:rsid w:val="00784B4D"/>
    <w:rsid w:val="00784C96"/>
    <w:rsid w:val="00785147"/>
    <w:rsid w:val="007851FB"/>
    <w:rsid w:val="007852D2"/>
    <w:rsid w:val="007855C8"/>
    <w:rsid w:val="00785918"/>
    <w:rsid w:val="00785C74"/>
    <w:rsid w:val="00785E5C"/>
    <w:rsid w:val="00786039"/>
    <w:rsid w:val="00786526"/>
    <w:rsid w:val="00786E54"/>
    <w:rsid w:val="00786EA4"/>
    <w:rsid w:val="00786EEA"/>
    <w:rsid w:val="00786F59"/>
    <w:rsid w:val="00787295"/>
    <w:rsid w:val="007877C8"/>
    <w:rsid w:val="0078788D"/>
    <w:rsid w:val="00787AB3"/>
    <w:rsid w:val="00787EC1"/>
    <w:rsid w:val="007900FF"/>
    <w:rsid w:val="007902B0"/>
    <w:rsid w:val="007907AC"/>
    <w:rsid w:val="00790C97"/>
    <w:rsid w:val="00790F91"/>
    <w:rsid w:val="00791095"/>
    <w:rsid w:val="00791417"/>
    <w:rsid w:val="0079187A"/>
    <w:rsid w:val="00791B6E"/>
    <w:rsid w:val="0079268D"/>
    <w:rsid w:val="0079279E"/>
    <w:rsid w:val="007927BE"/>
    <w:rsid w:val="0079293D"/>
    <w:rsid w:val="00792A8D"/>
    <w:rsid w:val="00792B9B"/>
    <w:rsid w:val="00792EA4"/>
    <w:rsid w:val="00793341"/>
    <w:rsid w:val="00793A05"/>
    <w:rsid w:val="00793A98"/>
    <w:rsid w:val="0079404D"/>
    <w:rsid w:val="00794084"/>
    <w:rsid w:val="007940DE"/>
    <w:rsid w:val="007946A5"/>
    <w:rsid w:val="00794878"/>
    <w:rsid w:val="00794E2C"/>
    <w:rsid w:val="0079528B"/>
    <w:rsid w:val="007957EC"/>
    <w:rsid w:val="007958ED"/>
    <w:rsid w:val="00795925"/>
    <w:rsid w:val="00795DDF"/>
    <w:rsid w:val="00795E32"/>
    <w:rsid w:val="00795F02"/>
    <w:rsid w:val="00795F3D"/>
    <w:rsid w:val="0079693D"/>
    <w:rsid w:val="00797354"/>
    <w:rsid w:val="00797728"/>
    <w:rsid w:val="007979BA"/>
    <w:rsid w:val="00797C0E"/>
    <w:rsid w:val="00797FAF"/>
    <w:rsid w:val="007A0192"/>
    <w:rsid w:val="007A0425"/>
    <w:rsid w:val="007A0A56"/>
    <w:rsid w:val="007A0A5D"/>
    <w:rsid w:val="007A0A81"/>
    <w:rsid w:val="007A0B21"/>
    <w:rsid w:val="007A0CBD"/>
    <w:rsid w:val="007A0FDA"/>
    <w:rsid w:val="007A11E7"/>
    <w:rsid w:val="007A16E7"/>
    <w:rsid w:val="007A185D"/>
    <w:rsid w:val="007A1B8E"/>
    <w:rsid w:val="007A1BBD"/>
    <w:rsid w:val="007A23C1"/>
    <w:rsid w:val="007A2ED2"/>
    <w:rsid w:val="007A31E1"/>
    <w:rsid w:val="007A361E"/>
    <w:rsid w:val="007A3889"/>
    <w:rsid w:val="007A3B40"/>
    <w:rsid w:val="007A3D64"/>
    <w:rsid w:val="007A3E54"/>
    <w:rsid w:val="007A3F8C"/>
    <w:rsid w:val="007A400B"/>
    <w:rsid w:val="007A4092"/>
    <w:rsid w:val="007A4A6A"/>
    <w:rsid w:val="007A4B55"/>
    <w:rsid w:val="007A4D4B"/>
    <w:rsid w:val="007A4D5F"/>
    <w:rsid w:val="007A4D63"/>
    <w:rsid w:val="007A4FCE"/>
    <w:rsid w:val="007A50AD"/>
    <w:rsid w:val="007A5252"/>
    <w:rsid w:val="007A5659"/>
    <w:rsid w:val="007A57C6"/>
    <w:rsid w:val="007A5A3A"/>
    <w:rsid w:val="007A6439"/>
    <w:rsid w:val="007A649C"/>
    <w:rsid w:val="007A68A1"/>
    <w:rsid w:val="007A69D9"/>
    <w:rsid w:val="007A6B62"/>
    <w:rsid w:val="007A6CA8"/>
    <w:rsid w:val="007A6DEB"/>
    <w:rsid w:val="007A70A9"/>
    <w:rsid w:val="007A71BB"/>
    <w:rsid w:val="007A751F"/>
    <w:rsid w:val="007A7885"/>
    <w:rsid w:val="007A7FCE"/>
    <w:rsid w:val="007B0225"/>
    <w:rsid w:val="007B039C"/>
    <w:rsid w:val="007B04E6"/>
    <w:rsid w:val="007B055F"/>
    <w:rsid w:val="007B0AA9"/>
    <w:rsid w:val="007B0CA2"/>
    <w:rsid w:val="007B0E38"/>
    <w:rsid w:val="007B0E42"/>
    <w:rsid w:val="007B12DF"/>
    <w:rsid w:val="007B13EB"/>
    <w:rsid w:val="007B173A"/>
    <w:rsid w:val="007B1A15"/>
    <w:rsid w:val="007B20FA"/>
    <w:rsid w:val="007B21D7"/>
    <w:rsid w:val="007B23AB"/>
    <w:rsid w:val="007B23BF"/>
    <w:rsid w:val="007B2405"/>
    <w:rsid w:val="007B25F8"/>
    <w:rsid w:val="007B26C7"/>
    <w:rsid w:val="007B26EF"/>
    <w:rsid w:val="007B270E"/>
    <w:rsid w:val="007B272A"/>
    <w:rsid w:val="007B2A20"/>
    <w:rsid w:val="007B2C39"/>
    <w:rsid w:val="007B2F7E"/>
    <w:rsid w:val="007B3032"/>
    <w:rsid w:val="007B30B3"/>
    <w:rsid w:val="007B3304"/>
    <w:rsid w:val="007B3A32"/>
    <w:rsid w:val="007B3CD9"/>
    <w:rsid w:val="007B3E16"/>
    <w:rsid w:val="007B424B"/>
    <w:rsid w:val="007B46B8"/>
    <w:rsid w:val="007B4731"/>
    <w:rsid w:val="007B4801"/>
    <w:rsid w:val="007B48B3"/>
    <w:rsid w:val="007B4F9A"/>
    <w:rsid w:val="007B5283"/>
    <w:rsid w:val="007B573B"/>
    <w:rsid w:val="007B5812"/>
    <w:rsid w:val="007B5F0F"/>
    <w:rsid w:val="007B5FCF"/>
    <w:rsid w:val="007B6173"/>
    <w:rsid w:val="007B6405"/>
    <w:rsid w:val="007B6409"/>
    <w:rsid w:val="007B6524"/>
    <w:rsid w:val="007B65DB"/>
    <w:rsid w:val="007B695D"/>
    <w:rsid w:val="007B6FAE"/>
    <w:rsid w:val="007B72D7"/>
    <w:rsid w:val="007B737E"/>
    <w:rsid w:val="007B78C7"/>
    <w:rsid w:val="007B7BD0"/>
    <w:rsid w:val="007C0074"/>
    <w:rsid w:val="007C00D2"/>
    <w:rsid w:val="007C0161"/>
    <w:rsid w:val="007C018D"/>
    <w:rsid w:val="007C035D"/>
    <w:rsid w:val="007C039D"/>
    <w:rsid w:val="007C05FD"/>
    <w:rsid w:val="007C06A4"/>
    <w:rsid w:val="007C09DF"/>
    <w:rsid w:val="007C0CBE"/>
    <w:rsid w:val="007C0F39"/>
    <w:rsid w:val="007C1A47"/>
    <w:rsid w:val="007C1B18"/>
    <w:rsid w:val="007C1E01"/>
    <w:rsid w:val="007C24F4"/>
    <w:rsid w:val="007C25F1"/>
    <w:rsid w:val="007C2639"/>
    <w:rsid w:val="007C2675"/>
    <w:rsid w:val="007C2A38"/>
    <w:rsid w:val="007C2D67"/>
    <w:rsid w:val="007C3198"/>
    <w:rsid w:val="007C3328"/>
    <w:rsid w:val="007C3377"/>
    <w:rsid w:val="007C3653"/>
    <w:rsid w:val="007C372B"/>
    <w:rsid w:val="007C3772"/>
    <w:rsid w:val="007C38FF"/>
    <w:rsid w:val="007C3C93"/>
    <w:rsid w:val="007C3E38"/>
    <w:rsid w:val="007C42CA"/>
    <w:rsid w:val="007C4774"/>
    <w:rsid w:val="007C49D9"/>
    <w:rsid w:val="007C51B2"/>
    <w:rsid w:val="007C54E3"/>
    <w:rsid w:val="007C577B"/>
    <w:rsid w:val="007C5A18"/>
    <w:rsid w:val="007C5A4C"/>
    <w:rsid w:val="007C5C11"/>
    <w:rsid w:val="007C6321"/>
    <w:rsid w:val="007C6439"/>
    <w:rsid w:val="007C668F"/>
    <w:rsid w:val="007C66AD"/>
    <w:rsid w:val="007C6DE6"/>
    <w:rsid w:val="007C6F03"/>
    <w:rsid w:val="007C74A7"/>
    <w:rsid w:val="007C7968"/>
    <w:rsid w:val="007C79CC"/>
    <w:rsid w:val="007C7CA4"/>
    <w:rsid w:val="007C7F43"/>
    <w:rsid w:val="007D069C"/>
    <w:rsid w:val="007D0737"/>
    <w:rsid w:val="007D08E6"/>
    <w:rsid w:val="007D14CC"/>
    <w:rsid w:val="007D1522"/>
    <w:rsid w:val="007D1D81"/>
    <w:rsid w:val="007D1E4E"/>
    <w:rsid w:val="007D20BA"/>
    <w:rsid w:val="007D21CB"/>
    <w:rsid w:val="007D22B5"/>
    <w:rsid w:val="007D2344"/>
    <w:rsid w:val="007D2B41"/>
    <w:rsid w:val="007D2E77"/>
    <w:rsid w:val="007D2EE4"/>
    <w:rsid w:val="007D31CC"/>
    <w:rsid w:val="007D3584"/>
    <w:rsid w:val="007D3857"/>
    <w:rsid w:val="007D3B88"/>
    <w:rsid w:val="007D3D56"/>
    <w:rsid w:val="007D3EB6"/>
    <w:rsid w:val="007D415F"/>
    <w:rsid w:val="007D41CE"/>
    <w:rsid w:val="007D4791"/>
    <w:rsid w:val="007D48FE"/>
    <w:rsid w:val="007D49FF"/>
    <w:rsid w:val="007D4B41"/>
    <w:rsid w:val="007D4CE5"/>
    <w:rsid w:val="007D4FD6"/>
    <w:rsid w:val="007D634B"/>
    <w:rsid w:val="007D636D"/>
    <w:rsid w:val="007D65F4"/>
    <w:rsid w:val="007D660E"/>
    <w:rsid w:val="007D6AEE"/>
    <w:rsid w:val="007D6AF4"/>
    <w:rsid w:val="007D6CDB"/>
    <w:rsid w:val="007D71D0"/>
    <w:rsid w:val="007D739E"/>
    <w:rsid w:val="007D74B8"/>
    <w:rsid w:val="007D75AE"/>
    <w:rsid w:val="007D7B32"/>
    <w:rsid w:val="007D7F6E"/>
    <w:rsid w:val="007E07A3"/>
    <w:rsid w:val="007E0B72"/>
    <w:rsid w:val="007E0B78"/>
    <w:rsid w:val="007E0CAA"/>
    <w:rsid w:val="007E1558"/>
    <w:rsid w:val="007E155D"/>
    <w:rsid w:val="007E1820"/>
    <w:rsid w:val="007E1850"/>
    <w:rsid w:val="007E186E"/>
    <w:rsid w:val="007E18D5"/>
    <w:rsid w:val="007E1DFA"/>
    <w:rsid w:val="007E201D"/>
    <w:rsid w:val="007E237A"/>
    <w:rsid w:val="007E25F5"/>
    <w:rsid w:val="007E2A09"/>
    <w:rsid w:val="007E2B18"/>
    <w:rsid w:val="007E2C48"/>
    <w:rsid w:val="007E302C"/>
    <w:rsid w:val="007E315A"/>
    <w:rsid w:val="007E369A"/>
    <w:rsid w:val="007E36C3"/>
    <w:rsid w:val="007E37F7"/>
    <w:rsid w:val="007E39BF"/>
    <w:rsid w:val="007E3D29"/>
    <w:rsid w:val="007E3DC3"/>
    <w:rsid w:val="007E4053"/>
    <w:rsid w:val="007E46BC"/>
    <w:rsid w:val="007E4836"/>
    <w:rsid w:val="007E518B"/>
    <w:rsid w:val="007E51CE"/>
    <w:rsid w:val="007E52BB"/>
    <w:rsid w:val="007E52BE"/>
    <w:rsid w:val="007E534F"/>
    <w:rsid w:val="007E5510"/>
    <w:rsid w:val="007E5844"/>
    <w:rsid w:val="007E5D22"/>
    <w:rsid w:val="007E5DC4"/>
    <w:rsid w:val="007E5E32"/>
    <w:rsid w:val="007E6078"/>
    <w:rsid w:val="007E6094"/>
    <w:rsid w:val="007E609D"/>
    <w:rsid w:val="007E64AA"/>
    <w:rsid w:val="007E66D5"/>
    <w:rsid w:val="007E67B3"/>
    <w:rsid w:val="007E67F9"/>
    <w:rsid w:val="007E68C7"/>
    <w:rsid w:val="007E6A66"/>
    <w:rsid w:val="007E6C0C"/>
    <w:rsid w:val="007E6D09"/>
    <w:rsid w:val="007E6F67"/>
    <w:rsid w:val="007E6FCF"/>
    <w:rsid w:val="007E6FDA"/>
    <w:rsid w:val="007E7105"/>
    <w:rsid w:val="007E7551"/>
    <w:rsid w:val="007E7786"/>
    <w:rsid w:val="007E78B3"/>
    <w:rsid w:val="007E7A16"/>
    <w:rsid w:val="007E7EEB"/>
    <w:rsid w:val="007F0211"/>
    <w:rsid w:val="007F08FB"/>
    <w:rsid w:val="007F09AF"/>
    <w:rsid w:val="007F0E78"/>
    <w:rsid w:val="007F1301"/>
    <w:rsid w:val="007F140D"/>
    <w:rsid w:val="007F14A4"/>
    <w:rsid w:val="007F1587"/>
    <w:rsid w:val="007F1699"/>
    <w:rsid w:val="007F20B5"/>
    <w:rsid w:val="007F22ED"/>
    <w:rsid w:val="007F26AF"/>
    <w:rsid w:val="007F2AEE"/>
    <w:rsid w:val="007F2C63"/>
    <w:rsid w:val="007F2C69"/>
    <w:rsid w:val="007F2CE1"/>
    <w:rsid w:val="007F2EE0"/>
    <w:rsid w:val="007F3177"/>
    <w:rsid w:val="007F335C"/>
    <w:rsid w:val="007F3960"/>
    <w:rsid w:val="007F39FA"/>
    <w:rsid w:val="007F3B11"/>
    <w:rsid w:val="007F44DA"/>
    <w:rsid w:val="007F49E0"/>
    <w:rsid w:val="007F4C92"/>
    <w:rsid w:val="007F5001"/>
    <w:rsid w:val="007F5102"/>
    <w:rsid w:val="007F51D5"/>
    <w:rsid w:val="007F53DB"/>
    <w:rsid w:val="007F5825"/>
    <w:rsid w:val="007F5AD5"/>
    <w:rsid w:val="007F5F3F"/>
    <w:rsid w:val="007F5F9B"/>
    <w:rsid w:val="007F606D"/>
    <w:rsid w:val="007F6071"/>
    <w:rsid w:val="007F662D"/>
    <w:rsid w:val="007F72A3"/>
    <w:rsid w:val="007F74C7"/>
    <w:rsid w:val="007F7504"/>
    <w:rsid w:val="007F7760"/>
    <w:rsid w:val="007F787C"/>
    <w:rsid w:val="007F79EF"/>
    <w:rsid w:val="007F7A94"/>
    <w:rsid w:val="007F7E8B"/>
    <w:rsid w:val="00800079"/>
    <w:rsid w:val="00800759"/>
    <w:rsid w:val="008007DC"/>
    <w:rsid w:val="008009E5"/>
    <w:rsid w:val="00800A6E"/>
    <w:rsid w:val="00800BD6"/>
    <w:rsid w:val="00800C45"/>
    <w:rsid w:val="00800C70"/>
    <w:rsid w:val="00800E2A"/>
    <w:rsid w:val="00800FFC"/>
    <w:rsid w:val="00801129"/>
    <w:rsid w:val="0080122B"/>
    <w:rsid w:val="0080134B"/>
    <w:rsid w:val="0080142D"/>
    <w:rsid w:val="00801A93"/>
    <w:rsid w:val="00801E71"/>
    <w:rsid w:val="00801F94"/>
    <w:rsid w:val="00802191"/>
    <w:rsid w:val="00802390"/>
    <w:rsid w:val="008024AE"/>
    <w:rsid w:val="008025CB"/>
    <w:rsid w:val="00802E7D"/>
    <w:rsid w:val="00802E8A"/>
    <w:rsid w:val="008031E6"/>
    <w:rsid w:val="00803660"/>
    <w:rsid w:val="008036EC"/>
    <w:rsid w:val="008037F0"/>
    <w:rsid w:val="00803AEA"/>
    <w:rsid w:val="00803B1A"/>
    <w:rsid w:val="00803B5B"/>
    <w:rsid w:val="00803FED"/>
    <w:rsid w:val="0080467C"/>
    <w:rsid w:val="008048D3"/>
    <w:rsid w:val="00804963"/>
    <w:rsid w:val="00804C9C"/>
    <w:rsid w:val="00804D36"/>
    <w:rsid w:val="008057B9"/>
    <w:rsid w:val="00805954"/>
    <w:rsid w:val="00805BF8"/>
    <w:rsid w:val="00805F1E"/>
    <w:rsid w:val="0080625A"/>
    <w:rsid w:val="0080646A"/>
    <w:rsid w:val="00806541"/>
    <w:rsid w:val="00806800"/>
    <w:rsid w:val="00807057"/>
    <w:rsid w:val="0080719D"/>
    <w:rsid w:val="008071D4"/>
    <w:rsid w:val="00807434"/>
    <w:rsid w:val="00807960"/>
    <w:rsid w:val="00807A2A"/>
    <w:rsid w:val="00807D95"/>
    <w:rsid w:val="00807E35"/>
    <w:rsid w:val="0081021E"/>
    <w:rsid w:val="00810449"/>
    <w:rsid w:val="00810544"/>
    <w:rsid w:val="00811018"/>
    <w:rsid w:val="008112C4"/>
    <w:rsid w:val="00811596"/>
    <w:rsid w:val="00811873"/>
    <w:rsid w:val="00811922"/>
    <w:rsid w:val="00811D28"/>
    <w:rsid w:val="0081216A"/>
    <w:rsid w:val="008122CF"/>
    <w:rsid w:val="00812874"/>
    <w:rsid w:val="00812A39"/>
    <w:rsid w:val="00812F11"/>
    <w:rsid w:val="00812F3B"/>
    <w:rsid w:val="0081391B"/>
    <w:rsid w:val="00813DAC"/>
    <w:rsid w:val="00813E14"/>
    <w:rsid w:val="00814293"/>
    <w:rsid w:val="008148F5"/>
    <w:rsid w:val="00814E78"/>
    <w:rsid w:val="0081515E"/>
    <w:rsid w:val="0081536C"/>
    <w:rsid w:val="008158B1"/>
    <w:rsid w:val="00815B46"/>
    <w:rsid w:val="00815D2F"/>
    <w:rsid w:val="00815F2D"/>
    <w:rsid w:val="00816259"/>
    <w:rsid w:val="00816612"/>
    <w:rsid w:val="00816749"/>
    <w:rsid w:val="00816809"/>
    <w:rsid w:val="00816F76"/>
    <w:rsid w:val="00816FAC"/>
    <w:rsid w:val="008170C7"/>
    <w:rsid w:val="0081716D"/>
    <w:rsid w:val="008174EE"/>
    <w:rsid w:val="00817D8A"/>
    <w:rsid w:val="00817E41"/>
    <w:rsid w:val="008203BA"/>
    <w:rsid w:val="008207E1"/>
    <w:rsid w:val="00820987"/>
    <w:rsid w:val="008211C2"/>
    <w:rsid w:val="0082122C"/>
    <w:rsid w:val="0082130D"/>
    <w:rsid w:val="008214B5"/>
    <w:rsid w:val="00821591"/>
    <w:rsid w:val="008215E3"/>
    <w:rsid w:val="00821732"/>
    <w:rsid w:val="00821EFB"/>
    <w:rsid w:val="00822000"/>
    <w:rsid w:val="008221A0"/>
    <w:rsid w:val="008229DA"/>
    <w:rsid w:val="0082301B"/>
    <w:rsid w:val="008232AF"/>
    <w:rsid w:val="00823406"/>
    <w:rsid w:val="008238BB"/>
    <w:rsid w:val="00823BF2"/>
    <w:rsid w:val="00823EFD"/>
    <w:rsid w:val="00824105"/>
    <w:rsid w:val="00824E11"/>
    <w:rsid w:val="00824E3E"/>
    <w:rsid w:val="008254F6"/>
    <w:rsid w:val="008255E5"/>
    <w:rsid w:val="0082587A"/>
    <w:rsid w:val="008260B5"/>
    <w:rsid w:val="008266A4"/>
    <w:rsid w:val="00826D6B"/>
    <w:rsid w:val="0082711E"/>
    <w:rsid w:val="008272A6"/>
    <w:rsid w:val="008272B8"/>
    <w:rsid w:val="008272CA"/>
    <w:rsid w:val="00827363"/>
    <w:rsid w:val="008300A1"/>
    <w:rsid w:val="0083010D"/>
    <w:rsid w:val="00830555"/>
    <w:rsid w:val="00830573"/>
    <w:rsid w:val="0083067D"/>
    <w:rsid w:val="00830AA1"/>
    <w:rsid w:val="00830F8A"/>
    <w:rsid w:val="00831163"/>
    <w:rsid w:val="008311AD"/>
    <w:rsid w:val="008312CB"/>
    <w:rsid w:val="00831316"/>
    <w:rsid w:val="00831449"/>
    <w:rsid w:val="008315C3"/>
    <w:rsid w:val="00831E01"/>
    <w:rsid w:val="0083278E"/>
    <w:rsid w:val="008327CF"/>
    <w:rsid w:val="0083307F"/>
    <w:rsid w:val="008331BB"/>
    <w:rsid w:val="008331CD"/>
    <w:rsid w:val="00833467"/>
    <w:rsid w:val="00833C3B"/>
    <w:rsid w:val="0083405D"/>
    <w:rsid w:val="008343BF"/>
    <w:rsid w:val="00834438"/>
    <w:rsid w:val="00834693"/>
    <w:rsid w:val="008347EC"/>
    <w:rsid w:val="008348A2"/>
    <w:rsid w:val="00834F77"/>
    <w:rsid w:val="0083506C"/>
    <w:rsid w:val="008358D3"/>
    <w:rsid w:val="008359F0"/>
    <w:rsid w:val="00835B12"/>
    <w:rsid w:val="00836515"/>
    <w:rsid w:val="00836CE6"/>
    <w:rsid w:val="008401B0"/>
    <w:rsid w:val="00840601"/>
    <w:rsid w:val="00840972"/>
    <w:rsid w:val="00840B93"/>
    <w:rsid w:val="00840C40"/>
    <w:rsid w:val="00840C8D"/>
    <w:rsid w:val="00840F18"/>
    <w:rsid w:val="008414BD"/>
    <w:rsid w:val="00841735"/>
    <w:rsid w:val="008418FE"/>
    <w:rsid w:val="00841B89"/>
    <w:rsid w:val="00841C32"/>
    <w:rsid w:val="00842042"/>
    <w:rsid w:val="0084237E"/>
    <w:rsid w:val="00842A33"/>
    <w:rsid w:val="00842D8C"/>
    <w:rsid w:val="0084337E"/>
    <w:rsid w:val="008434EE"/>
    <w:rsid w:val="0084366A"/>
    <w:rsid w:val="00843670"/>
    <w:rsid w:val="0084399B"/>
    <w:rsid w:val="00843AAF"/>
    <w:rsid w:val="00843C03"/>
    <w:rsid w:val="00843C36"/>
    <w:rsid w:val="00843F02"/>
    <w:rsid w:val="00844272"/>
    <w:rsid w:val="00844498"/>
    <w:rsid w:val="0084466C"/>
    <w:rsid w:val="00844D42"/>
    <w:rsid w:val="00844DD8"/>
    <w:rsid w:val="0084541D"/>
    <w:rsid w:val="00845540"/>
    <w:rsid w:val="00845995"/>
    <w:rsid w:val="00845999"/>
    <w:rsid w:val="00846414"/>
    <w:rsid w:val="00846697"/>
    <w:rsid w:val="008467B2"/>
    <w:rsid w:val="0084689B"/>
    <w:rsid w:val="00846D80"/>
    <w:rsid w:val="00846E28"/>
    <w:rsid w:val="00846EBB"/>
    <w:rsid w:val="008472DB"/>
    <w:rsid w:val="008476A0"/>
    <w:rsid w:val="008476B3"/>
    <w:rsid w:val="00847B9A"/>
    <w:rsid w:val="00847C7E"/>
    <w:rsid w:val="008500A3"/>
    <w:rsid w:val="0085010E"/>
    <w:rsid w:val="008501AC"/>
    <w:rsid w:val="008507C9"/>
    <w:rsid w:val="00850B1C"/>
    <w:rsid w:val="00850C85"/>
    <w:rsid w:val="0085182A"/>
    <w:rsid w:val="008518D8"/>
    <w:rsid w:val="0085190D"/>
    <w:rsid w:val="00851952"/>
    <w:rsid w:val="00852288"/>
    <w:rsid w:val="008523CC"/>
    <w:rsid w:val="008523FD"/>
    <w:rsid w:val="0085291F"/>
    <w:rsid w:val="00852CC8"/>
    <w:rsid w:val="00852FF8"/>
    <w:rsid w:val="0085321E"/>
    <w:rsid w:val="008532E4"/>
    <w:rsid w:val="00853B52"/>
    <w:rsid w:val="00853CD3"/>
    <w:rsid w:val="00853D8D"/>
    <w:rsid w:val="00853DEA"/>
    <w:rsid w:val="00853E16"/>
    <w:rsid w:val="00853EC0"/>
    <w:rsid w:val="00854453"/>
    <w:rsid w:val="008544CC"/>
    <w:rsid w:val="008544CE"/>
    <w:rsid w:val="008546C3"/>
    <w:rsid w:val="0085485E"/>
    <w:rsid w:val="00854E28"/>
    <w:rsid w:val="0085554F"/>
    <w:rsid w:val="00855571"/>
    <w:rsid w:val="00855611"/>
    <w:rsid w:val="00855632"/>
    <w:rsid w:val="008558E4"/>
    <w:rsid w:val="00855A02"/>
    <w:rsid w:val="00855C05"/>
    <w:rsid w:val="00855F5C"/>
    <w:rsid w:val="00855FF9"/>
    <w:rsid w:val="0085603D"/>
    <w:rsid w:val="0085634A"/>
    <w:rsid w:val="00856517"/>
    <w:rsid w:val="00856948"/>
    <w:rsid w:val="00856C52"/>
    <w:rsid w:val="00856E31"/>
    <w:rsid w:val="008571D9"/>
    <w:rsid w:val="00857577"/>
    <w:rsid w:val="00857B3D"/>
    <w:rsid w:val="00857D97"/>
    <w:rsid w:val="00857DE8"/>
    <w:rsid w:val="00857E29"/>
    <w:rsid w:val="00860091"/>
    <w:rsid w:val="008600C0"/>
    <w:rsid w:val="00860274"/>
    <w:rsid w:val="00860370"/>
    <w:rsid w:val="008604AC"/>
    <w:rsid w:val="00860DB9"/>
    <w:rsid w:val="00860FED"/>
    <w:rsid w:val="008612E3"/>
    <w:rsid w:val="00861C6B"/>
    <w:rsid w:val="00861CA5"/>
    <w:rsid w:val="0086220F"/>
    <w:rsid w:val="008622C5"/>
    <w:rsid w:val="008626DF"/>
    <w:rsid w:val="00862F76"/>
    <w:rsid w:val="00863D54"/>
    <w:rsid w:val="00863F91"/>
    <w:rsid w:val="008647BA"/>
    <w:rsid w:val="008647FB"/>
    <w:rsid w:val="00865153"/>
    <w:rsid w:val="00865197"/>
    <w:rsid w:val="00865505"/>
    <w:rsid w:val="008659B6"/>
    <w:rsid w:val="00865A11"/>
    <w:rsid w:val="00865A42"/>
    <w:rsid w:val="00865E95"/>
    <w:rsid w:val="00866108"/>
    <w:rsid w:val="008666A1"/>
    <w:rsid w:val="00866B82"/>
    <w:rsid w:val="00866F3E"/>
    <w:rsid w:val="008671CB"/>
    <w:rsid w:val="00867262"/>
    <w:rsid w:val="0086739B"/>
    <w:rsid w:val="00867500"/>
    <w:rsid w:val="00867674"/>
    <w:rsid w:val="00867FAA"/>
    <w:rsid w:val="008702FF"/>
    <w:rsid w:val="008708E3"/>
    <w:rsid w:val="008709A1"/>
    <w:rsid w:val="00870CEC"/>
    <w:rsid w:val="00870E5E"/>
    <w:rsid w:val="00870E6D"/>
    <w:rsid w:val="00870FB7"/>
    <w:rsid w:val="0087231D"/>
    <w:rsid w:val="008728BD"/>
    <w:rsid w:val="008729B9"/>
    <w:rsid w:val="008729F3"/>
    <w:rsid w:val="00872B2C"/>
    <w:rsid w:val="00872B32"/>
    <w:rsid w:val="00872B64"/>
    <w:rsid w:val="00872C06"/>
    <w:rsid w:val="00872D89"/>
    <w:rsid w:val="00872FDD"/>
    <w:rsid w:val="00873522"/>
    <w:rsid w:val="0087378E"/>
    <w:rsid w:val="0087385E"/>
    <w:rsid w:val="00873C58"/>
    <w:rsid w:val="008742DB"/>
    <w:rsid w:val="0087432F"/>
    <w:rsid w:val="0087446A"/>
    <w:rsid w:val="00874645"/>
    <w:rsid w:val="00874731"/>
    <w:rsid w:val="00874A58"/>
    <w:rsid w:val="00874E23"/>
    <w:rsid w:val="00874E41"/>
    <w:rsid w:val="00874E63"/>
    <w:rsid w:val="0087500A"/>
    <w:rsid w:val="00875348"/>
    <w:rsid w:val="008758A4"/>
    <w:rsid w:val="008759BD"/>
    <w:rsid w:val="00875DA3"/>
    <w:rsid w:val="0087607F"/>
    <w:rsid w:val="00876479"/>
    <w:rsid w:val="00876530"/>
    <w:rsid w:val="0087680A"/>
    <w:rsid w:val="008769BA"/>
    <w:rsid w:val="00876C9C"/>
    <w:rsid w:val="008770B0"/>
    <w:rsid w:val="0087729C"/>
    <w:rsid w:val="00877368"/>
    <w:rsid w:val="008775B0"/>
    <w:rsid w:val="00877611"/>
    <w:rsid w:val="0087777E"/>
    <w:rsid w:val="0087785C"/>
    <w:rsid w:val="00877B1C"/>
    <w:rsid w:val="00877BBD"/>
    <w:rsid w:val="00877EE1"/>
    <w:rsid w:val="0088022D"/>
    <w:rsid w:val="00880357"/>
    <w:rsid w:val="0088051B"/>
    <w:rsid w:val="00880623"/>
    <w:rsid w:val="0088069B"/>
    <w:rsid w:val="008806A6"/>
    <w:rsid w:val="008808BC"/>
    <w:rsid w:val="0088090A"/>
    <w:rsid w:val="00880AD8"/>
    <w:rsid w:val="00881044"/>
    <w:rsid w:val="008812B8"/>
    <w:rsid w:val="0088142D"/>
    <w:rsid w:val="00881435"/>
    <w:rsid w:val="00881440"/>
    <w:rsid w:val="00881B73"/>
    <w:rsid w:val="00881CD4"/>
    <w:rsid w:val="00881F82"/>
    <w:rsid w:val="008824A4"/>
    <w:rsid w:val="00882B90"/>
    <w:rsid w:val="00883307"/>
    <w:rsid w:val="008834A1"/>
    <w:rsid w:val="0088381A"/>
    <w:rsid w:val="0088388C"/>
    <w:rsid w:val="008839D4"/>
    <w:rsid w:val="00883DB1"/>
    <w:rsid w:val="008841E6"/>
    <w:rsid w:val="00884341"/>
    <w:rsid w:val="00884497"/>
    <w:rsid w:val="00884662"/>
    <w:rsid w:val="008848C5"/>
    <w:rsid w:val="00884B1B"/>
    <w:rsid w:val="008850BB"/>
    <w:rsid w:val="0088543F"/>
    <w:rsid w:val="00885498"/>
    <w:rsid w:val="00885DE5"/>
    <w:rsid w:val="00885EF2"/>
    <w:rsid w:val="008860AD"/>
    <w:rsid w:val="008863A5"/>
    <w:rsid w:val="008864D7"/>
    <w:rsid w:val="00886A9A"/>
    <w:rsid w:val="00886B5A"/>
    <w:rsid w:val="00886D05"/>
    <w:rsid w:val="00886FFD"/>
    <w:rsid w:val="008871EA"/>
    <w:rsid w:val="008876FA"/>
    <w:rsid w:val="00887707"/>
    <w:rsid w:val="00887779"/>
    <w:rsid w:val="00887985"/>
    <w:rsid w:val="00887A82"/>
    <w:rsid w:val="00887C57"/>
    <w:rsid w:val="00887D5B"/>
    <w:rsid w:val="00887DA8"/>
    <w:rsid w:val="0089024F"/>
    <w:rsid w:val="0089034B"/>
    <w:rsid w:val="00890637"/>
    <w:rsid w:val="008909B0"/>
    <w:rsid w:val="00890A25"/>
    <w:rsid w:val="00890D5C"/>
    <w:rsid w:val="0089107E"/>
    <w:rsid w:val="0089184B"/>
    <w:rsid w:val="00891928"/>
    <w:rsid w:val="00891B42"/>
    <w:rsid w:val="00891E89"/>
    <w:rsid w:val="008920C4"/>
    <w:rsid w:val="0089222F"/>
    <w:rsid w:val="008923AF"/>
    <w:rsid w:val="008924EC"/>
    <w:rsid w:val="0089262D"/>
    <w:rsid w:val="008928EA"/>
    <w:rsid w:val="00892EA8"/>
    <w:rsid w:val="008933A8"/>
    <w:rsid w:val="0089390A"/>
    <w:rsid w:val="00893974"/>
    <w:rsid w:val="008939B3"/>
    <w:rsid w:val="00893CF8"/>
    <w:rsid w:val="00893E5B"/>
    <w:rsid w:val="00893E9C"/>
    <w:rsid w:val="00893EA0"/>
    <w:rsid w:val="00894720"/>
    <w:rsid w:val="00894764"/>
    <w:rsid w:val="00894882"/>
    <w:rsid w:val="00894B4C"/>
    <w:rsid w:val="00894C7B"/>
    <w:rsid w:val="00894E29"/>
    <w:rsid w:val="008953C1"/>
    <w:rsid w:val="0089663F"/>
    <w:rsid w:val="0089667E"/>
    <w:rsid w:val="00896767"/>
    <w:rsid w:val="00896D82"/>
    <w:rsid w:val="00896DDB"/>
    <w:rsid w:val="00896FA0"/>
    <w:rsid w:val="0089709A"/>
    <w:rsid w:val="0089715C"/>
    <w:rsid w:val="008974C9"/>
    <w:rsid w:val="00897521"/>
    <w:rsid w:val="008977E0"/>
    <w:rsid w:val="0089783C"/>
    <w:rsid w:val="00897905"/>
    <w:rsid w:val="00897A08"/>
    <w:rsid w:val="00897B95"/>
    <w:rsid w:val="00897E10"/>
    <w:rsid w:val="008A007E"/>
    <w:rsid w:val="008A1747"/>
    <w:rsid w:val="008A1B72"/>
    <w:rsid w:val="008A1E79"/>
    <w:rsid w:val="008A1F1A"/>
    <w:rsid w:val="008A28C9"/>
    <w:rsid w:val="008A2B98"/>
    <w:rsid w:val="008A2C0D"/>
    <w:rsid w:val="008A2E55"/>
    <w:rsid w:val="008A2F63"/>
    <w:rsid w:val="008A35EE"/>
    <w:rsid w:val="008A39BF"/>
    <w:rsid w:val="008A3A29"/>
    <w:rsid w:val="008A3DD2"/>
    <w:rsid w:val="008A3F93"/>
    <w:rsid w:val="008A40AC"/>
    <w:rsid w:val="008A47A5"/>
    <w:rsid w:val="008A4D78"/>
    <w:rsid w:val="008A5050"/>
    <w:rsid w:val="008A50EF"/>
    <w:rsid w:val="008A547C"/>
    <w:rsid w:val="008A5716"/>
    <w:rsid w:val="008A57E4"/>
    <w:rsid w:val="008A613D"/>
    <w:rsid w:val="008A67CE"/>
    <w:rsid w:val="008A6A41"/>
    <w:rsid w:val="008A6C09"/>
    <w:rsid w:val="008A6F27"/>
    <w:rsid w:val="008A6FC6"/>
    <w:rsid w:val="008A7054"/>
    <w:rsid w:val="008A72DB"/>
    <w:rsid w:val="008A73DC"/>
    <w:rsid w:val="008A779F"/>
    <w:rsid w:val="008A798B"/>
    <w:rsid w:val="008A7A1A"/>
    <w:rsid w:val="008B0203"/>
    <w:rsid w:val="008B0AE6"/>
    <w:rsid w:val="008B172C"/>
    <w:rsid w:val="008B1950"/>
    <w:rsid w:val="008B19BC"/>
    <w:rsid w:val="008B1B1B"/>
    <w:rsid w:val="008B1C9E"/>
    <w:rsid w:val="008B1E03"/>
    <w:rsid w:val="008B1F9A"/>
    <w:rsid w:val="008B2408"/>
    <w:rsid w:val="008B28F0"/>
    <w:rsid w:val="008B2BD2"/>
    <w:rsid w:val="008B2E76"/>
    <w:rsid w:val="008B3042"/>
    <w:rsid w:val="008B3179"/>
    <w:rsid w:val="008B345F"/>
    <w:rsid w:val="008B3516"/>
    <w:rsid w:val="008B353D"/>
    <w:rsid w:val="008B356E"/>
    <w:rsid w:val="008B3789"/>
    <w:rsid w:val="008B39D8"/>
    <w:rsid w:val="008B3BAE"/>
    <w:rsid w:val="008B3D1D"/>
    <w:rsid w:val="008B3DC2"/>
    <w:rsid w:val="008B4272"/>
    <w:rsid w:val="008B4301"/>
    <w:rsid w:val="008B43B5"/>
    <w:rsid w:val="008B455F"/>
    <w:rsid w:val="008B458A"/>
    <w:rsid w:val="008B474D"/>
    <w:rsid w:val="008B49D2"/>
    <w:rsid w:val="008B49D5"/>
    <w:rsid w:val="008B4B1D"/>
    <w:rsid w:val="008B4B21"/>
    <w:rsid w:val="008B4C4A"/>
    <w:rsid w:val="008B50C9"/>
    <w:rsid w:val="008B5365"/>
    <w:rsid w:val="008B5793"/>
    <w:rsid w:val="008B5927"/>
    <w:rsid w:val="008B59C0"/>
    <w:rsid w:val="008B5B91"/>
    <w:rsid w:val="008B5F21"/>
    <w:rsid w:val="008B61C6"/>
    <w:rsid w:val="008B62F7"/>
    <w:rsid w:val="008B65FB"/>
    <w:rsid w:val="008B685A"/>
    <w:rsid w:val="008B69C0"/>
    <w:rsid w:val="008B6A60"/>
    <w:rsid w:val="008B6BDB"/>
    <w:rsid w:val="008B6EC4"/>
    <w:rsid w:val="008B700B"/>
    <w:rsid w:val="008B7347"/>
    <w:rsid w:val="008B7418"/>
    <w:rsid w:val="008B7582"/>
    <w:rsid w:val="008B76CC"/>
    <w:rsid w:val="008B777A"/>
    <w:rsid w:val="008B79B9"/>
    <w:rsid w:val="008B7E47"/>
    <w:rsid w:val="008B7FBC"/>
    <w:rsid w:val="008C0563"/>
    <w:rsid w:val="008C0665"/>
    <w:rsid w:val="008C071F"/>
    <w:rsid w:val="008C0ABE"/>
    <w:rsid w:val="008C1175"/>
    <w:rsid w:val="008C1365"/>
    <w:rsid w:val="008C140F"/>
    <w:rsid w:val="008C1420"/>
    <w:rsid w:val="008C150D"/>
    <w:rsid w:val="008C1670"/>
    <w:rsid w:val="008C1696"/>
    <w:rsid w:val="008C18F1"/>
    <w:rsid w:val="008C28C4"/>
    <w:rsid w:val="008C29CB"/>
    <w:rsid w:val="008C31E5"/>
    <w:rsid w:val="008C3383"/>
    <w:rsid w:val="008C360C"/>
    <w:rsid w:val="008C39D9"/>
    <w:rsid w:val="008C3A14"/>
    <w:rsid w:val="008C3FC8"/>
    <w:rsid w:val="008C4724"/>
    <w:rsid w:val="008C4C9A"/>
    <w:rsid w:val="008C4CA5"/>
    <w:rsid w:val="008C4F08"/>
    <w:rsid w:val="008C53F1"/>
    <w:rsid w:val="008C59C9"/>
    <w:rsid w:val="008C59F6"/>
    <w:rsid w:val="008C5A33"/>
    <w:rsid w:val="008C5C82"/>
    <w:rsid w:val="008C640D"/>
    <w:rsid w:val="008C6691"/>
    <w:rsid w:val="008C6782"/>
    <w:rsid w:val="008C68D5"/>
    <w:rsid w:val="008C6C72"/>
    <w:rsid w:val="008C6C8D"/>
    <w:rsid w:val="008C6E03"/>
    <w:rsid w:val="008C7392"/>
    <w:rsid w:val="008C7524"/>
    <w:rsid w:val="008C77E1"/>
    <w:rsid w:val="008C7C6B"/>
    <w:rsid w:val="008D0076"/>
    <w:rsid w:val="008D0627"/>
    <w:rsid w:val="008D06E1"/>
    <w:rsid w:val="008D0763"/>
    <w:rsid w:val="008D0B87"/>
    <w:rsid w:val="008D0D9B"/>
    <w:rsid w:val="008D12FB"/>
    <w:rsid w:val="008D1366"/>
    <w:rsid w:val="008D15D1"/>
    <w:rsid w:val="008D1701"/>
    <w:rsid w:val="008D175E"/>
    <w:rsid w:val="008D1B66"/>
    <w:rsid w:val="008D1D17"/>
    <w:rsid w:val="008D201C"/>
    <w:rsid w:val="008D2EEB"/>
    <w:rsid w:val="008D2F28"/>
    <w:rsid w:val="008D313C"/>
    <w:rsid w:val="008D3506"/>
    <w:rsid w:val="008D35C7"/>
    <w:rsid w:val="008D3978"/>
    <w:rsid w:val="008D397F"/>
    <w:rsid w:val="008D3FD6"/>
    <w:rsid w:val="008D407C"/>
    <w:rsid w:val="008D430E"/>
    <w:rsid w:val="008D4D8D"/>
    <w:rsid w:val="008D50B5"/>
    <w:rsid w:val="008D51A8"/>
    <w:rsid w:val="008D534A"/>
    <w:rsid w:val="008D5375"/>
    <w:rsid w:val="008D5518"/>
    <w:rsid w:val="008D5B54"/>
    <w:rsid w:val="008D5F53"/>
    <w:rsid w:val="008D61A3"/>
    <w:rsid w:val="008D635F"/>
    <w:rsid w:val="008D63AE"/>
    <w:rsid w:val="008D6754"/>
    <w:rsid w:val="008D692A"/>
    <w:rsid w:val="008D6952"/>
    <w:rsid w:val="008D6A02"/>
    <w:rsid w:val="008D6AEE"/>
    <w:rsid w:val="008D6D01"/>
    <w:rsid w:val="008D6E88"/>
    <w:rsid w:val="008D723B"/>
    <w:rsid w:val="008D7788"/>
    <w:rsid w:val="008D7EF1"/>
    <w:rsid w:val="008E0147"/>
    <w:rsid w:val="008E03ED"/>
    <w:rsid w:val="008E04BD"/>
    <w:rsid w:val="008E057F"/>
    <w:rsid w:val="008E0B76"/>
    <w:rsid w:val="008E0E3E"/>
    <w:rsid w:val="008E12E2"/>
    <w:rsid w:val="008E14C8"/>
    <w:rsid w:val="008E16F4"/>
    <w:rsid w:val="008E1733"/>
    <w:rsid w:val="008E17AB"/>
    <w:rsid w:val="008E1A47"/>
    <w:rsid w:val="008E1FB2"/>
    <w:rsid w:val="008E20C2"/>
    <w:rsid w:val="008E2454"/>
    <w:rsid w:val="008E26EB"/>
    <w:rsid w:val="008E28EF"/>
    <w:rsid w:val="008E2A39"/>
    <w:rsid w:val="008E2C87"/>
    <w:rsid w:val="008E2DE5"/>
    <w:rsid w:val="008E2F2A"/>
    <w:rsid w:val="008E3080"/>
    <w:rsid w:val="008E3098"/>
    <w:rsid w:val="008E3AC1"/>
    <w:rsid w:val="008E3FB6"/>
    <w:rsid w:val="008E4082"/>
    <w:rsid w:val="008E426A"/>
    <w:rsid w:val="008E427C"/>
    <w:rsid w:val="008E4622"/>
    <w:rsid w:val="008E463A"/>
    <w:rsid w:val="008E4728"/>
    <w:rsid w:val="008E4AA1"/>
    <w:rsid w:val="008E4FDA"/>
    <w:rsid w:val="008E4FE6"/>
    <w:rsid w:val="008E5007"/>
    <w:rsid w:val="008E5614"/>
    <w:rsid w:val="008E56C1"/>
    <w:rsid w:val="008E5843"/>
    <w:rsid w:val="008E585F"/>
    <w:rsid w:val="008E58BF"/>
    <w:rsid w:val="008E60D0"/>
    <w:rsid w:val="008E6442"/>
    <w:rsid w:val="008E650F"/>
    <w:rsid w:val="008E66BE"/>
    <w:rsid w:val="008E6A44"/>
    <w:rsid w:val="008E6B7F"/>
    <w:rsid w:val="008E6FBC"/>
    <w:rsid w:val="008E7510"/>
    <w:rsid w:val="008E75D1"/>
    <w:rsid w:val="008E7651"/>
    <w:rsid w:val="008E76D2"/>
    <w:rsid w:val="008E7708"/>
    <w:rsid w:val="008E7889"/>
    <w:rsid w:val="008E7B8B"/>
    <w:rsid w:val="008E7DEB"/>
    <w:rsid w:val="008E7E5C"/>
    <w:rsid w:val="008F0134"/>
    <w:rsid w:val="008F04D6"/>
    <w:rsid w:val="008F0B83"/>
    <w:rsid w:val="008F0E18"/>
    <w:rsid w:val="008F0E30"/>
    <w:rsid w:val="008F10BC"/>
    <w:rsid w:val="008F1261"/>
    <w:rsid w:val="008F174F"/>
    <w:rsid w:val="008F1769"/>
    <w:rsid w:val="008F19E8"/>
    <w:rsid w:val="008F1AA7"/>
    <w:rsid w:val="008F1BC3"/>
    <w:rsid w:val="008F1DFC"/>
    <w:rsid w:val="008F1E54"/>
    <w:rsid w:val="008F1FBC"/>
    <w:rsid w:val="008F24E1"/>
    <w:rsid w:val="008F2520"/>
    <w:rsid w:val="008F2DB9"/>
    <w:rsid w:val="008F2E5B"/>
    <w:rsid w:val="008F3435"/>
    <w:rsid w:val="008F36F4"/>
    <w:rsid w:val="008F3B84"/>
    <w:rsid w:val="008F3BB1"/>
    <w:rsid w:val="008F3F09"/>
    <w:rsid w:val="008F4219"/>
    <w:rsid w:val="008F4259"/>
    <w:rsid w:val="008F477E"/>
    <w:rsid w:val="008F4B1F"/>
    <w:rsid w:val="008F4F17"/>
    <w:rsid w:val="008F529B"/>
    <w:rsid w:val="008F5E47"/>
    <w:rsid w:val="008F609C"/>
    <w:rsid w:val="008F61D3"/>
    <w:rsid w:val="008F65C2"/>
    <w:rsid w:val="008F68E0"/>
    <w:rsid w:val="008F6C2E"/>
    <w:rsid w:val="008F70A1"/>
    <w:rsid w:val="008F7242"/>
    <w:rsid w:val="008F730C"/>
    <w:rsid w:val="008F75EF"/>
    <w:rsid w:val="008F76C0"/>
    <w:rsid w:val="008F76CD"/>
    <w:rsid w:val="008F7713"/>
    <w:rsid w:val="008F77F2"/>
    <w:rsid w:val="0090122F"/>
    <w:rsid w:val="00901235"/>
    <w:rsid w:val="0090126B"/>
    <w:rsid w:val="00901333"/>
    <w:rsid w:val="00901960"/>
    <w:rsid w:val="00901BDA"/>
    <w:rsid w:val="00901DD2"/>
    <w:rsid w:val="00901E2E"/>
    <w:rsid w:val="00902031"/>
    <w:rsid w:val="0090211A"/>
    <w:rsid w:val="00902135"/>
    <w:rsid w:val="0090234B"/>
    <w:rsid w:val="0090239A"/>
    <w:rsid w:val="00902572"/>
    <w:rsid w:val="00902607"/>
    <w:rsid w:val="0090269E"/>
    <w:rsid w:val="009027CD"/>
    <w:rsid w:val="00902DF2"/>
    <w:rsid w:val="009030C1"/>
    <w:rsid w:val="00903C83"/>
    <w:rsid w:val="00904075"/>
    <w:rsid w:val="0090418E"/>
    <w:rsid w:val="00904191"/>
    <w:rsid w:val="00904368"/>
    <w:rsid w:val="00904503"/>
    <w:rsid w:val="0090457F"/>
    <w:rsid w:val="0090471A"/>
    <w:rsid w:val="009047A4"/>
    <w:rsid w:val="009049F3"/>
    <w:rsid w:val="00905878"/>
    <w:rsid w:val="00905ACF"/>
    <w:rsid w:val="00905F11"/>
    <w:rsid w:val="0090618E"/>
    <w:rsid w:val="0090667D"/>
    <w:rsid w:val="00906733"/>
    <w:rsid w:val="00906D3C"/>
    <w:rsid w:val="00907615"/>
    <w:rsid w:val="00910689"/>
    <w:rsid w:val="0091093B"/>
    <w:rsid w:val="009109DB"/>
    <w:rsid w:val="00910A7D"/>
    <w:rsid w:val="00910B0D"/>
    <w:rsid w:val="00910F28"/>
    <w:rsid w:val="009110D6"/>
    <w:rsid w:val="0091112D"/>
    <w:rsid w:val="00911196"/>
    <w:rsid w:val="0091139D"/>
    <w:rsid w:val="0091173C"/>
    <w:rsid w:val="00911CFE"/>
    <w:rsid w:val="00911DA3"/>
    <w:rsid w:val="00911E41"/>
    <w:rsid w:val="00912188"/>
    <w:rsid w:val="00912332"/>
    <w:rsid w:val="00912537"/>
    <w:rsid w:val="00912548"/>
    <w:rsid w:val="00912677"/>
    <w:rsid w:val="0091298B"/>
    <w:rsid w:val="00912BC1"/>
    <w:rsid w:val="00912DB4"/>
    <w:rsid w:val="00913128"/>
    <w:rsid w:val="009133DA"/>
    <w:rsid w:val="009134D9"/>
    <w:rsid w:val="009135BB"/>
    <w:rsid w:val="00913F41"/>
    <w:rsid w:val="0091402E"/>
    <w:rsid w:val="0091410A"/>
    <w:rsid w:val="0091425A"/>
    <w:rsid w:val="009142A7"/>
    <w:rsid w:val="009144A7"/>
    <w:rsid w:val="00914674"/>
    <w:rsid w:val="0091485A"/>
    <w:rsid w:val="0091495F"/>
    <w:rsid w:val="00914B03"/>
    <w:rsid w:val="00914CD7"/>
    <w:rsid w:val="009152EC"/>
    <w:rsid w:val="009153D4"/>
    <w:rsid w:val="0091559A"/>
    <w:rsid w:val="0091567E"/>
    <w:rsid w:val="00915699"/>
    <w:rsid w:val="009156C8"/>
    <w:rsid w:val="00915C7E"/>
    <w:rsid w:val="009163B1"/>
    <w:rsid w:val="00916425"/>
    <w:rsid w:val="009166EB"/>
    <w:rsid w:val="009168BB"/>
    <w:rsid w:val="009168C3"/>
    <w:rsid w:val="00916DD4"/>
    <w:rsid w:val="00916FE6"/>
    <w:rsid w:val="00917812"/>
    <w:rsid w:val="009178EA"/>
    <w:rsid w:val="00917DA1"/>
    <w:rsid w:val="00920420"/>
    <w:rsid w:val="00920732"/>
    <w:rsid w:val="00920934"/>
    <w:rsid w:val="0092093A"/>
    <w:rsid w:val="0092099B"/>
    <w:rsid w:val="00920A99"/>
    <w:rsid w:val="00920DAF"/>
    <w:rsid w:val="00921066"/>
    <w:rsid w:val="009210F8"/>
    <w:rsid w:val="009214C9"/>
    <w:rsid w:val="009215D1"/>
    <w:rsid w:val="00921663"/>
    <w:rsid w:val="009219A9"/>
    <w:rsid w:val="00921DF6"/>
    <w:rsid w:val="0092243F"/>
    <w:rsid w:val="00922665"/>
    <w:rsid w:val="0092269B"/>
    <w:rsid w:val="00922784"/>
    <w:rsid w:val="00922AB2"/>
    <w:rsid w:val="00922C9E"/>
    <w:rsid w:val="0092313A"/>
    <w:rsid w:val="00923146"/>
    <w:rsid w:val="009232D4"/>
    <w:rsid w:val="0092344C"/>
    <w:rsid w:val="0092370C"/>
    <w:rsid w:val="00923808"/>
    <w:rsid w:val="009238B9"/>
    <w:rsid w:val="009238D2"/>
    <w:rsid w:val="0092393B"/>
    <w:rsid w:val="00923A56"/>
    <w:rsid w:val="00923BF1"/>
    <w:rsid w:val="00923C74"/>
    <w:rsid w:val="00923DEB"/>
    <w:rsid w:val="00923E96"/>
    <w:rsid w:val="0092419B"/>
    <w:rsid w:val="0092449D"/>
    <w:rsid w:val="00924BEF"/>
    <w:rsid w:val="00924D41"/>
    <w:rsid w:val="00924D7C"/>
    <w:rsid w:val="00924F5A"/>
    <w:rsid w:val="00924F63"/>
    <w:rsid w:val="00925137"/>
    <w:rsid w:val="00925467"/>
    <w:rsid w:val="00925699"/>
    <w:rsid w:val="00925960"/>
    <w:rsid w:val="009259E4"/>
    <w:rsid w:val="00925C76"/>
    <w:rsid w:val="00925D41"/>
    <w:rsid w:val="00925D80"/>
    <w:rsid w:val="00926618"/>
    <w:rsid w:val="00926624"/>
    <w:rsid w:val="009269C0"/>
    <w:rsid w:val="00926E84"/>
    <w:rsid w:val="00926E96"/>
    <w:rsid w:val="00926EDF"/>
    <w:rsid w:val="00926F3C"/>
    <w:rsid w:val="009271B4"/>
    <w:rsid w:val="00927958"/>
    <w:rsid w:val="009279BD"/>
    <w:rsid w:val="00927B02"/>
    <w:rsid w:val="00927FBB"/>
    <w:rsid w:val="00930223"/>
    <w:rsid w:val="00930271"/>
    <w:rsid w:val="00930C25"/>
    <w:rsid w:val="00930EFF"/>
    <w:rsid w:val="00930FF7"/>
    <w:rsid w:val="00931067"/>
    <w:rsid w:val="009311B4"/>
    <w:rsid w:val="0093149E"/>
    <w:rsid w:val="009316C3"/>
    <w:rsid w:val="00931A93"/>
    <w:rsid w:val="00931CF9"/>
    <w:rsid w:val="00932115"/>
    <w:rsid w:val="009321D5"/>
    <w:rsid w:val="00932781"/>
    <w:rsid w:val="0093289D"/>
    <w:rsid w:val="0093308A"/>
    <w:rsid w:val="0093308B"/>
    <w:rsid w:val="009333F3"/>
    <w:rsid w:val="00933577"/>
    <w:rsid w:val="00933713"/>
    <w:rsid w:val="00933921"/>
    <w:rsid w:val="00933BE3"/>
    <w:rsid w:val="00933C9F"/>
    <w:rsid w:val="00933EF9"/>
    <w:rsid w:val="00933F7B"/>
    <w:rsid w:val="00934933"/>
    <w:rsid w:val="00934BA5"/>
    <w:rsid w:val="009351AC"/>
    <w:rsid w:val="009352FA"/>
    <w:rsid w:val="009356B8"/>
    <w:rsid w:val="00935AA7"/>
    <w:rsid w:val="00935B8D"/>
    <w:rsid w:val="00935C34"/>
    <w:rsid w:val="0093611C"/>
    <w:rsid w:val="009361A8"/>
    <w:rsid w:val="009363D0"/>
    <w:rsid w:val="00936925"/>
    <w:rsid w:val="009371BD"/>
    <w:rsid w:val="009372D4"/>
    <w:rsid w:val="00937352"/>
    <w:rsid w:val="009376CF"/>
    <w:rsid w:val="00937711"/>
    <w:rsid w:val="009379A4"/>
    <w:rsid w:val="009379FD"/>
    <w:rsid w:val="00937D56"/>
    <w:rsid w:val="00937E18"/>
    <w:rsid w:val="00937E2E"/>
    <w:rsid w:val="00937F93"/>
    <w:rsid w:val="00940619"/>
    <w:rsid w:val="00940749"/>
    <w:rsid w:val="00940E51"/>
    <w:rsid w:val="00940E83"/>
    <w:rsid w:val="00940EB2"/>
    <w:rsid w:val="00940FDA"/>
    <w:rsid w:val="00941099"/>
    <w:rsid w:val="00941214"/>
    <w:rsid w:val="009413FB"/>
    <w:rsid w:val="00941408"/>
    <w:rsid w:val="00941D1B"/>
    <w:rsid w:val="009420CD"/>
    <w:rsid w:val="00942270"/>
    <w:rsid w:val="009422D0"/>
    <w:rsid w:val="009427A2"/>
    <w:rsid w:val="009428E6"/>
    <w:rsid w:val="00942B2A"/>
    <w:rsid w:val="00943153"/>
    <w:rsid w:val="009431F5"/>
    <w:rsid w:val="009431FF"/>
    <w:rsid w:val="0094321D"/>
    <w:rsid w:val="00943416"/>
    <w:rsid w:val="00943483"/>
    <w:rsid w:val="009438A5"/>
    <w:rsid w:val="00943943"/>
    <w:rsid w:val="00943CEE"/>
    <w:rsid w:val="00943D3D"/>
    <w:rsid w:val="00943D6E"/>
    <w:rsid w:val="00943EBE"/>
    <w:rsid w:val="009442B0"/>
    <w:rsid w:val="009446AA"/>
    <w:rsid w:val="00945076"/>
    <w:rsid w:val="00945169"/>
    <w:rsid w:val="00945436"/>
    <w:rsid w:val="0094557E"/>
    <w:rsid w:val="00945658"/>
    <w:rsid w:val="00945A89"/>
    <w:rsid w:val="00945BF7"/>
    <w:rsid w:val="00946063"/>
    <w:rsid w:val="009462F0"/>
    <w:rsid w:val="00946607"/>
    <w:rsid w:val="00946877"/>
    <w:rsid w:val="00946E6A"/>
    <w:rsid w:val="0094753F"/>
    <w:rsid w:val="0094756A"/>
    <w:rsid w:val="009476C1"/>
    <w:rsid w:val="009477D3"/>
    <w:rsid w:val="00947918"/>
    <w:rsid w:val="00947BCD"/>
    <w:rsid w:val="00947EC2"/>
    <w:rsid w:val="00947EC4"/>
    <w:rsid w:val="009500EF"/>
    <w:rsid w:val="0095016E"/>
    <w:rsid w:val="00950230"/>
    <w:rsid w:val="00950324"/>
    <w:rsid w:val="00950559"/>
    <w:rsid w:val="009506F2"/>
    <w:rsid w:val="0095077F"/>
    <w:rsid w:val="009507DD"/>
    <w:rsid w:val="00950886"/>
    <w:rsid w:val="0095093B"/>
    <w:rsid w:val="009519D3"/>
    <w:rsid w:val="00951A08"/>
    <w:rsid w:val="00951A51"/>
    <w:rsid w:val="009522D3"/>
    <w:rsid w:val="00952609"/>
    <w:rsid w:val="009527C0"/>
    <w:rsid w:val="00952AAE"/>
    <w:rsid w:val="00952AB6"/>
    <w:rsid w:val="00952FAC"/>
    <w:rsid w:val="00953258"/>
    <w:rsid w:val="009535A9"/>
    <w:rsid w:val="009538A7"/>
    <w:rsid w:val="009538D3"/>
    <w:rsid w:val="00953C4B"/>
    <w:rsid w:val="00953DCD"/>
    <w:rsid w:val="009542C4"/>
    <w:rsid w:val="009543B8"/>
    <w:rsid w:val="00954776"/>
    <w:rsid w:val="00954E78"/>
    <w:rsid w:val="00954FE0"/>
    <w:rsid w:val="0095514F"/>
    <w:rsid w:val="0095530E"/>
    <w:rsid w:val="00955C52"/>
    <w:rsid w:val="00955C6A"/>
    <w:rsid w:val="00955D1E"/>
    <w:rsid w:val="00956323"/>
    <w:rsid w:val="009565BF"/>
    <w:rsid w:val="00956A60"/>
    <w:rsid w:val="00956AC7"/>
    <w:rsid w:val="00956D22"/>
    <w:rsid w:val="00956E01"/>
    <w:rsid w:val="009570EE"/>
    <w:rsid w:val="0095744A"/>
    <w:rsid w:val="00957497"/>
    <w:rsid w:val="009574E9"/>
    <w:rsid w:val="00957631"/>
    <w:rsid w:val="0095765A"/>
    <w:rsid w:val="00957722"/>
    <w:rsid w:val="009577C5"/>
    <w:rsid w:val="0095783C"/>
    <w:rsid w:val="00957B33"/>
    <w:rsid w:val="00957EAC"/>
    <w:rsid w:val="009600A3"/>
    <w:rsid w:val="0096027B"/>
    <w:rsid w:val="00960413"/>
    <w:rsid w:val="00960886"/>
    <w:rsid w:val="00960CDC"/>
    <w:rsid w:val="00960D18"/>
    <w:rsid w:val="00960E7F"/>
    <w:rsid w:val="00960EF3"/>
    <w:rsid w:val="00960F26"/>
    <w:rsid w:val="00961175"/>
    <w:rsid w:val="009613A9"/>
    <w:rsid w:val="0096151B"/>
    <w:rsid w:val="009617AF"/>
    <w:rsid w:val="009617EE"/>
    <w:rsid w:val="0096190F"/>
    <w:rsid w:val="00961A8F"/>
    <w:rsid w:val="00961D70"/>
    <w:rsid w:val="00961E6C"/>
    <w:rsid w:val="00961F0A"/>
    <w:rsid w:val="0096204C"/>
    <w:rsid w:val="00962095"/>
    <w:rsid w:val="00962134"/>
    <w:rsid w:val="009626E7"/>
    <w:rsid w:val="009627C8"/>
    <w:rsid w:val="00962FA1"/>
    <w:rsid w:val="00963102"/>
    <w:rsid w:val="009632A7"/>
    <w:rsid w:val="00963597"/>
    <w:rsid w:val="00963851"/>
    <w:rsid w:val="009639F7"/>
    <w:rsid w:val="00963D59"/>
    <w:rsid w:val="00963D76"/>
    <w:rsid w:val="00964008"/>
    <w:rsid w:val="009645D0"/>
    <w:rsid w:val="00964B4D"/>
    <w:rsid w:val="00964D7D"/>
    <w:rsid w:val="009651E6"/>
    <w:rsid w:val="009654E3"/>
    <w:rsid w:val="009656ED"/>
    <w:rsid w:val="00965A2B"/>
    <w:rsid w:val="00965B04"/>
    <w:rsid w:val="00965BAB"/>
    <w:rsid w:val="00965D6E"/>
    <w:rsid w:val="00965DE9"/>
    <w:rsid w:val="00965ECA"/>
    <w:rsid w:val="00965FEE"/>
    <w:rsid w:val="0096626E"/>
    <w:rsid w:val="00966389"/>
    <w:rsid w:val="0096645D"/>
    <w:rsid w:val="0096680A"/>
    <w:rsid w:val="009668A0"/>
    <w:rsid w:val="009668E7"/>
    <w:rsid w:val="00966A6E"/>
    <w:rsid w:val="009674B7"/>
    <w:rsid w:val="00967AFA"/>
    <w:rsid w:val="00967E5E"/>
    <w:rsid w:val="00967F42"/>
    <w:rsid w:val="00970257"/>
    <w:rsid w:val="009702C1"/>
    <w:rsid w:val="009702F3"/>
    <w:rsid w:val="009703E3"/>
    <w:rsid w:val="00970C7F"/>
    <w:rsid w:val="00970F7D"/>
    <w:rsid w:val="00971C14"/>
    <w:rsid w:val="00971CD8"/>
    <w:rsid w:val="0097203C"/>
    <w:rsid w:val="00972377"/>
    <w:rsid w:val="0097256D"/>
    <w:rsid w:val="009725F4"/>
    <w:rsid w:val="009726E1"/>
    <w:rsid w:val="00972F0F"/>
    <w:rsid w:val="00973848"/>
    <w:rsid w:val="00973CCE"/>
    <w:rsid w:val="00973DCA"/>
    <w:rsid w:val="00973F13"/>
    <w:rsid w:val="0097434D"/>
    <w:rsid w:val="00974527"/>
    <w:rsid w:val="00974605"/>
    <w:rsid w:val="0097475E"/>
    <w:rsid w:val="0097480B"/>
    <w:rsid w:val="00974866"/>
    <w:rsid w:val="00974C54"/>
    <w:rsid w:val="00974D47"/>
    <w:rsid w:val="00975166"/>
    <w:rsid w:val="00975345"/>
    <w:rsid w:val="00975AB2"/>
    <w:rsid w:val="00975ACA"/>
    <w:rsid w:val="00975E60"/>
    <w:rsid w:val="009773BE"/>
    <w:rsid w:val="009774DE"/>
    <w:rsid w:val="009775AA"/>
    <w:rsid w:val="009776F3"/>
    <w:rsid w:val="009777AB"/>
    <w:rsid w:val="009777F6"/>
    <w:rsid w:val="009777FB"/>
    <w:rsid w:val="00977952"/>
    <w:rsid w:val="00977FFA"/>
    <w:rsid w:val="00980456"/>
    <w:rsid w:val="009804C3"/>
    <w:rsid w:val="009806EA"/>
    <w:rsid w:val="0098086C"/>
    <w:rsid w:val="00980AAA"/>
    <w:rsid w:val="00980BB5"/>
    <w:rsid w:val="00980FC9"/>
    <w:rsid w:val="00981232"/>
    <w:rsid w:val="00981A04"/>
    <w:rsid w:val="00981DA4"/>
    <w:rsid w:val="00982072"/>
    <w:rsid w:val="009826D9"/>
    <w:rsid w:val="0098372A"/>
    <w:rsid w:val="009838B5"/>
    <w:rsid w:val="00983DFC"/>
    <w:rsid w:val="00983E2A"/>
    <w:rsid w:val="00983F09"/>
    <w:rsid w:val="009841E5"/>
    <w:rsid w:val="009842DD"/>
    <w:rsid w:val="0098464F"/>
    <w:rsid w:val="0098487A"/>
    <w:rsid w:val="00984A78"/>
    <w:rsid w:val="00984AA3"/>
    <w:rsid w:val="00984D7A"/>
    <w:rsid w:val="00984F77"/>
    <w:rsid w:val="009851FD"/>
    <w:rsid w:val="00985325"/>
    <w:rsid w:val="00985368"/>
    <w:rsid w:val="00985380"/>
    <w:rsid w:val="0098575F"/>
    <w:rsid w:val="00985A55"/>
    <w:rsid w:val="00985B1E"/>
    <w:rsid w:val="009861C3"/>
    <w:rsid w:val="0098656D"/>
    <w:rsid w:val="009867C9"/>
    <w:rsid w:val="00986A77"/>
    <w:rsid w:val="00986AAA"/>
    <w:rsid w:val="00986DD9"/>
    <w:rsid w:val="00986F0F"/>
    <w:rsid w:val="009872C4"/>
    <w:rsid w:val="00987EB1"/>
    <w:rsid w:val="009905F1"/>
    <w:rsid w:val="0099078F"/>
    <w:rsid w:val="009907BA"/>
    <w:rsid w:val="00990C49"/>
    <w:rsid w:val="00990CC4"/>
    <w:rsid w:val="00991EE3"/>
    <w:rsid w:val="00992442"/>
    <w:rsid w:val="00992B2B"/>
    <w:rsid w:val="00992D6B"/>
    <w:rsid w:val="00992E8C"/>
    <w:rsid w:val="00993041"/>
    <w:rsid w:val="00993463"/>
    <w:rsid w:val="009935FA"/>
    <w:rsid w:val="0099365E"/>
    <w:rsid w:val="00993684"/>
    <w:rsid w:val="0099379A"/>
    <w:rsid w:val="00993B02"/>
    <w:rsid w:val="00993B37"/>
    <w:rsid w:val="00993F4B"/>
    <w:rsid w:val="0099412F"/>
    <w:rsid w:val="00994294"/>
    <w:rsid w:val="00994649"/>
    <w:rsid w:val="009948A0"/>
    <w:rsid w:val="00994A5F"/>
    <w:rsid w:val="00994D41"/>
    <w:rsid w:val="00994F74"/>
    <w:rsid w:val="009950AD"/>
    <w:rsid w:val="0099510E"/>
    <w:rsid w:val="00995497"/>
    <w:rsid w:val="0099556C"/>
    <w:rsid w:val="00995A6B"/>
    <w:rsid w:val="00995C95"/>
    <w:rsid w:val="00996324"/>
    <w:rsid w:val="0099660B"/>
    <w:rsid w:val="0099668E"/>
    <w:rsid w:val="00996BED"/>
    <w:rsid w:val="00997188"/>
    <w:rsid w:val="009973A4"/>
    <w:rsid w:val="0099766E"/>
    <w:rsid w:val="0099775B"/>
    <w:rsid w:val="00997C26"/>
    <w:rsid w:val="00997D1B"/>
    <w:rsid w:val="00997D78"/>
    <w:rsid w:val="00997F9F"/>
    <w:rsid w:val="009A0106"/>
    <w:rsid w:val="009A05E4"/>
    <w:rsid w:val="009A0624"/>
    <w:rsid w:val="009A073A"/>
    <w:rsid w:val="009A0880"/>
    <w:rsid w:val="009A0AB1"/>
    <w:rsid w:val="009A0CAE"/>
    <w:rsid w:val="009A0DB9"/>
    <w:rsid w:val="009A0E67"/>
    <w:rsid w:val="009A104C"/>
    <w:rsid w:val="009A185B"/>
    <w:rsid w:val="009A1C58"/>
    <w:rsid w:val="009A2096"/>
    <w:rsid w:val="009A23B6"/>
    <w:rsid w:val="009A23E6"/>
    <w:rsid w:val="009A2841"/>
    <w:rsid w:val="009A2858"/>
    <w:rsid w:val="009A2EC4"/>
    <w:rsid w:val="009A31FD"/>
    <w:rsid w:val="009A3517"/>
    <w:rsid w:val="009A37A6"/>
    <w:rsid w:val="009A3AE4"/>
    <w:rsid w:val="009A3D37"/>
    <w:rsid w:val="009A3FB2"/>
    <w:rsid w:val="009A40C5"/>
    <w:rsid w:val="009A425D"/>
    <w:rsid w:val="009A4895"/>
    <w:rsid w:val="009A4D82"/>
    <w:rsid w:val="009A4EEF"/>
    <w:rsid w:val="009A5038"/>
    <w:rsid w:val="009A5648"/>
    <w:rsid w:val="009A56B9"/>
    <w:rsid w:val="009A5B47"/>
    <w:rsid w:val="009A5BE5"/>
    <w:rsid w:val="009A5F66"/>
    <w:rsid w:val="009A6058"/>
    <w:rsid w:val="009A6089"/>
    <w:rsid w:val="009A636B"/>
    <w:rsid w:val="009A661F"/>
    <w:rsid w:val="009A6776"/>
    <w:rsid w:val="009A6A50"/>
    <w:rsid w:val="009A6BCF"/>
    <w:rsid w:val="009A6DD4"/>
    <w:rsid w:val="009A6F7F"/>
    <w:rsid w:val="009A6FD5"/>
    <w:rsid w:val="009A77B9"/>
    <w:rsid w:val="009B035A"/>
    <w:rsid w:val="009B0810"/>
    <w:rsid w:val="009B0B47"/>
    <w:rsid w:val="009B1289"/>
    <w:rsid w:val="009B12D7"/>
    <w:rsid w:val="009B12EC"/>
    <w:rsid w:val="009B1391"/>
    <w:rsid w:val="009B169A"/>
    <w:rsid w:val="009B17DE"/>
    <w:rsid w:val="009B18DB"/>
    <w:rsid w:val="009B2BD7"/>
    <w:rsid w:val="009B347C"/>
    <w:rsid w:val="009B360B"/>
    <w:rsid w:val="009B3B0A"/>
    <w:rsid w:val="009B3DF8"/>
    <w:rsid w:val="009B451E"/>
    <w:rsid w:val="009B4B94"/>
    <w:rsid w:val="009B4D31"/>
    <w:rsid w:val="009B4F15"/>
    <w:rsid w:val="009B5788"/>
    <w:rsid w:val="009B5794"/>
    <w:rsid w:val="009B5CDC"/>
    <w:rsid w:val="009B5EE2"/>
    <w:rsid w:val="009B6579"/>
    <w:rsid w:val="009B6E36"/>
    <w:rsid w:val="009B6EA9"/>
    <w:rsid w:val="009B704F"/>
    <w:rsid w:val="009B7349"/>
    <w:rsid w:val="009B7372"/>
    <w:rsid w:val="009B73D0"/>
    <w:rsid w:val="009B796D"/>
    <w:rsid w:val="009B7B23"/>
    <w:rsid w:val="009B7B6F"/>
    <w:rsid w:val="009B7D4E"/>
    <w:rsid w:val="009B7FDA"/>
    <w:rsid w:val="009C012F"/>
    <w:rsid w:val="009C018A"/>
    <w:rsid w:val="009C0F29"/>
    <w:rsid w:val="009C120D"/>
    <w:rsid w:val="009C12C4"/>
    <w:rsid w:val="009C168F"/>
    <w:rsid w:val="009C16A2"/>
    <w:rsid w:val="009C197B"/>
    <w:rsid w:val="009C1B03"/>
    <w:rsid w:val="009C1EC3"/>
    <w:rsid w:val="009C1FEF"/>
    <w:rsid w:val="009C20AF"/>
    <w:rsid w:val="009C210E"/>
    <w:rsid w:val="009C2189"/>
    <w:rsid w:val="009C21FE"/>
    <w:rsid w:val="009C23A5"/>
    <w:rsid w:val="009C289E"/>
    <w:rsid w:val="009C2A26"/>
    <w:rsid w:val="009C2E69"/>
    <w:rsid w:val="009C2E74"/>
    <w:rsid w:val="009C368B"/>
    <w:rsid w:val="009C3B8B"/>
    <w:rsid w:val="009C40E9"/>
    <w:rsid w:val="009C411E"/>
    <w:rsid w:val="009C4257"/>
    <w:rsid w:val="009C45B6"/>
    <w:rsid w:val="009C48FB"/>
    <w:rsid w:val="009C4B57"/>
    <w:rsid w:val="009C4EDF"/>
    <w:rsid w:val="009C4F59"/>
    <w:rsid w:val="009C5081"/>
    <w:rsid w:val="009C536E"/>
    <w:rsid w:val="009C54EB"/>
    <w:rsid w:val="009C55DC"/>
    <w:rsid w:val="009C5859"/>
    <w:rsid w:val="009C5B42"/>
    <w:rsid w:val="009C5E07"/>
    <w:rsid w:val="009C5E74"/>
    <w:rsid w:val="009C5EC5"/>
    <w:rsid w:val="009C6C5C"/>
    <w:rsid w:val="009C6F3C"/>
    <w:rsid w:val="009C6FBE"/>
    <w:rsid w:val="009C70BB"/>
    <w:rsid w:val="009C723C"/>
    <w:rsid w:val="009C7516"/>
    <w:rsid w:val="009C77C1"/>
    <w:rsid w:val="009C7865"/>
    <w:rsid w:val="009C7990"/>
    <w:rsid w:val="009D01F6"/>
    <w:rsid w:val="009D06DC"/>
    <w:rsid w:val="009D073C"/>
    <w:rsid w:val="009D0885"/>
    <w:rsid w:val="009D08D6"/>
    <w:rsid w:val="009D0B41"/>
    <w:rsid w:val="009D0EAE"/>
    <w:rsid w:val="009D0F5C"/>
    <w:rsid w:val="009D0F75"/>
    <w:rsid w:val="009D115C"/>
    <w:rsid w:val="009D153F"/>
    <w:rsid w:val="009D198E"/>
    <w:rsid w:val="009D1AEA"/>
    <w:rsid w:val="009D1EE1"/>
    <w:rsid w:val="009D1FB6"/>
    <w:rsid w:val="009D229C"/>
    <w:rsid w:val="009D2641"/>
    <w:rsid w:val="009D28C6"/>
    <w:rsid w:val="009D2D97"/>
    <w:rsid w:val="009D2F80"/>
    <w:rsid w:val="009D30C0"/>
    <w:rsid w:val="009D3833"/>
    <w:rsid w:val="009D3CEC"/>
    <w:rsid w:val="009D3FE3"/>
    <w:rsid w:val="009D4414"/>
    <w:rsid w:val="009D4811"/>
    <w:rsid w:val="009D4930"/>
    <w:rsid w:val="009D49AC"/>
    <w:rsid w:val="009D4A29"/>
    <w:rsid w:val="009D4A5A"/>
    <w:rsid w:val="009D4FD7"/>
    <w:rsid w:val="009D50AA"/>
    <w:rsid w:val="009D50F0"/>
    <w:rsid w:val="009D5100"/>
    <w:rsid w:val="009D51C8"/>
    <w:rsid w:val="009D5952"/>
    <w:rsid w:val="009D5B41"/>
    <w:rsid w:val="009D5B61"/>
    <w:rsid w:val="009D621D"/>
    <w:rsid w:val="009D66DB"/>
    <w:rsid w:val="009D69F2"/>
    <w:rsid w:val="009D6DD7"/>
    <w:rsid w:val="009D6E08"/>
    <w:rsid w:val="009D6E46"/>
    <w:rsid w:val="009D77BD"/>
    <w:rsid w:val="009D782E"/>
    <w:rsid w:val="009D7830"/>
    <w:rsid w:val="009D7986"/>
    <w:rsid w:val="009D7AF0"/>
    <w:rsid w:val="009E0740"/>
    <w:rsid w:val="009E078B"/>
    <w:rsid w:val="009E0923"/>
    <w:rsid w:val="009E0947"/>
    <w:rsid w:val="009E0C26"/>
    <w:rsid w:val="009E0E36"/>
    <w:rsid w:val="009E0F5A"/>
    <w:rsid w:val="009E124A"/>
    <w:rsid w:val="009E1A18"/>
    <w:rsid w:val="009E1A7A"/>
    <w:rsid w:val="009E21C0"/>
    <w:rsid w:val="009E238F"/>
    <w:rsid w:val="009E2503"/>
    <w:rsid w:val="009E25FE"/>
    <w:rsid w:val="009E28FC"/>
    <w:rsid w:val="009E300D"/>
    <w:rsid w:val="009E317C"/>
    <w:rsid w:val="009E33C4"/>
    <w:rsid w:val="009E3547"/>
    <w:rsid w:val="009E37A6"/>
    <w:rsid w:val="009E4DD9"/>
    <w:rsid w:val="009E51CE"/>
    <w:rsid w:val="009E524E"/>
    <w:rsid w:val="009E53E6"/>
    <w:rsid w:val="009E56F8"/>
    <w:rsid w:val="009E5CEE"/>
    <w:rsid w:val="009E5DCB"/>
    <w:rsid w:val="009E5E3D"/>
    <w:rsid w:val="009E64A0"/>
    <w:rsid w:val="009E671B"/>
    <w:rsid w:val="009E6737"/>
    <w:rsid w:val="009E67F4"/>
    <w:rsid w:val="009E6A6E"/>
    <w:rsid w:val="009E6F0D"/>
    <w:rsid w:val="009E6F2B"/>
    <w:rsid w:val="009E702D"/>
    <w:rsid w:val="009E71D2"/>
    <w:rsid w:val="009E7454"/>
    <w:rsid w:val="009E76A5"/>
    <w:rsid w:val="009E7E25"/>
    <w:rsid w:val="009F0060"/>
    <w:rsid w:val="009F02F2"/>
    <w:rsid w:val="009F042B"/>
    <w:rsid w:val="009F0651"/>
    <w:rsid w:val="009F0C4E"/>
    <w:rsid w:val="009F0FA9"/>
    <w:rsid w:val="009F1035"/>
    <w:rsid w:val="009F104F"/>
    <w:rsid w:val="009F1328"/>
    <w:rsid w:val="009F13DB"/>
    <w:rsid w:val="009F1899"/>
    <w:rsid w:val="009F1ECF"/>
    <w:rsid w:val="009F1F3D"/>
    <w:rsid w:val="009F2381"/>
    <w:rsid w:val="009F254E"/>
    <w:rsid w:val="009F26C1"/>
    <w:rsid w:val="009F271B"/>
    <w:rsid w:val="009F278A"/>
    <w:rsid w:val="009F2BED"/>
    <w:rsid w:val="009F2FB9"/>
    <w:rsid w:val="009F3211"/>
    <w:rsid w:val="009F3663"/>
    <w:rsid w:val="009F37C3"/>
    <w:rsid w:val="009F3A6B"/>
    <w:rsid w:val="009F3BA9"/>
    <w:rsid w:val="009F3DF9"/>
    <w:rsid w:val="009F3E2D"/>
    <w:rsid w:val="009F4223"/>
    <w:rsid w:val="009F431F"/>
    <w:rsid w:val="009F4409"/>
    <w:rsid w:val="009F4804"/>
    <w:rsid w:val="009F490C"/>
    <w:rsid w:val="009F4D2F"/>
    <w:rsid w:val="009F4DAC"/>
    <w:rsid w:val="009F4DFF"/>
    <w:rsid w:val="009F4F74"/>
    <w:rsid w:val="009F589C"/>
    <w:rsid w:val="009F59DE"/>
    <w:rsid w:val="009F5B0F"/>
    <w:rsid w:val="009F5D75"/>
    <w:rsid w:val="009F5DEB"/>
    <w:rsid w:val="009F5E37"/>
    <w:rsid w:val="009F5FDA"/>
    <w:rsid w:val="009F65F8"/>
    <w:rsid w:val="009F6E2A"/>
    <w:rsid w:val="009F6EFB"/>
    <w:rsid w:val="009F7037"/>
    <w:rsid w:val="009F733B"/>
    <w:rsid w:val="009F7412"/>
    <w:rsid w:val="009F7431"/>
    <w:rsid w:val="009F77B9"/>
    <w:rsid w:val="009F77CF"/>
    <w:rsid w:val="009F7881"/>
    <w:rsid w:val="009F7B62"/>
    <w:rsid w:val="00A00700"/>
    <w:rsid w:val="00A00CC0"/>
    <w:rsid w:val="00A00F74"/>
    <w:rsid w:val="00A011FA"/>
    <w:rsid w:val="00A0143D"/>
    <w:rsid w:val="00A019A0"/>
    <w:rsid w:val="00A01B1A"/>
    <w:rsid w:val="00A01CDB"/>
    <w:rsid w:val="00A020E6"/>
    <w:rsid w:val="00A025E1"/>
    <w:rsid w:val="00A02986"/>
    <w:rsid w:val="00A02A82"/>
    <w:rsid w:val="00A02D80"/>
    <w:rsid w:val="00A02F6E"/>
    <w:rsid w:val="00A031CC"/>
    <w:rsid w:val="00A0326B"/>
    <w:rsid w:val="00A0335C"/>
    <w:rsid w:val="00A036BD"/>
    <w:rsid w:val="00A03ADE"/>
    <w:rsid w:val="00A04064"/>
    <w:rsid w:val="00A0426B"/>
    <w:rsid w:val="00A0445D"/>
    <w:rsid w:val="00A04C53"/>
    <w:rsid w:val="00A04D84"/>
    <w:rsid w:val="00A0509B"/>
    <w:rsid w:val="00A0519E"/>
    <w:rsid w:val="00A051B7"/>
    <w:rsid w:val="00A051FD"/>
    <w:rsid w:val="00A05286"/>
    <w:rsid w:val="00A0545B"/>
    <w:rsid w:val="00A0563B"/>
    <w:rsid w:val="00A05857"/>
    <w:rsid w:val="00A05913"/>
    <w:rsid w:val="00A05979"/>
    <w:rsid w:val="00A05A2F"/>
    <w:rsid w:val="00A05A85"/>
    <w:rsid w:val="00A05C52"/>
    <w:rsid w:val="00A05F6F"/>
    <w:rsid w:val="00A0614A"/>
    <w:rsid w:val="00A0683D"/>
    <w:rsid w:val="00A06A12"/>
    <w:rsid w:val="00A075CF"/>
    <w:rsid w:val="00A07730"/>
    <w:rsid w:val="00A1007A"/>
    <w:rsid w:val="00A10260"/>
    <w:rsid w:val="00A10278"/>
    <w:rsid w:val="00A10349"/>
    <w:rsid w:val="00A10404"/>
    <w:rsid w:val="00A10B95"/>
    <w:rsid w:val="00A10DA0"/>
    <w:rsid w:val="00A1107F"/>
    <w:rsid w:val="00A114EC"/>
    <w:rsid w:val="00A115CB"/>
    <w:rsid w:val="00A116D8"/>
    <w:rsid w:val="00A117FC"/>
    <w:rsid w:val="00A117FD"/>
    <w:rsid w:val="00A11C68"/>
    <w:rsid w:val="00A11ED2"/>
    <w:rsid w:val="00A12535"/>
    <w:rsid w:val="00A12746"/>
    <w:rsid w:val="00A12893"/>
    <w:rsid w:val="00A12B7F"/>
    <w:rsid w:val="00A13552"/>
    <w:rsid w:val="00A13758"/>
    <w:rsid w:val="00A13A4E"/>
    <w:rsid w:val="00A13C06"/>
    <w:rsid w:val="00A13C3B"/>
    <w:rsid w:val="00A13DB7"/>
    <w:rsid w:val="00A13EA4"/>
    <w:rsid w:val="00A13F16"/>
    <w:rsid w:val="00A1420E"/>
    <w:rsid w:val="00A146C3"/>
    <w:rsid w:val="00A14714"/>
    <w:rsid w:val="00A1478F"/>
    <w:rsid w:val="00A14B4B"/>
    <w:rsid w:val="00A14EAE"/>
    <w:rsid w:val="00A153CE"/>
    <w:rsid w:val="00A15CBE"/>
    <w:rsid w:val="00A15E70"/>
    <w:rsid w:val="00A15F88"/>
    <w:rsid w:val="00A16022"/>
    <w:rsid w:val="00A16446"/>
    <w:rsid w:val="00A1687D"/>
    <w:rsid w:val="00A16AEE"/>
    <w:rsid w:val="00A16B15"/>
    <w:rsid w:val="00A16C1E"/>
    <w:rsid w:val="00A16C7E"/>
    <w:rsid w:val="00A16DD8"/>
    <w:rsid w:val="00A16EE0"/>
    <w:rsid w:val="00A16F53"/>
    <w:rsid w:val="00A170DC"/>
    <w:rsid w:val="00A17227"/>
    <w:rsid w:val="00A17364"/>
    <w:rsid w:val="00A17662"/>
    <w:rsid w:val="00A177FD"/>
    <w:rsid w:val="00A17830"/>
    <w:rsid w:val="00A17A0B"/>
    <w:rsid w:val="00A17E97"/>
    <w:rsid w:val="00A17F09"/>
    <w:rsid w:val="00A2037C"/>
    <w:rsid w:val="00A20C06"/>
    <w:rsid w:val="00A2162D"/>
    <w:rsid w:val="00A21D1D"/>
    <w:rsid w:val="00A21DE6"/>
    <w:rsid w:val="00A224B4"/>
    <w:rsid w:val="00A2250A"/>
    <w:rsid w:val="00A227DA"/>
    <w:rsid w:val="00A228CC"/>
    <w:rsid w:val="00A22902"/>
    <w:rsid w:val="00A2306E"/>
    <w:rsid w:val="00A236E2"/>
    <w:rsid w:val="00A23727"/>
    <w:rsid w:val="00A23CCA"/>
    <w:rsid w:val="00A23CE1"/>
    <w:rsid w:val="00A23E9D"/>
    <w:rsid w:val="00A241A9"/>
    <w:rsid w:val="00A24BD0"/>
    <w:rsid w:val="00A24CCB"/>
    <w:rsid w:val="00A24D21"/>
    <w:rsid w:val="00A24FEB"/>
    <w:rsid w:val="00A25068"/>
    <w:rsid w:val="00A254F7"/>
    <w:rsid w:val="00A25BA0"/>
    <w:rsid w:val="00A25EAE"/>
    <w:rsid w:val="00A25F3A"/>
    <w:rsid w:val="00A26175"/>
    <w:rsid w:val="00A2638C"/>
    <w:rsid w:val="00A26576"/>
    <w:rsid w:val="00A2673C"/>
    <w:rsid w:val="00A26B55"/>
    <w:rsid w:val="00A26B9C"/>
    <w:rsid w:val="00A27117"/>
    <w:rsid w:val="00A27320"/>
    <w:rsid w:val="00A2746B"/>
    <w:rsid w:val="00A277B5"/>
    <w:rsid w:val="00A2795C"/>
    <w:rsid w:val="00A27A75"/>
    <w:rsid w:val="00A27BD4"/>
    <w:rsid w:val="00A27DF5"/>
    <w:rsid w:val="00A301FA"/>
    <w:rsid w:val="00A303DD"/>
    <w:rsid w:val="00A305E7"/>
    <w:rsid w:val="00A30F0E"/>
    <w:rsid w:val="00A31026"/>
    <w:rsid w:val="00A311AE"/>
    <w:rsid w:val="00A31598"/>
    <w:rsid w:val="00A3162B"/>
    <w:rsid w:val="00A316E3"/>
    <w:rsid w:val="00A317F3"/>
    <w:rsid w:val="00A31E18"/>
    <w:rsid w:val="00A31EE2"/>
    <w:rsid w:val="00A321F4"/>
    <w:rsid w:val="00A32300"/>
    <w:rsid w:val="00A323C3"/>
    <w:rsid w:val="00A32B9B"/>
    <w:rsid w:val="00A32BAB"/>
    <w:rsid w:val="00A32CBD"/>
    <w:rsid w:val="00A32E56"/>
    <w:rsid w:val="00A33173"/>
    <w:rsid w:val="00A3339D"/>
    <w:rsid w:val="00A33576"/>
    <w:rsid w:val="00A33D25"/>
    <w:rsid w:val="00A341E0"/>
    <w:rsid w:val="00A343AD"/>
    <w:rsid w:val="00A343D6"/>
    <w:rsid w:val="00A3441D"/>
    <w:rsid w:val="00A34441"/>
    <w:rsid w:val="00A34851"/>
    <w:rsid w:val="00A3486F"/>
    <w:rsid w:val="00A348AF"/>
    <w:rsid w:val="00A3495C"/>
    <w:rsid w:val="00A34D78"/>
    <w:rsid w:val="00A34F49"/>
    <w:rsid w:val="00A351B9"/>
    <w:rsid w:val="00A351F4"/>
    <w:rsid w:val="00A353DC"/>
    <w:rsid w:val="00A355DD"/>
    <w:rsid w:val="00A35656"/>
    <w:rsid w:val="00A35BE0"/>
    <w:rsid w:val="00A35CAF"/>
    <w:rsid w:val="00A35F8F"/>
    <w:rsid w:val="00A36129"/>
    <w:rsid w:val="00A362BD"/>
    <w:rsid w:val="00A363E6"/>
    <w:rsid w:val="00A36484"/>
    <w:rsid w:val="00A36518"/>
    <w:rsid w:val="00A365DB"/>
    <w:rsid w:val="00A3689D"/>
    <w:rsid w:val="00A36FEC"/>
    <w:rsid w:val="00A37230"/>
    <w:rsid w:val="00A372BC"/>
    <w:rsid w:val="00A373CF"/>
    <w:rsid w:val="00A374A4"/>
    <w:rsid w:val="00A376DF"/>
    <w:rsid w:val="00A3777B"/>
    <w:rsid w:val="00A37862"/>
    <w:rsid w:val="00A37C97"/>
    <w:rsid w:val="00A401A0"/>
    <w:rsid w:val="00A40496"/>
    <w:rsid w:val="00A40701"/>
    <w:rsid w:val="00A4092A"/>
    <w:rsid w:val="00A41137"/>
    <w:rsid w:val="00A41438"/>
    <w:rsid w:val="00A415D7"/>
    <w:rsid w:val="00A4162E"/>
    <w:rsid w:val="00A416AF"/>
    <w:rsid w:val="00A41C54"/>
    <w:rsid w:val="00A41E73"/>
    <w:rsid w:val="00A4218A"/>
    <w:rsid w:val="00A42308"/>
    <w:rsid w:val="00A4306F"/>
    <w:rsid w:val="00A43176"/>
    <w:rsid w:val="00A434D5"/>
    <w:rsid w:val="00A43516"/>
    <w:rsid w:val="00A43869"/>
    <w:rsid w:val="00A43F67"/>
    <w:rsid w:val="00A44079"/>
    <w:rsid w:val="00A44495"/>
    <w:rsid w:val="00A445B2"/>
    <w:rsid w:val="00A44BEC"/>
    <w:rsid w:val="00A44F62"/>
    <w:rsid w:val="00A45370"/>
    <w:rsid w:val="00A453C1"/>
    <w:rsid w:val="00A45696"/>
    <w:rsid w:val="00A45D2D"/>
    <w:rsid w:val="00A45E1E"/>
    <w:rsid w:val="00A46023"/>
    <w:rsid w:val="00A460EC"/>
    <w:rsid w:val="00A462A2"/>
    <w:rsid w:val="00A46405"/>
    <w:rsid w:val="00A4648D"/>
    <w:rsid w:val="00A46499"/>
    <w:rsid w:val="00A46550"/>
    <w:rsid w:val="00A465AD"/>
    <w:rsid w:val="00A46826"/>
    <w:rsid w:val="00A46D07"/>
    <w:rsid w:val="00A46D20"/>
    <w:rsid w:val="00A46E5B"/>
    <w:rsid w:val="00A471B3"/>
    <w:rsid w:val="00A47401"/>
    <w:rsid w:val="00A4782C"/>
    <w:rsid w:val="00A47EFC"/>
    <w:rsid w:val="00A50075"/>
    <w:rsid w:val="00A50541"/>
    <w:rsid w:val="00A50B15"/>
    <w:rsid w:val="00A50D04"/>
    <w:rsid w:val="00A50E6F"/>
    <w:rsid w:val="00A50ECC"/>
    <w:rsid w:val="00A50FB2"/>
    <w:rsid w:val="00A5123C"/>
    <w:rsid w:val="00A51502"/>
    <w:rsid w:val="00A51C78"/>
    <w:rsid w:val="00A51D47"/>
    <w:rsid w:val="00A5210F"/>
    <w:rsid w:val="00A523DE"/>
    <w:rsid w:val="00A52C1B"/>
    <w:rsid w:val="00A52CD8"/>
    <w:rsid w:val="00A52D40"/>
    <w:rsid w:val="00A532A7"/>
    <w:rsid w:val="00A532D3"/>
    <w:rsid w:val="00A53BD7"/>
    <w:rsid w:val="00A53D95"/>
    <w:rsid w:val="00A53E93"/>
    <w:rsid w:val="00A53F46"/>
    <w:rsid w:val="00A54366"/>
    <w:rsid w:val="00A544DA"/>
    <w:rsid w:val="00A54667"/>
    <w:rsid w:val="00A546E0"/>
    <w:rsid w:val="00A54872"/>
    <w:rsid w:val="00A5492E"/>
    <w:rsid w:val="00A54BBA"/>
    <w:rsid w:val="00A5509B"/>
    <w:rsid w:val="00A55348"/>
    <w:rsid w:val="00A55B83"/>
    <w:rsid w:val="00A55DE5"/>
    <w:rsid w:val="00A55EA2"/>
    <w:rsid w:val="00A55F73"/>
    <w:rsid w:val="00A565EC"/>
    <w:rsid w:val="00A567A5"/>
    <w:rsid w:val="00A56A44"/>
    <w:rsid w:val="00A56B84"/>
    <w:rsid w:val="00A56F53"/>
    <w:rsid w:val="00A575E1"/>
    <w:rsid w:val="00A5771E"/>
    <w:rsid w:val="00A57735"/>
    <w:rsid w:val="00A57AA7"/>
    <w:rsid w:val="00A57CF7"/>
    <w:rsid w:val="00A57DF2"/>
    <w:rsid w:val="00A6013F"/>
    <w:rsid w:val="00A604E1"/>
    <w:rsid w:val="00A604E7"/>
    <w:rsid w:val="00A60776"/>
    <w:rsid w:val="00A607A0"/>
    <w:rsid w:val="00A609B2"/>
    <w:rsid w:val="00A609F0"/>
    <w:rsid w:val="00A609F7"/>
    <w:rsid w:val="00A60BE8"/>
    <w:rsid w:val="00A60DF6"/>
    <w:rsid w:val="00A60E10"/>
    <w:rsid w:val="00A610FE"/>
    <w:rsid w:val="00A61143"/>
    <w:rsid w:val="00A612C9"/>
    <w:rsid w:val="00A61493"/>
    <w:rsid w:val="00A61583"/>
    <w:rsid w:val="00A617C4"/>
    <w:rsid w:val="00A61BD5"/>
    <w:rsid w:val="00A61DF7"/>
    <w:rsid w:val="00A61EAD"/>
    <w:rsid w:val="00A61FDD"/>
    <w:rsid w:val="00A622F9"/>
    <w:rsid w:val="00A624E9"/>
    <w:rsid w:val="00A624EB"/>
    <w:rsid w:val="00A626C9"/>
    <w:rsid w:val="00A62A6A"/>
    <w:rsid w:val="00A62F7C"/>
    <w:rsid w:val="00A63207"/>
    <w:rsid w:val="00A6321B"/>
    <w:rsid w:val="00A633F6"/>
    <w:rsid w:val="00A63742"/>
    <w:rsid w:val="00A6391B"/>
    <w:rsid w:val="00A63BFA"/>
    <w:rsid w:val="00A63D60"/>
    <w:rsid w:val="00A64365"/>
    <w:rsid w:val="00A645FA"/>
    <w:rsid w:val="00A6470D"/>
    <w:rsid w:val="00A64731"/>
    <w:rsid w:val="00A647C4"/>
    <w:rsid w:val="00A659F7"/>
    <w:rsid w:val="00A65AEE"/>
    <w:rsid w:val="00A662A5"/>
    <w:rsid w:val="00A663AA"/>
    <w:rsid w:val="00A664C3"/>
    <w:rsid w:val="00A66610"/>
    <w:rsid w:val="00A66780"/>
    <w:rsid w:val="00A6697A"/>
    <w:rsid w:val="00A66A37"/>
    <w:rsid w:val="00A66D08"/>
    <w:rsid w:val="00A67036"/>
    <w:rsid w:val="00A6767A"/>
    <w:rsid w:val="00A67C37"/>
    <w:rsid w:val="00A67DD6"/>
    <w:rsid w:val="00A7014A"/>
    <w:rsid w:val="00A7038B"/>
    <w:rsid w:val="00A7039F"/>
    <w:rsid w:val="00A708F7"/>
    <w:rsid w:val="00A709E4"/>
    <w:rsid w:val="00A70B53"/>
    <w:rsid w:val="00A70D64"/>
    <w:rsid w:val="00A71090"/>
    <w:rsid w:val="00A711EC"/>
    <w:rsid w:val="00A712C6"/>
    <w:rsid w:val="00A713F2"/>
    <w:rsid w:val="00A7152C"/>
    <w:rsid w:val="00A7182B"/>
    <w:rsid w:val="00A71D8A"/>
    <w:rsid w:val="00A71FEC"/>
    <w:rsid w:val="00A722CE"/>
    <w:rsid w:val="00A723F4"/>
    <w:rsid w:val="00A724E5"/>
    <w:rsid w:val="00A728C8"/>
    <w:rsid w:val="00A729A7"/>
    <w:rsid w:val="00A72AF1"/>
    <w:rsid w:val="00A72C75"/>
    <w:rsid w:val="00A72D78"/>
    <w:rsid w:val="00A72DBF"/>
    <w:rsid w:val="00A72DEC"/>
    <w:rsid w:val="00A72E77"/>
    <w:rsid w:val="00A7306F"/>
    <w:rsid w:val="00A735F1"/>
    <w:rsid w:val="00A7367E"/>
    <w:rsid w:val="00A73708"/>
    <w:rsid w:val="00A73D58"/>
    <w:rsid w:val="00A73E1A"/>
    <w:rsid w:val="00A741D0"/>
    <w:rsid w:val="00A747AC"/>
    <w:rsid w:val="00A747C9"/>
    <w:rsid w:val="00A74AA6"/>
    <w:rsid w:val="00A74C68"/>
    <w:rsid w:val="00A74CF2"/>
    <w:rsid w:val="00A74D21"/>
    <w:rsid w:val="00A74E2B"/>
    <w:rsid w:val="00A74E99"/>
    <w:rsid w:val="00A74F9B"/>
    <w:rsid w:val="00A7577D"/>
    <w:rsid w:val="00A75BBE"/>
    <w:rsid w:val="00A75CF7"/>
    <w:rsid w:val="00A75F19"/>
    <w:rsid w:val="00A76072"/>
    <w:rsid w:val="00A76379"/>
    <w:rsid w:val="00A763C1"/>
    <w:rsid w:val="00A76547"/>
    <w:rsid w:val="00A76DFF"/>
    <w:rsid w:val="00A76E44"/>
    <w:rsid w:val="00A7732F"/>
    <w:rsid w:val="00A774C1"/>
    <w:rsid w:val="00A77563"/>
    <w:rsid w:val="00A779F3"/>
    <w:rsid w:val="00A77DF3"/>
    <w:rsid w:val="00A8005B"/>
    <w:rsid w:val="00A8037E"/>
    <w:rsid w:val="00A80569"/>
    <w:rsid w:val="00A807E3"/>
    <w:rsid w:val="00A80A18"/>
    <w:rsid w:val="00A80ABD"/>
    <w:rsid w:val="00A80B23"/>
    <w:rsid w:val="00A80C62"/>
    <w:rsid w:val="00A814E8"/>
    <w:rsid w:val="00A81710"/>
    <w:rsid w:val="00A81A35"/>
    <w:rsid w:val="00A81BEA"/>
    <w:rsid w:val="00A81C9E"/>
    <w:rsid w:val="00A81D89"/>
    <w:rsid w:val="00A81F39"/>
    <w:rsid w:val="00A82342"/>
    <w:rsid w:val="00A82668"/>
    <w:rsid w:val="00A8271D"/>
    <w:rsid w:val="00A82B73"/>
    <w:rsid w:val="00A82DB1"/>
    <w:rsid w:val="00A82DC9"/>
    <w:rsid w:val="00A82DD3"/>
    <w:rsid w:val="00A82FB3"/>
    <w:rsid w:val="00A83A7D"/>
    <w:rsid w:val="00A84014"/>
    <w:rsid w:val="00A8445A"/>
    <w:rsid w:val="00A846A2"/>
    <w:rsid w:val="00A847DB"/>
    <w:rsid w:val="00A84A32"/>
    <w:rsid w:val="00A853D0"/>
    <w:rsid w:val="00A8544A"/>
    <w:rsid w:val="00A85C14"/>
    <w:rsid w:val="00A85E90"/>
    <w:rsid w:val="00A860B5"/>
    <w:rsid w:val="00A86D14"/>
    <w:rsid w:val="00A86D86"/>
    <w:rsid w:val="00A871A3"/>
    <w:rsid w:val="00A87275"/>
    <w:rsid w:val="00A877AE"/>
    <w:rsid w:val="00A87A44"/>
    <w:rsid w:val="00A900B3"/>
    <w:rsid w:val="00A9010F"/>
    <w:rsid w:val="00A9031A"/>
    <w:rsid w:val="00A906BF"/>
    <w:rsid w:val="00A90A9A"/>
    <w:rsid w:val="00A910AA"/>
    <w:rsid w:val="00A910E3"/>
    <w:rsid w:val="00A911F0"/>
    <w:rsid w:val="00A9136B"/>
    <w:rsid w:val="00A914BC"/>
    <w:rsid w:val="00A917BF"/>
    <w:rsid w:val="00A91D35"/>
    <w:rsid w:val="00A91E72"/>
    <w:rsid w:val="00A92361"/>
    <w:rsid w:val="00A92491"/>
    <w:rsid w:val="00A92539"/>
    <w:rsid w:val="00A92682"/>
    <w:rsid w:val="00A92AC7"/>
    <w:rsid w:val="00A92B93"/>
    <w:rsid w:val="00A92F1C"/>
    <w:rsid w:val="00A930DD"/>
    <w:rsid w:val="00A9319A"/>
    <w:rsid w:val="00A936D9"/>
    <w:rsid w:val="00A93786"/>
    <w:rsid w:val="00A937B1"/>
    <w:rsid w:val="00A938E3"/>
    <w:rsid w:val="00A93D55"/>
    <w:rsid w:val="00A9407C"/>
    <w:rsid w:val="00A941B5"/>
    <w:rsid w:val="00A947E5"/>
    <w:rsid w:val="00A94821"/>
    <w:rsid w:val="00A94A9B"/>
    <w:rsid w:val="00A94AEB"/>
    <w:rsid w:val="00A9504A"/>
    <w:rsid w:val="00A952E3"/>
    <w:rsid w:val="00A95361"/>
    <w:rsid w:val="00A954B7"/>
    <w:rsid w:val="00A956E0"/>
    <w:rsid w:val="00A95A42"/>
    <w:rsid w:val="00A95D11"/>
    <w:rsid w:val="00A95FD7"/>
    <w:rsid w:val="00A966A6"/>
    <w:rsid w:val="00A96804"/>
    <w:rsid w:val="00A96A63"/>
    <w:rsid w:val="00A96B3B"/>
    <w:rsid w:val="00A96C04"/>
    <w:rsid w:val="00A96C8E"/>
    <w:rsid w:val="00A970D7"/>
    <w:rsid w:val="00A97216"/>
    <w:rsid w:val="00A9739B"/>
    <w:rsid w:val="00A976CA"/>
    <w:rsid w:val="00A977A4"/>
    <w:rsid w:val="00A979E4"/>
    <w:rsid w:val="00A97CE8"/>
    <w:rsid w:val="00A97D45"/>
    <w:rsid w:val="00AA0509"/>
    <w:rsid w:val="00AA0665"/>
    <w:rsid w:val="00AA10EF"/>
    <w:rsid w:val="00AA1215"/>
    <w:rsid w:val="00AA1412"/>
    <w:rsid w:val="00AA1537"/>
    <w:rsid w:val="00AA1866"/>
    <w:rsid w:val="00AA192E"/>
    <w:rsid w:val="00AA1D75"/>
    <w:rsid w:val="00AA211E"/>
    <w:rsid w:val="00AA274C"/>
    <w:rsid w:val="00AA2ECC"/>
    <w:rsid w:val="00AA3434"/>
    <w:rsid w:val="00AA3665"/>
    <w:rsid w:val="00AA3769"/>
    <w:rsid w:val="00AA3869"/>
    <w:rsid w:val="00AA38AC"/>
    <w:rsid w:val="00AA3AC3"/>
    <w:rsid w:val="00AA3B84"/>
    <w:rsid w:val="00AA3EFD"/>
    <w:rsid w:val="00AA4621"/>
    <w:rsid w:val="00AA4680"/>
    <w:rsid w:val="00AA4A4B"/>
    <w:rsid w:val="00AA50CA"/>
    <w:rsid w:val="00AA538D"/>
    <w:rsid w:val="00AA56BD"/>
    <w:rsid w:val="00AA5989"/>
    <w:rsid w:val="00AA59F0"/>
    <w:rsid w:val="00AA5C69"/>
    <w:rsid w:val="00AA63C4"/>
    <w:rsid w:val="00AA6757"/>
    <w:rsid w:val="00AA6B1D"/>
    <w:rsid w:val="00AA76E0"/>
    <w:rsid w:val="00AA787E"/>
    <w:rsid w:val="00AB00E5"/>
    <w:rsid w:val="00AB0155"/>
    <w:rsid w:val="00AB0394"/>
    <w:rsid w:val="00AB06BD"/>
    <w:rsid w:val="00AB06D9"/>
    <w:rsid w:val="00AB0851"/>
    <w:rsid w:val="00AB0921"/>
    <w:rsid w:val="00AB0AFA"/>
    <w:rsid w:val="00AB0B96"/>
    <w:rsid w:val="00AB0C23"/>
    <w:rsid w:val="00AB0D99"/>
    <w:rsid w:val="00AB0E78"/>
    <w:rsid w:val="00AB1127"/>
    <w:rsid w:val="00AB12AF"/>
    <w:rsid w:val="00AB12D8"/>
    <w:rsid w:val="00AB1633"/>
    <w:rsid w:val="00AB1B2E"/>
    <w:rsid w:val="00AB1B9A"/>
    <w:rsid w:val="00AB1BEB"/>
    <w:rsid w:val="00AB1D9E"/>
    <w:rsid w:val="00AB1DF7"/>
    <w:rsid w:val="00AB2081"/>
    <w:rsid w:val="00AB20A8"/>
    <w:rsid w:val="00AB2217"/>
    <w:rsid w:val="00AB23D3"/>
    <w:rsid w:val="00AB25A4"/>
    <w:rsid w:val="00AB2858"/>
    <w:rsid w:val="00AB2986"/>
    <w:rsid w:val="00AB2C61"/>
    <w:rsid w:val="00AB2C66"/>
    <w:rsid w:val="00AB2DF0"/>
    <w:rsid w:val="00AB37A9"/>
    <w:rsid w:val="00AB3B71"/>
    <w:rsid w:val="00AB3CE3"/>
    <w:rsid w:val="00AB42BE"/>
    <w:rsid w:val="00AB43CD"/>
    <w:rsid w:val="00AB45F1"/>
    <w:rsid w:val="00AB4B71"/>
    <w:rsid w:val="00AB4BFC"/>
    <w:rsid w:val="00AB4C01"/>
    <w:rsid w:val="00AB4E1F"/>
    <w:rsid w:val="00AB4E3B"/>
    <w:rsid w:val="00AB4E4E"/>
    <w:rsid w:val="00AB4F85"/>
    <w:rsid w:val="00AB5581"/>
    <w:rsid w:val="00AB55D3"/>
    <w:rsid w:val="00AB57E7"/>
    <w:rsid w:val="00AB5852"/>
    <w:rsid w:val="00AB586E"/>
    <w:rsid w:val="00AB5B3A"/>
    <w:rsid w:val="00AB5C1D"/>
    <w:rsid w:val="00AB5E8A"/>
    <w:rsid w:val="00AB5FA6"/>
    <w:rsid w:val="00AB60D6"/>
    <w:rsid w:val="00AB65BD"/>
    <w:rsid w:val="00AB6733"/>
    <w:rsid w:val="00AB67D5"/>
    <w:rsid w:val="00AB699D"/>
    <w:rsid w:val="00AB6CB9"/>
    <w:rsid w:val="00AB6F6D"/>
    <w:rsid w:val="00AB7033"/>
    <w:rsid w:val="00AB798D"/>
    <w:rsid w:val="00AB7CD0"/>
    <w:rsid w:val="00AB7D1B"/>
    <w:rsid w:val="00AB7FCB"/>
    <w:rsid w:val="00AC063E"/>
    <w:rsid w:val="00AC065C"/>
    <w:rsid w:val="00AC09DF"/>
    <w:rsid w:val="00AC0EC0"/>
    <w:rsid w:val="00AC10C4"/>
    <w:rsid w:val="00AC1208"/>
    <w:rsid w:val="00AC172C"/>
    <w:rsid w:val="00AC17DD"/>
    <w:rsid w:val="00AC182D"/>
    <w:rsid w:val="00AC1A40"/>
    <w:rsid w:val="00AC2644"/>
    <w:rsid w:val="00AC290B"/>
    <w:rsid w:val="00AC2A13"/>
    <w:rsid w:val="00AC2AFE"/>
    <w:rsid w:val="00AC39E3"/>
    <w:rsid w:val="00AC3B30"/>
    <w:rsid w:val="00AC4508"/>
    <w:rsid w:val="00AC4595"/>
    <w:rsid w:val="00AC47B0"/>
    <w:rsid w:val="00AC47D6"/>
    <w:rsid w:val="00AC4E34"/>
    <w:rsid w:val="00AC4F8C"/>
    <w:rsid w:val="00AC50DB"/>
    <w:rsid w:val="00AC5267"/>
    <w:rsid w:val="00AC5AA3"/>
    <w:rsid w:val="00AC5FC2"/>
    <w:rsid w:val="00AC61C4"/>
    <w:rsid w:val="00AC66B7"/>
    <w:rsid w:val="00AC695D"/>
    <w:rsid w:val="00AC6AA3"/>
    <w:rsid w:val="00AC73AD"/>
    <w:rsid w:val="00AC73C6"/>
    <w:rsid w:val="00AC7A03"/>
    <w:rsid w:val="00AC7AD5"/>
    <w:rsid w:val="00AC7B9E"/>
    <w:rsid w:val="00AC7CCF"/>
    <w:rsid w:val="00AD02A5"/>
    <w:rsid w:val="00AD053C"/>
    <w:rsid w:val="00AD05CE"/>
    <w:rsid w:val="00AD068A"/>
    <w:rsid w:val="00AD0925"/>
    <w:rsid w:val="00AD0D6C"/>
    <w:rsid w:val="00AD0E4C"/>
    <w:rsid w:val="00AD0FB5"/>
    <w:rsid w:val="00AD115E"/>
    <w:rsid w:val="00AD1285"/>
    <w:rsid w:val="00AD1308"/>
    <w:rsid w:val="00AD15AC"/>
    <w:rsid w:val="00AD185B"/>
    <w:rsid w:val="00AD185F"/>
    <w:rsid w:val="00AD18DA"/>
    <w:rsid w:val="00AD1A10"/>
    <w:rsid w:val="00AD1AFC"/>
    <w:rsid w:val="00AD21B7"/>
    <w:rsid w:val="00AD21D0"/>
    <w:rsid w:val="00AD2CB2"/>
    <w:rsid w:val="00AD2F8E"/>
    <w:rsid w:val="00AD3226"/>
    <w:rsid w:val="00AD3228"/>
    <w:rsid w:val="00AD322B"/>
    <w:rsid w:val="00AD32D2"/>
    <w:rsid w:val="00AD3AC0"/>
    <w:rsid w:val="00AD4124"/>
    <w:rsid w:val="00AD412C"/>
    <w:rsid w:val="00AD4215"/>
    <w:rsid w:val="00AD4824"/>
    <w:rsid w:val="00AD4DDA"/>
    <w:rsid w:val="00AD4FC1"/>
    <w:rsid w:val="00AD5BED"/>
    <w:rsid w:val="00AD5F57"/>
    <w:rsid w:val="00AD6676"/>
    <w:rsid w:val="00AD6698"/>
    <w:rsid w:val="00AD682D"/>
    <w:rsid w:val="00AD6A37"/>
    <w:rsid w:val="00AD6ED8"/>
    <w:rsid w:val="00AD708D"/>
    <w:rsid w:val="00AD7378"/>
    <w:rsid w:val="00AD7863"/>
    <w:rsid w:val="00AD7914"/>
    <w:rsid w:val="00AD7967"/>
    <w:rsid w:val="00AD79BE"/>
    <w:rsid w:val="00AD79DA"/>
    <w:rsid w:val="00AD7CEE"/>
    <w:rsid w:val="00AE023E"/>
    <w:rsid w:val="00AE024D"/>
    <w:rsid w:val="00AE029A"/>
    <w:rsid w:val="00AE0368"/>
    <w:rsid w:val="00AE053F"/>
    <w:rsid w:val="00AE07E3"/>
    <w:rsid w:val="00AE084C"/>
    <w:rsid w:val="00AE0867"/>
    <w:rsid w:val="00AE08EA"/>
    <w:rsid w:val="00AE0B19"/>
    <w:rsid w:val="00AE0B79"/>
    <w:rsid w:val="00AE0B82"/>
    <w:rsid w:val="00AE0BDB"/>
    <w:rsid w:val="00AE0F81"/>
    <w:rsid w:val="00AE0F8C"/>
    <w:rsid w:val="00AE14D4"/>
    <w:rsid w:val="00AE2164"/>
    <w:rsid w:val="00AE231F"/>
    <w:rsid w:val="00AE2AA5"/>
    <w:rsid w:val="00AE2DCE"/>
    <w:rsid w:val="00AE2EA6"/>
    <w:rsid w:val="00AE338B"/>
    <w:rsid w:val="00AE343A"/>
    <w:rsid w:val="00AE35E5"/>
    <w:rsid w:val="00AE39FB"/>
    <w:rsid w:val="00AE3E9C"/>
    <w:rsid w:val="00AE3FBA"/>
    <w:rsid w:val="00AE4054"/>
    <w:rsid w:val="00AE4117"/>
    <w:rsid w:val="00AE4326"/>
    <w:rsid w:val="00AE435C"/>
    <w:rsid w:val="00AE4815"/>
    <w:rsid w:val="00AE4CC4"/>
    <w:rsid w:val="00AE545B"/>
    <w:rsid w:val="00AE5BD4"/>
    <w:rsid w:val="00AE65D3"/>
    <w:rsid w:val="00AE6702"/>
    <w:rsid w:val="00AE6764"/>
    <w:rsid w:val="00AE6D02"/>
    <w:rsid w:val="00AE6F2F"/>
    <w:rsid w:val="00AE6F8F"/>
    <w:rsid w:val="00AE7408"/>
    <w:rsid w:val="00AE7733"/>
    <w:rsid w:val="00AE77B8"/>
    <w:rsid w:val="00AE77DC"/>
    <w:rsid w:val="00AE79E4"/>
    <w:rsid w:val="00AE7B7E"/>
    <w:rsid w:val="00AE7C42"/>
    <w:rsid w:val="00AE7F13"/>
    <w:rsid w:val="00AF01C1"/>
    <w:rsid w:val="00AF046F"/>
    <w:rsid w:val="00AF0720"/>
    <w:rsid w:val="00AF075F"/>
    <w:rsid w:val="00AF0AB0"/>
    <w:rsid w:val="00AF0DAE"/>
    <w:rsid w:val="00AF0E02"/>
    <w:rsid w:val="00AF0EE7"/>
    <w:rsid w:val="00AF1363"/>
    <w:rsid w:val="00AF14B9"/>
    <w:rsid w:val="00AF14E4"/>
    <w:rsid w:val="00AF1925"/>
    <w:rsid w:val="00AF196D"/>
    <w:rsid w:val="00AF19F2"/>
    <w:rsid w:val="00AF19F4"/>
    <w:rsid w:val="00AF1BFF"/>
    <w:rsid w:val="00AF1D9D"/>
    <w:rsid w:val="00AF218B"/>
    <w:rsid w:val="00AF2902"/>
    <w:rsid w:val="00AF2A75"/>
    <w:rsid w:val="00AF2AA8"/>
    <w:rsid w:val="00AF2D5B"/>
    <w:rsid w:val="00AF2E79"/>
    <w:rsid w:val="00AF2E91"/>
    <w:rsid w:val="00AF2FDD"/>
    <w:rsid w:val="00AF33A1"/>
    <w:rsid w:val="00AF349A"/>
    <w:rsid w:val="00AF3507"/>
    <w:rsid w:val="00AF3C7E"/>
    <w:rsid w:val="00AF48F1"/>
    <w:rsid w:val="00AF49DB"/>
    <w:rsid w:val="00AF4B80"/>
    <w:rsid w:val="00AF4D01"/>
    <w:rsid w:val="00AF4E73"/>
    <w:rsid w:val="00AF5367"/>
    <w:rsid w:val="00AF552F"/>
    <w:rsid w:val="00AF555E"/>
    <w:rsid w:val="00AF5843"/>
    <w:rsid w:val="00AF5A0E"/>
    <w:rsid w:val="00AF5AE8"/>
    <w:rsid w:val="00AF5B29"/>
    <w:rsid w:val="00AF5B3B"/>
    <w:rsid w:val="00AF5CA3"/>
    <w:rsid w:val="00AF5CFF"/>
    <w:rsid w:val="00AF60B7"/>
    <w:rsid w:val="00AF60BF"/>
    <w:rsid w:val="00AF63A1"/>
    <w:rsid w:val="00AF65A2"/>
    <w:rsid w:val="00AF6AC8"/>
    <w:rsid w:val="00AF6B6D"/>
    <w:rsid w:val="00AF6CB0"/>
    <w:rsid w:val="00AF719A"/>
    <w:rsid w:val="00AF7771"/>
    <w:rsid w:val="00AF787B"/>
    <w:rsid w:val="00AF78D2"/>
    <w:rsid w:val="00AF7EE6"/>
    <w:rsid w:val="00B002A1"/>
    <w:rsid w:val="00B00543"/>
    <w:rsid w:val="00B00659"/>
    <w:rsid w:val="00B00B26"/>
    <w:rsid w:val="00B00C43"/>
    <w:rsid w:val="00B010C2"/>
    <w:rsid w:val="00B01756"/>
    <w:rsid w:val="00B01765"/>
    <w:rsid w:val="00B017FA"/>
    <w:rsid w:val="00B0188A"/>
    <w:rsid w:val="00B018AB"/>
    <w:rsid w:val="00B0191A"/>
    <w:rsid w:val="00B019FC"/>
    <w:rsid w:val="00B01C02"/>
    <w:rsid w:val="00B01CC8"/>
    <w:rsid w:val="00B03206"/>
    <w:rsid w:val="00B03313"/>
    <w:rsid w:val="00B03471"/>
    <w:rsid w:val="00B03B03"/>
    <w:rsid w:val="00B0405E"/>
    <w:rsid w:val="00B04339"/>
    <w:rsid w:val="00B04364"/>
    <w:rsid w:val="00B044B6"/>
    <w:rsid w:val="00B047C7"/>
    <w:rsid w:val="00B049C5"/>
    <w:rsid w:val="00B0501E"/>
    <w:rsid w:val="00B05096"/>
    <w:rsid w:val="00B050FB"/>
    <w:rsid w:val="00B051EF"/>
    <w:rsid w:val="00B056AB"/>
    <w:rsid w:val="00B05A14"/>
    <w:rsid w:val="00B05ABA"/>
    <w:rsid w:val="00B06189"/>
    <w:rsid w:val="00B0624D"/>
    <w:rsid w:val="00B06403"/>
    <w:rsid w:val="00B06430"/>
    <w:rsid w:val="00B066A7"/>
    <w:rsid w:val="00B06C6C"/>
    <w:rsid w:val="00B06D90"/>
    <w:rsid w:val="00B06E0F"/>
    <w:rsid w:val="00B06FB3"/>
    <w:rsid w:val="00B0709E"/>
    <w:rsid w:val="00B07211"/>
    <w:rsid w:val="00B07283"/>
    <w:rsid w:val="00B07900"/>
    <w:rsid w:val="00B07941"/>
    <w:rsid w:val="00B1023C"/>
    <w:rsid w:val="00B10440"/>
    <w:rsid w:val="00B1066E"/>
    <w:rsid w:val="00B10826"/>
    <w:rsid w:val="00B10B06"/>
    <w:rsid w:val="00B11025"/>
    <w:rsid w:val="00B1186F"/>
    <w:rsid w:val="00B11BC5"/>
    <w:rsid w:val="00B1202A"/>
    <w:rsid w:val="00B1253E"/>
    <w:rsid w:val="00B12591"/>
    <w:rsid w:val="00B12AD9"/>
    <w:rsid w:val="00B12F45"/>
    <w:rsid w:val="00B1361B"/>
    <w:rsid w:val="00B13937"/>
    <w:rsid w:val="00B13BCD"/>
    <w:rsid w:val="00B13BF9"/>
    <w:rsid w:val="00B13E8F"/>
    <w:rsid w:val="00B14500"/>
    <w:rsid w:val="00B145C0"/>
    <w:rsid w:val="00B146F7"/>
    <w:rsid w:val="00B1482E"/>
    <w:rsid w:val="00B1499E"/>
    <w:rsid w:val="00B14A15"/>
    <w:rsid w:val="00B15117"/>
    <w:rsid w:val="00B1549D"/>
    <w:rsid w:val="00B15725"/>
    <w:rsid w:val="00B15B35"/>
    <w:rsid w:val="00B16142"/>
    <w:rsid w:val="00B168F7"/>
    <w:rsid w:val="00B16A25"/>
    <w:rsid w:val="00B16B32"/>
    <w:rsid w:val="00B16DB1"/>
    <w:rsid w:val="00B16F17"/>
    <w:rsid w:val="00B1732C"/>
    <w:rsid w:val="00B17A0A"/>
    <w:rsid w:val="00B17B45"/>
    <w:rsid w:val="00B17BD1"/>
    <w:rsid w:val="00B17BF1"/>
    <w:rsid w:val="00B17FA1"/>
    <w:rsid w:val="00B202D3"/>
    <w:rsid w:val="00B202EE"/>
    <w:rsid w:val="00B2054B"/>
    <w:rsid w:val="00B2058E"/>
    <w:rsid w:val="00B2078C"/>
    <w:rsid w:val="00B207CA"/>
    <w:rsid w:val="00B207F5"/>
    <w:rsid w:val="00B209DB"/>
    <w:rsid w:val="00B20C3A"/>
    <w:rsid w:val="00B2129B"/>
    <w:rsid w:val="00B2156D"/>
    <w:rsid w:val="00B21685"/>
    <w:rsid w:val="00B21B13"/>
    <w:rsid w:val="00B21B29"/>
    <w:rsid w:val="00B21DF8"/>
    <w:rsid w:val="00B21E66"/>
    <w:rsid w:val="00B21F2B"/>
    <w:rsid w:val="00B21FE2"/>
    <w:rsid w:val="00B21FEB"/>
    <w:rsid w:val="00B22383"/>
    <w:rsid w:val="00B22A13"/>
    <w:rsid w:val="00B22A27"/>
    <w:rsid w:val="00B22AAD"/>
    <w:rsid w:val="00B2310B"/>
    <w:rsid w:val="00B23148"/>
    <w:rsid w:val="00B23488"/>
    <w:rsid w:val="00B23644"/>
    <w:rsid w:val="00B236A7"/>
    <w:rsid w:val="00B23816"/>
    <w:rsid w:val="00B2390D"/>
    <w:rsid w:val="00B23BF9"/>
    <w:rsid w:val="00B24013"/>
    <w:rsid w:val="00B24207"/>
    <w:rsid w:val="00B24482"/>
    <w:rsid w:val="00B24817"/>
    <w:rsid w:val="00B2484D"/>
    <w:rsid w:val="00B24949"/>
    <w:rsid w:val="00B24A2A"/>
    <w:rsid w:val="00B24C5A"/>
    <w:rsid w:val="00B24DD7"/>
    <w:rsid w:val="00B25286"/>
    <w:rsid w:val="00B252FE"/>
    <w:rsid w:val="00B254FB"/>
    <w:rsid w:val="00B25816"/>
    <w:rsid w:val="00B25B82"/>
    <w:rsid w:val="00B25BD6"/>
    <w:rsid w:val="00B26079"/>
    <w:rsid w:val="00B263BC"/>
    <w:rsid w:val="00B2667B"/>
    <w:rsid w:val="00B272B1"/>
    <w:rsid w:val="00B274D5"/>
    <w:rsid w:val="00B2754D"/>
    <w:rsid w:val="00B27A9A"/>
    <w:rsid w:val="00B27AA9"/>
    <w:rsid w:val="00B30364"/>
    <w:rsid w:val="00B30606"/>
    <w:rsid w:val="00B309EC"/>
    <w:rsid w:val="00B30C8A"/>
    <w:rsid w:val="00B30C97"/>
    <w:rsid w:val="00B30D26"/>
    <w:rsid w:val="00B30D46"/>
    <w:rsid w:val="00B30DB6"/>
    <w:rsid w:val="00B30ED8"/>
    <w:rsid w:val="00B314CD"/>
    <w:rsid w:val="00B318C4"/>
    <w:rsid w:val="00B319DB"/>
    <w:rsid w:val="00B31A3B"/>
    <w:rsid w:val="00B31C8B"/>
    <w:rsid w:val="00B31DBE"/>
    <w:rsid w:val="00B32198"/>
    <w:rsid w:val="00B32282"/>
    <w:rsid w:val="00B323E3"/>
    <w:rsid w:val="00B32534"/>
    <w:rsid w:val="00B328F5"/>
    <w:rsid w:val="00B32BC2"/>
    <w:rsid w:val="00B32DC4"/>
    <w:rsid w:val="00B32DC8"/>
    <w:rsid w:val="00B32EB7"/>
    <w:rsid w:val="00B3359A"/>
    <w:rsid w:val="00B336BC"/>
    <w:rsid w:val="00B33801"/>
    <w:rsid w:val="00B33F48"/>
    <w:rsid w:val="00B34385"/>
    <w:rsid w:val="00B3439B"/>
    <w:rsid w:val="00B345DD"/>
    <w:rsid w:val="00B34E7D"/>
    <w:rsid w:val="00B34FD3"/>
    <w:rsid w:val="00B3505D"/>
    <w:rsid w:val="00B359F4"/>
    <w:rsid w:val="00B35A38"/>
    <w:rsid w:val="00B35E0E"/>
    <w:rsid w:val="00B35E51"/>
    <w:rsid w:val="00B36277"/>
    <w:rsid w:val="00B363DF"/>
    <w:rsid w:val="00B36F6F"/>
    <w:rsid w:val="00B3700E"/>
    <w:rsid w:val="00B37073"/>
    <w:rsid w:val="00B37448"/>
    <w:rsid w:val="00B3769D"/>
    <w:rsid w:val="00B37E37"/>
    <w:rsid w:val="00B401D7"/>
    <w:rsid w:val="00B4029F"/>
    <w:rsid w:val="00B4069E"/>
    <w:rsid w:val="00B40BCB"/>
    <w:rsid w:val="00B40DDC"/>
    <w:rsid w:val="00B40DEE"/>
    <w:rsid w:val="00B40E85"/>
    <w:rsid w:val="00B40F4D"/>
    <w:rsid w:val="00B416E8"/>
    <w:rsid w:val="00B41726"/>
    <w:rsid w:val="00B418DA"/>
    <w:rsid w:val="00B41C99"/>
    <w:rsid w:val="00B41EAE"/>
    <w:rsid w:val="00B41F5E"/>
    <w:rsid w:val="00B41F89"/>
    <w:rsid w:val="00B41FAF"/>
    <w:rsid w:val="00B41FF4"/>
    <w:rsid w:val="00B42C20"/>
    <w:rsid w:val="00B438FC"/>
    <w:rsid w:val="00B439E6"/>
    <w:rsid w:val="00B43B4B"/>
    <w:rsid w:val="00B44380"/>
    <w:rsid w:val="00B4447F"/>
    <w:rsid w:val="00B445DD"/>
    <w:rsid w:val="00B447C9"/>
    <w:rsid w:val="00B453DA"/>
    <w:rsid w:val="00B454EE"/>
    <w:rsid w:val="00B4580C"/>
    <w:rsid w:val="00B45C69"/>
    <w:rsid w:val="00B46030"/>
    <w:rsid w:val="00B4613F"/>
    <w:rsid w:val="00B46750"/>
    <w:rsid w:val="00B4685B"/>
    <w:rsid w:val="00B46A92"/>
    <w:rsid w:val="00B46AB3"/>
    <w:rsid w:val="00B46FFF"/>
    <w:rsid w:val="00B47598"/>
    <w:rsid w:val="00B477FA"/>
    <w:rsid w:val="00B47A33"/>
    <w:rsid w:val="00B47BB3"/>
    <w:rsid w:val="00B47E89"/>
    <w:rsid w:val="00B47FEF"/>
    <w:rsid w:val="00B50299"/>
    <w:rsid w:val="00B50597"/>
    <w:rsid w:val="00B50D35"/>
    <w:rsid w:val="00B50E4F"/>
    <w:rsid w:val="00B50F99"/>
    <w:rsid w:val="00B511C9"/>
    <w:rsid w:val="00B51201"/>
    <w:rsid w:val="00B51511"/>
    <w:rsid w:val="00B516B9"/>
    <w:rsid w:val="00B517E2"/>
    <w:rsid w:val="00B51C26"/>
    <w:rsid w:val="00B51FD1"/>
    <w:rsid w:val="00B5236A"/>
    <w:rsid w:val="00B52519"/>
    <w:rsid w:val="00B52533"/>
    <w:rsid w:val="00B525CD"/>
    <w:rsid w:val="00B528E5"/>
    <w:rsid w:val="00B528F0"/>
    <w:rsid w:val="00B52C36"/>
    <w:rsid w:val="00B52FC5"/>
    <w:rsid w:val="00B53176"/>
    <w:rsid w:val="00B5326B"/>
    <w:rsid w:val="00B533AF"/>
    <w:rsid w:val="00B53660"/>
    <w:rsid w:val="00B53CCB"/>
    <w:rsid w:val="00B54204"/>
    <w:rsid w:val="00B543D9"/>
    <w:rsid w:val="00B546B2"/>
    <w:rsid w:val="00B5481A"/>
    <w:rsid w:val="00B548B8"/>
    <w:rsid w:val="00B54996"/>
    <w:rsid w:val="00B54A5A"/>
    <w:rsid w:val="00B54C24"/>
    <w:rsid w:val="00B54F98"/>
    <w:rsid w:val="00B55061"/>
    <w:rsid w:val="00B55233"/>
    <w:rsid w:val="00B55410"/>
    <w:rsid w:val="00B55B11"/>
    <w:rsid w:val="00B55C0E"/>
    <w:rsid w:val="00B55D8E"/>
    <w:rsid w:val="00B5640F"/>
    <w:rsid w:val="00B5647E"/>
    <w:rsid w:val="00B56764"/>
    <w:rsid w:val="00B56C05"/>
    <w:rsid w:val="00B56EE5"/>
    <w:rsid w:val="00B56F16"/>
    <w:rsid w:val="00B57043"/>
    <w:rsid w:val="00B572F4"/>
    <w:rsid w:val="00B574E7"/>
    <w:rsid w:val="00B57934"/>
    <w:rsid w:val="00B57CBB"/>
    <w:rsid w:val="00B57ECE"/>
    <w:rsid w:val="00B60005"/>
    <w:rsid w:val="00B60014"/>
    <w:rsid w:val="00B6001B"/>
    <w:rsid w:val="00B600E5"/>
    <w:rsid w:val="00B60217"/>
    <w:rsid w:val="00B6037A"/>
    <w:rsid w:val="00B606F5"/>
    <w:rsid w:val="00B60A20"/>
    <w:rsid w:val="00B60A5C"/>
    <w:rsid w:val="00B60B83"/>
    <w:rsid w:val="00B60C82"/>
    <w:rsid w:val="00B60C9A"/>
    <w:rsid w:val="00B60DD3"/>
    <w:rsid w:val="00B60F79"/>
    <w:rsid w:val="00B61BF1"/>
    <w:rsid w:val="00B61C86"/>
    <w:rsid w:val="00B61EAC"/>
    <w:rsid w:val="00B62246"/>
    <w:rsid w:val="00B6241A"/>
    <w:rsid w:val="00B62431"/>
    <w:rsid w:val="00B624E8"/>
    <w:rsid w:val="00B62837"/>
    <w:rsid w:val="00B62BE1"/>
    <w:rsid w:val="00B62E37"/>
    <w:rsid w:val="00B63042"/>
    <w:rsid w:val="00B6313B"/>
    <w:rsid w:val="00B633AD"/>
    <w:rsid w:val="00B63892"/>
    <w:rsid w:val="00B63AC9"/>
    <w:rsid w:val="00B63B38"/>
    <w:rsid w:val="00B63B68"/>
    <w:rsid w:val="00B63D71"/>
    <w:rsid w:val="00B64145"/>
    <w:rsid w:val="00B6438F"/>
    <w:rsid w:val="00B647BB"/>
    <w:rsid w:val="00B64E2C"/>
    <w:rsid w:val="00B64EF0"/>
    <w:rsid w:val="00B64F22"/>
    <w:rsid w:val="00B64F91"/>
    <w:rsid w:val="00B650F4"/>
    <w:rsid w:val="00B65413"/>
    <w:rsid w:val="00B654A9"/>
    <w:rsid w:val="00B65708"/>
    <w:rsid w:val="00B657B5"/>
    <w:rsid w:val="00B65A98"/>
    <w:rsid w:val="00B65D56"/>
    <w:rsid w:val="00B66109"/>
    <w:rsid w:val="00B661C7"/>
    <w:rsid w:val="00B6623D"/>
    <w:rsid w:val="00B66318"/>
    <w:rsid w:val="00B663AA"/>
    <w:rsid w:val="00B66645"/>
    <w:rsid w:val="00B66665"/>
    <w:rsid w:val="00B66847"/>
    <w:rsid w:val="00B66A62"/>
    <w:rsid w:val="00B66B7C"/>
    <w:rsid w:val="00B66DEA"/>
    <w:rsid w:val="00B66E32"/>
    <w:rsid w:val="00B66F6A"/>
    <w:rsid w:val="00B66FB9"/>
    <w:rsid w:val="00B67183"/>
    <w:rsid w:val="00B6719E"/>
    <w:rsid w:val="00B6731B"/>
    <w:rsid w:val="00B67485"/>
    <w:rsid w:val="00B67841"/>
    <w:rsid w:val="00B678AD"/>
    <w:rsid w:val="00B67BE4"/>
    <w:rsid w:val="00B67C21"/>
    <w:rsid w:val="00B67C8E"/>
    <w:rsid w:val="00B701BC"/>
    <w:rsid w:val="00B704FF"/>
    <w:rsid w:val="00B70848"/>
    <w:rsid w:val="00B708AF"/>
    <w:rsid w:val="00B708CE"/>
    <w:rsid w:val="00B70A1D"/>
    <w:rsid w:val="00B70A70"/>
    <w:rsid w:val="00B70B36"/>
    <w:rsid w:val="00B71046"/>
    <w:rsid w:val="00B71160"/>
    <w:rsid w:val="00B71320"/>
    <w:rsid w:val="00B714D5"/>
    <w:rsid w:val="00B714F9"/>
    <w:rsid w:val="00B71684"/>
    <w:rsid w:val="00B718D3"/>
    <w:rsid w:val="00B71A2F"/>
    <w:rsid w:val="00B71D5F"/>
    <w:rsid w:val="00B71D9D"/>
    <w:rsid w:val="00B71F65"/>
    <w:rsid w:val="00B71FF7"/>
    <w:rsid w:val="00B72253"/>
    <w:rsid w:val="00B7230B"/>
    <w:rsid w:val="00B723CE"/>
    <w:rsid w:val="00B72439"/>
    <w:rsid w:val="00B72543"/>
    <w:rsid w:val="00B7274F"/>
    <w:rsid w:val="00B72B90"/>
    <w:rsid w:val="00B72FA8"/>
    <w:rsid w:val="00B72FCC"/>
    <w:rsid w:val="00B734AB"/>
    <w:rsid w:val="00B734FA"/>
    <w:rsid w:val="00B736CB"/>
    <w:rsid w:val="00B739D4"/>
    <w:rsid w:val="00B73EEA"/>
    <w:rsid w:val="00B7481A"/>
    <w:rsid w:val="00B748CE"/>
    <w:rsid w:val="00B749FA"/>
    <w:rsid w:val="00B74EC0"/>
    <w:rsid w:val="00B74F27"/>
    <w:rsid w:val="00B7532E"/>
    <w:rsid w:val="00B7569D"/>
    <w:rsid w:val="00B758D7"/>
    <w:rsid w:val="00B75B42"/>
    <w:rsid w:val="00B767B2"/>
    <w:rsid w:val="00B7683A"/>
    <w:rsid w:val="00B768B3"/>
    <w:rsid w:val="00B76A13"/>
    <w:rsid w:val="00B76E23"/>
    <w:rsid w:val="00B76E31"/>
    <w:rsid w:val="00B77206"/>
    <w:rsid w:val="00B7733E"/>
    <w:rsid w:val="00B77428"/>
    <w:rsid w:val="00B7752C"/>
    <w:rsid w:val="00B776AD"/>
    <w:rsid w:val="00B7775D"/>
    <w:rsid w:val="00B77A97"/>
    <w:rsid w:val="00B77B6A"/>
    <w:rsid w:val="00B77BCB"/>
    <w:rsid w:val="00B80186"/>
    <w:rsid w:val="00B80271"/>
    <w:rsid w:val="00B80283"/>
    <w:rsid w:val="00B8066B"/>
    <w:rsid w:val="00B806C5"/>
    <w:rsid w:val="00B80D8C"/>
    <w:rsid w:val="00B80E7D"/>
    <w:rsid w:val="00B811F2"/>
    <w:rsid w:val="00B816F1"/>
    <w:rsid w:val="00B8179B"/>
    <w:rsid w:val="00B81AE1"/>
    <w:rsid w:val="00B81FF4"/>
    <w:rsid w:val="00B8236F"/>
    <w:rsid w:val="00B82446"/>
    <w:rsid w:val="00B8253E"/>
    <w:rsid w:val="00B82673"/>
    <w:rsid w:val="00B82AF0"/>
    <w:rsid w:val="00B830BE"/>
    <w:rsid w:val="00B83121"/>
    <w:rsid w:val="00B83592"/>
    <w:rsid w:val="00B83ABA"/>
    <w:rsid w:val="00B83C3F"/>
    <w:rsid w:val="00B83C9B"/>
    <w:rsid w:val="00B83E2F"/>
    <w:rsid w:val="00B84477"/>
    <w:rsid w:val="00B84598"/>
    <w:rsid w:val="00B845F0"/>
    <w:rsid w:val="00B84786"/>
    <w:rsid w:val="00B847BB"/>
    <w:rsid w:val="00B847D2"/>
    <w:rsid w:val="00B848FB"/>
    <w:rsid w:val="00B84A7B"/>
    <w:rsid w:val="00B850CF"/>
    <w:rsid w:val="00B850E0"/>
    <w:rsid w:val="00B8533A"/>
    <w:rsid w:val="00B8533C"/>
    <w:rsid w:val="00B854FE"/>
    <w:rsid w:val="00B855B1"/>
    <w:rsid w:val="00B859F9"/>
    <w:rsid w:val="00B85CB2"/>
    <w:rsid w:val="00B85EBF"/>
    <w:rsid w:val="00B85F39"/>
    <w:rsid w:val="00B860B0"/>
    <w:rsid w:val="00B86213"/>
    <w:rsid w:val="00B86517"/>
    <w:rsid w:val="00B865C4"/>
    <w:rsid w:val="00B869A4"/>
    <w:rsid w:val="00B86FC0"/>
    <w:rsid w:val="00B87035"/>
    <w:rsid w:val="00B87291"/>
    <w:rsid w:val="00B876ED"/>
    <w:rsid w:val="00B87E27"/>
    <w:rsid w:val="00B9055F"/>
    <w:rsid w:val="00B9063D"/>
    <w:rsid w:val="00B90707"/>
    <w:rsid w:val="00B9074C"/>
    <w:rsid w:val="00B90AE7"/>
    <w:rsid w:val="00B90C59"/>
    <w:rsid w:val="00B91071"/>
    <w:rsid w:val="00B91189"/>
    <w:rsid w:val="00B9131E"/>
    <w:rsid w:val="00B9149D"/>
    <w:rsid w:val="00B91717"/>
    <w:rsid w:val="00B918B9"/>
    <w:rsid w:val="00B9191D"/>
    <w:rsid w:val="00B91955"/>
    <w:rsid w:val="00B919DE"/>
    <w:rsid w:val="00B91BF2"/>
    <w:rsid w:val="00B92093"/>
    <w:rsid w:val="00B928A4"/>
    <w:rsid w:val="00B92D7E"/>
    <w:rsid w:val="00B93050"/>
    <w:rsid w:val="00B933E0"/>
    <w:rsid w:val="00B93477"/>
    <w:rsid w:val="00B938B9"/>
    <w:rsid w:val="00B93B28"/>
    <w:rsid w:val="00B93DFE"/>
    <w:rsid w:val="00B94067"/>
    <w:rsid w:val="00B940E8"/>
    <w:rsid w:val="00B94433"/>
    <w:rsid w:val="00B94500"/>
    <w:rsid w:val="00B948C5"/>
    <w:rsid w:val="00B949E3"/>
    <w:rsid w:val="00B94A1E"/>
    <w:rsid w:val="00B95052"/>
    <w:rsid w:val="00B953C2"/>
    <w:rsid w:val="00B953DB"/>
    <w:rsid w:val="00B955BA"/>
    <w:rsid w:val="00B957A3"/>
    <w:rsid w:val="00B95800"/>
    <w:rsid w:val="00B9588F"/>
    <w:rsid w:val="00B958FF"/>
    <w:rsid w:val="00B95980"/>
    <w:rsid w:val="00B959A1"/>
    <w:rsid w:val="00B95A76"/>
    <w:rsid w:val="00B960E8"/>
    <w:rsid w:val="00B96214"/>
    <w:rsid w:val="00B96382"/>
    <w:rsid w:val="00B9643E"/>
    <w:rsid w:val="00B96594"/>
    <w:rsid w:val="00B9694E"/>
    <w:rsid w:val="00B96C73"/>
    <w:rsid w:val="00B96C77"/>
    <w:rsid w:val="00B96C91"/>
    <w:rsid w:val="00B96F56"/>
    <w:rsid w:val="00B9771B"/>
    <w:rsid w:val="00B97751"/>
    <w:rsid w:val="00BA004E"/>
    <w:rsid w:val="00BA01F2"/>
    <w:rsid w:val="00BA050E"/>
    <w:rsid w:val="00BA086B"/>
    <w:rsid w:val="00BA0B0A"/>
    <w:rsid w:val="00BA0B2B"/>
    <w:rsid w:val="00BA0B46"/>
    <w:rsid w:val="00BA0CEA"/>
    <w:rsid w:val="00BA0D10"/>
    <w:rsid w:val="00BA0D99"/>
    <w:rsid w:val="00BA0E37"/>
    <w:rsid w:val="00BA0FC8"/>
    <w:rsid w:val="00BA1010"/>
    <w:rsid w:val="00BA109A"/>
    <w:rsid w:val="00BA10B7"/>
    <w:rsid w:val="00BA10F6"/>
    <w:rsid w:val="00BA1549"/>
    <w:rsid w:val="00BA17E0"/>
    <w:rsid w:val="00BA1B70"/>
    <w:rsid w:val="00BA2240"/>
    <w:rsid w:val="00BA2633"/>
    <w:rsid w:val="00BA27C2"/>
    <w:rsid w:val="00BA2A69"/>
    <w:rsid w:val="00BA2DBC"/>
    <w:rsid w:val="00BA3030"/>
    <w:rsid w:val="00BA3430"/>
    <w:rsid w:val="00BA358F"/>
    <w:rsid w:val="00BA35E1"/>
    <w:rsid w:val="00BA42D1"/>
    <w:rsid w:val="00BA4AF7"/>
    <w:rsid w:val="00BA4BB1"/>
    <w:rsid w:val="00BA4BBF"/>
    <w:rsid w:val="00BA4E47"/>
    <w:rsid w:val="00BA4E95"/>
    <w:rsid w:val="00BA5002"/>
    <w:rsid w:val="00BA50A7"/>
    <w:rsid w:val="00BA51EE"/>
    <w:rsid w:val="00BA5F1E"/>
    <w:rsid w:val="00BA601F"/>
    <w:rsid w:val="00BA64BB"/>
    <w:rsid w:val="00BA6701"/>
    <w:rsid w:val="00BA67EF"/>
    <w:rsid w:val="00BA6869"/>
    <w:rsid w:val="00BA6E8A"/>
    <w:rsid w:val="00BA6F97"/>
    <w:rsid w:val="00BA703C"/>
    <w:rsid w:val="00BA7466"/>
    <w:rsid w:val="00BA783A"/>
    <w:rsid w:val="00BA7A83"/>
    <w:rsid w:val="00BB0370"/>
    <w:rsid w:val="00BB0526"/>
    <w:rsid w:val="00BB0698"/>
    <w:rsid w:val="00BB0D6E"/>
    <w:rsid w:val="00BB0E0E"/>
    <w:rsid w:val="00BB133D"/>
    <w:rsid w:val="00BB176B"/>
    <w:rsid w:val="00BB184B"/>
    <w:rsid w:val="00BB18D1"/>
    <w:rsid w:val="00BB1B8E"/>
    <w:rsid w:val="00BB1C5B"/>
    <w:rsid w:val="00BB1C63"/>
    <w:rsid w:val="00BB1DF6"/>
    <w:rsid w:val="00BB2433"/>
    <w:rsid w:val="00BB276A"/>
    <w:rsid w:val="00BB28A5"/>
    <w:rsid w:val="00BB2E9E"/>
    <w:rsid w:val="00BB3210"/>
    <w:rsid w:val="00BB32EE"/>
    <w:rsid w:val="00BB3829"/>
    <w:rsid w:val="00BB392F"/>
    <w:rsid w:val="00BB3BBF"/>
    <w:rsid w:val="00BB3F0A"/>
    <w:rsid w:val="00BB4204"/>
    <w:rsid w:val="00BB454B"/>
    <w:rsid w:val="00BB4685"/>
    <w:rsid w:val="00BB4B72"/>
    <w:rsid w:val="00BB520B"/>
    <w:rsid w:val="00BB5467"/>
    <w:rsid w:val="00BB54CA"/>
    <w:rsid w:val="00BB5977"/>
    <w:rsid w:val="00BB5A4D"/>
    <w:rsid w:val="00BB5B30"/>
    <w:rsid w:val="00BB5BF7"/>
    <w:rsid w:val="00BB638B"/>
    <w:rsid w:val="00BB6EF3"/>
    <w:rsid w:val="00BB7187"/>
    <w:rsid w:val="00BB72D4"/>
    <w:rsid w:val="00BB74C4"/>
    <w:rsid w:val="00BB7993"/>
    <w:rsid w:val="00BB7ED5"/>
    <w:rsid w:val="00BB7F20"/>
    <w:rsid w:val="00BC01FE"/>
    <w:rsid w:val="00BC07E5"/>
    <w:rsid w:val="00BC093F"/>
    <w:rsid w:val="00BC1372"/>
    <w:rsid w:val="00BC16B3"/>
    <w:rsid w:val="00BC1A65"/>
    <w:rsid w:val="00BC1B42"/>
    <w:rsid w:val="00BC1F6E"/>
    <w:rsid w:val="00BC2135"/>
    <w:rsid w:val="00BC2226"/>
    <w:rsid w:val="00BC256D"/>
    <w:rsid w:val="00BC2B7F"/>
    <w:rsid w:val="00BC303D"/>
    <w:rsid w:val="00BC3198"/>
    <w:rsid w:val="00BC3259"/>
    <w:rsid w:val="00BC3751"/>
    <w:rsid w:val="00BC37C6"/>
    <w:rsid w:val="00BC38B0"/>
    <w:rsid w:val="00BC3B50"/>
    <w:rsid w:val="00BC3FAD"/>
    <w:rsid w:val="00BC3FB3"/>
    <w:rsid w:val="00BC412E"/>
    <w:rsid w:val="00BC4764"/>
    <w:rsid w:val="00BC4904"/>
    <w:rsid w:val="00BC4B80"/>
    <w:rsid w:val="00BC5052"/>
    <w:rsid w:val="00BC5597"/>
    <w:rsid w:val="00BC56D8"/>
    <w:rsid w:val="00BC5BA6"/>
    <w:rsid w:val="00BC5FBC"/>
    <w:rsid w:val="00BC61CF"/>
    <w:rsid w:val="00BC636C"/>
    <w:rsid w:val="00BC689B"/>
    <w:rsid w:val="00BC6926"/>
    <w:rsid w:val="00BC6977"/>
    <w:rsid w:val="00BC6E8D"/>
    <w:rsid w:val="00BC7245"/>
    <w:rsid w:val="00BC7332"/>
    <w:rsid w:val="00BC7762"/>
    <w:rsid w:val="00BC792B"/>
    <w:rsid w:val="00BC7952"/>
    <w:rsid w:val="00BC7B5F"/>
    <w:rsid w:val="00BC7E73"/>
    <w:rsid w:val="00BC7EE9"/>
    <w:rsid w:val="00BC7FA9"/>
    <w:rsid w:val="00BD052A"/>
    <w:rsid w:val="00BD052C"/>
    <w:rsid w:val="00BD0555"/>
    <w:rsid w:val="00BD0590"/>
    <w:rsid w:val="00BD0AFF"/>
    <w:rsid w:val="00BD15AD"/>
    <w:rsid w:val="00BD175D"/>
    <w:rsid w:val="00BD1786"/>
    <w:rsid w:val="00BD1806"/>
    <w:rsid w:val="00BD18B2"/>
    <w:rsid w:val="00BD1A0F"/>
    <w:rsid w:val="00BD1C8F"/>
    <w:rsid w:val="00BD1E7B"/>
    <w:rsid w:val="00BD2030"/>
    <w:rsid w:val="00BD2189"/>
    <w:rsid w:val="00BD2597"/>
    <w:rsid w:val="00BD283B"/>
    <w:rsid w:val="00BD2842"/>
    <w:rsid w:val="00BD29D6"/>
    <w:rsid w:val="00BD2AC6"/>
    <w:rsid w:val="00BD2B57"/>
    <w:rsid w:val="00BD2E06"/>
    <w:rsid w:val="00BD32DA"/>
    <w:rsid w:val="00BD353A"/>
    <w:rsid w:val="00BD367D"/>
    <w:rsid w:val="00BD379F"/>
    <w:rsid w:val="00BD3A4E"/>
    <w:rsid w:val="00BD3FD1"/>
    <w:rsid w:val="00BD43CE"/>
    <w:rsid w:val="00BD44FA"/>
    <w:rsid w:val="00BD475D"/>
    <w:rsid w:val="00BD4D38"/>
    <w:rsid w:val="00BD4D61"/>
    <w:rsid w:val="00BD4E76"/>
    <w:rsid w:val="00BD52A9"/>
    <w:rsid w:val="00BD5395"/>
    <w:rsid w:val="00BD5E8F"/>
    <w:rsid w:val="00BD5FEB"/>
    <w:rsid w:val="00BD6115"/>
    <w:rsid w:val="00BD617C"/>
    <w:rsid w:val="00BD61DE"/>
    <w:rsid w:val="00BD69A2"/>
    <w:rsid w:val="00BD6B95"/>
    <w:rsid w:val="00BD6D73"/>
    <w:rsid w:val="00BD6E4E"/>
    <w:rsid w:val="00BD6F60"/>
    <w:rsid w:val="00BD6FEE"/>
    <w:rsid w:val="00BD7387"/>
    <w:rsid w:val="00BD7AE8"/>
    <w:rsid w:val="00BD7B88"/>
    <w:rsid w:val="00BD7BBD"/>
    <w:rsid w:val="00BD7C55"/>
    <w:rsid w:val="00BD7F1E"/>
    <w:rsid w:val="00BE002A"/>
    <w:rsid w:val="00BE067D"/>
    <w:rsid w:val="00BE0A0E"/>
    <w:rsid w:val="00BE0A1F"/>
    <w:rsid w:val="00BE0B68"/>
    <w:rsid w:val="00BE112D"/>
    <w:rsid w:val="00BE174F"/>
    <w:rsid w:val="00BE1A33"/>
    <w:rsid w:val="00BE1BD6"/>
    <w:rsid w:val="00BE2003"/>
    <w:rsid w:val="00BE220D"/>
    <w:rsid w:val="00BE2212"/>
    <w:rsid w:val="00BE238C"/>
    <w:rsid w:val="00BE2516"/>
    <w:rsid w:val="00BE2768"/>
    <w:rsid w:val="00BE2E31"/>
    <w:rsid w:val="00BE2F54"/>
    <w:rsid w:val="00BE3123"/>
    <w:rsid w:val="00BE32B4"/>
    <w:rsid w:val="00BE3319"/>
    <w:rsid w:val="00BE3421"/>
    <w:rsid w:val="00BE3C63"/>
    <w:rsid w:val="00BE3C93"/>
    <w:rsid w:val="00BE3ED5"/>
    <w:rsid w:val="00BE4217"/>
    <w:rsid w:val="00BE48BF"/>
    <w:rsid w:val="00BE4AC9"/>
    <w:rsid w:val="00BE4B14"/>
    <w:rsid w:val="00BE5031"/>
    <w:rsid w:val="00BE5042"/>
    <w:rsid w:val="00BE51EF"/>
    <w:rsid w:val="00BE5313"/>
    <w:rsid w:val="00BE5351"/>
    <w:rsid w:val="00BE552D"/>
    <w:rsid w:val="00BE560F"/>
    <w:rsid w:val="00BE57D9"/>
    <w:rsid w:val="00BE58E5"/>
    <w:rsid w:val="00BE5A12"/>
    <w:rsid w:val="00BE5BDB"/>
    <w:rsid w:val="00BE5DA5"/>
    <w:rsid w:val="00BE5DC0"/>
    <w:rsid w:val="00BE61C1"/>
    <w:rsid w:val="00BE684B"/>
    <w:rsid w:val="00BE693A"/>
    <w:rsid w:val="00BE6A0A"/>
    <w:rsid w:val="00BE6C43"/>
    <w:rsid w:val="00BE6C79"/>
    <w:rsid w:val="00BE6ECF"/>
    <w:rsid w:val="00BE703F"/>
    <w:rsid w:val="00BE7127"/>
    <w:rsid w:val="00BE72BC"/>
    <w:rsid w:val="00BE77FF"/>
    <w:rsid w:val="00BE7A74"/>
    <w:rsid w:val="00BE7B0A"/>
    <w:rsid w:val="00BE7C2E"/>
    <w:rsid w:val="00BE7DA2"/>
    <w:rsid w:val="00BF09DC"/>
    <w:rsid w:val="00BF0B15"/>
    <w:rsid w:val="00BF0CB2"/>
    <w:rsid w:val="00BF0D95"/>
    <w:rsid w:val="00BF0DC4"/>
    <w:rsid w:val="00BF0F94"/>
    <w:rsid w:val="00BF136A"/>
    <w:rsid w:val="00BF140C"/>
    <w:rsid w:val="00BF151F"/>
    <w:rsid w:val="00BF1856"/>
    <w:rsid w:val="00BF18EE"/>
    <w:rsid w:val="00BF19A2"/>
    <w:rsid w:val="00BF1C8B"/>
    <w:rsid w:val="00BF1EEE"/>
    <w:rsid w:val="00BF2055"/>
    <w:rsid w:val="00BF22A4"/>
    <w:rsid w:val="00BF2A58"/>
    <w:rsid w:val="00BF2D38"/>
    <w:rsid w:val="00BF3147"/>
    <w:rsid w:val="00BF33F2"/>
    <w:rsid w:val="00BF3441"/>
    <w:rsid w:val="00BF417B"/>
    <w:rsid w:val="00BF4233"/>
    <w:rsid w:val="00BF4A0F"/>
    <w:rsid w:val="00BF4A1A"/>
    <w:rsid w:val="00BF4ABC"/>
    <w:rsid w:val="00BF4C0B"/>
    <w:rsid w:val="00BF4F1F"/>
    <w:rsid w:val="00BF5034"/>
    <w:rsid w:val="00BF5199"/>
    <w:rsid w:val="00BF5443"/>
    <w:rsid w:val="00BF57AA"/>
    <w:rsid w:val="00BF59D1"/>
    <w:rsid w:val="00BF6334"/>
    <w:rsid w:val="00BF63C6"/>
    <w:rsid w:val="00BF6621"/>
    <w:rsid w:val="00BF666F"/>
    <w:rsid w:val="00BF6682"/>
    <w:rsid w:val="00BF690F"/>
    <w:rsid w:val="00BF6A53"/>
    <w:rsid w:val="00BF6AD3"/>
    <w:rsid w:val="00BF6BA2"/>
    <w:rsid w:val="00BF73A7"/>
    <w:rsid w:val="00BF7CB1"/>
    <w:rsid w:val="00BF7D0D"/>
    <w:rsid w:val="00BF7EB0"/>
    <w:rsid w:val="00C0070D"/>
    <w:rsid w:val="00C00870"/>
    <w:rsid w:val="00C009BB"/>
    <w:rsid w:val="00C0107E"/>
    <w:rsid w:val="00C0159E"/>
    <w:rsid w:val="00C0162B"/>
    <w:rsid w:val="00C02088"/>
    <w:rsid w:val="00C0236D"/>
    <w:rsid w:val="00C02436"/>
    <w:rsid w:val="00C0259D"/>
    <w:rsid w:val="00C026C7"/>
    <w:rsid w:val="00C0276A"/>
    <w:rsid w:val="00C027CB"/>
    <w:rsid w:val="00C02F6C"/>
    <w:rsid w:val="00C02FF1"/>
    <w:rsid w:val="00C03258"/>
    <w:rsid w:val="00C03592"/>
    <w:rsid w:val="00C03A04"/>
    <w:rsid w:val="00C03A24"/>
    <w:rsid w:val="00C03AA1"/>
    <w:rsid w:val="00C03AA9"/>
    <w:rsid w:val="00C03D47"/>
    <w:rsid w:val="00C03D97"/>
    <w:rsid w:val="00C04198"/>
    <w:rsid w:val="00C04399"/>
    <w:rsid w:val="00C04676"/>
    <w:rsid w:val="00C04752"/>
    <w:rsid w:val="00C049EF"/>
    <w:rsid w:val="00C04F10"/>
    <w:rsid w:val="00C04FF6"/>
    <w:rsid w:val="00C0518C"/>
    <w:rsid w:val="00C05230"/>
    <w:rsid w:val="00C05934"/>
    <w:rsid w:val="00C05DC2"/>
    <w:rsid w:val="00C05F55"/>
    <w:rsid w:val="00C06030"/>
    <w:rsid w:val="00C061DC"/>
    <w:rsid w:val="00C062E6"/>
    <w:rsid w:val="00C06416"/>
    <w:rsid w:val="00C067F4"/>
    <w:rsid w:val="00C068F6"/>
    <w:rsid w:val="00C06A57"/>
    <w:rsid w:val="00C06B7E"/>
    <w:rsid w:val="00C06D5F"/>
    <w:rsid w:val="00C06E78"/>
    <w:rsid w:val="00C06F12"/>
    <w:rsid w:val="00C07CCC"/>
    <w:rsid w:val="00C07EA4"/>
    <w:rsid w:val="00C101A3"/>
    <w:rsid w:val="00C101DA"/>
    <w:rsid w:val="00C10502"/>
    <w:rsid w:val="00C10567"/>
    <w:rsid w:val="00C10835"/>
    <w:rsid w:val="00C10A19"/>
    <w:rsid w:val="00C10C6E"/>
    <w:rsid w:val="00C10F8A"/>
    <w:rsid w:val="00C11101"/>
    <w:rsid w:val="00C111A5"/>
    <w:rsid w:val="00C11293"/>
    <w:rsid w:val="00C11607"/>
    <w:rsid w:val="00C116AD"/>
    <w:rsid w:val="00C119F4"/>
    <w:rsid w:val="00C11C34"/>
    <w:rsid w:val="00C11F06"/>
    <w:rsid w:val="00C11F97"/>
    <w:rsid w:val="00C1221C"/>
    <w:rsid w:val="00C1248D"/>
    <w:rsid w:val="00C1288F"/>
    <w:rsid w:val="00C129B0"/>
    <w:rsid w:val="00C12AAF"/>
    <w:rsid w:val="00C12E2C"/>
    <w:rsid w:val="00C12EFA"/>
    <w:rsid w:val="00C132B3"/>
    <w:rsid w:val="00C13533"/>
    <w:rsid w:val="00C1397E"/>
    <w:rsid w:val="00C1399E"/>
    <w:rsid w:val="00C139B3"/>
    <w:rsid w:val="00C14175"/>
    <w:rsid w:val="00C1468D"/>
    <w:rsid w:val="00C14714"/>
    <w:rsid w:val="00C14989"/>
    <w:rsid w:val="00C14DD9"/>
    <w:rsid w:val="00C14E3A"/>
    <w:rsid w:val="00C150E4"/>
    <w:rsid w:val="00C15443"/>
    <w:rsid w:val="00C15542"/>
    <w:rsid w:val="00C157DF"/>
    <w:rsid w:val="00C1585A"/>
    <w:rsid w:val="00C15BC4"/>
    <w:rsid w:val="00C15C7A"/>
    <w:rsid w:val="00C15CA0"/>
    <w:rsid w:val="00C15EBD"/>
    <w:rsid w:val="00C16564"/>
    <w:rsid w:val="00C16620"/>
    <w:rsid w:val="00C16DE3"/>
    <w:rsid w:val="00C171E2"/>
    <w:rsid w:val="00C17414"/>
    <w:rsid w:val="00C17967"/>
    <w:rsid w:val="00C17AF8"/>
    <w:rsid w:val="00C2006D"/>
    <w:rsid w:val="00C205D4"/>
    <w:rsid w:val="00C206BA"/>
    <w:rsid w:val="00C20728"/>
    <w:rsid w:val="00C2092B"/>
    <w:rsid w:val="00C2095E"/>
    <w:rsid w:val="00C20A60"/>
    <w:rsid w:val="00C20BB4"/>
    <w:rsid w:val="00C20D96"/>
    <w:rsid w:val="00C20DF8"/>
    <w:rsid w:val="00C20ECE"/>
    <w:rsid w:val="00C20F1E"/>
    <w:rsid w:val="00C2128E"/>
    <w:rsid w:val="00C21512"/>
    <w:rsid w:val="00C21768"/>
    <w:rsid w:val="00C21CB3"/>
    <w:rsid w:val="00C21D7E"/>
    <w:rsid w:val="00C21FF0"/>
    <w:rsid w:val="00C22214"/>
    <w:rsid w:val="00C222DD"/>
    <w:rsid w:val="00C225E7"/>
    <w:rsid w:val="00C22667"/>
    <w:rsid w:val="00C228DF"/>
    <w:rsid w:val="00C22E43"/>
    <w:rsid w:val="00C22ED7"/>
    <w:rsid w:val="00C22F38"/>
    <w:rsid w:val="00C2316E"/>
    <w:rsid w:val="00C23230"/>
    <w:rsid w:val="00C23D9C"/>
    <w:rsid w:val="00C24079"/>
    <w:rsid w:val="00C24397"/>
    <w:rsid w:val="00C244D8"/>
    <w:rsid w:val="00C2458C"/>
    <w:rsid w:val="00C24638"/>
    <w:rsid w:val="00C247BF"/>
    <w:rsid w:val="00C24803"/>
    <w:rsid w:val="00C2516E"/>
    <w:rsid w:val="00C25492"/>
    <w:rsid w:val="00C25787"/>
    <w:rsid w:val="00C257E5"/>
    <w:rsid w:val="00C25943"/>
    <w:rsid w:val="00C25CE0"/>
    <w:rsid w:val="00C25CF0"/>
    <w:rsid w:val="00C260EF"/>
    <w:rsid w:val="00C26412"/>
    <w:rsid w:val="00C265ED"/>
    <w:rsid w:val="00C2663C"/>
    <w:rsid w:val="00C2670E"/>
    <w:rsid w:val="00C26779"/>
    <w:rsid w:val="00C268C7"/>
    <w:rsid w:val="00C26954"/>
    <w:rsid w:val="00C26F74"/>
    <w:rsid w:val="00C273E9"/>
    <w:rsid w:val="00C27533"/>
    <w:rsid w:val="00C27848"/>
    <w:rsid w:val="00C27D1C"/>
    <w:rsid w:val="00C27D91"/>
    <w:rsid w:val="00C27E9F"/>
    <w:rsid w:val="00C30192"/>
    <w:rsid w:val="00C304EF"/>
    <w:rsid w:val="00C3053F"/>
    <w:rsid w:val="00C306D8"/>
    <w:rsid w:val="00C3080E"/>
    <w:rsid w:val="00C30A36"/>
    <w:rsid w:val="00C30AA6"/>
    <w:rsid w:val="00C3100F"/>
    <w:rsid w:val="00C31232"/>
    <w:rsid w:val="00C31256"/>
    <w:rsid w:val="00C3145C"/>
    <w:rsid w:val="00C314D0"/>
    <w:rsid w:val="00C315B6"/>
    <w:rsid w:val="00C31753"/>
    <w:rsid w:val="00C31913"/>
    <w:rsid w:val="00C31917"/>
    <w:rsid w:val="00C319C1"/>
    <w:rsid w:val="00C31C33"/>
    <w:rsid w:val="00C31F0A"/>
    <w:rsid w:val="00C31F6E"/>
    <w:rsid w:val="00C3204D"/>
    <w:rsid w:val="00C320CD"/>
    <w:rsid w:val="00C3213F"/>
    <w:rsid w:val="00C32259"/>
    <w:rsid w:val="00C323AE"/>
    <w:rsid w:val="00C32830"/>
    <w:rsid w:val="00C32839"/>
    <w:rsid w:val="00C328A5"/>
    <w:rsid w:val="00C3299C"/>
    <w:rsid w:val="00C33B0C"/>
    <w:rsid w:val="00C33CE3"/>
    <w:rsid w:val="00C33CF9"/>
    <w:rsid w:val="00C33F1F"/>
    <w:rsid w:val="00C33F54"/>
    <w:rsid w:val="00C3404E"/>
    <w:rsid w:val="00C3441E"/>
    <w:rsid w:val="00C344D4"/>
    <w:rsid w:val="00C345B8"/>
    <w:rsid w:val="00C34825"/>
    <w:rsid w:val="00C34910"/>
    <w:rsid w:val="00C34B04"/>
    <w:rsid w:val="00C34B63"/>
    <w:rsid w:val="00C35547"/>
    <w:rsid w:val="00C358FE"/>
    <w:rsid w:val="00C35975"/>
    <w:rsid w:val="00C35B95"/>
    <w:rsid w:val="00C35CDA"/>
    <w:rsid w:val="00C35D30"/>
    <w:rsid w:val="00C36201"/>
    <w:rsid w:val="00C36C30"/>
    <w:rsid w:val="00C36D0B"/>
    <w:rsid w:val="00C36E11"/>
    <w:rsid w:val="00C37102"/>
    <w:rsid w:val="00C374A4"/>
    <w:rsid w:val="00C375CF"/>
    <w:rsid w:val="00C3769F"/>
    <w:rsid w:val="00C37774"/>
    <w:rsid w:val="00C378D3"/>
    <w:rsid w:val="00C37C5A"/>
    <w:rsid w:val="00C37CAF"/>
    <w:rsid w:val="00C40242"/>
    <w:rsid w:val="00C4024D"/>
    <w:rsid w:val="00C405ED"/>
    <w:rsid w:val="00C405F5"/>
    <w:rsid w:val="00C40B36"/>
    <w:rsid w:val="00C410A1"/>
    <w:rsid w:val="00C41393"/>
    <w:rsid w:val="00C41647"/>
    <w:rsid w:val="00C41D4E"/>
    <w:rsid w:val="00C424EA"/>
    <w:rsid w:val="00C42914"/>
    <w:rsid w:val="00C429B0"/>
    <w:rsid w:val="00C42E28"/>
    <w:rsid w:val="00C4351D"/>
    <w:rsid w:val="00C43629"/>
    <w:rsid w:val="00C439B7"/>
    <w:rsid w:val="00C43F13"/>
    <w:rsid w:val="00C44265"/>
    <w:rsid w:val="00C444C0"/>
    <w:rsid w:val="00C44968"/>
    <w:rsid w:val="00C44A7A"/>
    <w:rsid w:val="00C44FA9"/>
    <w:rsid w:val="00C454AC"/>
    <w:rsid w:val="00C4574C"/>
    <w:rsid w:val="00C45C50"/>
    <w:rsid w:val="00C45F37"/>
    <w:rsid w:val="00C45FBA"/>
    <w:rsid w:val="00C46115"/>
    <w:rsid w:val="00C4612C"/>
    <w:rsid w:val="00C4649F"/>
    <w:rsid w:val="00C4671A"/>
    <w:rsid w:val="00C46AA6"/>
    <w:rsid w:val="00C46BEE"/>
    <w:rsid w:val="00C4709C"/>
    <w:rsid w:val="00C47218"/>
    <w:rsid w:val="00C4781A"/>
    <w:rsid w:val="00C4789D"/>
    <w:rsid w:val="00C479DB"/>
    <w:rsid w:val="00C47E2E"/>
    <w:rsid w:val="00C501DA"/>
    <w:rsid w:val="00C502B5"/>
    <w:rsid w:val="00C50353"/>
    <w:rsid w:val="00C506CD"/>
    <w:rsid w:val="00C50A87"/>
    <w:rsid w:val="00C50DFC"/>
    <w:rsid w:val="00C50E89"/>
    <w:rsid w:val="00C5122A"/>
    <w:rsid w:val="00C513AF"/>
    <w:rsid w:val="00C51462"/>
    <w:rsid w:val="00C51E5E"/>
    <w:rsid w:val="00C5208C"/>
    <w:rsid w:val="00C522C2"/>
    <w:rsid w:val="00C523E0"/>
    <w:rsid w:val="00C5272A"/>
    <w:rsid w:val="00C529AF"/>
    <w:rsid w:val="00C52A65"/>
    <w:rsid w:val="00C52BCF"/>
    <w:rsid w:val="00C52DF1"/>
    <w:rsid w:val="00C534A7"/>
    <w:rsid w:val="00C53579"/>
    <w:rsid w:val="00C537BB"/>
    <w:rsid w:val="00C53AC7"/>
    <w:rsid w:val="00C53D05"/>
    <w:rsid w:val="00C53E16"/>
    <w:rsid w:val="00C540D3"/>
    <w:rsid w:val="00C549E0"/>
    <w:rsid w:val="00C54A84"/>
    <w:rsid w:val="00C54BDB"/>
    <w:rsid w:val="00C551E8"/>
    <w:rsid w:val="00C5547A"/>
    <w:rsid w:val="00C558C3"/>
    <w:rsid w:val="00C56140"/>
    <w:rsid w:val="00C5628C"/>
    <w:rsid w:val="00C56462"/>
    <w:rsid w:val="00C565EE"/>
    <w:rsid w:val="00C567FE"/>
    <w:rsid w:val="00C569D5"/>
    <w:rsid w:val="00C56C54"/>
    <w:rsid w:val="00C56F08"/>
    <w:rsid w:val="00C56F51"/>
    <w:rsid w:val="00C56F75"/>
    <w:rsid w:val="00C570F9"/>
    <w:rsid w:val="00C571B2"/>
    <w:rsid w:val="00C57257"/>
    <w:rsid w:val="00C573CF"/>
    <w:rsid w:val="00C579F5"/>
    <w:rsid w:val="00C57B93"/>
    <w:rsid w:val="00C57C77"/>
    <w:rsid w:val="00C57FC3"/>
    <w:rsid w:val="00C6000B"/>
    <w:rsid w:val="00C603AE"/>
    <w:rsid w:val="00C60478"/>
    <w:rsid w:val="00C609AA"/>
    <w:rsid w:val="00C60CE4"/>
    <w:rsid w:val="00C61366"/>
    <w:rsid w:val="00C61581"/>
    <w:rsid w:val="00C618FD"/>
    <w:rsid w:val="00C61DC9"/>
    <w:rsid w:val="00C61E97"/>
    <w:rsid w:val="00C62078"/>
    <w:rsid w:val="00C6214D"/>
    <w:rsid w:val="00C62587"/>
    <w:rsid w:val="00C62621"/>
    <w:rsid w:val="00C6268B"/>
    <w:rsid w:val="00C62FBD"/>
    <w:rsid w:val="00C63116"/>
    <w:rsid w:val="00C63201"/>
    <w:rsid w:val="00C63480"/>
    <w:rsid w:val="00C63BB5"/>
    <w:rsid w:val="00C63CAD"/>
    <w:rsid w:val="00C64133"/>
    <w:rsid w:val="00C641E7"/>
    <w:rsid w:val="00C64397"/>
    <w:rsid w:val="00C645F1"/>
    <w:rsid w:val="00C64B92"/>
    <w:rsid w:val="00C64EC1"/>
    <w:rsid w:val="00C64F55"/>
    <w:rsid w:val="00C652C8"/>
    <w:rsid w:val="00C653E6"/>
    <w:rsid w:val="00C6554D"/>
    <w:rsid w:val="00C65670"/>
    <w:rsid w:val="00C65A60"/>
    <w:rsid w:val="00C65C90"/>
    <w:rsid w:val="00C65C9E"/>
    <w:rsid w:val="00C65D6E"/>
    <w:rsid w:val="00C65DD7"/>
    <w:rsid w:val="00C66025"/>
    <w:rsid w:val="00C660C0"/>
    <w:rsid w:val="00C66115"/>
    <w:rsid w:val="00C667B7"/>
    <w:rsid w:val="00C669C2"/>
    <w:rsid w:val="00C66B62"/>
    <w:rsid w:val="00C66C0A"/>
    <w:rsid w:val="00C66CBA"/>
    <w:rsid w:val="00C66D3E"/>
    <w:rsid w:val="00C66F56"/>
    <w:rsid w:val="00C67180"/>
    <w:rsid w:val="00C67228"/>
    <w:rsid w:val="00C67332"/>
    <w:rsid w:val="00C674CF"/>
    <w:rsid w:val="00C676B4"/>
    <w:rsid w:val="00C67796"/>
    <w:rsid w:val="00C67E1F"/>
    <w:rsid w:val="00C70280"/>
    <w:rsid w:val="00C70973"/>
    <w:rsid w:val="00C70CBE"/>
    <w:rsid w:val="00C70FA8"/>
    <w:rsid w:val="00C710D6"/>
    <w:rsid w:val="00C71146"/>
    <w:rsid w:val="00C7137A"/>
    <w:rsid w:val="00C71713"/>
    <w:rsid w:val="00C71996"/>
    <w:rsid w:val="00C729F9"/>
    <w:rsid w:val="00C72C48"/>
    <w:rsid w:val="00C72FD5"/>
    <w:rsid w:val="00C7303E"/>
    <w:rsid w:val="00C730EE"/>
    <w:rsid w:val="00C739E8"/>
    <w:rsid w:val="00C73D0E"/>
    <w:rsid w:val="00C73D6F"/>
    <w:rsid w:val="00C73E9D"/>
    <w:rsid w:val="00C743EC"/>
    <w:rsid w:val="00C74462"/>
    <w:rsid w:val="00C744F2"/>
    <w:rsid w:val="00C746DD"/>
    <w:rsid w:val="00C74F14"/>
    <w:rsid w:val="00C750FA"/>
    <w:rsid w:val="00C758D6"/>
    <w:rsid w:val="00C75BCF"/>
    <w:rsid w:val="00C7651A"/>
    <w:rsid w:val="00C76793"/>
    <w:rsid w:val="00C768C3"/>
    <w:rsid w:val="00C7696C"/>
    <w:rsid w:val="00C7699D"/>
    <w:rsid w:val="00C76BDA"/>
    <w:rsid w:val="00C76F56"/>
    <w:rsid w:val="00C773BA"/>
    <w:rsid w:val="00C77BF4"/>
    <w:rsid w:val="00C77F24"/>
    <w:rsid w:val="00C801B7"/>
    <w:rsid w:val="00C80828"/>
    <w:rsid w:val="00C80EBE"/>
    <w:rsid w:val="00C810D6"/>
    <w:rsid w:val="00C815C6"/>
    <w:rsid w:val="00C8171F"/>
    <w:rsid w:val="00C81B2E"/>
    <w:rsid w:val="00C81E0F"/>
    <w:rsid w:val="00C8235F"/>
    <w:rsid w:val="00C82E15"/>
    <w:rsid w:val="00C83342"/>
    <w:rsid w:val="00C8352D"/>
    <w:rsid w:val="00C8357A"/>
    <w:rsid w:val="00C8362E"/>
    <w:rsid w:val="00C838D6"/>
    <w:rsid w:val="00C83911"/>
    <w:rsid w:val="00C83B16"/>
    <w:rsid w:val="00C83B85"/>
    <w:rsid w:val="00C8429A"/>
    <w:rsid w:val="00C843F6"/>
    <w:rsid w:val="00C845B7"/>
    <w:rsid w:val="00C84639"/>
    <w:rsid w:val="00C84791"/>
    <w:rsid w:val="00C84818"/>
    <w:rsid w:val="00C84C59"/>
    <w:rsid w:val="00C84C69"/>
    <w:rsid w:val="00C84DB1"/>
    <w:rsid w:val="00C854A9"/>
    <w:rsid w:val="00C85604"/>
    <w:rsid w:val="00C85BD8"/>
    <w:rsid w:val="00C85D8B"/>
    <w:rsid w:val="00C85DF8"/>
    <w:rsid w:val="00C85FAE"/>
    <w:rsid w:val="00C8611D"/>
    <w:rsid w:val="00C865AB"/>
    <w:rsid w:val="00C86784"/>
    <w:rsid w:val="00C86BB8"/>
    <w:rsid w:val="00C86ECB"/>
    <w:rsid w:val="00C87041"/>
    <w:rsid w:val="00C8730B"/>
    <w:rsid w:val="00C875C8"/>
    <w:rsid w:val="00C876A2"/>
    <w:rsid w:val="00C87773"/>
    <w:rsid w:val="00C87915"/>
    <w:rsid w:val="00C87CC7"/>
    <w:rsid w:val="00C87EEB"/>
    <w:rsid w:val="00C900FB"/>
    <w:rsid w:val="00C9023B"/>
    <w:rsid w:val="00C902F3"/>
    <w:rsid w:val="00C905AA"/>
    <w:rsid w:val="00C90932"/>
    <w:rsid w:val="00C90993"/>
    <w:rsid w:val="00C90D1E"/>
    <w:rsid w:val="00C90F44"/>
    <w:rsid w:val="00C9117E"/>
    <w:rsid w:val="00C91184"/>
    <w:rsid w:val="00C911C2"/>
    <w:rsid w:val="00C9129F"/>
    <w:rsid w:val="00C91392"/>
    <w:rsid w:val="00C914F5"/>
    <w:rsid w:val="00C91A7C"/>
    <w:rsid w:val="00C91AFD"/>
    <w:rsid w:val="00C91B5C"/>
    <w:rsid w:val="00C91B95"/>
    <w:rsid w:val="00C91CA4"/>
    <w:rsid w:val="00C91F80"/>
    <w:rsid w:val="00C920EB"/>
    <w:rsid w:val="00C923A2"/>
    <w:rsid w:val="00C924D5"/>
    <w:rsid w:val="00C9302A"/>
    <w:rsid w:val="00C93BD7"/>
    <w:rsid w:val="00C93F7B"/>
    <w:rsid w:val="00C9401D"/>
    <w:rsid w:val="00C942D3"/>
    <w:rsid w:val="00C94555"/>
    <w:rsid w:val="00C9458C"/>
    <w:rsid w:val="00C948CC"/>
    <w:rsid w:val="00C94913"/>
    <w:rsid w:val="00C94B0F"/>
    <w:rsid w:val="00C94B15"/>
    <w:rsid w:val="00C9506E"/>
    <w:rsid w:val="00C9522C"/>
    <w:rsid w:val="00C95831"/>
    <w:rsid w:val="00C95CCD"/>
    <w:rsid w:val="00C963DC"/>
    <w:rsid w:val="00C965C2"/>
    <w:rsid w:val="00C9686C"/>
    <w:rsid w:val="00C96AA0"/>
    <w:rsid w:val="00C96BBE"/>
    <w:rsid w:val="00C96BCA"/>
    <w:rsid w:val="00C96E25"/>
    <w:rsid w:val="00C96F5A"/>
    <w:rsid w:val="00C97421"/>
    <w:rsid w:val="00C974CA"/>
    <w:rsid w:val="00C97502"/>
    <w:rsid w:val="00C97C89"/>
    <w:rsid w:val="00CA0715"/>
    <w:rsid w:val="00CA0B6F"/>
    <w:rsid w:val="00CA0D6E"/>
    <w:rsid w:val="00CA1434"/>
    <w:rsid w:val="00CA162A"/>
    <w:rsid w:val="00CA1889"/>
    <w:rsid w:val="00CA1971"/>
    <w:rsid w:val="00CA215B"/>
    <w:rsid w:val="00CA220A"/>
    <w:rsid w:val="00CA23AB"/>
    <w:rsid w:val="00CA29A0"/>
    <w:rsid w:val="00CA2D45"/>
    <w:rsid w:val="00CA2EBD"/>
    <w:rsid w:val="00CA3028"/>
    <w:rsid w:val="00CA3469"/>
    <w:rsid w:val="00CA34E1"/>
    <w:rsid w:val="00CA389A"/>
    <w:rsid w:val="00CA3984"/>
    <w:rsid w:val="00CA39FD"/>
    <w:rsid w:val="00CA3A5E"/>
    <w:rsid w:val="00CA3B08"/>
    <w:rsid w:val="00CA3BC2"/>
    <w:rsid w:val="00CA4803"/>
    <w:rsid w:val="00CA48C7"/>
    <w:rsid w:val="00CA516E"/>
    <w:rsid w:val="00CA5171"/>
    <w:rsid w:val="00CA52BE"/>
    <w:rsid w:val="00CA52F9"/>
    <w:rsid w:val="00CA5615"/>
    <w:rsid w:val="00CA583A"/>
    <w:rsid w:val="00CA5BB1"/>
    <w:rsid w:val="00CA5E30"/>
    <w:rsid w:val="00CA5E9C"/>
    <w:rsid w:val="00CA6074"/>
    <w:rsid w:val="00CA68A4"/>
    <w:rsid w:val="00CA69FA"/>
    <w:rsid w:val="00CA6AD0"/>
    <w:rsid w:val="00CA6AE6"/>
    <w:rsid w:val="00CA6AF7"/>
    <w:rsid w:val="00CA6BF0"/>
    <w:rsid w:val="00CA6CA5"/>
    <w:rsid w:val="00CA75A5"/>
    <w:rsid w:val="00CA7A07"/>
    <w:rsid w:val="00CA7C2E"/>
    <w:rsid w:val="00CB00E1"/>
    <w:rsid w:val="00CB0267"/>
    <w:rsid w:val="00CB0291"/>
    <w:rsid w:val="00CB05E7"/>
    <w:rsid w:val="00CB06DB"/>
    <w:rsid w:val="00CB0953"/>
    <w:rsid w:val="00CB0F5B"/>
    <w:rsid w:val="00CB11C4"/>
    <w:rsid w:val="00CB1888"/>
    <w:rsid w:val="00CB1916"/>
    <w:rsid w:val="00CB1C2E"/>
    <w:rsid w:val="00CB22DF"/>
    <w:rsid w:val="00CB256E"/>
    <w:rsid w:val="00CB291D"/>
    <w:rsid w:val="00CB3116"/>
    <w:rsid w:val="00CB312F"/>
    <w:rsid w:val="00CB348F"/>
    <w:rsid w:val="00CB3986"/>
    <w:rsid w:val="00CB3E37"/>
    <w:rsid w:val="00CB4001"/>
    <w:rsid w:val="00CB41C8"/>
    <w:rsid w:val="00CB423F"/>
    <w:rsid w:val="00CB45CF"/>
    <w:rsid w:val="00CB4899"/>
    <w:rsid w:val="00CB48DD"/>
    <w:rsid w:val="00CB49E1"/>
    <w:rsid w:val="00CB4B9B"/>
    <w:rsid w:val="00CB4CE4"/>
    <w:rsid w:val="00CB4DC8"/>
    <w:rsid w:val="00CB4FE8"/>
    <w:rsid w:val="00CB538D"/>
    <w:rsid w:val="00CB568A"/>
    <w:rsid w:val="00CB587C"/>
    <w:rsid w:val="00CB5961"/>
    <w:rsid w:val="00CB5DA9"/>
    <w:rsid w:val="00CB6071"/>
    <w:rsid w:val="00CB6087"/>
    <w:rsid w:val="00CB620E"/>
    <w:rsid w:val="00CB6849"/>
    <w:rsid w:val="00CB6950"/>
    <w:rsid w:val="00CB7064"/>
    <w:rsid w:val="00CB70DA"/>
    <w:rsid w:val="00CB71B3"/>
    <w:rsid w:val="00CB72E3"/>
    <w:rsid w:val="00CB744B"/>
    <w:rsid w:val="00CB7A39"/>
    <w:rsid w:val="00CB7A3B"/>
    <w:rsid w:val="00CB7ABC"/>
    <w:rsid w:val="00CB7DAA"/>
    <w:rsid w:val="00CB7DD2"/>
    <w:rsid w:val="00CC0016"/>
    <w:rsid w:val="00CC004C"/>
    <w:rsid w:val="00CC0141"/>
    <w:rsid w:val="00CC0173"/>
    <w:rsid w:val="00CC01BD"/>
    <w:rsid w:val="00CC065C"/>
    <w:rsid w:val="00CC07DA"/>
    <w:rsid w:val="00CC0C0E"/>
    <w:rsid w:val="00CC0FE5"/>
    <w:rsid w:val="00CC11E0"/>
    <w:rsid w:val="00CC1825"/>
    <w:rsid w:val="00CC22BB"/>
    <w:rsid w:val="00CC234A"/>
    <w:rsid w:val="00CC24FB"/>
    <w:rsid w:val="00CC2704"/>
    <w:rsid w:val="00CC27AA"/>
    <w:rsid w:val="00CC3210"/>
    <w:rsid w:val="00CC33DA"/>
    <w:rsid w:val="00CC3472"/>
    <w:rsid w:val="00CC34DA"/>
    <w:rsid w:val="00CC3843"/>
    <w:rsid w:val="00CC3A87"/>
    <w:rsid w:val="00CC3B22"/>
    <w:rsid w:val="00CC4068"/>
    <w:rsid w:val="00CC4146"/>
    <w:rsid w:val="00CC4348"/>
    <w:rsid w:val="00CC4379"/>
    <w:rsid w:val="00CC446A"/>
    <w:rsid w:val="00CC4756"/>
    <w:rsid w:val="00CC4820"/>
    <w:rsid w:val="00CC4843"/>
    <w:rsid w:val="00CC58B3"/>
    <w:rsid w:val="00CC5A85"/>
    <w:rsid w:val="00CC5BC0"/>
    <w:rsid w:val="00CC5C23"/>
    <w:rsid w:val="00CC5E29"/>
    <w:rsid w:val="00CC6339"/>
    <w:rsid w:val="00CC63E1"/>
    <w:rsid w:val="00CC658B"/>
    <w:rsid w:val="00CC68B5"/>
    <w:rsid w:val="00CC6C63"/>
    <w:rsid w:val="00CC6DC1"/>
    <w:rsid w:val="00CC719D"/>
    <w:rsid w:val="00CC727A"/>
    <w:rsid w:val="00CC73DB"/>
    <w:rsid w:val="00CC7852"/>
    <w:rsid w:val="00CC7B77"/>
    <w:rsid w:val="00CC7E81"/>
    <w:rsid w:val="00CC7FB2"/>
    <w:rsid w:val="00CD06C1"/>
    <w:rsid w:val="00CD097B"/>
    <w:rsid w:val="00CD1539"/>
    <w:rsid w:val="00CD19E3"/>
    <w:rsid w:val="00CD1A71"/>
    <w:rsid w:val="00CD1AC8"/>
    <w:rsid w:val="00CD1DCA"/>
    <w:rsid w:val="00CD1E30"/>
    <w:rsid w:val="00CD2636"/>
    <w:rsid w:val="00CD26F1"/>
    <w:rsid w:val="00CD2764"/>
    <w:rsid w:val="00CD27A5"/>
    <w:rsid w:val="00CD294D"/>
    <w:rsid w:val="00CD2AF2"/>
    <w:rsid w:val="00CD3ADB"/>
    <w:rsid w:val="00CD3C9D"/>
    <w:rsid w:val="00CD406D"/>
    <w:rsid w:val="00CD47F1"/>
    <w:rsid w:val="00CD4A7C"/>
    <w:rsid w:val="00CD5489"/>
    <w:rsid w:val="00CD54A8"/>
    <w:rsid w:val="00CD5699"/>
    <w:rsid w:val="00CD596E"/>
    <w:rsid w:val="00CD5BE3"/>
    <w:rsid w:val="00CD5CD0"/>
    <w:rsid w:val="00CD5F84"/>
    <w:rsid w:val="00CD6DCB"/>
    <w:rsid w:val="00CD6EB3"/>
    <w:rsid w:val="00CD7089"/>
    <w:rsid w:val="00CD7229"/>
    <w:rsid w:val="00CD74A3"/>
    <w:rsid w:val="00CD754E"/>
    <w:rsid w:val="00CD77E2"/>
    <w:rsid w:val="00CD7A28"/>
    <w:rsid w:val="00CD7B5E"/>
    <w:rsid w:val="00CE00F9"/>
    <w:rsid w:val="00CE01DA"/>
    <w:rsid w:val="00CE04FD"/>
    <w:rsid w:val="00CE09F4"/>
    <w:rsid w:val="00CE0A0E"/>
    <w:rsid w:val="00CE0F9B"/>
    <w:rsid w:val="00CE11BE"/>
    <w:rsid w:val="00CE145B"/>
    <w:rsid w:val="00CE1655"/>
    <w:rsid w:val="00CE2013"/>
    <w:rsid w:val="00CE2071"/>
    <w:rsid w:val="00CE210E"/>
    <w:rsid w:val="00CE2711"/>
    <w:rsid w:val="00CE2921"/>
    <w:rsid w:val="00CE2C85"/>
    <w:rsid w:val="00CE2DB3"/>
    <w:rsid w:val="00CE32BF"/>
    <w:rsid w:val="00CE33E1"/>
    <w:rsid w:val="00CE3673"/>
    <w:rsid w:val="00CE3ADB"/>
    <w:rsid w:val="00CE3B0B"/>
    <w:rsid w:val="00CE3D01"/>
    <w:rsid w:val="00CE3FD8"/>
    <w:rsid w:val="00CE4574"/>
    <w:rsid w:val="00CE4C86"/>
    <w:rsid w:val="00CE5169"/>
    <w:rsid w:val="00CE5C47"/>
    <w:rsid w:val="00CE5E44"/>
    <w:rsid w:val="00CE5EBF"/>
    <w:rsid w:val="00CE664F"/>
    <w:rsid w:val="00CE6749"/>
    <w:rsid w:val="00CE67B7"/>
    <w:rsid w:val="00CE67F9"/>
    <w:rsid w:val="00CE6BBB"/>
    <w:rsid w:val="00CE6CE7"/>
    <w:rsid w:val="00CE6D68"/>
    <w:rsid w:val="00CE79E9"/>
    <w:rsid w:val="00CE7DB1"/>
    <w:rsid w:val="00CE7F5A"/>
    <w:rsid w:val="00CF00E5"/>
    <w:rsid w:val="00CF020B"/>
    <w:rsid w:val="00CF03D0"/>
    <w:rsid w:val="00CF07EA"/>
    <w:rsid w:val="00CF0B15"/>
    <w:rsid w:val="00CF0F81"/>
    <w:rsid w:val="00CF1151"/>
    <w:rsid w:val="00CF128E"/>
    <w:rsid w:val="00CF12BE"/>
    <w:rsid w:val="00CF1658"/>
    <w:rsid w:val="00CF169B"/>
    <w:rsid w:val="00CF1C61"/>
    <w:rsid w:val="00CF1F91"/>
    <w:rsid w:val="00CF20C3"/>
    <w:rsid w:val="00CF226E"/>
    <w:rsid w:val="00CF22E3"/>
    <w:rsid w:val="00CF2568"/>
    <w:rsid w:val="00CF284F"/>
    <w:rsid w:val="00CF29BF"/>
    <w:rsid w:val="00CF2A73"/>
    <w:rsid w:val="00CF2B64"/>
    <w:rsid w:val="00CF2C49"/>
    <w:rsid w:val="00CF318E"/>
    <w:rsid w:val="00CF3198"/>
    <w:rsid w:val="00CF32A8"/>
    <w:rsid w:val="00CF3486"/>
    <w:rsid w:val="00CF3700"/>
    <w:rsid w:val="00CF39A8"/>
    <w:rsid w:val="00CF44D1"/>
    <w:rsid w:val="00CF464D"/>
    <w:rsid w:val="00CF46B9"/>
    <w:rsid w:val="00CF47A8"/>
    <w:rsid w:val="00CF50ED"/>
    <w:rsid w:val="00CF5683"/>
    <w:rsid w:val="00CF5689"/>
    <w:rsid w:val="00CF58D7"/>
    <w:rsid w:val="00CF5B2C"/>
    <w:rsid w:val="00CF6268"/>
    <w:rsid w:val="00CF6444"/>
    <w:rsid w:val="00CF648B"/>
    <w:rsid w:val="00CF67DE"/>
    <w:rsid w:val="00CF695F"/>
    <w:rsid w:val="00CF6A2F"/>
    <w:rsid w:val="00CF6AEA"/>
    <w:rsid w:val="00CF6EE7"/>
    <w:rsid w:val="00CF6F0E"/>
    <w:rsid w:val="00CF71F6"/>
    <w:rsid w:val="00CF7593"/>
    <w:rsid w:val="00CF780F"/>
    <w:rsid w:val="00CF794C"/>
    <w:rsid w:val="00CF7C5D"/>
    <w:rsid w:val="00D00314"/>
    <w:rsid w:val="00D003B1"/>
    <w:rsid w:val="00D00A5C"/>
    <w:rsid w:val="00D00A89"/>
    <w:rsid w:val="00D00AD3"/>
    <w:rsid w:val="00D00B2F"/>
    <w:rsid w:val="00D00B8D"/>
    <w:rsid w:val="00D01051"/>
    <w:rsid w:val="00D0117D"/>
    <w:rsid w:val="00D013E1"/>
    <w:rsid w:val="00D0168C"/>
    <w:rsid w:val="00D01DA1"/>
    <w:rsid w:val="00D01EF7"/>
    <w:rsid w:val="00D01FE9"/>
    <w:rsid w:val="00D0231C"/>
    <w:rsid w:val="00D02A5B"/>
    <w:rsid w:val="00D02BB7"/>
    <w:rsid w:val="00D0348D"/>
    <w:rsid w:val="00D034BA"/>
    <w:rsid w:val="00D03AA5"/>
    <w:rsid w:val="00D03C30"/>
    <w:rsid w:val="00D04115"/>
    <w:rsid w:val="00D04763"/>
    <w:rsid w:val="00D04A81"/>
    <w:rsid w:val="00D04C34"/>
    <w:rsid w:val="00D04C69"/>
    <w:rsid w:val="00D04CFA"/>
    <w:rsid w:val="00D04EE4"/>
    <w:rsid w:val="00D055B9"/>
    <w:rsid w:val="00D05B8B"/>
    <w:rsid w:val="00D05D14"/>
    <w:rsid w:val="00D06038"/>
    <w:rsid w:val="00D060D4"/>
    <w:rsid w:val="00D063E5"/>
    <w:rsid w:val="00D06458"/>
    <w:rsid w:val="00D064CE"/>
    <w:rsid w:val="00D06530"/>
    <w:rsid w:val="00D06C8F"/>
    <w:rsid w:val="00D06F5F"/>
    <w:rsid w:val="00D0701E"/>
    <w:rsid w:val="00D07077"/>
    <w:rsid w:val="00D0746E"/>
    <w:rsid w:val="00D0772D"/>
    <w:rsid w:val="00D078D9"/>
    <w:rsid w:val="00D07D81"/>
    <w:rsid w:val="00D1001A"/>
    <w:rsid w:val="00D101AD"/>
    <w:rsid w:val="00D10340"/>
    <w:rsid w:val="00D10407"/>
    <w:rsid w:val="00D104DA"/>
    <w:rsid w:val="00D1093B"/>
    <w:rsid w:val="00D10952"/>
    <w:rsid w:val="00D10AC5"/>
    <w:rsid w:val="00D10BE7"/>
    <w:rsid w:val="00D10CD2"/>
    <w:rsid w:val="00D10D32"/>
    <w:rsid w:val="00D1154D"/>
    <w:rsid w:val="00D11737"/>
    <w:rsid w:val="00D11772"/>
    <w:rsid w:val="00D11A2D"/>
    <w:rsid w:val="00D1220E"/>
    <w:rsid w:val="00D12268"/>
    <w:rsid w:val="00D12280"/>
    <w:rsid w:val="00D1245D"/>
    <w:rsid w:val="00D12504"/>
    <w:rsid w:val="00D12828"/>
    <w:rsid w:val="00D12B05"/>
    <w:rsid w:val="00D12B85"/>
    <w:rsid w:val="00D1339E"/>
    <w:rsid w:val="00D13CB1"/>
    <w:rsid w:val="00D14138"/>
    <w:rsid w:val="00D14459"/>
    <w:rsid w:val="00D14557"/>
    <w:rsid w:val="00D1464F"/>
    <w:rsid w:val="00D14B4E"/>
    <w:rsid w:val="00D14C25"/>
    <w:rsid w:val="00D14D1C"/>
    <w:rsid w:val="00D14DC9"/>
    <w:rsid w:val="00D14F95"/>
    <w:rsid w:val="00D1500F"/>
    <w:rsid w:val="00D15477"/>
    <w:rsid w:val="00D157AB"/>
    <w:rsid w:val="00D15AE3"/>
    <w:rsid w:val="00D160F9"/>
    <w:rsid w:val="00D16455"/>
    <w:rsid w:val="00D166AB"/>
    <w:rsid w:val="00D16ADA"/>
    <w:rsid w:val="00D16C98"/>
    <w:rsid w:val="00D16CD3"/>
    <w:rsid w:val="00D16D58"/>
    <w:rsid w:val="00D16E90"/>
    <w:rsid w:val="00D17339"/>
    <w:rsid w:val="00D17896"/>
    <w:rsid w:val="00D179F1"/>
    <w:rsid w:val="00D20035"/>
    <w:rsid w:val="00D2015C"/>
    <w:rsid w:val="00D20253"/>
    <w:rsid w:val="00D20566"/>
    <w:rsid w:val="00D206A3"/>
    <w:rsid w:val="00D20744"/>
    <w:rsid w:val="00D20A19"/>
    <w:rsid w:val="00D20B00"/>
    <w:rsid w:val="00D20C9D"/>
    <w:rsid w:val="00D21164"/>
    <w:rsid w:val="00D213F1"/>
    <w:rsid w:val="00D21581"/>
    <w:rsid w:val="00D21AF7"/>
    <w:rsid w:val="00D21CDA"/>
    <w:rsid w:val="00D21F2E"/>
    <w:rsid w:val="00D22141"/>
    <w:rsid w:val="00D22260"/>
    <w:rsid w:val="00D22266"/>
    <w:rsid w:val="00D22A26"/>
    <w:rsid w:val="00D22B44"/>
    <w:rsid w:val="00D22D35"/>
    <w:rsid w:val="00D22E4A"/>
    <w:rsid w:val="00D234D5"/>
    <w:rsid w:val="00D238FF"/>
    <w:rsid w:val="00D23DEF"/>
    <w:rsid w:val="00D23F97"/>
    <w:rsid w:val="00D2495F"/>
    <w:rsid w:val="00D249A6"/>
    <w:rsid w:val="00D249C6"/>
    <w:rsid w:val="00D24E2B"/>
    <w:rsid w:val="00D252B8"/>
    <w:rsid w:val="00D25353"/>
    <w:rsid w:val="00D256EE"/>
    <w:rsid w:val="00D258A6"/>
    <w:rsid w:val="00D25F43"/>
    <w:rsid w:val="00D26272"/>
    <w:rsid w:val="00D26588"/>
    <w:rsid w:val="00D266F7"/>
    <w:rsid w:val="00D269AC"/>
    <w:rsid w:val="00D26BB9"/>
    <w:rsid w:val="00D26C88"/>
    <w:rsid w:val="00D26E5C"/>
    <w:rsid w:val="00D27373"/>
    <w:rsid w:val="00D273DC"/>
    <w:rsid w:val="00D27567"/>
    <w:rsid w:val="00D276A0"/>
    <w:rsid w:val="00D278FA"/>
    <w:rsid w:val="00D27E63"/>
    <w:rsid w:val="00D27F74"/>
    <w:rsid w:val="00D30337"/>
    <w:rsid w:val="00D30381"/>
    <w:rsid w:val="00D306F9"/>
    <w:rsid w:val="00D307D3"/>
    <w:rsid w:val="00D309D0"/>
    <w:rsid w:val="00D30B0C"/>
    <w:rsid w:val="00D30E47"/>
    <w:rsid w:val="00D310AB"/>
    <w:rsid w:val="00D3114B"/>
    <w:rsid w:val="00D31339"/>
    <w:rsid w:val="00D31446"/>
    <w:rsid w:val="00D314C8"/>
    <w:rsid w:val="00D315CF"/>
    <w:rsid w:val="00D318DE"/>
    <w:rsid w:val="00D31FCB"/>
    <w:rsid w:val="00D32089"/>
    <w:rsid w:val="00D32518"/>
    <w:rsid w:val="00D3294A"/>
    <w:rsid w:val="00D32987"/>
    <w:rsid w:val="00D32AE4"/>
    <w:rsid w:val="00D32F09"/>
    <w:rsid w:val="00D32F93"/>
    <w:rsid w:val="00D345DC"/>
    <w:rsid w:val="00D34646"/>
    <w:rsid w:val="00D34A04"/>
    <w:rsid w:val="00D34C4C"/>
    <w:rsid w:val="00D34D6B"/>
    <w:rsid w:val="00D34E09"/>
    <w:rsid w:val="00D35264"/>
    <w:rsid w:val="00D35284"/>
    <w:rsid w:val="00D3559D"/>
    <w:rsid w:val="00D35784"/>
    <w:rsid w:val="00D3583A"/>
    <w:rsid w:val="00D35B76"/>
    <w:rsid w:val="00D35D7F"/>
    <w:rsid w:val="00D35F94"/>
    <w:rsid w:val="00D36057"/>
    <w:rsid w:val="00D3629F"/>
    <w:rsid w:val="00D365B4"/>
    <w:rsid w:val="00D36D6E"/>
    <w:rsid w:val="00D36E0F"/>
    <w:rsid w:val="00D37269"/>
    <w:rsid w:val="00D37282"/>
    <w:rsid w:val="00D379BF"/>
    <w:rsid w:val="00D379CD"/>
    <w:rsid w:val="00D40494"/>
    <w:rsid w:val="00D40A0C"/>
    <w:rsid w:val="00D40B83"/>
    <w:rsid w:val="00D40C4D"/>
    <w:rsid w:val="00D40F0B"/>
    <w:rsid w:val="00D41039"/>
    <w:rsid w:val="00D41214"/>
    <w:rsid w:val="00D41C12"/>
    <w:rsid w:val="00D41F6C"/>
    <w:rsid w:val="00D41FB4"/>
    <w:rsid w:val="00D42103"/>
    <w:rsid w:val="00D42567"/>
    <w:rsid w:val="00D42846"/>
    <w:rsid w:val="00D42CD1"/>
    <w:rsid w:val="00D42FBD"/>
    <w:rsid w:val="00D430D1"/>
    <w:rsid w:val="00D432CD"/>
    <w:rsid w:val="00D434A4"/>
    <w:rsid w:val="00D43678"/>
    <w:rsid w:val="00D4389B"/>
    <w:rsid w:val="00D43B70"/>
    <w:rsid w:val="00D43E54"/>
    <w:rsid w:val="00D443C0"/>
    <w:rsid w:val="00D443C7"/>
    <w:rsid w:val="00D448B1"/>
    <w:rsid w:val="00D449ED"/>
    <w:rsid w:val="00D44A9F"/>
    <w:rsid w:val="00D44CBB"/>
    <w:rsid w:val="00D44D18"/>
    <w:rsid w:val="00D44E5E"/>
    <w:rsid w:val="00D44E6E"/>
    <w:rsid w:val="00D44ED2"/>
    <w:rsid w:val="00D452E4"/>
    <w:rsid w:val="00D45671"/>
    <w:rsid w:val="00D45CCF"/>
    <w:rsid w:val="00D45FE3"/>
    <w:rsid w:val="00D46179"/>
    <w:rsid w:val="00D46182"/>
    <w:rsid w:val="00D46836"/>
    <w:rsid w:val="00D46897"/>
    <w:rsid w:val="00D469DE"/>
    <w:rsid w:val="00D46BE9"/>
    <w:rsid w:val="00D46C84"/>
    <w:rsid w:val="00D46F51"/>
    <w:rsid w:val="00D4704D"/>
    <w:rsid w:val="00D47139"/>
    <w:rsid w:val="00D47240"/>
    <w:rsid w:val="00D47444"/>
    <w:rsid w:val="00D4796A"/>
    <w:rsid w:val="00D47B54"/>
    <w:rsid w:val="00D501F9"/>
    <w:rsid w:val="00D50215"/>
    <w:rsid w:val="00D503C6"/>
    <w:rsid w:val="00D505F6"/>
    <w:rsid w:val="00D50989"/>
    <w:rsid w:val="00D50A70"/>
    <w:rsid w:val="00D510EE"/>
    <w:rsid w:val="00D5126E"/>
    <w:rsid w:val="00D51379"/>
    <w:rsid w:val="00D5147E"/>
    <w:rsid w:val="00D5156F"/>
    <w:rsid w:val="00D518A5"/>
    <w:rsid w:val="00D519D7"/>
    <w:rsid w:val="00D51B0E"/>
    <w:rsid w:val="00D525F2"/>
    <w:rsid w:val="00D52833"/>
    <w:rsid w:val="00D52A69"/>
    <w:rsid w:val="00D52E8D"/>
    <w:rsid w:val="00D52FFC"/>
    <w:rsid w:val="00D5341A"/>
    <w:rsid w:val="00D537F2"/>
    <w:rsid w:val="00D53A3D"/>
    <w:rsid w:val="00D53F11"/>
    <w:rsid w:val="00D54216"/>
    <w:rsid w:val="00D54648"/>
    <w:rsid w:val="00D54958"/>
    <w:rsid w:val="00D549BB"/>
    <w:rsid w:val="00D54B28"/>
    <w:rsid w:val="00D54F5C"/>
    <w:rsid w:val="00D55452"/>
    <w:rsid w:val="00D55DB4"/>
    <w:rsid w:val="00D55FEE"/>
    <w:rsid w:val="00D560C3"/>
    <w:rsid w:val="00D565A4"/>
    <w:rsid w:val="00D56768"/>
    <w:rsid w:val="00D567E5"/>
    <w:rsid w:val="00D569B1"/>
    <w:rsid w:val="00D56C4C"/>
    <w:rsid w:val="00D56DF8"/>
    <w:rsid w:val="00D56E78"/>
    <w:rsid w:val="00D57B44"/>
    <w:rsid w:val="00D57DE3"/>
    <w:rsid w:val="00D57F95"/>
    <w:rsid w:val="00D60036"/>
    <w:rsid w:val="00D6009F"/>
    <w:rsid w:val="00D600A7"/>
    <w:rsid w:val="00D6010F"/>
    <w:rsid w:val="00D60128"/>
    <w:rsid w:val="00D601E4"/>
    <w:rsid w:val="00D60343"/>
    <w:rsid w:val="00D60353"/>
    <w:rsid w:val="00D6046A"/>
    <w:rsid w:val="00D6047E"/>
    <w:rsid w:val="00D6126F"/>
    <w:rsid w:val="00D61303"/>
    <w:rsid w:val="00D6162D"/>
    <w:rsid w:val="00D61B8E"/>
    <w:rsid w:val="00D61C01"/>
    <w:rsid w:val="00D61C02"/>
    <w:rsid w:val="00D61EBD"/>
    <w:rsid w:val="00D620F0"/>
    <w:rsid w:val="00D62335"/>
    <w:rsid w:val="00D6233B"/>
    <w:rsid w:val="00D6234B"/>
    <w:rsid w:val="00D62415"/>
    <w:rsid w:val="00D62626"/>
    <w:rsid w:val="00D6271E"/>
    <w:rsid w:val="00D62888"/>
    <w:rsid w:val="00D62CD4"/>
    <w:rsid w:val="00D62CF0"/>
    <w:rsid w:val="00D62ED6"/>
    <w:rsid w:val="00D62F0A"/>
    <w:rsid w:val="00D63117"/>
    <w:rsid w:val="00D63337"/>
    <w:rsid w:val="00D63787"/>
    <w:rsid w:val="00D6394A"/>
    <w:rsid w:val="00D639E4"/>
    <w:rsid w:val="00D63A6F"/>
    <w:rsid w:val="00D63AC2"/>
    <w:rsid w:val="00D63C4C"/>
    <w:rsid w:val="00D63D08"/>
    <w:rsid w:val="00D63F8A"/>
    <w:rsid w:val="00D644C8"/>
    <w:rsid w:val="00D645C7"/>
    <w:rsid w:val="00D647BC"/>
    <w:rsid w:val="00D6489B"/>
    <w:rsid w:val="00D649F7"/>
    <w:rsid w:val="00D64A6A"/>
    <w:rsid w:val="00D64B1A"/>
    <w:rsid w:val="00D64C54"/>
    <w:rsid w:val="00D64E32"/>
    <w:rsid w:val="00D6502E"/>
    <w:rsid w:val="00D65289"/>
    <w:rsid w:val="00D65661"/>
    <w:rsid w:val="00D657F3"/>
    <w:rsid w:val="00D65B7E"/>
    <w:rsid w:val="00D65B87"/>
    <w:rsid w:val="00D65E28"/>
    <w:rsid w:val="00D65EE0"/>
    <w:rsid w:val="00D66147"/>
    <w:rsid w:val="00D66253"/>
    <w:rsid w:val="00D66AC3"/>
    <w:rsid w:val="00D66BBA"/>
    <w:rsid w:val="00D671D4"/>
    <w:rsid w:val="00D671EA"/>
    <w:rsid w:val="00D673F5"/>
    <w:rsid w:val="00D6774F"/>
    <w:rsid w:val="00D67A22"/>
    <w:rsid w:val="00D67BBF"/>
    <w:rsid w:val="00D67E7C"/>
    <w:rsid w:val="00D70426"/>
    <w:rsid w:val="00D70842"/>
    <w:rsid w:val="00D70858"/>
    <w:rsid w:val="00D70B0D"/>
    <w:rsid w:val="00D70BAE"/>
    <w:rsid w:val="00D70CE5"/>
    <w:rsid w:val="00D711F2"/>
    <w:rsid w:val="00D712AA"/>
    <w:rsid w:val="00D713B8"/>
    <w:rsid w:val="00D71761"/>
    <w:rsid w:val="00D719E9"/>
    <w:rsid w:val="00D71A6E"/>
    <w:rsid w:val="00D71B2A"/>
    <w:rsid w:val="00D720D9"/>
    <w:rsid w:val="00D726DD"/>
    <w:rsid w:val="00D72AD4"/>
    <w:rsid w:val="00D72E7C"/>
    <w:rsid w:val="00D73178"/>
    <w:rsid w:val="00D735C4"/>
    <w:rsid w:val="00D738FE"/>
    <w:rsid w:val="00D73B2E"/>
    <w:rsid w:val="00D73B90"/>
    <w:rsid w:val="00D73BBB"/>
    <w:rsid w:val="00D73D25"/>
    <w:rsid w:val="00D73FB4"/>
    <w:rsid w:val="00D74831"/>
    <w:rsid w:val="00D749FB"/>
    <w:rsid w:val="00D74F7E"/>
    <w:rsid w:val="00D74FE7"/>
    <w:rsid w:val="00D75974"/>
    <w:rsid w:val="00D75EE3"/>
    <w:rsid w:val="00D760D9"/>
    <w:rsid w:val="00D7618C"/>
    <w:rsid w:val="00D7622D"/>
    <w:rsid w:val="00D764F4"/>
    <w:rsid w:val="00D76575"/>
    <w:rsid w:val="00D769F7"/>
    <w:rsid w:val="00D76AB5"/>
    <w:rsid w:val="00D76C1F"/>
    <w:rsid w:val="00D76DA7"/>
    <w:rsid w:val="00D77475"/>
    <w:rsid w:val="00D774B8"/>
    <w:rsid w:val="00D7751B"/>
    <w:rsid w:val="00D77546"/>
    <w:rsid w:val="00D775FA"/>
    <w:rsid w:val="00D7798A"/>
    <w:rsid w:val="00D77B63"/>
    <w:rsid w:val="00D77C27"/>
    <w:rsid w:val="00D804DB"/>
    <w:rsid w:val="00D804F1"/>
    <w:rsid w:val="00D81629"/>
    <w:rsid w:val="00D818FD"/>
    <w:rsid w:val="00D81997"/>
    <w:rsid w:val="00D81AD0"/>
    <w:rsid w:val="00D81C62"/>
    <w:rsid w:val="00D81F94"/>
    <w:rsid w:val="00D81FAA"/>
    <w:rsid w:val="00D82637"/>
    <w:rsid w:val="00D826C3"/>
    <w:rsid w:val="00D82C53"/>
    <w:rsid w:val="00D82E05"/>
    <w:rsid w:val="00D82E5C"/>
    <w:rsid w:val="00D830F1"/>
    <w:rsid w:val="00D836C5"/>
    <w:rsid w:val="00D83D47"/>
    <w:rsid w:val="00D83DAF"/>
    <w:rsid w:val="00D83DEA"/>
    <w:rsid w:val="00D847F7"/>
    <w:rsid w:val="00D848E3"/>
    <w:rsid w:val="00D8495E"/>
    <w:rsid w:val="00D84AB7"/>
    <w:rsid w:val="00D84CBA"/>
    <w:rsid w:val="00D84D38"/>
    <w:rsid w:val="00D850C4"/>
    <w:rsid w:val="00D8513C"/>
    <w:rsid w:val="00D85503"/>
    <w:rsid w:val="00D85946"/>
    <w:rsid w:val="00D85AE8"/>
    <w:rsid w:val="00D85AFE"/>
    <w:rsid w:val="00D85DBC"/>
    <w:rsid w:val="00D85DC2"/>
    <w:rsid w:val="00D860A3"/>
    <w:rsid w:val="00D861DE"/>
    <w:rsid w:val="00D864BC"/>
    <w:rsid w:val="00D86A54"/>
    <w:rsid w:val="00D86FFD"/>
    <w:rsid w:val="00D87114"/>
    <w:rsid w:val="00D8769A"/>
    <w:rsid w:val="00D876A3"/>
    <w:rsid w:val="00D877DD"/>
    <w:rsid w:val="00D8799B"/>
    <w:rsid w:val="00D87EA3"/>
    <w:rsid w:val="00D9076E"/>
    <w:rsid w:val="00D90C2C"/>
    <w:rsid w:val="00D90D91"/>
    <w:rsid w:val="00D90DCC"/>
    <w:rsid w:val="00D91034"/>
    <w:rsid w:val="00D9108A"/>
    <w:rsid w:val="00D915DD"/>
    <w:rsid w:val="00D916B3"/>
    <w:rsid w:val="00D91822"/>
    <w:rsid w:val="00D9196F"/>
    <w:rsid w:val="00D91B13"/>
    <w:rsid w:val="00D91C77"/>
    <w:rsid w:val="00D91CB6"/>
    <w:rsid w:val="00D91CEB"/>
    <w:rsid w:val="00D91DE2"/>
    <w:rsid w:val="00D92401"/>
    <w:rsid w:val="00D92542"/>
    <w:rsid w:val="00D927A2"/>
    <w:rsid w:val="00D9282F"/>
    <w:rsid w:val="00D92849"/>
    <w:rsid w:val="00D929EB"/>
    <w:rsid w:val="00D92A87"/>
    <w:rsid w:val="00D92E07"/>
    <w:rsid w:val="00D92E7F"/>
    <w:rsid w:val="00D93575"/>
    <w:rsid w:val="00D9362A"/>
    <w:rsid w:val="00D9382E"/>
    <w:rsid w:val="00D93B9C"/>
    <w:rsid w:val="00D93C47"/>
    <w:rsid w:val="00D93DBE"/>
    <w:rsid w:val="00D93DEC"/>
    <w:rsid w:val="00D93E36"/>
    <w:rsid w:val="00D93EC4"/>
    <w:rsid w:val="00D94446"/>
    <w:rsid w:val="00D94462"/>
    <w:rsid w:val="00D944CE"/>
    <w:rsid w:val="00D94639"/>
    <w:rsid w:val="00D94782"/>
    <w:rsid w:val="00D949D2"/>
    <w:rsid w:val="00D94B34"/>
    <w:rsid w:val="00D94CF1"/>
    <w:rsid w:val="00D94F6F"/>
    <w:rsid w:val="00D9508D"/>
    <w:rsid w:val="00D95108"/>
    <w:rsid w:val="00D95167"/>
    <w:rsid w:val="00D951EB"/>
    <w:rsid w:val="00D9542C"/>
    <w:rsid w:val="00D95506"/>
    <w:rsid w:val="00D95A3D"/>
    <w:rsid w:val="00D963DF"/>
    <w:rsid w:val="00D96A61"/>
    <w:rsid w:val="00D970D0"/>
    <w:rsid w:val="00D97425"/>
    <w:rsid w:val="00D97B50"/>
    <w:rsid w:val="00D97C63"/>
    <w:rsid w:val="00DA0440"/>
    <w:rsid w:val="00DA0865"/>
    <w:rsid w:val="00DA0ED5"/>
    <w:rsid w:val="00DA1229"/>
    <w:rsid w:val="00DA1FD7"/>
    <w:rsid w:val="00DA22A5"/>
    <w:rsid w:val="00DA23E3"/>
    <w:rsid w:val="00DA2458"/>
    <w:rsid w:val="00DA254B"/>
    <w:rsid w:val="00DA2A80"/>
    <w:rsid w:val="00DA2C9D"/>
    <w:rsid w:val="00DA2E25"/>
    <w:rsid w:val="00DA3250"/>
    <w:rsid w:val="00DA35EA"/>
    <w:rsid w:val="00DA4216"/>
    <w:rsid w:val="00DA45F7"/>
    <w:rsid w:val="00DA4671"/>
    <w:rsid w:val="00DA4809"/>
    <w:rsid w:val="00DA4AF7"/>
    <w:rsid w:val="00DA4D99"/>
    <w:rsid w:val="00DA4EDF"/>
    <w:rsid w:val="00DA5362"/>
    <w:rsid w:val="00DA544B"/>
    <w:rsid w:val="00DA571F"/>
    <w:rsid w:val="00DA58C8"/>
    <w:rsid w:val="00DA5A5C"/>
    <w:rsid w:val="00DA5B3D"/>
    <w:rsid w:val="00DA6096"/>
    <w:rsid w:val="00DA6515"/>
    <w:rsid w:val="00DA65B8"/>
    <w:rsid w:val="00DA6787"/>
    <w:rsid w:val="00DA6A0C"/>
    <w:rsid w:val="00DA6A11"/>
    <w:rsid w:val="00DA6A58"/>
    <w:rsid w:val="00DA6D35"/>
    <w:rsid w:val="00DA6FD8"/>
    <w:rsid w:val="00DA7012"/>
    <w:rsid w:val="00DA75B7"/>
    <w:rsid w:val="00DA7D27"/>
    <w:rsid w:val="00DB0198"/>
    <w:rsid w:val="00DB0462"/>
    <w:rsid w:val="00DB0B70"/>
    <w:rsid w:val="00DB0EA6"/>
    <w:rsid w:val="00DB0F2F"/>
    <w:rsid w:val="00DB11CB"/>
    <w:rsid w:val="00DB1731"/>
    <w:rsid w:val="00DB19C0"/>
    <w:rsid w:val="00DB1A7E"/>
    <w:rsid w:val="00DB1A96"/>
    <w:rsid w:val="00DB1B75"/>
    <w:rsid w:val="00DB1DCB"/>
    <w:rsid w:val="00DB1F6E"/>
    <w:rsid w:val="00DB2337"/>
    <w:rsid w:val="00DB249E"/>
    <w:rsid w:val="00DB251A"/>
    <w:rsid w:val="00DB26AA"/>
    <w:rsid w:val="00DB2AE7"/>
    <w:rsid w:val="00DB2B03"/>
    <w:rsid w:val="00DB2F06"/>
    <w:rsid w:val="00DB314F"/>
    <w:rsid w:val="00DB3268"/>
    <w:rsid w:val="00DB33A0"/>
    <w:rsid w:val="00DB37B1"/>
    <w:rsid w:val="00DB393A"/>
    <w:rsid w:val="00DB3A80"/>
    <w:rsid w:val="00DB3CDC"/>
    <w:rsid w:val="00DB3CE2"/>
    <w:rsid w:val="00DB4219"/>
    <w:rsid w:val="00DB4464"/>
    <w:rsid w:val="00DB453E"/>
    <w:rsid w:val="00DB476C"/>
    <w:rsid w:val="00DB479B"/>
    <w:rsid w:val="00DB49C6"/>
    <w:rsid w:val="00DB4DF4"/>
    <w:rsid w:val="00DB4F2B"/>
    <w:rsid w:val="00DB52AB"/>
    <w:rsid w:val="00DB557D"/>
    <w:rsid w:val="00DB5AEF"/>
    <w:rsid w:val="00DB6303"/>
    <w:rsid w:val="00DB6711"/>
    <w:rsid w:val="00DB67F2"/>
    <w:rsid w:val="00DB6BA0"/>
    <w:rsid w:val="00DB6D34"/>
    <w:rsid w:val="00DB7008"/>
    <w:rsid w:val="00DB7112"/>
    <w:rsid w:val="00DB7169"/>
    <w:rsid w:val="00DB7263"/>
    <w:rsid w:val="00DB73A1"/>
    <w:rsid w:val="00DB7550"/>
    <w:rsid w:val="00DB7867"/>
    <w:rsid w:val="00DB7EC4"/>
    <w:rsid w:val="00DC023A"/>
    <w:rsid w:val="00DC04D6"/>
    <w:rsid w:val="00DC097F"/>
    <w:rsid w:val="00DC099F"/>
    <w:rsid w:val="00DC09C4"/>
    <w:rsid w:val="00DC0E11"/>
    <w:rsid w:val="00DC107A"/>
    <w:rsid w:val="00DC141A"/>
    <w:rsid w:val="00DC169E"/>
    <w:rsid w:val="00DC1760"/>
    <w:rsid w:val="00DC1A91"/>
    <w:rsid w:val="00DC1B2C"/>
    <w:rsid w:val="00DC1B68"/>
    <w:rsid w:val="00DC1CFB"/>
    <w:rsid w:val="00DC1D70"/>
    <w:rsid w:val="00DC1FB7"/>
    <w:rsid w:val="00DC2028"/>
    <w:rsid w:val="00DC22A4"/>
    <w:rsid w:val="00DC2317"/>
    <w:rsid w:val="00DC237F"/>
    <w:rsid w:val="00DC259C"/>
    <w:rsid w:val="00DC25FF"/>
    <w:rsid w:val="00DC2799"/>
    <w:rsid w:val="00DC292A"/>
    <w:rsid w:val="00DC2C11"/>
    <w:rsid w:val="00DC2E03"/>
    <w:rsid w:val="00DC33D2"/>
    <w:rsid w:val="00DC33D3"/>
    <w:rsid w:val="00DC3715"/>
    <w:rsid w:val="00DC3D8B"/>
    <w:rsid w:val="00DC3FA4"/>
    <w:rsid w:val="00DC42CF"/>
    <w:rsid w:val="00DC43D0"/>
    <w:rsid w:val="00DC4D10"/>
    <w:rsid w:val="00DC5037"/>
    <w:rsid w:val="00DC531E"/>
    <w:rsid w:val="00DC54E6"/>
    <w:rsid w:val="00DC603B"/>
    <w:rsid w:val="00DC6331"/>
    <w:rsid w:val="00DC6379"/>
    <w:rsid w:val="00DC6754"/>
    <w:rsid w:val="00DC6772"/>
    <w:rsid w:val="00DC6BB6"/>
    <w:rsid w:val="00DC6C9A"/>
    <w:rsid w:val="00DC6D97"/>
    <w:rsid w:val="00DC6F3C"/>
    <w:rsid w:val="00DC6F4D"/>
    <w:rsid w:val="00DC6F5E"/>
    <w:rsid w:val="00DC7003"/>
    <w:rsid w:val="00DC7060"/>
    <w:rsid w:val="00DC7300"/>
    <w:rsid w:val="00DC747D"/>
    <w:rsid w:val="00DC7499"/>
    <w:rsid w:val="00DC765F"/>
    <w:rsid w:val="00DC77FC"/>
    <w:rsid w:val="00DC7801"/>
    <w:rsid w:val="00DC7C3A"/>
    <w:rsid w:val="00DC7E9A"/>
    <w:rsid w:val="00DC7EC2"/>
    <w:rsid w:val="00DD05CE"/>
    <w:rsid w:val="00DD08F9"/>
    <w:rsid w:val="00DD0C6B"/>
    <w:rsid w:val="00DD0CA1"/>
    <w:rsid w:val="00DD0CE3"/>
    <w:rsid w:val="00DD0DE8"/>
    <w:rsid w:val="00DD13DE"/>
    <w:rsid w:val="00DD14B5"/>
    <w:rsid w:val="00DD1770"/>
    <w:rsid w:val="00DD1806"/>
    <w:rsid w:val="00DD210B"/>
    <w:rsid w:val="00DD2351"/>
    <w:rsid w:val="00DD2C0E"/>
    <w:rsid w:val="00DD2D13"/>
    <w:rsid w:val="00DD2D74"/>
    <w:rsid w:val="00DD3557"/>
    <w:rsid w:val="00DD3589"/>
    <w:rsid w:val="00DD382B"/>
    <w:rsid w:val="00DD3A12"/>
    <w:rsid w:val="00DD3C87"/>
    <w:rsid w:val="00DD3D3B"/>
    <w:rsid w:val="00DD3DC8"/>
    <w:rsid w:val="00DD4133"/>
    <w:rsid w:val="00DD4320"/>
    <w:rsid w:val="00DD44BD"/>
    <w:rsid w:val="00DD473B"/>
    <w:rsid w:val="00DD47C8"/>
    <w:rsid w:val="00DD47F2"/>
    <w:rsid w:val="00DD4AE4"/>
    <w:rsid w:val="00DD521C"/>
    <w:rsid w:val="00DD53FB"/>
    <w:rsid w:val="00DD54B5"/>
    <w:rsid w:val="00DD574A"/>
    <w:rsid w:val="00DD5DAD"/>
    <w:rsid w:val="00DD5E0E"/>
    <w:rsid w:val="00DD648B"/>
    <w:rsid w:val="00DD65C4"/>
    <w:rsid w:val="00DD698A"/>
    <w:rsid w:val="00DD6DAC"/>
    <w:rsid w:val="00DD6E53"/>
    <w:rsid w:val="00DD74AD"/>
    <w:rsid w:val="00DD77FE"/>
    <w:rsid w:val="00DD7937"/>
    <w:rsid w:val="00DD7A4B"/>
    <w:rsid w:val="00DD7B59"/>
    <w:rsid w:val="00DD7B6A"/>
    <w:rsid w:val="00DE01C2"/>
    <w:rsid w:val="00DE0447"/>
    <w:rsid w:val="00DE0723"/>
    <w:rsid w:val="00DE0A3D"/>
    <w:rsid w:val="00DE0BA9"/>
    <w:rsid w:val="00DE0CCC"/>
    <w:rsid w:val="00DE11D1"/>
    <w:rsid w:val="00DE14B4"/>
    <w:rsid w:val="00DE1B61"/>
    <w:rsid w:val="00DE1F0B"/>
    <w:rsid w:val="00DE1FA8"/>
    <w:rsid w:val="00DE1FDC"/>
    <w:rsid w:val="00DE213B"/>
    <w:rsid w:val="00DE2B60"/>
    <w:rsid w:val="00DE2CE0"/>
    <w:rsid w:val="00DE2F9D"/>
    <w:rsid w:val="00DE30BE"/>
    <w:rsid w:val="00DE324C"/>
    <w:rsid w:val="00DE32CF"/>
    <w:rsid w:val="00DE3487"/>
    <w:rsid w:val="00DE369B"/>
    <w:rsid w:val="00DE37DA"/>
    <w:rsid w:val="00DE37E8"/>
    <w:rsid w:val="00DE3B48"/>
    <w:rsid w:val="00DE41F5"/>
    <w:rsid w:val="00DE4200"/>
    <w:rsid w:val="00DE454F"/>
    <w:rsid w:val="00DE4562"/>
    <w:rsid w:val="00DE47B1"/>
    <w:rsid w:val="00DE481E"/>
    <w:rsid w:val="00DE4A73"/>
    <w:rsid w:val="00DE4CDE"/>
    <w:rsid w:val="00DE4D55"/>
    <w:rsid w:val="00DE4D72"/>
    <w:rsid w:val="00DE4FC6"/>
    <w:rsid w:val="00DE520F"/>
    <w:rsid w:val="00DE52D4"/>
    <w:rsid w:val="00DE5370"/>
    <w:rsid w:val="00DE5522"/>
    <w:rsid w:val="00DE55C4"/>
    <w:rsid w:val="00DE5623"/>
    <w:rsid w:val="00DE5675"/>
    <w:rsid w:val="00DE5C10"/>
    <w:rsid w:val="00DE5C3D"/>
    <w:rsid w:val="00DE5EF8"/>
    <w:rsid w:val="00DE5F9F"/>
    <w:rsid w:val="00DE5FB2"/>
    <w:rsid w:val="00DE67DF"/>
    <w:rsid w:val="00DE6B41"/>
    <w:rsid w:val="00DE7010"/>
    <w:rsid w:val="00DE7671"/>
    <w:rsid w:val="00DE7850"/>
    <w:rsid w:val="00DE7874"/>
    <w:rsid w:val="00DE7930"/>
    <w:rsid w:val="00DF000D"/>
    <w:rsid w:val="00DF03D8"/>
    <w:rsid w:val="00DF0516"/>
    <w:rsid w:val="00DF082E"/>
    <w:rsid w:val="00DF08CA"/>
    <w:rsid w:val="00DF0976"/>
    <w:rsid w:val="00DF0FC0"/>
    <w:rsid w:val="00DF1621"/>
    <w:rsid w:val="00DF18A3"/>
    <w:rsid w:val="00DF1CE2"/>
    <w:rsid w:val="00DF1D37"/>
    <w:rsid w:val="00DF2109"/>
    <w:rsid w:val="00DF27C4"/>
    <w:rsid w:val="00DF2988"/>
    <w:rsid w:val="00DF29C2"/>
    <w:rsid w:val="00DF2B85"/>
    <w:rsid w:val="00DF366A"/>
    <w:rsid w:val="00DF37A3"/>
    <w:rsid w:val="00DF3C42"/>
    <w:rsid w:val="00DF3DA3"/>
    <w:rsid w:val="00DF3DA8"/>
    <w:rsid w:val="00DF44BA"/>
    <w:rsid w:val="00DF45F5"/>
    <w:rsid w:val="00DF4701"/>
    <w:rsid w:val="00DF4803"/>
    <w:rsid w:val="00DF4879"/>
    <w:rsid w:val="00DF4B34"/>
    <w:rsid w:val="00DF50B4"/>
    <w:rsid w:val="00DF52D9"/>
    <w:rsid w:val="00DF534D"/>
    <w:rsid w:val="00DF6672"/>
    <w:rsid w:val="00DF66D4"/>
    <w:rsid w:val="00DF68F2"/>
    <w:rsid w:val="00DF6F9A"/>
    <w:rsid w:val="00DF7048"/>
    <w:rsid w:val="00DF7193"/>
    <w:rsid w:val="00DF7323"/>
    <w:rsid w:val="00DF73D0"/>
    <w:rsid w:val="00DF7459"/>
    <w:rsid w:val="00DF775F"/>
    <w:rsid w:val="00DF7A07"/>
    <w:rsid w:val="00DF7C18"/>
    <w:rsid w:val="00DF7D54"/>
    <w:rsid w:val="00DF7DBE"/>
    <w:rsid w:val="00E000C0"/>
    <w:rsid w:val="00E00561"/>
    <w:rsid w:val="00E005B3"/>
    <w:rsid w:val="00E01085"/>
    <w:rsid w:val="00E011CC"/>
    <w:rsid w:val="00E01296"/>
    <w:rsid w:val="00E01594"/>
    <w:rsid w:val="00E018BD"/>
    <w:rsid w:val="00E0191C"/>
    <w:rsid w:val="00E01935"/>
    <w:rsid w:val="00E01A48"/>
    <w:rsid w:val="00E01D26"/>
    <w:rsid w:val="00E01FF3"/>
    <w:rsid w:val="00E020C2"/>
    <w:rsid w:val="00E024CE"/>
    <w:rsid w:val="00E027C2"/>
    <w:rsid w:val="00E028B5"/>
    <w:rsid w:val="00E02CE7"/>
    <w:rsid w:val="00E0308C"/>
    <w:rsid w:val="00E03210"/>
    <w:rsid w:val="00E0357F"/>
    <w:rsid w:val="00E03D80"/>
    <w:rsid w:val="00E03EED"/>
    <w:rsid w:val="00E03F55"/>
    <w:rsid w:val="00E049D2"/>
    <w:rsid w:val="00E04E8F"/>
    <w:rsid w:val="00E04F1E"/>
    <w:rsid w:val="00E04F95"/>
    <w:rsid w:val="00E04FB5"/>
    <w:rsid w:val="00E05046"/>
    <w:rsid w:val="00E05616"/>
    <w:rsid w:val="00E0565C"/>
    <w:rsid w:val="00E057C3"/>
    <w:rsid w:val="00E0599A"/>
    <w:rsid w:val="00E05E01"/>
    <w:rsid w:val="00E0604D"/>
    <w:rsid w:val="00E06070"/>
    <w:rsid w:val="00E060C5"/>
    <w:rsid w:val="00E0645C"/>
    <w:rsid w:val="00E0652F"/>
    <w:rsid w:val="00E066EE"/>
    <w:rsid w:val="00E067D2"/>
    <w:rsid w:val="00E0700D"/>
    <w:rsid w:val="00E07122"/>
    <w:rsid w:val="00E07867"/>
    <w:rsid w:val="00E07DB4"/>
    <w:rsid w:val="00E1002E"/>
    <w:rsid w:val="00E101C9"/>
    <w:rsid w:val="00E105C8"/>
    <w:rsid w:val="00E106B3"/>
    <w:rsid w:val="00E1084F"/>
    <w:rsid w:val="00E109DA"/>
    <w:rsid w:val="00E10B12"/>
    <w:rsid w:val="00E10C64"/>
    <w:rsid w:val="00E10D5C"/>
    <w:rsid w:val="00E10E7E"/>
    <w:rsid w:val="00E10F4F"/>
    <w:rsid w:val="00E111FD"/>
    <w:rsid w:val="00E11886"/>
    <w:rsid w:val="00E1198D"/>
    <w:rsid w:val="00E119AB"/>
    <w:rsid w:val="00E11C2C"/>
    <w:rsid w:val="00E11F29"/>
    <w:rsid w:val="00E12396"/>
    <w:rsid w:val="00E123A0"/>
    <w:rsid w:val="00E12469"/>
    <w:rsid w:val="00E124F8"/>
    <w:rsid w:val="00E1254E"/>
    <w:rsid w:val="00E125C7"/>
    <w:rsid w:val="00E128B6"/>
    <w:rsid w:val="00E12D11"/>
    <w:rsid w:val="00E12DA7"/>
    <w:rsid w:val="00E12F10"/>
    <w:rsid w:val="00E13801"/>
    <w:rsid w:val="00E13C8F"/>
    <w:rsid w:val="00E13DF5"/>
    <w:rsid w:val="00E13E5A"/>
    <w:rsid w:val="00E143E6"/>
    <w:rsid w:val="00E1495B"/>
    <w:rsid w:val="00E14CAF"/>
    <w:rsid w:val="00E14CDB"/>
    <w:rsid w:val="00E14DBF"/>
    <w:rsid w:val="00E1523F"/>
    <w:rsid w:val="00E15249"/>
    <w:rsid w:val="00E1533F"/>
    <w:rsid w:val="00E15447"/>
    <w:rsid w:val="00E1560E"/>
    <w:rsid w:val="00E15945"/>
    <w:rsid w:val="00E15B52"/>
    <w:rsid w:val="00E15C64"/>
    <w:rsid w:val="00E15D6A"/>
    <w:rsid w:val="00E15E24"/>
    <w:rsid w:val="00E164DD"/>
    <w:rsid w:val="00E16585"/>
    <w:rsid w:val="00E165AD"/>
    <w:rsid w:val="00E16685"/>
    <w:rsid w:val="00E167BF"/>
    <w:rsid w:val="00E16D3F"/>
    <w:rsid w:val="00E16D7E"/>
    <w:rsid w:val="00E16F19"/>
    <w:rsid w:val="00E17007"/>
    <w:rsid w:val="00E1700D"/>
    <w:rsid w:val="00E1710E"/>
    <w:rsid w:val="00E17236"/>
    <w:rsid w:val="00E174CC"/>
    <w:rsid w:val="00E175B5"/>
    <w:rsid w:val="00E177A5"/>
    <w:rsid w:val="00E17907"/>
    <w:rsid w:val="00E20032"/>
    <w:rsid w:val="00E203E7"/>
    <w:rsid w:val="00E20630"/>
    <w:rsid w:val="00E20710"/>
    <w:rsid w:val="00E20881"/>
    <w:rsid w:val="00E21763"/>
    <w:rsid w:val="00E21975"/>
    <w:rsid w:val="00E21988"/>
    <w:rsid w:val="00E21B75"/>
    <w:rsid w:val="00E21C26"/>
    <w:rsid w:val="00E21CF3"/>
    <w:rsid w:val="00E2229D"/>
    <w:rsid w:val="00E225C1"/>
    <w:rsid w:val="00E226A0"/>
    <w:rsid w:val="00E22E18"/>
    <w:rsid w:val="00E22E26"/>
    <w:rsid w:val="00E2308A"/>
    <w:rsid w:val="00E2347A"/>
    <w:rsid w:val="00E23735"/>
    <w:rsid w:val="00E237B6"/>
    <w:rsid w:val="00E237F5"/>
    <w:rsid w:val="00E2383F"/>
    <w:rsid w:val="00E239CE"/>
    <w:rsid w:val="00E23A0D"/>
    <w:rsid w:val="00E23A42"/>
    <w:rsid w:val="00E23CFC"/>
    <w:rsid w:val="00E242F7"/>
    <w:rsid w:val="00E24491"/>
    <w:rsid w:val="00E24942"/>
    <w:rsid w:val="00E24E88"/>
    <w:rsid w:val="00E2514B"/>
    <w:rsid w:val="00E25673"/>
    <w:rsid w:val="00E25BBC"/>
    <w:rsid w:val="00E25F86"/>
    <w:rsid w:val="00E25FBC"/>
    <w:rsid w:val="00E25FF3"/>
    <w:rsid w:val="00E26027"/>
    <w:rsid w:val="00E26134"/>
    <w:rsid w:val="00E262E4"/>
    <w:rsid w:val="00E26502"/>
    <w:rsid w:val="00E265D2"/>
    <w:rsid w:val="00E26683"/>
    <w:rsid w:val="00E26812"/>
    <w:rsid w:val="00E26933"/>
    <w:rsid w:val="00E26A16"/>
    <w:rsid w:val="00E26BA3"/>
    <w:rsid w:val="00E26E80"/>
    <w:rsid w:val="00E27120"/>
    <w:rsid w:val="00E2762C"/>
    <w:rsid w:val="00E27B7A"/>
    <w:rsid w:val="00E27BCF"/>
    <w:rsid w:val="00E27C62"/>
    <w:rsid w:val="00E27D9B"/>
    <w:rsid w:val="00E30610"/>
    <w:rsid w:val="00E3064C"/>
    <w:rsid w:val="00E311FB"/>
    <w:rsid w:val="00E31222"/>
    <w:rsid w:val="00E314B0"/>
    <w:rsid w:val="00E3166B"/>
    <w:rsid w:val="00E31AEC"/>
    <w:rsid w:val="00E3208A"/>
    <w:rsid w:val="00E321F2"/>
    <w:rsid w:val="00E326E4"/>
    <w:rsid w:val="00E32B23"/>
    <w:rsid w:val="00E32D8D"/>
    <w:rsid w:val="00E33351"/>
    <w:rsid w:val="00E33391"/>
    <w:rsid w:val="00E33520"/>
    <w:rsid w:val="00E335B7"/>
    <w:rsid w:val="00E33690"/>
    <w:rsid w:val="00E33A0E"/>
    <w:rsid w:val="00E33A30"/>
    <w:rsid w:val="00E3413D"/>
    <w:rsid w:val="00E34158"/>
    <w:rsid w:val="00E34AEB"/>
    <w:rsid w:val="00E34D8E"/>
    <w:rsid w:val="00E3503C"/>
    <w:rsid w:val="00E3523A"/>
    <w:rsid w:val="00E35352"/>
    <w:rsid w:val="00E35533"/>
    <w:rsid w:val="00E35536"/>
    <w:rsid w:val="00E35861"/>
    <w:rsid w:val="00E359C3"/>
    <w:rsid w:val="00E35BD8"/>
    <w:rsid w:val="00E35CAF"/>
    <w:rsid w:val="00E35D52"/>
    <w:rsid w:val="00E35F72"/>
    <w:rsid w:val="00E361A1"/>
    <w:rsid w:val="00E363AF"/>
    <w:rsid w:val="00E369F2"/>
    <w:rsid w:val="00E36A11"/>
    <w:rsid w:val="00E3713B"/>
    <w:rsid w:val="00E373B6"/>
    <w:rsid w:val="00E37618"/>
    <w:rsid w:val="00E377F1"/>
    <w:rsid w:val="00E378C7"/>
    <w:rsid w:val="00E37BFE"/>
    <w:rsid w:val="00E37C36"/>
    <w:rsid w:val="00E37C95"/>
    <w:rsid w:val="00E37DE5"/>
    <w:rsid w:val="00E4029A"/>
    <w:rsid w:val="00E40331"/>
    <w:rsid w:val="00E40376"/>
    <w:rsid w:val="00E4079D"/>
    <w:rsid w:val="00E409A0"/>
    <w:rsid w:val="00E409EC"/>
    <w:rsid w:val="00E40AF4"/>
    <w:rsid w:val="00E40B50"/>
    <w:rsid w:val="00E40C07"/>
    <w:rsid w:val="00E40DC1"/>
    <w:rsid w:val="00E4138A"/>
    <w:rsid w:val="00E416E8"/>
    <w:rsid w:val="00E4181C"/>
    <w:rsid w:val="00E41C1E"/>
    <w:rsid w:val="00E42239"/>
    <w:rsid w:val="00E427AD"/>
    <w:rsid w:val="00E42D6F"/>
    <w:rsid w:val="00E4315F"/>
    <w:rsid w:val="00E440BB"/>
    <w:rsid w:val="00E4448A"/>
    <w:rsid w:val="00E444A2"/>
    <w:rsid w:val="00E44503"/>
    <w:rsid w:val="00E445C9"/>
    <w:rsid w:val="00E446B0"/>
    <w:rsid w:val="00E447C7"/>
    <w:rsid w:val="00E44879"/>
    <w:rsid w:val="00E44CD2"/>
    <w:rsid w:val="00E44F6A"/>
    <w:rsid w:val="00E451FF"/>
    <w:rsid w:val="00E454FF"/>
    <w:rsid w:val="00E4561A"/>
    <w:rsid w:val="00E45929"/>
    <w:rsid w:val="00E45C95"/>
    <w:rsid w:val="00E4602A"/>
    <w:rsid w:val="00E46099"/>
    <w:rsid w:val="00E4684F"/>
    <w:rsid w:val="00E46B8E"/>
    <w:rsid w:val="00E46D19"/>
    <w:rsid w:val="00E46D85"/>
    <w:rsid w:val="00E47409"/>
    <w:rsid w:val="00E474DB"/>
    <w:rsid w:val="00E47AD7"/>
    <w:rsid w:val="00E47F3A"/>
    <w:rsid w:val="00E47F57"/>
    <w:rsid w:val="00E5024D"/>
    <w:rsid w:val="00E50AEB"/>
    <w:rsid w:val="00E50DDF"/>
    <w:rsid w:val="00E50E69"/>
    <w:rsid w:val="00E50EAD"/>
    <w:rsid w:val="00E50FC0"/>
    <w:rsid w:val="00E512F7"/>
    <w:rsid w:val="00E51510"/>
    <w:rsid w:val="00E515B0"/>
    <w:rsid w:val="00E515E8"/>
    <w:rsid w:val="00E51689"/>
    <w:rsid w:val="00E5180B"/>
    <w:rsid w:val="00E51BF8"/>
    <w:rsid w:val="00E51DFE"/>
    <w:rsid w:val="00E51EB6"/>
    <w:rsid w:val="00E52019"/>
    <w:rsid w:val="00E5327B"/>
    <w:rsid w:val="00E53557"/>
    <w:rsid w:val="00E53775"/>
    <w:rsid w:val="00E537BE"/>
    <w:rsid w:val="00E53DB0"/>
    <w:rsid w:val="00E53EBD"/>
    <w:rsid w:val="00E5405D"/>
    <w:rsid w:val="00E540A0"/>
    <w:rsid w:val="00E5461E"/>
    <w:rsid w:val="00E546B3"/>
    <w:rsid w:val="00E54710"/>
    <w:rsid w:val="00E55018"/>
    <w:rsid w:val="00E55229"/>
    <w:rsid w:val="00E554C7"/>
    <w:rsid w:val="00E556AF"/>
    <w:rsid w:val="00E5586F"/>
    <w:rsid w:val="00E558F1"/>
    <w:rsid w:val="00E55C32"/>
    <w:rsid w:val="00E56061"/>
    <w:rsid w:val="00E5625A"/>
    <w:rsid w:val="00E56B25"/>
    <w:rsid w:val="00E56CD9"/>
    <w:rsid w:val="00E56ED7"/>
    <w:rsid w:val="00E57183"/>
    <w:rsid w:val="00E573C8"/>
    <w:rsid w:val="00E575EF"/>
    <w:rsid w:val="00E57906"/>
    <w:rsid w:val="00E60153"/>
    <w:rsid w:val="00E60228"/>
    <w:rsid w:val="00E60440"/>
    <w:rsid w:val="00E60454"/>
    <w:rsid w:val="00E607B6"/>
    <w:rsid w:val="00E607CF"/>
    <w:rsid w:val="00E607EE"/>
    <w:rsid w:val="00E60C9F"/>
    <w:rsid w:val="00E60DDA"/>
    <w:rsid w:val="00E60E55"/>
    <w:rsid w:val="00E60F6E"/>
    <w:rsid w:val="00E6152D"/>
    <w:rsid w:val="00E618A6"/>
    <w:rsid w:val="00E61B8E"/>
    <w:rsid w:val="00E61CE2"/>
    <w:rsid w:val="00E620C9"/>
    <w:rsid w:val="00E62115"/>
    <w:rsid w:val="00E623F2"/>
    <w:rsid w:val="00E62545"/>
    <w:rsid w:val="00E625F2"/>
    <w:rsid w:val="00E626F9"/>
    <w:rsid w:val="00E6275A"/>
    <w:rsid w:val="00E6287C"/>
    <w:rsid w:val="00E628C2"/>
    <w:rsid w:val="00E631BA"/>
    <w:rsid w:val="00E6326C"/>
    <w:rsid w:val="00E6335F"/>
    <w:rsid w:val="00E6336C"/>
    <w:rsid w:val="00E63821"/>
    <w:rsid w:val="00E63BA6"/>
    <w:rsid w:val="00E63E44"/>
    <w:rsid w:val="00E640CC"/>
    <w:rsid w:val="00E644FF"/>
    <w:rsid w:val="00E6463E"/>
    <w:rsid w:val="00E64708"/>
    <w:rsid w:val="00E64D11"/>
    <w:rsid w:val="00E64F4C"/>
    <w:rsid w:val="00E64F50"/>
    <w:rsid w:val="00E64FCA"/>
    <w:rsid w:val="00E65120"/>
    <w:rsid w:val="00E651CA"/>
    <w:rsid w:val="00E6539B"/>
    <w:rsid w:val="00E65849"/>
    <w:rsid w:val="00E65A02"/>
    <w:rsid w:val="00E65A3B"/>
    <w:rsid w:val="00E65D0A"/>
    <w:rsid w:val="00E65D43"/>
    <w:rsid w:val="00E65F62"/>
    <w:rsid w:val="00E6659E"/>
    <w:rsid w:val="00E66B39"/>
    <w:rsid w:val="00E66C6E"/>
    <w:rsid w:val="00E67135"/>
    <w:rsid w:val="00E6752A"/>
    <w:rsid w:val="00E6767C"/>
    <w:rsid w:val="00E677CF"/>
    <w:rsid w:val="00E67881"/>
    <w:rsid w:val="00E67A91"/>
    <w:rsid w:val="00E67B19"/>
    <w:rsid w:val="00E67BE0"/>
    <w:rsid w:val="00E67CDC"/>
    <w:rsid w:val="00E67DCD"/>
    <w:rsid w:val="00E67ED6"/>
    <w:rsid w:val="00E702D2"/>
    <w:rsid w:val="00E7036E"/>
    <w:rsid w:val="00E7072B"/>
    <w:rsid w:val="00E70A0A"/>
    <w:rsid w:val="00E70A70"/>
    <w:rsid w:val="00E70ABC"/>
    <w:rsid w:val="00E71500"/>
    <w:rsid w:val="00E715B7"/>
    <w:rsid w:val="00E71A0B"/>
    <w:rsid w:val="00E72021"/>
    <w:rsid w:val="00E720EC"/>
    <w:rsid w:val="00E724D4"/>
    <w:rsid w:val="00E72A9E"/>
    <w:rsid w:val="00E734FA"/>
    <w:rsid w:val="00E73762"/>
    <w:rsid w:val="00E73B76"/>
    <w:rsid w:val="00E73BD8"/>
    <w:rsid w:val="00E73D65"/>
    <w:rsid w:val="00E73F14"/>
    <w:rsid w:val="00E73FA0"/>
    <w:rsid w:val="00E748CE"/>
    <w:rsid w:val="00E74928"/>
    <w:rsid w:val="00E74A5C"/>
    <w:rsid w:val="00E74B90"/>
    <w:rsid w:val="00E74BDE"/>
    <w:rsid w:val="00E74D8E"/>
    <w:rsid w:val="00E74EFF"/>
    <w:rsid w:val="00E7517D"/>
    <w:rsid w:val="00E753BF"/>
    <w:rsid w:val="00E7544E"/>
    <w:rsid w:val="00E754F9"/>
    <w:rsid w:val="00E7554B"/>
    <w:rsid w:val="00E75619"/>
    <w:rsid w:val="00E75A7A"/>
    <w:rsid w:val="00E75B9B"/>
    <w:rsid w:val="00E75E7B"/>
    <w:rsid w:val="00E75E84"/>
    <w:rsid w:val="00E75EE4"/>
    <w:rsid w:val="00E76165"/>
    <w:rsid w:val="00E7637E"/>
    <w:rsid w:val="00E763E7"/>
    <w:rsid w:val="00E764B8"/>
    <w:rsid w:val="00E76959"/>
    <w:rsid w:val="00E76A60"/>
    <w:rsid w:val="00E76B1C"/>
    <w:rsid w:val="00E76C8B"/>
    <w:rsid w:val="00E76D6E"/>
    <w:rsid w:val="00E76E07"/>
    <w:rsid w:val="00E76F61"/>
    <w:rsid w:val="00E76FDF"/>
    <w:rsid w:val="00E774DF"/>
    <w:rsid w:val="00E77BD9"/>
    <w:rsid w:val="00E77D82"/>
    <w:rsid w:val="00E806B0"/>
    <w:rsid w:val="00E80ACD"/>
    <w:rsid w:val="00E80B23"/>
    <w:rsid w:val="00E80BBE"/>
    <w:rsid w:val="00E80E4D"/>
    <w:rsid w:val="00E80F7C"/>
    <w:rsid w:val="00E8131F"/>
    <w:rsid w:val="00E814CF"/>
    <w:rsid w:val="00E81AEA"/>
    <w:rsid w:val="00E81F1B"/>
    <w:rsid w:val="00E82010"/>
    <w:rsid w:val="00E82130"/>
    <w:rsid w:val="00E8216E"/>
    <w:rsid w:val="00E82399"/>
    <w:rsid w:val="00E829A1"/>
    <w:rsid w:val="00E83090"/>
    <w:rsid w:val="00E8318F"/>
    <w:rsid w:val="00E831DF"/>
    <w:rsid w:val="00E83554"/>
    <w:rsid w:val="00E83657"/>
    <w:rsid w:val="00E8376F"/>
    <w:rsid w:val="00E84164"/>
    <w:rsid w:val="00E844EB"/>
    <w:rsid w:val="00E84959"/>
    <w:rsid w:val="00E84A78"/>
    <w:rsid w:val="00E84B91"/>
    <w:rsid w:val="00E84C46"/>
    <w:rsid w:val="00E85044"/>
    <w:rsid w:val="00E85714"/>
    <w:rsid w:val="00E8575F"/>
    <w:rsid w:val="00E857E0"/>
    <w:rsid w:val="00E85BAD"/>
    <w:rsid w:val="00E85C79"/>
    <w:rsid w:val="00E86023"/>
    <w:rsid w:val="00E860F6"/>
    <w:rsid w:val="00E86523"/>
    <w:rsid w:val="00E867AC"/>
    <w:rsid w:val="00E871DA"/>
    <w:rsid w:val="00E873D5"/>
    <w:rsid w:val="00E87501"/>
    <w:rsid w:val="00E87A1B"/>
    <w:rsid w:val="00E87B4F"/>
    <w:rsid w:val="00E87B5F"/>
    <w:rsid w:val="00E87BA0"/>
    <w:rsid w:val="00E90053"/>
    <w:rsid w:val="00E901C4"/>
    <w:rsid w:val="00E90815"/>
    <w:rsid w:val="00E90945"/>
    <w:rsid w:val="00E90B03"/>
    <w:rsid w:val="00E90D60"/>
    <w:rsid w:val="00E90F91"/>
    <w:rsid w:val="00E91033"/>
    <w:rsid w:val="00E912A6"/>
    <w:rsid w:val="00E917FC"/>
    <w:rsid w:val="00E91AF1"/>
    <w:rsid w:val="00E9297F"/>
    <w:rsid w:val="00E92B09"/>
    <w:rsid w:val="00E92C8C"/>
    <w:rsid w:val="00E9335C"/>
    <w:rsid w:val="00E93433"/>
    <w:rsid w:val="00E93D35"/>
    <w:rsid w:val="00E93EB7"/>
    <w:rsid w:val="00E9466B"/>
    <w:rsid w:val="00E9470D"/>
    <w:rsid w:val="00E947F8"/>
    <w:rsid w:val="00E949D0"/>
    <w:rsid w:val="00E94A70"/>
    <w:rsid w:val="00E94B43"/>
    <w:rsid w:val="00E9519F"/>
    <w:rsid w:val="00E953E0"/>
    <w:rsid w:val="00E953F2"/>
    <w:rsid w:val="00E9562A"/>
    <w:rsid w:val="00E956CA"/>
    <w:rsid w:val="00E957B3"/>
    <w:rsid w:val="00E95987"/>
    <w:rsid w:val="00E95A1D"/>
    <w:rsid w:val="00E95C3B"/>
    <w:rsid w:val="00E95FB4"/>
    <w:rsid w:val="00E960E4"/>
    <w:rsid w:val="00E964AA"/>
    <w:rsid w:val="00E966B3"/>
    <w:rsid w:val="00E96AE1"/>
    <w:rsid w:val="00E96AFD"/>
    <w:rsid w:val="00E96B17"/>
    <w:rsid w:val="00E97236"/>
    <w:rsid w:val="00E97433"/>
    <w:rsid w:val="00E9749D"/>
    <w:rsid w:val="00E97C1F"/>
    <w:rsid w:val="00E97CC2"/>
    <w:rsid w:val="00E97E83"/>
    <w:rsid w:val="00EA054E"/>
    <w:rsid w:val="00EA077E"/>
    <w:rsid w:val="00EA0E14"/>
    <w:rsid w:val="00EA0E84"/>
    <w:rsid w:val="00EA1509"/>
    <w:rsid w:val="00EA15B0"/>
    <w:rsid w:val="00EA1D0C"/>
    <w:rsid w:val="00EA22EC"/>
    <w:rsid w:val="00EA266A"/>
    <w:rsid w:val="00EA28B6"/>
    <w:rsid w:val="00EA2C9B"/>
    <w:rsid w:val="00EA2D74"/>
    <w:rsid w:val="00EA3077"/>
    <w:rsid w:val="00EA30EE"/>
    <w:rsid w:val="00EA3174"/>
    <w:rsid w:val="00EA3302"/>
    <w:rsid w:val="00EA33ED"/>
    <w:rsid w:val="00EA365F"/>
    <w:rsid w:val="00EA3AF1"/>
    <w:rsid w:val="00EA3DBD"/>
    <w:rsid w:val="00EA3DEF"/>
    <w:rsid w:val="00EA4693"/>
    <w:rsid w:val="00EA476A"/>
    <w:rsid w:val="00EA4961"/>
    <w:rsid w:val="00EA4A98"/>
    <w:rsid w:val="00EA4BF0"/>
    <w:rsid w:val="00EA4CC2"/>
    <w:rsid w:val="00EA543C"/>
    <w:rsid w:val="00EA547A"/>
    <w:rsid w:val="00EA5868"/>
    <w:rsid w:val="00EA66A7"/>
    <w:rsid w:val="00EA672D"/>
    <w:rsid w:val="00EA6762"/>
    <w:rsid w:val="00EA6B30"/>
    <w:rsid w:val="00EA6DBA"/>
    <w:rsid w:val="00EA70B2"/>
    <w:rsid w:val="00EA720F"/>
    <w:rsid w:val="00EA74A9"/>
    <w:rsid w:val="00EA7BE4"/>
    <w:rsid w:val="00EA7C77"/>
    <w:rsid w:val="00EA7D2D"/>
    <w:rsid w:val="00EA7E08"/>
    <w:rsid w:val="00EA7E5D"/>
    <w:rsid w:val="00EA7EFF"/>
    <w:rsid w:val="00EB0122"/>
    <w:rsid w:val="00EB046B"/>
    <w:rsid w:val="00EB0504"/>
    <w:rsid w:val="00EB057E"/>
    <w:rsid w:val="00EB060F"/>
    <w:rsid w:val="00EB096B"/>
    <w:rsid w:val="00EB0B0B"/>
    <w:rsid w:val="00EB12CE"/>
    <w:rsid w:val="00EB17A3"/>
    <w:rsid w:val="00EB1944"/>
    <w:rsid w:val="00EB1FB4"/>
    <w:rsid w:val="00EB2216"/>
    <w:rsid w:val="00EB26D0"/>
    <w:rsid w:val="00EB29D4"/>
    <w:rsid w:val="00EB2A8F"/>
    <w:rsid w:val="00EB2ADF"/>
    <w:rsid w:val="00EB2B83"/>
    <w:rsid w:val="00EB2D53"/>
    <w:rsid w:val="00EB2E1C"/>
    <w:rsid w:val="00EB2EA9"/>
    <w:rsid w:val="00EB2ED2"/>
    <w:rsid w:val="00EB2F4B"/>
    <w:rsid w:val="00EB3C6A"/>
    <w:rsid w:val="00EB3CCC"/>
    <w:rsid w:val="00EB4363"/>
    <w:rsid w:val="00EB4802"/>
    <w:rsid w:val="00EB4AE0"/>
    <w:rsid w:val="00EB4B44"/>
    <w:rsid w:val="00EB4C67"/>
    <w:rsid w:val="00EB4DA2"/>
    <w:rsid w:val="00EB4E5A"/>
    <w:rsid w:val="00EB5005"/>
    <w:rsid w:val="00EB5082"/>
    <w:rsid w:val="00EB532D"/>
    <w:rsid w:val="00EB53BF"/>
    <w:rsid w:val="00EB598A"/>
    <w:rsid w:val="00EB5CAB"/>
    <w:rsid w:val="00EB5CD6"/>
    <w:rsid w:val="00EB5DE2"/>
    <w:rsid w:val="00EB5F72"/>
    <w:rsid w:val="00EB6002"/>
    <w:rsid w:val="00EB606B"/>
    <w:rsid w:val="00EB6ACA"/>
    <w:rsid w:val="00EB6D99"/>
    <w:rsid w:val="00EB6F2D"/>
    <w:rsid w:val="00EB6FB7"/>
    <w:rsid w:val="00EB7338"/>
    <w:rsid w:val="00EB7436"/>
    <w:rsid w:val="00EB7454"/>
    <w:rsid w:val="00EB7494"/>
    <w:rsid w:val="00EB7521"/>
    <w:rsid w:val="00EB75B0"/>
    <w:rsid w:val="00EB7666"/>
    <w:rsid w:val="00EB7DED"/>
    <w:rsid w:val="00EC0066"/>
    <w:rsid w:val="00EC0145"/>
    <w:rsid w:val="00EC0266"/>
    <w:rsid w:val="00EC09C8"/>
    <w:rsid w:val="00EC0B1E"/>
    <w:rsid w:val="00EC0B61"/>
    <w:rsid w:val="00EC0BD8"/>
    <w:rsid w:val="00EC0CCD"/>
    <w:rsid w:val="00EC0F93"/>
    <w:rsid w:val="00EC0F99"/>
    <w:rsid w:val="00EC129E"/>
    <w:rsid w:val="00EC1543"/>
    <w:rsid w:val="00EC164F"/>
    <w:rsid w:val="00EC1A8E"/>
    <w:rsid w:val="00EC24FA"/>
    <w:rsid w:val="00EC251B"/>
    <w:rsid w:val="00EC2682"/>
    <w:rsid w:val="00EC28C5"/>
    <w:rsid w:val="00EC2995"/>
    <w:rsid w:val="00EC2BF0"/>
    <w:rsid w:val="00EC2C95"/>
    <w:rsid w:val="00EC3193"/>
    <w:rsid w:val="00EC31BE"/>
    <w:rsid w:val="00EC34EF"/>
    <w:rsid w:val="00EC35CC"/>
    <w:rsid w:val="00EC4100"/>
    <w:rsid w:val="00EC434F"/>
    <w:rsid w:val="00EC4527"/>
    <w:rsid w:val="00EC4928"/>
    <w:rsid w:val="00EC4ABF"/>
    <w:rsid w:val="00EC4AC6"/>
    <w:rsid w:val="00EC4C77"/>
    <w:rsid w:val="00EC4EF1"/>
    <w:rsid w:val="00EC517B"/>
    <w:rsid w:val="00EC5282"/>
    <w:rsid w:val="00EC5328"/>
    <w:rsid w:val="00EC5C51"/>
    <w:rsid w:val="00EC5D2F"/>
    <w:rsid w:val="00EC6558"/>
    <w:rsid w:val="00EC6609"/>
    <w:rsid w:val="00EC6AA7"/>
    <w:rsid w:val="00EC6B15"/>
    <w:rsid w:val="00EC6C5F"/>
    <w:rsid w:val="00EC6C7A"/>
    <w:rsid w:val="00EC6E58"/>
    <w:rsid w:val="00EC6E76"/>
    <w:rsid w:val="00EC7043"/>
    <w:rsid w:val="00EC70BE"/>
    <w:rsid w:val="00EC7128"/>
    <w:rsid w:val="00EC75BA"/>
    <w:rsid w:val="00EC76B8"/>
    <w:rsid w:val="00EC76D6"/>
    <w:rsid w:val="00EC7716"/>
    <w:rsid w:val="00EC7748"/>
    <w:rsid w:val="00EC77BD"/>
    <w:rsid w:val="00EC792B"/>
    <w:rsid w:val="00EC796E"/>
    <w:rsid w:val="00EC7AC5"/>
    <w:rsid w:val="00EC7CE0"/>
    <w:rsid w:val="00EC7DB2"/>
    <w:rsid w:val="00EC7FC6"/>
    <w:rsid w:val="00ED0013"/>
    <w:rsid w:val="00ED079A"/>
    <w:rsid w:val="00ED0B67"/>
    <w:rsid w:val="00ED0E23"/>
    <w:rsid w:val="00ED0ECE"/>
    <w:rsid w:val="00ED0FB6"/>
    <w:rsid w:val="00ED1007"/>
    <w:rsid w:val="00ED12A8"/>
    <w:rsid w:val="00ED14B7"/>
    <w:rsid w:val="00ED18B9"/>
    <w:rsid w:val="00ED19F9"/>
    <w:rsid w:val="00ED1AD2"/>
    <w:rsid w:val="00ED1E68"/>
    <w:rsid w:val="00ED2382"/>
    <w:rsid w:val="00ED27C6"/>
    <w:rsid w:val="00ED2C7E"/>
    <w:rsid w:val="00ED2D6E"/>
    <w:rsid w:val="00ED32BB"/>
    <w:rsid w:val="00ED34B8"/>
    <w:rsid w:val="00ED37E5"/>
    <w:rsid w:val="00ED38D9"/>
    <w:rsid w:val="00ED3B00"/>
    <w:rsid w:val="00ED3BBD"/>
    <w:rsid w:val="00ED456B"/>
    <w:rsid w:val="00ED48E7"/>
    <w:rsid w:val="00ED49B2"/>
    <w:rsid w:val="00ED4D04"/>
    <w:rsid w:val="00ED4E19"/>
    <w:rsid w:val="00ED4F37"/>
    <w:rsid w:val="00ED5205"/>
    <w:rsid w:val="00ED5209"/>
    <w:rsid w:val="00ED57D9"/>
    <w:rsid w:val="00ED60C2"/>
    <w:rsid w:val="00ED61F8"/>
    <w:rsid w:val="00ED6276"/>
    <w:rsid w:val="00ED65D9"/>
    <w:rsid w:val="00ED677D"/>
    <w:rsid w:val="00ED6929"/>
    <w:rsid w:val="00ED6D93"/>
    <w:rsid w:val="00ED731F"/>
    <w:rsid w:val="00ED73DB"/>
    <w:rsid w:val="00ED746D"/>
    <w:rsid w:val="00ED76F4"/>
    <w:rsid w:val="00ED7917"/>
    <w:rsid w:val="00ED7BD9"/>
    <w:rsid w:val="00EE056A"/>
    <w:rsid w:val="00EE07FA"/>
    <w:rsid w:val="00EE0E35"/>
    <w:rsid w:val="00EE116E"/>
    <w:rsid w:val="00EE11E7"/>
    <w:rsid w:val="00EE1BCD"/>
    <w:rsid w:val="00EE21EE"/>
    <w:rsid w:val="00EE225C"/>
    <w:rsid w:val="00EE278D"/>
    <w:rsid w:val="00EE28D7"/>
    <w:rsid w:val="00EE2978"/>
    <w:rsid w:val="00EE2ABC"/>
    <w:rsid w:val="00EE2AC8"/>
    <w:rsid w:val="00EE2B52"/>
    <w:rsid w:val="00EE3DCE"/>
    <w:rsid w:val="00EE4487"/>
    <w:rsid w:val="00EE4E4E"/>
    <w:rsid w:val="00EE510D"/>
    <w:rsid w:val="00EE528F"/>
    <w:rsid w:val="00EE53FA"/>
    <w:rsid w:val="00EE5472"/>
    <w:rsid w:val="00EE56A5"/>
    <w:rsid w:val="00EE56D2"/>
    <w:rsid w:val="00EE572E"/>
    <w:rsid w:val="00EE585C"/>
    <w:rsid w:val="00EE5866"/>
    <w:rsid w:val="00EE586C"/>
    <w:rsid w:val="00EE5B33"/>
    <w:rsid w:val="00EE5B63"/>
    <w:rsid w:val="00EE5D9C"/>
    <w:rsid w:val="00EE5F23"/>
    <w:rsid w:val="00EE6111"/>
    <w:rsid w:val="00EE615B"/>
    <w:rsid w:val="00EE6492"/>
    <w:rsid w:val="00EE66C2"/>
    <w:rsid w:val="00EE69C1"/>
    <w:rsid w:val="00EE7208"/>
    <w:rsid w:val="00EE780E"/>
    <w:rsid w:val="00EE7960"/>
    <w:rsid w:val="00EE7F27"/>
    <w:rsid w:val="00EF0213"/>
    <w:rsid w:val="00EF0953"/>
    <w:rsid w:val="00EF0988"/>
    <w:rsid w:val="00EF0D9B"/>
    <w:rsid w:val="00EF13BC"/>
    <w:rsid w:val="00EF1829"/>
    <w:rsid w:val="00EF1922"/>
    <w:rsid w:val="00EF1A7F"/>
    <w:rsid w:val="00EF1BFE"/>
    <w:rsid w:val="00EF1FCA"/>
    <w:rsid w:val="00EF21EA"/>
    <w:rsid w:val="00EF21FA"/>
    <w:rsid w:val="00EF2F9D"/>
    <w:rsid w:val="00EF30E0"/>
    <w:rsid w:val="00EF3249"/>
    <w:rsid w:val="00EF35AC"/>
    <w:rsid w:val="00EF35E0"/>
    <w:rsid w:val="00EF3790"/>
    <w:rsid w:val="00EF3A15"/>
    <w:rsid w:val="00EF3E73"/>
    <w:rsid w:val="00EF4292"/>
    <w:rsid w:val="00EF43DB"/>
    <w:rsid w:val="00EF4430"/>
    <w:rsid w:val="00EF4448"/>
    <w:rsid w:val="00EF451E"/>
    <w:rsid w:val="00EF501E"/>
    <w:rsid w:val="00EF5051"/>
    <w:rsid w:val="00EF52EB"/>
    <w:rsid w:val="00EF551D"/>
    <w:rsid w:val="00EF56E6"/>
    <w:rsid w:val="00EF5745"/>
    <w:rsid w:val="00EF58ED"/>
    <w:rsid w:val="00EF5B50"/>
    <w:rsid w:val="00EF5D85"/>
    <w:rsid w:val="00EF5EE5"/>
    <w:rsid w:val="00EF60D0"/>
    <w:rsid w:val="00EF625A"/>
    <w:rsid w:val="00EF6310"/>
    <w:rsid w:val="00EF6527"/>
    <w:rsid w:val="00EF6A12"/>
    <w:rsid w:val="00EF6C41"/>
    <w:rsid w:val="00EF6E19"/>
    <w:rsid w:val="00EF7590"/>
    <w:rsid w:val="00EF760A"/>
    <w:rsid w:val="00EF7A48"/>
    <w:rsid w:val="00F00007"/>
    <w:rsid w:val="00F0004D"/>
    <w:rsid w:val="00F007F2"/>
    <w:rsid w:val="00F00893"/>
    <w:rsid w:val="00F008FD"/>
    <w:rsid w:val="00F010B9"/>
    <w:rsid w:val="00F012A2"/>
    <w:rsid w:val="00F0156E"/>
    <w:rsid w:val="00F017C9"/>
    <w:rsid w:val="00F0189E"/>
    <w:rsid w:val="00F01929"/>
    <w:rsid w:val="00F01CB2"/>
    <w:rsid w:val="00F01D89"/>
    <w:rsid w:val="00F0208E"/>
    <w:rsid w:val="00F02516"/>
    <w:rsid w:val="00F0262E"/>
    <w:rsid w:val="00F02644"/>
    <w:rsid w:val="00F02697"/>
    <w:rsid w:val="00F02A95"/>
    <w:rsid w:val="00F02C0A"/>
    <w:rsid w:val="00F02E46"/>
    <w:rsid w:val="00F02E92"/>
    <w:rsid w:val="00F034DC"/>
    <w:rsid w:val="00F0361D"/>
    <w:rsid w:val="00F03AB6"/>
    <w:rsid w:val="00F03DE2"/>
    <w:rsid w:val="00F0417F"/>
    <w:rsid w:val="00F04675"/>
    <w:rsid w:val="00F04854"/>
    <w:rsid w:val="00F04C05"/>
    <w:rsid w:val="00F04D15"/>
    <w:rsid w:val="00F04E8E"/>
    <w:rsid w:val="00F04F5E"/>
    <w:rsid w:val="00F061D2"/>
    <w:rsid w:val="00F0634B"/>
    <w:rsid w:val="00F0644B"/>
    <w:rsid w:val="00F064AD"/>
    <w:rsid w:val="00F065FA"/>
    <w:rsid w:val="00F0660F"/>
    <w:rsid w:val="00F06643"/>
    <w:rsid w:val="00F0672F"/>
    <w:rsid w:val="00F068F1"/>
    <w:rsid w:val="00F06CA1"/>
    <w:rsid w:val="00F071D7"/>
    <w:rsid w:val="00F072FC"/>
    <w:rsid w:val="00F07983"/>
    <w:rsid w:val="00F07B32"/>
    <w:rsid w:val="00F07C70"/>
    <w:rsid w:val="00F07EAF"/>
    <w:rsid w:val="00F102AB"/>
    <w:rsid w:val="00F10778"/>
    <w:rsid w:val="00F10BAA"/>
    <w:rsid w:val="00F10E6C"/>
    <w:rsid w:val="00F10ED9"/>
    <w:rsid w:val="00F110F9"/>
    <w:rsid w:val="00F1140E"/>
    <w:rsid w:val="00F11427"/>
    <w:rsid w:val="00F116C9"/>
    <w:rsid w:val="00F11894"/>
    <w:rsid w:val="00F118A1"/>
    <w:rsid w:val="00F11B49"/>
    <w:rsid w:val="00F11DC8"/>
    <w:rsid w:val="00F11E00"/>
    <w:rsid w:val="00F11E75"/>
    <w:rsid w:val="00F11E89"/>
    <w:rsid w:val="00F12457"/>
    <w:rsid w:val="00F125F7"/>
    <w:rsid w:val="00F1271F"/>
    <w:rsid w:val="00F127C6"/>
    <w:rsid w:val="00F12818"/>
    <w:rsid w:val="00F12C6D"/>
    <w:rsid w:val="00F130B2"/>
    <w:rsid w:val="00F138C7"/>
    <w:rsid w:val="00F13EBF"/>
    <w:rsid w:val="00F14397"/>
    <w:rsid w:val="00F14A48"/>
    <w:rsid w:val="00F14ADD"/>
    <w:rsid w:val="00F14F0F"/>
    <w:rsid w:val="00F1510B"/>
    <w:rsid w:val="00F1549E"/>
    <w:rsid w:val="00F15565"/>
    <w:rsid w:val="00F157A3"/>
    <w:rsid w:val="00F157D7"/>
    <w:rsid w:val="00F15A83"/>
    <w:rsid w:val="00F15F22"/>
    <w:rsid w:val="00F16548"/>
    <w:rsid w:val="00F1691F"/>
    <w:rsid w:val="00F16AA3"/>
    <w:rsid w:val="00F16B03"/>
    <w:rsid w:val="00F16BE5"/>
    <w:rsid w:val="00F16E45"/>
    <w:rsid w:val="00F16FBA"/>
    <w:rsid w:val="00F170E1"/>
    <w:rsid w:val="00F17153"/>
    <w:rsid w:val="00F1726F"/>
    <w:rsid w:val="00F17399"/>
    <w:rsid w:val="00F1750C"/>
    <w:rsid w:val="00F17743"/>
    <w:rsid w:val="00F17799"/>
    <w:rsid w:val="00F17B77"/>
    <w:rsid w:val="00F2026A"/>
    <w:rsid w:val="00F202CE"/>
    <w:rsid w:val="00F20654"/>
    <w:rsid w:val="00F206CC"/>
    <w:rsid w:val="00F207D1"/>
    <w:rsid w:val="00F20B1A"/>
    <w:rsid w:val="00F212A6"/>
    <w:rsid w:val="00F2248C"/>
    <w:rsid w:val="00F2272C"/>
    <w:rsid w:val="00F2273F"/>
    <w:rsid w:val="00F228FA"/>
    <w:rsid w:val="00F22948"/>
    <w:rsid w:val="00F22BE4"/>
    <w:rsid w:val="00F230E9"/>
    <w:rsid w:val="00F2315A"/>
    <w:rsid w:val="00F234B5"/>
    <w:rsid w:val="00F2363F"/>
    <w:rsid w:val="00F23CE9"/>
    <w:rsid w:val="00F23E06"/>
    <w:rsid w:val="00F243C6"/>
    <w:rsid w:val="00F247E9"/>
    <w:rsid w:val="00F25493"/>
    <w:rsid w:val="00F258AC"/>
    <w:rsid w:val="00F2598E"/>
    <w:rsid w:val="00F259B9"/>
    <w:rsid w:val="00F26053"/>
    <w:rsid w:val="00F26094"/>
    <w:rsid w:val="00F2618B"/>
    <w:rsid w:val="00F26223"/>
    <w:rsid w:val="00F26318"/>
    <w:rsid w:val="00F26507"/>
    <w:rsid w:val="00F2721A"/>
    <w:rsid w:val="00F27282"/>
    <w:rsid w:val="00F2740A"/>
    <w:rsid w:val="00F2746B"/>
    <w:rsid w:val="00F27F4C"/>
    <w:rsid w:val="00F27FF2"/>
    <w:rsid w:val="00F302C2"/>
    <w:rsid w:val="00F30643"/>
    <w:rsid w:val="00F30A63"/>
    <w:rsid w:val="00F30AA5"/>
    <w:rsid w:val="00F30C75"/>
    <w:rsid w:val="00F30FD8"/>
    <w:rsid w:val="00F312C8"/>
    <w:rsid w:val="00F314CD"/>
    <w:rsid w:val="00F31A0A"/>
    <w:rsid w:val="00F32069"/>
    <w:rsid w:val="00F32330"/>
    <w:rsid w:val="00F32347"/>
    <w:rsid w:val="00F326A1"/>
    <w:rsid w:val="00F32836"/>
    <w:rsid w:val="00F32AB8"/>
    <w:rsid w:val="00F32ACD"/>
    <w:rsid w:val="00F32C73"/>
    <w:rsid w:val="00F3305C"/>
    <w:rsid w:val="00F331B8"/>
    <w:rsid w:val="00F33723"/>
    <w:rsid w:val="00F33CF1"/>
    <w:rsid w:val="00F34129"/>
    <w:rsid w:val="00F3448C"/>
    <w:rsid w:val="00F3475A"/>
    <w:rsid w:val="00F349FE"/>
    <w:rsid w:val="00F34C57"/>
    <w:rsid w:val="00F34E76"/>
    <w:rsid w:val="00F35057"/>
    <w:rsid w:val="00F3506B"/>
    <w:rsid w:val="00F35259"/>
    <w:rsid w:val="00F352BD"/>
    <w:rsid w:val="00F3547B"/>
    <w:rsid w:val="00F355CB"/>
    <w:rsid w:val="00F356D7"/>
    <w:rsid w:val="00F357B3"/>
    <w:rsid w:val="00F3640B"/>
    <w:rsid w:val="00F36419"/>
    <w:rsid w:val="00F367C1"/>
    <w:rsid w:val="00F36951"/>
    <w:rsid w:val="00F37102"/>
    <w:rsid w:val="00F37BA4"/>
    <w:rsid w:val="00F37E60"/>
    <w:rsid w:val="00F401B0"/>
    <w:rsid w:val="00F40383"/>
    <w:rsid w:val="00F40792"/>
    <w:rsid w:val="00F407D5"/>
    <w:rsid w:val="00F40C2E"/>
    <w:rsid w:val="00F413F2"/>
    <w:rsid w:val="00F41794"/>
    <w:rsid w:val="00F419C3"/>
    <w:rsid w:val="00F41E5F"/>
    <w:rsid w:val="00F4220B"/>
    <w:rsid w:val="00F42485"/>
    <w:rsid w:val="00F425CA"/>
    <w:rsid w:val="00F4277C"/>
    <w:rsid w:val="00F42AE4"/>
    <w:rsid w:val="00F42BB4"/>
    <w:rsid w:val="00F42D4A"/>
    <w:rsid w:val="00F432C9"/>
    <w:rsid w:val="00F43334"/>
    <w:rsid w:val="00F4336A"/>
    <w:rsid w:val="00F433C1"/>
    <w:rsid w:val="00F434A6"/>
    <w:rsid w:val="00F439CE"/>
    <w:rsid w:val="00F43C10"/>
    <w:rsid w:val="00F43EDF"/>
    <w:rsid w:val="00F44026"/>
    <w:rsid w:val="00F442FC"/>
    <w:rsid w:val="00F44725"/>
    <w:rsid w:val="00F4480B"/>
    <w:rsid w:val="00F448E1"/>
    <w:rsid w:val="00F449F1"/>
    <w:rsid w:val="00F44CBC"/>
    <w:rsid w:val="00F44EEE"/>
    <w:rsid w:val="00F45042"/>
    <w:rsid w:val="00F45182"/>
    <w:rsid w:val="00F45532"/>
    <w:rsid w:val="00F456A6"/>
    <w:rsid w:val="00F45AE0"/>
    <w:rsid w:val="00F45D3D"/>
    <w:rsid w:val="00F45DCA"/>
    <w:rsid w:val="00F4659F"/>
    <w:rsid w:val="00F46733"/>
    <w:rsid w:val="00F467D8"/>
    <w:rsid w:val="00F469C8"/>
    <w:rsid w:val="00F46A0A"/>
    <w:rsid w:val="00F47096"/>
    <w:rsid w:val="00F470CB"/>
    <w:rsid w:val="00F472D2"/>
    <w:rsid w:val="00F47DF1"/>
    <w:rsid w:val="00F5013C"/>
    <w:rsid w:val="00F50404"/>
    <w:rsid w:val="00F50589"/>
    <w:rsid w:val="00F50624"/>
    <w:rsid w:val="00F5070A"/>
    <w:rsid w:val="00F50BB1"/>
    <w:rsid w:val="00F50C62"/>
    <w:rsid w:val="00F50CE1"/>
    <w:rsid w:val="00F51000"/>
    <w:rsid w:val="00F5136C"/>
    <w:rsid w:val="00F518BD"/>
    <w:rsid w:val="00F5222D"/>
    <w:rsid w:val="00F5227F"/>
    <w:rsid w:val="00F52313"/>
    <w:rsid w:val="00F5281F"/>
    <w:rsid w:val="00F52BA8"/>
    <w:rsid w:val="00F52D15"/>
    <w:rsid w:val="00F530AB"/>
    <w:rsid w:val="00F533B4"/>
    <w:rsid w:val="00F537B0"/>
    <w:rsid w:val="00F53873"/>
    <w:rsid w:val="00F53DAE"/>
    <w:rsid w:val="00F53FE4"/>
    <w:rsid w:val="00F54078"/>
    <w:rsid w:val="00F54164"/>
    <w:rsid w:val="00F541B7"/>
    <w:rsid w:val="00F543C2"/>
    <w:rsid w:val="00F54410"/>
    <w:rsid w:val="00F5490D"/>
    <w:rsid w:val="00F54C04"/>
    <w:rsid w:val="00F54CC3"/>
    <w:rsid w:val="00F54CEA"/>
    <w:rsid w:val="00F54F82"/>
    <w:rsid w:val="00F55096"/>
    <w:rsid w:val="00F552EC"/>
    <w:rsid w:val="00F554F5"/>
    <w:rsid w:val="00F55E97"/>
    <w:rsid w:val="00F56426"/>
    <w:rsid w:val="00F5644C"/>
    <w:rsid w:val="00F56780"/>
    <w:rsid w:val="00F56812"/>
    <w:rsid w:val="00F56A71"/>
    <w:rsid w:val="00F56BAE"/>
    <w:rsid w:val="00F56C3E"/>
    <w:rsid w:val="00F571B8"/>
    <w:rsid w:val="00F5762B"/>
    <w:rsid w:val="00F57929"/>
    <w:rsid w:val="00F57F0B"/>
    <w:rsid w:val="00F60169"/>
    <w:rsid w:val="00F607FA"/>
    <w:rsid w:val="00F60807"/>
    <w:rsid w:val="00F60989"/>
    <w:rsid w:val="00F60B1C"/>
    <w:rsid w:val="00F60CDA"/>
    <w:rsid w:val="00F60E8A"/>
    <w:rsid w:val="00F60EC1"/>
    <w:rsid w:val="00F60FC8"/>
    <w:rsid w:val="00F610CB"/>
    <w:rsid w:val="00F619B0"/>
    <w:rsid w:val="00F62052"/>
    <w:rsid w:val="00F62102"/>
    <w:rsid w:val="00F622E8"/>
    <w:rsid w:val="00F625EE"/>
    <w:rsid w:val="00F627C7"/>
    <w:rsid w:val="00F62985"/>
    <w:rsid w:val="00F629E8"/>
    <w:rsid w:val="00F62A1D"/>
    <w:rsid w:val="00F62C86"/>
    <w:rsid w:val="00F62F66"/>
    <w:rsid w:val="00F630A3"/>
    <w:rsid w:val="00F634BE"/>
    <w:rsid w:val="00F6362E"/>
    <w:rsid w:val="00F6396F"/>
    <w:rsid w:val="00F639C1"/>
    <w:rsid w:val="00F63BCF"/>
    <w:rsid w:val="00F63D9D"/>
    <w:rsid w:val="00F63F9A"/>
    <w:rsid w:val="00F6424B"/>
    <w:rsid w:val="00F651C4"/>
    <w:rsid w:val="00F651E3"/>
    <w:rsid w:val="00F655CE"/>
    <w:rsid w:val="00F65A0E"/>
    <w:rsid w:val="00F66047"/>
    <w:rsid w:val="00F66161"/>
    <w:rsid w:val="00F66233"/>
    <w:rsid w:val="00F6636C"/>
    <w:rsid w:val="00F663A7"/>
    <w:rsid w:val="00F6670E"/>
    <w:rsid w:val="00F66D2E"/>
    <w:rsid w:val="00F670E4"/>
    <w:rsid w:val="00F672AF"/>
    <w:rsid w:val="00F677DB"/>
    <w:rsid w:val="00F67BDE"/>
    <w:rsid w:val="00F67D6E"/>
    <w:rsid w:val="00F67DBC"/>
    <w:rsid w:val="00F67EFE"/>
    <w:rsid w:val="00F70152"/>
    <w:rsid w:val="00F7015C"/>
    <w:rsid w:val="00F70204"/>
    <w:rsid w:val="00F702F6"/>
    <w:rsid w:val="00F703FA"/>
    <w:rsid w:val="00F70650"/>
    <w:rsid w:val="00F706F5"/>
    <w:rsid w:val="00F70B11"/>
    <w:rsid w:val="00F70D4A"/>
    <w:rsid w:val="00F70F1B"/>
    <w:rsid w:val="00F71365"/>
    <w:rsid w:val="00F713CA"/>
    <w:rsid w:val="00F714CC"/>
    <w:rsid w:val="00F719E3"/>
    <w:rsid w:val="00F71E3E"/>
    <w:rsid w:val="00F71EC0"/>
    <w:rsid w:val="00F720C2"/>
    <w:rsid w:val="00F726A3"/>
    <w:rsid w:val="00F72821"/>
    <w:rsid w:val="00F72A15"/>
    <w:rsid w:val="00F72C07"/>
    <w:rsid w:val="00F72D93"/>
    <w:rsid w:val="00F72E31"/>
    <w:rsid w:val="00F72E90"/>
    <w:rsid w:val="00F72F12"/>
    <w:rsid w:val="00F72FB4"/>
    <w:rsid w:val="00F735C6"/>
    <w:rsid w:val="00F73672"/>
    <w:rsid w:val="00F73828"/>
    <w:rsid w:val="00F738B7"/>
    <w:rsid w:val="00F73A85"/>
    <w:rsid w:val="00F73DF0"/>
    <w:rsid w:val="00F742F9"/>
    <w:rsid w:val="00F74735"/>
    <w:rsid w:val="00F7497A"/>
    <w:rsid w:val="00F749CA"/>
    <w:rsid w:val="00F74B84"/>
    <w:rsid w:val="00F74E19"/>
    <w:rsid w:val="00F74E6B"/>
    <w:rsid w:val="00F75062"/>
    <w:rsid w:val="00F75113"/>
    <w:rsid w:val="00F7526D"/>
    <w:rsid w:val="00F753FB"/>
    <w:rsid w:val="00F75624"/>
    <w:rsid w:val="00F7569B"/>
    <w:rsid w:val="00F759E3"/>
    <w:rsid w:val="00F759F2"/>
    <w:rsid w:val="00F75ABE"/>
    <w:rsid w:val="00F75F61"/>
    <w:rsid w:val="00F7610B"/>
    <w:rsid w:val="00F763DF"/>
    <w:rsid w:val="00F76783"/>
    <w:rsid w:val="00F76BAF"/>
    <w:rsid w:val="00F76C9B"/>
    <w:rsid w:val="00F76CCF"/>
    <w:rsid w:val="00F76F8F"/>
    <w:rsid w:val="00F770F3"/>
    <w:rsid w:val="00F775D8"/>
    <w:rsid w:val="00F775FF"/>
    <w:rsid w:val="00F7763E"/>
    <w:rsid w:val="00F77795"/>
    <w:rsid w:val="00F77965"/>
    <w:rsid w:val="00F77BD6"/>
    <w:rsid w:val="00F77DB0"/>
    <w:rsid w:val="00F77E7B"/>
    <w:rsid w:val="00F77F81"/>
    <w:rsid w:val="00F77FBD"/>
    <w:rsid w:val="00F803E9"/>
    <w:rsid w:val="00F80486"/>
    <w:rsid w:val="00F804BB"/>
    <w:rsid w:val="00F804F9"/>
    <w:rsid w:val="00F80701"/>
    <w:rsid w:val="00F80ABC"/>
    <w:rsid w:val="00F80EB0"/>
    <w:rsid w:val="00F810B2"/>
    <w:rsid w:val="00F817BC"/>
    <w:rsid w:val="00F818AC"/>
    <w:rsid w:val="00F82041"/>
    <w:rsid w:val="00F821C0"/>
    <w:rsid w:val="00F82599"/>
    <w:rsid w:val="00F82688"/>
    <w:rsid w:val="00F829BC"/>
    <w:rsid w:val="00F82DCC"/>
    <w:rsid w:val="00F8321D"/>
    <w:rsid w:val="00F83496"/>
    <w:rsid w:val="00F8351D"/>
    <w:rsid w:val="00F838D9"/>
    <w:rsid w:val="00F83CBD"/>
    <w:rsid w:val="00F83FBF"/>
    <w:rsid w:val="00F84185"/>
    <w:rsid w:val="00F842BD"/>
    <w:rsid w:val="00F84432"/>
    <w:rsid w:val="00F84754"/>
    <w:rsid w:val="00F84758"/>
    <w:rsid w:val="00F84AD3"/>
    <w:rsid w:val="00F84E0A"/>
    <w:rsid w:val="00F84EF6"/>
    <w:rsid w:val="00F851C8"/>
    <w:rsid w:val="00F85561"/>
    <w:rsid w:val="00F8557C"/>
    <w:rsid w:val="00F858AC"/>
    <w:rsid w:val="00F862BB"/>
    <w:rsid w:val="00F862FF"/>
    <w:rsid w:val="00F86591"/>
    <w:rsid w:val="00F86733"/>
    <w:rsid w:val="00F86807"/>
    <w:rsid w:val="00F86BEE"/>
    <w:rsid w:val="00F86DC1"/>
    <w:rsid w:val="00F87AEE"/>
    <w:rsid w:val="00F907B5"/>
    <w:rsid w:val="00F90DF1"/>
    <w:rsid w:val="00F90E60"/>
    <w:rsid w:val="00F90FAA"/>
    <w:rsid w:val="00F912F2"/>
    <w:rsid w:val="00F914CA"/>
    <w:rsid w:val="00F9155C"/>
    <w:rsid w:val="00F915E8"/>
    <w:rsid w:val="00F91E74"/>
    <w:rsid w:val="00F9206E"/>
    <w:rsid w:val="00F92327"/>
    <w:rsid w:val="00F92499"/>
    <w:rsid w:val="00F924C8"/>
    <w:rsid w:val="00F928A1"/>
    <w:rsid w:val="00F92E57"/>
    <w:rsid w:val="00F92F11"/>
    <w:rsid w:val="00F9316E"/>
    <w:rsid w:val="00F93349"/>
    <w:rsid w:val="00F93CAA"/>
    <w:rsid w:val="00F94221"/>
    <w:rsid w:val="00F94340"/>
    <w:rsid w:val="00F94395"/>
    <w:rsid w:val="00F943B4"/>
    <w:rsid w:val="00F94485"/>
    <w:rsid w:val="00F94493"/>
    <w:rsid w:val="00F94539"/>
    <w:rsid w:val="00F94BFE"/>
    <w:rsid w:val="00F94FBA"/>
    <w:rsid w:val="00F951E0"/>
    <w:rsid w:val="00F9556C"/>
    <w:rsid w:val="00F95873"/>
    <w:rsid w:val="00F9598A"/>
    <w:rsid w:val="00F95A58"/>
    <w:rsid w:val="00F962CF"/>
    <w:rsid w:val="00F9684E"/>
    <w:rsid w:val="00F970DE"/>
    <w:rsid w:val="00F970EC"/>
    <w:rsid w:val="00F97125"/>
    <w:rsid w:val="00F971AF"/>
    <w:rsid w:val="00F97615"/>
    <w:rsid w:val="00F97641"/>
    <w:rsid w:val="00F9799E"/>
    <w:rsid w:val="00F97B11"/>
    <w:rsid w:val="00FA0085"/>
    <w:rsid w:val="00FA00AD"/>
    <w:rsid w:val="00FA02F7"/>
    <w:rsid w:val="00FA066B"/>
    <w:rsid w:val="00FA0864"/>
    <w:rsid w:val="00FA0BA5"/>
    <w:rsid w:val="00FA0FA8"/>
    <w:rsid w:val="00FA1125"/>
    <w:rsid w:val="00FA16DE"/>
    <w:rsid w:val="00FA16F2"/>
    <w:rsid w:val="00FA1937"/>
    <w:rsid w:val="00FA1A90"/>
    <w:rsid w:val="00FA24BC"/>
    <w:rsid w:val="00FA2A41"/>
    <w:rsid w:val="00FA2A58"/>
    <w:rsid w:val="00FA2B42"/>
    <w:rsid w:val="00FA2C3F"/>
    <w:rsid w:val="00FA2E59"/>
    <w:rsid w:val="00FA321C"/>
    <w:rsid w:val="00FA362F"/>
    <w:rsid w:val="00FA3648"/>
    <w:rsid w:val="00FA3711"/>
    <w:rsid w:val="00FA407B"/>
    <w:rsid w:val="00FA41F9"/>
    <w:rsid w:val="00FA4541"/>
    <w:rsid w:val="00FA467A"/>
    <w:rsid w:val="00FA4713"/>
    <w:rsid w:val="00FA4E89"/>
    <w:rsid w:val="00FA5017"/>
    <w:rsid w:val="00FA527B"/>
    <w:rsid w:val="00FA571A"/>
    <w:rsid w:val="00FA5F3D"/>
    <w:rsid w:val="00FA6729"/>
    <w:rsid w:val="00FA682A"/>
    <w:rsid w:val="00FA6851"/>
    <w:rsid w:val="00FA6A25"/>
    <w:rsid w:val="00FA6A3D"/>
    <w:rsid w:val="00FA6F54"/>
    <w:rsid w:val="00FA71A4"/>
    <w:rsid w:val="00FA75A3"/>
    <w:rsid w:val="00FA75B7"/>
    <w:rsid w:val="00FA7A81"/>
    <w:rsid w:val="00FA7AFF"/>
    <w:rsid w:val="00FA7ED0"/>
    <w:rsid w:val="00FB00E8"/>
    <w:rsid w:val="00FB0366"/>
    <w:rsid w:val="00FB0D56"/>
    <w:rsid w:val="00FB0F2A"/>
    <w:rsid w:val="00FB151C"/>
    <w:rsid w:val="00FB16A5"/>
    <w:rsid w:val="00FB17A5"/>
    <w:rsid w:val="00FB17EE"/>
    <w:rsid w:val="00FB1862"/>
    <w:rsid w:val="00FB2012"/>
    <w:rsid w:val="00FB20A2"/>
    <w:rsid w:val="00FB2672"/>
    <w:rsid w:val="00FB273A"/>
    <w:rsid w:val="00FB2EBE"/>
    <w:rsid w:val="00FB31A0"/>
    <w:rsid w:val="00FB3310"/>
    <w:rsid w:val="00FB35F4"/>
    <w:rsid w:val="00FB3672"/>
    <w:rsid w:val="00FB368E"/>
    <w:rsid w:val="00FB3895"/>
    <w:rsid w:val="00FB39B6"/>
    <w:rsid w:val="00FB3AD2"/>
    <w:rsid w:val="00FB3DA3"/>
    <w:rsid w:val="00FB405A"/>
    <w:rsid w:val="00FB43A2"/>
    <w:rsid w:val="00FB4435"/>
    <w:rsid w:val="00FB4700"/>
    <w:rsid w:val="00FB473B"/>
    <w:rsid w:val="00FB4881"/>
    <w:rsid w:val="00FB4922"/>
    <w:rsid w:val="00FB4C75"/>
    <w:rsid w:val="00FB4D63"/>
    <w:rsid w:val="00FB4FED"/>
    <w:rsid w:val="00FB504B"/>
    <w:rsid w:val="00FB529F"/>
    <w:rsid w:val="00FB52F2"/>
    <w:rsid w:val="00FB59C7"/>
    <w:rsid w:val="00FB5E61"/>
    <w:rsid w:val="00FB608D"/>
    <w:rsid w:val="00FB6BC1"/>
    <w:rsid w:val="00FB6BC7"/>
    <w:rsid w:val="00FB6CC0"/>
    <w:rsid w:val="00FB6CF2"/>
    <w:rsid w:val="00FB6D20"/>
    <w:rsid w:val="00FC029D"/>
    <w:rsid w:val="00FC04C0"/>
    <w:rsid w:val="00FC04F1"/>
    <w:rsid w:val="00FC08BC"/>
    <w:rsid w:val="00FC0E38"/>
    <w:rsid w:val="00FC0EBF"/>
    <w:rsid w:val="00FC0F51"/>
    <w:rsid w:val="00FC0FF1"/>
    <w:rsid w:val="00FC0FF9"/>
    <w:rsid w:val="00FC1180"/>
    <w:rsid w:val="00FC1251"/>
    <w:rsid w:val="00FC1383"/>
    <w:rsid w:val="00FC145C"/>
    <w:rsid w:val="00FC152F"/>
    <w:rsid w:val="00FC1563"/>
    <w:rsid w:val="00FC16C6"/>
    <w:rsid w:val="00FC1D9A"/>
    <w:rsid w:val="00FC2073"/>
    <w:rsid w:val="00FC2734"/>
    <w:rsid w:val="00FC293A"/>
    <w:rsid w:val="00FC2EE1"/>
    <w:rsid w:val="00FC3124"/>
    <w:rsid w:val="00FC3217"/>
    <w:rsid w:val="00FC340B"/>
    <w:rsid w:val="00FC34CC"/>
    <w:rsid w:val="00FC3742"/>
    <w:rsid w:val="00FC3B7A"/>
    <w:rsid w:val="00FC409C"/>
    <w:rsid w:val="00FC4355"/>
    <w:rsid w:val="00FC450F"/>
    <w:rsid w:val="00FC495C"/>
    <w:rsid w:val="00FC49B7"/>
    <w:rsid w:val="00FC4C2B"/>
    <w:rsid w:val="00FC4EBB"/>
    <w:rsid w:val="00FC5005"/>
    <w:rsid w:val="00FC550D"/>
    <w:rsid w:val="00FC5891"/>
    <w:rsid w:val="00FC5BD9"/>
    <w:rsid w:val="00FC5CD1"/>
    <w:rsid w:val="00FC5E56"/>
    <w:rsid w:val="00FC610A"/>
    <w:rsid w:val="00FC6446"/>
    <w:rsid w:val="00FC6803"/>
    <w:rsid w:val="00FC6A21"/>
    <w:rsid w:val="00FC6B1C"/>
    <w:rsid w:val="00FC6C29"/>
    <w:rsid w:val="00FC6D9E"/>
    <w:rsid w:val="00FC6DFD"/>
    <w:rsid w:val="00FC71A3"/>
    <w:rsid w:val="00FC780F"/>
    <w:rsid w:val="00FC797F"/>
    <w:rsid w:val="00FC7BB6"/>
    <w:rsid w:val="00FD0145"/>
    <w:rsid w:val="00FD045A"/>
    <w:rsid w:val="00FD06A4"/>
    <w:rsid w:val="00FD0742"/>
    <w:rsid w:val="00FD076A"/>
    <w:rsid w:val="00FD07ED"/>
    <w:rsid w:val="00FD0958"/>
    <w:rsid w:val="00FD0962"/>
    <w:rsid w:val="00FD0DDD"/>
    <w:rsid w:val="00FD1042"/>
    <w:rsid w:val="00FD10B6"/>
    <w:rsid w:val="00FD1206"/>
    <w:rsid w:val="00FD1601"/>
    <w:rsid w:val="00FD18F7"/>
    <w:rsid w:val="00FD1D01"/>
    <w:rsid w:val="00FD1F06"/>
    <w:rsid w:val="00FD23B4"/>
    <w:rsid w:val="00FD2506"/>
    <w:rsid w:val="00FD2E5B"/>
    <w:rsid w:val="00FD3172"/>
    <w:rsid w:val="00FD3264"/>
    <w:rsid w:val="00FD3671"/>
    <w:rsid w:val="00FD3B01"/>
    <w:rsid w:val="00FD3C7A"/>
    <w:rsid w:val="00FD3CF8"/>
    <w:rsid w:val="00FD3F0F"/>
    <w:rsid w:val="00FD45A5"/>
    <w:rsid w:val="00FD4901"/>
    <w:rsid w:val="00FD492E"/>
    <w:rsid w:val="00FD4C0D"/>
    <w:rsid w:val="00FD4C23"/>
    <w:rsid w:val="00FD4D36"/>
    <w:rsid w:val="00FD4F5E"/>
    <w:rsid w:val="00FD5097"/>
    <w:rsid w:val="00FD51B5"/>
    <w:rsid w:val="00FD58B8"/>
    <w:rsid w:val="00FD5B68"/>
    <w:rsid w:val="00FD6045"/>
    <w:rsid w:val="00FD6222"/>
    <w:rsid w:val="00FD6505"/>
    <w:rsid w:val="00FD6A4E"/>
    <w:rsid w:val="00FD6F3C"/>
    <w:rsid w:val="00FD705E"/>
    <w:rsid w:val="00FD71E9"/>
    <w:rsid w:val="00FD73B9"/>
    <w:rsid w:val="00FD7642"/>
    <w:rsid w:val="00FD776D"/>
    <w:rsid w:val="00FD77EB"/>
    <w:rsid w:val="00FD7932"/>
    <w:rsid w:val="00FD7958"/>
    <w:rsid w:val="00FD79CC"/>
    <w:rsid w:val="00FE02AA"/>
    <w:rsid w:val="00FE03C2"/>
    <w:rsid w:val="00FE05CB"/>
    <w:rsid w:val="00FE0853"/>
    <w:rsid w:val="00FE1235"/>
    <w:rsid w:val="00FE155A"/>
    <w:rsid w:val="00FE1780"/>
    <w:rsid w:val="00FE1A7C"/>
    <w:rsid w:val="00FE1B9D"/>
    <w:rsid w:val="00FE1BA5"/>
    <w:rsid w:val="00FE1E6B"/>
    <w:rsid w:val="00FE221F"/>
    <w:rsid w:val="00FE287B"/>
    <w:rsid w:val="00FE28EE"/>
    <w:rsid w:val="00FE2D0B"/>
    <w:rsid w:val="00FE31BA"/>
    <w:rsid w:val="00FE322A"/>
    <w:rsid w:val="00FE33EC"/>
    <w:rsid w:val="00FE352D"/>
    <w:rsid w:val="00FE3AFB"/>
    <w:rsid w:val="00FE42CF"/>
    <w:rsid w:val="00FE4396"/>
    <w:rsid w:val="00FE4896"/>
    <w:rsid w:val="00FE4CBC"/>
    <w:rsid w:val="00FE4CEC"/>
    <w:rsid w:val="00FE4DD1"/>
    <w:rsid w:val="00FE558D"/>
    <w:rsid w:val="00FE55EA"/>
    <w:rsid w:val="00FE5F0C"/>
    <w:rsid w:val="00FE645D"/>
    <w:rsid w:val="00FE6A3B"/>
    <w:rsid w:val="00FE6E93"/>
    <w:rsid w:val="00FE70D9"/>
    <w:rsid w:val="00FE7649"/>
    <w:rsid w:val="00FE76A5"/>
    <w:rsid w:val="00FE7726"/>
    <w:rsid w:val="00FE7788"/>
    <w:rsid w:val="00FE79B6"/>
    <w:rsid w:val="00FE7B20"/>
    <w:rsid w:val="00FE7E76"/>
    <w:rsid w:val="00FE7F79"/>
    <w:rsid w:val="00FF03AB"/>
    <w:rsid w:val="00FF0562"/>
    <w:rsid w:val="00FF059A"/>
    <w:rsid w:val="00FF097D"/>
    <w:rsid w:val="00FF0A02"/>
    <w:rsid w:val="00FF0ADB"/>
    <w:rsid w:val="00FF0BBC"/>
    <w:rsid w:val="00FF0BBF"/>
    <w:rsid w:val="00FF0C12"/>
    <w:rsid w:val="00FF0DE2"/>
    <w:rsid w:val="00FF0DE4"/>
    <w:rsid w:val="00FF1035"/>
    <w:rsid w:val="00FF11EE"/>
    <w:rsid w:val="00FF1204"/>
    <w:rsid w:val="00FF17B1"/>
    <w:rsid w:val="00FF1A83"/>
    <w:rsid w:val="00FF1C38"/>
    <w:rsid w:val="00FF1FD9"/>
    <w:rsid w:val="00FF20A3"/>
    <w:rsid w:val="00FF2259"/>
    <w:rsid w:val="00FF2BF8"/>
    <w:rsid w:val="00FF2D00"/>
    <w:rsid w:val="00FF2DB9"/>
    <w:rsid w:val="00FF2F20"/>
    <w:rsid w:val="00FF2F44"/>
    <w:rsid w:val="00FF304C"/>
    <w:rsid w:val="00FF30CD"/>
    <w:rsid w:val="00FF31FC"/>
    <w:rsid w:val="00FF3252"/>
    <w:rsid w:val="00FF33DA"/>
    <w:rsid w:val="00FF34A8"/>
    <w:rsid w:val="00FF3B2F"/>
    <w:rsid w:val="00FF3BBC"/>
    <w:rsid w:val="00FF3EA9"/>
    <w:rsid w:val="00FF4123"/>
    <w:rsid w:val="00FF438C"/>
    <w:rsid w:val="00FF4599"/>
    <w:rsid w:val="00FF4709"/>
    <w:rsid w:val="00FF4756"/>
    <w:rsid w:val="00FF47D8"/>
    <w:rsid w:val="00FF487C"/>
    <w:rsid w:val="00FF4BEC"/>
    <w:rsid w:val="00FF4C6A"/>
    <w:rsid w:val="00FF4CE0"/>
    <w:rsid w:val="00FF4F99"/>
    <w:rsid w:val="00FF5136"/>
    <w:rsid w:val="00FF53D2"/>
    <w:rsid w:val="00FF542E"/>
    <w:rsid w:val="00FF5622"/>
    <w:rsid w:val="00FF5B18"/>
    <w:rsid w:val="00FF5CC3"/>
    <w:rsid w:val="00FF6029"/>
    <w:rsid w:val="00FF637C"/>
    <w:rsid w:val="00FF66CC"/>
    <w:rsid w:val="00FF6A42"/>
    <w:rsid w:val="00FF6AA6"/>
    <w:rsid w:val="00FF6EF9"/>
    <w:rsid w:val="00FF7893"/>
    <w:rsid w:val="00FF7925"/>
    <w:rsid w:val="00FF7A69"/>
    <w:rsid w:val="00FF7D34"/>
    <w:rsid w:val="0101B925"/>
    <w:rsid w:val="042EAE9C"/>
    <w:rsid w:val="043DA164"/>
    <w:rsid w:val="0447F760"/>
    <w:rsid w:val="083418F4"/>
    <w:rsid w:val="0AECE7A1"/>
    <w:rsid w:val="0B6549DC"/>
    <w:rsid w:val="10970064"/>
    <w:rsid w:val="1333584D"/>
    <w:rsid w:val="163AB8B2"/>
    <w:rsid w:val="176FB57D"/>
    <w:rsid w:val="1B3F4A74"/>
    <w:rsid w:val="1B869ED4"/>
    <w:rsid w:val="1BD88CB1"/>
    <w:rsid w:val="1BE39363"/>
    <w:rsid w:val="1CC825AF"/>
    <w:rsid w:val="1EA63FAE"/>
    <w:rsid w:val="203BDF62"/>
    <w:rsid w:val="207D897D"/>
    <w:rsid w:val="2093804C"/>
    <w:rsid w:val="2248451C"/>
    <w:rsid w:val="2291142B"/>
    <w:rsid w:val="25153DD4"/>
    <w:rsid w:val="255E6995"/>
    <w:rsid w:val="27083F14"/>
    <w:rsid w:val="28E2CF99"/>
    <w:rsid w:val="291FB045"/>
    <w:rsid w:val="29ACA0CB"/>
    <w:rsid w:val="29F45AC7"/>
    <w:rsid w:val="2A87451C"/>
    <w:rsid w:val="2C502078"/>
    <w:rsid w:val="2D47A11B"/>
    <w:rsid w:val="2DD06CBC"/>
    <w:rsid w:val="2EF4C331"/>
    <w:rsid w:val="2F5FA022"/>
    <w:rsid w:val="31AFBD4C"/>
    <w:rsid w:val="33AD6429"/>
    <w:rsid w:val="34B096E2"/>
    <w:rsid w:val="35D8DB1E"/>
    <w:rsid w:val="3887197A"/>
    <w:rsid w:val="39AA9079"/>
    <w:rsid w:val="3AA2B3C6"/>
    <w:rsid w:val="3E91BEA7"/>
    <w:rsid w:val="40B3576B"/>
    <w:rsid w:val="437F55DB"/>
    <w:rsid w:val="43B3EA7C"/>
    <w:rsid w:val="47EA88FE"/>
    <w:rsid w:val="48F15973"/>
    <w:rsid w:val="4EFB9DEF"/>
    <w:rsid w:val="51CD5D50"/>
    <w:rsid w:val="527482AF"/>
    <w:rsid w:val="5997181A"/>
    <w:rsid w:val="59C21105"/>
    <w:rsid w:val="5B83E8AE"/>
    <w:rsid w:val="5D7D3F97"/>
    <w:rsid w:val="5DB78580"/>
    <w:rsid w:val="5E7D8D04"/>
    <w:rsid w:val="60A05D1C"/>
    <w:rsid w:val="613A0C12"/>
    <w:rsid w:val="61864E6F"/>
    <w:rsid w:val="63D3D5EE"/>
    <w:rsid w:val="63D845F8"/>
    <w:rsid w:val="65EA3F86"/>
    <w:rsid w:val="69FB4936"/>
    <w:rsid w:val="6AF02DC7"/>
    <w:rsid w:val="6D01B43F"/>
    <w:rsid w:val="6D2D415F"/>
    <w:rsid w:val="6F5672FD"/>
    <w:rsid w:val="6FC6717B"/>
    <w:rsid w:val="70B9B321"/>
    <w:rsid w:val="73C091AA"/>
    <w:rsid w:val="76143487"/>
    <w:rsid w:val="76CC6FDA"/>
    <w:rsid w:val="7710508F"/>
    <w:rsid w:val="7A6705D2"/>
    <w:rsid w:val="7BAB9722"/>
    <w:rsid w:val="7C686E7C"/>
    <w:rsid w:val="7F7E3D1C"/>
    <w:rsid w:val="7FC4EF3C"/>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4F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36C30"/>
    <w:pPr>
      <w:spacing w:after="120"/>
      <w:jc w:val="both"/>
    </w:pPr>
    <w:rPr>
      <w:sz w:val="26"/>
    </w:rPr>
  </w:style>
  <w:style w:type="paragraph" w:styleId="Cmsor1">
    <w:name w:val="heading 1"/>
    <w:basedOn w:val="Norml"/>
    <w:next w:val="Norml"/>
    <w:qFormat/>
    <w:pPr>
      <w:keepNext/>
      <w:spacing w:before="240" w:after="60"/>
      <w:outlineLvl w:val="0"/>
    </w:pPr>
    <w:rPr>
      <w:b/>
      <w:kern w:val="28"/>
      <w:sz w:val="30"/>
    </w:rPr>
  </w:style>
  <w:style w:type="paragraph" w:styleId="Cmsor2">
    <w:name w:val="heading 2"/>
    <w:basedOn w:val="Norml"/>
    <w:next w:val="Norml"/>
    <w:link w:val="Cmsor2Char"/>
    <w:qFormat/>
    <w:rsid w:val="000961B9"/>
    <w:pPr>
      <w:keepNext/>
      <w:spacing w:before="240" w:after="60"/>
      <w:jc w:val="center"/>
      <w:outlineLvl w:val="1"/>
    </w:pPr>
    <w:rPr>
      <w:b/>
      <w:iCs/>
      <w:caps/>
    </w:rPr>
  </w:style>
  <w:style w:type="paragraph" w:styleId="Cmsor3">
    <w:name w:val="heading 3"/>
    <w:basedOn w:val="Norml"/>
    <w:next w:val="Norml"/>
    <w:qFormat/>
    <w:pPr>
      <w:keepNext/>
      <w:spacing w:before="240" w:after="60"/>
      <w:jc w:val="center"/>
      <w:outlineLvl w:val="2"/>
    </w:pPr>
    <w:rPr>
      <w:b/>
      <w:bCs/>
      <w:smallCaps/>
      <w:sz w:val="28"/>
    </w:rPr>
  </w:style>
  <w:style w:type="paragraph" w:styleId="Cmsor4">
    <w:name w:val="heading 4"/>
    <w:basedOn w:val="Norml"/>
    <w:next w:val="Norml"/>
    <w:link w:val="Cmsor4Char"/>
    <w:qFormat/>
    <w:pPr>
      <w:keepNext/>
      <w:ind w:left="425" w:hanging="425"/>
      <w:outlineLvl w:val="3"/>
    </w:pPr>
    <w:rPr>
      <w:b/>
    </w:rPr>
  </w:style>
  <w:style w:type="paragraph" w:styleId="Cmsor5">
    <w:name w:val="heading 5"/>
    <w:basedOn w:val="Norml"/>
    <w:next w:val="Norml"/>
    <w:qFormat/>
    <w:pPr>
      <w:keepNext/>
      <w:jc w:val="left"/>
      <w:outlineLvl w:val="4"/>
    </w:pPr>
    <w:rPr>
      <w:b/>
    </w:rPr>
  </w:style>
  <w:style w:type="paragraph" w:styleId="Cmsor6">
    <w:name w:val="heading 6"/>
    <w:basedOn w:val="Norml"/>
    <w:next w:val="Norml"/>
    <w:qFormat/>
    <w:pPr>
      <w:keepNext/>
      <w:ind w:left="567" w:right="-1" w:hanging="567"/>
      <w:outlineLvl w:val="5"/>
    </w:pPr>
    <w:rPr>
      <w:b/>
    </w:rPr>
  </w:style>
  <w:style w:type="paragraph" w:styleId="Cmsor7">
    <w:name w:val="heading 7"/>
    <w:basedOn w:val="Norml"/>
    <w:next w:val="Norml"/>
    <w:qFormat/>
    <w:pPr>
      <w:keepNext/>
      <w:ind w:left="567"/>
      <w:outlineLvl w:val="6"/>
    </w:pPr>
    <w:rPr>
      <w:b/>
    </w:rPr>
  </w:style>
  <w:style w:type="paragraph" w:styleId="Cmsor8">
    <w:name w:val="heading 8"/>
    <w:basedOn w:val="Norml"/>
    <w:next w:val="Norml"/>
    <w:qFormat/>
    <w:pPr>
      <w:keepNext/>
      <w:outlineLvl w:val="7"/>
    </w:pPr>
    <w:rPr>
      <w:b/>
      <w:color w:val="000000"/>
    </w:rPr>
  </w:style>
  <w:style w:type="paragraph" w:styleId="Cmsor9">
    <w:name w:val="heading 9"/>
    <w:basedOn w:val="Norml"/>
    <w:next w:val="Norml"/>
    <w:qFormat/>
    <w:pPr>
      <w:keepNext/>
      <w:tabs>
        <w:tab w:val="left" w:pos="4253"/>
      </w:tabs>
      <w:outlineLvl w:val="8"/>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im1">
    <w:name w:val="cim 1"/>
    <w:basedOn w:val="Cmsor1"/>
    <w:pPr>
      <w:outlineLvl w:val="9"/>
    </w:pPr>
  </w:style>
  <w:style w:type="paragraph" w:styleId="lfej">
    <w:name w:val="header"/>
    <w:basedOn w:val="Norml"/>
    <w:link w:val="lfejChar"/>
    <w:uiPriority w:val="99"/>
    <w:pPr>
      <w:tabs>
        <w:tab w:val="center" w:pos="4153"/>
        <w:tab w:val="right" w:pos="8306"/>
      </w:tabs>
    </w:pPr>
  </w:style>
  <w:style w:type="paragraph" w:styleId="llb">
    <w:name w:val="footer"/>
    <w:basedOn w:val="Norml"/>
    <w:link w:val="llbChar"/>
    <w:uiPriority w:val="99"/>
    <w:pPr>
      <w:tabs>
        <w:tab w:val="center" w:pos="4153"/>
        <w:tab w:val="right" w:pos="8306"/>
      </w:tabs>
    </w:pPr>
  </w:style>
  <w:style w:type="paragraph" w:styleId="Alrs">
    <w:name w:val="Signature"/>
    <w:basedOn w:val="Norml"/>
    <w:next w:val="Norml"/>
    <w:pPr>
      <w:ind w:left="3402"/>
      <w:jc w:val="center"/>
    </w:pPr>
    <w:rPr>
      <w:sz w:val="24"/>
    </w:rPr>
  </w:style>
  <w:style w:type="paragraph" w:customStyle="1" w:styleId="felsorols">
    <w:name w:val="felsorolás"/>
    <w:basedOn w:val="Norml"/>
    <w:pPr>
      <w:tabs>
        <w:tab w:val="left" w:pos="360"/>
      </w:tabs>
      <w:ind w:left="284" w:hanging="284"/>
    </w:pPr>
    <w:rPr>
      <w:sz w:val="16"/>
    </w:rPr>
  </w:style>
  <w:style w:type="character" w:styleId="Lbjegyzet-hivatkozs">
    <w:name w:val="footnote reference"/>
    <w:semiHidden/>
    <w:rPr>
      <w:vertAlign w:val="superscript"/>
    </w:rPr>
  </w:style>
  <w:style w:type="paragraph" w:styleId="Lbjegyzetszveg">
    <w:name w:val="footnote text"/>
    <w:basedOn w:val="Norml"/>
    <w:semiHidden/>
    <w:pPr>
      <w:widowControl w:val="0"/>
      <w:jc w:val="left"/>
    </w:pPr>
    <w:rPr>
      <w:sz w:val="20"/>
    </w:rPr>
  </w:style>
  <w:style w:type="paragraph" w:styleId="Szvegtrzs">
    <w:name w:val="Body Text"/>
    <w:basedOn w:val="Norml"/>
    <w:pPr>
      <w:widowControl w:val="0"/>
    </w:pPr>
    <w:rPr>
      <w:color w:val="FF0000"/>
    </w:rPr>
  </w:style>
  <w:style w:type="paragraph" w:styleId="Cm">
    <w:name w:val="Title"/>
    <w:basedOn w:val="Norml"/>
    <w:qFormat/>
    <w:pPr>
      <w:keepNext/>
      <w:widowControl w:val="0"/>
      <w:ind w:right="-1"/>
      <w:jc w:val="center"/>
    </w:pPr>
    <w:rPr>
      <w:b/>
      <w:caps/>
      <w:spacing w:val="60"/>
      <w:sz w:val="32"/>
    </w:rPr>
  </w:style>
  <w:style w:type="paragraph" w:customStyle="1" w:styleId="Szvegtrzs21">
    <w:name w:val="Szövegtörzs 21"/>
    <w:basedOn w:val="Norml"/>
    <w:pPr>
      <w:widowControl w:val="0"/>
      <w:ind w:left="570"/>
    </w:pPr>
  </w:style>
  <w:style w:type="character" w:styleId="Oldalszm">
    <w:name w:val="page number"/>
    <w:basedOn w:val="Bekezdsalapbettpusa"/>
  </w:style>
  <w:style w:type="paragraph" w:customStyle="1" w:styleId="BodyText211">
    <w:name w:val="Body Text 211"/>
    <w:basedOn w:val="Norml"/>
    <w:pPr>
      <w:ind w:left="567"/>
    </w:pPr>
  </w:style>
  <w:style w:type="paragraph" w:customStyle="1" w:styleId="Szvegblokk1">
    <w:name w:val="Szövegblokk1"/>
    <w:basedOn w:val="Norml"/>
    <w:pPr>
      <w:keepNext/>
      <w:ind w:left="360" w:right="-1"/>
    </w:pPr>
  </w:style>
  <w:style w:type="paragraph" w:customStyle="1" w:styleId="BodyText210">
    <w:name w:val="Body Text 210"/>
    <w:basedOn w:val="Norml"/>
    <w:pPr>
      <w:ind w:left="426"/>
    </w:pPr>
  </w:style>
  <w:style w:type="paragraph" w:customStyle="1" w:styleId="Szvegtrzsbehzssal21">
    <w:name w:val="Szövegtörzs behúzással 21"/>
    <w:basedOn w:val="Norml"/>
    <w:pPr>
      <w:ind w:left="567" w:hanging="567"/>
    </w:pPr>
  </w:style>
  <w:style w:type="paragraph" w:customStyle="1" w:styleId="Szvegtrzsbehzssal31">
    <w:name w:val="Szövegtörzs behúzással 31"/>
    <w:basedOn w:val="Norml"/>
    <w:pPr>
      <w:ind w:left="851"/>
    </w:pPr>
  </w:style>
  <w:style w:type="paragraph" w:customStyle="1" w:styleId="BodyText29">
    <w:name w:val="Body Text 29"/>
    <w:basedOn w:val="Norml"/>
    <w:pPr>
      <w:ind w:left="851" w:hanging="284"/>
    </w:pPr>
  </w:style>
  <w:style w:type="paragraph" w:customStyle="1" w:styleId="BodyTextIndent26">
    <w:name w:val="Body Text Indent 26"/>
    <w:basedOn w:val="Norml"/>
    <w:pPr>
      <w:ind w:left="513"/>
    </w:pPr>
  </w:style>
  <w:style w:type="paragraph" w:customStyle="1" w:styleId="BodyTextIndent25">
    <w:name w:val="Body Text Indent 25"/>
    <w:basedOn w:val="Norml"/>
    <w:pPr>
      <w:ind w:left="567" w:hanging="567"/>
    </w:pPr>
  </w:style>
  <w:style w:type="paragraph" w:customStyle="1" w:styleId="BodyText28">
    <w:name w:val="Body Text 28"/>
    <w:basedOn w:val="Norml"/>
    <w:pPr>
      <w:spacing w:after="0"/>
    </w:pPr>
  </w:style>
  <w:style w:type="paragraph" w:customStyle="1" w:styleId="BodyText27">
    <w:name w:val="Body Text 27"/>
    <w:basedOn w:val="Norml"/>
    <w:pPr>
      <w:suppressAutoHyphens/>
      <w:ind w:left="1560"/>
    </w:pPr>
    <w:rPr>
      <w:sz w:val="22"/>
    </w:rPr>
  </w:style>
  <w:style w:type="paragraph" w:customStyle="1" w:styleId="BodyText26">
    <w:name w:val="Body Text 26"/>
    <w:basedOn w:val="Norml"/>
    <w:pPr>
      <w:ind w:left="992" w:hanging="425"/>
    </w:pPr>
  </w:style>
  <w:style w:type="paragraph" w:customStyle="1" w:styleId="BodyTextIndent24">
    <w:name w:val="Body Text Indent 24"/>
    <w:basedOn w:val="Norml"/>
    <w:pPr>
      <w:ind w:left="567"/>
    </w:pPr>
    <w:rPr>
      <w:b/>
    </w:rPr>
  </w:style>
  <w:style w:type="paragraph" w:customStyle="1" w:styleId="BodyText25">
    <w:name w:val="Body Text 25"/>
    <w:basedOn w:val="Norml"/>
    <w:pPr>
      <w:ind w:left="567"/>
    </w:pPr>
  </w:style>
  <w:style w:type="paragraph" w:customStyle="1" w:styleId="BodyText24">
    <w:name w:val="Body Text 24"/>
    <w:basedOn w:val="Norml"/>
    <w:pPr>
      <w:ind w:left="567"/>
    </w:pPr>
  </w:style>
  <w:style w:type="paragraph" w:customStyle="1" w:styleId="BodyText23">
    <w:name w:val="Body Text 23"/>
    <w:basedOn w:val="Norml"/>
    <w:pPr>
      <w:ind w:left="540"/>
    </w:pPr>
  </w:style>
  <w:style w:type="paragraph" w:customStyle="1" w:styleId="BodyTextIndent23">
    <w:name w:val="Body Text Indent 23"/>
    <w:basedOn w:val="Norml"/>
    <w:pPr>
      <w:ind w:left="426" w:hanging="426"/>
    </w:pPr>
  </w:style>
  <w:style w:type="character" w:styleId="Vgjegyzet-hivatkozs">
    <w:name w:val="endnote reference"/>
    <w:semiHidden/>
    <w:rPr>
      <w:vertAlign w:val="superscript"/>
    </w:rPr>
  </w:style>
  <w:style w:type="paragraph" w:customStyle="1" w:styleId="BlockText1">
    <w:name w:val="Block Text1"/>
    <w:basedOn w:val="Norml"/>
    <w:pPr>
      <w:ind w:left="425" w:right="284"/>
    </w:pPr>
    <w:rPr>
      <w:sz w:val="22"/>
    </w:rPr>
  </w:style>
  <w:style w:type="paragraph" w:customStyle="1" w:styleId="BodyText21">
    <w:name w:val="Body Text 21"/>
    <w:basedOn w:val="Norml"/>
    <w:pPr>
      <w:tabs>
        <w:tab w:val="left" w:pos="2694"/>
      </w:tabs>
      <w:ind w:left="360"/>
    </w:pPr>
  </w:style>
  <w:style w:type="paragraph" w:customStyle="1" w:styleId="BodyTextIndent22">
    <w:name w:val="Body Text Indent 22"/>
    <w:basedOn w:val="Norml"/>
    <w:pPr>
      <w:tabs>
        <w:tab w:val="left" w:pos="2694"/>
      </w:tabs>
      <w:ind w:left="709"/>
    </w:pPr>
  </w:style>
  <w:style w:type="paragraph" w:customStyle="1" w:styleId="BodyTextIndent21">
    <w:name w:val="Body Text Indent 21"/>
    <w:basedOn w:val="Norml"/>
    <w:pPr>
      <w:spacing w:after="0"/>
      <w:ind w:left="567"/>
    </w:pPr>
    <w:rPr>
      <w:sz w:val="24"/>
    </w:rPr>
  </w:style>
  <w:style w:type="paragraph" w:styleId="Szvegtrzs2">
    <w:name w:val="Body Text 2"/>
    <w:basedOn w:val="Norml"/>
    <w:pPr>
      <w:keepNext/>
      <w:tabs>
        <w:tab w:val="left" w:pos="2694"/>
      </w:tabs>
      <w:jc w:val="center"/>
    </w:pPr>
    <w:rPr>
      <w:b/>
      <w:caps/>
    </w:rPr>
  </w:style>
  <w:style w:type="paragraph" w:styleId="Szvegtrzsbehzssal2">
    <w:name w:val="Body Text Indent 2"/>
    <w:basedOn w:val="Norml"/>
    <w:pPr>
      <w:ind w:left="1134"/>
    </w:pPr>
    <w:rPr>
      <w:sz w:val="22"/>
    </w:rPr>
  </w:style>
  <w:style w:type="paragraph" w:styleId="Szvegtrzsbehzssal">
    <w:name w:val="Body Text Indent"/>
    <w:basedOn w:val="Norml"/>
    <w:pPr>
      <w:spacing w:after="0"/>
      <w:ind w:left="709"/>
    </w:pPr>
    <w:rPr>
      <w:i/>
      <w:iCs/>
      <w:sz w:val="28"/>
    </w:rPr>
  </w:style>
  <w:style w:type="paragraph" w:styleId="Szvegtrzsbehzssal3">
    <w:name w:val="Body Text Indent 3"/>
    <w:basedOn w:val="Norml"/>
    <w:pPr>
      <w:ind w:left="1134"/>
    </w:pPr>
    <w:rPr>
      <w:sz w:val="24"/>
    </w:rPr>
  </w:style>
  <w:style w:type="paragraph" w:styleId="Szvegblokk">
    <w:name w:val="Block Text"/>
    <w:basedOn w:val="Norml"/>
    <w:pPr>
      <w:ind w:left="-180" w:right="-108"/>
    </w:pPr>
  </w:style>
  <w:style w:type="paragraph" w:styleId="Kpalrs">
    <w:name w:val="caption"/>
    <w:basedOn w:val="Norml"/>
    <w:next w:val="Norml"/>
    <w:qFormat/>
    <w:pPr>
      <w:numPr>
        <w:numId w:val="1"/>
      </w:numPr>
      <w:spacing w:after="0"/>
      <w:ind w:right="282"/>
    </w:pPr>
    <w:rPr>
      <w:b/>
      <w:bCs/>
      <w:sz w:val="28"/>
      <w:u w:val="single"/>
    </w:rPr>
  </w:style>
  <w:style w:type="paragraph" w:styleId="Szvegtrzs3">
    <w:name w:val="Body Text 3"/>
    <w:basedOn w:val="Norml"/>
    <w:link w:val="Szvegtrzs3Char"/>
    <w:pPr>
      <w:ind w:right="-57"/>
    </w:pPr>
  </w:style>
  <w:style w:type="paragraph" w:customStyle="1" w:styleId="Szvegtrzs1">
    <w:name w:val="Szövegtörzs1"/>
    <w:basedOn w:val="Norml"/>
    <w:pPr>
      <w:spacing w:after="0"/>
    </w:pPr>
    <w:rPr>
      <w:i/>
      <w:sz w:val="28"/>
    </w:rPr>
  </w:style>
  <w:style w:type="paragraph" w:styleId="Alcm">
    <w:name w:val="Subtitle"/>
    <w:basedOn w:val="Norml"/>
    <w:qFormat/>
    <w:pPr>
      <w:spacing w:after="0"/>
      <w:jc w:val="left"/>
    </w:pPr>
    <w:rPr>
      <w:rFonts w:ascii="Arial" w:hAnsi="Arial"/>
      <w:i/>
      <w:sz w:val="24"/>
    </w:rPr>
  </w:style>
  <w:style w:type="paragraph" w:customStyle="1" w:styleId="BodyText22">
    <w:name w:val="Body Text 22"/>
    <w:basedOn w:val="Norml"/>
    <w:rPr>
      <w:sz w:val="24"/>
    </w:rPr>
  </w:style>
  <w:style w:type="character" w:styleId="Hiperhivatkozs">
    <w:name w:val="Hyperlink"/>
    <w:rsid w:val="00C743EC"/>
    <w:rPr>
      <w:color w:val="000000"/>
      <w:u w:val="single"/>
    </w:rPr>
  </w:style>
  <w:style w:type="paragraph" w:customStyle="1" w:styleId="StlusCmsor3Utna12pt">
    <w:name w:val="Stílus Címsor 3 + Utána:  12 pt"/>
    <w:basedOn w:val="Cmsor3"/>
    <w:rsid w:val="00F630A3"/>
    <w:pPr>
      <w:spacing w:after="240"/>
    </w:pPr>
  </w:style>
  <w:style w:type="paragraph" w:styleId="Buborkszveg">
    <w:name w:val="Balloon Text"/>
    <w:basedOn w:val="Norml"/>
    <w:semiHidden/>
    <w:rsid w:val="00187693"/>
    <w:pPr>
      <w:suppressAutoHyphens/>
    </w:pPr>
    <w:rPr>
      <w:rFonts w:ascii="Tahoma" w:hAnsi="Tahoma" w:cs="Tahoma"/>
      <w:sz w:val="16"/>
      <w:szCs w:val="16"/>
    </w:rPr>
  </w:style>
  <w:style w:type="paragraph" w:customStyle="1" w:styleId="bodytext2">
    <w:name w:val="bodytext2"/>
    <w:basedOn w:val="Norml"/>
    <w:rsid w:val="00FD0145"/>
    <w:pPr>
      <w:overflowPunct w:val="0"/>
      <w:autoSpaceDE w:val="0"/>
      <w:autoSpaceDN w:val="0"/>
      <w:ind w:left="360"/>
    </w:pPr>
    <w:rPr>
      <w:szCs w:val="26"/>
    </w:rPr>
  </w:style>
  <w:style w:type="character" w:customStyle="1" w:styleId="pm">
    <w:name w:val="pm"/>
    <w:semiHidden/>
    <w:rsid w:val="003F2FB9"/>
    <w:rPr>
      <w:rFonts w:ascii="Arial" w:hAnsi="Arial" w:cs="Arial"/>
      <w:color w:val="auto"/>
      <w:sz w:val="20"/>
      <w:szCs w:val="20"/>
    </w:rPr>
  </w:style>
  <w:style w:type="table" w:styleId="Rcsostblzat">
    <w:name w:val="Table Grid"/>
    <w:basedOn w:val="Normltblzat"/>
    <w:uiPriority w:val="59"/>
    <w:rsid w:val="00281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3Char">
    <w:name w:val="Szövegtörzs 3 Char"/>
    <w:link w:val="Szvegtrzs3"/>
    <w:rsid w:val="003149E2"/>
    <w:rPr>
      <w:sz w:val="26"/>
    </w:rPr>
  </w:style>
  <w:style w:type="paragraph" w:styleId="Listaszerbekezds">
    <w:name w:val="List Paragraph"/>
    <w:basedOn w:val="Norml"/>
    <w:uiPriority w:val="34"/>
    <w:qFormat/>
    <w:rsid w:val="00947BCD"/>
    <w:pPr>
      <w:spacing w:after="200" w:line="276" w:lineRule="auto"/>
      <w:ind w:left="720"/>
      <w:contextualSpacing/>
      <w:jc w:val="left"/>
    </w:pPr>
    <w:rPr>
      <w:rFonts w:ascii="Calibri" w:eastAsia="Calibri" w:hAnsi="Calibri"/>
      <w:sz w:val="22"/>
      <w:szCs w:val="22"/>
      <w:lang w:eastAsia="en-US"/>
    </w:rPr>
  </w:style>
  <w:style w:type="paragraph" w:customStyle="1" w:styleId="Szvegtrzs210">
    <w:name w:val="Szövegtörzs 210"/>
    <w:basedOn w:val="Norml"/>
    <w:rsid w:val="009271B4"/>
    <w:pPr>
      <w:widowControl w:val="0"/>
      <w:ind w:left="570"/>
    </w:pPr>
    <w:rPr>
      <w:rFonts w:ascii="Times" w:hAnsi="Times"/>
    </w:rPr>
  </w:style>
  <w:style w:type="character" w:customStyle="1" w:styleId="Cmsor4Char">
    <w:name w:val="Címsor 4 Char"/>
    <w:link w:val="Cmsor4"/>
    <w:rsid w:val="000C18B6"/>
    <w:rPr>
      <w:b/>
      <w:sz w:val="26"/>
    </w:rPr>
  </w:style>
  <w:style w:type="character" w:customStyle="1" w:styleId="llbChar">
    <w:name w:val="Élőláb Char"/>
    <w:link w:val="llb"/>
    <w:uiPriority w:val="99"/>
    <w:rsid w:val="00700449"/>
    <w:rPr>
      <w:sz w:val="26"/>
    </w:rPr>
  </w:style>
  <w:style w:type="character" w:styleId="Kiemels">
    <w:name w:val="Emphasis"/>
    <w:uiPriority w:val="20"/>
    <w:qFormat/>
    <w:rsid w:val="006D4536"/>
    <w:rPr>
      <w:b/>
      <w:bCs/>
      <w:i w:val="0"/>
      <w:iCs w:val="0"/>
    </w:rPr>
  </w:style>
  <w:style w:type="character" w:customStyle="1" w:styleId="st">
    <w:name w:val="st"/>
    <w:rsid w:val="006D4536"/>
  </w:style>
  <w:style w:type="character" w:styleId="Jegyzethivatkozs">
    <w:name w:val="annotation reference"/>
    <w:uiPriority w:val="99"/>
    <w:rsid w:val="003908B8"/>
    <w:rPr>
      <w:sz w:val="16"/>
      <w:szCs w:val="16"/>
    </w:rPr>
  </w:style>
  <w:style w:type="paragraph" w:styleId="Jegyzetszveg">
    <w:name w:val="annotation text"/>
    <w:basedOn w:val="Norml"/>
    <w:link w:val="JegyzetszvegChar"/>
    <w:rsid w:val="003908B8"/>
    <w:rPr>
      <w:sz w:val="20"/>
    </w:rPr>
  </w:style>
  <w:style w:type="character" w:customStyle="1" w:styleId="JegyzetszvegChar">
    <w:name w:val="Jegyzetszöveg Char"/>
    <w:basedOn w:val="Bekezdsalapbettpusa"/>
    <w:link w:val="Jegyzetszveg"/>
    <w:rsid w:val="003908B8"/>
  </w:style>
  <w:style w:type="paragraph" w:styleId="Megjegyzstrgya">
    <w:name w:val="annotation subject"/>
    <w:basedOn w:val="Jegyzetszveg"/>
    <w:next w:val="Jegyzetszveg"/>
    <w:link w:val="MegjegyzstrgyaChar"/>
    <w:rsid w:val="003908B8"/>
    <w:rPr>
      <w:b/>
      <w:bCs/>
    </w:rPr>
  </w:style>
  <w:style w:type="character" w:customStyle="1" w:styleId="MegjegyzstrgyaChar">
    <w:name w:val="Megjegyzés tárgya Char"/>
    <w:link w:val="Megjegyzstrgya"/>
    <w:rsid w:val="003908B8"/>
    <w:rPr>
      <w:b/>
      <w:bCs/>
    </w:rPr>
  </w:style>
  <w:style w:type="paragraph" w:styleId="NormlWeb">
    <w:name w:val="Normal (Web)"/>
    <w:basedOn w:val="Norml"/>
    <w:uiPriority w:val="99"/>
    <w:unhideWhenUsed/>
    <w:rsid w:val="00F15565"/>
    <w:pPr>
      <w:spacing w:before="100" w:beforeAutospacing="1" w:after="100" w:afterAutospacing="1"/>
      <w:jc w:val="left"/>
    </w:pPr>
    <w:rPr>
      <w:sz w:val="24"/>
      <w:szCs w:val="24"/>
    </w:rPr>
  </w:style>
  <w:style w:type="paragraph" w:customStyle="1" w:styleId="lead">
    <w:name w:val="lead"/>
    <w:basedOn w:val="Norml"/>
    <w:rsid w:val="00F15565"/>
    <w:pPr>
      <w:spacing w:before="100" w:beforeAutospacing="1" w:after="100" w:afterAutospacing="1"/>
      <w:jc w:val="left"/>
    </w:pPr>
    <w:rPr>
      <w:sz w:val="24"/>
      <w:szCs w:val="24"/>
    </w:rPr>
  </w:style>
  <w:style w:type="character" w:customStyle="1" w:styleId="lfejChar">
    <w:name w:val="Élőfej Char"/>
    <w:link w:val="lfej"/>
    <w:uiPriority w:val="99"/>
    <w:rsid w:val="00881044"/>
    <w:rPr>
      <w:sz w:val="26"/>
    </w:rPr>
  </w:style>
  <w:style w:type="paragraph" w:customStyle="1" w:styleId="Default">
    <w:name w:val="Default"/>
    <w:rsid w:val="00737A62"/>
    <w:pPr>
      <w:autoSpaceDE w:val="0"/>
      <w:autoSpaceDN w:val="0"/>
      <w:adjustRightInd w:val="0"/>
    </w:pPr>
    <w:rPr>
      <w:rFonts w:ascii="Myriad Pro" w:eastAsiaTheme="minorHAnsi" w:hAnsi="Myriad Pro" w:cs="Myriad Pro"/>
      <w:color w:val="000000"/>
      <w:sz w:val="24"/>
      <w:szCs w:val="24"/>
      <w:lang w:eastAsia="en-US"/>
    </w:rPr>
  </w:style>
  <w:style w:type="table" w:customStyle="1" w:styleId="Tblzatrcsos1vilgos1jellszn1">
    <w:name w:val="Táblázat (rácsos) 1 – világos – 1. jelölőszín1"/>
    <w:basedOn w:val="Normltblzat"/>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1">
    <w:name w:val="normaltextrun1"/>
    <w:basedOn w:val="Bekezdsalapbettpusa"/>
    <w:rsid w:val="002D550F"/>
  </w:style>
  <w:style w:type="character" w:customStyle="1" w:styleId="Cmsor2Char">
    <w:name w:val="Címsor 2 Char"/>
    <w:basedOn w:val="Bekezdsalapbettpusa"/>
    <w:link w:val="Cmsor2"/>
    <w:rsid w:val="0083067D"/>
    <w:rPr>
      <w:b/>
      <w:iCs/>
      <w:caps/>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36C30"/>
    <w:pPr>
      <w:spacing w:after="120"/>
      <w:jc w:val="both"/>
    </w:pPr>
    <w:rPr>
      <w:sz w:val="26"/>
    </w:rPr>
  </w:style>
  <w:style w:type="paragraph" w:styleId="Cmsor1">
    <w:name w:val="heading 1"/>
    <w:basedOn w:val="Norml"/>
    <w:next w:val="Norml"/>
    <w:qFormat/>
    <w:pPr>
      <w:keepNext/>
      <w:spacing w:before="240" w:after="60"/>
      <w:outlineLvl w:val="0"/>
    </w:pPr>
    <w:rPr>
      <w:b/>
      <w:kern w:val="28"/>
      <w:sz w:val="30"/>
    </w:rPr>
  </w:style>
  <w:style w:type="paragraph" w:styleId="Cmsor2">
    <w:name w:val="heading 2"/>
    <w:basedOn w:val="Norml"/>
    <w:next w:val="Norml"/>
    <w:link w:val="Cmsor2Char"/>
    <w:qFormat/>
    <w:rsid w:val="000961B9"/>
    <w:pPr>
      <w:keepNext/>
      <w:spacing w:before="240" w:after="60"/>
      <w:jc w:val="center"/>
      <w:outlineLvl w:val="1"/>
    </w:pPr>
    <w:rPr>
      <w:b/>
      <w:iCs/>
      <w:caps/>
    </w:rPr>
  </w:style>
  <w:style w:type="paragraph" w:styleId="Cmsor3">
    <w:name w:val="heading 3"/>
    <w:basedOn w:val="Norml"/>
    <w:next w:val="Norml"/>
    <w:qFormat/>
    <w:pPr>
      <w:keepNext/>
      <w:spacing w:before="240" w:after="60"/>
      <w:jc w:val="center"/>
      <w:outlineLvl w:val="2"/>
    </w:pPr>
    <w:rPr>
      <w:b/>
      <w:bCs/>
      <w:smallCaps/>
      <w:sz w:val="28"/>
    </w:rPr>
  </w:style>
  <w:style w:type="paragraph" w:styleId="Cmsor4">
    <w:name w:val="heading 4"/>
    <w:basedOn w:val="Norml"/>
    <w:next w:val="Norml"/>
    <w:link w:val="Cmsor4Char"/>
    <w:qFormat/>
    <w:pPr>
      <w:keepNext/>
      <w:ind w:left="425" w:hanging="425"/>
      <w:outlineLvl w:val="3"/>
    </w:pPr>
    <w:rPr>
      <w:b/>
    </w:rPr>
  </w:style>
  <w:style w:type="paragraph" w:styleId="Cmsor5">
    <w:name w:val="heading 5"/>
    <w:basedOn w:val="Norml"/>
    <w:next w:val="Norml"/>
    <w:qFormat/>
    <w:pPr>
      <w:keepNext/>
      <w:jc w:val="left"/>
      <w:outlineLvl w:val="4"/>
    </w:pPr>
    <w:rPr>
      <w:b/>
    </w:rPr>
  </w:style>
  <w:style w:type="paragraph" w:styleId="Cmsor6">
    <w:name w:val="heading 6"/>
    <w:basedOn w:val="Norml"/>
    <w:next w:val="Norml"/>
    <w:qFormat/>
    <w:pPr>
      <w:keepNext/>
      <w:ind w:left="567" w:right="-1" w:hanging="567"/>
      <w:outlineLvl w:val="5"/>
    </w:pPr>
    <w:rPr>
      <w:b/>
    </w:rPr>
  </w:style>
  <w:style w:type="paragraph" w:styleId="Cmsor7">
    <w:name w:val="heading 7"/>
    <w:basedOn w:val="Norml"/>
    <w:next w:val="Norml"/>
    <w:qFormat/>
    <w:pPr>
      <w:keepNext/>
      <w:ind w:left="567"/>
      <w:outlineLvl w:val="6"/>
    </w:pPr>
    <w:rPr>
      <w:b/>
    </w:rPr>
  </w:style>
  <w:style w:type="paragraph" w:styleId="Cmsor8">
    <w:name w:val="heading 8"/>
    <w:basedOn w:val="Norml"/>
    <w:next w:val="Norml"/>
    <w:qFormat/>
    <w:pPr>
      <w:keepNext/>
      <w:outlineLvl w:val="7"/>
    </w:pPr>
    <w:rPr>
      <w:b/>
      <w:color w:val="000000"/>
    </w:rPr>
  </w:style>
  <w:style w:type="paragraph" w:styleId="Cmsor9">
    <w:name w:val="heading 9"/>
    <w:basedOn w:val="Norml"/>
    <w:next w:val="Norml"/>
    <w:qFormat/>
    <w:pPr>
      <w:keepNext/>
      <w:tabs>
        <w:tab w:val="left" w:pos="4253"/>
      </w:tabs>
      <w:outlineLvl w:val="8"/>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im1">
    <w:name w:val="cim 1"/>
    <w:basedOn w:val="Cmsor1"/>
    <w:pPr>
      <w:outlineLvl w:val="9"/>
    </w:pPr>
  </w:style>
  <w:style w:type="paragraph" w:styleId="lfej">
    <w:name w:val="header"/>
    <w:basedOn w:val="Norml"/>
    <w:link w:val="lfejChar"/>
    <w:uiPriority w:val="99"/>
    <w:pPr>
      <w:tabs>
        <w:tab w:val="center" w:pos="4153"/>
        <w:tab w:val="right" w:pos="8306"/>
      </w:tabs>
    </w:pPr>
  </w:style>
  <w:style w:type="paragraph" w:styleId="llb">
    <w:name w:val="footer"/>
    <w:basedOn w:val="Norml"/>
    <w:link w:val="llbChar"/>
    <w:uiPriority w:val="99"/>
    <w:pPr>
      <w:tabs>
        <w:tab w:val="center" w:pos="4153"/>
        <w:tab w:val="right" w:pos="8306"/>
      </w:tabs>
    </w:pPr>
  </w:style>
  <w:style w:type="paragraph" w:styleId="Alrs">
    <w:name w:val="Signature"/>
    <w:basedOn w:val="Norml"/>
    <w:next w:val="Norml"/>
    <w:pPr>
      <w:ind w:left="3402"/>
      <w:jc w:val="center"/>
    </w:pPr>
    <w:rPr>
      <w:sz w:val="24"/>
    </w:rPr>
  </w:style>
  <w:style w:type="paragraph" w:customStyle="1" w:styleId="felsorols">
    <w:name w:val="felsorolás"/>
    <w:basedOn w:val="Norml"/>
    <w:pPr>
      <w:tabs>
        <w:tab w:val="left" w:pos="360"/>
      </w:tabs>
      <w:ind w:left="284" w:hanging="284"/>
    </w:pPr>
    <w:rPr>
      <w:sz w:val="16"/>
    </w:rPr>
  </w:style>
  <w:style w:type="character" w:styleId="Lbjegyzet-hivatkozs">
    <w:name w:val="footnote reference"/>
    <w:semiHidden/>
    <w:rPr>
      <w:vertAlign w:val="superscript"/>
    </w:rPr>
  </w:style>
  <w:style w:type="paragraph" w:styleId="Lbjegyzetszveg">
    <w:name w:val="footnote text"/>
    <w:basedOn w:val="Norml"/>
    <w:semiHidden/>
    <w:pPr>
      <w:widowControl w:val="0"/>
      <w:jc w:val="left"/>
    </w:pPr>
    <w:rPr>
      <w:sz w:val="20"/>
    </w:rPr>
  </w:style>
  <w:style w:type="paragraph" w:styleId="Szvegtrzs">
    <w:name w:val="Body Text"/>
    <w:basedOn w:val="Norml"/>
    <w:pPr>
      <w:widowControl w:val="0"/>
    </w:pPr>
    <w:rPr>
      <w:color w:val="FF0000"/>
    </w:rPr>
  </w:style>
  <w:style w:type="paragraph" w:styleId="Cm">
    <w:name w:val="Title"/>
    <w:basedOn w:val="Norml"/>
    <w:qFormat/>
    <w:pPr>
      <w:keepNext/>
      <w:widowControl w:val="0"/>
      <w:ind w:right="-1"/>
      <w:jc w:val="center"/>
    </w:pPr>
    <w:rPr>
      <w:b/>
      <w:caps/>
      <w:spacing w:val="60"/>
      <w:sz w:val="32"/>
    </w:rPr>
  </w:style>
  <w:style w:type="paragraph" w:customStyle="1" w:styleId="Szvegtrzs21">
    <w:name w:val="Szövegtörzs 21"/>
    <w:basedOn w:val="Norml"/>
    <w:pPr>
      <w:widowControl w:val="0"/>
      <w:ind w:left="570"/>
    </w:pPr>
  </w:style>
  <w:style w:type="character" w:styleId="Oldalszm">
    <w:name w:val="page number"/>
    <w:basedOn w:val="Bekezdsalapbettpusa"/>
  </w:style>
  <w:style w:type="paragraph" w:customStyle="1" w:styleId="BodyText211">
    <w:name w:val="Body Text 211"/>
    <w:basedOn w:val="Norml"/>
    <w:pPr>
      <w:ind w:left="567"/>
    </w:pPr>
  </w:style>
  <w:style w:type="paragraph" w:customStyle="1" w:styleId="Szvegblokk1">
    <w:name w:val="Szövegblokk1"/>
    <w:basedOn w:val="Norml"/>
    <w:pPr>
      <w:keepNext/>
      <w:ind w:left="360" w:right="-1"/>
    </w:pPr>
  </w:style>
  <w:style w:type="paragraph" w:customStyle="1" w:styleId="BodyText210">
    <w:name w:val="Body Text 210"/>
    <w:basedOn w:val="Norml"/>
    <w:pPr>
      <w:ind w:left="426"/>
    </w:pPr>
  </w:style>
  <w:style w:type="paragraph" w:customStyle="1" w:styleId="Szvegtrzsbehzssal21">
    <w:name w:val="Szövegtörzs behúzással 21"/>
    <w:basedOn w:val="Norml"/>
    <w:pPr>
      <w:ind w:left="567" w:hanging="567"/>
    </w:pPr>
  </w:style>
  <w:style w:type="paragraph" w:customStyle="1" w:styleId="Szvegtrzsbehzssal31">
    <w:name w:val="Szövegtörzs behúzással 31"/>
    <w:basedOn w:val="Norml"/>
    <w:pPr>
      <w:ind w:left="851"/>
    </w:pPr>
  </w:style>
  <w:style w:type="paragraph" w:customStyle="1" w:styleId="BodyText29">
    <w:name w:val="Body Text 29"/>
    <w:basedOn w:val="Norml"/>
    <w:pPr>
      <w:ind w:left="851" w:hanging="284"/>
    </w:pPr>
  </w:style>
  <w:style w:type="paragraph" w:customStyle="1" w:styleId="BodyTextIndent26">
    <w:name w:val="Body Text Indent 26"/>
    <w:basedOn w:val="Norml"/>
    <w:pPr>
      <w:ind w:left="513"/>
    </w:pPr>
  </w:style>
  <w:style w:type="paragraph" w:customStyle="1" w:styleId="BodyTextIndent25">
    <w:name w:val="Body Text Indent 25"/>
    <w:basedOn w:val="Norml"/>
    <w:pPr>
      <w:ind w:left="567" w:hanging="567"/>
    </w:pPr>
  </w:style>
  <w:style w:type="paragraph" w:customStyle="1" w:styleId="BodyText28">
    <w:name w:val="Body Text 28"/>
    <w:basedOn w:val="Norml"/>
    <w:pPr>
      <w:spacing w:after="0"/>
    </w:pPr>
  </w:style>
  <w:style w:type="paragraph" w:customStyle="1" w:styleId="BodyText27">
    <w:name w:val="Body Text 27"/>
    <w:basedOn w:val="Norml"/>
    <w:pPr>
      <w:suppressAutoHyphens/>
      <w:ind w:left="1560"/>
    </w:pPr>
    <w:rPr>
      <w:sz w:val="22"/>
    </w:rPr>
  </w:style>
  <w:style w:type="paragraph" w:customStyle="1" w:styleId="BodyText26">
    <w:name w:val="Body Text 26"/>
    <w:basedOn w:val="Norml"/>
    <w:pPr>
      <w:ind w:left="992" w:hanging="425"/>
    </w:pPr>
  </w:style>
  <w:style w:type="paragraph" w:customStyle="1" w:styleId="BodyTextIndent24">
    <w:name w:val="Body Text Indent 24"/>
    <w:basedOn w:val="Norml"/>
    <w:pPr>
      <w:ind w:left="567"/>
    </w:pPr>
    <w:rPr>
      <w:b/>
    </w:rPr>
  </w:style>
  <w:style w:type="paragraph" w:customStyle="1" w:styleId="BodyText25">
    <w:name w:val="Body Text 25"/>
    <w:basedOn w:val="Norml"/>
    <w:pPr>
      <w:ind w:left="567"/>
    </w:pPr>
  </w:style>
  <w:style w:type="paragraph" w:customStyle="1" w:styleId="BodyText24">
    <w:name w:val="Body Text 24"/>
    <w:basedOn w:val="Norml"/>
    <w:pPr>
      <w:ind w:left="567"/>
    </w:pPr>
  </w:style>
  <w:style w:type="paragraph" w:customStyle="1" w:styleId="BodyText23">
    <w:name w:val="Body Text 23"/>
    <w:basedOn w:val="Norml"/>
    <w:pPr>
      <w:ind w:left="540"/>
    </w:pPr>
  </w:style>
  <w:style w:type="paragraph" w:customStyle="1" w:styleId="BodyTextIndent23">
    <w:name w:val="Body Text Indent 23"/>
    <w:basedOn w:val="Norml"/>
    <w:pPr>
      <w:ind w:left="426" w:hanging="426"/>
    </w:pPr>
  </w:style>
  <w:style w:type="character" w:styleId="Vgjegyzet-hivatkozs">
    <w:name w:val="endnote reference"/>
    <w:semiHidden/>
    <w:rPr>
      <w:vertAlign w:val="superscript"/>
    </w:rPr>
  </w:style>
  <w:style w:type="paragraph" w:customStyle="1" w:styleId="BlockText1">
    <w:name w:val="Block Text1"/>
    <w:basedOn w:val="Norml"/>
    <w:pPr>
      <w:ind w:left="425" w:right="284"/>
    </w:pPr>
    <w:rPr>
      <w:sz w:val="22"/>
    </w:rPr>
  </w:style>
  <w:style w:type="paragraph" w:customStyle="1" w:styleId="BodyText21">
    <w:name w:val="Body Text 21"/>
    <w:basedOn w:val="Norml"/>
    <w:pPr>
      <w:tabs>
        <w:tab w:val="left" w:pos="2694"/>
      </w:tabs>
      <w:ind w:left="360"/>
    </w:pPr>
  </w:style>
  <w:style w:type="paragraph" w:customStyle="1" w:styleId="BodyTextIndent22">
    <w:name w:val="Body Text Indent 22"/>
    <w:basedOn w:val="Norml"/>
    <w:pPr>
      <w:tabs>
        <w:tab w:val="left" w:pos="2694"/>
      </w:tabs>
      <w:ind w:left="709"/>
    </w:pPr>
  </w:style>
  <w:style w:type="paragraph" w:customStyle="1" w:styleId="BodyTextIndent21">
    <w:name w:val="Body Text Indent 21"/>
    <w:basedOn w:val="Norml"/>
    <w:pPr>
      <w:spacing w:after="0"/>
      <w:ind w:left="567"/>
    </w:pPr>
    <w:rPr>
      <w:sz w:val="24"/>
    </w:rPr>
  </w:style>
  <w:style w:type="paragraph" w:styleId="Szvegtrzs2">
    <w:name w:val="Body Text 2"/>
    <w:basedOn w:val="Norml"/>
    <w:pPr>
      <w:keepNext/>
      <w:tabs>
        <w:tab w:val="left" w:pos="2694"/>
      </w:tabs>
      <w:jc w:val="center"/>
    </w:pPr>
    <w:rPr>
      <w:b/>
      <w:caps/>
    </w:rPr>
  </w:style>
  <w:style w:type="paragraph" w:styleId="Szvegtrzsbehzssal2">
    <w:name w:val="Body Text Indent 2"/>
    <w:basedOn w:val="Norml"/>
    <w:pPr>
      <w:ind w:left="1134"/>
    </w:pPr>
    <w:rPr>
      <w:sz w:val="22"/>
    </w:rPr>
  </w:style>
  <w:style w:type="paragraph" w:styleId="Szvegtrzsbehzssal">
    <w:name w:val="Body Text Indent"/>
    <w:basedOn w:val="Norml"/>
    <w:pPr>
      <w:spacing w:after="0"/>
      <w:ind w:left="709"/>
    </w:pPr>
    <w:rPr>
      <w:i/>
      <w:iCs/>
      <w:sz w:val="28"/>
    </w:rPr>
  </w:style>
  <w:style w:type="paragraph" w:styleId="Szvegtrzsbehzssal3">
    <w:name w:val="Body Text Indent 3"/>
    <w:basedOn w:val="Norml"/>
    <w:pPr>
      <w:ind w:left="1134"/>
    </w:pPr>
    <w:rPr>
      <w:sz w:val="24"/>
    </w:rPr>
  </w:style>
  <w:style w:type="paragraph" w:styleId="Szvegblokk">
    <w:name w:val="Block Text"/>
    <w:basedOn w:val="Norml"/>
    <w:pPr>
      <w:ind w:left="-180" w:right="-108"/>
    </w:pPr>
  </w:style>
  <w:style w:type="paragraph" w:styleId="Kpalrs">
    <w:name w:val="caption"/>
    <w:basedOn w:val="Norml"/>
    <w:next w:val="Norml"/>
    <w:qFormat/>
    <w:pPr>
      <w:numPr>
        <w:numId w:val="1"/>
      </w:numPr>
      <w:spacing w:after="0"/>
      <w:ind w:right="282"/>
    </w:pPr>
    <w:rPr>
      <w:b/>
      <w:bCs/>
      <w:sz w:val="28"/>
      <w:u w:val="single"/>
    </w:rPr>
  </w:style>
  <w:style w:type="paragraph" w:styleId="Szvegtrzs3">
    <w:name w:val="Body Text 3"/>
    <w:basedOn w:val="Norml"/>
    <w:link w:val="Szvegtrzs3Char"/>
    <w:pPr>
      <w:ind w:right="-57"/>
    </w:pPr>
  </w:style>
  <w:style w:type="paragraph" w:customStyle="1" w:styleId="Szvegtrzs1">
    <w:name w:val="Szövegtörzs1"/>
    <w:basedOn w:val="Norml"/>
    <w:pPr>
      <w:spacing w:after="0"/>
    </w:pPr>
    <w:rPr>
      <w:i/>
      <w:sz w:val="28"/>
    </w:rPr>
  </w:style>
  <w:style w:type="paragraph" w:styleId="Alcm">
    <w:name w:val="Subtitle"/>
    <w:basedOn w:val="Norml"/>
    <w:qFormat/>
    <w:pPr>
      <w:spacing w:after="0"/>
      <w:jc w:val="left"/>
    </w:pPr>
    <w:rPr>
      <w:rFonts w:ascii="Arial" w:hAnsi="Arial"/>
      <w:i/>
      <w:sz w:val="24"/>
    </w:rPr>
  </w:style>
  <w:style w:type="paragraph" w:customStyle="1" w:styleId="BodyText22">
    <w:name w:val="Body Text 22"/>
    <w:basedOn w:val="Norml"/>
    <w:rPr>
      <w:sz w:val="24"/>
    </w:rPr>
  </w:style>
  <w:style w:type="character" w:styleId="Hiperhivatkozs">
    <w:name w:val="Hyperlink"/>
    <w:rsid w:val="00C743EC"/>
    <w:rPr>
      <w:color w:val="000000"/>
      <w:u w:val="single"/>
    </w:rPr>
  </w:style>
  <w:style w:type="paragraph" w:customStyle="1" w:styleId="StlusCmsor3Utna12pt">
    <w:name w:val="Stílus Címsor 3 + Utána:  12 pt"/>
    <w:basedOn w:val="Cmsor3"/>
    <w:rsid w:val="00F630A3"/>
    <w:pPr>
      <w:spacing w:after="240"/>
    </w:pPr>
  </w:style>
  <w:style w:type="paragraph" w:styleId="Buborkszveg">
    <w:name w:val="Balloon Text"/>
    <w:basedOn w:val="Norml"/>
    <w:semiHidden/>
    <w:rsid w:val="00187693"/>
    <w:pPr>
      <w:suppressAutoHyphens/>
    </w:pPr>
    <w:rPr>
      <w:rFonts w:ascii="Tahoma" w:hAnsi="Tahoma" w:cs="Tahoma"/>
      <w:sz w:val="16"/>
      <w:szCs w:val="16"/>
    </w:rPr>
  </w:style>
  <w:style w:type="paragraph" w:customStyle="1" w:styleId="bodytext2">
    <w:name w:val="bodytext2"/>
    <w:basedOn w:val="Norml"/>
    <w:rsid w:val="00FD0145"/>
    <w:pPr>
      <w:overflowPunct w:val="0"/>
      <w:autoSpaceDE w:val="0"/>
      <w:autoSpaceDN w:val="0"/>
      <w:ind w:left="360"/>
    </w:pPr>
    <w:rPr>
      <w:szCs w:val="26"/>
    </w:rPr>
  </w:style>
  <w:style w:type="character" w:customStyle="1" w:styleId="pm">
    <w:name w:val="pm"/>
    <w:semiHidden/>
    <w:rsid w:val="003F2FB9"/>
    <w:rPr>
      <w:rFonts w:ascii="Arial" w:hAnsi="Arial" w:cs="Arial"/>
      <w:color w:val="auto"/>
      <w:sz w:val="20"/>
      <w:szCs w:val="20"/>
    </w:rPr>
  </w:style>
  <w:style w:type="table" w:styleId="Rcsostblzat">
    <w:name w:val="Table Grid"/>
    <w:basedOn w:val="Normltblzat"/>
    <w:uiPriority w:val="59"/>
    <w:rsid w:val="00281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zvegtrzs3Char">
    <w:name w:val="Szövegtörzs 3 Char"/>
    <w:link w:val="Szvegtrzs3"/>
    <w:rsid w:val="003149E2"/>
    <w:rPr>
      <w:sz w:val="26"/>
    </w:rPr>
  </w:style>
  <w:style w:type="paragraph" w:styleId="Listaszerbekezds">
    <w:name w:val="List Paragraph"/>
    <w:basedOn w:val="Norml"/>
    <w:uiPriority w:val="34"/>
    <w:qFormat/>
    <w:rsid w:val="00947BCD"/>
    <w:pPr>
      <w:spacing w:after="200" w:line="276" w:lineRule="auto"/>
      <w:ind w:left="720"/>
      <w:contextualSpacing/>
      <w:jc w:val="left"/>
    </w:pPr>
    <w:rPr>
      <w:rFonts w:ascii="Calibri" w:eastAsia="Calibri" w:hAnsi="Calibri"/>
      <w:sz w:val="22"/>
      <w:szCs w:val="22"/>
      <w:lang w:eastAsia="en-US"/>
    </w:rPr>
  </w:style>
  <w:style w:type="paragraph" w:customStyle="1" w:styleId="Szvegtrzs210">
    <w:name w:val="Szövegtörzs 210"/>
    <w:basedOn w:val="Norml"/>
    <w:rsid w:val="009271B4"/>
    <w:pPr>
      <w:widowControl w:val="0"/>
      <w:ind w:left="570"/>
    </w:pPr>
    <w:rPr>
      <w:rFonts w:ascii="Times" w:hAnsi="Times"/>
    </w:rPr>
  </w:style>
  <w:style w:type="character" w:customStyle="1" w:styleId="Cmsor4Char">
    <w:name w:val="Címsor 4 Char"/>
    <w:link w:val="Cmsor4"/>
    <w:rsid w:val="000C18B6"/>
    <w:rPr>
      <w:b/>
      <w:sz w:val="26"/>
    </w:rPr>
  </w:style>
  <w:style w:type="character" w:customStyle="1" w:styleId="llbChar">
    <w:name w:val="Élőláb Char"/>
    <w:link w:val="llb"/>
    <w:uiPriority w:val="99"/>
    <w:rsid w:val="00700449"/>
    <w:rPr>
      <w:sz w:val="26"/>
    </w:rPr>
  </w:style>
  <w:style w:type="character" w:styleId="Kiemels">
    <w:name w:val="Emphasis"/>
    <w:uiPriority w:val="20"/>
    <w:qFormat/>
    <w:rsid w:val="006D4536"/>
    <w:rPr>
      <w:b/>
      <w:bCs/>
      <w:i w:val="0"/>
      <w:iCs w:val="0"/>
    </w:rPr>
  </w:style>
  <w:style w:type="character" w:customStyle="1" w:styleId="st">
    <w:name w:val="st"/>
    <w:rsid w:val="006D4536"/>
  </w:style>
  <w:style w:type="character" w:styleId="Jegyzethivatkozs">
    <w:name w:val="annotation reference"/>
    <w:uiPriority w:val="99"/>
    <w:rsid w:val="003908B8"/>
    <w:rPr>
      <w:sz w:val="16"/>
      <w:szCs w:val="16"/>
    </w:rPr>
  </w:style>
  <w:style w:type="paragraph" w:styleId="Jegyzetszveg">
    <w:name w:val="annotation text"/>
    <w:basedOn w:val="Norml"/>
    <w:link w:val="JegyzetszvegChar"/>
    <w:rsid w:val="003908B8"/>
    <w:rPr>
      <w:sz w:val="20"/>
    </w:rPr>
  </w:style>
  <w:style w:type="character" w:customStyle="1" w:styleId="JegyzetszvegChar">
    <w:name w:val="Jegyzetszöveg Char"/>
    <w:basedOn w:val="Bekezdsalapbettpusa"/>
    <w:link w:val="Jegyzetszveg"/>
    <w:rsid w:val="003908B8"/>
  </w:style>
  <w:style w:type="paragraph" w:styleId="Megjegyzstrgya">
    <w:name w:val="annotation subject"/>
    <w:basedOn w:val="Jegyzetszveg"/>
    <w:next w:val="Jegyzetszveg"/>
    <w:link w:val="MegjegyzstrgyaChar"/>
    <w:rsid w:val="003908B8"/>
    <w:rPr>
      <w:b/>
      <w:bCs/>
    </w:rPr>
  </w:style>
  <w:style w:type="character" w:customStyle="1" w:styleId="MegjegyzstrgyaChar">
    <w:name w:val="Megjegyzés tárgya Char"/>
    <w:link w:val="Megjegyzstrgya"/>
    <w:rsid w:val="003908B8"/>
    <w:rPr>
      <w:b/>
      <w:bCs/>
    </w:rPr>
  </w:style>
  <w:style w:type="paragraph" w:styleId="NormlWeb">
    <w:name w:val="Normal (Web)"/>
    <w:basedOn w:val="Norml"/>
    <w:uiPriority w:val="99"/>
    <w:unhideWhenUsed/>
    <w:rsid w:val="00F15565"/>
    <w:pPr>
      <w:spacing w:before="100" w:beforeAutospacing="1" w:after="100" w:afterAutospacing="1"/>
      <w:jc w:val="left"/>
    </w:pPr>
    <w:rPr>
      <w:sz w:val="24"/>
      <w:szCs w:val="24"/>
    </w:rPr>
  </w:style>
  <w:style w:type="paragraph" w:customStyle="1" w:styleId="lead">
    <w:name w:val="lead"/>
    <w:basedOn w:val="Norml"/>
    <w:rsid w:val="00F15565"/>
    <w:pPr>
      <w:spacing w:before="100" w:beforeAutospacing="1" w:after="100" w:afterAutospacing="1"/>
      <w:jc w:val="left"/>
    </w:pPr>
    <w:rPr>
      <w:sz w:val="24"/>
      <w:szCs w:val="24"/>
    </w:rPr>
  </w:style>
  <w:style w:type="character" w:customStyle="1" w:styleId="lfejChar">
    <w:name w:val="Élőfej Char"/>
    <w:link w:val="lfej"/>
    <w:uiPriority w:val="99"/>
    <w:rsid w:val="00881044"/>
    <w:rPr>
      <w:sz w:val="26"/>
    </w:rPr>
  </w:style>
  <w:style w:type="paragraph" w:customStyle="1" w:styleId="Default">
    <w:name w:val="Default"/>
    <w:rsid w:val="00737A62"/>
    <w:pPr>
      <w:autoSpaceDE w:val="0"/>
      <w:autoSpaceDN w:val="0"/>
      <w:adjustRightInd w:val="0"/>
    </w:pPr>
    <w:rPr>
      <w:rFonts w:ascii="Myriad Pro" w:eastAsiaTheme="minorHAnsi" w:hAnsi="Myriad Pro" w:cs="Myriad Pro"/>
      <w:color w:val="000000"/>
      <w:sz w:val="24"/>
      <w:szCs w:val="24"/>
      <w:lang w:eastAsia="en-US"/>
    </w:rPr>
  </w:style>
  <w:style w:type="table" w:customStyle="1" w:styleId="Tblzatrcsos1vilgos1jellszn1">
    <w:name w:val="Táblázat (rácsos) 1 – világos – 1. jelölőszín1"/>
    <w:basedOn w:val="Normltblzat"/>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1">
    <w:name w:val="normaltextrun1"/>
    <w:basedOn w:val="Bekezdsalapbettpusa"/>
    <w:rsid w:val="002D550F"/>
  </w:style>
  <w:style w:type="character" w:customStyle="1" w:styleId="Cmsor2Char">
    <w:name w:val="Címsor 2 Char"/>
    <w:basedOn w:val="Bekezdsalapbettpusa"/>
    <w:link w:val="Cmsor2"/>
    <w:rsid w:val="0083067D"/>
    <w:rPr>
      <w:b/>
      <w:iCs/>
      <w:cap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68036">
      <w:bodyDiv w:val="1"/>
      <w:marLeft w:val="0"/>
      <w:marRight w:val="0"/>
      <w:marTop w:val="0"/>
      <w:marBottom w:val="0"/>
      <w:divBdr>
        <w:top w:val="none" w:sz="0" w:space="0" w:color="auto"/>
        <w:left w:val="none" w:sz="0" w:space="0" w:color="auto"/>
        <w:bottom w:val="none" w:sz="0" w:space="0" w:color="auto"/>
        <w:right w:val="none" w:sz="0" w:space="0" w:color="auto"/>
      </w:divBdr>
    </w:div>
    <w:div w:id="28384293">
      <w:bodyDiv w:val="1"/>
      <w:marLeft w:val="0"/>
      <w:marRight w:val="0"/>
      <w:marTop w:val="0"/>
      <w:marBottom w:val="0"/>
      <w:divBdr>
        <w:top w:val="none" w:sz="0" w:space="0" w:color="auto"/>
        <w:left w:val="none" w:sz="0" w:space="0" w:color="auto"/>
        <w:bottom w:val="none" w:sz="0" w:space="0" w:color="auto"/>
        <w:right w:val="none" w:sz="0" w:space="0" w:color="auto"/>
      </w:divBdr>
    </w:div>
    <w:div w:id="36400119">
      <w:bodyDiv w:val="1"/>
      <w:marLeft w:val="0"/>
      <w:marRight w:val="0"/>
      <w:marTop w:val="0"/>
      <w:marBottom w:val="0"/>
      <w:divBdr>
        <w:top w:val="none" w:sz="0" w:space="0" w:color="auto"/>
        <w:left w:val="none" w:sz="0" w:space="0" w:color="auto"/>
        <w:bottom w:val="none" w:sz="0" w:space="0" w:color="auto"/>
        <w:right w:val="none" w:sz="0" w:space="0" w:color="auto"/>
      </w:divBdr>
    </w:div>
    <w:div w:id="41102839">
      <w:bodyDiv w:val="1"/>
      <w:marLeft w:val="0"/>
      <w:marRight w:val="0"/>
      <w:marTop w:val="0"/>
      <w:marBottom w:val="0"/>
      <w:divBdr>
        <w:top w:val="none" w:sz="0" w:space="0" w:color="auto"/>
        <w:left w:val="none" w:sz="0" w:space="0" w:color="auto"/>
        <w:bottom w:val="none" w:sz="0" w:space="0" w:color="auto"/>
        <w:right w:val="none" w:sz="0" w:space="0" w:color="auto"/>
      </w:divBdr>
    </w:div>
    <w:div w:id="53281613">
      <w:bodyDiv w:val="1"/>
      <w:marLeft w:val="0"/>
      <w:marRight w:val="0"/>
      <w:marTop w:val="0"/>
      <w:marBottom w:val="0"/>
      <w:divBdr>
        <w:top w:val="none" w:sz="0" w:space="0" w:color="auto"/>
        <w:left w:val="none" w:sz="0" w:space="0" w:color="auto"/>
        <w:bottom w:val="none" w:sz="0" w:space="0" w:color="auto"/>
        <w:right w:val="none" w:sz="0" w:space="0" w:color="auto"/>
      </w:divBdr>
    </w:div>
    <w:div w:id="55016142">
      <w:bodyDiv w:val="1"/>
      <w:marLeft w:val="0"/>
      <w:marRight w:val="0"/>
      <w:marTop w:val="0"/>
      <w:marBottom w:val="0"/>
      <w:divBdr>
        <w:top w:val="none" w:sz="0" w:space="0" w:color="auto"/>
        <w:left w:val="none" w:sz="0" w:space="0" w:color="auto"/>
        <w:bottom w:val="none" w:sz="0" w:space="0" w:color="auto"/>
        <w:right w:val="none" w:sz="0" w:space="0" w:color="auto"/>
      </w:divBdr>
    </w:div>
    <w:div w:id="65150505">
      <w:bodyDiv w:val="1"/>
      <w:marLeft w:val="0"/>
      <w:marRight w:val="0"/>
      <w:marTop w:val="0"/>
      <w:marBottom w:val="0"/>
      <w:divBdr>
        <w:top w:val="none" w:sz="0" w:space="0" w:color="auto"/>
        <w:left w:val="none" w:sz="0" w:space="0" w:color="auto"/>
        <w:bottom w:val="none" w:sz="0" w:space="0" w:color="auto"/>
        <w:right w:val="none" w:sz="0" w:space="0" w:color="auto"/>
      </w:divBdr>
    </w:div>
    <w:div w:id="67240560">
      <w:bodyDiv w:val="1"/>
      <w:marLeft w:val="0"/>
      <w:marRight w:val="0"/>
      <w:marTop w:val="0"/>
      <w:marBottom w:val="0"/>
      <w:divBdr>
        <w:top w:val="none" w:sz="0" w:space="0" w:color="auto"/>
        <w:left w:val="none" w:sz="0" w:space="0" w:color="auto"/>
        <w:bottom w:val="none" w:sz="0" w:space="0" w:color="auto"/>
        <w:right w:val="none" w:sz="0" w:space="0" w:color="auto"/>
      </w:divBdr>
    </w:div>
    <w:div w:id="69694883">
      <w:bodyDiv w:val="1"/>
      <w:marLeft w:val="0"/>
      <w:marRight w:val="0"/>
      <w:marTop w:val="0"/>
      <w:marBottom w:val="0"/>
      <w:divBdr>
        <w:top w:val="none" w:sz="0" w:space="0" w:color="auto"/>
        <w:left w:val="none" w:sz="0" w:space="0" w:color="auto"/>
        <w:bottom w:val="none" w:sz="0" w:space="0" w:color="auto"/>
        <w:right w:val="none" w:sz="0" w:space="0" w:color="auto"/>
      </w:divBdr>
    </w:div>
    <w:div w:id="72091074">
      <w:bodyDiv w:val="1"/>
      <w:marLeft w:val="0"/>
      <w:marRight w:val="0"/>
      <w:marTop w:val="0"/>
      <w:marBottom w:val="0"/>
      <w:divBdr>
        <w:top w:val="none" w:sz="0" w:space="0" w:color="auto"/>
        <w:left w:val="none" w:sz="0" w:space="0" w:color="auto"/>
        <w:bottom w:val="none" w:sz="0" w:space="0" w:color="auto"/>
        <w:right w:val="none" w:sz="0" w:space="0" w:color="auto"/>
      </w:divBdr>
    </w:div>
    <w:div w:id="83652861">
      <w:bodyDiv w:val="1"/>
      <w:marLeft w:val="0"/>
      <w:marRight w:val="0"/>
      <w:marTop w:val="0"/>
      <w:marBottom w:val="0"/>
      <w:divBdr>
        <w:top w:val="none" w:sz="0" w:space="0" w:color="auto"/>
        <w:left w:val="none" w:sz="0" w:space="0" w:color="auto"/>
        <w:bottom w:val="none" w:sz="0" w:space="0" w:color="auto"/>
        <w:right w:val="none" w:sz="0" w:space="0" w:color="auto"/>
      </w:divBdr>
    </w:div>
    <w:div w:id="99643172">
      <w:bodyDiv w:val="1"/>
      <w:marLeft w:val="0"/>
      <w:marRight w:val="0"/>
      <w:marTop w:val="0"/>
      <w:marBottom w:val="0"/>
      <w:divBdr>
        <w:top w:val="none" w:sz="0" w:space="0" w:color="auto"/>
        <w:left w:val="none" w:sz="0" w:space="0" w:color="auto"/>
        <w:bottom w:val="none" w:sz="0" w:space="0" w:color="auto"/>
        <w:right w:val="none" w:sz="0" w:space="0" w:color="auto"/>
      </w:divBdr>
    </w:div>
    <w:div w:id="99958094">
      <w:bodyDiv w:val="1"/>
      <w:marLeft w:val="0"/>
      <w:marRight w:val="0"/>
      <w:marTop w:val="0"/>
      <w:marBottom w:val="0"/>
      <w:divBdr>
        <w:top w:val="none" w:sz="0" w:space="0" w:color="auto"/>
        <w:left w:val="none" w:sz="0" w:space="0" w:color="auto"/>
        <w:bottom w:val="none" w:sz="0" w:space="0" w:color="auto"/>
        <w:right w:val="none" w:sz="0" w:space="0" w:color="auto"/>
      </w:divBdr>
    </w:div>
    <w:div w:id="100415675">
      <w:bodyDiv w:val="1"/>
      <w:marLeft w:val="0"/>
      <w:marRight w:val="0"/>
      <w:marTop w:val="0"/>
      <w:marBottom w:val="0"/>
      <w:divBdr>
        <w:top w:val="none" w:sz="0" w:space="0" w:color="auto"/>
        <w:left w:val="none" w:sz="0" w:space="0" w:color="auto"/>
        <w:bottom w:val="none" w:sz="0" w:space="0" w:color="auto"/>
        <w:right w:val="none" w:sz="0" w:space="0" w:color="auto"/>
      </w:divBdr>
    </w:div>
    <w:div w:id="112526933">
      <w:bodyDiv w:val="1"/>
      <w:marLeft w:val="0"/>
      <w:marRight w:val="0"/>
      <w:marTop w:val="0"/>
      <w:marBottom w:val="0"/>
      <w:divBdr>
        <w:top w:val="none" w:sz="0" w:space="0" w:color="auto"/>
        <w:left w:val="none" w:sz="0" w:space="0" w:color="auto"/>
        <w:bottom w:val="none" w:sz="0" w:space="0" w:color="auto"/>
        <w:right w:val="none" w:sz="0" w:space="0" w:color="auto"/>
      </w:divBdr>
    </w:div>
    <w:div w:id="112943691">
      <w:bodyDiv w:val="1"/>
      <w:marLeft w:val="0"/>
      <w:marRight w:val="0"/>
      <w:marTop w:val="0"/>
      <w:marBottom w:val="0"/>
      <w:divBdr>
        <w:top w:val="none" w:sz="0" w:space="0" w:color="auto"/>
        <w:left w:val="none" w:sz="0" w:space="0" w:color="auto"/>
        <w:bottom w:val="none" w:sz="0" w:space="0" w:color="auto"/>
        <w:right w:val="none" w:sz="0" w:space="0" w:color="auto"/>
      </w:divBdr>
    </w:div>
    <w:div w:id="132792457">
      <w:bodyDiv w:val="1"/>
      <w:marLeft w:val="0"/>
      <w:marRight w:val="0"/>
      <w:marTop w:val="0"/>
      <w:marBottom w:val="0"/>
      <w:divBdr>
        <w:top w:val="none" w:sz="0" w:space="0" w:color="auto"/>
        <w:left w:val="none" w:sz="0" w:space="0" w:color="auto"/>
        <w:bottom w:val="none" w:sz="0" w:space="0" w:color="auto"/>
        <w:right w:val="none" w:sz="0" w:space="0" w:color="auto"/>
      </w:divBdr>
    </w:div>
    <w:div w:id="141243291">
      <w:bodyDiv w:val="1"/>
      <w:marLeft w:val="0"/>
      <w:marRight w:val="0"/>
      <w:marTop w:val="0"/>
      <w:marBottom w:val="0"/>
      <w:divBdr>
        <w:top w:val="none" w:sz="0" w:space="0" w:color="auto"/>
        <w:left w:val="none" w:sz="0" w:space="0" w:color="auto"/>
        <w:bottom w:val="none" w:sz="0" w:space="0" w:color="auto"/>
        <w:right w:val="none" w:sz="0" w:space="0" w:color="auto"/>
      </w:divBdr>
    </w:div>
    <w:div w:id="144244819">
      <w:bodyDiv w:val="1"/>
      <w:marLeft w:val="0"/>
      <w:marRight w:val="0"/>
      <w:marTop w:val="0"/>
      <w:marBottom w:val="0"/>
      <w:divBdr>
        <w:top w:val="none" w:sz="0" w:space="0" w:color="auto"/>
        <w:left w:val="none" w:sz="0" w:space="0" w:color="auto"/>
        <w:bottom w:val="none" w:sz="0" w:space="0" w:color="auto"/>
        <w:right w:val="none" w:sz="0" w:space="0" w:color="auto"/>
      </w:divBdr>
    </w:div>
    <w:div w:id="176233101">
      <w:bodyDiv w:val="1"/>
      <w:marLeft w:val="0"/>
      <w:marRight w:val="0"/>
      <w:marTop w:val="0"/>
      <w:marBottom w:val="0"/>
      <w:divBdr>
        <w:top w:val="none" w:sz="0" w:space="0" w:color="auto"/>
        <w:left w:val="none" w:sz="0" w:space="0" w:color="auto"/>
        <w:bottom w:val="none" w:sz="0" w:space="0" w:color="auto"/>
        <w:right w:val="none" w:sz="0" w:space="0" w:color="auto"/>
      </w:divBdr>
    </w:div>
    <w:div w:id="176383975">
      <w:bodyDiv w:val="1"/>
      <w:marLeft w:val="0"/>
      <w:marRight w:val="0"/>
      <w:marTop w:val="0"/>
      <w:marBottom w:val="0"/>
      <w:divBdr>
        <w:top w:val="none" w:sz="0" w:space="0" w:color="auto"/>
        <w:left w:val="none" w:sz="0" w:space="0" w:color="auto"/>
        <w:bottom w:val="none" w:sz="0" w:space="0" w:color="auto"/>
        <w:right w:val="none" w:sz="0" w:space="0" w:color="auto"/>
      </w:divBdr>
    </w:div>
    <w:div w:id="179512026">
      <w:bodyDiv w:val="1"/>
      <w:marLeft w:val="0"/>
      <w:marRight w:val="0"/>
      <w:marTop w:val="0"/>
      <w:marBottom w:val="0"/>
      <w:divBdr>
        <w:top w:val="none" w:sz="0" w:space="0" w:color="auto"/>
        <w:left w:val="none" w:sz="0" w:space="0" w:color="auto"/>
        <w:bottom w:val="none" w:sz="0" w:space="0" w:color="auto"/>
        <w:right w:val="none" w:sz="0" w:space="0" w:color="auto"/>
      </w:divBdr>
    </w:div>
    <w:div w:id="194008701">
      <w:bodyDiv w:val="1"/>
      <w:marLeft w:val="0"/>
      <w:marRight w:val="0"/>
      <w:marTop w:val="0"/>
      <w:marBottom w:val="0"/>
      <w:divBdr>
        <w:top w:val="none" w:sz="0" w:space="0" w:color="auto"/>
        <w:left w:val="none" w:sz="0" w:space="0" w:color="auto"/>
        <w:bottom w:val="none" w:sz="0" w:space="0" w:color="auto"/>
        <w:right w:val="none" w:sz="0" w:space="0" w:color="auto"/>
      </w:divBdr>
    </w:div>
    <w:div w:id="220872549">
      <w:bodyDiv w:val="1"/>
      <w:marLeft w:val="0"/>
      <w:marRight w:val="0"/>
      <w:marTop w:val="0"/>
      <w:marBottom w:val="0"/>
      <w:divBdr>
        <w:top w:val="none" w:sz="0" w:space="0" w:color="auto"/>
        <w:left w:val="none" w:sz="0" w:space="0" w:color="auto"/>
        <w:bottom w:val="none" w:sz="0" w:space="0" w:color="auto"/>
        <w:right w:val="none" w:sz="0" w:space="0" w:color="auto"/>
      </w:divBdr>
    </w:div>
    <w:div w:id="239605184">
      <w:bodyDiv w:val="1"/>
      <w:marLeft w:val="0"/>
      <w:marRight w:val="0"/>
      <w:marTop w:val="0"/>
      <w:marBottom w:val="0"/>
      <w:divBdr>
        <w:top w:val="none" w:sz="0" w:space="0" w:color="auto"/>
        <w:left w:val="none" w:sz="0" w:space="0" w:color="auto"/>
        <w:bottom w:val="none" w:sz="0" w:space="0" w:color="auto"/>
        <w:right w:val="none" w:sz="0" w:space="0" w:color="auto"/>
      </w:divBdr>
    </w:div>
    <w:div w:id="239684278">
      <w:bodyDiv w:val="1"/>
      <w:marLeft w:val="0"/>
      <w:marRight w:val="0"/>
      <w:marTop w:val="0"/>
      <w:marBottom w:val="0"/>
      <w:divBdr>
        <w:top w:val="none" w:sz="0" w:space="0" w:color="auto"/>
        <w:left w:val="none" w:sz="0" w:space="0" w:color="auto"/>
        <w:bottom w:val="none" w:sz="0" w:space="0" w:color="auto"/>
        <w:right w:val="none" w:sz="0" w:space="0" w:color="auto"/>
      </w:divBdr>
    </w:div>
    <w:div w:id="240531394">
      <w:bodyDiv w:val="1"/>
      <w:marLeft w:val="0"/>
      <w:marRight w:val="0"/>
      <w:marTop w:val="0"/>
      <w:marBottom w:val="0"/>
      <w:divBdr>
        <w:top w:val="none" w:sz="0" w:space="0" w:color="auto"/>
        <w:left w:val="none" w:sz="0" w:space="0" w:color="auto"/>
        <w:bottom w:val="none" w:sz="0" w:space="0" w:color="auto"/>
        <w:right w:val="none" w:sz="0" w:space="0" w:color="auto"/>
      </w:divBdr>
    </w:div>
    <w:div w:id="240649160">
      <w:bodyDiv w:val="1"/>
      <w:marLeft w:val="0"/>
      <w:marRight w:val="0"/>
      <w:marTop w:val="0"/>
      <w:marBottom w:val="0"/>
      <w:divBdr>
        <w:top w:val="none" w:sz="0" w:space="0" w:color="auto"/>
        <w:left w:val="none" w:sz="0" w:space="0" w:color="auto"/>
        <w:bottom w:val="none" w:sz="0" w:space="0" w:color="auto"/>
        <w:right w:val="none" w:sz="0" w:space="0" w:color="auto"/>
      </w:divBdr>
    </w:div>
    <w:div w:id="251469864">
      <w:bodyDiv w:val="1"/>
      <w:marLeft w:val="0"/>
      <w:marRight w:val="0"/>
      <w:marTop w:val="0"/>
      <w:marBottom w:val="0"/>
      <w:divBdr>
        <w:top w:val="none" w:sz="0" w:space="0" w:color="auto"/>
        <w:left w:val="none" w:sz="0" w:space="0" w:color="auto"/>
        <w:bottom w:val="none" w:sz="0" w:space="0" w:color="auto"/>
        <w:right w:val="none" w:sz="0" w:space="0" w:color="auto"/>
      </w:divBdr>
    </w:div>
    <w:div w:id="255404554">
      <w:bodyDiv w:val="1"/>
      <w:marLeft w:val="0"/>
      <w:marRight w:val="0"/>
      <w:marTop w:val="0"/>
      <w:marBottom w:val="0"/>
      <w:divBdr>
        <w:top w:val="none" w:sz="0" w:space="0" w:color="auto"/>
        <w:left w:val="none" w:sz="0" w:space="0" w:color="auto"/>
        <w:bottom w:val="none" w:sz="0" w:space="0" w:color="auto"/>
        <w:right w:val="none" w:sz="0" w:space="0" w:color="auto"/>
      </w:divBdr>
    </w:div>
    <w:div w:id="257064155">
      <w:bodyDiv w:val="1"/>
      <w:marLeft w:val="0"/>
      <w:marRight w:val="0"/>
      <w:marTop w:val="0"/>
      <w:marBottom w:val="0"/>
      <w:divBdr>
        <w:top w:val="none" w:sz="0" w:space="0" w:color="auto"/>
        <w:left w:val="none" w:sz="0" w:space="0" w:color="auto"/>
        <w:bottom w:val="none" w:sz="0" w:space="0" w:color="auto"/>
        <w:right w:val="none" w:sz="0" w:space="0" w:color="auto"/>
      </w:divBdr>
    </w:div>
    <w:div w:id="281766605">
      <w:bodyDiv w:val="1"/>
      <w:marLeft w:val="0"/>
      <w:marRight w:val="0"/>
      <w:marTop w:val="0"/>
      <w:marBottom w:val="0"/>
      <w:divBdr>
        <w:top w:val="none" w:sz="0" w:space="0" w:color="auto"/>
        <w:left w:val="none" w:sz="0" w:space="0" w:color="auto"/>
        <w:bottom w:val="none" w:sz="0" w:space="0" w:color="auto"/>
        <w:right w:val="none" w:sz="0" w:space="0" w:color="auto"/>
      </w:divBdr>
    </w:div>
    <w:div w:id="284392711">
      <w:bodyDiv w:val="1"/>
      <w:marLeft w:val="0"/>
      <w:marRight w:val="0"/>
      <w:marTop w:val="0"/>
      <w:marBottom w:val="0"/>
      <w:divBdr>
        <w:top w:val="none" w:sz="0" w:space="0" w:color="auto"/>
        <w:left w:val="none" w:sz="0" w:space="0" w:color="auto"/>
        <w:bottom w:val="none" w:sz="0" w:space="0" w:color="auto"/>
        <w:right w:val="none" w:sz="0" w:space="0" w:color="auto"/>
      </w:divBdr>
    </w:div>
    <w:div w:id="303589234">
      <w:bodyDiv w:val="1"/>
      <w:marLeft w:val="0"/>
      <w:marRight w:val="0"/>
      <w:marTop w:val="0"/>
      <w:marBottom w:val="0"/>
      <w:divBdr>
        <w:top w:val="none" w:sz="0" w:space="0" w:color="auto"/>
        <w:left w:val="none" w:sz="0" w:space="0" w:color="auto"/>
        <w:bottom w:val="none" w:sz="0" w:space="0" w:color="auto"/>
        <w:right w:val="none" w:sz="0" w:space="0" w:color="auto"/>
      </w:divBdr>
    </w:div>
    <w:div w:id="317005482">
      <w:bodyDiv w:val="1"/>
      <w:marLeft w:val="0"/>
      <w:marRight w:val="0"/>
      <w:marTop w:val="0"/>
      <w:marBottom w:val="0"/>
      <w:divBdr>
        <w:top w:val="none" w:sz="0" w:space="0" w:color="auto"/>
        <w:left w:val="none" w:sz="0" w:space="0" w:color="auto"/>
        <w:bottom w:val="none" w:sz="0" w:space="0" w:color="auto"/>
        <w:right w:val="none" w:sz="0" w:space="0" w:color="auto"/>
      </w:divBdr>
    </w:div>
    <w:div w:id="340012044">
      <w:bodyDiv w:val="1"/>
      <w:marLeft w:val="0"/>
      <w:marRight w:val="0"/>
      <w:marTop w:val="0"/>
      <w:marBottom w:val="0"/>
      <w:divBdr>
        <w:top w:val="none" w:sz="0" w:space="0" w:color="auto"/>
        <w:left w:val="none" w:sz="0" w:space="0" w:color="auto"/>
        <w:bottom w:val="none" w:sz="0" w:space="0" w:color="auto"/>
        <w:right w:val="none" w:sz="0" w:space="0" w:color="auto"/>
      </w:divBdr>
    </w:div>
    <w:div w:id="340087641">
      <w:bodyDiv w:val="1"/>
      <w:marLeft w:val="0"/>
      <w:marRight w:val="0"/>
      <w:marTop w:val="0"/>
      <w:marBottom w:val="0"/>
      <w:divBdr>
        <w:top w:val="none" w:sz="0" w:space="0" w:color="auto"/>
        <w:left w:val="none" w:sz="0" w:space="0" w:color="auto"/>
        <w:bottom w:val="none" w:sz="0" w:space="0" w:color="auto"/>
        <w:right w:val="none" w:sz="0" w:space="0" w:color="auto"/>
      </w:divBdr>
    </w:div>
    <w:div w:id="355614950">
      <w:bodyDiv w:val="1"/>
      <w:marLeft w:val="0"/>
      <w:marRight w:val="0"/>
      <w:marTop w:val="0"/>
      <w:marBottom w:val="0"/>
      <w:divBdr>
        <w:top w:val="none" w:sz="0" w:space="0" w:color="auto"/>
        <w:left w:val="none" w:sz="0" w:space="0" w:color="auto"/>
        <w:bottom w:val="none" w:sz="0" w:space="0" w:color="auto"/>
        <w:right w:val="none" w:sz="0" w:space="0" w:color="auto"/>
      </w:divBdr>
    </w:div>
    <w:div w:id="356154404">
      <w:bodyDiv w:val="1"/>
      <w:marLeft w:val="0"/>
      <w:marRight w:val="0"/>
      <w:marTop w:val="0"/>
      <w:marBottom w:val="0"/>
      <w:divBdr>
        <w:top w:val="none" w:sz="0" w:space="0" w:color="auto"/>
        <w:left w:val="none" w:sz="0" w:space="0" w:color="auto"/>
        <w:bottom w:val="none" w:sz="0" w:space="0" w:color="auto"/>
        <w:right w:val="none" w:sz="0" w:space="0" w:color="auto"/>
      </w:divBdr>
    </w:div>
    <w:div w:id="358436226">
      <w:bodyDiv w:val="1"/>
      <w:marLeft w:val="0"/>
      <w:marRight w:val="0"/>
      <w:marTop w:val="0"/>
      <w:marBottom w:val="0"/>
      <w:divBdr>
        <w:top w:val="none" w:sz="0" w:space="0" w:color="auto"/>
        <w:left w:val="none" w:sz="0" w:space="0" w:color="auto"/>
        <w:bottom w:val="none" w:sz="0" w:space="0" w:color="auto"/>
        <w:right w:val="none" w:sz="0" w:space="0" w:color="auto"/>
      </w:divBdr>
    </w:div>
    <w:div w:id="359674158">
      <w:bodyDiv w:val="1"/>
      <w:marLeft w:val="0"/>
      <w:marRight w:val="0"/>
      <w:marTop w:val="0"/>
      <w:marBottom w:val="0"/>
      <w:divBdr>
        <w:top w:val="none" w:sz="0" w:space="0" w:color="auto"/>
        <w:left w:val="none" w:sz="0" w:space="0" w:color="auto"/>
        <w:bottom w:val="none" w:sz="0" w:space="0" w:color="auto"/>
        <w:right w:val="none" w:sz="0" w:space="0" w:color="auto"/>
      </w:divBdr>
    </w:div>
    <w:div w:id="363796596">
      <w:bodyDiv w:val="1"/>
      <w:marLeft w:val="0"/>
      <w:marRight w:val="0"/>
      <w:marTop w:val="0"/>
      <w:marBottom w:val="0"/>
      <w:divBdr>
        <w:top w:val="none" w:sz="0" w:space="0" w:color="auto"/>
        <w:left w:val="none" w:sz="0" w:space="0" w:color="auto"/>
        <w:bottom w:val="none" w:sz="0" w:space="0" w:color="auto"/>
        <w:right w:val="none" w:sz="0" w:space="0" w:color="auto"/>
      </w:divBdr>
    </w:div>
    <w:div w:id="366292745">
      <w:bodyDiv w:val="1"/>
      <w:marLeft w:val="0"/>
      <w:marRight w:val="0"/>
      <w:marTop w:val="0"/>
      <w:marBottom w:val="0"/>
      <w:divBdr>
        <w:top w:val="none" w:sz="0" w:space="0" w:color="auto"/>
        <w:left w:val="none" w:sz="0" w:space="0" w:color="auto"/>
        <w:bottom w:val="none" w:sz="0" w:space="0" w:color="auto"/>
        <w:right w:val="none" w:sz="0" w:space="0" w:color="auto"/>
      </w:divBdr>
    </w:div>
    <w:div w:id="368576189">
      <w:bodyDiv w:val="1"/>
      <w:marLeft w:val="0"/>
      <w:marRight w:val="0"/>
      <w:marTop w:val="0"/>
      <w:marBottom w:val="0"/>
      <w:divBdr>
        <w:top w:val="none" w:sz="0" w:space="0" w:color="auto"/>
        <w:left w:val="none" w:sz="0" w:space="0" w:color="auto"/>
        <w:bottom w:val="none" w:sz="0" w:space="0" w:color="auto"/>
        <w:right w:val="none" w:sz="0" w:space="0" w:color="auto"/>
      </w:divBdr>
    </w:div>
    <w:div w:id="370804839">
      <w:bodyDiv w:val="1"/>
      <w:marLeft w:val="0"/>
      <w:marRight w:val="0"/>
      <w:marTop w:val="0"/>
      <w:marBottom w:val="0"/>
      <w:divBdr>
        <w:top w:val="none" w:sz="0" w:space="0" w:color="auto"/>
        <w:left w:val="none" w:sz="0" w:space="0" w:color="auto"/>
        <w:bottom w:val="none" w:sz="0" w:space="0" w:color="auto"/>
        <w:right w:val="none" w:sz="0" w:space="0" w:color="auto"/>
      </w:divBdr>
    </w:div>
    <w:div w:id="382870823">
      <w:bodyDiv w:val="1"/>
      <w:marLeft w:val="0"/>
      <w:marRight w:val="0"/>
      <w:marTop w:val="0"/>
      <w:marBottom w:val="0"/>
      <w:divBdr>
        <w:top w:val="none" w:sz="0" w:space="0" w:color="auto"/>
        <w:left w:val="none" w:sz="0" w:space="0" w:color="auto"/>
        <w:bottom w:val="none" w:sz="0" w:space="0" w:color="auto"/>
        <w:right w:val="none" w:sz="0" w:space="0" w:color="auto"/>
      </w:divBdr>
    </w:div>
    <w:div w:id="388308846">
      <w:bodyDiv w:val="1"/>
      <w:marLeft w:val="0"/>
      <w:marRight w:val="0"/>
      <w:marTop w:val="0"/>
      <w:marBottom w:val="0"/>
      <w:divBdr>
        <w:top w:val="none" w:sz="0" w:space="0" w:color="auto"/>
        <w:left w:val="none" w:sz="0" w:space="0" w:color="auto"/>
        <w:bottom w:val="none" w:sz="0" w:space="0" w:color="auto"/>
        <w:right w:val="none" w:sz="0" w:space="0" w:color="auto"/>
      </w:divBdr>
    </w:div>
    <w:div w:id="391005734">
      <w:bodyDiv w:val="1"/>
      <w:marLeft w:val="0"/>
      <w:marRight w:val="0"/>
      <w:marTop w:val="0"/>
      <w:marBottom w:val="0"/>
      <w:divBdr>
        <w:top w:val="none" w:sz="0" w:space="0" w:color="auto"/>
        <w:left w:val="none" w:sz="0" w:space="0" w:color="auto"/>
        <w:bottom w:val="none" w:sz="0" w:space="0" w:color="auto"/>
        <w:right w:val="none" w:sz="0" w:space="0" w:color="auto"/>
      </w:divBdr>
    </w:div>
    <w:div w:id="392198883">
      <w:bodyDiv w:val="1"/>
      <w:marLeft w:val="0"/>
      <w:marRight w:val="0"/>
      <w:marTop w:val="0"/>
      <w:marBottom w:val="0"/>
      <w:divBdr>
        <w:top w:val="none" w:sz="0" w:space="0" w:color="auto"/>
        <w:left w:val="none" w:sz="0" w:space="0" w:color="auto"/>
        <w:bottom w:val="none" w:sz="0" w:space="0" w:color="auto"/>
        <w:right w:val="none" w:sz="0" w:space="0" w:color="auto"/>
      </w:divBdr>
    </w:div>
    <w:div w:id="403452250">
      <w:bodyDiv w:val="1"/>
      <w:marLeft w:val="0"/>
      <w:marRight w:val="0"/>
      <w:marTop w:val="0"/>
      <w:marBottom w:val="0"/>
      <w:divBdr>
        <w:top w:val="none" w:sz="0" w:space="0" w:color="auto"/>
        <w:left w:val="none" w:sz="0" w:space="0" w:color="auto"/>
        <w:bottom w:val="none" w:sz="0" w:space="0" w:color="auto"/>
        <w:right w:val="none" w:sz="0" w:space="0" w:color="auto"/>
      </w:divBdr>
    </w:div>
    <w:div w:id="407192575">
      <w:bodyDiv w:val="1"/>
      <w:marLeft w:val="0"/>
      <w:marRight w:val="0"/>
      <w:marTop w:val="0"/>
      <w:marBottom w:val="0"/>
      <w:divBdr>
        <w:top w:val="none" w:sz="0" w:space="0" w:color="auto"/>
        <w:left w:val="none" w:sz="0" w:space="0" w:color="auto"/>
        <w:bottom w:val="none" w:sz="0" w:space="0" w:color="auto"/>
        <w:right w:val="none" w:sz="0" w:space="0" w:color="auto"/>
      </w:divBdr>
    </w:div>
    <w:div w:id="409697701">
      <w:bodyDiv w:val="1"/>
      <w:marLeft w:val="0"/>
      <w:marRight w:val="0"/>
      <w:marTop w:val="0"/>
      <w:marBottom w:val="0"/>
      <w:divBdr>
        <w:top w:val="none" w:sz="0" w:space="0" w:color="auto"/>
        <w:left w:val="none" w:sz="0" w:space="0" w:color="auto"/>
        <w:bottom w:val="none" w:sz="0" w:space="0" w:color="auto"/>
        <w:right w:val="none" w:sz="0" w:space="0" w:color="auto"/>
      </w:divBdr>
    </w:div>
    <w:div w:id="413167103">
      <w:bodyDiv w:val="1"/>
      <w:marLeft w:val="0"/>
      <w:marRight w:val="0"/>
      <w:marTop w:val="0"/>
      <w:marBottom w:val="0"/>
      <w:divBdr>
        <w:top w:val="none" w:sz="0" w:space="0" w:color="auto"/>
        <w:left w:val="none" w:sz="0" w:space="0" w:color="auto"/>
        <w:bottom w:val="none" w:sz="0" w:space="0" w:color="auto"/>
        <w:right w:val="none" w:sz="0" w:space="0" w:color="auto"/>
      </w:divBdr>
    </w:div>
    <w:div w:id="421337785">
      <w:bodyDiv w:val="1"/>
      <w:marLeft w:val="0"/>
      <w:marRight w:val="0"/>
      <w:marTop w:val="0"/>
      <w:marBottom w:val="0"/>
      <w:divBdr>
        <w:top w:val="none" w:sz="0" w:space="0" w:color="auto"/>
        <w:left w:val="none" w:sz="0" w:space="0" w:color="auto"/>
        <w:bottom w:val="none" w:sz="0" w:space="0" w:color="auto"/>
        <w:right w:val="none" w:sz="0" w:space="0" w:color="auto"/>
      </w:divBdr>
    </w:div>
    <w:div w:id="430703879">
      <w:bodyDiv w:val="1"/>
      <w:marLeft w:val="0"/>
      <w:marRight w:val="0"/>
      <w:marTop w:val="0"/>
      <w:marBottom w:val="0"/>
      <w:divBdr>
        <w:top w:val="none" w:sz="0" w:space="0" w:color="auto"/>
        <w:left w:val="none" w:sz="0" w:space="0" w:color="auto"/>
        <w:bottom w:val="none" w:sz="0" w:space="0" w:color="auto"/>
        <w:right w:val="none" w:sz="0" w:space="0" w:color="auto"/>
      </w:divBdr>
    </w:div>
    <w:div w:id="430854683">
      <w:bodyDiv w:val="1"/>
      <w:marLeft w:val="0"/>
      <w:marRight w:val="0"/>
      <w:marTop w:val="0"/>
      <w:marBottom w:val="0"/>
      <w:divBdr>
        <w:top w:val="none" w:sz="0" w:space="0" w:color="auto"/>
        <w:left w:val="none" w:sz="0" w:space="0" w:color="auto"/>
        <w:bottom w:val="none" w:sz="0" w:space="0" w:color="auto"/>
        <w:right w:val="none" w:sz="0" w:space="0" w:color="auto"/>
      </w:divBdr>
    </w:div>
    <w:div w:id="436946753">
      <w:bodyDiv w:val="1"/>
      <w:marLeft w:val="0"/>
      <w:marRight w:val="0"/>
      <w:marTop w:val="0"/>
      <w:marBottom w:val="0"/>
      <w:divBdr>
        <w:top w:val="none" w:sz="0" w:space="0" w:color="auto"/>
        <w:left w:val="none" w:sz="0" w:space="0" w:color="auto"/>
        <w:bottom w:val="none" w:sz="0" w:space="0" w:color="auto"/>
        <w:right w:val="none" w:sz="0" w:space="0" w:color="auto"/>
      </w:divBdr>
    </w:div>
    <w:div w:id="451562090">
      <w:bodyDiv w:val="1"/>
      <w:marLeft w:val="0"/>
      <w:marRight w:val="0"/>
      <w:marTop w:val="0"/>
      <w:marBottom w:val="0"/>
      <w:divBdr>
        <w:top w:val="none" w:sz="0" w:space="0" w:color="auto"/>
        <w:left w:val="none" w:sz="0" w:space="0" w:color="auto"/>
        <w:bottom w:val="none" w:sz="0" w:space="0" w:color="auto"/>
        <w:right w:val="none" w:sz="0" w:space="0" w:color="auto"/>
      </w:divBdr>
    </w:div>
    <w:div w:id="459149233">
      <w:bodyDiv w:val="1"/>
      <w:marLeft w:val="0"/>
      <w:marRight w:val="0"/>
      <w:marTop w:val="0"/>
      <w:marBottom w:val="0"/>
      <w:divBdr>
        <w:top w:val="none" w:sz="0" w:space="0" w:color="auto"/>
        <w:left w:val="none" w:sz="0" w:space="0" w:color="auto"/>
        <w:bottom w:val="none" w:sz="0" w:space="0" w:color="auto"/>
        <w:right w:val="none" w:sz="0" w:space="0" w:color="auto"/>
      </w:divBdr>
      <w:divsChild>
        <w:div w:id="1352875463">
          <w:marLeft w:val="0"/>
          <w:marRight w:val="0"/>
          <w:marTop w:val="0"/>
          <w:marBottom w:val="0"/>
          <w:divBdr>
            <w:top w:val="none" w:sz="0" w:space="0" w:color="auto"/>
            <w:left w:val="none" w:sz="0" w:space="0" w:color="auto"/>
            <w:bottom w:val="none" w:sz="0" w:space="0" w:color="auto"/>
            <w:right w:val="none" w:sz="0" w:space="0" w:color="auto"/>
          </w:divBdr>
        </w:div>
      </w:divsChild>
    </w:div>
    <w:div w:id="467431237">
      <w:bodyDiv w:val="1"/>
      <w:marLeft w:val="0"/>
      <w:marRight w:val="0"/>
      <w:marTop w:val="0"/>
      <w:marBottom w:val="0"/>
      <w:divBdr>
        <w:top w:val="none" w:sz="0" w:space="0" w:color="auto"/>
        <w:left w:val="none" w:sz="0" w:space="0" w:color="auto"/>
        <w:bottom w:val="none" w:sz="0" w:space="0" w:color="auto"/>
        <w:right w:val="none" w:sz="0" w:space="0" w:color="auto"/>
      </w:divBdr>
    </w:div>
    <w:div w:id="472529130">
      <w:bodyDiv w:val="1"/>
      <w:marLeft w:val="0"/>
      <w:marRight w:val="0"/>
      <w:marTop w:val="0"/>
      <w:marBottom w:val="0"/>
      <w:divBdr>
        <w:top w:val="none" w:sz="0" w:space="0" w:color="auto"/>
        <w:left w:val="none" w:sz="0" w:space="0" w:color="auto"/>
        <w:bottom w:val="none" w:sz="0" w:space="0" w:color="auto"/>
        <w:right w:val="none" w:sz="0" w:space="0" w:color="auto"/>
      </w:divBdr>
    </w:div>
    <w:div w:id="478621439">
      <w:bodyDiv w:val="1"/>
      <w:marLeft w:val="0"/>
      <w:marRight w:val="0"/>
      <w:marTop w:val="0"/>
      <w:marBottom w:val="0"/>
      <w:divBdr>
        <w:top w:val="none" w:sz="0" w:space="0" w:color="auto"/>
        <w:left w:val="none" w:sz="0" w:space="0" w:color="auto"/>
        <w:bottom w:val="none" w:sz="0" w:space="0" w:color="auto"/>
        <w:right w:val="none" w:sz="0" w:space="0" w:color="auto"/>
      </w:divBdr>
    </w:div>
    <w:div w:id="480343293">
      <w:bodyDiv w:val="1"/>
      <w:marLeft w:val="0"/>
      <w:marRight w:val="0"/>
      <w:marTop w:val="0"/>
      <w:marBottom w:val="0"/>
      <w:divBdr>
        <w:top w:val="none" w:sz="0" w:space="0" w:color="auto"/>
        <w:left w:val="none" w:sz="0" w:space="0" w:color="auto"/>
        <w:bottom w:val="none" w:sz="0" w:space="0" w:color="auto"/>
        <w:right w:val="none" w:sz="0" w:space="0" w:color="auto"/>
      </w:divBdr>
    </w:div>
    <w:div w:id="486940887">
      <w:bodyDiv w:val="1"/>
      <w:marLeft w:val="0"/>
      <w:marRight w:val="0"/>
      <w:marTop w:val="0"/>
      <w:marBottom w:val="0"/>
      <w:divBdr>
        <w:top w:val="none" w:sz="0" w:space="0" w:color="auto"/>
        <w:left w:val="none" w:sz="0" w:space="0" w:color="auto"/>
        <w:bottom w:val="none" w:sz="0" w:space="0" w:color="auto"/>
        <w:right w:val="none" w:sz="0" w:space="0" w:color="auto"/>
      </w:divBdr>
    </w:div>
    <w:div w:id="492717922">
      <w:bodyDiv w:val="1"/>
      <w:marLeft w:val="0"/>
      <w:marRight w:val="0"/>
      <w:marTop w:val="0"/>
      <w:marBottom w:val="0"/>
      <w:divBdr>
        <w:top w:val="none" w:sz="0" w:space="0" w:color="auto"/>
        <w:left w:val="none" w:sz="0" w:space="0" w:color="auto"/>
        <w:bottom w:val="none" w:sz="0" w:space="0" w:color="auto"/>
        <w:right w:val="none" w:sz="0" w:space="0" w:color="auto"/>
      </w:divBdr>
    </w:div>
    <w:div w:id="497041440">
      <w:bodyDiv w:val="1"/>
      <w:marLeft w:val="0"/>
      <w:marRight w:val="0"/>
      <w:marTop w:val="0"/>
      <w:marBottom w:val="0"/>
      <w:divBdr>
        <w:top w:val="none" w:sz="0" w:space="0" w:color="auto"/>
        <w:left w:val="none" w:sz="0" w:space="0" w:color="auto"/>
        <w:bottom w:val="none" w:sz="0" w:space="0" w:color="auto"/>
        <w:right w:val="none" w:sz="0" w:space="0" w:color="auto"/>
      </w:divBdr>
    </w:div>
    <w:div w:id="498034362">
      <w:bodyDiv w:val="1"/>
      <w:marLeft w:val="0"/>
      <w:marRight w:val="0"/>
      <w:marTop w:val="0"/>
      <w:marBottom w:val="0"/>
      <w:divBdr>
        <w:top w:val="none" w:sz="0" w:space="0" w:color="auto"/>
        <w:left w:val="none" w:sz="0" w:space="0" w:color="auto"/>
        <w:bottom w:val="none" w:sz="0" w:space="0" w:color="auto"/>
        <w:right w:val="none" w:sz="0" w:space="0" w:color="auto"/>
      </w:divBdr>
    </w:div>
    <w:div w:id="508495458">
      <w:bodyDiv w:val="1"/>
      <w:marLeft w:val="0"/>
      <w:marRight w:val="0"/>
      <w:marTop w:val="0"/>
      <w:marBottom w:val="0"/>
      <w:divBdr>
        <w:top w:val="none" w:sz="0" w:space="0" w:color="auto"/>
        <w:left w:val="none" w:sz="0" w:space="0" w:color="auto"/>
        <w:bottom w:val="none" w:sz="0" w:space="0" w:color="auto"/>
        <w:right w:val="none" w:sz="0" w:space="0" w:color="auto"/>
      </w:divBdr>
    </w:div>
    <w:div w:id="512039969">
      <w:bodyDiv w:val="1"/>
      <w:marLeft w:val="0"/>
      <w:marRight w:val="0"/>
      <w:marTop w:val="0"/>
      <w:marBottom w:val="0"/>
      <w:divBdr>
        <w:top w:val="none" w:sz="0" w:space="0" w:color="auto"/>
        <w:left w:val="none" w:sz="0" w:space="0" w:color="auto"/>
        <w:bottom w:val="none" w:sz="0" w:space="0" w:color="auto"/>
        <w:right w:val="none" w:sz="0" w:space="0" w:color="auto"/>
      </w:divBdr>
      <w:divsChild>
        <w:div w:id="1196885897">
          <w:marLeft w:val="0"/>
          <w:marRight w:val="0"/>
          <w:marTop w:val="0"/>
          <w:marBottom w:val="0"/>
          <w:divBdr>
            <w:top w:val="none" w:sz="0" w:space="0" w:color="auto"/>
            <w:left w:val="none" w:sz="0" w:space="0" w:color="auto"/>
            <w:bottom w:val="none" w:sz="0" w:space="0" w:color="auto"/>
            <w:right w:val="none" w:sz="0" w:space="0" w:color="auto"/>
          </w:divBdr>
          <w:divsChild>
            <w:div w:id="946081294">
              <w:marLeft w:val="0"/>
              <w:marRight w:val="0"/>
              <w:marTop w:val="0"/>
              <w:marBottom w:val="0"/>
              <w:divBdr>
                <w:top w:val="none" w:sz="0" w:space="0" w:color="auto"/>
                <w:left w:val="none" w:sz="0" w:space="0" w:color="auto"/>
                <w:bottom w:val="none" w:sz="0" w:space="0" w:color="auto"/>
                <w:right w:val="none" w:sz="0" w:space="0" w:color="auto"/>
              </w:divBdr>
              <w:divsChild>
                <w:div w:id="991569620">
                  <w:marLeft w:val="0"/>
                  <w:marRight w:val="0"/>
                  <w:marTop w:val="0"/>
                  <w:marBottom w:val="0"/>
                  <w:divBdr>
                    <w:top w:val="none" w:sz="0" w:space="0" w:color="auto"/>
                    <w:left w:val="none" w:sz="0" w:space="0" w:color="auto"/>
                    <w:bottom w:val="none" w:sz="0" w:space="0" w:color="auto"/>
                    <w:right w:val="none" w:sz="0" w:space="0" w:color="auto"/>
                  </w:divBdr>
                  <w:divsChild>
                    <w:div w:id="2066681808">
                      <w:marLeft w:val="0"/>
                      <w:marRight w:val="0"/>
                      <w:marTop w:val="0"/>
                      <w:marBottom w:val="0"/>
                      <w:divBdr>
                        <w:top w:val="none" w:sz="0" w:space="0" w:color="auto"/>
                        <w:left w:val="none" w:sz="0" w:space="0" w:color="auto"/>
                        <w:bottom w:val="none" w:sz="0" w:space="0" w:color="auto"/>
                        <w:right w:val="none" w:sz="0" w:space="0" w:color="auto"/>
                      </w:divBdr>
                      <w:divsChild>
                        <w:div w:id="5138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179880">
      <w:bodyDiv w:val="1"/>
      <w:marLeft w:val="0"/>
      <w:marRight w:val="0"/>
      <w:marTop w:val="0"/>
      <w:marBottom w:val="0"/>
      <w:divBdr>
        <w:top w:val="none" w:sz="0" w:space="0" w:color="auto"/>
        <w:left w:val="none" w:sz="0" w:space="0" w:color="auto"/>
        <w:bottom w:val="none" w:sz="0" w:space="0" w:color="auto"/>
        <w:right w:val="none" w:sz="0" w:space="0" w:color="auto"/>
      </w:divBdr>
    </w:div>
    <w:div w:id="525756291">
      <w:bodyDiv w:val="1"/>
      <w:marLeft w:val="0"/>
      <w:marRight w:val="0"/>
      <w:marTop w:val="0"/>
      <w:marBottom w:val="0"/>
      <w:divBdr>
        <w:top w:val="none" w:sz="0" w:space="0" w:color="auto"/>
        <w:left w:val="none" w:sz="0" w:space="0" w:color="auto"/>
        <w:bottom w:val="none" w:sz="0" w:space="0" w:color="auto"/>
        <w:right w:val="none" w:sz="0" w:space="0" w:color="auto"/>
      </w:divBdr>
    </w:div>
    <w:div w:id="526330191">
      <w:bodyDiv w:val="1"/>
      <w:marLeft w:val="0"/>
      <w:marRight w:val="0"/>
      <w:marTop w:val="0"/>
      <w:marBottom w:val="0"/>
      <w:divBdr>
        <w:top w:val="none" w:sz="0" w:space="0" w:color="auto"/>
        <w:left w:val="none" w:sz="0" w:space="0" w:color="auto"/>
        <w:bottom w:val="none" w:sz="0" w:space="0" w:color="auto"/>
        <w:right w:val="none" w:sz="0" w:space="0" w:color="auto"/>
      </w:divBdr>
    </w:div>
    <w:div w:id="526717753">
      <w:bodyDiv w:val="1"/>
      <w:marLeft w:val="0"/>
      <w:marRight w:val="0"/>
      <w:marTop w:val="0"/>
      <w:marBottom w:val="0"/>
      <w:divBdr>
        <w:top w:val="none" w:sz="0" w:space="0" w:color="auto"/>
        <w:left w:val="none" w:sz="0" w:space="0" w:color="auto"/>
        <w:bottom w:val="none" w:sz="0" w:space="0" w:color="auto"/>
        <w:right w:val="none" w:sz="0" w:space="0" w:color="auto"/>
      </w:divBdr>
    </w:div>
    <w:div w:id="541401632">
      <w:bodyDiv w:val="1"/>
      <w:marLeft w:val="0"/>
      <w:marRight w:val="0"/>
      <w:marTop w:val="0"/>
      <w:marBottom w:val="0"/>
      <w:divBdr>
        <w:top w:val="none" w:sz="0" w:space="0" w:color="auto"/>
        <w:left w:val="none" w:sz="0" w:space="0" w:color="auto"/>
        <w:bottom w:val="none" w:sz="0" w:space="0" w:color="auto"/>
        <w:right w:val="none" w:sz="0" w:space="0" w:color="auto"/>
      </w:divBdr>
    </w:div>
    <w:div w:id="544559046">
      <w:bodyDiv w:val="1"/>
      <w:marLeft w:val="0"/>
      <w:marRight w:val="0"/>
      <w:marTop w:val="0"/>
      <w:marBottom w:val="0"/>
      <w:divBdr>
        <w:top w:val="none" w:sz="0" w:space="0" w:color="auto"/>
        <w:left w:val="none" w:sz="0" w:space="0" w:color="auto"/>
        <w:bottom w:val="none" w:sz="0" w:space="0" w:color="auto"/>
        <w:right w:val="none" w:sz="0" w:space="0" w:color="auto"/>
      </w:divBdr>
    </w:div>
    <w:div w:id="545799209">
      <w:bodyDiv w:val="1"/>
      <w:marLeft w:val="0"/>
      <w:marRight w:val="0"/>
      <w:marTop w:val="0"/>
      <w:marBottom w:val="0"/>
      <w:divBdr>
        <w:top w:val="none" w:sz="0" w:space="0" w:color="auto"/>
        <w:left w:val="none" w:sz="0" w:space="0" w:color="auto"/>
        <w:bottom w:val="none" w:sz="0" w:space="0" w:color="auto"/>
        <w:right w:val="none" w:sz="0" w:space="0" w:color="auto"/>
      </w:divBdr>
    </w:div>
    <w:div w:id="548298776">
      <w:bodyDiv w:val="1"/>
      <w:marLeft w:val="0"/>
      <w:marRight w:val="0"/>
      <w:marTop w:val="0"/>
      <w:marBottom w:val="0"/>
      <w:divBdr>
        <w:top w:val="none" w:sz="0" w:space="0" w:color="auto"/>
        <w:left w:val="none" w:sz="0" w:space="0" w:color="auto"/>
        <w:bottom w:val="none" w:sz="0" w:space="0" w:color="auto"/>
        <w:right w:val="none" w:sz="0" w:space="0" w:color="auto"/>
      </w:divBdr>
    </w:div>
    <w:div w:id="554003563">
      <w:bodyDiv w:val="1"/>
      <w:marLeft w:val="0"/>
      <w:marRight w:val="0"/>
      <w:marTop w:val="0"/>
      <w:marBottom w:val="0"/>
      <w:divBdr>
        <w:top w:val="none" w:sz="0" w:space="0" w:color="auto"/>
        <w:left w:val="none" w:sz="0" w:space="0" w:color="auto"/>
        <w:bottom w:val="none" w:sz="0" w:space="0" w:color="auto"/>
        <w:right w:val="none" w:sz="0" w:space="0" w:color="auto"/>
      </w:divBdr>
    </w:div>
    <w:div w:id="563104146">
      <w:bodyDiv w:val="1"/>
      <w:marLeft w:val="0"/>
      <w:marRight w:val="0"/>
      <w:marTop w:val="0"/>
      <w:marBottom w:val="0"/>
      <w:divBdr>
        <w:top w:val="none" w:sz="0" w:space="0" w:color="auto"/>
        <w:left w:val="none" w:sz="0" w:space="0" w:color="auto"/>
        <w:bottom w:val="none" w:sz="0" w:space="0" w:color="auto"/>
        <w:right w:val="none" w:sz="0" w:space="0" w:color="auto"/>
      </w:divBdr>
    </w:div>
    <w:div w:id="576211135">
      <w:bodyDiv w:val="1"/>
      <w:marLeft w:val="0"/>
      <w:marRight w:val="0"/>
      <w:marTop w:val="0"/>
      <w:marBottom w:val="0"/>
      <w:divBdr>
        <w:top w:val="none" w:sz="0" w:space="0" w:color="auto"/>
        <w:left w:val="none" w:sz="0" w:space="0" w:color="auto"/>
        <w:bottom w:val="none" w:sz="0" w:space="0" w:color="auto"/>
        <w:right w:val="none" w:sz="0" w:space="0" w:color="auto"/>
      </w:divBdr>
    </w:div>
    <w:div w:id="577635202">
      <w:bodyDiv w:val="1"/>
      <w:marLeft w:val="0"/>
      <w:marRight w:val="0"/>
      <w:marTop w:val="0"/>
      <w:marBottom w:val="0"/>
      <w:divBdr>
        <w:top w:val="none" w:sz="0" w:space="0" w:color="auto"/>
        <w:left w:val="none" w:sz="0" w:space="0" w:color="auto"/>
        <w:bottom w:val="none" w:sz="0" w:space="0" w:color="auto"/>
        <w:right w:val="none" w:sz="0" w:space="0" w:color="auto"/>
      </w:divBdr>
    </w:div>
    <w:div w:id="596596919">
      <w:bodyDiv w:val="1"/>
      <w:marLeft w:val="0"/>
      <w:marRight w:val="0"/>
      <w:marTop w:val="0"/>
      <w:marBottom w:val="0"/>
      <w:divBdr>
        <w:top w:val="none" w:sz="0" w:space="0" w:color="auto"/>
        <w:left w:val="none" w:sz="0" w:space="0" w:color="auto"/>
        <w:bottom w:val="none" w:sz="0" w:space="0" w:color="auto"/>
        <w:right w:val="none" w:sz="0" w:space="0" w:color="auto"/>
      </w:divBdr>
    </w:div>
    <w:div w:id="602806401">
      <w:bodyDiv w:val="1"/>
      <w:marLeft w:val="0"/>
      <w:marRight w:val="0"/>
      <w:marTop w:val="0"/>
      <w:marBottom w:val="0"/>
      <w:divBdr>
        <w:top w:val="none" w:sz="0" w:space="0" w:color="auto"/>
        <w:left w:val="none" w:sz="0" w:space="0" w:color="auto"/>
        <w:bottom w:val="none" w:sz="0" w:space="0" w:color="auto"/>
        <w:right w:val="none" w:sz="0" w:space="0" w:color="auto"/>
      </w:divBdr>
    </w:div>
    <w:div w:id="617105741">
      <w:bodyDiv w:val="1"/>
      <w:marLeft w:val="0"/>
      <w:marRight w:val="0"/>
      <w:marTop w:val="0"/>
      <w:marBottom w:val="0"/>
      <w:divBdr>
        <w:top w:val="none" w:sz="0" w:space="0" w:color="auto"/>
        <w:left w:val="none" w:sz="0" w:space="0" w:color="auto"/>
        <w:bottom w:val="none" w:sz="0" w:space="0" w:color="auto"/>
        <w:right w:val="none" w:sz="0" w:space="0" w:color="auto"/>
      </w:divBdr>
    </w:div>
    <w:div w:id="627709917">
      <w:bodyDiv w:val="1"/>
      <w:marLeft w:val="0"/>
      <w:marRight w:val="0"/>
      <w:marTop w:val="0"/>
      <w:marBottom w:val="0"/>
      <w:divBdr>
        <w:top w:val="none" w:sz="0" w:space="0" w:color="auto"/>
        <w:left w:val="none" w:sz="0" w:space="0" w:color="auto"/>
        <w:bottom w:val="none" w:sz="0" w:space="0" w:color="auto"/>
        <w:right w:val="none" w:sz="0" w:space="0" w:color="auto"/>
      </w:divBdr>
    </w:div>
    <w:div w:id="632709642">
      <w:bodyDiv w:val="1"/>
      <w:marLeft w:val="0"/>
      <w:marRight w:val="0"/>
      <w:marTop w:val="0"/>
      <w:marBottom w:val="0"/>
      <w:divBdr>
        <w:top w:val="none" w:sz="0" w:space="0" w:color="auto"/>
        <w:left w:val="none" w:sz="0" w:space="0" w:color="auto"/>
        <w:bottom w:val="none" w:sz="0" w:space="0" w:color="auto"/>
        <w:right w:val="none" w:sz="0" w:space="0" w:color="auto"/>
      </w:divBdr>
    </w:div>
    <w:div w:id="638263744">
      <w:bodyDiv w:val="1"/>
      <w:marLeft w:val="0"/>
      <w:marRight w:val="0"/>
      <w:marTop w:val="0"/>
      <w:marBottom w:val="0"/>
      <w:divBdr>
        <w:top w:val="none" w:sz="0" w:space="0" w:color="auto"/>
        <w:left w:val="none" w:sz="0" w:space="0" w:color="auto"/>
        <w:bottom w:val="none" w:sz="0" w:space="0" w:color="auto"/>
        <w:right w:val="none" w:sz="0" w:space="0" w:color="auto"/>
      </w:divBdr>
    </w:div>
    <w:div w:id="640187082">
      <w:bodyDiv w:val="1"/>
      <w:marLeft w:val="0"/>
      <w:marRight w:val="0"/>
      <w:marTop w:val="0"/>
      <w:marBottom w:val="0"/>
      <w:divBdr>
        <w:top w:val="none" w:sz="0" w:space="0" w:color="auto"/>
        <w:left w:val="none" w:sz="0" w:space="0" w:color="auto"/>
        <w:bottom w:val="none" w:sz="0" w:space="0" w:color="auto"/>
        <w:right w:val="none" w:sz="0" w:space="0" w:color="auto"/>
      </w:divBdr>
    </w:div>
    <w:div w:id="640236389">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0212703">
      <w:bodyDiv w:val="1"/>
      <w:marLeft w:val="0"/>
      <w:marRight w:val="0"/>
      <w:marTop w:val="0"/>
      <w:marBottom w:val="0"/>
      <w:divBdr>
        <w:top w:val="none" w:sz="0" w:space="0" w:color="auto"/>
        <w:left w:val="none" w:sz="0" w:space="0" w:color="auto"/>
        <w:bottom w:val="none" w:sz="0" w:space="0" w:color="auto"/>
        <w:right w:val="none" w:sz="0" w:space="0" w:color="auto"/>
      </w:divBdr>
    </w:div>
    <w:div w:id="659889238">
      <w:bodyDiv w:val="1"/>
      <w:marLeft w:val="0"/>
      <w:marRight w:val="0"/>
      <w:marTop w:val="0"/>
      <w:marBottom w:val="0"/>
      <w:divBdr>
        <w:top w:val="none" w:sz="0" w:space="0" w:color="auto"/>
        <w:left w:val="none" w:sz="0" w:space="0" w:color="auto"/>
        <w:bottom w:val="none" w:sz="0" w:space="0" w:color="auto"/>
        <w:right w:val="none" w:sz="0" w:space="0" w:color="auto"/>
      </w:divBdr>
    </w:div>
    <w:div w:id="668219870">
      <w:bodyDiv w:val="1"/>
      <w:marLeft w:val="0"/>
      <w:marRight w:val="0"/>
      <w:marTop w:val="0"/>
      <w:marBottom w:val="0"/>
      <w:divBdr>
        <w:top w:val="none" w:sz="0" w:space="0" w:color="auto"/>
        <w:left w:val="none" w:sz="0" w:space="0" w:color="auto"/>
        <w:bottom w:val="none" w:sz="0" w:space="0" w:color="auto"/>
        <w:right w:val="none" w:sz="0" w:space="0" w:color="auto"/>
      </w:divBdr>
    </w:div>
    <w:div w:id="687830468">
      <w:bodyDiv w:val="1"/>
      <w:marLeft w:val="0"/>
      <w:marRight w:val="0"/>
      <w:marTop w:val="0"/>
      <w:marBottom w:val="0"/>
      <w:divBdr>
        <w:top w:val="none" w:sz="0" w:space="0" w:color="auto"/>
        <w:left w:val="none" w:sz="0" w:space="0" w:color="auto"/>
        <w:bottom w:val="none" w:sz="0" w:space="0" w:color="auto"/>
        <w:right w:val="none" w:sz="0" w:space="0" w:color="auto"/>
      </w:divBdr>
    </w:div>
    <w:div w:id="688217149">
      <w:bodyDiv w:val="1"/>
      <w:marLeft w:val="0"/>
      <w:marRight w:val="0"/>
      <w:marTop w:val="0"/>
      <w:marBottom w:val="0"/>
      <w:divBdr>
        <w:top w:val="none" w:sz="0" w:space="0" w:color="auto"/>
        <w:left w:val="none" w:sz="0" w:space="0" w:color="auto"/>
        <w:bottom w:val="none" w:sz="0" w:space="0" w:color="auto"/>
        <w:right w:val="none" w:sz="0" w:space="0" w:color="auto"/>
      </w:divBdr>
    </w:div>
    <w:div w:id="691565396">
      <w:bodyDiv w:val="1"/>
      <w:marLeft w:val="0"/>
      <w:marRight w:val="0"/>
      <w:marTop w:val="0"/>
      <w:marBottom w:val="0"/>
      <w:divBdr>
        <w:top w:val="none" w:sz="0" w:space="0" w:color="auto"/>
        <w:left w:val="none" w:sz="0" w:space="0" w:color="auto"/>
        <w:bottom w:val="none" w:sz="0" w:space="0" w:color="auto"/>
        <w:right w:val="none" w:sz="0" w:space="0" w:color="auto"/>
      </w:divBdr>
    </w:div>
    <w:div w:id="697124810">
      <w:bodyDiv w:val="1"/>
      <w:marLeft w:val="0"/>
      <w:marRight w:val="0"/>
      <w:marTop w:val="0"/>
      <w:marBottom w:val="0"/>
      <w:divBdr>
        <w:top w:val="none" w:sz="0" w:space="0" w:color="auto"/>
        <w:left w:val="none" w:sz="0" w:space="0" w:color="auto"/>
        <w:bottom w:val="none" w:sz="0" w:space="0" w:color="auto"/>
        <w:right w:val="none" w:sz="0" w:space="0" w:color="auto"/>
      </w:divBdr>
    </w:div>
    <w:div w:id="704256593">
      <w:bodyDiv w:val="1"/>
      <w:marLeft w:val="0"/>
      <w:marRight w:val="0"/>
      <w:marTop w:val="0"/>
      <w:marBottom w:val="0"/>
      <w:divBdr>
        <w:top w:val="none" w:sz="0" w:space="0" w:color="auto"/>
        <w:left w:val="none" w:sz="0" w:space="0" w:color="auto"/>
        <w:bottom w:val="none" w:sz="0" w:space="0" w:color="auto"/>
        <w:right w:val="none" w:sz="0" w:space="0" w:color="auto"/>
      </w:divBdr>
    </w:div>
    <w:div w:id="726805457">
      <w:bodyDiv w:val="1"/>
      <w:marLeft w:val="0"/>
      <w:marRight w:val="0"/>
      <w:marTop w:val="0"/>
      <w:marBottom w:val="0"/>
      <w:divBdr>
        <w:top w:val="none" w:sz="0" w:space="0" w:color="auto"/>
        <w:left w:val="none" w:sz="0" w:space="0" w:color="auto"/>
        <w:bottom w:val="none" w:sz="0" w:space="0" w:color="auto"/>
        <w:right w:val="none" w:sz="0" w:space="0" w:color="auto"/>
      </w:divBdr>
    </w:div>
    <w:div w:id="740057195">
      <w:bodyDiv w:val="1"/>
      <w:marLeft w:val="0"/>
      <w:marRight w:val="0"/>
      <w:marTop w:val="0"/>
      <w:marBottom w:val="0"/>
      <w:divBdr>
        <w:top w:val="none" w:sz="0" w:space="0" w:color="auto"/>
        <w:left w:val="none" w:sz="0" w:space="0" w:color="auto"/>
        <w:bottom w:val="none" w:sz="0" w:space="0" w:color="auto"/>
        <w:right w:val="none" w:sz="0" w:space="0" w:color="auto"/>
      </w:divBdr>
    </w:div>
    <w:div w:id="744379323">
      <w:bodyDiv w:val="1"/>
      <w:marLeft w:val="0"/>
      <w:marRight w:val="0"/>
      <w:marTop w:val="0"/>
      <w:marBottom w:val="0"/>
      <w:divBdr>
        <w:top w:val="none" w:sz="0" w:space="0" w:color="auto"/>
        <w:left w:val="none" w:sz="0" w:space="0" w:color="auto"/>
        <w:bottom w:val="none" w:sz="0" w:space="0" w:color="auto"/>
        <w:right w:val="none" w:sz="0" w:space="0" w:color="auto"/>
      </w:divBdr>
    </w:div>
    <w:div w:id="758984250">
      <w:bodyDiv w:val="1"/>
      <w:marLeft w:val="0"/>
      <w:marRight w:val="0"/>
      <w:marTop w:val="0"/>
      <w:marBottom w:val="0"/>
      <w:divBdr>
        <w:top w:val="none" w:sz="0" w:space="0" w:color="auto"/>
        <w:left w:val="none" w:sz="0" w:space="0" w:color="auto"/>
        <w:bottom w:val="none" w:sz="0" w:space="0" w:color="auto"/>
        <w:right w:val="none" w:sz="0" w:space="0" w:color="auto"/>
      </w:divBdr>
    </w:div>
    <w:div w:id="767896654">
      <w:bodyDiv w:val="1"/>
      <w:marLeft w:val="0"/>
      <w:marRight w:val="0"/>
      <w:marTop w:val="0"/>
      <w:marBottom w:val="0"/>
      <w:divBdr>
        <w:top w:val="none" w:sz="0" w:space="0" w:color="auto"/>
        <w:left w:val="none" w:sz="0" w:space="0" w:color="auto"/>
        <w:bottom w:val="none" w:sz="0" w:space="0" w:color="auto"/>
        <w:right w:val="none" w:sz="0" w:space="0" w:color="auto"/>
      </w:divBdr>
    </w:div>
    <w:div w:id="792672186">
      <w:bodyDiv w:val="1"/>
      <w:marLeft w:val="0"/>
      <w:marRight w:val="0"/>
      <w:marTop w:val="0"/>
      <w:marBottom w:val="0"/>
      <w:divBdr>
        <w:top w:val="none" w:sz="0" w:space="0" w:color="auto"/>
        <w:left w:val="none" w:sz="0" w:space="0" w:color="auto"/>
        <w:bottom w:val="none" w:sz="0" w:space="0" w:color="auto"/>
        <w:right w:val="none" w:sz="0" w:space="0" w:color="auto"/>
      </w:divBdr>
    </w:div>
    <w:div w:id="793475545">
      <w:bodyDiv w:val="1"/>
      <w:marLeft w:val="0"/>
      <w:marRight w:val="0"/>
      <w:marTop w:val="0"/>
      <w:marBottom w:val="0"/>
      <w:divBdr>
        <w:top w:val="none" w:sz="0" w:space="0" w:color="auto"/>
        <w:left w:val="none" w:sz="0" w:space="0" w:color="auto"/>
        <w:bottom w:val="none" w:sz="0" w:space="0" w:color="auto"/>
        <w:right w:val="none" w:sz="0" w:space="0" w:color="auto"/>
      </w:divBdr>
    </w:div>
    <w:div w:id="799229986">
      <w:bodyDiv w:val="1"/>
      <w:marLeft w:val="0"/>
      <w:marRight w:val="0"/>
      <w:marTop w:val="0"/>
      <w:marBottom w:val="0"/>
      <w:divBdr>
        <w:top w:val="none" w:sz="0" w:space="0" w:color="auto"/>
        <w:left w:val="none" w:sz="0" w:space="0" w:color="auto"/>
        <w:bottom w:val="none" w:sz="0" w:space="0" w:color="auto"/>
        <w:right w:val="none" w:sz="0" w:space="0" w:color="auto"/>
      </w:divBdr>
    </w:div>
    <w:div w:id="800423167">
      <w:bodyDiv w:val="1"/>
      <w:marLeft w:val="0"/>
      <w:marRight w:val="0"/>
      <w:marTop w:val="0"/>
      <w:marBottom w:val="0"/>
      <w:divBdr>
        <w:top w:val="none" w:sz="0" w:space="0" w:color="auto"/>
        <w:left w:val="none" w:sz="0" w:space="0" w:color="auto"/>
        <w:bottom w:val="none" w:sz="0" w:space="0" w:color="auto"/>
        <w:right w:val="none" w:sz="0" w:space="0" w:color="auto"/>
      </w:divBdr>
    </w:div>
    <w:div w:id="805854058">
      <w:bodyDiv w:val="1"/>
      <w:marLeft w:val="0"/>
      <w:marRight w:val="0"/>
      <w:marTop w:val="0"/>
      <w:marBottom w:val="0"/>
      <w:divBdr>
        <w:top w:val="none" w:sz="0" w:space="0" w:color="auto"/>
        <w:left w:val="none" w:sz="0" w:space="0" w:color="auto"/>
        <w:bottom w:val="none" w:sz="0" w:space="0" w:color="auto"/>
        <w:right w:val="none" w:sz="0" w:space="0" w:color="auto"/>
      </w:divBdr>
    </w:div>
    <w:div w:id="810252330">
      <w:bodyDiv w:val="1"/>
      <w:marLeft w:val="0"/>
      <w:marRight w:val="0"/>
      <w:marTop w:val="0"/>
      <w:marBottom w:val="0"/>
      <w:divBdr>
        <w:top w:val="none" w:sz="0" w:space="0" w:color="auto"/>
        <w:left w:val="none" w:sz="0" w:space="0" w:color="auto"/>
        <w:bottom w:val="none" w:sz="0" w:space="0" w:color="auto"/>
        <w:right w:val="none" w:sz="0" w:space="0" w:color="auto"/>
      </w:divBdr>
    </w:div>
    <w:div w:id="821118554">
      <w:bodyDiv w:val="1"/>
      <w:marLeft w:val="0"/>
      <w:marRight w:val="0"/>
      <w:marTop w:val="0"/>
      <w:marBottom w:val="0"/>
      <w:divBdr>
        <w:top w:val="none" w:sz="0" w:space="0" w:color="auto"/>
        <w:left w:val="none" w:sz="0" w:space="0" w:color="auto"/>
        <w:bottom w:val="none" w:sz="0" w:space="0" w:color="auto"/>
        <w:right w:val="none" w:sz="0" w:space="0" w:color="auto"/>
      </w:divBdr>
    </w:div>
    <w:div w:id="827595880">
      <w:bodyDiv w:val="1"/>
      <w:marLeft w:val="0"/>
      <w:marRight w:val="0"/>
      <w:marTop w:val="0"/>
      <w:marBottom w:val="0"/>
      <w:divBdr>
        <w:top w:val="none" w:sz="0" w:space="0" w:color="auto"/>
        <w:left w:val="none" w:sz="0" w:space="0" w:color="auto"/>
        <w:bottom w:val="none" w:sz="0" w:space="0" w:color="auto"/>
        <w:right w:val="none" w:sz="0" w:space="0" w:color="auto"/>
      </w:divBdr>
    </w:div>
    <w:div w:id="832919003">
      <w:bodyDiv w:val="1"/>
      <w:marLeft w:val="0"/>
      <w:marRight w:val="0"/>
      <w:marTop w:val="0"/>
      <w:marBottom w:val="0"/>
      <w:divBdr>
        <w:top w:val="none" w:sz="0" w:space="0" w:color="auto"/>
        <w:left w:val="none" w:sz="0" w:space="0" w:color="auto"/>
        <w:bottom w:val="none" w:sz="0" w:space="0" w:color="auto"/>
        <w:right w:val="none" w:sz="0" w:space="0" w:color="auto"/>
      </w:divBdr>
    </w:div>
    <w:div w:id="839275261">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416977">
      <w:bodyDiv w:val="1"/>
      <w:marLeft w:val="0"/>
      <w:marRight w:val="0"/>
      <w:marTop w:val="0"/>
      <w:marBottom w:val="0"/>
      <w:divBdr>
        <w:top w:val="none" w:sz="0" w:space="0" w:color="auto"/>
        <w:left w:val="none" w:sz="0" w:space="0" w:color="auto"/>
        <w:bottom w:val="none" w:sz="0" w:space="0" w:color="auto"/>
        <w:right w:val="none" w:sz="0" w:space="0" w:color="auto"/>
      </w:divBdr>
    </w:div>
    <w:div w:id="852770172">
      <w:bodyDiv w:val="1"/>
      <w:marLeft w:val="0"/>
      <w:marRight w:val="0"/>
      <w:marTop w:val="0"/>
      <w:marBottom w:val="0"/>
      <w:divBdr>
        <w:top w:val="none" w:sz="0" w:space="0" w:color="auto"/>
        <w:left w:val="none" w:sz="0" w:space="0" w:color="auto"/>
        <w:bottom w:val="none" w:sz="0" w:space="0" w:color="auto"/>
        <w:right w:val="none" w:sz="0" w:space="0" w:color="auto"/>
      </w:divBdr>
    </w:div>
    <w:div w:id="856231515">
      <w:bodyDiv w:val="1"/>
      <w:marLeft w:val="0"/>
      <w:marRight w:val="0"/>
      <w:marTop w:val="0"/>
      <w:marBottom w:val="0"/>
      <w:divBdr>
        <w:top w:val="none" w:sz="0" w:space="0" w:color="auto"/>
        <w:left w:val="none" w:sz="0" w:space="0" w:color="auto"/>
        <w:bottom w:val="none" w:sz="0" w:space="0" w:color="auto"/>
        <w:right w:val="none" w:sz="0" w:space="0" w:color="auto"/>
      </w:divBdr>
    </w:div>
    <w:div w:id="870874739">
      <w:bodyDiv w:val="1"/>
      <w:marLeft w:val="0"/>
      <w:marRight w:val="0"/>
      <w:marTop w:val="0"/>
      <w:marBottom w:val="0"/>
      <w:divBdr>
        <w:top w:val="none" w:sz="0" w:space="0" w:color="auto"/>
        <w:left w:val="none" w:sz="0" w:space="0" w:color="auto"/>
        <w:bottom w:val="none" w:sz="0" w:space="0" w:color="auto"/>
        <w:right w:val="none" w:sz="0" w:space="0" w:color="auto"/>
      </w:divBdr>
    </w:div>
    <w:div w:id="872839977">
      <w:bodyDiv w:val="1"/>
      <w:marLeft w:val="0"/>
      <w:marRight w:val="0"/>
      <w:marTop w:val="0"/>
      <w:marBottom w:val="0"/>
      <w:divBdr>
        <w:top w:val="none" w:sz="0" w:space="0" w:color="auto"/>
        <w:left w:val="none" w:sz="0" w:space="0" w:color="auto"/>
        <w:bottom w:val="none" w:sz="0" w:space="0" w:color="auto"/>
        <w:right w:val="none" w:sz="0" w:space="0" w:color="auto"/>
      </w:divBdr>
    </w:div>
    <w:div w:id="875509032">
      <w:bodyDiv w:val="1"/>
      <w:marLeft w:val="0"/>
      <w:marRight w:val="0"/>
      <w:marTop w:val="0"/>
      <w:marBottom w:val="0"/>
      <w:divBdr>
        <w:top w:val="none" w:sz="0" w:space="0" w:color="auto"/>
        <w:left w:val="none" w:sz="0" w:space="0" w:color="auto"/>
        <w:bottom w:val="none" w:sz="0" w:space="0" w:color="auto"/>
        <w:right w:val="none" w:sz="0" w:space="0" w:color="auto"/>
      </w:divBdr>
    </w:div>
    <w:div w:id="881745465">
      <w:bodyDiv w:val="1"/>
      <w:marLeft w:val="0"/>
      <w:marRight w:val="0"/>
      <w:marTop w:val="0"/>
      <w:marBottom w:val="0"/>
      <w:divBdr>
        <w:top w:val="none" w:sz="0" w:space="0" w:color="auto"/>
        <w:left w:val="none" w:sz="0" w:space="0" w:color="auto"/>
        <w:bottom w:val="none" w:sz="0" w:space="0" w:color="auto"/>
        <w:right w:val="none" w:sz="0" w:space="0" w:color="auto"/>
      </w:divBdr>
    </w:div>
    <w:div w:id="882059437">
      <w:bodyDiv w:val="1"/>
      <w:marLeft w:val="0"/>
      <w:marRight w:val="0"/>
      <w:marTop w:val="0"/>
      <w:marBottom w:val="0"/>
      <w:divBdr>
        <w:top w:val="none" w:sz="0" w:space="0" w:color="auto"/>
        <w:left w:val="none" w:sz="0" w:space="0" w:color="auto"/>
        <w:bottom w:val="none" w:sz="0" w:space="0" w:color="auto"/>
        <w:right w:val="none" w:sz="0" w:space="0" w:color="auto"/>
      </w:divBdr>
    </w:div>
    <w:div w:id="893351621">
      <w:bodyDiv w:val="1"/>
      <w:marLeft w:val="0"/>
      <w:marRight w:val="0"/>
      <w:marTop w:val="0"/>
      <w:marBottom w:val="0"/>
      <w:divBdr>
        <w:top w:val="none" w:sz="0" w:space="0" w:color="auto"/>
        <w:left w:val="none" w:sz="0" w:space="0" w:color="auto"/>
        <w:bottom w:val="none" w:sz="0" w:space="0" w:color="auto"/>
        <w:right w:val="none" w:sz="0" w:space="0" w:color="auto"/>
      </w:divBdr>
    </w:div>
    <w:div w:id="908687054">
      <w:bodyDiv w:val="1"/>
      <w:marLeft w:val="0"/>
      <w:marRight w:val="0"/>
      <w:marTop w:val="0"/>
      <w:marBottom w:val="0"/>
      <w:divBdr>
        <w:top w:val="none" w:sz="0" w:space="0" w:color="auto"/>
        <w:left w:val="none" w:sz="0" w:space="0" w:color="auto"/>
        <w:bottom w:val="none" w:sz="0" w:space="0" w:color="auto"/>
        <w:right w:val="none" w:sz="0" w:space="0" w:color="auto"/>
      </w:divBdr>
    </w:div>
    <w:div w:id="913318868">
      <w:bodyDiv w:val="1"/>
      <w:marLeft w:val="0"/>
      <w:marRight w:val="0"/>
      <w:marTop w:val="0"/>
      <w:marBottom w:val="0"/>
      <w:divBdr>
        <w:top w:val="none" w:sz="0" w:space="0" w:color="auto"/>
        <w:left w:val="none" w:sz="0" w:space="0" w:color="auto"/>
        <w:bottom w:val="none" w:sz="0" w:space="0" w:color="auto"/>
        <w:right w:val="none" w:sz="0" w:space="0" w:color="auto"/>
      </w:divBdr>
    </w:div>
    <w:div w:id="915748076">
      <w:bodyDiv w:val="1"/>
      <w:marLeft w:val="0"/>
      <w:marRight w:val="0"/>
      <w:marTop w:val="0"/>
      <w:marBottom w:val="0"/>
      <w:divBdr>
        <w:top w:val="none" w:sz="0" w:space="0" w:color="auto"/>
        <w:left w:val="none" w:sz="0" w:space="0" w:color="auto"/>
        <w:bottom w:val="none" w:sz="0" w:space="0" w:color="auto"/>
        <w:right w:val="none" w:sz="0" w:space="0" w:color="auto"/>
      </w:divBdr>
    </w:div>
    <w:div w:id="916132457">
      <w:bodyDiv w:val="1"/>
      <w:marLeft w:val="0"/>
      <w:marRight w:val="0"/>
      <w:marTop w:val="0"/>
      <w:marBottom w:val="0"/>
      <w:divBdr>
        <w:top w:val="none" w:sz="0" w:space="0" w:color="auto"/>
        <w:left w:val="none" w:sz="0" w:space="0" w:color="auto"/>
        <w:bottom w:val="none" w:sz="0" w:space="0" w:color="auto"/>
        <w:right w:val="none" w:sz="0" w:space="0" w:color="auto"/>
      </w:divBdr>
    </w:div>
    <w:div w:id="920214391">
      <w:bodyDiv w:val="1"/>
      <w:marLeft w:val="0"/>
      <w:marRight w:val="0"/>
      <w:marTop w:val="0"/>
      <w:marBottom w:val="0"/>
      <w:divBdr>
        <w:top w:val="none" w:sz="0" w:space="0" w:color="auto"/>
        <w:left w:val="none" w:sz="0" w:space="0" w:color="auto"/>
        <w:bottom w:val="none" w:sz="0" w:space="0" w:color="auto"/>
        <w:right w:val="none" w:sz="0" w:space="0" w:color="auto"/>
      </w:divBdr>
    </w:div>
    <w:div w:id="924149745">
      <w:bodyDiv w:val="1"/>
      <w:marLeft w:val="0"/>
      <w:marRight w:val="0"/>
      <w:marTop w:val="0"/>
      <w:marBottom w:val="0"/>
      <w:divBdr>
        <w:top w:val="none" w:sz="0" w:space="0" w:color="auto"/>
        <w:left w:val="none" w:sz="0" w:space="0" w:color="auto"/>
        <w:bottom w:val="none" w:sz="0" w:space="0" w:color="auto"/>
        <w:right w:val="none" w:sz="0" w:space="0" w:color="auto"/>
      </w:divBdr>
    </w:div>
    <w:div w:id="927157117">
      <w:bodyDiv w:val="1"/>
      <w:marLeft w:val="0"/>
      <w:marRight w:val="0"/>
      <w:marTop w:val="0"/>
      <w:marBottom w:val="0"/>
      <w:divBdr>
        <w:top w:val="none" w:sz="0" w:space="0" w:color="auto"/>
        <w:left w:val="none" w:sz="0" w:space="0" w:color="auto"/>
        <w:bottom w:val="none" w:sz="0" w:space="0" w:color="auto"/>
        <w:right w:val="none" w:sz="0" w:space="0" w:color="auto"/>
      </w:divBdr>
    </w:div>
    <w:div w:id="930044685">
      <w:bodyDiv w:val="1"/>
      <w:marLeft w:val="0"/>
      <w:marRight w:val="0"/>
      <w:marTop w:val="0"/>
      <w:marBottom w:val="0"/>
      <w:divBdr>
        <w:top w:val="none" w:sz="0" w:space="0" w:color="auto"/>
        <w:left w:val="none" w:sz="0" w:space="0" w:color="auto"/>
        <w:bottom w:val="none" w:sz="0" w:space="0" w:color="auto"/>
        <w:right w:val="none" w:sz="0" w:space="0" w:color="auto"/>
      </w:divBdr>
    </w:div>
    <w:div w:id="936868879">
      <w:bodyDiv w:val="1"/>
      <w:marLeft w:val="0"/>
      <w:marRight w:val="0"/>
      <w:marTop w:val="0"/>
      <w:marBottom w:val="0"/>
      <w:divBdr>
        <w:top w:val="none" w:sz="0" w:space="0" w:color="auto"/>
        <w:left w:val="none" w:sz="0" w:space="0" w:color="auto"/>
        <w:bottom w:val="none" w:sz="0" w:space="0" w:color="auto"/>
        <w:right w:val="none" w:sz="0" w:space="0" w:color="auto"/>
      </w:divBdr>
    </w:div>
    <w:div w:id="936907383">
      <w:bodyDiv w:val="1"/>
      <w:marLeft w:val="0"/>
      <w:marRight w:val="0"/>
      <w:marTop w:val="0"/>
      <w:marBottom w:val="0"/>
      <w:divBdr>
        <w:top w:val="none" w:sz="0" w:space="0" w:color="auto"/>
        <w:left w:val="none" w:sz="0" w:space="0" w:color="auto"/>
        <w:bottom w:val="none" w:sz="0" w:space="0" w:color="auto"/>
        <w:right w:val="none" w:sz="0" w:space="0" w:color="auto"/>
      </w:divBdr>
    </w:div>
    <w:div w:id="939676408">
      <w:bodyDiv w:val="1"/>
      <w:marLeft w:val="0"/>
      <w:marRight w:val="0"/>
      <w:marTop w:val="0"/>
      <w:marBottom w:val="0"/>
      <w:divBdr>
        <w:top w:val="none" w:sz="0" w:space="0" w:color="auto"/>
        <w:left w:val="none" w:sz="0" w:space="0" w:color="auto"/>
        <w:bottom w:val="none" w:sz="0" w:space="0" w:color="auto"/>
        <w:right w:val="none" w:sz="0" w:space="0" w:color="auto"/>
      </w:divBdr>
    </w:div>
    <w:div w:id="951983350">
      <w:bodyDiv w:val="1"/>
      <w:marLeft w:val="0"/>
      <w:marRight w:val="0"/>
      <w:marTop w:val="0"/>
      <w:marBottom w:val="0"/>
      <w:divBdr>
        <w:top w:val="none" w:sz="0" w:space="0" w:color="auto"/>
        <w:left w:val="none" w:sz="0" w:space="0" w:color="auto"/>
        <w:bottom w:val="none" w:sz="0" w:space="0" w:color="auto"/>
        <w:right w:val="none" w:sz="0" w:space="0" w:color="auto"/>
      </w:divBdr>
    </w:div>
    <w:div w:id="956834748">
      <w:bodyDiv w:val="1"/>
      <w:marLeft w:val="0"/>
      <w:marRight w:val="0"/>
      <w:marTop w:val="0"/>
      <w:marBottom w:val="0"/>
      <w:divBdr>
        <w:top w:val="none" w:sz="0" w:space="0" w:color="auto"/>
        <w:left w:val="none" w:sz="0" w:space="0" w:color="auto"/>
        <w:bottom w:val="none" w:sz="0" w:space="0" w:color="auto"/>
        <w:right w:val="none" w:sz="0" w:space="0" w:color="auto"/>
      </w:divBdr>
    </w:div>
    <w:div w:id="966661936">
      <w:bodyDiv w:val="1"/>
      <w:marLeft w:val="0"/>
      <w:marRight w:val="0"/>
      <w:marTop w:val="0"/>
      <w:marBottom w:val="0"/>
      <w:divBdr>
        <w:top w:val="none" w:sz="0" w:space="0" w:color="auto"/>
        <w:left w:val="none" w:sz="0" w:space="0" w:color="auto"/>
        <w:bottom w:val="none" w:sz="0" w:space="0" w:color="auto"/>
        <w:right w:val="none" w:sz="0" w:space="0" w:color="auto"/>
      </w:divBdr>
    </w:div>
    <w:div w:id="985167015">
      <w:bodyDiv w:val="1"/>
      <w:marLeft w:val="0"/>
      <w:marRight w:val="0"/>
      <w:marTop w:val="0"/>
      <w:marBottom w:val="0"/>
      <w:divBdr>
        <w:top w:val="none" w:sz="0" w:space="0" w:color="auto"/>
        <w:left w:val="none" w:sz="0" w:space="0" w:color="auto"/>
        <w:bottom w:val="none" w:sz="0" w:space="0" w:color="auto"/>
        <w:right w:val="none" w:sz="0" w:space="0" w:color="auto"/>
      </w:divBdr>
    </w:div>
    <w:div w:id="998994095">
      <w:bodyDiv w:val="1"/>
      <w:marLeft w:val="0"/>
      <w:marRight w:val="0"/>
      <w:marTop w:val="0"/>
      <w:marBottom w:val="0"/>
      <w:divBdr>
        <w:top w:val="none" w:sz="0" w:space="0" w:color="auto"/>
        <w:left w:val="none" w:sz="0" w:space="0" w:color="auto"/>
        <w:bottom w:val="none" w:sz="0" w:space="0" w:color="auto"/>
        <w:right w:val="none" w:sz="0" w:space="0" w:color="auto"/>
      </w:divBdr>
    </w:div>
    <w:div w:id="1004937279">
      <w:bodyDiv w:val="1"/>
      <w:marLeft w:val="0"/>
      <w:marRight w:val="0"/>
      <w:marTop w:val="0"/>
      <w:marBottom w:val="0"/>
      <w:divBdr>
        <w:top w:val="none" w:sz="0" w:space="0" w:color="auto"/>
        <w:left w:val="none" w:sz="0" w:space="0" w:color="auto"/>
        <w:bottom w:val="none" w:sz="0" w:space="0" w:color="auto"/>
        <w:right w:val="none" w:sz="0" w:space="0" w:color="auto"/>
      </w:divBdr>
    </w:div>
    <w:div w:id="1013921159">
      <w:bodyDiv w:val="1"/>
      <w:marLeft w:val="0"/>
      <w:marRight w:val="0"/>
      <w:marTop w:val="0"/>
      <w:marBottom w:val="0"/>
      <w:divBdr>
        <w:top w:val="none" w:sz="0" w:space="0" w:color="auto"/>
        <w:left w:val="none" w:sz="0" w:space="0" w:color="auto"/>
        <w:bottom w:val="none" w:sz="0" w:space="0" w:color="auto"/>
        <w:right w:val="none" w:sz="0" w:space="0" w:color="auto"/>
      </w:divBdr>
    </w:div>
    <w:div w:id="1034648176">
      <w:bodyDiv w:val="1"/>
      <w:marLeft w:val="0"/>
      <w:marRight w:val="0"/>
      <w:marTop w:val="0"/>
      <w:marBottom w:val="0"/>
      <w:divBdr>
        <w:top w:val="none" w:sz="0" w:space="0" w:color="auto"/>
        <w:left w:val="none" w:sz="0" w:space="0" w:color="auto"/>
        <w:bottom w:val="none" w:sz="0" w:space="0" w:color="auto"/>
        <w:right w:val="none" w:sz="0" w:space="0" w:color="auto"/>
      </w:divBdr>
    </w:div>
    <w:div w:id="1034698088">
      <w:bodyDiv w:val="1"/>
      <w:marLeft w:val="0"/>
      <w:marRight w:val="0"/>
      <w:marTop w:val="0"/>
      <w:marBottom w:val="0"/>
      <w:divBdr>
        <w:top w:val="none" w:sz="0" w:space="0" w:color="auto"/>
        <w:left w:val="none" w:sz="0" w:space="0" w:color="auto"/>
        <w:bottom w:val="none" w:sz="0" w:space="0" w:color="auto"/>
        <w:right w:val="none" w:sz="0" w:space="0" w:color="auto"/>
      </w:divBdr>
    </w:div>
    <w:div w:id="1045175394">
      <w:bodyDiv w:val="1"/>
      <w:marLeft w:val="0"/>
      <w:marRight w:val="0"/>
      <w:marTop w:val="0"/>
      <w:marBottom w:val="0"/>
      <w:divBdr>
        <w:top w:val="none" w:sz="0" w:space="0" w:color="auto"/>
        <w:left w:val="none" w:sz="0" w:space="0" w:color="auto"/>
        <w:bottom w:val="none" w:sz="0" w:space="0" w:color="auto"/>
        <w:right w:val="none" w:sz="0" w:space="0" w:color="auto"/>
      </w:divBdr>
    </w:div>
    <w:div w:id="1054154805">
      <w:bodyDiv w:val="1"/>
      <w:marLeft w:val="0"/>
      <w:marRight w:val="0"/>
      <w:marTop w:val="0"/>
      <w:marBottom w:val="0"/>
      <w:divBdr>
        <w:top w:val="none" w:sz="0" w:space="0" w:color="auto"/>
        <w:left w:val="none" w:sz="0" w:space="0" w:color="auto"/>
        <w:bottom w:val="none" w:sz="0" w:space="0" w:color="auto"/>
        <w:right w:val="none" w:sz="0" w:space="0" w:color="auto"/>
      </w:divBdr>
    </w:div>
    <w:div w:id="1056245142">
      <w:bodyDiv w:val="1"/>
      <w:marLeft w:val="0"/>
      <w:marRight w:val="0"/>
      <w:marTop w:val="0"/>
      <w:marBottom w:val="0"/>
      <w:divBdr>
        <w:top w:val="none" w:sz="0" w:space="0" w:color="auto"/>
        <w:left w:val="none" w:sz="0" w:space="0" w:color="auto"/>
        <w:bottom w:val="none" w:sz="0" w:space="0" w:color="auto"/>
        <w:right w:val="none" w:sz="0" w:space="0" w:color="auto"/>
      </w:divBdr>
    </w:div>
    <w:div w:id="1061831596">
      <w:bodyDiv w:val="1"/>
      <w:marLeft w:val="0"/>
      <w:marRight w:val="0"/>
      <w:marTop w:val="0"/>
      <w:marBottom w:val="0"/>
      <w:divBdr>
        <w:top w:val="none" w:sz="0" w:space="0" w:color="auto"/>
        <w:left w:val="none" w:sz="0" w:space="0" w:color="auto"/>
        <w:bottom w:val="none" w:sz="0" w:space="0" w:color="auto"/>
        <w:right w:val="none" w:sz="0" w:space="0" w:color="auto"/>
      </w:divBdr>
    </w:div>
    <w:div w:id="1077362536">
      <w:bodyDiv w:val="1"/>
      <w:marLeft w:val="0"/>
      <w:marRight w:val="0"/>
      <w:marTop w:val="0"/>
      <w:marBottom w:val="0"/>
      <w:divBdr>
        <w:top w:val="none" w:sz="0" w:space="0" w:color="auto"/>
        <w:left w:val="none" w:sz="0" w:space="0" w:color="auto"/>
        <w:bottom w:val="none" w:sz="0" w:space="0" w:color="auto"/>
        <w:right w:val="none" w:sz="0" w:space="0" w:color="auto"/>
      </w:divBdr>
    </w:div>
    <w:div w:id="1083064560">
      <w:bodyDiv w:val="1"/>
      <w:marLeft w:val="0"/>
      <w:marRight w:val="0"/>
      <w:marTop w:val="0"/>
      <w:marBottom w:val="0"/>
      <w:divBdr>
        <w:top w:val="none" w:sz="0" w:space="0" w:color="auto"/>
        <w:left w:val="none" w:sz="0" w:space="0" w:color="auto"/>
        <w:bottom w:val="none" w:sz="0" w:space="0" w:color="auto"/>
        <w:right w:val="none" w:sz="0" w:space="0" w:color="auto"/>
      </w:divBdr>
    </w:div>
    <w:div w:id="1099368711">
      <w:bodyDiv w:val="1"/>
      <w:marLeft w:val="0"/>
      <w:marRight w:val="0"/>
      <w:marTop w:val="0"/>
      <w:marBottom w:val="0"/>
      <w:divBdr>
        <w:top w:val="none" w:sz="0" w:space="0" w:color="auto"/>
        <w:left w:val="none" w:sz="0" w:space="0" w:color="auto"/>
        <w:bottom w:val="none" w:sz="0" w:space="0" w:color="auto"/>
        <w:right w:val="none" w:sz="0" w:space="0" w:color="auto"/>
      </w:divBdr>
    </w:div>
    <w:div w:id="1111365819">
      <w:bodyDiv w:val="1"/>
      <w:marLeft w:val="0"/>
      <w:marRight w:val="0"/>
      <w:marTop w:val="0"/>
      <w:marBottom w:val="0"/>
      <w:divBdr>
        <w:top w:val="none" w:sz="0" w:space="0" w:color="auto"/>
        <w:left w:val="none" w:sz="0" w:space="0" w:color="auto"/>
        <w:bottom w:val="none" w:sz="0" w:space="0" w:color="auto"/>
        <w:right w:val="none" w:sz="0" w:space="0" w:color="auto"/>
      </w:divBdr>
    </w:div>
    <w:div w:id="1113289044">
      <w:bodyDiv w:val="1"/>
      <w:marLeft w:val="0"/>
      <w:marRight w:val="0"/>
      <w:marTop w:val="0"/>
      <w:marBottom w:val="0"/>
      <w:divBdr>
        <w:top w:val="none" w:sz="0" w:space="0" w:color="auto"/>
        <w:left w:val="none" w:sz="0" w:space="0" w:color="auto"/>
        <w:bottom w:val="none" w:sz="0" w:space="0" w:color="auto"/>
        <w:right w:val="none" w:sz="0" w:space="0" w:color="auto"/>
      </w:divBdr>
    </w:div>
    <w:div w:id="1119648005">
      <w:bodyDiv w:val="1"/>
      <w:marLeft w:val="0"/>
      <w:marRight w:val="0"/>
      <w:marTop w:val="0"/>
      <w:marBottom w:val="0"/>
      <w:divBdr>
        <w:top w:val="none" w:sz="0" w:space="0" w:color="auto"/>
        <w:left w:val="none" w:sz="0" w:space="0" w:color="auto"/>
        <w:bottom w:val="none" w:sz="0" w:space="0" w:color="auto"/>
        <w:right w:val="none" w:sz="0" w:space="0" w:color="auto"/>
      </w:divBdr>
    </w:div>
    <w:div w:id="1124469570">
      <w:bodyDiv w:val="1"/>
      <w:marLeft w:val="0"/>
      <w:marRight w:val="0"/>
      <w:marTop w:val="0"/>
      <w:marBottom w:val="0"/>
      <w:divBdr>
        <w:top w:val="none" w:sz="0" w:space="0" w:color="auto"/>
        <w:left w:val="none" w:sz="0" w:space="0" w:color="auto"/>
        <w:bottom w:val="none" w:sz="0" w:space="0" w:color="auto"/>
        <w:right w:val="none" w:sz="0" w:space="0" w:color="auto"/>
      </w:divBdr>
    </w:div>
    <w:div w:id="1133061949">
      <w:bodyDiv w:val="1"/>
      <w:marLeft w:val="0"/>
      <w:marRight w:val="0"/>
      <w:marTop w:val="0"/>
      <w:marBottom w:val="0"/>
      <w:divBdr>
        <w:top w:val="none" w:sz="0" w:space="0" w:color="auto"/>
        <w:left w:val="none" w:sz="0" w:space="0" w:color="auto"/>
        <w:bottom w:val="none" w:sz="0" w:space="0" w:color="auto"/>
        <w:right w:val="none" w:sz="0" w:space="0" w:color="auto"/>
      </w:divBdr>
    </w:div>
    <w:div w:id="1133980831">
      <w:bodyDiv w:val="1"/>
      <w:marLeft w:val="0"/>
      <w:marRight w:val="0"/>
      <w:marTop w:val="0"/>
      <w:marBottom w:val="0"/>
      <w:divBdr>
        <w:top w:val="none" w:sz="0" w:space="0" w:color="auto"/>
        <w:left w:val="none" w:sz="0" w:space="0" w:color="auto"/>
        <w:bottom w:val="none" w:sz="0" w:space="0" w:color="auto"/>
        <w:right w:val="none" w:sz="0" w:space="0" w:color="auto"/>
      </w:divBdr>
    </w:div>
    <w:div w:id="1142038192">
      <w:bodyDiv w:val="1"/>
      <w:marLeft w:val="0"/>
      <w:marRight w:val="0"/>
      <w:marTop w:val="0"/>
      <w:marBottom w:val="0"/>
      <w:divBdr>
        <w:top w:val="none" w:sz="0" w:space="0" w:color="auto"/>
        <w:left w:val="none" w:sz="0" w:space="0" w:color="auto"/>
        <w:bottom w:val="none" w:sz="0" w:space="0" w:color="auto"/>
        <w:right w:val="none" w:sz="0" w:space="0" w:color="auto"/>
      </w:divBdr>
    </w:div>
    <w:div w:id="1144856615">
      <w:bodyDiv w:val="1"/>
      <w:marLeft w:val="0"/>
      <w:marRight w:val="0"/>
      <w:marTop w:val="0"/>
      <w:marBottom w:val="0"/>
      <w:divBdr>
        <w:top w:val="none" w:sz="0" w:space="0" w:color="auto"/>
        <w:left w:val="none" w:sz="0" w:space="0" w:color="auto"/>
        <w:bottom w:val="none" w:sz="0" w:space="0" w:color="auto"/>
        <w:right w:val="none" w:sz="0" w:space="0" w:color="auto"/>
      </w:divBdr>
    </w:div>
    <w:div w:id="1145658081">
      <w:bodyDiv w:val="1"/>
      <w:marLeft w:val="0"/>
      <w:marRight w:val="0"/>
      <w:marTop w:val="0"/>
      <w:marBottom w:val="0"/>
      <w:divBdr>
        <w:top w:val="none" w:sz="0" w:space="0" w:color="auto"/>
        <w:left w:val="none" w:sz="0" w:space="0" w:color="auto"/>
        <w:bottom w:val="none" w:sz="0" w:space="0" w:color="auto"/>
        <w:right w:val="none" w:sz="0" w:space="0" w:color="auto"/>
      </w:divBdr>
    </w:div>
    <w:div w:id="1157653735">
      <w:bodyDiv w:val="1"/>
      <w:marLeft w:val="0"/>
      <w:marRight w:val="0"/>
      <w:marTop w:val="0"/>
      <w:marBottom w:val="0"/>
      <w:divBdr>
        <w:top w:val="none" w:sz="0" w:space="0" w:color="auto"/>
        <w:left w:val="none" w:sz="0" w:space="0" w:color="auto"/>
        <w:bottom w:val="none" w:sz="0" w:space="0" w:color="auto"/>
        <w:right w:val="none" w:sz="0" w:space="0" w:color="auto"/>
      </w:divBdr>
    </w:div>
    <w:div w:id="1158232022">
      <w:bodyDiv w:val="1"/>
      <w:marLeft w:val="0"/>
      <w:marRight w:val="0"/>
      <w:marTop w:val="0"/>
      <w:marBottom w:val="0"/>
      <w:divBdr>
        <w:top w:val="none" w:sz="0" w:space="0" w:color="auto"/>
        <w:left w:val="none" w:sz="0" w:space="0" w:color="auto"/>
        <w:bottom w:val="none" w:sz="0" w:space="0" w:color="auto"/>
        <w:right w:val="none" w:sz="0" w:space="0" w:color="auto"/>
      </w:divBdr>
    </w:div>
    <w:div w:id="1161896935">
      <w:bodyDiv w:val="1"/>
      <w:marLeft w:val="0"/>
      <w:marRight w:val="0"/>
      <w:marTop w:val="0"/>
      <w:marBottom w:val="0"/>
      <w:divBdr>
        <w:top w:val="none" w:sz="0" w:space="0" w:color="auto"/>
        <w:left w:val="none" w:sz="0" w:space="0" w:color="auto"/>
        <w:bottom w:val="none" w:sz="0" w:space="0" w:color="auto"/>
        <w:right w:val="none" w:sz="0" w:space="0" w:color="auto"/>
      </w:divBdr>
    </w:div>
    <w:div w:id="1162350566">
      <w:bodyDiv w:val="1"/>
      <w:marLeft w:val="0"/>
      <w:marRight w:val="0"/>
      <w:marTop w:val="0"/>
      <w:marBottom w:val="0"/>
      <w:divBdr>
        <w:top w:val="none" w:sz="0" w:space="0" w:color="auto"/>
        <w:left w:val="none" w:sz="0" w:space="0" w:color="auto"/>
        <w:bottom w:val="none" w:sz="0" w:space="0" w:color="auto"/>
        <w:right w:val="none" w:sz="0" w:space="0" w:color="auto"/>
      </w:divBdr>
    </w:div>
    <w:div w:id="1162693531">
      <w:bodyDiv w:val="1"/>
      <w:marLeft w:val="0"/>
      <w:marRight w:val="0"/>
      <w:marTop w:val="0"/>
      <w:marBottom w:val="0"/>
      <w:divBdr>
        <w:top w:val="none" w:sz="0" w:space="0" w:color="auto"/>
        <w:left w:val="none" w:sz="0" w:space="0" w:color="auto"/>
        <w:bottom w:val="none" w:sz="0" w:space="0" w:color="auto"/>
        <w:right w:val="none" w:sz="0" w:space="0" w:color="auto"/>
      </w:divBdr>
    </w:div>
    <w:div w:id="1185633836">
      <w:bodyDiv w:val="1"/>
      <w:marLeft w:val="0"/>
      <w:marRight w:val="0"/>
      <w:marTop w:val="0"/>
      <w:marBottom w:val="0"/>
      <w:divBdr>
        <w:top w:val="none" w:sz="0" w:space="0" w:color="auto"/>
        <w:left w:val="none" w:sz="0" w:space="0" w:color="auto"/>
        <w:bottom w:val="none" w:sz="0" w:space="0" w:color="auto"/>
        <w:right w:val="none" w:sz="0" w:space="0" w:color="auto"/>
      </w:divBdr>
    </w:div>
    <w:div w:id="1193615301">
      <w:bodyDiv w:val="1"/>
      <w:marLeft w:val="0"/>
      <w:marRight w:val="0"/>
      <w:marTop w:val="0"/>
      <w:marBottom w:val="0"/>
      <w:divBdr>
        <w:top w:val="none" w:sz="0" w:space="0" w:color="auto"/>
        <w:left w:val="none" w:sz="0" w:space="0" w:color="auto"/>
        <w:bottom w:val="none" w:sz="0" w:space="0" w:color="auto"/>
        <w:right w:val="none" w:sz="0" w:space="0" w:color="auto"/>
      </w:divBdr>
    </w:div>
    <w:div w:id="1203980197">
      <w:bodyDiv w:val="1"/>
      <w:marLeft w:val="0"/>
      <w:marRight w:val="0"/>
      <w:marTop w:val="0"/>
      <w:marBottom w:val="0"/>
      <w:divBdr>
        <w:top w:val="none" w:sz="0" w:space="0" w:color="auto"/>
        <w:left w:val="none" w:sz="0" w:space="0" w:color="auto"/>
        <w:bottom w:val="none" w:sz="0" w:space="0" w:color="auto"/>
        <w:right w:val="none" w:sz="0" w:space="0" w:color="auto"/>
      </w:divBdr>
    </w:div>
    <w:div w:id="1207134287">
      <w:bodyDiv w:val="1"/>
      <w:marLeft w:val="0"/>
      <w:marRight w:val="0"/>
      <w:marTop w:val="0"/>
      <w:marBottom w:val="0"/>
      <w:divBdr>
        <w:top w:val="none" w:sz="0" w:space="0" w:color="auto"/>
        <w:left w:val="none" w:sz="0" w:space="0" w:color="auto"/>
        <w:bottom w:val="none" w:sz="0" w:space="0" w:color="auto"/>
        <w:right w:val="none" w:sz="0" w:space="0" w:color="auto"/>
      </w:divBdr>
    </w:div>
    <w:div w:id="1209610436">
      <w:bodyDiv w:val="1"/>
      <w:marLeft w:val="0"/>
      <w:marRight w:val="0"/>
      <w:marTop w:val="0"/>
      <w:marBottom w:val="0"/>
      <w:divBdr>
        <w:top w:val="none" w:sz="0" w:space="0" w:color="auto"/>
        <w:left w:val="none" w:sz="0" w:space="0" w:color="auto"/>
        <w:bottom w:val="none" w:sz="0" w:space="0" w:color="auto"/>
        <w:right w:val="none" w:sz="0" w:space="0" w:color="auto"/>
      </w:divBdr>
    </w:div>
    <w:div w:id="1218588035">
      <w:bodyDiv w:val="1"/>
      <w:marLeft w:val="0"/>
      <w:marRight w:val="0"/>
      <w:marTop w:val="0"/>
      <w:marBottom w:val="0"/>
      <w:divBdr>
        <w:top w:val="none" w:sz="0" w:space="0" w:color="auto"/>
        <w:left w:val="none" w:sz="0" w:space="0" w:color="auto"/>
        <w:bottom w:val="none" w:sz="0" w:space="0" w:color="auto"/>
        <w:right w:val="none" w:sz="0" w:space="0" w:color="auto"/>
      </w:divBdr>
    </w:div>
    <w:div w:id="1221091016">
      <w:bodyDiv w:val="1"/>
      <w:marLeft w:val="0"/>
      <w:marRight w:val="0"/>
      <w:marTop w:val="0"/>
      <w:marBottom w:val="0"/>
      <w:divBdr>
        <w:top w:val="none" w:sz="0" w:space="0" w:color="auto"/>
        <w:left w:val="none" w:sz="0" w:space="0" w:color="auto"/>
        <w:bottom w:val="none" w:sz="0" w:space="0" w:color="auto"/>
        <w:right w:val="none" w:sz="0" w:space="0" w:color="auto"/>
      </w:divBdr>
    </w:div>
    <w:div w:id="1221358371">
      <w:bodyDiv w:val="1"/>
      <w:marLeft w:val="0"/>
      <w:marRight w:val="0"/>
      <w:marTop w:val="0"/>
      <w:marBottom w:val="0"/>
      <w:divBdr>
        <w:top w:val="none" w:sz="0" w:space="0" w:color="auto"/>
        <w:left w:val="none" w:sz="0" w:space="0" w:color="auto"/>
        <w:bottom w:val="none" w:sz="0" w:space="0" w:color="auto"/>
        <w:right w:val="none" w:sz="0" w:space="0" w:color="auto"/>
      </w:divBdr>
    </w:div>
    <w:div w:id="1222443522">
      <w:bodyDiv w:val="1"/>
      <w:marLeft w:val="0"/>
      <w:marRight w:val="0"/>
      <w:marTop w:val="0"/>
      <w:marBottom w:val="0"/>
      <w:divBdr>
        <w:top w:val="none" w:sz="0" w:space="0" w:color="auto"/>
        <w:left w:val="none" w:sz="0" w:space="0" w:color="auto"/>
        <w:bottom w:val="none" w:sz="0" w:space="0" w:color="auto"/>
        <w:right w:val="none" w:sz="0" w:space="0" w:color="auto"/>
      </w:divBdr>
    </w:div>
    <w:div w:id="1225873400">
      <w:bodyDiv w:val="1"/>
      <w:marLeft w:val="0"/>
      <w:marRight w:val="0"/>
      <w:marTop w:val="0"/>
      <w:marBottom w:val="0"/>
      <w:divBdr>
        <w:top w:val="none" w:sz="0" w:space="0" w:color="auto"/>
        <w:left w:val="none" w:sz="0" w:space="0" w:color="auto"/>
        <w:bottom w:val="none" w:sz="0" w:space="0" w:color="auto"/>
        <w:right w:val="none" w:sz="0" w:space="0" w:color="auto"/>
      </w:divBdr>
    </w:div>
    <w:div w:id="1227304260">
      <w:bodyDiv w:val="1"/>
      <w:marLeft w:val="0"/>
      <w:marRight w:val="0"/>
      <w:marTop w:val="0"/>
      <w:marBottom w:val="0"/>
      <w:divBdr>
        <w:top w:val="none" w:sz="0" w:space="0" w:color="auto"/>
        <w:left w:val="none" w:sz="0" w:space="0" w:color="auto"/>
        <w:bottom w:val="none" w:sz="0" w:space="0" w:color="auto"/>
        <w:right w:val="none" w:sz="0" w:space="0" w:color="auto"/>
      </w:divBdr>
    </w:div>
    <w:div w:id="1240671845">
      <w:bodyDiv w:val="1"/>
      <w:marLeft w:val="0"/>
      <w:marRight w:val="0"/>
      <w:marTop w:val="0"/>
      <w:marBottom w:val="0"/>
      <w:divBdr>
        <w:top w:val="none" w:sz="0" w:space="0" w:color="auto"/>
        <w:left w:val="none" w:sz="0" w:space="0" w:color="auto"/>
        <w:bottom w:val="none" w:sz="0" w:space="0" w:color="auto"/>
        <w:right w:val="none" w:sz="0" w:space="0" w:color="auto"/>
      </w:divBdr>
    </w:div>
    <w:div w:id="1247304633">
      <w:bodyDiv w:val="1"/>
      <w:marLeft w:val="0"/>
      <w:marRight w:val="0"/>
      <w:marTop w:val="0"/>
      <w:marBottom w:val="0"/>
      <w:divBdr>
        <w:top w:val="none" w:sz="0" w:space="0" w:color="auto"/>
        <w:left w:val="none" w:sz="0" w:space="0" w:color="auto"/>
        <w:bottom w:val="none" w:sz="0" w:space="0" w:color="auto"/>
        <w:right w:val="none" w:sz="0" w:space="0" w:color="auto"/>
      </w:divBdr>
    </w:div>
    <w:div w:id="1248730119">
      <w:bodyDiv w:val="1"/>
      <w:marLeft w:val="0"/>
      <w:marRight w:val="0"/>
      <w:marTop w:val="0"/>
      <w:marBottom w:val="0"/>
      <w:divBdr>
        <w:top w:val="none" w:sz="0" w:space="0" w:color="auto"/>
        <w:left w:val="none" w:sz="0" w:space="0" w:color="auto"/>
        <w:bottom w:val="none" w:sz="0" w:space="0" w:color="auto"/>
        <w:right w:val="none" w:sz="0" w:space="0" w:color="auto"/>
      </w:divBdr>
    </w:div>
    <w:div w:id="1260408333">
      <w:bodyDiv w:val="1"/>
      <w:marLeft w:val="0"/>
      <w:marRight w:val="0"/>
      <w:marTop w:val="0"/>
      <w:marBottom w:val="0"/>
      <w:divBdr>
        <w:top w:val="none" w:sz="0" w:space="0" w:color="auto"/>
        <w:left w:val="none" w:sz="0" w:space="0" w:color="auto"/>
        <w:bottom w:val="none" w:sz="0" w:space="0" w:color="auto"/>
        <w:right w:val="none" w:sz="0" w:space="0" w:color="auto"/>
      </w:divBdr>
    </w:div>
    <w:div w:id="1276474736">
      <w:bodyDiv w:val="1"/>
      <w:marLeft w:val="0"/>
      <w:marRight w:val="0"/>
      <w:marTop w:val="0"/>
      <w:marBottom w:val="0"/>
      <w:divBdr>
        <w:top w:val="none" w:sz="0" w:space="0" w:color="auto"/>
        <w:left w:val="none" w:sz="0" w:space="0" w:color="auto"/>
        <w:bottom w:val="none" w:sz="0" w:space="0" w:color="auto"/>
        <w:right w:val="none" w:sz="0" w:space="0" w:color="auto"/>
      </w:divBdr>
    </w:div>
    <w:div w:id="1278368414">
      <w:bodyDiv w:val="1"/>
      <w:marLeft w:val="0"/>
      <w:marRight w:val="0"/>
      <w:marTop w:val="0"/>
      <w:marBottom w:val="0"/>
      <w:divBdr>
        <w:top w:val="none" w:sz="0" w:space="0" w:color="auto"/>
        <w:left w:val="none" w:sz="0" w:space="0" w:color="auto"/>
        <w:bottom w:val="none" w:sz="0" w:space="0" w:color="auto"/>
        <w:right w:val="none" w:sz="0" w:space="0" w:color="auto"/>
      </w:divBdr>
    </w:div>
    <w:div w:id="1287273813">
      <w:bodyDiv w:val="1"/>
      <w:marLeft w:val="0"/>
      <w:marRight w:val="0"/>
      <w:marTop w:val="0"/>
      <w:marBottom w:val="0"/>
      <w:divBdr>
        <w:top w:val="none" w:sz="0" w:space="0" w:color="auto"/>
        <w:left w:val="none" w:sz="0" w:space="0" w:color="auto"/>
        <w:bottom w:val="none" w:sz="0" w:space="0" w:color="auto"/>
        <w:right w:val="none" w:sz="0" w:space="0" w:color="auto"/>
      </w:divBdr>
    </w:div>
    <w:div w:id="1289124733">
      <w:bodyDiv w:val="1"/>
      <w:marLeft w:val="0"/>
      <w:marRight w:val="0"/>
      <w:marTop w:val="0"/>
      <w:marBottom w:val="0"/>
      <w:divBdr>
        <w:top w:val="none" w:sz="0" w:space="0" w:color="auto"/>
        <w:left w:val="none" w:sz="0" w:space="0" w:color="auto"/>
        <w:bottom w:val="none" w:sz="0" w:space="0" w:color="auto"/>
        <w:right w:val="none" w:sz="0" w:space="0" w:color="auto"/>
      </w:divBdr>
    </w:div>
    <w:div w:id="1289625775">
      <w:bodyDiv w:val="1"/>
      <w:marLeft w:val="0"/>
      <w:marRight w:val="0"/>
      <w:marTop w:val="0"/>
      <w:marBottom w:val="0"/>
      <w:divBdr>
        <w:top w:val="none" w:sz="0" w:space="0" w:color="auto"/>
        <w:left w:val="none" w:sz="0" w:space="0" w:color="auto"/>
        <w:bottom w:val="none" w:sz="0" w:space="0" w:color="auto"/>
        <w:right w:val="none" w:sz="0" w:space="0" w:color="auto"/>
      </w:divBdr>
    </w:div>
    <w:div w:id="1307592696">
      <w:bodyDiv w:val="1"/>
      <w:marLeft w:val="0"/>
      <w:marRight w:val="0"/>
      <w:marTop w:val="0"/>
      <w:marBottom w:val="0"/>
      <w:divBdr>
        <w:top w:val="none" w:sz="0" w:space="0" w:color="auto"/>
        <w:left w:val="none" w:sz="0" w:space="0" w:color="auto"/>
        <w:bottom w:val="none" w:sz="0" w:space="0" w:color="auto"/>
        <w:right w:val="none" w:sz="0" w:space="0" w:color="auto"/>
      </w:divBdr>
    </w:div>
    <w:div w:id="1313484862">
      <w:bodyDiv w:val="1"/>
      <w:marLeft w:val="0"/>
      <w:marRight w:val="0"/>
      <w:marTop w:val="0"/>
      <w:marBottom w:val="0"/>
      <w:divBdr>
        <w:top w:val="none" w:sz="0" w:space="0" w:color="auto"/>
        <w:left w:val="none" w:sz="0" w:space="0" w:color="auto"/>
        <w:bottom w:val="none" w:sz="0" w:space="0" w:color="auto"/>
        <w:right w:val="none" w:sz="0" w:space="0" w:color="auto"/>
      </w:divBdr>
    </w:div>
    <w:div w:id="1316181322">
      <w:bodyDiv w:val="1"/>
      <w:marLeft w:val="0"/>
      <w:marRight w:val="0"/>
      <w:marTop w:val="0"/>
      <w:marBottom w:val="0"/>
      <w:divBdr>
        <w:top w:val="none" w:sz="0" w:space="0" w:color="auto"/>
        <w:left w:val="none" w:sz="0" w:space="0" w:color="auto"/>
        <w:bottom w:val="none" w:sz="0" w:space="0" w:color="auto"/>
        <w:right w:val="none" w:sz="0" w:space="0" w:color="auto"/>
      </w:divBdr>
    </w:div>
    <w:div w:id="1316566604">
      <w:bodyDiv w:val="1"/>
      <w:marLeft w:val="0"/>
      <w:marRight w:val="0"/>
      <w:marTop w:val="0"/>
      <w:marBottom w:val="0"/>
      <w:divBdr>
        <w:top w:val="none" w:sz="0" w:space="0" w:color="auto"/>
        <w:left w:val="none" w:sz="0" w:space="0" w:color="auto"/>
        <w:bottom w:val="none" w:sz="0" w:space="0" w:color="auto"/>
        <w:right w:val="none" w:sz="0" w:space="0" w:color="auto"/>
      </w:divBdr>
    </w:div>
    <w:div w:id="1326205560">
      <w:bodyDiv w:val="1"/>
      <w:marLeft w:val="0"/>
      <w:marRight w:val="0"/>
      <w:marTop w:val="0"/>
      <w:marBottom w:val="0"/>
      <w:divBdr>
        <w:top w:val="none" w:sz="0" w:space="0" w:color="auto"/>
        <w:left w:val="none" w:sz="0" w:space="0" w:color="auto"/>
        <w:bottom w:val="none" w:sz="0" w:space="0" w:color="auto"/>
        <w:right w:val="none" w:sz="0" w:space="0" w:color="auto"/>
      </w:divBdr>
    </w:div>
    <w:div w:id="1331828312">
      <w:bodyDiv w:val="1"/>
      <w:marLeft w:val="0"/>
      <w:marRight w:val="0"/>
      <w:marTop w:val="0"/>
      <w:marBottom w:val="0"/>
      <w:divBdr>
        <w:top w:val="none" w:sz="0" w:space="0" w:color="auto"/>
        <w:left w:val="none" w:sz="0" w:space="0" w:color="auto"/>
        <w:bottom w:val="none" w:sz="0" w:space="0" w:color="auto"/>
        <w:right w:val="none" w:sz="0" w:space="0" w:color="auto"/>
      </w:divBdr>
    </w:div>
    <w:div w:id="1336029646">
      <w:bodyDiv w:val="1"/>
      <w:marLeft w:val="0"/>
      <w:marRight w:val="0"/>
      <w:marTop w:val="0"/>
      <w:marBottom w:val="0"/>
      <w:divBdr>
        <w:top w:val="none" w:sz="0" w:space="0" w:color="auto"/>
        <w:left w:val="none" w:sz="0" w:space="0" w:color="auto"/>
        <w:bottom w:val="none" w:sz="0" w:space="0" w:color="auto"/>
        <w:right w:val="none" w:sz="0" w:space="0" w:color="auto"/>
      </w:divBdr>
    </w:div>
    <w:div w:id="1336226748">
      <w:bodyDiv w:val="1"/>
      <w:marLeft w:val="0"/>
      <w:marRight w:val="0"/>
      <w:marTop w:val="0"/>
      <w:marBottom w:val="0"/>
      <w:divBdr>
        <w:top w:val="none" w:sz="0" w:space="0" w:color="auto"/>
        <w:left w:val="none" w:sz="0" w:space="0" w:color="auto"/>
        <w:bottom w:val="none" w:sz="0" w:space="0" w:color="auto"/>
        <w:right w:val="none" w:sz="0" w:space="0" w:color="auto"/>
      </w:divBdr>
    </w:div>
    <w:div w:id="1339383565">
      <w:bodyDiv w:val="1"/>
      <w:marLeft w:val="0"/>
      <w:marRight w:val="0"/>
      <w:marTop w:val="0"/>
      <w:marBottom w:val="0"/>
      <w:divBdr>
        <w:top w:val="none" w:sz="0" w:space="0" w:color="auto"/>
        <w:left w:val="none" w:sz="0" w:space="0" w:color="auto"/>
        <w:bottom w:val="none" w:sz="0" w:space="0" w:color="auto"/>
        <w:right w:val="none" w:sz="0" w:space="0" w:color="auto"/>
      </w:divBdr>
    </w:div>
    <w:div w:id="1343431872">
      <w:bodyDiv w:val="1"/>
      <w:marLeft w:val="0"/>
      <w:marRight w:val="0"/>
      <w:marTop w:val="0"/>
      <w:marBottom w:val="0"/>
      <w:divBdr>
        <w:top w:val="none" w:sz="0" w:space="0" w:color="auto"/>
        <w:left w:val="none" w:sz="0" w:space="0" w:color="auto"/>
        <w:bottom w:val="none" w:sz="0" w:space="0" w:color="auto"/>
        <w:right w:val="none" w:sz="0" w:space="0" w:color="auto"/>
      </w:divBdr>
    </w:div>
    <w:div w:id="1345589447">
      <w:bodyDiv w:val="1"/>
      <w:marLeft w:val="0"/>
      <w:marRight w:val="0"/>
      <w:marTop w:val="0"/>
      <w:marBottom w:val="0"/>
      <w:divBdr>
        <w:top w:val="none" w:sz="0" w:space="0" w:color="auto"/>
        <w:left w:val="none" w:sz="0" w:space="0" w:color="auto"/>
        <w:bottom w:val="none" w:sz="0" w:space="0" w:color="auto"/>
        <w:right w:val="none" w:sz="0" w:space="0" w:color="auto"/>
      </w:divBdr>
    </w:div>
    <w:div w:id="1356537707">
      <w:bodyDiv w:val="1"/>
      <w:marLeft w:val="0"/>
      <w:marRight w:val="0"/>
      <w:marTop w:val="0"/>
      <w:marBottom w:val="0"/>
      <w:divBdr>
        <w:top w:val="none" w:sz="0" w:space="0" w:color="auto"/>
        <w:left w:val="none" w:sz="0" w:space="0" w:color="auto"/>
        <w:bottom w:val="none" w:sz="0" w:space="0" w:color="auto"/>
        <w:right w:val="none" w:sz="0" w:space="0" w:color="auto"/>
      </w:divBdr>
    </w:div>
    <w:div w:id="1374036051">
      <w:bodyDiv w:val="1"/>
      <w:marLeft w:val="0"/>
      <w:marRight w:val="0"/>
      <w:marTop w:val="0"/>
      <w:marBottom w:val="0"/>
      <w:divBdr>
        <w:top w:val="none" w:sz="0" w:space="0" w:color="auto"/>
        <w:left w:val="none" w:sz="0" w:space="0" w:color="auto"/>
        <w:bottom w:val="none" w:sz="0" w:space="0" w:color="auto"/>
        <w:right w:val="none" w:sz="0" w:space="0" w:color="auto"/>
      </w:divBdr>
    </w:div>
    <w:div w:id="1377585038">
      <w:bodyDiv w:val="1"/>
      <w:marLeft w:val="0"/>
      <w:marRight w:val="0"/>
      <w:marTop w:val="0"/>
      <w:marBottom w:val="0"/>
      <w:divBdr>
        <w:top w:val="none" w:sz="0" w:space="0" w:color="auto"/>
        <w:left w:val="none" w:sz="0" w:space="0" w:color="auto"/>
        <w:bottom w:val="none" w:sz="0" w:space="0" w:color="auto"/>
        <w:right w:val="none" w:sz="0" w:space="0" w:color="auto"/>
      </w:divBdr>
    </w:div>
    <w:div w:id="1379428777">
      <w:bodyDiv w:val="1"/>
      <w:marLeft w:val="0"/>
      <w:marRight w:val="0"/>
      <w:marTop w:val="0"/>
      <w:marBottom w:val="0"/>
      <w:divBdr>
        <w:top w:val="none" w:sz="0" w:space="0" w:color="auto"/>
        <w:left w:val="none" w:sz="0" w:space="0" w:color="auto"/>
        <w:bottom w:val="none" w:sz="0" w:space="0" w:color="auto"/>
        <w:right w:val="none" w:sz="0" w:space="0" w:color="auto"/>
      </w:divBdr>
    </w:div>
    <w:div w:id="1384522706">
      <w:bodyDiv w:val="1"/>
      <w:marLeft w:val="0"/>
      <w:marRight w:val="0"/>
      <w:marTop w:val="0"/>
      <w:marBottom w:val="0"/>
      <w:divBdr>
        <w:top w:val="none" w:sz="0" w:space="0" w:color="auto"/>
        <w:left w:val="none" w:sz="0" w:space="0" w:color="auto"/>
        <w:bottom w:val="none" w:sz="0" w:space="0" w:color="auto"/>
        <w:right w:val="none" w:sz="0" w:space="0" w:color="auto"/>
      </w:divBdr>
    </w:div>
    <w:div w:id="1395856978">
      <w:bodyDiv w:val="1"/>
      <w:marLeft w:val="0"/>
      <w:marRight w:val="0"/>
      <w:marTop w:val="0"/>
      <w:marBottom w:val="0"/>
      <w:divBdr>
        <w:top w:val="none" w:sz="0" w:space="0" w:color="auto"/>
        <w:left w:val="none" w:sz="0" w:space="0" w:color="auto"/>
        <w:bottom w:val="none" w:sz="0" w:space="0" w:color="auto"/>
        <w:right w:val="none" w:sz="0" w:space="0" w:color="auto"/>
      </w:divBdr>
    </w:div>
    <w:div w:id="1401441314">
      <w:bodyDiv w:val="1"/>
      <w:marLeft w:val="0"/>
      <w:marRight w:val="0"/>
      <w:marTop w:val="0"/>
      <w:marBottom w:val="0"/>
      <w:divBdr>
        <w:top w:val="none" w:sz="0" w:space="0" w:color="auto"/>
        <w:left w:val="none" w:sz="0" w:space="0" w:color="auto"/>
        <w:bottom w:val="none" w:sz="0" w:space="0" w:color="auto"/>
        <w:right w:val="none" w:sz="0" w:space="0" w:color="auto"/>
      </w:divBdr>
    </w:div>
    <w:div w:id="1402674426">
      <w:bodyDiv w:val="1"/>
      <w:marLeft w:val="0"/>
      <w:marRight w:val="0"/>
      <w:marTop w:val="0"/>
      <w:marBottom w:val="0"/>
      <w:divBdr>
        <w:top w:val="none" w:sz="0" w:space="0" w:color="auto"/>
        <w:left w:val="none" w:sz="0" w:space="0" w:color="auto"/>
        <w:bottom w:val="none" w:sz="0" w:space="0" w:color="auto"/>
        <w:right w:val="none" w:sz="0" w:space="0" w:color="auto"/>
      </w:divBdr>
    </w:div>
    <w:div w:id="1406337898">
      <w:bodyDiv w:val="1"/>
      <w:marLeft w:val="0"/>
      <w:marRight w:val="0"/>
      <w:marTop w:val="0"/>
      <w:marBottom w:val="0"/>
      <w:divBdr>
        <w:top w:val="none" w:sz="0" w:space="0" w:color="auto"/>
        <w:left w:val="none" w:sz="0" w:space="0" w:color="auto"/>
        <w:bottom w:val="none" w:sz="0" w:space="0" w:color="auto"/>
        <w:right w:val="none" w:sz="0" w:space="0" w:color="auto"/>
      </w:divBdr>
    </w:div>
    <w:div w:id="1407416254">
      <w:bodyDiv w:val="1"/>
      <w:marLeft w:val="0"/>
      <w:marRight w:val="0"/>
      <w:marTop w:val="0"/>
      <w:marBottom w:val="0"/>
      <w:divBdr>
        <w:top w:val="none" w:sz="0" w:space="0" w:color="auto"/>
        <w:left w:val="none" w:sz="0" w:space="0" w:color="auto"/>
        <w:bottom w:val="none" w:sz="0" w:space="0" w:color="auto"/>
        <w:right w:val="none" w:sz="0" w:space="0" w:color="auto"/>
      </w:divBdr>
    </w:div>
    <w:div w:id="1414358997">
      <w:bodyDiv w:val="1"/>
      <w:marLeft w:val="0"/>
      <w:marRight w:val="0"/>
      <w:marTop w:val="0"/>
      <w:marBottom w:val="0"/>
      <w:divBdr>
        <w:top w:val="none" w:sz="0" w:space="0" w:color="auto"/>
        <w:left w:val="none" w:sz="0" w:space="0" w:color="auto"/>
        <w:bottom w:val="none" w:sz="0" w:space="0" w:color="auto"/>
        <w:right w:val="none" w:sz="0" w:space="0" w:color="auto"/>
      </w:divBdr>
    </w:div>
    <w:div w:id="1444618920">
      <w:bodyDiv w:val="1"/>
      <w:marLeft w:val="0"/>
      <w:marRight w:val="0"/>
      <w:marTop w:val="0"/>
      <w:marBottom w:val="0"/>
      <w:divBdr>
        <w:top w:val="none" w:sz="0" w:space="0" w:color="auto"/>
        <w:left w:val="none" w:sz="0" w:space="0" w:color="auto"/>
        <w:bottom w:val="none" w:sz="0" w:space="0" w:color="auto"/>
        <w:right w:val="none" w:sz="0" w:space="0" w:color="auto"/>
      </w:divBdr>
    </w:div>
    <w:div w:id="1459178501">
      <w:bodyDiv w:val="1"/>
      <w:marLeft w:val="0"/>
      <w:marRight w:val="0"/>
      <w:marTop w:val="0"/>
      <w:marBottom w:val="0"/>
      <w:divBdr>
        <w:top w:val="none" w:sz="0" w:space="0" w:color="auto"/>
        <w:left w:val="none" w:sz="0" w:space="0" w:color="auto"/>
        <w:bottom w:val="none" w:sz="0" w:space="0" w:color="auto"/>
        <w:right w:val="none" w:sz="0" w:space="0" w:color="auto"/>
      </w:divBdr>
    </w:div>
    <w:div w:id="1461453871">
      <w:bodyDiv w:val="1"/>
      <w:marLeft w:val="0"/>
      <w:marRight w:val="0"/>
      <w:marTop w:val="0"/>
      <w:marBottom w:val="0"/>
      <w:divBdr>
        <w:top w:val="none" w:sz="0" w:space="0" w:color="auto"/>
        <w:left w:val="none" w:sz="0" w:space="0" w:color="auto"/>
        <w:bottom w:val="none" w:sz="0" w:space="0" w:color="auto"/>
        <w:right w:val="none" w:sz="0" w:space="0" w:color="auto"/>
      </w:divBdr>
    </w:div>
    <w:div w:id="1462261233">
      <w:bodyDiv w:val="1"/>
      <w:marLeft w:val="0"/>
      <w:marRight w:val="0"/>
      <w:marTop w:val="0"/>
      <w:marBottom w:val="0"/>
      <w:divBdr>
        <w:top w:val="none" w:sz="0" w:space="0" w:color="auto"/>
        <w:left w:val="none" w:sz="0" w:space="0" w:color="auto"/>
        <w:bottom w:val="none" w:sz="0" w:space="0" w:color="auto"/>
        <w:right w:val="none" w:sz="0" w:space="0" w:color="auto"/>
      </w:divBdr>
    </w:div>
    <w:div w:id="1467964999">
      <w:bodyDiv w:val="1"/>
      <w:marLeft w:val="0"/>
      <w:marRight w:val="0"/>
      <w:marTop w:val="0"/>
      <w:marBottom w:val="0"/>
      <w:divBdr>
        <w:top w:val="none" w:sz="0" w:space="0" w:color="auto"/>
        <w:left w:val="none" w:sz="0" w:space="0" w:color="auto"/>
        <w:bottom w:val="none" w:sz="0" w:space="0" w:color="auto"/>
        <w:right w:val="none" w:sz="0" w:space="0" w:color="auto"/>
      </w:divBdr>
    </w:div>
    <w:div w:id="1468889045">
      <w:bodyDiv w:val="1"/>
      <w:marLeft w:val="0"/>
      <w:marRight w:val="0"/>
      <w:marTop w:val="0"/>
      <w:marBottom w:val="0"/>
      <w:divBdr>
        <w:top w:val="none" w:sz="0" w:space="0" w:color="auto"/>
        <w:left w:val="none" w:sz="0" w:space="0" w:color="auto"/>
        <w:bottom w:val="none" w:sz="0" w:space="0" w:color="auto"/>
        <w:right w:val="none" w:sz="0" w:space="0" w:color="auto"/>
      </w:divBdr>
    </w:div>
    <w:div w:id="1477455065">
      <w:bodyDiv w:val="1"/>
      <w:marLeft w:val="0"/>
      <w:marRight w:val="0"/>
      <w:marTop w:val="0"/>
      <w:marBottom w:val="0"/>
      <w:divBdr>
        <w:top w:val="none" w:sz="0" w:space="0" w:color="auto"/>
        <w:left w:val="none" w:sz="0" w:space="0" w:color="auto"/>
        <w:bottom w:val="none" w:sz="0" w:space="0" w:color="auto"/>
        <w:right w:val="none" w:sz="0" w:space="0" w:color="auto"/>
      </w:divBdr>
    </w:div>
    <w:div w:id="1482573531">
      <w:bodyDiv w:val="1"/>
      <w:marLeft w:val="0"/>
      <w:marRight w:val="0"/>
      <w:marTop w:val="0"/>
      <w:marBottom w:val="0"/>
      <w:divBdr>
        <w:top w:val="none" w:sz="0" w:space="0" w:color="auto"/>
        <w:left w:val="none" w:sz="0" w:space="0" w:color="auto"/>
        <w:bottom w:val="none" w:sz="0" w:space="0" w:color="auto"/>
        <w:right w:val="none" w:sz="0" w:space="0" w:color="auto"/>
      </w:divBdr>
    </w:div>
    <w:div w:id="1487208630">
      <w:bodyDiv w:val="1"/>
      <w:marLeft w:val="0"/>
      <w:marRight w:val="0"/>
      <w:marTop w:val="0"/>
      <w:marBottom w:val="0"/>
      <w:divBdr>
        <w:top w:val="none" w:sz="0" w:space="0" w:color="auto"/>
        <w:left w:val="none" w:sz="0" w:space="0" w:color="auto"/>
        <w:bottom w:val="none" w:sz="0" w:space="0" w:color="auto"/>
        <w:right w:val="none" w:sz="0" w:space="0" w:color="auto"/>
      </w:divBdr>
    </w:div>
    <w:div w:id="1489857182">
      <w:bodyDiv w:val="1"/>
      <w:marLeft w:val="0"/>
      <w:marRight w:val="0"/>
      <w:marTop w:val="0"/>
      <w:marBottom w:val="0"/>
      <w:divBdr>
        <w:top w:val="none" w:sz="0" w:space="0" w:color="auto"/>
        <w:left w:val="none" w:sz="0" w:space="0" w:color="auto"/>
        <w:bottom w:val="none" w:sz="0" w:space="0" w:color="auto"/>
        <w:right w:val="none" w:sz="0" w:space="0" w:color="auto"/>
      </w:divBdr>
    </w:div>
    <w:div w:id="1490243149">
      <w:bodyDiv w:val="1"/>
      <w:marLeft w:val="0"/>
      <w:marRight w:val="0"/>
      <w:marTop w:val="0"/>
      <w:marBottom w:val="0"/>
      <w:divBdr>
        <w:top w:val="none" w:sz="0" w:space="0" w:color="auto"/>
        <w:left w:val="none" w:sz="0" w:space="0" w:color="auto"/>
        <w:bottom w:val="none" w:sz="0" w:space="0" w:color="auto"/>
        <w:right w:val="none" w:sz="0" w:space="0" w:color="auto"/>
      </w:divBdr>
    </w:div>
    <w:div w:id="1497844200">
      <w:bodyDiv w:val="1"/>
      <w:marLeft w:val="0"/>
      <w:marRight w:val="0"/>
      <w:marTop w:val="0"/>
      <w:marBottom w:val="0"/>
      <w:divBdr>
        <w:top w:val="none" w:sz="0" w:space="0" w:color="auto"/>
        <w:left w:val="none" w:sz="0" w:space="0" w:color="auto"/>
        <w:bottom w:val="none" w:sz="0" w:space="0" w:color="auto"/>
        <w:right w:val="none" w:sz="0" w:space="0" w:color="auto"/>
      </w:divBdr>
    </w:div>
    <w:div w:id="1501849839">
      <w:bodyDiv w:val="1"/>
      <w:marLeft w:val="0"/>
      <w:marRight w:val="0"/>
      <w:marTop w:val="0"/>
      <w:marBottom w:val="0"/>
      <w:divBdr>
        <w:top w:val="none" w:sz="0" w:space="0" w:color="auto"/>
        <w:left w:val="none" w:sz="0" w:space="0" w:color="auto"/>
        <w:bottom w:val="none" w:sz="0" w:space="0" w:color="auto"/>
        <w:right w:val="none" w:sz="0" w:space="0" w:color="auto"/>
      </w:divBdr>
    </w:div>
    <w:div w:id="1501890927">
      <w:bodyDiv w:val="1"/>
      <w:marLeft w:val="0"/>
      <w:marRight w:val="0"/>
      <w:marTop w:val="0"/>
      <w:marBottom w:val="0"/>
      <w:divBdr>
        <w:top w:val="none" w:sz="0" w:space="0" w:color="auto"/>
        <w:left w:val="none" w:sz="0" w:space="0" w:color="auto"/>
        <w:bottom w:val="none" w:sz="0" w:space="0" w:color="auto"/>
        <w:right w:val="none" w:sz="0" w:space="0" w:color="auto"/>
      </w:divBdr>
    </w:div>
    <w:div w:id="1523010603">
      <w:bodyDiv w:val="1"/>
      <w:marLeft w:val="0"/>
      <w:marRight w:val="0"/>
      <w:marTop w:val="0"/>
      <w:marBottom w:val="0"/>
      <w:divBdr>
        <w:top w:val="none" w:sz="0" w:space="0" w:color="auto"/>
        <w:left w:val="none" w:sz="0" w:space="0" w:color="auto"/>
        <w:bottom w:val="none" w:sz="0" w:space="0" w:color="auto"/>
        <w:right w:val="none" w:sz="0" w:space="0" w:color="auto"/>
      </w:divBdr>
    </w:div>
    <w:div w:id="1528060653">
      <w:bodyDiv w:val="1"/>
      <w:marLeft w:val="0"/>
      <w:marRight w:val="0"/>
      <w:marTop w:val="0"/>
      <w:marBottom w:val="0"/>
      <w:divBdr>
        <w:top w:val="none" w:sz="0" w:space="0" w:color="auto"/>
        <w:left w:val="none" w:sz="0" w:space="0" w:color="auto"/>
        <w:bottom w:val="none" w:sz="0" w:space="0" w:color="auto"/>
        <w:right w:val="none" w:sz="0" w:space="0" w:color="auto"/>
      </w:divBdr>
    </w:div>
    <w:div w:id="1531988327">
      <w:bodyDiv w:val="1"/>
      <w:marLeft w:val="0"/>
      <w:marRight w:val="0"/>
      <w:marTop w:val="0"/>
      <w:marBottom w:val="0"/>
      <w:divBdr>
        <w:top w:val="none" w:sz="0" w:space="0" w:color="auto"/>
        <w:left w:val="none" w:sz="0" w:space="0" w:color="auto"/>
        <w:bottom w:val="none" w:sz="0" w:space="0" w:color="auto"/>
        <w:right w:val="none" w:sz="0" w:space="0" w:color="auto"/>
      </w:divBdr>
    </w:div>
    <w:div w:id="1532526017">
      <w:bodyDiv w:val="1"/>
      <w:marLeft w:val="0"/>
      <w:marRight w:val="0"/>
      <w:marTop w:val="0"/>
      <w:marBottom w:val="0"/>
      <w:divBdr>
        <w:top w:val="none" w:sz="0" w:space="0" w:color="auto"/>
        <w:left w:val="none" w:sz="0" w:space="0" w:color="auto"/>
        <w:bottom w:val="none" w:sz="0" w:space="0" w:color="auto"/>
        <w:right w:val="none" w:sz="0" w:space="0" w:color="auto"/>
      </w:divBdr>
    </w:div>
    <w:div w:id="1537350915">
      <w:bodyDiv w:val="1"/>
      <w:marLeft w:val="0"/>
      <w:marRight w:val="0"/>
      <w:marTop w:val="0"/>
      <w:marBottom w:val="0"/>
      <w:divBdr>
        <w:top w:val="none" w:sz="0" w:space="0" w:color="auto"/>
        <w:left w:val="none" w:sz="0" w:space="0" w:color="auto"/>
        <w:bottom w:val="none" w:sz="0" w:space="0" w:color="auto"/>
        <w:right w:val="none" w:sz="0" w:space="0" w:color="auto"/>
      </w:divBdr>
    </w:div>
    <w:div w:id="1539391013">
      <w:bodyDiv w:val="1"/>
      <w:marLeft w:val="0"/>
      <w:marRight w:val="0"/>
      <w:marTop w:val="0"/>
      <w:marBottom w:val="0"/>
      <w:divBdr>
        <w:top w:val="none" w:sz="0" w:space="0" w:color="auto"/>
        <w:left w:val="none" w:sz="0" w:space="0" w:color="auto"/>
        <w:bottom w:val="none" w:sz="0" w:space="0" w:color="auto"/>
        <w:right w:val="none" w:sz="0" w:space="0" w:color="auto"/>
      </w:divBdr>
    </w:div>
    <w:div w:id="1541674578">
      <w:bodyDiv w:val="1"/>
      <w:marLeft w:val="0"/>
      <w:marRight w:val="0"/>
      <w:marTop w:val="0"/>
      <w:marBottom w:val="0"/>
      <w:divBdr>
        <w:top w:val="none" w:sz="0" w:space="0" w:color="auto"/>
        <w:left w:val="none" w:sz="0" w:space="0" w:color="auto"/>
        <w:bottom w:val="none" w:sz="0" w:space="0" w:color="auto"/>
        <w:right w:val="none" w:sz="0" w:space="0" w:color="auto"/>
      </w:divBdr>
    </w:div>
    <w:div w:id="1555660087">
      <w:bodyDiv w:val="1"/>
      <w:marLeft w:val="0"/>
      <w:marRight w:val="0"/>
      <w:marTop w:val="0"/>
      <w:marBottom w:val="0"/>
      <w:divBdr>
        <w:top w:val="none" w:sz="0" w:space="0" w:color="auto"/>
        <w:left w:val="none" w:sz="0" w:space="0" w:color="auto"/>
        <w:bottom w:val="none" w:sz="0" w:space="0" w:color="auto"/>
        <w:right w:val="none" w:sz="0" w:space="0" w:color="auto"/>
      </w:divBdr>
    </w:div>
    <w:div w:id="1561552970">
      <w:bodyDiv w:val="1"/>
      <w:marLeft w:val="0"/>
      <w:marRight w:val="0"/>
      <w:marTop w:val="0"/>
      <w:marBottom w:val="0"/>
      <w:divBdr>
        <w:top w:val="none" w:sz="0" w:space="0" w:color="auto"/>
        <w:left w:val="none" w:sz="0" w:space="0" w:color="auto"/>
        <w:bottom w:val="none" w:sz="0" w:space="0" w:color="auto"/>
        <w:right w:val="none" w:sz="0" w:space="0" w:color="auto"/>
      </w:divBdr>
    </w:div>
    <w:div w:id="1563131870">
      <w:bodyDiv w:val="1"/>
      <w:marLeft w:val="0"/>
      <w:marRight w:val="0"/>
      <w:marTop w:val="0"/>
      <w:marBottom w:val="0"/>
      <w:divBdr>
        <w:top w:val="none" w:sz="0" w:space="0" w:color="auto"/>
        <w:left w:val="none" w:sz="0" w:space="0" w:color="auto"/>
        <w:bottom w:val="none" w:sz="0" w:space="0" w:color="auto"/>
        <w:right w:val="none" w:sz="0" w:space="0" w:color="auto"/>
      </w:divBdr>
    </w:div>
    <w:div w:id="1567062651">
      <w:bodyDiv w:val="1"/>
      <w:marLeft w:val="0"/>
      <w:marRight w:val="0"/>
      <w:marTop w:val="0"/>
      <w:marBottom w:val="0"/>
      <w:divBdr>
        <w:top w:val="none" w:sz="0" w:space="0" w:color="auto"/>
        <w:left w:val="none" w:sz="0" w:space="0" w:color="auto"/>
        <w:bottom w:val="none" w:sz="0" w:space="0" w:color="auto"/>
        <w:right w:val="none" w:sz="0" w:space="0" w:color="auto"/>
      </w:divBdr>
    </w:div>
    <w:div w:id="1567715845">
      <w:bodyDiv w:val="1"/>
      <w:marLeft w:val="0"/>
      <w:marRight w:val="0"/>
      <w:marTop w:val="0"/>
      <w:marBottom w:val="0"/>
      <w:divBdr>
        <w:top w:val="none" w:sz="0" w:space="0" w:color="auto"/>
        <w:left w:val="none" w:sz="0" w:space="0" w:color="auto"/>
        <w:bottom w:val="none" w:sz="0" w:space="0" w:color="auto"/>
        <w:right w:val="none" w:sz="0" w:space="0" w:color="auto"/>
      </w:divBdr>
    </w:div>
    <w:div w:id="1569922481">
      <w:bodyDiv w:val="1"/>
      <w:marLeft w:val="0"/>
      <w:marRight w:val="0"/>
      <w:marTop w:val="0"/>
      <w:marBottom w:val="0"/>
      <w:divBdr>
        <w:top w:val="none" w:sz="0" w:space="0" w:color="auto"/>
        <w:left w:val="none" w:sz="0" w:space="0" w:color="auto"/>
        <w:bottom w:val="none" w:sz="0" w:space="0" w:color="auto"/>
        <w:right w:val="none" w:sz="0" w:space="0" w:color="auto"/>
      </w:divBdr>
    </w:div>
    <w:div w:id="1582986247">
      <w:bodyDiv w:val="1"/>
      <w:marLeft w:val="0"/>
      <w:marRight w:val="0"/>
      <w:marTop w:val="0"/>
      <w:marBottom w:val="0"/>
      <w:divBdr>
        <w:top w:val="none" w:sz="0" w:space="0" w:color="auto"/>
        <w:left w:val="none" w:sz="0" w:space="0" w:color="auto"/>
        <w:bottom w:val="none" w:sz="0" w:space="0" w:color="auto"/>
        <w:right w:val="none" w:sz="0" w:space="0" w:color="auto"/>
      </w:divBdr>
    </w:div>
    <w:div w:id="1583487378">
      <w:bodyDiv w:val="1"/>
      <w:marLeft w:val="0"/>
      <w:marRight w:val="0"/>
      <w:marTop w:val="0"/>
      <w:marBottom w:val="0"/>
      <w:divBdr>
        <w:top w:val="none" w:sz="0" w:space="0" w:color="auto"/>
        <w:left w:val="none" w:sz="0" w:space="0" w:color="auto"/>
        <w:bottom w:val="none" w:sz="0" w:space="0" w:color="auto"/>
        <w:right w:val="none" w:sz="0" w:space="0" w:color="auto"/>
      </w:divBdr>
    </w:div>
    <w:div w:id="1587379221">
      <w:bodyDiv w:val="1"/>
      <w:marLeft w:val="0"/>
      <w:marRight w:val="0"/>
      <w:marTop w:val="0"/>
      <w:marBottom w:val="0"/>
      <w:divBdr>
        <w:top w:val="none" w:sz="0" w:space="0" w:color="auto"/>
        <w:left w:val="none" w:sz="0" w:space="0" w:color="auto"/>
        <w:bottom w:val="none" w:sz="0" w:space="0" w:color="auto"/>
        <w:right w:val="none" w:sz="0" w:space="0" w:color="auto"/>
      </w:divBdr>
    </w:div>
    <w:div w:id="1591111714">
      <w:bodyDiv w:val="1"/>
      <w:marLeft w:val="0"/>
      <w:marRight w:val="0"/>
      <w:marTop w:val="0"/>
      <w:marBottom w:val="0"/>
      <w:divBdr>
        <w:top w:val="none" w:sz="0" w:space="0" w:color="auto"/>
        <w:left w:val="none" w:sz="0" w:space="0" w:color="auto"/>
        <w:bottom w:val="none" w:sz="0" w:space="0" w:color="auto"/>
        <w:right w:val="none" w:sz="0" w:space="0" w:color="auto"/>
      </w:divBdr>
    </w:div>
    <w:div w:id="1597320339">
      <w:bodyDiv w:val="1"/>
      <w:marLeft w:val="0"/>
      <w:marRight w:val="0"/>
      <w:marTop w:val="0"/>
      <w:marBottom w:val="0"/>
      <w:divBdr>
        <w:top w:val="none" w:sz="0" w:space="0" w:color="auto"/>
        <w:left w:val="none" w:sz="0" w:space="0" w:color="auto"/>
        <w:bottom w:val="none" w:sz="0" w:space="0" w:color="auto"/>
        <w:right w:val="none" w:sz="0" w:space="0" w:color="auto"/>
      </w:divBdr>
    </w:div>
    <w:div w:id="1619413789">
      <w:bodyDiv w:val="1"/>
      <w:marLeft w:val="0"/>
      <w:marRight w:val="0"/>
      <w:marTop w:val="0"/>
      <w:marBottom w:val="0"/>
      <w:divBdr>
        <w:top w:val="none" w:sz="0" w:space="0" w:color="auto"/>
        <w:left w:val="none" w:sz="0" w:space="0" w:color="auto"/>
        <w:bottom w:val="none" w:sz="0" w:space="0" w:color="auto"/>
        <w:right w:val="none" w:sz="0" w:space="0" w:color="auto"/>
      </w:divBdr>
    </w:div>
    <w:div w:id="1621646522">
      <w:bodyDiv w:val="1"/>
      <w:marLeft w:val="0"/>
      <w:marRight w:val="0"/>
      <w:marTop w:val="0"/>
      <w:marBottom w:val="0"/>
      <w:divBdr>
        <w:top w:val="none" w:sz="0" w:space="0" w:color="auto"/>
        <w:left w:val="none" w:sz="0" w:space="0" w:color="auto"/>
        <w:bottom w:val="none" w:sz="0" w:space="0" w:color="auto"/>
        <w:right w:val="none" w:sz="0" w:space="0" w:color="auto"/>
      </w:divBdr>
    </w:div>
    <w:div w:id="1633711875">
      <w:bodyDiv w:val="1"/>
      <w:marLeft w:val="0"/>
      <w:marRight w:val="0"/>
      <w:marTop w:val="0"/>
      <w:marBottom w:val="0"/>
      <w:divBdr>
        <w:top w:val="none" w:sz="0" w:space="0" w:color="auto"/>
        <w:left w:val="none" w:sz="0" w:space="0" w:color="auto"/>
        <w:bottom w:val="none" w:sz="0" w:space="0" w:color="auto"/>
        <w:right w:val="none" w:sz="0" w:space="0" w:color="auto"/>
      </w:divBdr>
    </w:div>
    <w:div w:id="1635132609">
      <w:bodyDiv w:val="1"/>
      <w:marLeft w:val="0"/>
      <w:marRight w:val="0"/>
      <w:marTop w:val="0"/>
      <w:marBottom w:val="0"/>
      <w:divBdr>
        <w:top w:val="none" w:sz="0" w:space="0" w:color="auto"/>
        <w:left w:val="none" w:sz="0" w:space="0" w:color="auto"/>
        <w:bottom w:val="none" w:sz="0" w:space="0" w:color="auto"/>
        <w:right w:val="none" w:sz="0" w:space="0" w:color="auto"/>
      </w:divBdr>
    </w:div>
    <w:div w:id="1636910852">
      <w:bodyDiv w:val="1"/>
      <w:marLeft w:val="0"/>
      <w:marRight w:val="0"/>
      <w:marTop w:val="0"/>
      <w:marBottom w:val="0"/>
      <w:divBdr>
        <w:top w:val="none" w:sz="0" w:space="0" w:color="auto"/>
        <w:left w:val="none" w:sz="0" w:space="0" w:color="auto"/>
        <w:bottom w:val="none" w:sz="0" w:space="0" w:color="auto"/>
        <w:right w:val="none" w:sz="0" w:space="0" w:color="auto"/>
      </w:divBdr>
    </w:div>
    <w:div w:id="1641887040">
      <w:bodyDiv w:val="1"/>
      <w:marLeft w:val="0"/>
      <w:marRight w:val="0"/>
      <w:marTop w:val="0"/>
      <w:marBottom w:val="0"/>
      <w:divBdr>
        <w:top w:val="none" w:sz="0" w:space="0" w:color="auto"/>
        <w:left w:val="none" w:sz="0" w:space="0" w:color="auto"/>
        <w:bottom w:val="none" w:sz="0" w:space="0" w:color="auto"/>
        <w:right w:val="none" w:sz="0" w:space="0" w:color="auto"/>
      </w:divBdr>
    </w:div>
    <w:div w:id="1647054191">
      <w:bodyDiv w:val="1"/>
      <w:marLeft w:val="0"/>
      <w:marRight w:val="0"/>
      <w:marTop w:val="0"/>
      <w:marBottom w:val="0"/>
      <w:divBdr>
        <w:top w:val="none" w:sz="0" w:space="0" w:color="auto"/>
        <w:left w:val="none" w:sz="0" w:space="0" w:color="auto"/>
        <w:bottom w:val="none" w:sz="0" w:space="0" w:color="auto"/>
        <w:right w:val="none" w:sz="0" w:space="0" w:color="auto"/>
      </w:divBdr>
    </w:div>
    <w:div w:id="1653024537">
      <w:bodyDiv w:val="1"/>
      <w:marLeft w:val="0"/>
      <w:marRight w:val="0"/>
      <w:marTop w:val="0"/>
      <w:marBottom w:val="0"/>
      <w:divBdr>
        <w:top w:val="none" w:sz="0" w:space="0" w:color="auto"/>
        <w:left w:val="none" w:sz="0" w:space="0" w:color="auto"/>
        <w:bottom w:val="none" w:sz="0" w:space="0" w:color="auto"/>
        <w:right w:val="none" w:sz="0" w:space="0" w:color="auto"/>
      </w:divBdr>
    </w:div>
    <w:div w:id="1657952974">
      <w:bodyDiv w:val="1"/>
      <w:marLeft w:val="0"/>
      <w:marRight w:val="0"/>
      <w:marTop w:val="0"/>
      <w:marBottom w:val="0"/>
      <w:divBdr>
        <w:top w:val="none" w:sz="0" w:space="0" w:color="auto"/>
        <w:left w:val="none" w:sz="0" w:space="0" w:color="auto"/>
        <w:bottom w:val="none" w:sz="0" w:space="0" w:color="auto"/>
        <w:right w:val="none" w:sz="0" w:space="0" w:color="auto"/>
      </w:divBdr>
    </w:div>
    <w:div w:id="1662196549">
      <w:bodyDiv w:val="1"/>
      <w:marLeft w:val="0"/>
      <w:marRight w:val="0"/>
      <w:marTop w:val="0"/>
      <w:marBottom w:val="0"/>
      <w:divBdr>
        <w:top w:val="none" w:sz="0" w:space="0" w:color="auto"/>
        <w:left w:val="none" w:sz="0" w:space="0" w:color="auto"/>
        <w:bottom w:val="none" w:sz="0" w:space="0" w:color="auto"/>
        <w:right w:val="none" w:sz="0" w:space="0" w:color="auto"/>
      </w:divBdr>
    </w:div>
    <w:div w:id="1663703048">
      <w:bodyDiv w:val="1"/>
      <w:marLeft w:val="0"/>
      <w:marRight w:val="0"/>
      <w:marTop w:val="0"/>
      <w:marBottom w:val="0"/>
      <w:divBdr>
        <w:top w:val="none" w:sz="0" w:space="0" w:color="auto"/>
        <w:left w:val="none" w:sz="0" w:space="0" w:color="auto"/>
        <w:bottom w:val="none" w:sz="0" w:space="0" w:color="auto"/>
        <w:right w:val="none" w:sz="0" w:space="0" w:color="auto"/>
      </w:divBdr>
    </w:div>
    <w:div w:id="1668248136">
      <w:bodyDiv w:val="1"/>
      <w:marLeft w:val="0"/>
      <w:marRight w:val="0"/>
      <w:marTop w:val="0"/>
      <w:marBottom w:val="0"/>
      <w:divBdr>
        <w:top w:val="none" w:sz="0" w:space="0" w:color="auto"/>
        <w:left w:val="none" w:sz="0" w:space="0" w:color="auto"/>
        <w:bottom w:val="none" w:sz="0" w:space="0" w:color="auto"/>
        <w:right w:val="none" w:sz="0" w:space="0" w:color="auto"/>
      </w:divBdr>
    </w:div>
    <w:div w:id="1679380374">
      <w:bodyDiv w:val="1"/>
      <w:marLeft w:val="0"/>
      <w:marRight w:val="0"/>
      <w:marTop w:val="0"/>
      <w:marBottom w:val="0"/>
      <w:divBdr>
        <w:top w:val="none" w:sz="0" w:space="0" w:color="auto"/>
        <w:left w:val="none" w:sz="0" w:space="0" w:color="auto"/>
        <w:bottom w:val="none" w:sz="0" w:space="0" w:color="auto"/>
        <w:right w:val="none" w:sz="0" w:space="0" w:color="auto"/>
      </w:divBdr>
    </w:div>
    <w:div w:id="1684284300">
      <w:bodyDiv w:val="1"/>
      <w:marLeft w:val="0"/>
      <w:marRight w:val="0"/>
      <w:marTop w:val="0"/>
      <w:marBottom w:val="0"/>
      <w:divBdr>
        <w:top w:val="none" w:sz="0" w:space="0" w:color="auto"/>
        <w:left w:val="none" w:sz="0" w:space="0" w:color="auto"/>
        <w:bottom w:val="none" w:sz="0" w:space="0" w:color="auto"/>
        <w:right w:val="none" w:sz="0" w:space="0" w:color="auto"/>
      </w:divBdr>
    </w:div>
    <w:div w:id="1685784506">
      <w:bodyDiv w:val="1"/>
      <w:marLeft w:val="0"/>
      <w:marRight w:val="0"/>
      <w:marTop w:val="0"/>
      <w:marBottom w:val="0"/>
      <w:divBdr>
        <w:top w:val="none" w:sz="0" w:space="0" w:color="auto"/>
        <w:left w:val="none" w:sz="0" w:space="0" w:color="auto"/>
        <w:bottom w:val="none" w:sz="0" w:space="0" w:color="auto"/>
        <w:right w:val="none" w:sz="0" w:space="0" w:color="auto"/>
      </w:divBdr>
    </w:div>
    <w:div w:id="1695644345">
      <w:bodyDiv w:val="1"/>
      <w:marLeft w:val="0"/>
      <w:marRight w:val="0"/>
      <w:marTop w:val="0"/>
      <w:marBottom w:val="0"/>
      <w:divBdr>
        <w:top w:val="none" w:sz="0" w:space="0" w:color="auto"/>
        <w:left w:val="none" w:sz="0" w:space="0" w:color="auto"/>
        <w:bottom w:val="none" w:sz="0" w:space="0" w:color="auto"/>
        <w:right w:val="none" w:sz="0" w:space="0" w:color="auto"/>
      </w:divBdr>
    </w:div>
    <w:div w:id="1696154472">
      <w:bodyDiv w:val="1"/>
      <w:marLeft w:val="0"/>
      <w:marRight w:val="0"/>
      <w:marTop w:val="0"/>
      <w:marBottom w:val="0"/>
      <w:divBdr>
        <w:top w:val="none" w:sz="0" w:space="0" w:color="auto"/>
        <w:left w:val="none" w:sz="0" w:space="0" w:color="auto"/>
        <w:bottom w:val="none" w:sz="0" w:space="0" w:color="auto"/>
        <w:right w:val="none" w:sz="0" w:space="0" w:color="auto"/>
      </w:divBdr>
    </w:div>
    <w:div w:id="1705252995">
      <w:bodyDiv w:val="1"/>
      <w:marLeft w:val="0"/>
      <w:marRight w:val="0"/>
      <w:marTop w:val="0"/>
      <w:marBottom w:val="0"/>
      <w:divBdr>
        <w:top w:val="none" w:sz="0" w:space="0" w:color="auto"/>
        <w:left w:val="none" w:sz="0" w:space="0" w:color="auto"/>
        <w:bottom w:val="none" w:sz="0" w:space="0" w:color="auto"/>
        <w:right w:val="none" w:sz="0" w:space="0" w:color="auto"/>
      </w:divBdr>
    </w:div>
    <w:div w:id="1715739792">
      <w:bodyDiv w:val="1"/>
      <w:marLeft w:val="0"/>
      <w:marRight w:val="0"/>
      <w:marTop w:val="0"/>
      <w:marBottom w:val="0"/>
      <w:divBdr>
        <w:top w:val="none" w:sz="0" w:space="0" w:color="auto"/>
        <w:left w:val="none" w:sz="0" w:space="0" w:color="auto"/>
        <w:bottom w:val="none" w:sz="0" w:space="0" w:color="auto"/>
        <w:right w:val="none" w:sz="0" w:space="0" w:color="auto"/>
      </w:divBdr>
    </w:div>
    <w:div w:id="1716345190">
      <w:bodyDiv w:val="1"/>
      <w:marLeft w:val="0"/>
      <w:marRight w:val="0"/>
      <w:marTop w:val="0"/>
      <w:marBottom w:val="0"/>
      <w:divBdr>
        <w:top w:val="none" w:sz="0" w:space="0" w:color="auto"/>
        <w:left w:val="none" w:sz="0" w:space="0" w:color="auto"/>
        <w:bottom w:val="none" w:sz="0" w:space="0" w:color="auto"/>
        <w:right w:val="none" w:sz="0" w:space="0" w:color="auto"/>
      </w:divBdr>
    </w:div>
    <w:div w:id="1720591525">
      <w:bodyDiv w:val="1"/>
      <w:marLeft w:val="0"/>
      <w:marRight w:val="0"/>
      <w:marTop w:val="0"/>
      <w:marBottom w:val="0"/>
      <w:divBdr>
        <w:top w:val="none" w:sz="0" w:space="0" w:color="auto"/>
        <w:left w:val="none" w:sz="0" w:space="0" w:color="auto"/>
        <w:bottom w:val="none" w:sz="0" w:space="0" w:color="auto"/>
        <w:right w:val="none" w:sz="0" w:space="0" w:color="auto"/>
      </w:divBdr>
    </w:div>
    <w:div w:id="1724597357">
      <w:bodyDiv w:val="1"/>
      <w:marLeft w:val="0"/>
      <w:marRight w:val="0"/>
      <w:marTop w:val="0"/>
      <w:marBottom w:val="0"/>
      <w:divBdr>
        <w:top w:val="none" w:sz="0" w:space="0" w:color="auto"/>
        <w:left w:val="none" w:sz="0" w:space="0" w:color="auto"/>
        <w:bottom w:val="none" w:sz="0" w:space="0" w:color="auto"/>
        <w:right w:val="none" w:sz="0" w:space="0" w:color="auto"/>
      </w:divBdr>
    </w:div>
    <w:div w:id="1727218815">
      <w:bodyDiv w:val="1"/>
      <w:marLeft w:val="0"/>
      <w:marRight w:val="0"/>
      <w:marTop w:val="0"/>
      <w:marBottom w:val="0"/>
      <w:divBdr>
        <w:top w:val="none" w:sz="0" w:space="0" w:color="auto"/>
        <w:left w:val="none" w:sz="0" w:space="0" w:color="auto"/>
        <w:bottom w:val="none" w:sz="0" w:space="0" w:color="auto"/>
        <w:right w:val="none" w:sz="0" w:space="0" w:color="auto"/>
      </w:divBdr>
    </w:div>
    <w:div w:id="1729499714">
      <w:bodyDiv w:val="1"/>
      <w:marLeft w:val="0"/>
      <w:marRight w:val="0"/>
      <w:marTop w:val="0"/>
      <w:marBottom w:val="0"/>
      <w:divBdr>
        <w:top w:val="none" w:sz="0" w:space="0" w:color="auto"/>
        <w:left w:val="none" w:sz="0" w:space="0" w:color="auto"/>
        <w:bottom w:val="none" w:sz="0" w:space="0" w:color="auto"/>
        <w:right w:val="none" w:sz="0" w:space="0" w:color="auto"/>
      </w:divBdr>
    </w:div>
    <w:div w:id="1750886300">
      <w:bodyDiv w:val="1"/>
      <w:marLeft w:val="0"/>
      <w:marRight w:val="0"/>
      <w:marTop w:val="0"/>
      <w:marBottom w:val="0"/>
      <w:divBdr>
        <w:top w:val="none" w:sz="0" w:space="0" w:color="auto"/>
        <w:left w:val="none" w:sz="0" w:space="0" w:color="auto"/>
        <w:bottom w:val="none" w:sz="0" w:space="0" w:color="auto"/>
        <w:right w:val="none" w:sz="0" w:space="0" w:color="auto"/>
      </w:divBdr>
    </w:div>
    <w:div w:id="1752580245">
      <w:bodyDiv w:val="1"/>
      <w:marLeft w:val="0"/>
      <w:marRight w:val="0"/>
      <w:marTop w:val="0"/>
      <w:marBottom w:val="0"/>
      <w:divBdr>
        <w:top w:val="none" w:sz="0" w:space="0" w:color="auto"/>
        <w:left w:val="none" w:sz="0" w:space="0" w:color="auto"/>
        <w:bottom w:val="none" w:sz="0" w:space="0" w:color="auto"/>
        <w:right w:val="none" w:sz="0" w:space="0" w:color="auto"/>
      </w:divBdr>
    </w:div>
    <w:div w:id="1758746422">
      <w:bodyDiv w:val="1"/>
      <w:marLeft w:val="0"/>
      <w:marRight w:val="0"/>
      <w:marTop w:val="0"/>
      <w:marBottom w:val="0"/>
      <w:divBdr>
        <w:top w:val="none" w:sz="0" w:space="0" w:color="auto"/>
        <w:left w:val="none" w:sz="0" w:space="0" w:color="auto"/>
        <w:bottom w:val="none" w:sz="0" w:space="0" w:color="auto"/>
        <w:right w:val="none" w:sz="0" w:space="0" w:color="auto"/>
      </w:divBdr>
    </w:div>
    <w:div w:id="1759865463">
      <w:bodyDiv w:val="1"/>
      <w:marLeft w:val="0"/>
      <w:marRight w:val="0"/>
      <w:marTop w:val="0"/>
      <w:marBottom w:val="0"/>
      <w:divBdr>
        <w:top w:val="none" w:sz="0" w:space="0" w:color="auto"/>
        <w:left w:val="none" w:sz="0" w:space="0" w:color="auto"/>
        <w:bottom w:val="none" w:sz="0" w:space="0" w:color="auto"/>
        <w:right w:val="none" w:sz="0" w:space="0" w:color="auto"/>
      </w:divBdr>
    </w:div>
    <w:div w:id="1762603007">
      <w:bodyDiv w:val="1"/>
      <w:marLeft w:val="0"/>
      <w:marRight w:val="0"/>
      <w:marTop w:val="0"/>
      <w:marBottom w:val="0"/>
      <w:divBdr>
        <w:top w:val="none" w:sz="0" w:space="0" w:color="auto"/>
        <w:left w:val="none" w:sz="0" w:space="0" w:color="auto"/>
        <w:bottom w:val="none" w:sz="0" w:space="0" w:color="auto"/>
        <w:right w:val="none" w:sz="0" w:space="0" w:color="auto"/>
      </w:divBdr>
    </w:div>
    <w:div w:id="1763842833">
      <w:bodyDiv w:val="1"/>
      <w:marLeft w:val="0"/>
      <w:marRight w:val="0"/>
      <w:marTop w:val="0"/>
      <w:marBottom w:val="0"/>
      <w:divBdr>
        <w:top w:val="none" w:sz="0" w:space="0" w:color="auto"/>
        <w:left w:val="none" w:sz="0" w:space="0" w:color="auto"/>
        <w:bottom w:val="none" w:sz="0" w:space="0" w:color="auto"/>
        <w:right w:val="none" w:sz="0" w:space="0" w:color="auto"/>
      </w:divBdr>
    </w:div>
    <w:div w:id="1764109930">
      <w:bodyDiv w:val="1"/>
      <w:marLeft w:val="0"/>
      <w:marRight w:val="0"/>
      <w:marTop w:val="0"/>
      <w:marBottom w:val="0"/>
      <w:divBdr>
        <w:top w:val="none" w:sz="0" w:space="0" w:color="auto"/>
        <w:left w:val="none" w:sz="0" w:space="0" w:color="auto"/>
        <w:bottom w:val="none" w:sz="0" w:space="0" w:color="auto"/>
        <w:right w:val="none" w:sz="0" w:space="0" w:color="auto"/>
      </w:divBdr>
    </w:div>
    <w:div w:id="1765102676">
      <w:bodyDiv w:val="1"/>
      <w:marLeft w:val="0"/>
      <w:marRight w:val="0"/>
      <w:marTop w:val="0"/>
      <w:marBottom w:val="0"/>
      <w:divBdr>
        <w:top w:val="none" w:sz="0" w:space="0" w:color="auto"/>
        <w:left w:val="none" w:sz="0" w:space="0" w:color="auto"/>
        <w:bottom w:val="none" w:sz="0" w:space="0" w:color="auto"/>
        <w:right w:val="none" w:sz="0" w:space="0" w:color="auto"/>
      </w:divBdr>
    </w:div>
    <w:div w:id="1765803812">
      <w:bodyDiv w:val="1"/>
      <w:marLeft w:val="0"/>
      <w:marRight w:val="0"/>
      <w:marTop w:val="0"/>
      <w:marBottom w:val="0"/>
      <w:divBdr>
        <w:top w:val="none" w:sz="0" w:space="0" w:color="auto"/>
        <w:left w:val="none" w:sz="0" w:space="0" w:color="auto"/>
        <w:bottom w:val="none" w:sz="0" w:space="0" w:color="auto"/>
        <w:right w:val="none" w:sz="0" w:space="0" w:color="auto"/>
      </w:divBdr>
    </w:div>
    <w:div w:id="1775664258">
      <w:bodyDiv w:val="1"/>
      <w:marLeft w:val="0"/>
      <w:marRight w:val="0"/>
      <w:marTop w:val="0"/>
      <w:marBottom w:val="0"/>
      <w:divBdr>
        <w:top w:val="none" w:sz="0" w:space="0" w:color="auto"/>
        <w:left w:val="none" w:sz="0" w:space="0" w:color="auto"/>
        <w:bottom w:val="none" w:sz="0" w:space="0" w:color="auto"/>
        <w:right w:val="none" w:sz="0" w:space="0" w:color="auto"/>
      </w:divBdr>
    </w:div>
    <w:div w:id="1776437943">
      <w:bodyDiv w:val="1"/>
      <w:marLeft w:val="0"/>
      <w:marRight w:val="0"/>
      <w:marTop w:val="0"/>
      <w:marBottom w:val="0"/>
      <w:divBdr>
        <w:top w:val="none" w:sz="0" w:space="0" w:color="auto"/>
        <w:left w:val="none" w:sz="0" w:space="0" w:color="auto"/>
        <w:bottom w:val="none" w:sz="0" w:space="0" w:color="auto"/>
        <w:right w:val="none" w:sz="0" w:space="0" w:color="auto"/>
      </w:divBdr>
    </w:div>
    <w:div w:id="1778863876">
      <w:bodyDiv w:val="1"/>
      <w:marLeft w:val="0"/>
      <w:marRight w:val="0"/>
      <w:marTop w:val="0"/>
      <w:marBottom w:val="0"/>
      <w:divBdr>
        <w:top w:val="none" w:sz="0" w:space="0" w:color="auto"/>
        <w:left w:val="none" w:sz="0" w:space="0" w:color="auto"/>
        <w:bottom w:val="none" w:sz="0" w:space="0" w:color="auto"/>
        <w:right w:val="none" w:sz="0" w:space="0" w:color="auto"/>
      </w:divBdr>
    </w:div>
    <w:div w:id="1793984598">
      <w:bodyDiv w:val="1"/>
      <w:marLeft w:val="0"/>
      <w:marRight w:val="0"/>
      <w:marTop w:val="0"/>
      <w:marBottom w:val="0"/>
      <w:divBdr>
        <w:top w:val="none" w:sz="0" w:space="0" w:color="auto"/>
        <w:left w:val="none" w:sz="0" w:space="0" w:color="auto"/>
        <w:bottom w:val="none" w:sz="0" w:space="0" w:color="auto"/>
        <w:right w:val="none" w:sz="0" w:space="0" w:color="auto"/>
      </w:divBdr>
    </w:div>
    <w:div w:id="1822773583">
      <w:bodyDiv w:val="1"/>
      <w:marLeft w:val="0"/>
      <w:marRight w:val="0"/>
      <w:marTop w:val="0"/>
      <w:marBottom w:val="0"/>
      <w:divBdr>
        <w:top w:val="none" w:sz="0" w:space="0" w:color="auto"/>
        <w:left w:val="none" w:sz="0" w:space="0" w:color="auto"/>
        <w:bottom w:val="none" w:sz="0" w:space="0" w:color="auto"/>
        <w:right w:val="none" w:sz="0" w:space="0" w:color="auto"/>
      </w:divBdr>
    </w:div>
    <w:div w:id="1833712409">
      <w:bodyDiv w:val="1"/>
      <w:marLeft w:val="0"/>
      <w:marRight w:val="0"/>
      <w:marTop w:val="0"/>
      <w:marBottom w:val="0"/>
      <w:divBdr>
        <w:top w:val="none" w:sz="0" w:space="0" w:color="auto"/>
        <w:left w:val="none" w:sz="0" w:space="0" w:color="auto"/>
        <w:bottom w:val="none" w:sz="0" w:space="0" w:color="auto"/>
        <w:right w:val="none" w:sz="0" w:space="0" w:color="auto"/>
      </w:divBdr>
    </w:div>
    <w:div w:id="1838230965">
      <w:bodyDiv w:val="1"/>
      <w:marLeft w:val="0"/>
      <w:marRight w:val="0"/>
      <w:marTop w:val="0"/>
      <w:marBottom w:val="0"/>
      <w:divBdr>
        <w:top w:val="none" w:sz="0" w:space="0" w:color="auto"/>
        <w:left w:val="none" w:sz="0" w:space="0" w:color="auto"/>
        <w:bottom w:val="none" w:sz="0" w:space="0" w:color="auto"/>
        <w:right w:val="none" w:sz="0" w:space="0" w:color="auto"/>
      </w:divBdr>
    </w:div>
    <w:div w:id="1840196443">
      <w:bodyDiv w:val="1"/>
      <w:marLeft w:val="0"/>
      <w:marRight w:val="0"/>
      <w:marTop w:val="0"/>
      <w:marBottom w:val="0"/>
      <w:divBdr>
        <w:top w:val="none" w:sz="0" w:space="0" w:color="auto"/>
        <w:left w:val="none" w:sz="0" w:space="0" w:color="auto"/>
        <w:bottom w:val="none" w:sz="0" w:space="0" w:color="auto"/>
        <w:right w:val="none" w:sz="0" w:space="0" w:color="auto"/>
      </w:divBdr>
    </w:div>
    <w:div w:id="1841579447">
      <w:bodyDiv w:val="1"/>
      <w:marLeft w:val="0"/>
      <w:marRight w:val="0"/>
      <w:marTop w:val="0"/>
      <w:marBottom w:val="0"/>
      <w:divBdr>
        <w:top w:val="none" w:sz="0" w:space="0" w:color="auto"/>
        <w:left w:val="none" w:sz="0" w:space="0" w:color="auto"/>
        <w:bottom w:val="none" w:sz="0" w:space="0" w:color="auto"/>
        <w:right w:val="none" w:sz="0" w:space="0" w:color="auto"/>
      </w:divBdr>
    </w:div>
    <w:div w:id="1848401866">
      <w:bodyDiv w:val="1"/>
      <w:marLeft w:val="0"/>
      <w:marRight w:val="0"/>
      <w:marTop w:val="0"/>
      <w:marBottom w:val="0"/>
      <w:divBdr>
        <w:top w:val="none" w:sz="0" w:space="0" w:color="auto"/>
        <w:left w:val="none" w:sz="0" w:space="0" w:color="auto"/>
        <w:bottom w:val="none" w:sz="0" w:space="0" w:color="auto"/>
        <w:right w:val="none" w:sz="0" w:space="0" w:color="auto"/>
      </w:divBdr>
    </w:div>
    <w:div w:id="1851872723">
      <w:bodyDiv w:val="1"/>
      <w:marLeft w:val="0"/>
      <w:marRight w:val="0"/>
      <w:marTop w:val="0"/>
      <w:marBottom w:val="0"/>
      <w:divBdr>
        <w:top w:val="none" w:sz="0" w:space="0" w:color="auto"/>
        <w:left w:val="none" w:sz="0" w:space="0" w:color="auto"/>
        <w:bottom w:val="none" w:sz="0" w:space="0" w:color="auto"/>
        <w:right w:val="none" w:sz="0" w:space="0" w:color="auto"/>
      </w:divBdr>
    </w:div>
    <w:div w:id="1869487748">
      <w:bodyDiv w:val="1"/>
      <w:marLeft w:val="0"/>
      <w:marRight w:val="0"/>
      <w:marTop w:val="0"/>
      <w:marBottom w:val="0"/>
      <w:divBdr>
        <w:top w:val="none" w:sz="0" w:space="0" w:color="auto"/>
        <w:left w:val="none" w:sz="0" w:space="0" w:color="auto"/>
        <w:bottom w:val="none" w:sz="0" w:space="0" w:color="auto"/>
        <w:right w:val="none" w:sz="0" w:space="0" w:color="auto"/>
      </w:divBdr>
    </w:div>
    <w:div w:id="1881285994">
      <w:bodyDiv w:val="1"/>
      <w:marLeft w:val="0"/>
      <w:marRight w:val="0"/>
      <w:marTop w:val="0"/>
      <w:marBottom w:val="0"/>
      <w:divBdr>
        <w:top w:val="none" w:sz="0" w:space="0" w:color="auto"/>
        <w:left w:val="none" w:sz="0" w:space="0" w:color="auto"/>
        <w:bottom w:val="none" w:sz="0" w:space="0" w:color="auto"/>
        <w:right w:val="none" w:sz="0" w:space="0" w:color="auto"/>
      </w:divBdr>
    </w:div>
    <w:div w:id="1890259239">
      <w:bodyDiv w:val="1"/>
      <w:marLeft w:val="0"/>
      <w:marRight w:val="0"/>
      <w:marTop w:val="0"/>
      <w:marBottom w:val="0"/>
      <w:divBdr>
        <w:top w:val="none" w:sz="0" w:space="0" w:color="auto"/>
        <w:left w:val="none" w:sz="0" w:space="0" w:color="auto"/>
        <w:bottom w:val="none" w:sz="0" w:space="0" w:color="auto"/>
        <w:right w:val="none" w:sz="0" w:space="0" w:color="auto"/>
      </w:divBdr>
    </w:div>
    <w:div w:id="1901213099">
      <w:bodyDiv w:val="1"/>
      <w:marLeft w:val="0"/>
      <w:marRight w:val="0"/>
      <w:marTop w:val="0"/>
      <w:marBottom w:val="0"/>
      <w:divBdr>
        <w:top w:val="none" w:sz="0" w:space="0" w:color="auto"/>
        <w:left w:val="none" w:sz="0" w:space="0" w:color="auto"/>
        <w:bottom w:val="none" w:sz="0" w:space="0" w:color="auto"/>
        <w:right w:val="none" w:sz="0" w:space="0" w:color="auto"/>
      </w:divBdr>
    </w:div>
    <w:div w:id="1906448659">
      <w:bodyDiv w:val="1"/>
      <w:marLeft w:val="0"/>
      <w:marRight w:val="0"/>
      <w:marTop w:val="0"/>
      <w:marBottom w:val="0"/>
      <w:divBdr>
        <w:top w:val="none" w:sz="0" w:space="0" w:color="auto"/>
        <w:left w:val="none" w:sz="0" w:space="0" w:color="auto"/>
        <w:bottom w:val="none" w:sz="0" w:space="0" w:color="auto"/>
        <w:right w:val="none" w:sz="0" w:space="0" w:color="auto"/>
      </w:divBdr>
    </w:div>
    <w:div w:id="1911189519">
      <w:bodyDiv w:val="1"/>
      <w:marLeft w:val="0"/>
      <w:marRight w:val="0"/>
      <w:marTop w:val="0"/>
      <w:marBottom w:val="0"/>
      <w:divBdr>
        <w:top w:val="none" w:sz="0" w:space="0" w:color="auto"/>
        <w:left w:val="none" w:sz="0" w:space="0" w:color="auto"/>
        <w:bottom w:val="none" w:sz="0" w:space="0" w:color="auto"/>
        <w:right w:val="none" w:sz="0" w:space="0" w:color="auto"/>
      </w:divBdr>
    </w:div>
    <w:div w:id="1913613229">
      <w:bodyDiv w:val="1"/>
      <w:marLeft w:val="0"/>
      <w:marRight w:val="0"/>
      <w:marTop w:val="0"/>
      <w:marBottom w:val="0"/>
      <w:divBdr>
        <w:top w:val="none" w:sz="0" w:space="0" w:color="auto"/>
        <w:left w:val="none" w:sz="0" w:space="0" w:color="auto"/>
        <w:bottom w:val="none" w:sz="0" w:space="0" w:color="auto"/>
        <w:right w:val="none" w:sz="0" w:space="0" w:color="auto"/>
      </w:divBdr>
    </w:div>
    <w:div w:id="1920094955">
      <w:bodyDiv w:val="1"/>
      <w:marLeft w:val="0"/>
      <w:marRight w:val="0"/>
      <w:marTop w:val="0"/>
      <w:marBottom w:val="0"/>
      <w:divBdr>
        <w:top w:val="none" w:sz="0" w:space="0" w:color="auto"/>
        <w:left w:val="none" w:sz="0" w:space="0" w:color="auto"/>
        <w:bottom w:val="none" w:sz="0" w:space="0" w:color="auto"/>
        <w:right w:val="none" w:sz="0" w:space="0" w:color="auto"/>
      </w:divBdr>
    </w:div>
    <w:div w:id="1925725113">
      <w:bodyDiv w:val="1"/>
      <w:marLeft w:val="0"/>
      <w:marRight w:val="0"/>
      <w:marTop w:val="0"/>
      <w:marBottom w:val="0"/>
      <w:divBdr>
        <w:top w:val="none" w:sz="0" w:space="0" w:color="auto"/>
        <w:left w:val="none" w:sz="0" w:space="0" w:color="auto"/>
        <w:bottom w:val="none" w:sz="0" w:space="0" w:color="auto"/>
        <w:right w:val="none" w:sz="0" w:space="0" w:color="auto"/>
      </w:divBdr>
    </w:div>
    <w:div w:id="1934587504">
      <w:bodyDiv w:val="1"/>
      <w:marLeft w:val="0"/>
      <w:marRight w:val="0"/>
      <w:marTop w:val="0"/>
      <w:marBottom w:val="0"/>
      <w:divBdr>
        <w:top w:val="none" w:sz="0" w:space="0" w:color="auto"/>
        <w:left w:val="none" w:sz="0" w:space="0" w:color="auto"/>
        <w:bottom w:val="none" w:sz="0" w:space="0" w:color="auto"/>
        <w:right w:val="none" w:sz="0" w:space="0" w:color="auto"/>
      </w:divBdr>
    </w:div>
    <w:div w:id="1937055929">
      <w:bodyDiv w:val="1"/>
      <w:marLeft w:val="0"/>
      <w:marRight w:val="0"/>
      <w:marTop w:val="0"/>
      <w:marBottom w:val="0"/>
      <w:divBdr>
        <w:top w:val="none" w:sz="0" w:space="0" w:color="auto"/>
        <w:left w:val="none" w:sz="0" w:space="0" w:color="auto"/>
        <w:bottom w:val="none" w:sz="0" w:space="0" w:color="auto"/>
        <w:right w:val="none" w:sz="0" w:space="0" w:color="auto"/>
      </w:divBdr>
    </w:div>
    <w:div w:id="1941602097">
      <w:bodyDiv w:val="1"/>
      <w:marLeft w:val="0"/>
      <w:marRight w:val="0"/>
      <w:marTop w:val="0"/>
      <w:marBottom w:val="0"/>
      <w:divBdr>
        <w:top w:val="none" w:sz="0" w:space="0" w:color="auto"/>
        <w:left w:val="none" w:sz="0" w:space="0" w:color="auto"/>
        <w:bottom w:val="none" w:sz="0" w:space="0" w:color="auto"/>
        <w:right w:val="none" w:sz="0" w:space="0" w:color="auto"/>
      </w:divBdr>
    </w:div>
    <w:div w:id="1952201669">
      <w:bodyDiv w:val="1"/>
      <w:marLeft w:val="0"/>
      <w:marRight w:val="0"/>
      <w:marTop w:val="0"/>
      <w:marBottom w:val="0"/>
      <w:divBdr>
        <w:top w:val="none" w:sz="0" w:space="0" w:color="auto"/>
        <w:left w:val="none" w:sz="0" w:space="0" w:color="auto"/>
        <w:bottom w:val="none" w:sz="0" w:space="0" w:color="auto"/>
        <w:right w:val="none" w:sz="0" w:space="0" w:color="auto"/>
      </w:divBdr>
    </w:div>
    <w:div w:id="1955286610">
      <w:bodyDiv w:val="1"/>
      <w:marLeft w:val="0"/>
      <w:marRight w:val="0"/>
      <w:marTop w:val="0"/>
      <w:marBottom w:val="0"/>
      <w:divBdr>
        <w:top w:val="none" w:sz="0" w:space="0" w:color="auto"/>
        <w:left w:val="none" w:sz="0" w:space="0" w:color="auto"/>
        <w:bottom w:val="none" w:sz="0" w:space="0" w:color="auto"/>
        <w:right w:val="none" w:sz="0" w:space="0" w:color="auto"/>
      </w:divBdr>
    </w:div>
    <w:div w:id="1964266217">
      <w:bodyDiv w:val="1"/>
      <w:marLeft w:val="0"/>
      <w:marRight w:val="0"/>
      <w:marTop w:val="0"/>
      <w:marBottom w:val="0"/>
      <w:divBdr>
        <w:top w:val="none" w:sz="0" w:space="0" w:color="auto"/>
        <w:left w:val="none" w:sz="0" w:space="0" w:color="auto"/>
        <w:bottom w:val="none" w:sz="0" w:space="0" w:color="auto"/>
        <w:right w:val="none" w:sz="0" w:space="0" w:color="auto"/>
      </w:divBdr>
    </w:div>
    <w:div w:id="2000116751">
      <w:bodyDiv w:val="1"/>
      <w:marLeft w:val="0"/>
      <w:marRight w:val="0"/>
      <w:marTop w:val="0"/>
      <w:marBottom w:val="0"/>
      <w:divBdr>
        <w:top w:val="none" w:sz="0" w:space="0" w:color="auto"/>
        <w:left w:val="none" w:sz="0" w:space="0" w:color="auto"/>
        <w:bottom w:val="none" w:sz="0" w:space="0" w:color="auto"/>
        <w:right w:val="none" w:sz="0" w:space="0" w:color="auto"/>
      </w:divBdr>
    </w:div>
    <w:div w:id="2005011403">
      <w:bodyDiv w:val="1"/>
      <w:marLeft w:val="0"/>
      <w:marRight w:val="0"/>
      <w:marTop w:val="0"/>
      <w:marBottom w:val="0"/>
      <w:divBdr>
        <w:top w:val="none" w:sz="0" w:space="0" w:color="auto"/>
        <w:left w:val="none" w:sz="0" w:space="0" w:color="auto"/>
        <w:bottom w:val="none" w:sz="0" w:space="0" w:color="auto"/>
        <w:right w:val="none" w:sz="0" w:space="0" w:color="auto"/>
      </w:divBdr>
    </w:div>
    <w:div w:id="2010402422">
      <w:bodyDiv w:val="1"/>
      <w:marLeft w:val="0"/>
      <w:marRight w:val="0"/>
      <w:marTop w:val="0"/>
      <w:marBottom w:val="0"/>
      <w:divBdr>
        <w:top w:val="none" w:sz="0" w:space="0" w:color="auto"/>
        <w:left w:val="none" w:sz="0" w:space="0" w:color="auto"/>
        <w:bottom w:val="none" w:sz="0" w:space="0" w:color="auto"/>
        <w:right w:val="none" w:sz="0" w:space="0" w:color="auto"/>
      </w:divBdr>
    </w:div>
    <w:div w:id="2016883595">
      <w:bodyDiv w:val="1"/>
      <w:marLeft w:val="0"/>
      <w:marRight w:val="0"/>
      <w:marTop w:val="0"/>
      <w:marBottom w:val="0"/>
      <w:divBdr>
        <w:top w:val="none" w:sz="0" w:space="0" w:color="auto"/>
        <w:left w:val="none" w:sz="0" w:space="0" w:color="auto"/>
        <w:bottom w:val="none" w:sz="0" w:space="0" w:color="auto"/>
        <w:right w:val="none" w:sz="0" w:space="0" w:color="auto"/>
      </w:divBdr>
    </w:div>
    <w:div w:id="2026783658">
      <w:bodyDiv w:val="1"/>
      <w:marLeft w:val="0"/>
      <w:marRight w:val="0"/>
      <w:marTop w:val="0"/>
      <w:marBottom w:val="0"/>
      <w:divBdr>
        <w:top w:val="none" w:sz="0" w:space="0" w:color="auto"/>
        <w:left w:val="none" w:sz="0" w:space="0" w:color="auto"/>
        <w:bottom w:val="none" w:sz="0" w:space="0" w:color="auto"/>
        <w:right w:val="none" w:sz="0" w:space="0" w:color="auto"/>
      </w:divBdr>
    </w:div>
    <w:div w:id="2030832061">
      <w:bodyDiv w:val="1"/>
      <w:marLeft w:val="0"/>
      <w:marRight w:val="0"/>
      <w:marTop w:val="0"/>
      <w:marBottom w:val="0"/>
      <w:divBdr>
        <w:top w:val="none" w:sz="0" w:space="0" w:color="auto"/>
        <w:left w:val="none" w:sz="0" w:space="0" w:color="auto"/>
        <w:bottom w:val="none" w:sz="0" w:space="0" w:color="auto"/>
        <w:right w:val="none" w:sz="0" w:space="0" w:color="auto"/>
      </w:divBdr>
    </w:div>
    <w:div w:id="2052419780">
      <w:bodyDiv w:val="1"/>
      <w:marLeft w:val="0"/>
      <w:marRight w:val="0"/>
      <w:marTop w:val="0"/>
      <w:marBottom w:val="0"/>
      <w:divBdr>
        <w:top w:val="none" w:sz="0" w:space="0" w:color="auto"/>
        <w:left w:val="none" w:sz="0" w:space="0" w:color="auto"/>
        <w:bottom w:val="none" w:sz="0" w:space="0" w:color="auto"/>
        <w:right w:val="none" w:sz="0" w:space="0" w:color="auto"/>
      </w:divBdr>
    </w:div>
    <w:div w:id="2063014915">
      <w:bodyDiv w:val="1"/>
      <w:marLeft w:val="0"/>
      <w:marRight w:val="0"/>
      <w:marTop w:val="0"/>
      <w:marBottom w:val="0"/>
      <w:divBdr>
        <w:top w:val="none" w:sz="0" w:space="0" w:color="auto"/>
        <w:left w:val="none" w:sz="0" w:space="0" w:color="auto"/>
        <w:bottom w:val="none" w:sz="0" w:space="0" w:color="auto"/>
        <w:right w:val="none" w:sz="0" w:space="0" w:color="auto"/>
      </w:divBdr>
    </w:div>
    <w:div w:id="2071152837">
      <w:bodyDiv w:val="1"/>
      <w:marLeft w:val="0"/>
      <w:marRight w:val="0"/>
      <w:marTop w:val="0"/>
      <w:marBottom w:val="0"/>
      <w:divBdr>
        <w:top w:val="none" w:sz="0" w:space="0" w:color="auto"/>
        <w:left w:val="none" w:sz="0" w:space="0" w:color="auto"/>
        <w:bottom w:val="none" w:sz="0" w:space="0" w:color="auto"/>
        <w:right w:val="none" w:sz="0" w:space="0" w:color="auto"/>
      </w:divBdr>
    </w:div>
    <w:div w:id="2075153158">
      <w:bodyDiv w:val="1"/>
      <w:marLeft w:val="0"/>
      <w:marRight w:val="0"/>
      <w:marTop w:val="0"/>
      <w:marBottom w:val="0"/>
      <w:divBdr>
        <w:top w:val="none" w:sz="0" w:space="0" w:color="auto"/>
        <w:left w:val="none" w:sz="0" w:space="0" w:color="auto"/>
        <w:bottom w:val="none" w:sz="0" w:space="0" w:color="auto"/>
        <w:right w:val="none" w:sz="0" w:space="0" w:color="auto"/>
      </w:divBdr>
    </w:div>
    <w:div w:id="2078702713">
      <w:bodyDiv w:val="1"/>
      <w:marLeft w:val="0"/>
      <w:marRight w:val="0"/>
      <w:marTop w:val="0"/>
      <w:marBottom w:val="0"/>
      <w:divBdr>
        <w:top w:val="none" w:sz="0" w:space="0" w:color="auto"/>
        <w:left w:val="none" w:sz="0" w:space="0" w:color="auto"/>
        <w:bottom w:val="none" w:sz="0" w:space="0" w:color="auto"/>
        <w:right w:val="none" w:sz="0" w:space="0" w:color="auto"/>
      </w:divBdr>
    </w:div>
    <w:div w:id="2102144136">
      <w:bodyDiv w:val="1"/>
      <w:marLeft w:val="0"/>
      <w:marRight w:val="0"/>
      <w:marTop w:val="0"/>
      <w:marBottom w:val="0"/>
      <w:divBdr>
        <w:top w:val="none" w:sz="0" w:space="0" w:color="auto"/>
        <w:left w:val="none" w:sz="0" w:space="0" w:color="auto"/>
        <w:bottom w:val="none" w:sz="0" w:space="0" w:color="auto"/>
        <w:right w:val="none" w:sz="0" w:space="0" w:color="auto"/>
      </w:divBdr>
    </w:div>
    <w:div w:id="2103793375">
      <w:bodyDiv w:val="1"/>
      <w:marLeft w:val="0"/>
      <w:marRight w:val="0"/>
      <w:marTop w:val="0"/>
      <w:marBottom w:val="0"/>
      <w:divBdr>
        <w:top w:val="none" w:sz="0" w:space="0" w:color="auto"/>
        <w:left w:val="none" w:sz="0" w:space="0" w:color="auto"/>
        <w:bottom w:val="none" w:sz="0" w:space="0" w:color="auto"/>
        <w:right w:val="none" w:sz="0" w:space="0" w:color="auto"/>
      </w:divBdr>
    </w:div>
    <w:div w:id="2108310151">
      <w:bodyDiv w:val="1"/>
      <w:marLeft w:val="0"/>
      <w:marRight w:val="0"/>
      <w:marTop w:val="0"/>
      <w:marBottom w:val="0"/>
      <w:divBdr>
        <w:top w:val="none" w:sz="0" w:space="0" w:color="auto"/>
        <w:left w:val="none" w:sz="0" w:space="0" w:color="auto"/>
        <w:bottom w:val="none" w:sz="0" w:space="0" w:color="auto"/>
        <w:right w:val="none" w:sz="0" w:space="0" w:color="auto"/>
      </w:divBdr>
    </w:div>
    <w:div w:id="2109811670">
      <w:bodyDiv w:val="1"/>
      <w:marLeft w:val="0"/>
      <w:marRight w:val="0"/>
      <w:marTop w:val="0"/>
      <w:marBottom w:val="0"/>
      <w:divBdr>
        <w:top w:val="none" w:sz="0" w:space="0" w:color="auto"/>
        <w:left w:val="none" w:sz="0" w:space="0" w:color="auto"/>
        <w:bottom w:val="none" w:sz="0" w:space="0" w:color="auto"/>
        <w:right w:val="none" w:sz="0" w:space="0" w:color="auto"/>
      </w:divBdr>
    </w:div>
    <w:div w:id="2116749009">
      <w:bodyDiv w:val="1"/>
      <w:marLeft w:val="0"/>
      <w:marRight w:val="0"/>
      <w:marTop w:val="0"/>
      <w:marBottom w:val="0"/>
      <w:divBdr>
        <w:top w:val="none" w:sz="0" w:space="0" w:color="auto"/>
        <w:left w:val="none" w:sz="0" w:space="0" w:color="auto"/>
        <w:bottom w:val="none" w:sz="0" w:space="0" w:color="auto"/>
        <w:right w:val="none" w:sz="0" w:space="0" w:color="auto"/>
      </w:divBdr>
    </w:div>
    <w:div w:id="2119520891">
      <w:bodyDiv w:val="1"/>
      <w:marLeft w:val="0"/>
      <w:marRight w:val="0"/>
      <w:marTop w:val="0"/>
      <w:marBottom w:val="0"/>
      <w:divBdr>
        <w:top w:val="none" w:sz="0" w:space="0" w:color="auto"/>
        <w:left w:val="none" w:sz="0" w:space="0" w:color="auto"/>
        <w:bottom w:val="none" w:sz="0" w:space="0" w:color="auto"/>
        <w:right w:val="none" w:sz="0" w:space="0" w:color="auto"/>
      </w:divBdr>
    </w:div>
    <w:div w:id="2122142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png"/><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image" Target="media/image4.png"/><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1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2.emf"/><Relationship Id="rId30" Type="http://schemas.openxmlformats.org/officeDocument/2006/relationships/header" Target="head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c9_v xmlns="cb7eed14-1ed6-4f4f-9464-e9d73fc2f8e9">2020</_x00c9_v>
    <T_x00e9_ma xmlns="cb7eed14-1ed6-4f4f-9464-e9d73fc2f8e9">Monitoring</T_x00e9_ma>
    <L_x00e1_that_x00f3_s_x00e1_g xmlns="cb7eed14-1ed6-4f4f-9464-e9d73fc2f8e9">Publikus</L_x00e1_that_x00f3_s_x00e1_g>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CDF1BD466E83E842902559549E0F08F2" ma:contentTypeVersion="4" ma:contentTypeDescription="Új dokumentum létrehozása." ma:contentTypeScope="" ma:versionID="728aa65fd4392079a2ec6f82ac33a9b7">
  <xsd:schema xmlns:xsd="http://www.w3.org/2001/XMLSchema" xmlns:xs="http://www.w3.org/2001/XMLSchema" xmlns:p="http://schemas.microsoft.com/office/2006/metadata/properties" xmlns:ns2="cb7eed14-1ed6-4f4f-9464-e9d73fc2f8e9" xmlns:ns3="9669010e-b829-4d86-87dd-cdce11b02043" targetNamespace="http://schemas.microsoft.com/office/2006/metadata/properties" ma:root="true" ma:fieldsID="7d79bb7c5a8207ef5dbb73c82dd22e48" ns2:_="" ns3:_="">
    <xsd:import namespace="cb7eed14-1ed6-4f4f-9464-e9d73fc2f8e9"/>
    <xsd:import namespace="9669010e-b829-4d86-87dd-cdce11b02043"/>
    <xsd:element name="properties">
      <xsd:complexType>
        <xsd:sequence>
          <xsd:element name="documentManagement">
            <xsd:complexType>
              <xsd:all>
                <xsd:element ref="ns2:T_x00e9_ma" minOccurs="0"/>
                <xsd:element ref="ns2:_x00c9_v"/>
                <xsd:element ref="ns2:L_x00e1_that_x00f3_s_x00e1_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eed14-1ed6-4f4f-9464-e9d73fc2f8e9" elementFormDefault="qualified">
    <xsd:import namespace="http://schemas.microsoft.com/office/2006/documentManagement/types"/>
    <xsd:import namespace="http://schemas.microsoft.com/office/infopath/2007/PartnerControls"/>
    <xsd:element name="T_x00e9_ma" ma:index="2" nillable="true" ma:displayName="Téma" ma:format="Dropdown" ma:internalName="T_x00e9_ma">
      <xsd:simpleType>
        <xsd:restriction base="dms:Choice">
          <xsd:enumeration value="Tervezés"/>
          <xsd:enumeration value="Zárszámadás"/>
          <xsd:enumeration value="Törvénymódosítás"/>
          <xsd:enumeration value="ÁSZ ellenőrzés"/>
          <xsd:enumeration value="Gyorsjelentés"/>
          <xsd:enumeration value="Monitoring"/>
          <xsd:enumeration value="Tervezési tájékoztató"/>
          <xsd:enumeration value="Útmutató"/>
          <xsd:enumeration value="Munkaprogram"/>
          <xsd:enumeration value="Ütemterv"/>
          <xsd:enumeration value="Módosító"/>
          <xsd:enumeration value="Kormányülés"/>
          <xsd:enumeration value="Gazdasági kabinet"/>
          <xsd:enumeration value="Stratégiai kabinet"/>
          <xsd:enumeration value="IFMIS"/>
          <xsd:enumeration value="Fejezeten belüli átcsoportosítás"/>
          <xsd:enumeration value="Címlista"/>
          <xsd:enumeration value="BEÜ"/>
          <xsd:enumeration value="Koronavírus"/>
          <xsd:enumeration value="Tudásbázis"/>
          <xsd:enumeration value="Kiemelt fejlesztési igények"/>
        </xsd:restriction>
      </xsd:simpleType>
    </xsd:element>
    <xsd:element name="_x00c9_v" ma:index="3" ma:displayName="Év" ma:default="2018" ma:format="Dropdown" ma:internalName="_x00c9_v">
      <xsd:simpleType>
        <xsd:restriction base="dms:Choice">
          <xsd:enumeration value="2021"/>
          <xsd:enumeration value="2020"/>
          <xsd:enumeration value="2019"/>
          <xsd:enumeration value="2018"/>
          <xsd:enumeration value="2017"/>
          <xsd:enumeration value="2016"/>
          <xsd:enumeration value="2015"/>
        </xsd:restriction>
      </xsd:simpleType>
    </xsd:element>
    <xsd:element name="L_x00e1_that_x00f3_s_x00e1_g" ma:index="4" nillable="true" ma:displayName="Láthatóság" ma:default="Publikus" ma:format="Dropdown" ma:internalName="L_x00e1_that_x00f3_s_x00e1_g">
      <xsd:simpleType>
        <xsd:restriction base="dms:Choice">
          <xsd:enumeration value="Publikus"/>
          <xsd:enumeration value="Csak admin látja (verziókat tartalmaz)"/>
        </xsd:restriction>
      </xsd:simpleType>
    </xsd:element>
  </xsd:schema>
  <xsd:schema xmlns:xsd="http://www.w3.org/2001/XMLSchema" xmlns:xs="http://www.w3.org/2001/XMLSchema" xmlns:dms="http://schemas.microsoft.com/office/2006/documentManagement/types" xmlns:pc="http://schemas.microsoft.com/office/infopath/2007/PartnerControls" targetNamespace="9669010e-b829-4d86-87dd-cdce11b02043" elementFormDefault="qualified">
    <xsd:import namespace="http://schemas.microsoft.com/office/2006/documentManagement/types"/>
    <xsd:import namespace="http://schemas.microsoft.com/office/infopath/2007/PartnerControls"/>
    <xsd:element name="SharedWithUsers" ma:index="11" nillable="true" ma:displayName="Résztvevők"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480CA-BC7A-45F3-A224-17837488D9B2}">
  <ds:schemaRefs>
    <ds:schemaRef ds:uri="http://purl.org/dc/elements/1.1/"/>
    <ds:schemaRef ds:uri="http://purl.org/dc/dcmitype/"/>
    <ds:schemaRef ds:uri="http://schemas.microsoft.com/office/2006/metadata/properties"/>
    <ds:schemaRef ds:uri="http://purl.org/dc/terms/"/>
    <ds:schemaRef ds:uri="http://schemas.microsoft.com/office/2006/documentManagement/types"/>
    <ds:schemaRef ds:uri="http://www.w3.org/XML/1998/namespace"/>
    <ds:schemaRef ds:uri="cb7eed14-1ed6-4f4f-9464-e9d73fc2f8e9"/>
    <ds:schemaRef ds:uri="http://schemas.microsoft.com/office/infopath/2007/PartnerControls"/>
    <ds:schemaRef ds:uri="http://schemas.openxmlformats.org/package/2006/metadata/core-properties"/>
    <ds:schemaRef ds:uri="9669010e-b829-4d86-87dd-cdce11b02043"/>
  </ds:schemaRefs>
</ds:datastoreItem>
</file>

<file path=customXml/itemProps2.xml><?xml version="1.0" encoding="utf-8"?>
<ds:datastoreItem xmlns:ds="http://schemas.openxmlformats.org/officeDocument/2006/customXml" ds:itemID="{54E78AD5-6B76-4533-9306-00D2F12000D1}">
  <ds:schemaRefs>
    <ds:schemaRef ds:uri="http://schemas.microsoft.com/sharepoint/v3/contenttype/forms"/>
  </ds:schemaRefs>
</ds:datastoreItem>
</file>

<file path=customXml/itemProps3.xml><?xml version="1.0" encoding="utf-8"?>
<ds:datastoreItem xmlns:ds="http://schemas.openxmlformats.org/officeDocument/2006/customXml" ds:itemID="{B578A75E-B644-4C7C-BF84-3D2E08704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eed14-1ed6-4f4f-9464-e9d73fc2f8e9"/>
    <ds:schemaRef ds:uri="9669010e-b829-4d86-87dd-cdce11b02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3DF43F-2D38-4570-92E7-C6FF0E6C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5921</Words>
  <Characters>41666</Characters>
  <Application>Microsoft Office Word</Application>
  <DocSecurity>0</DocSecurity>
  <Lines>347</Lines>
  <Paragraphs>94</Paragraphs>
  <ScaleCrop>false</ScaleCrop>
  <HeadingPairs>
    <vt:vector size="2" baseType="variant">
      <vt:variant>
        <vt:lpstr>Cím</vt:lpstr>
      </vt:variant>
      <vt:variant>
        <vt:i4>1</vt:i4>
      </vt:variant>
    </vt:vector>
  </HeadingPairs>
  <TitlesOfParts>
    <vt:vector size="1" baseType="lpstr">
      <vt:lpstr>Tájékoztató az államháztartás központi alrendszerének 2020. november havi helyzetéről</vt:lpstr>
    </vt:vector>
  </TitlesOfParts>
  <LinksUpToDate>false</LinksUpToDate>
  <CharactersWithSpaces>47493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Tájékoztató az államháztartás központi alrendszerének 2020. november havi helyzetéről</dc:title>
  <dc:creator/>
  <cp:lastModifiedBy/>
  <cp:revision>1</cp:revision>
  <dcterms:created xsi:type="dcterms:W3CDTF">2020-12-14T13:26:00Z</dcterms:created>
  <dcterms:modified xsi:type="dcterms:W3CDTF">2020-12-14T13:48:00Z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0x010100CDF1BD466E83E842902559549E0F08F2</vt:lpwstr>
  </property>
</Properties>
</file>