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89E2" w14:textId="685CB7B9" w:rsidR="00B155FE" w:rsidRPr="00377D59" w:rsidRDefault="639E9B9B" w:rsidP="639E9B9B">
      <w:pPr>
        <w:tabs>
          <w:tab w:val="center" w:pos="4536"/>
        </w:tabs>
        <w:bidi/>
        <w:spacing w:after="120" w:line="240" w:lineRule="auto"/>
        <w:ind w:left="-142" w:right="-1" w:firstLine="142"/>
        <w:rPr>
          <w:rFonts w:ascii="Times New Roman" w:eastAsia="Times New Roman" w:hAnsi="Times New Roman" w:cs="Times New Roman"/>
          <w:b/>
          <w:bCs/>
          <w:smallCaps/>
          <w:sz w:val="32"/>
          <w:szCs w:val="32"/>
          <w:lang w:eastAsia="hu-HU"/>
        </w:rPr>
      </w:pPr>
      <w:r w:rsidRPr="639E9B9B">
        <w:rPr>
          <w:rFonts w:ascii="Times New Roman" w:eastAsia="Times New Roman" w:hAnsi="Times New Roman" w:cs="Times New Roman"/>
          <w:b/>
          <w:bCs/>
          <w:smallCaps/>
          <w:sz w:val="32"/>
          <w:szCs w:val="32"/>
          <w:lang w:eastAsia="hu-HU"/>
        </w:rPr>
        <w:t>Pénzügyminisztérium</w:t>
      </w:r>
    </w:p>
    <w:p w14:paraId="7B7689E4"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36F33C9C" w14:textId="77777777" w:rsidR="001E689B" w:rsidRPr="00377D59" w:rsidRDefault="001E689B"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5"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6"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7"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8"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9"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26"/>
          <w:szCs w:val="26"/>
          <w:lang w:eastAsia="hu-HU"/>
        </w:rPr>
      </w:pPr>
    </w:p>
    <w:p w14:paraId="7B7689EA"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B"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C"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D"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E"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F" w14:textId="77777777" w:rsidR="00B155FE" w:rsidRPr="00377D59" w:rsidRDefault="00B155FE" w:rsidP="639E9B9B">
      <w:pPr>
        <w:keepNext/>
        <w:widowControl w:val="0"/>
        <w:spacing w:after="120" w:line="240" w:lineRule="auto"/>
        <w:jc w:val="center"/>
        <w:rPr>
          <w:rFonts w:ascii="Times New Roman" w:eastAsia="Times New Roman" w:hAnsi="Times New Roman" w:cs="Times New Roman"/>
          <w:b/>
          <w:bCs/>
          <w:caps/>
          <w:sz w:val="32"/>
          <w:szCs w:val="32"/>
          <w:lang w:eastAsia="hu-HU"/>
        </w:rPr>
      </w:pPr>
      <w:r w:rsidRPr="00377D59">
        <w:rPr>
          <w:rFonts w:ascii="Times New Roman" w:eastAsia="Times New Roman" w:hAnsi="Times New Roman" w:cs="Times New Roman"/>
          <w:b/>
          <w:bCs/>
          <w:caps/>
          <w:spacing w:val="60"/>
          <w:sz w:val="32"/>
          <w:szCs w:val="32"/>
          <w:lang w:eastAsia="hu-HU"/>
        </w:rPr>
        <w:t>Tájékoztató</w:t>
      </w:r>
    </w:p>
    <w:p w14:paraId="5AE02B14" w14:textId="22308B67" w:rsidR="00B94CCA" w:rsidRPr="00377D59" w:rsidRDefault="639E9B9B" w:rsidP="639E9B9B">
      <w:pPr>
        <w:keepNext/>
        <w:tabs>
          <w:tab w:val="left" w:pos="2694"/>
        </w:tabs>
        <w:spacing w:after="120" w:line="240" w:lineRule="auto"/>
        <w:ind w:right="-1"/>
        <w:jc w:val="center"/>
        <w:outlineLvl w:val="1"/>
        <w:rPr>
          <w:rFonts w:ascii="Times New Roman" w:eastAsia="Times New Roman" w:hAnsi="Times New Roman" w:cs="Times New Roman"/>
          <w:b/>
          <w:bCs/>
          <w:i/>
          <w:iCs/>
          <w:sz w:val="26"/>
          <w:szCs w:val="26"/>
          <w:lang w:eastAsia="hu-HU"/>
        </w:rPr>
      </w:pPr>
      <w:r w:rsidRPr="639E9B9B">
        <w:rPr>
          <w:rFonts w:ascii="Times New Roman" w:eastAsia="Times New Roman" w:hAnsi="Times New Roman" w:cs="Times New Roman"/>
          <w:b/>
          <w:bCs/>
          <w:i/>
          <w:iCs/>
          <w:sz w:val="26"/>
          <w:szCs w:val="26"/>
          <w:lang w:eastAsia="hu-HU"/>
        </w:rPr>
        <w:t>az államháztartás központi alrendszerének</w:t>
      </w:r>
      <w:r w:rsidR="6BF9886D">
        <w:br/>
      </w:r>
      <w:r w:rsidRPr="639E9B9B">
        <w:rPr>
          <w:rFonts w:ascii="Times New Roman" w:eastAsia="Times New Roman" w:hAnsi="Times New Roman" w:cs="Times New Roman"/>
          <w:b/>
          <w:bCs/>
          <w:i/>
          <w:iCs/>
          <w:sz w:val="26"/>
          <w:szCs w:val="26"/>
          <w:lang w:eastAsia="hu-HU"/>
        </w:rPr>
        <w:t>2024. május végi helyzetéről</w:t>
      </w:r>
    </w:p>
    <w:p w14:paraId="7B7689F2" w14:textId="2D4563EC" w:rsidR="00B155FE" w:rsidRPr="00377D59" w:rsidRDefault="00B155FE"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4A2F8C9F"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1D327E5D"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35267E04"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20BD3D31"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16E13D32"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59F56A13"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7B7689F4" w14:textId="77777777" w:rsidR="00B155FE" w:rsidRPr="00377D59" w:rsidRDefault="00B155FE" w:rsidP="00B155FE">
      <w:pPr>
        <w:tabs>
          <w:tab w:val="left" w:pos="2694"/>
        </w:tabs>
        <w:spacing w:after="120" w:line="240" w:lineRule="auto"/>
        <w:jc w:val="both"/>
        <w:rPr>
          <w:rFonts w:ascii="Times New Roman" w:eastAsia="Times New Roman" w:hAnsi="Times New Roman" w:cs="Times New Roman"/>
          <w:sz w:val="26"/>
          <w:szCs w:val="20"/>
          <w:lang w:eastAsia="hu-HU"/>
        </w:rPr>
      </w:pPr>
    </w:p>
    <w:p w14:paraId="7B7689F6" w14:textId="77777777" w:rsidR="00B155FE" w:rsidRPr="00377D59" w:rsidRDefault="00B155FE" w:rsidP="00B155FE">
      <w:pPr>
        <w:tabs>
          <w:tab w:val="left" w:pos="2694"/>
        </w:tabs>
        <w:spacing w:after="120" w:line="240" w:lineRule="auto"/>
        <w:jc w:val="both"/>
        <w:rPr>
          <w:rFonts w:ascii="Times New Roman" w:eastAsia="Times New Roman" w:hAnsi="Times New Roman" w:cs="Times New Roman"/>
          <w:sz w:val="26"/>
          <w:szCs w:val="20"/>
          <w:lang w:eastAsia="hu-HU"/>
        </w:rPr>
      </w:pPr>
    </w:p>
    <w:p w14:paraId="7B7689F7"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7B7689F8" w14:textId="7C3BEFF0" w:rsidR="00B155FE" w:rsidRPr="00377D59" w:rsidRDefault="00B155FE" w:rsidP="00EA1F58">
      <w:pPr>
        <w:tabs>
          <w:tab w:val="left" w:pos="5685"/>
        </w:tabs>
        <w:spacing w:after="120" w:line="240" w:lineRule="auto"/>
        <w:jc w:val="both"/>
        <w:rPr>
          <w:rFonts w:ascii="Times New Roman" w:eastAsia="Times New Roman" w:hAnsi="Times New Roman" w:cs="Times New Roman"/>
          <w:sz w:val="26"/>
          <w:szCs w:val="20"/>
          <w:lang w:eastAsia="hu-HU"/>
        </w:rPr>
      </w:pPr>
    </w:p>
    <w:p w14:paraId="7B7689F9"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7B7689FA"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7B7689FB"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1CF999E6" w14:textId="067A30FF" w:rsidR="00E97147" w:rsidRPr="00377D59" w:rsidRDefault="00B155FE" w:rsidP="639E9B9B">
      <w:pPr>
        <w:tabs>
          <w:tab w:val="left" w:pos="2694"/>
        </w:tabs>
        <w:spacing w:after="120" w:line="240" w:lineRule="auto"/>
        <w:jc w:val="center"/>
        <w:rPr>
          <w:rFonts w:ascii="Times New Roman" w:eastAsia="Times New Roman" w:hAnsi="Times New Roman" w:cs="Times New Roman"/>
          <w:b/>
          <w:bCs/>
          <w:lang w:eastAsia="hu-HU"/>
        </w:rPr>
        <w:sectPr w:rsidR="00E97147" w:rsidRPr="00377D59" w:rsidSect="002276A7">
          <w:footerReference w:type="default" r:id="rId11"/>
          <w:footerReference w:type="first" r:id="rId12"/>
          <w:footnotePr>
            <w:numRestart w:val="eachPage"/>
          </w:footnotePr>
          <w:pgSz w:w="11907" w:h="16840" w:code="9"/>
          <w:pgMar w:top="1134" w:right="1134" w:bottom="1418" w:left="1418" w:header="709" w:footer="709" w:gutter="0"/>
          <w:pgNumType w:fmt="numberInDash" w:start="0"/>
          <w:cols w:space="708"/>
          <w:docGrid w:linePitch="354"/>
        </w:sectPr>
      </w:pPr>
      <w:r w:rsidRPr="00377D59">
        <w:rPr>
          <w:rFonts w:ascii="Times New Roman" w:eastAsia="Times New Roman" w:hAnsi="Times New Roman" w:cs="Times New Roman"/>
          <w:b/>
          <w:bCs/>
          <w:noProof/>
          <w:lang w:eastAsia="hu-HU"/>
        </w:rPr>
        <mc:AlternateContent>
          <mc:Choice Requires="wps">
            <w:drawing>
              <wp:anchor distT="0" distB="0" distL="114300" distR="114300" simplePos="0" relativeHeight="251658240" behindDoc="0" locked="0" layoutInCell="1" allowOverlap="1" wp14:anchorId="7B768C6C" wp14:editId="7B768C6D">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C5A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Pr="00377D59">
        <w:rPr>
          <w:rFonts w:ascii="Times New Roman" w:eastAsia="Times New Roman" w:hAnsi="Times New Roman" w:cs="Times New Roman"/>
          <w:b/>
          <w:bCs/>
          <w:lang w:eastAsia="hu-HU"/>
        </w:rPr>
        <w:t>202</w:t>
      </w:r>
      <w:r w:rsidR="0032514C" w:rsidRPr="00377D59">
        <w:rPr>
          <w:rFonts w:ascii="Times New Roman" w:eastAsia="Times New Roman" w:hAnsi="Times New Roman" w:cs="Times New Roman"/>
          <w:b/>
          <w:bCs/>
          <w:lang w:eastAsia="hu-HU"/>
        </w:rPr>
        <w:t>4</w:t>
      </w:r>
      <w:r w:rsidRPr="00377D59">
        <w:rPr>
          <w:rFonts w:ascii="Times New Roman" w:eastAsia="Times New Roman" w:hAnsi="Times New Roman" w:cs="Times New Roman"/>
          <w:b/>
          <w:bCs/>
          <w:lang w:eastAsia="hu-HU"/>
        </w:rPr>
        <w:t xml:space="preserve">. </w:t>
      </w:r>
      <w:r w:rsidR="00081A0C">
        <w:rPr>
          <w:rFonts w:ascii="Times New Roman" w:eastAsia="Times New Roman" w:hAnsi="Times New Roman" w:cs="Times New Roman"/>
          <w:b/>
          <w:bCs/>
          <w:lang w:eastAsia="hu-HU"/>
        </w:rPr>
        <w:t>június</w:t>
      </w:r>
    </w:p>
    <w:p w14:paraId="7B7689FF" w14:textId="77777777" w:rsidR="00B155FE" w:rsidRPr="00377D59" w:rsidRDefault="639E9B9B" w:rsidP="639E9B9B">
      <w:pPr>
        <w:keepNext/>
        <w:spacing w:before="240" w:after="480" w:line="480" w:lineRule="auto"/>
        <w:ind w:left="425" w:hanging="425"/>
        <w:jc w:val="center"/>
        <w:outlineLvl w:val="3"/>
        <w:rPr>
          <w:rFonts w:ascii="Times New Roman" w:eastAsia="Times New Roman" w:hAnsi="Times New Roman" w:cs="Times New Roman"/>
          <w:b/>
          <w:bCs/>
          <w:caps/>
          <w:color w:val="000000" w:themeColor="text1"/>
          <w:sz w:val="26"/>
          <w:szCs w:val="26"/>
          <w:lang w:eastAsia="hu-HU"/>
        </w:rPr>
      </w:pPr>
      <w:r w:rsidRPr="639E9B9B">
        <w:rPr>
          <w:rFonts w:ascii="Times New Roman" w:eastAsia="Times New Roman" w:hAnsi="Times New Roman" w:cs="Times New Roman"/>
          <w:b/>
          <w:bCs/>
          <w:caps/>
          <w:color w:val="000000" w:themeColor="text1"/>
          <w:sz w:val="26"/>
          <w:szCs w:val="26"/>
          <w:lang w:eastAsia="hu-HU"/>
        </w:rPr>
        <w:lastRenderedPageBreak/>
        <w:t>Összefoglalás</w:t>
      </w:r>
    </w:p>
    <w:p w14:paraId="0E670616" w14:textId="5306AAC4" w:rsidR="005C15F7" w:rsidRPr="00377D59" w:rsidRDefault="00927CAB" w:rsidP="639E9B9B">
      <w:pPr>
        <w:tabs>
          <w:tab w:val="left" w:pos="1184"/>
        </w:tabs>
        <w:spacing w:after="120" w:line="240" w:lineRule="auto"/>
        <w:jc w:val="both"/>
        <w:rPr>
          <w:rFonts w:ascii="Times New Roman" w:eastAsia="Times New Roman" w:hAnsi="Times New Roman" w:cs="Times New Roman"/>
          <w:b/>
          <w:bCs/>
          <w:color w:val="000000" w:themeColor="text1"/>
          <w:sz w:val="26"/>
          <w:szCs w:val="26"/>
          <w:lang w:eastAsia="hu-HU"/>
        </w:rPr>
      </w:pPr>
      <w:r w:rsidRPr="00927CAB">
        <w:rPr>
          <w:rFonts w:ascii="Times New Roman" w:eastAsia="Times New Roman" w:hAnsi="Times New Roman" w:cs="Times New Roman"/>
          <w:b/>
          <w:bCs/>
          <w:color w:val="000000" w:themeColor="text1"/>
          <w:sz w:val="26"/>
          <w:szCs w:val="26"/>
          <w:lang w:eastAsia="hu-HU"/>
        </w:rPr>
        <w:t>A magyar gazdaság visszatért a növekedési pályára. A költségvetés továbbra is biztosítja a nyugdíjak és a családtám</w:t>
      </w:r>
      <w:r>
        <w:rPr>
          <w:rFonts w:ascii="Times New Roman" w:eastAsia="Times New Roman" w:hAnsi="Times New Roman" w:cs="Times New Roman"/>
          <w:b/>
          <w:bCs/>
          <w:color w:val="000000" w:themeColor="text1"/>
          <w:sz w:val="26"/>
          <w:szCs w:val="26"/>
          <w:lang w:eastAsia="hu-HU"/>
        </w:rPr>
        <w:t>ogatások védelméhez, valamint a </w:t>
      </w:r>
      <w:r w:rsidRPr="00927CAB">
        <w:rPr>
          <w:rFonts w:ascii="Times New Roman" w:eastAsia="Times New Roman" w:hAnsi="Times New Roman" w:cs="Times New Roman"/>
          <w:b/>
          <w:bCs/>
          <w:color w:val="000000" w:themeColor="text1"/>
          <w:sz w:val="26"/>
          <w:szCs w:val="26"/>
          <w:lang w:eastAsia="hu-HU"/>
        </w:rPr>
        <w:t xml:space="preserve">rezsicsökkentés fenntartásához szükséges fedezetet, miközben az erősödő gazdasági teljesítmény segíti a 4,5%-os hiánycél </w:t>
      </w:r>
      <w:bookmarkStart w:id="0" w:name="_GoBack"/>
      <w:bookmarkEnd w:id="0"/>
      <w:r w:rsidRPr="00927CAB">
        <w:rPr>
          <w:rFonts w:ascii="Times New Roman" w:eastAsia="Times New Roman" w:hAnsi="Times New Roman" w:cs="Times New Roman"/>
          <w:b/>
          <w:bCs/>
          <w:color w:val="000000" w:themeColor="text1"/>
          <w:sz w:val="26"/>
          <w:szCs w:val="26"/>
          <w:lang w:eastAsia="hu-HU"/>
        </w:rPr>
        <w:t>eléré</w:t>
      </w:r>
      <w:r w:rsidR="00A9789C">
        <w:rPr>
          <w:rFonts w:ascii="Times New Roman" w:eastAsia="Times New Roman" w:hAnsi="Times New Roman" w:cs="Times New Roman"/>
          <w:b/>
          <w:bCs/>
          <w:color w:val="000000" w:themeColor="text1"/>
          <w:sz w:val="26"/>
          <w:szCs w:val="26"/>
          <w:lang w:eastAsia="hu-HU"/>
        </w:rPr>
        <w:t>sét. A költségvetés májusban 49 </w:t>
      </w:r>
      <w:r w:rsidRPr="00927CAB">
        <w:rPr>
          <w:rFonts w:ascii="Times New Roman" w:eastAsia="Times New Roman" w:hAnsi="Times New Roman" w:cs="Times New Roman"/>
          <w:b/>
          <w:bCs/>
          <w:color w:val="000000" w:themeColor="text1"/>
          <w:sz w:val="26"/>
          <w:szCs w:val="26"/>
          <w:lang w:eastAsia="hu-HU"/>
        </w:rPr>
        <w:t>milliárd forintos többlettel zárt, ami 2016 óta a legkedvezőbb 5. havi mutató</w:t>
      </w:r>
      <w:r w:rsidR="639E9B9B" w:rsidRPr="639E9B9B">
        <w:rPr>
          <w:rFonts w:ascii="Times New Roman" w:eastAsia="Times New Roman" w:hAnsi="Times New Roman" w:cs="Times New Roman"/>
          <w:b/>
          <w:bCs/>
          <w:color w:val="000000" w:themeColor="text1"/>
          <w:sz w:val="26"/>
          <w:szCs w:val="26"/>
          <w:lang w:eastAsia="hu-HU"/>
        </w:rPr>
        <w:t>.</w:t>
      </w:r>
      <w:r w:rsidR="00466A47" w:rsidRPr="00770976">
        <w:rPr>
          <w:rFonts w:ascii="Times New Roman" w:eastAsia="Times New Roman" w:hAnsi="Times New Roman" w:cs="Times New Roman"/>
          <w:b/>
          <w:bCs/>
          <w:sz w:val="26"/>
          <w:szCs w:val="26"/>
          <w:lang w:eastAsia="hu-HU"/>
        </w:rPr>
        <w:t xml:space="preserve"> A május havi </w:t>
      </w:r>
      <w:r w:rsidR="00603461" w:rsidRPr="00770976">
        <w:rPr>
          <w:rFonts w:ascii="Times New Roman" w:eastAsia="Times New Roman" w:hAnsi="Times New Roman" w:cs="Times New Roman"/>
          <w:b/>
          <w:bCs/>
          <w:sz w:val="26"/>
          <w:szCs w:val="26"/>
          <w:lang w:eastAsia="hu-HU"/>
        </w:rPr>
        <w:t xml:space="preserve">többlet részben annak </w:t>
      </w:r>
      <w:r w:rsidR="00466A47" w:rsidRPr="00770976">
        <w:rPr>
          <w:rFonts w:ascii="Times New Roman" w:eastAsia="Times New Roman" w:hAnsi="Times New Roman" w:cs="Times New Roman"/>
          <w:b/>
          <w:bCs/>
          <w:sz w:val="26"/>
          <w:szCs w:val="26"/>
          <w:lang w:eastAsia="hu-HU"/>
        </w:rPr>
        <w:t xml:space="preserve">köszönhető, </w:t>
      </w:r>
      <w:r w:rsidR="00603461" w:rsidRPr="00770976">
        <w:rPr>
          <w:rFonts w:ascii="Times New Roman" w:eastAsia="Times New Roman" w:hAnsi="Times New Roman" w:cs="Times New Roman"/>
          <w:b/>
          <w:bCs/>
          <w:sz w:val="26"/>
          <w:szCs w:val="26"/>
          <w:lang w:eastAsia="hu-HU"/>
        </w:rPr>
        <w:t xml:space="preserve">hogy </w:t>
      </w:r>
      <w:r w:rsidR="00466A47" w:rsidRPr="00770976">
        <w:rPr>
          <w:rFonts w:ascii="Times New Roman" w:eastAsia="Times New Roman" w:hAnsi="Times New Roman" w:cs="Times New Roman"/>
          <w:b/>
          <w:bCs/>
          <w:sz w:val="26"/>
          <w:szCs w:val="26"/>
          <w:lang w:eastAsia="hu-HU"/>
        </w:rPr>
        <w:t>a Bizottság a pedagógus-béremelés</w:t>
      </w:r>
      <w:r w:rsidR="00603461" w:rsidRPr="00770976">
        <w:rPr>
          <w:rFonts w:ascii="Times New Roman" w:eastAsia="Times New Roman" w:hAnsi="Times New Roman" w:cs="Times New Roman"/>
          <w:b/>
          <w:bCs/>
          <w:sz w:val="26"/>
          <w:szCs w:val="26"/>
          <w:lang w:eastAsia="hu-HU"/>
        </w:rPr>
        <w:t>hez kapcsolódó</w:t>
      </w:r>
      <w:r w:rsidR="00466A47" w:rsidRPr="00770976">
        <w:rPr>
          <w:rFonts w:ascii="Times New Roman" w:eastAsia="Times New Roman" w:hAnsi="Times New Roman" w:cs="Times New Roman"/>
          <w:b/>
          <w:bCs/>
          <w:sz w:val="26"/>
          <w:szCs w:val="26"/>
          <w:lang w:eastAsia="hu-HU"/>
        </w:rPr>
        <w:t xml:space="preserve"> utalását május végén teljesítette.</w:t>
      </w:r>
    </w:p>
    <w:p w14:paraId="735C0750" w14:textId="05F96ED4" w:rsidR="00927CAB" w:rsidRPr="00927CAB" w:rsidRDefault="00927CAB" w:rsidP="00927CAB">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927CAB">
        <w:rPr>
          <w:rFonts w:ascii="Times New Roman" w:eastAsia="Times New Roman" w:hAnsi="Times New Roman" w:cs="Times New Roman"/>
          <w:color w:val="000000" w:themeColor="text1"/>
          <w:sz w:val="26"/>
          <w:szCs w:val="26"/>
          <w:lang w:eastAsia="hu-HU"/>
        </w:rPr>
        <w:t>2024 május végéig az államh</w:t>
      </w:r>
      <w:r>
        <w:rPr>
          <w:rFonts w:ascii="Times New Roman" w:eastAsia="Times New Roman" w:hAnsi="Times New Roman" w:cs="Times New Roman"/>
          <w:color w:val="000000" w:themeColor="text1"/>
          <w:sz w:val="26"/>
          <w:szCs w:val="26"/>
          <w:lang w:eastAsia="hu-HU"/>
        </w:rPr>
        <w:t>áztartás központi alrendszere 2 </w:t>
      </w:r>
      <w:r w:rsidR="00A9789C">
        <w:rPr>
          <w:rFonts w:ascii="Times New Roman" w:eastAsia="Times New Roman" w:hAnsi="Times New Roman" w:cs="Times New Roman"/>
          <w:color w:val="000000" w:themeColor="text1"/>
          <w:sz w:val="26"/>
          <w:szCs w:val="26"/>
          <w:lang w:eastAsia="hu-HU"/>
        </w:rPr>
        <w:t>548,5 </w:t>
      </w:r>
      <w:r w:rsidRPr="00927CAB">
        <w:rPr>
          <w:rFonts w:ascii="Times New Roman" w:eastAsia="Times New Roman" w:hAnsi="Times New Roman" w:cs="Times New Roman"/>
          <w:color w:val="000000" w:themeColor="text1"/>
          <w:sz w:val="26"/>
          <w:szCs w:val="26"/>
          <w:lang w:eastAsia="hu-HU"/>
        </w:rPr>
        <w:t>milliárd forintos hiánnyal zárt. Ezen belül a központi költségvet</w:t>
      </w:r>
      <w:r>
        <w:rPr>
          <w:rFonts w:ascii="Times New Roman" w:eastAsia="Times New Roman" w:hAnsi="Times New Roman" w:cs="Times New Roman"/>
          <w:color w:val="000000" w:themeColor="text1"/>
          <w:sz w:val="26"/>
          <w:szCs w:val="26"/>
          <w:lang w:eastAsia="hu-HU"/>
        </w:rPr>
        <w:t>és 2 </w:t>
      </w:r>
      <w:r w:rsidRPr="00927CAB">
        <w:rPr>
          <w:rFonts w:ascii="Times New Roman" w:eastAsia="Times New Roman" w:hAnsi="Times New Roman" w:cs="Times New Roman"/>
          <w:color w:val="000000" w:themeColor="text1"/>
          <w:sz w:val="26"/>
          <w:szCs w:val="26"/>
          <w:lang w:eastAsia="hu-HU"/>
        </w:rPr>
        <w:t>559</w:t>
      </w:r>
      <w:r w:rsidR="00A9789C">
        <w:rPr>
          <w:rFonts w:ascii="Times New Roman" w:eastAsia="Times New Roman" w:hAnsi="Times New Roman" w:cs="Times New Roman"/>
          <w:color w:val="000000" w:themeColor="text1"/>
          <w:sz w:val="26"/>
          <w:szCs w:val="26"/>
          <w:lang w:eastAsia="hu-HU"/>
        </w:rPr>
        <w:t>,7 </w:t>
      </w:r>
      <w:r>
        <w:rPr>
          <w:rFonts w:ascii="Times New Roman" w:eastAsia="Times New Roman" w:hAnsi="Times New Roman" w:cs="Times New Roman"/>
          <w:color w:val="000000" w:themeColor="text1"/>
          <w:sz w:val="26"/>
          <w:szCs w:val="26"/>
          <w:lang w:eastAsia="hu-HU"/>
        </w:rPr>
        <w:t>milliárd forintos hiányt, az </w:t>
      </w:r>
      <w:r w:rsidRPr="00927CAB">
        <w:rPr>
          <w:rFonts w:ascii="Times New Roman" w:eastAsia="Times New Roman" w:hAnsi="Times New Roman" w:cs="Times New Roman"/>
          <w:color w:val="000000" w:themeColor="text1"/>
          <w:sz w:val="26"/>
          <w:szCs w:val="26"/>
          <w:lang w:eastAsia="hu-HU"/>
        </w:rPr>
        <w:t>elkül</w:t>
      </w:r>
      <w:r w:rsidR="00A9789C">
        <w:rPr>
          <w:rFonts w:ascii="Times New Roman" w:eastAsia="Times New Roman" w:hAnsi="Times New Roman" w:cs="Times New Roman"/>
          <w:color w:val="000000" w:themeColor="text1"/>
          <w:sz w:val="26"/>
          <w:szCs w:val="26"/>
          <w:lang w:eastAsia="hu-HU"/>
        </w:rPr>
        <w:t>önített állami pénzalapok 115,5 </w:t>
      </w:r>
      <w:r w:rsidRPr="00927CAB">
        <w:rPr>
          <w:rFonts w:ascii="Times New Roman" w:eastAsia="Times New Roman" w:hAnsi="Times New Roman" w:cs="Times New Roman"/>
          <w:color w:val="000000" w:themeColor="text1"/>
          <w:sz w:val="26"/>
          <w:szCs w:val="26"/>
          <w:lang w:eastAsia="hu-HU"/>
        </w:rPr>
        <w:t>milliárd forintos többletet, a társadalombiztosítás pénzügyi alapjai pedig 104,3</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 xml:space="preserve">milliárd forintos hiányt mutattak. </w:t>
      </w:r>
    </w:p>
    <w:p w14:paraId="2C918352" w14:textId="7ED995C9" w:rsidR="00927CAB" w:rsidRPr="00927CAB" w:rsidRDefault="00927CAB" w:rsidP="00927CAB">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927CAB">
        <w:rPr>
          <w:rFonts w:ascii="Times New Roman" w:eastAsia="Times New Roman" w:hAnsi="Times New Roman" w:cs="Times New Roman"/>
          <w:color w:val="000000" w:themeColor="text1"/>
          <w:sz w:val="26"/>
          <w:szCs w:val="26"/>
          <w:lang w:eastAsia="hu-HU"/>
        </w:rPr>
        <w:t>Május végéig a kamatkia</w:t>
      </w:r>
      <w:r>
        <w:rPr>
          <w:rFonts w:ascii="Times New Roman" w:eastAsia="Times New Roman" w:hAnsi="Times New Roman" w:cs="Times New Roman"/>
          <w:color w:val="000000" w:themeColor="text1"/>
          <w:sz w:val="26"/>
          <w:szCs w:val="26"/>
          <w:lang w:eastAsia="hu-HU"/>
        </w:rPr>
        <w:t>dásokra fordított kifizetések 1 </w:t>
      </w:r>
      <w:r w:rsidRPr="00927CAB">
        <w:rPr>
          <w:rFonts w:ascii="Times New Roman" w:eastAsia="Times New Roman" w:hAnsi="Times New Roman" w:cs="Times New Roman"/>
          <w:color w:val="000000" w:themeColor="text1"/>
          <w:sz w:val="26"/>
          <w:szCs w:val="26"/>
          <w:lang w:eastAsia="hu-HU"/>
        </w:rPr>
        <w:t>760,6 milliárd forintot tettek ki, amely 659,4</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milliárd forinttal magasabb az előző évi a</w:t>
      </w:r>
      <w:r>
        <w:rPr>
          <w:rFonts w:ascii="Times New Roman" w:eastAsia="Times New Roman" w:hAnsi="Times New Roman" w:cs="Times New Roman"/>
          <w:color w:val="000000" w:themeColor="text1"/>
          <w:sz w:val="26"/>
          <w:szCs w:val="26"/>
          <w:lang w:eastAsia="hu-HU"/>
        </w:rPr>
        <w:t>zonos időszaki teljesítésnél. A </w:t>
      </w:r>
      <w:r w:rsidRPr="00927CAB">
        <w:rPr>
          <w:rFonts w:ascii="Times New Roman" w:eastAsia="Times New Roman" w:hAnsi="Times New Roman" w:cs="Times New Roman"/>
          <w:color w:val="000000" w:themeColor="text1"/>
          <w:sz w:val="26"/>
          <w:szCs w:val="26"/>
          <w:lang w:eastAsia="hu-HU"/>
        </w:rPr>
        <w:t>kamatkiadások év eleji megugrása a lakossági kötvények kamatfizetésében történt változások miatt tapasztalható, tekintettel arra, hogy egyes Prémium Magyar Állampapír (PMÁP) sorozatok kamatfizetési időpontja az első negyedévben volt esedékes.</w:t>
      </w:r>
    </w:p>
    <w:p w14:paraId="6567B2FC" w14:textId="6164CB31" w:rsidR="00927CAB" w:rsidRPr="00927CAB" w:rsidRDefault="00927CAB" w:rsidP="00927CAB">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927CAB">
        <w:rPr>
          <w:rFonts w:ascii="Times New Roman" w:eastAsia="Times New Roman" w:hAnsi="Times New Roman" w:cs="Times New Roman"/>
          <w:color w:val="000000" w:themeColor="text1"/>
          <w:sz w:val="26"/>
          <w:szCs w:val="26"/>
          <w:lang w:eastAsia="hu-HU"/>
        </w:rPr>
        <w:t>Meghaladták az egy évvel korábbi kifizetést a nyugellátásokra és a gyógyító-megelőző ellátásra fordított</w:t>
      </w:r>
      <w:r>
        <w:rPr>
          <w:rFonts w:ascii="Times New Roman" w:eastAsia="Times New Roman" w:hAnsi="Times New Roman" w:cs="Times New Roman"/>
          <w:color w:val="000000" w:themeColor="text1"/>
          <w:sz w:val="26"/>
          <w:szCs w:val="26"/>
          <w:lang w:eastAsia="hu-HU"/>
        </w:rPr>
        <w:t xml:space="preserve"> összegek is. Nyugellátásokra 2 </w:t>
      </w:r>
      <w:r w:rsidRPr="00927CAB">
        <w:rPr>
          <w:rFonts w:ascii="Times New Roman" w:eastAsia="Times New Roman" w:hAnsi="Times New Roman" w:cs="Times New Roman"/>
          <w:color w:val="000000" w:themeColor="text1"/>
          <w:sz w:val="26"/>
          <w:szCs w:val="26"/>
          <w:lang w:eastAsia="hu-HU"/>
        </w:rPr>
        <w:t>848,4</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 xml:space="preserve">milliárd forintot, míg </w:t>
      </w:r>
      <w:r>
        <w:rPr>
          <w:rFonts w:ascii="Times New Roman" w:eastAsia="Times New Roman" w:hAnsi="Times New Roman" w:cs="Times New Roman"/>
          <w:color w:val="000000" w:themeColor="text1"/>
          <w:sz w:val="26"/>
          <w:szCs w:val="26"/>
          <w:lang w:eastAsia="hu-HU"/>
        </w:rPr>
        <w:t>a gyógyító-megelőző ellátásra 1 </w:t>
      </w:r>
      <w:r w:rsidRPr="00927CAB">
        <w:rPr>
          <w:rFonts w:ascii="Times New Roman" w:eastAsia="Times New Roman" w:hAnsi="Times New Roman" w:cs="Times New Roman"/>
          <w:color w:val="000000" w:themeColor="text1"/>
          <w:sz w:val="26"/>
          <w:szCs w:val="26"/>
          <w:lang w:eastAsia="hu-HU"/>
        </w:rPr>
        <w:t>090,8</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 xml:space="preserve">milliárd forintot fordítottunk május végéig. </w:t>
      </w:r>
    </w:p>
    <w:p w14:paraId="564A515A" w14:textId="09044344" w:rsidR="00927CAB" w:rsidRPr="00927CAB" w:rsidRDefault="00927CAB" w:rsidP="00927CAB">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927CAB">
        <w:rPr>
          <w:rFonts w:ascii="Times New Roman" w:eastAsia="Times New Roman" w:hAnsi="Times New Roman" w:cs="Times New Roman"/>
          <w:color w:val="000000" w:themeColor="text1"/>
          <w:sz w:val="26"/>
          <w:szCs w:val="26"/>
          <w:lang w:eastAsia="hu-HU"/>
        </w:rPr>
        <w:t>Az uniós források érkezése továbbra is folyamatos: május végéig 546,2</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milliárd forint uniós bevétel érkezett a költségvetésbe, ugyanakkor az uniós kiadások 801,9</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milliárd forintot tettek ki. A bevételek kapcsán kiemelendő, hogy az alacsonyan tartott adómértékek ellenére az előző év azonos időszakához képest az adó- és járulékbevételek 9,9%-kal magasabban teljesültek.</w:t>
      </w:r>
    </w:p>
    <w:p w14:paraId="7B768A00" w14:textId="1236C0EA" w:rsidR="00B155FE" w:rsidRDefault="00927CAB" w:rsidP="00927CAB">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927CAB">
        <w:rPr>
          <w:rFonts w:ascii="Times New Roman" w:eastAsia="Times New Roman" w:hAnsi="Times New Roman" w:cs="Times New Roman"/>
          <w:color w:val="000000" w:themeColor="text1"/>
          <w:sz w:val="26"/>
          <w:szCs w:val="26"/>
          <w:lang w:eastAsia="hu-HU"/>
        </w:rPr>
        <w:t>A kormány kitart a hiány és az adósság csökkentése mellett, ezért a 4,5%-os módosított hiánycél elérése érdekében 675</w:t>
      </w:r>
      <w:r w:rsidR="00A9789C">
        <w:rPr>
          <w:rFonts w:ascii="Times New Roman" w:eastAsia="Times New Roman" w:hAnsi="Times New Roman" w:cs="Times New Roman"/>
          <w:color w:val="000000" w:themeColor="text1"/>
          <w:sz w:val="26"/>
          <w:szCs w:val="26"/>
          <w:lang w:eastAsia="hu-HU"/>
        </w:rPr>
        <w:t> </w:t>
      </w:r>
      <w:r w:rsidRPr="00927CAB">
        <w:rPr>
          <w:rFonts w:ascii="Times New Roman" w:eastAsia="Times New Roman" w:hAnsi="Times New Roman" w:cs="Times New Roman"/>
          <w:color w:val="000000" w:themeColor="text1"/>
          <w:sz w:val="26"/>
          <w:szCs w:val="26"/>
          <w:lang w:eastAsia="hu-HU"/>
        </w:rPr>
        <w:t>milliárd forintnyi állami beruházást ütemezett át, miközben többezer milliárd forintnyi fejlesztést még idén megvalósít</w:t>
      </w:r>
      <w:r>
        <w:rPr>
          <w:rFonts w:ascii="Times New Roman" w:eastAsia="Times New Roman" w:hAnsi="Times New Roman" w:cs="Times New Roman"/>
          <w:color w:val="000000" w:themeColor="text1"/>
          <w:sz w:val="26"/>
          <w:szCs w:val="26"/>
          <w:lang w:eastAsia="hu-HU"/>
        </w:rPr>
        <w:t>.</w:t>
      </w:r>
    </w:p>
    <w:p w14:paraId="29FB750D" w14:textId="77777777" w:rsidR="00370CD6" w:rsidRPr="00377D59" w:rsidRDefault="00370CD6" w:rsidP="00565662">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p>
    <w:p w14:paraId="7B768A0B" w14:textId="51C54260" w:rsidR="00B155FE" w:rsidRPr="00377D59" w:rsidRDefault="00920F4D" w:rsidP="00920F4D">
      <w:pPr>
        <w:widowControl w:val="0"/>
        <w:spacing w:after="240"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br w:type="column"/>
      </w:r>
      <w:r w:rsidR="639E9B9B" w:rsidRPr="639E9B9B">
        <w:rPr>
          <w:rFonts w:ascii="Times New Roman" w:eastAsia="Times New Roman" w:hAnsi="Times New Roman" w:cs="Times New Roman"/>
          <w:sz w:val="26"/>
          <w:szCs w:val="26"/>
          <w:lang w:eastAsia="hu-HU"/>
        </w:rPr>
        <w:lastRenderedPageBreak/>
        <w:t xml:space="preserve">Az államháztartás központi alrendszerének 2024. </w:t>
      </w:r>
      <w:r>
        <w:rPr>
          <w:rFonts w:ascii="Times New Roman" w:eastAsia="Times New Roman" w:hAnsi="Times New Roman" w:cs="Times New Roman"/>
          <w:sz w:val="26"/>
          <w:szCs w:val="26"/>
          <w:lang w:eastAsia="hu-HU"/>
        </w:rPr>
        <w:t>május</w:t>
      </w:r>
      <w:r w:rsidR="639E9B9B" w:rsidRPr="639E9B9B">
        <w:rPr>
          <w:rFonts w:ascii="Times New Roman" w:eastAsia="Times New Roman" w:hAnsi="Times New Roman" w:cs="Times New Roman"/>
          <w:sz w:val="26"/>
          <w:szCs w:val="26"/>
          <w:lang w:eastAsia="hu-HU"/>
        </w:rPr>
        <w:t xml:space="preserve"> végi főbb pénzforgalmi adatai a következők: </w:t>
      </w:r>
    </w:p>
    <w:tbl>
      <w:tblPr>
        <w:tblW w:w="10201" w:type="dxa"/>
        <w:jc w:val="center"/>
        <w:tblLayout w:type="fixed"/>
        <w:tblCellMar>
          <w:left w:w="70" w:type="dxa"/>
          <w:right w:w="70" w:type="dxa"/>
        </w:tblCellMar>
        <w:tblLook w:val="04A0" w:firstRow="1" w:lastRow="0" w:firstColumn="1" w:lastColumn="0" w:noHBand="0" w:noVBand="1"/>
      </w:tblPr>
      <w:tblGrid>
        <w:gridCol w:w="2047"/>
        <w:gridCol w:w="1067"/>
        <w:gridCol w:w="1233"/>
        <w:gridCol w:w="1118"/>
        <w:gridCol w:w="1103"/>
        <w:gridCol w:w="1082"/>
        <w:gridCol w:w="1417"/>
        <w:gridCol w:w="1134"/>
      </w:tblGrid>
      <w:tr w:rsidR="001209E7" w:rsidRPr="00377D59" w14:paraId="0660AA2A" w14:textId="77777777" w:rsidTr="00920F4D">
        <w:trPr>
          <w:trHeight w:val="1440"/>
          <w:jc w:val="center"/>
        </w:trPr>
        <w:tc>
          <w:tcPr>
            <w:tcW w:w="204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025339B" w14:textId="77777777" w:rsidR="001209E7" w:rsidRPr="00377D59" w:rsidRDefault="639E9B9B" w:rsidP="639E9B9B">
            <w:pPr>
              <w:keepNext/>
              <w:keepLines/>
              <w:spacing w:after="0" w:line="240" w:lineRule="auto"/>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 </w:t>
            </w:r>
          </w:p>
        </w:tc>
        <w:tc>
          <w:tcPr>
            <w:tcW w:w="106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0025502" w14:textId="7A60D9A7" w:rsidR="001209E7" w:rsidRPr="00377D59" w:rsidRDefault="639E9B9B" w:rsidP="639E9B9B">
            <w:pPr>
              <w:keepNext/>
              <w:keepLines/>
              <w:spacing w:after="12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b/>
                <w:bCs/>
                <w:sz w:val="20"/>
                <w:szCs w:val="20"/>
                <w:lang w:eastAsia="hu-HU"/>
              </w:rPr>
              <w:t xml:space="preserve">2023. évi </w:t>
            </w:r>
            <w:r w:rsidR="6BF9886D">
              <w:br/>
            </w:r>
            <w:r w:rsidRPr="639E9B9B">
              <w:rPr>
                <w:rFonts w:ascii="Times New Roman" w:eastAsia="Times New Roman" w:hAnsi="Times New Roman" w:cs="Times New Roman"/>
                <w:b/>
                <w:bCs/>
                <w:sz w:val="20"/>
                <w:szCs w:val="20"/>
                <w:lang w:eastAsia="hu-HU"/>
              </w:rPr>
              <w:t>előzetes tény</w:t>
            </w:r>
            <w:r w:rsidR="6BF9886D">
              <w:br/>
            </w:r>
            <w:r w:rsidRPr="639E9B9B">
              <w:rPr>
                <w:rFonts w:ascii="Times New Roman" w:eastAsia="Times New Roman" w:hAnsi="Times New Roman" w:cs="Times New Roman"/>
                <w:sz w:val="20"/>
                <w:szCs w:val="20"/>
                <w:lang w:eastAsia="hu-HU"/>
              </w:rPr>
              <w:t>milliárd forintban</w:t>
            </w:r>
            <w:r w:rsidR="6BF9886D">
              <w:br/>
            </w:r>
            <w:r w:rsidRPr="639E9B9B">
              <w:rPr>
                <w:rFonts w:ascii="Times New Roman" w:eastAsia="Times New Roman" w:hAnsi="Times New Roman" w:cs="Times New Roman"/>
                <w:sz w:val="20"/>
                <w:szCs w:val="20"/>
                <w:lang w:eastAsia="hu-HU"/>
              </w:rPr>
              <w:t>(1)</w:t>
            </w:r>
          </w:p>
        </w:tc>
        <w:tc>
          <w:tcPr>
            <w:tcW w:w="123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483FAFA" w14:textId="7F9796B9" w:rsidR="001209E7" w:rsidRPr="00377D59" w:rsidRDefault="00927CAB" w:rsidP="639E9B9B">
            <w:pPr>
              <w:keepNext/>
              <w:keepLines/>
              <w:spacing w:after="12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b/>
                <w:bCs/>
                <w:sz w:val="20"/>
                <w:szCs w:val="20"/>
                <w:lang w:eastAsia="hu-HU"/>
              </w:rPr>
              <w:t>2023. I-</w:t>
            </w:r>
            <w:r w:rsidR="639E9B9B" w:rsidRPr="639E9B9B">
              <w:rPr>
                <w:rFonts w:ascii="Times New Roman" w:eastAsia="Times New Roman" w:hAnsi="Times New Roman" w:cs="Times New Roman"/>
                <w:b/>
                <w:bCs/>
                <w:sz w:val="20"/>
                <w:szCs w:val="20"/>
                <w:lang w:eastAsia="hu-HU"/>
              </w:rPr>
              <w:t>V. hó tény</w:t>
            </w:r>
            <w:r w:rsidR="6BF9886D">
              <w:br/>
            </w:r>
            <w:r w:rsidR="639E9B9B" w:rsidRPr="639E9B9B">
              <w:rPr>
                <w:rFonts w:ascii="Times New Roman" w:eastAsia="Times New Roman" w:hAnsi="Times New Roman" w:cs="Times New Roman"/>
                <w:sz w:val="20"/>
                <w:szCs w:val="20"/>
                <w:lang w:eastAsia="hu-HU"/>
              </w:rPr>
              <w:t>milliárd forintban</w:t>
            </w:r>
          </w:p>
          <w:p w14:paraId="5119075E" w14:textId="77777777" w:rsidR="001209E7" w:rsidRPr="00377D59" w:rsidRDefault="639E9B9B" w:rsidP="639E9B9B">
            <w:pPr>
              <w:keepNext/>
              <w:keepLines/>
              <w:spacing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w:t>
            </w:r>
          </w:p>
        </w:tc>
        <w:tc>
          <w:tcPr>
            <w:tcW w:w="1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2B05C43" w14:textId="77777777" w:rsidR="00947C6B" w:rsidRPr="00377D59" w:rsidRDefault="639E9B9B" w:rsidP="639E9B9B">
            <w:pPr>
              <w:keepNext/>
              <w:keepLines/>
              <w:spacing w:after="12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éves előzetes tény=100%</w:t>
            </w:r>
            <w:r w:rsidR="6BF9886D">
              <w:br/>
            </w:r>
            <w:r w:rsidRPr="639E9B9B">
              <w:rPr>
                <w:rFonts w:ascii="Times New Roman" w:eastAsia="Times New Roman" w:hAnsi="Times New Roman" w:cs="Times New Roman"/>
                <w:sz w:val="20"/>
                <w:szCs w:val="20"/>
                <w:lang w:eastAsia="hu-HU"/>
              </w:rPr>
              <w:t>Index (%)</w:t>
            </w:r>
          </w:p>
          <w:p w14:paraId="77947B74" w14:textId="02D042EC" w:rsidR="001209E7" w:rsidRPr="00377D59" w:rsidRDefault="639E9B9B" w:rsidP="639E9B9B">
            <w:pPr>
              <w:keepNext/>
              <w:keepLines/>
              <w:spacing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(2/1)</w:t>
            </w:r>
          </w:p>
        </w:tc>
        <w:tc>
          <w:tcPr>
            <w:tcW w:w="110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6511039" w14:textId="1E17F361" w:rsidR="001209E7" w:rsidRPr="00377D59" w:rsidRDefault="639E9B9B" w:rsidP="639E9B9B">
            <w:pPr>
              <w:keepNext/>
              <w:keepLines/>
              <w:spacing w:after="12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b/>
                <w:bCs/>
                <w:sz w:val="20"/>
                <w:szCs w:val="20"/>
                <w:lang w:eastAsia="hu-HU"/>
              </w:rPr>
              <w:t>2024. évi előirányzat</w:t>
            </w:r>
            <w:r w:rsidR="6BF9886D">
              <w:br/>
            </w:r>
            <w:r w:rsidRPr="639E9B9B">
              <w:rPr>
                <w:rFonts w:ascii="Times New Roman" w:eastAsia="Times New Roman" w:hAnsi="Times New Roman" w:cs="Times New Roman"/>
                <w:sz w:val="20"/>
                <w:szCs w:val="20"/>
                <w:lang w:eastAsia="hu-HU"/>
              </w:rPr>
              <w:t>milliárd forintban</w:t>
            </w:r>
          </w:p>
          <w:p w14:paraId="3EE81095" w14:textId="15FF10CC" w:rsidR="001615DE" w:rsidRPr="00377D59" w:rsidRDefault="639E9B9B" w:rsidP="639E9B9B">
            <w:pPr>
              <w:keepNext/>
              <w:keepLines/>
              <w:spacing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(3)</w:t>
            </w:r>
          </w:p>
        </w:tc>
        <w:tc>
          <w:tcPr>
            <w:tcW w:w="108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FF751B" w14:textId="05854FE1" w:rsidR="00BE0F9D" w:rsidRPr="00377D59" w:rsidRDefault="00927CAB" w:rsidP="639E9B9B">
            <w:pPr>
              <w:keepNext/>
              <w:keepLines/>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b/>
                <w:bCs/>
                <w:sz w:val="20"/>
                <w:szCs w:val="20"/>
                <w:lang w:eastAsia="hu-HU"/>
              </w:rPr>
              <w:t>2024. I-</w:t>
            </w:r>
            <w:r w:rsidR="639E9B9B" w:rsidRPr="639E9B9B">
              <w:rPr>
                <w:rFonts w:ascii="Times New Roman" w:eastAsia="Times New Roman" w:hAnsi="Times New Roman" w:cs="Times New Roman"/>
                <w:b/>
                <w:bCs/>
                <w:sz w:val="20"/>
                <w:szCs w:val="20"/>
                <w:lang w:eastAsia="hu-HU"/>
              </w:rPr>
              <w:t>V. hó tény</w:t>
            </w:r>
            <w:r w:rsidR="6BF9886D">
              <w:br/>
            </w:r>
            <w:r w:rsidR="639E9B9B" w:rsidRPr="639E9B9B">
              <w:rPr>
                <w:rFonts w:ascii="Times New Roman" w:eastAsia="Times New Roman" w:hAnsi="Times New Roman" w:cs="Times New Roman"/>
                <w:sz w:val="20"/>
                <w:szCs w:val="20"/>
                <w:lang w:eastAsia="hu-HU"/>
              </w:rPr>
              <w:t>milliárd forintban</w:t>
            </w:r>
          </w:p>
          <w:p w14:paraId="72F7B7E0" w14:textId="043C377C" w:rsidR="001209E7" w:rsidRPr="00377D59" w:rsidRDefault="639E9B9B" w:rsidP="639E9B9B">
            <w:pPr>
              <w:keepNext/>
              <w:keepLines/>
              <w:spacing w:before="120"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(4)</w:t>
            </w:r>
          </w:p>
        </w:tc>
        <w:tc>
          <w:tcPr>
            <w:tcW w:w="141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390E593" w14:textId="47BC2CF9" w:rsidR="00B33638" w:rsidRPr="00377D59" w:rsidRDefault="639E9B9B" w:rsidP="639E9B9B">
            <w:pPr>
              <w:keepNext/>
              <w:keepLines/>
              <w:spacing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előirányzat=</w:t>
            </w:r>
            <w:r w:rsidR="6BF9886D">
              <w:br/>
            </w:r>
            <w:r w:rsidRPr="639E9B9B">
              <w:rPr>
                <w:rFonts w:ascii="Times New Roman" w:eastAsia="Times New Roman" w:hAnsi="Times New Roman" w:cs="Times New Roman"/>
                <w:sz w:val="20"/>
                <w:szCs w:val="20"/>
                <w:lang w:eastAsia="hu-HU"/>
              </w:rPr>
              <w:t>100%</w:t>
            </w:r>
            <w:r w:rsidR="6BF9886D">
              <w:br/>
            </w:r>
            <w:r w:rsidRPr="639E9B9B">
              <w:rPr>
                <w:rFonts w:ascii="Times New Roman" w:eastAsia="Times New Roman" w:hAnsi="Times New Roman" w:cs="Times New Roman"/>
                <w:sz w:val="20"/>
                <w:szCs w:val="20"/>
                <w:lang w:eastAsia="hu-HU"/>
              </w:rPr>
              <w:t>Index (%)</w:t>
            </w:r>
          </w:p>
          <w:p w14:paraId="57174BE4" w14:textId="77777777" w:rsidR="00B33638" w:rsidRPr="00377D59" w:rsidRDefault="00B33638" w:rsidP="00B33638">
            <w:pPr>
              <w:keepNext/>
              <w:keepLines/>
              <w:spacing w:after="120" w:line="240" w:lineRule="auto"/>
              <w:jc w:val="center"/>
              <w:rPr>
                <w:rFonts w:ascii="Times New Roman" w:eastAsia="Times New Roman" w:hAnsi="Times New Roman" w:cs="Times New Roman"/>
                <w:sz w:val="20"/>
                <w:szCs w:val="20"/>
                <w:lang w:eastAsia="hu-HU"/>
              </w:rPr>
            </w:pPr>
          </w:p>
          <w:p w14:paraId="5173E54B" w14:textId="37D3E57A" w:rsidR="001209E7" w:rsidRPr="00377D59" w:rsidRDefault="639E9B9B" w:rsidP="639E9B9B">
            <w:pPr>
              <w:keepNext/>
              <w:keepLines/>
              <w:spacing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(4/3)</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630593E" w14:textId="77777777" w:rsidR="001209E7" w:rsidRPr="00377D59" w:rsidRDefault="639E9B9B" w:rsidP="639E9B9B">
            <w:pPr>
              <w:keepNext/>
              <w:keepLines/>
              <w:spacing w:after="12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előző év=</w:t>
            </w:r>
            <w:r w:rsidR="6BF9886D">
              <w:br/>
            </w:r>
            <w:r w:rsidRPr="639E9B9B">
              <w:rPr>
                <w:rFonts w:ascii="Times New Roman" w:eastAsia="Times New Roman" w:hAnsi="Times New Roman" w:cs="Times New Roman"/>
                <w:sz w:val="20"/>
                <w:szCs w:val="20"/>
                <w:lang w:eastAsia="hu-HU"/>
              </w:rPr>
              <w:t>100%</w:t>
            </w:r>
            <w:r w:rsidR="6BF9886D">
              <w:br/>
            </w:r>
            <w:r w:rsidRPr="639E9B9B">
              <w:rPr>
                <w:rFonts w:ascii="Times New Roman" w:eastAsia="Times New Roman" w:hAnsi="Times New Roman" w:cs="Times New Roman"/>
                <w:sz w:val="20"/>
                <w:szCs w:val="20"/>
                <w:lang w:eastAsia="hu-HU"/>
              </w:rPr>
              <w:t>Index (%)</w:t>
            </w:r>
            <w:r w:rsidR="6BF9886D">
              <w:br/>
            </w:r>
          </w:p>
          <w:p w14:paraId="72D59276" w14:textId="77777777" w:rsidR="001209E7" w:rsidRPr="00377D59" w:rsidRDefault="639E9B9B" w:rsidP="639E9B9B">
            <w:pPr>
              <w:keepNext/>
              <w:keepLines/>
              <w:spacing w:after="0" w:line="240" w:lineRule="auto"/>
              <w:jc w:val="center"/>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(4/2)</w:t>
            </w:r>
          </w:p>
        </w:tc>
      </w:tr>
      <w:tr w:rsidR="00927CAB" w:rsidRPr="00377D59" w14:paraId="650BB2C3" w14:textId="77777777" w:rsidTr="00920F4D">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56CB2F2" w14:textId="77777777" w:rsidR="00927CAB" w:rsidRPr="00377D59" w:rsidRDefault="00927CAB" w:rsidP="00927CA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Központi költségvetés egyenlege</w:t>
            </w:r>
          </w:p>
        </w:tc>
        <w:tc>
          <w:tcPr>
            <w:tcW w:w="1067" w:type="dxa"/>
            <w:tcBorders>
              <w:top w:val="nil"/>
              <w:left w:val="nil"/>
              <w:bottom w:val="single" w:sz="4" w:space="0" w:color="auto"/>
              <w:right w:val="single" w:sz="4" w:space="0" w:color="auto"/>
            </w:tcBorders>
            <w:shd w:val="clear" w:color="auto" w:fill="auto"/>
            <w:noWrap/>
            <w:vAlign w:val="center"/>
          </w:tcPr>
          <w:p w14:paraId="7619D5C3" w14:textId="18D80986"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-4 293,3</w:t>
            </w:r>
          </w:p>
        </w:tc>
        <w:tc>
          <w:tcPr>
            <w:tcW w:w="1233" w:type="dxa"/>
            <w:tcBorders>
              <w:top w:val="nil"/>
              <w:left w:val="nil"/>
              <w:bottom w:val="single" w:sz="4" w:space="0" w:color="auto"/>
              <w:right w:val="single" w:sz="4" w:space="0" w:color="auto"/>
            </w:tcBorders>
            <w:shd w:val="clear" w:color="auto" w:fill="auto"/>
            <w:noWrap/>
            <w:vAlign w:val="center"/>
          </w:tcPr>
          <w:p w14:paraId="582A909A" w14:textId="0D5F4D25"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2 752,4</w:t>
            </w:r>
          </w:p>
        </w:tc>
        <w:tc>
          <w:tcPr>
            <w:tcW w:w="1118" w:type="dxa"/>
            <w:tcBorders>
              <w:top w:val="nil"/>
              <w:left w:val="nil"/>
              <w:bottom w:val="single" w:sz="4" w:space="0" w:color="auto"/>
              <w:right w:val="single" w:sz="4" w:space="0" w:color="auto"/>
            </w:tcBorders>
            <w:shd w:val="clear" w:color="auto" w:fill="auto"/>
            <w:noWrap/>
            <w:vAlign w:val="center"/>
          </w:tcPr>
          <w:p w14:paraId="73FA3A09" w14:textId="72D6B961"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64,1</w:t>
            </w:r>
          </w:p>
        </w:tc>
        <w:tc>
          <w:tcPr>
            <w:tcW w:w="1103" w:type="dxa"/>
            <w:tcBorders>
              <w:top w:val="nil"/>
              <w:left w:val="nil"/>
              <w:bottom w:val="single" w:sz="4" w:space="0" w:color="auto"/>
              <w:right w:val="single" w:sz="4" w:space="0" w:color="auto"/>
            </w:tcBorders>
            <w:shd w:val="clear" w:color="auto" w:fill="auto"/>
            <w:noWrap/>
            <w:vAlign w:val="center"/>
          </w:tcPr>
          <w:p w14:paraId="61916028" w14:textId="40FA39BC"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-2 699,7</w:t>
            </w:r>
          </w:p>
        </w:tc>
        <w:tc>
          <w:tcPr>
            <w:tcW w:w="1082" w:type="dxa"/>
            <w:tcBorders>
              <w:top w:val="nil"/>
              <w:left w:val="nil"/>
              <w:bottom w:val="single" w:sz="4" w:space="0" w:color="auto"/>
              <w:right w:val="single" w:sz="4" w:space="0" w:color="auto"/>
            </w:tcBorders>
            <w:shd w:val="clear" w:color="auto" w:fill="auto"/>
            <w:noWrap/>
            <w:vAlign w:val="center"/>
          </w:tcPr>
          <w:p w14:paraId="2122C629" w14:textId="56242E00"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2 559,7</w:t>
            </w:r>
          </w:p>
        </w:tc>
        <w:tc>
          <w:tcPr>
            <w:tcW w:w="1417" w:type="dxa"/>
            <w:tcBorders>
              <w:top w:val="nil"/>
              <w:left w:val="nil"/>
              <w:bottom w:val="single" w:sz="4" w:space="0" w:color="auto"/>
              <w:right w:val="single" w:sz="4" w:space="0" w:color="auto"/>
            </w:tcBorders>
            <w:shd w:val="clear" w:color="auto" w:fill="auto"/>
            <w:noWrap/>
            <w:vAlign w:val="center"/>
          </w:tcPr>
          <w:p w14:paraId="4E18CE63" w14:textId="0226D460"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94,8</w:t>
            </w:r>
          </w:p>
        </w:tc>
        <w:tc>
          <w:tcPr>
            <w:tcW w:w="1134" w:type="dxa"/>
            <w:tcBorders>
              <w:top w:val="nil"/>
              <w:left w:val="nil"/>
              <w:bottom w:val="single" w:sz="4" w:space="0" w:color="auto"/>
              <w:right w:val="single" w:sz="4" w:space="0" w:color="auto"/>
            </w:tcBorders>
            <w:shd w:val="clear" w:color="auto" w:fill="auto"/>
            <w:noWrap/>
            <w:vAlign w:val="center"/>
          </w:tcPr>
          <w:p w14:paraId="28B28E59" w14:textId="003E5FFC"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93,0</w:t>
            </w:r>
          </w:p>
        </w:tc>
      </w:tr>
      <w:tr w:rsidR="00927CAB" w:rsidRPr="00377D59" w14:paraId="1EEE9F50"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CD5D928"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02F87FBE" w14:textId="19AF784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26 269,8</w:t>
            </w:r>
          </w:p>
        </w:tc>
        <w:tc>
          <w:tcPr>
            <w:tcW w:w="1233" w:type="dxa"/>
            <w:tcBorders>
              <w:top w:val="nil"/>
              <w:left w:val="nil"/>
              <w:bottom w:val="single" w:sz="4" w:space="0" w:color="auto"/>
              <w:right w:val="single" w:sz="4" w:space="0" w:color="auto"/>
            </w:tcBorders>
            <w:shd w:val="clear" w:color="auto" w:fill="auto"/>
            <w:noWrap/>
            <w:vAlign w:val="center"/>
          </w:tcPr>
          <w:p w14:paraId="124955F2" w14:textId="1AEF5077"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9 937,8</w:t>
            </w:r>
          </w:p>
        </w:tc>
        <w:tc>
          <w:tcPr>
            <w:tcW w:w="1118" w:type="dxa"/>
            <w:tcBorders>
              <w:top w:val="nil"/>
              <w:left w:val="nil"/>
              <w:bottom w:val="single" w:sz="4" w:space="0" w:color="auto"/>
              <w:right w:val="single" w:sz="4" w:space="0" w:color="auto"/>
            </w:tcBorders>
            <w:shd w:val="clear" w:color="auto" w:fill="auto"/>
            <w:noWrap/>
            <w:vAlign w:val="center"/>
          </w:tcPr>
          <w:p w14:paraId="2272E80E" w14:textId="046786C5"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37,8</w:t>
            </w:r>
          </w:p>
        </w:tc>
        <w:tc>
          <w:tcPr>
            <w:tcW w:w="1103" w:type="dxa"/>
            <w:tcBorders>
              <w:top w:val="nil"/>
              <w:left w:val="nil"/>
              <w:bottom w:val="single" w:sz="4" w:space="0" w:color="auto"/>
              <w:right w:val="single" w:sz="4" w:space="0" w:color="auto"/>
            </w:tcBorders>
            <w:shd w:val="clear" w:color="auto" w:fill="auto"/>
            <w:noWrap/>
            <w:vAlign w:val="center"/>
          </w:tcPr>
          <w:p w14:paraId="2D3D21FA" w14:textId="1C36957B"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26 949,6</w:t>
            </w:r>
          </w:p>
        </w:tc>
        <w:tc>
          <w:tcPr>
            <w:tcW w:w="1082" w:type="dxa"/>
            <w:tcBorders>
              <w:top w:val="nil"/>
              <w:left w:val="nil"/>
              <w:bottom w:val="single" w:sz="4" w:space="0" w:color="auto"/>
              <w:right w:val="single" w:sz="4" w:space="0" w:color="auto"/>
            </w:tcBorders>
            <w:shd w:val="clear" w:color="auto" w:fill="auto"/>
            <w:noWrap/>
            <w:vAlign w:val="center"/>
          </w:tcPr>
          <w:p w14:paraId="1D4D32D6" w14:textId="32784B80"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10 374,0</w:t>
            </w:r>
          </w:p>
        </w:tc>
        <w:tc>
          <w:tcPr>
            <w:tcW w:w="1417" w:type="dxa"/>
            <w:tcBorders>
              <w:top w:val="nil"/>
              <w:left w:val="nil"/>
              <w:bottom w:val="single" w:sz="4" w:space="0" w:color="auto"/>
              <w:right w:val="single" w:sz="4" w:space="0" w:color="auto"/>
            </w:tcBorders>
            <w:shd w:val="clear" w:color="auto" w:fill="auto"/>
            <w:noWrap/>
            <w:vAlign w:val="center"/>
          </w:tcPr>
          <w:p w14:paraId="35A40C5E" w14:textId="1791566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38,5</w:t>
            </w:r>
          </w:p>
        </w:tc>
        <w:tc>
          <w:tcPr>
            <w:tcW w:w="1134" w:type="dxa"/>
            <w:tcBorders>
              <w:top w:val="nil"/>
              <w:left w:val="nil"/>
              <w:bottom w:val="single" w:sz="4" w:space="0" w:color="auto"/>
              <w:right w:val="single" w:sz="4" w:space="0" w:color="auto"/>
            </w:tcBorders>
            <w:shd w:val="clear" w:color="auto" w:fill="auto"/>
            <w:noWrap/>
            <w:vAlign w:val="center"/>
          </w:tcPr>
          <w:p w14:paraId="717B36B5" w14:textId="07840CE0"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104,4</w:t>
            </w:r>
          </w:p>
        </w:tc>
      </w:tr>
      <w:tr w:rsidR="00927CAB" w:rsidRPr="00377D59" w14:paraId="1E51AA76"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36286B8"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35D725B3" w14:textId="2F5BAB5A"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30 563,1</w:t>
            </w:r>
          </w:p>
        </w:tc>
        <w:tc>
          <w:tcPr>
            <w:tcW w:w="1233" w:type="dxa"/>
            <w:tcBorders>
              <w:top w:val="nil"/>
              <w:left w:val="nil"/>
              <w:bottom w:val="single" w:sz="4" w:space="0" w:color="auto"/>
              <w:right w:val="single" w:sz="4" w:space="0" w:color="auto"/>
            </w:tcBorders>
            <w:shd w:val="clear" w:color="auto" w:fill="auto"/>
            <w:noWrap/>
            <w:vAlign w:val="center"/>
          </w:tcPr>
          <w:p w14:paraId="19CE0A3D" w14:textId="4DD158E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12 690,2</w:t>
            </w:r>
          </w:p>
        </w:tc>
        <w:tc>
          <w:tcPr>
            <w:tcW w:w="1118" w:type="dxa"/>
            <w:tcBorders>
              <w:top w:val="nil"/>
              <w:left w:val="nil"/>
              <w:bottom w:val="single" w:sz="4" w:space="0" w:color="auto"/>
              <w:right w:val="single" w:sz="4" w:space="0" w:color="auto"/>
            </w:tcBorders>
            <w:shd w:val="clear" w:color="auto" w:fill="auto"/>
            <w:noWrap/>
            <w:vAlign w:val="center"/>
          </w:tcPr>
          <w:p w14:paraId="106B8135" w14:textId="43741173"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41,5</w:t>
            </w:r>
          </w:p>
        </w:tc>
        <w:tc>
          <w:tcPr>
            <w:tcW w:w="1103" w:type="dxa"/>
            <w:tcBorders>
              <w:top w:val="nil"/>
              <w:left w:val="nil"/>
              <w:bottom w:val="single" w:sz="4" w:space="0" w:color="auto"/>
              <w:right w:val="single" w:sz="4" w:space="0" w:color="auto"/>
            </w:tcBorders>
            <w:shd w:val="clear" w:color="auto" w:fill="auto"/>
            <w:noWrap/>
            <w:vAlign w:val="center"/>
          </w:tcPr>
          <w:p w14:paraId="074886D4" w14:textId="43B5E3DC"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29 649,3</w:t>
            </w:r>
          </w:p>
        </w:tc>
        <w:tc>
          <w:tcPr>
            <w:tcW w:w="1082" w:type="dxa"/>
            <w:tcBorders>
              <w:top w:val="nil"/>
              <w:left w:val="nil"/>
              <w:bottom w:val="single" w:sz="4" w:space="0" w:color="auto"/>
              <w:right w:val="single" w:sz="4" w:space="0" w:color="auto"/>
            </w:tcBorders>
            <w:shd w:val="clear" w:color="auto" w:fill="auto"/>
            <w:noWrap/>
            <w:vAlign w:val="center"/>
          </w:tcPr>
          <w:p w14:paraId="04692BD1" w14:textId="195D59F1"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12 933,7</w:t>
            </w:r>
          </w:p>
        </w:tc>
        <w:tc>
          <w:tcPr>
            <w:tcW w:w="1417" w:type="dxa"/>
            <w:tcBorders>
              <w:top w:val="nil"/>
              <w:left w:val="nil"/>
              <w:bottom w:val="single" w:sz="4" w:space="0" w:color="auto"/>
              <w:right w:val="single" w:sz="4" w:space="0" w:color="auto"/>
            </w:tcBorders>
            <w:shd w:val="clear" w:color="auto" w:fill="auto"/>
            <w:noWrap/>
            <w:vAlign w:val="center"/>
          </w:tcPr>
          <w:p w14:paraId="51C29843" w14:textId="7A2285EE"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43,6</w:t>
            </w:r>
          </w:p>
        </w:tc>
        <w:tc>
          <w:tcPr>
            <w:tcW w:w="1134" w:type="dxa"/>
            <w:tcBorders>
              <w:top w:val="nil"/>
              <w:left w:val="nil"/>
              <w:bottom w:val="single" w:sz="4" w:space="0" w:color="auto"/>
              <w:right w:val="single" w:sz="4" w:space="0" w:color="auto"/>
            </w:tcBorders>
            <w:shd w:val="clear" w:color="auto" w:fill="auto"/>
            <w:noWrap/>
            <w:vAlign w:val="center"/>
          </w:tcPr>
          <w:p w14:paraId="31582A0B" w14:textId="52752DD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101,9</w:t>
            </w:r>
          </w:p>
        </w:tc>
      </w:tr>
      <w:tr w:rsidR="00927CAB" w:rsidRPr="00377D59" w14:paraId="2DF1D5D7" w14:textId="77777777" w:rsidTr="00920F4D">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E0528C4" w14:textId="77777777" w:rsidR="00927CAB" w:rsidRPr="00377D59" w:rsidRDefault="00927CAB" w:rsidP="00927CA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Elkülönített állami pénzalapok egyenlege</w:t>
            </w:r>
          </w:p>
        </w:tc>
        <w:tc>
          <w:tcPr>
            <w:tcW w:w="1067" w:type="dxa"/>
            <w:tcBorders>
              <w:top w:val="nil"/>
              <w:left w:val="nil"/>
              <w:bottom w:val="single" w:sz="4" w:space="0" w:color="auto"/>
              <w:right w:val="single" w:sz="4" w:space="0" w:color="auto"/>
            </w:tcBorders>
            <w:shd w:val="clear" w:color="auto" w:fill="auto"/>
            <w:noWrap/>
            <w:vAlign w:val="center"/>
          </w:tcPr>
          <w:p w14:paraId="66F9AE02" w14:textId="70C213AE"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112,2</w:t>
            </w:r>
          </w:p>
        </w:tc>
        <w:tc>
          <w:tcPr>
            <w:tcW w:w="1233" w:type="dxa"/>
            <w:tcBorders>
              <w:top w:val="nil"/>
              <w:left w:val="nil"/>
              <w:bottom w:val="single" w:sz="4" w:space="0" w:color="auto"/>
              <w:right w:val="single" w:sz="4" w:space="0" w:color="auto"/>
            </w:tcBorders>
            <w:shd w:val="clear" w:color="auto" w:fill="auto"/>
            <w:noWrap/>
            <w:vAlign w:val="center"/>
          </w:tcPr>
          <w:p w14:paraId="13957585" w14:textId="40831D89"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Pr>
                <w:rFonts w:ascii="Garamond" w:hAnsi="Garamond"/>
                <w:b/>
                <w:bCs/>
              </w:rPr>
              <w:t>56,4</w:t>
            </w:r>
          </w:p>
        </w:tc>
        <w:tc>
          <w:tcPr>
            <w:tcW w:w="1118" w:type="dxa"/>
            <w:tcBorders>
              <w:top w:val="nil"/>
              <w:left w:val="nil"/>
              <w:bottom w:val="single" w:sz="4" w:space="0" w:color="auto"/>
              <w:right w:val="single" w:sz="4" w:space="0" w:color="auto"/>
            </w:tcBorders>
            <w:shd w:val="clear" w:color="auto" w:fill="auto"/>
            <w:noWrap/>
            <w:vAlign w:val="center"/>
          </w:tcPr>
          <w:p w14:paraId="67CA2D48" w14:textId="7E2DF50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50,3</w:t>
            </w:r>
          </w:p>
        </w:tc>
        <w:tc>
          <w:tcPr>
            <w:tcW w:w="1103" w:type="dxa"/>
            <w:tcBorders>
              <w:top w:val="nil"/>
              <w:left w:val="nil"/>
              <w:bottom w:val="single" w:sz="4" w:space="0" w:color="auto"/>
              <w:right w:val="single" w:sz="4" w:space="0" w:color="auto"/>
            </w:tcBorders>
            <w:shd w:val="clear" w:color="auto" w:fill="auto"/>
            <w:noWrap/>
            <w:vAlign w:val="center"/>
          </w:tcPr>
          <w:p w14:paraId="52380550" w14:textId="7EF478E2"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184,9</w:t>
            </w:r>
          </w:p>
        </w:tc>
        <w:tc>
          <w:tcPr>
            <w:tcW w:w="1082" w:type="dxa"/>
            <w:tcBorders>
              <w:top w:val="nil"/>
              <w:left w:val="nil"/>
              <w:bottom w:val="single" w:sz="4" w:space="0" w:color="auto"/>
              <w:right w:val="single" w:sz="4" w:space="0" w:color="auto"/>
            </w:tcBorders>
            <w:shd w:val="clear" w:color="auto" w:fill="auto"/>
            <w:noWrap/>
            <w:vAlign w:val="center"/>
          </w:tcPr>
          <w:p w14:paraId="4A30A5F4" w14:textId="21A34B43"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Pr>
                <w:rFonts w:ascii="Garamond" w:hAnsi="Garamond"/>
                <w:b/>
                <w:bCs/>
              </w:rPr>
              <w:t>115,5</w:t>
            </w:r>
          </w:p>
        </w:tc>
        <w:tc>
          <w:tcPr>
            <w:tcW w:w="1417" w:type="dxa"/>
            <w:tcBorders>
              <w:top w:val="nil"/>
              <w:left w:val="nil"/>
              <w:bottom w:val="single" w:sz="4" w:space="0" w:color="auto"/>
              <w:right w:val="single" w:sz="4" w:space="0" w:color="auto"/>
            </w:tcBorders>
            <w:shd w:val="clear" w:color="auto" w:fill="auto"/>
            <w:noWrap/>
            <w:vAlign w:val="center"/>
          </w:tcPr>
          <w:p w14:paraId="475B5DF4" w14:textId="40FD397C"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62,5</w:t>
            </w:r>
          </w:p>
        </w:tc>
        <w:tc>
          <w:tcPr>
            <w:tcW w:w="1134" w:type="dxa"/>
            <w:tcBorders>
              <w:top w:val="nil"/>
              <w:left w:val="nil"/>
              <w:bottom w:val="single" w:sz="4" w:space="0" w:color="auto"/>
              <w:right w:val="single" w:sz="4" w:space="0" w:color="auto"/>
            </w:tcBorders>
            <w:shd w:val="clear" w:color="auto" w:fill="auto"/>
            <w:noWrap/>
            <w:vAlign w:val="center"/>
          </w:tcPr>
          <w:p w14:paraId="17302B17" w14:textId="1EA4065C"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204,8</w:t>
            </w:r>
          </w:p>
        </w:tc>
      </w:tr>
      <w:tr w:rsidR="00927CAB" w:rsidRPr="00377D59" w14:paraId="7B49B0E4"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1A573B2"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33543E4B" w14:textId="030E2F80"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777,8</w:t>
            </w:r>
          </w:p>
        </w:tc>
        <w:tc>
          <w:tcPr>
            <w:tcW w:w="1233" w:type="dxa"/>
            <w:tcBorders>
              <w:top w:val="nil"/>
              <w:left w:val="nil"/>
              <w:bottom w:val="single" w:sz="4" w:space="0" w:color="auto"/>
              <w:right w:val="single" w:sz="4" w:space="0" w:color="auto"/>
            </w:tcBorders>
            <w:shd w:val="clear" w:color="auto" w:fill="auto"/>
            <w:noWrap/>
            <w:vAlign w:val="center"/>
          </w:tcPr>
          <w:p w14:paraId="41E699CA" w14:textId="1E53EB68"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307,8</w:t>
            </w:r>
          </w:p>
        </w:tc>
        <w:tc>
          <w:tcPr>
            <w:tcW w:w="1118" w:type="dxa"/>
            <w:tcBorders>
              <w:top w:val="nil"/>
              <w:left w:val="nil"/>
              <w:bottom w:val="single" w:sz="4" w:space="0" w:color="auto"/>
              <w:right w:val="single" w:sz="4" w:space="0" w:color="auto"/>
            </w:tcBorders>
            <w:shd w:val="clear" w:color="auto" w:fill="auto"/>
            <w:noWrap/>
            <w:vAlign w:val="center"/>
          </w:tcPr>
          <w:p w14:paraId="46A6AC5B" w14:textId="4216EC52"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39,6</w:t>
            </w:r>
          </w:p>
        </w:tc>
        <w:tc>
          <w:tcPr>
            <w:tcW w:w="1103" w:type="dxa"/>
            <w:tcBorders>
              <w:top w:val="nil"/>
              <w:left w:val="nil"/>
              <w:bottom w:val="single" w:sz="4" w:space="0" w:color="auto"/>
              <w:right w:val="single" w:sz="4" w:space="0" w:color="auto"/>
            </w:tcBorders>
            <w:shd w:val="clear" w:color="auto" w:fill="auto"/>
            <w:noWrap/>
            <w:vAlign w:val="center"/>
          </w:tcPr>
          <w:p w14:paraId="032EEDF6" w14:textId="105E1010"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846,8</w:t>
            </w:r>
          </w:p>
        </w:tc>
        <w:tc>
          <w:tcPr>
            <w:tcW w:w="1082" w:type="dxa"/>
            <w:tcBorders>
              <w:top w:val="nil"/>
              <w:left w:val="nil"/>
              <w:bottom w:val="single" w:sz="4" w:space="0" w:color="auto"/>
              <w:right w:val="single" w:sz="4" w:space="0" w:color="auto"/>
            </w:tcBorders>
            <w:shd w:val="clear" w:color="auto" w:fill="auto"/>
            <w:noWrap/>
            <w:vAlign w:val="center"/>
          </w:tcPr>
          <w:p w14:paraId="3A6BB41C" w14:textId="6ADD3791"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366,3</w:t>
            </w:r>
          </w:p>
        </w:tc>
        <w:tc>
          <w:tcPr>
            <w:tcW w:w="1417" w:type="dxa"/>
            <w:tcBorders>
              <w:top w:val="nil"/>
              <w:left w:val="nil"/>
              <w:bottom w:val="single" w:sz="4" w:space="0" w:color="auto"/>
              <w:right w:val="single" w:sz="4" w:space="0" w:color="auto"/>
            </w:tcBorders>
            <w:shd w:val="clear" w:color="auto" w:fill="auto"/>
            <w:noWrap/>
            <w:vAlign w:val="center"/>
          </w:tcPr>
          <w:p w14:paraId="50E9636D" w14:textId="5F20DC97"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43,3</w:t>
            </w:r>
          </w:p>
        </w:tc>
        <w:tc>
          <w:tcPr>
            <w:tcW w:w="1134" w:type="dxa"/>
            <w:tcBorders>
              <w:top w:val="nil"/>
              <w:left w:val="nil"/>
              <w:bottom w:val="single" w:sz="4" w:space="0" w:color="auto"/>
              <w:right w:val="single" w:sz="4" w:space="0" w:color="auto"/>
            </w:tcBorders>
            <w:shd w:val="clear" w:color="auto" w:fill="auto"/>
            <w:noWrap/>
            <w:vAlign w:val="center"/>
          </w:tcPr>
          <w:p w14:paraId="2498217E" w14:textId="53931E7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119,0</w:t>
            </w:r>
          </w:p>
        </w:tc>
      </w:tr>
      <w:tr w:rsidR="00927CAB" w:rsidRPr="00377D59" w14:paraId="6EA69F1A"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55141E07"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7FD0CE7A" w14:textId="51ACD2C6"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665,6</w:t>
            </w:r>
          </w:p>
        </w:tc>
        <w:tc>
          <w:tcPr>
            <w:tcW w:w="1233" w:type="dxa"/>
            <w:tcBorders>
              <w:top w:val="nil"/>
              <w:left w:val="nil"/>
              <w:bottom w:val="single" w:sz="4" w:space="0" w:color="auto"/>
              <w:right w:val="single" w:sz="4" w:space="0" w:color="auto"/>
            </w:tcBorders>
            <w:shd w:val="clear" w:color="auto" w:fill="auto"/>
            <w:noWrap/>
            <w:vAlign w:val="center"/>
          </w:tcPr>
          <w:p w14:paraId="088E19A8" w14:textId="2DFEB6C9"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251,4</w:t>
            </w:r>
          </w:p>
        </w:tc>
        <w:tc>
          <w:tcPr>
            <w:tcW w:w="1118" w:type="dxa"/>
            <w:tcBorders>
              <w:top w:val="nil"/>
              <w:left w:val="nil"/>
              <w:bottom w:val="single" w:sz="4" w:space="0" w:color="auto"/>
              <w:right w:val="single" w:sz="4" w:space="0" w:color="auto"/>
            </w:tcBorders>
            <w:shd w:val="clear" w:color="auto" w:fill="auto"/>
            <w:noWrap/>
            <w:vAlign w:val="center"/>
          </w:tcPr>
          <w:p w14:paraId="4E7AF4E8" w14:textId="4A90AEA6"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37,8</w:t>
            </w:r>
          </w:p>
        </w:tc>
        <w:tc>
          <w:tcPr>
            <w:tcW w:w="1103" w:type="dxa"/>
            <w:tcBorders>
              <w:top w:val="nil"/>
              <w:left w:val="nil"/>
              <w:bottom w:val="single" w:sz="4" w:space="0" w:color="auto"/>
              <w:right w:val="single" w:sz="4" w:space="0" w:color="auto"/>
            </w:tcBorders>
            <w:shd w:val="clear" w:color="auto" w:fill="auto"/>
            <w:noWrap/>
            <w:vAlign w:val="center"/>
          </w:tcPr>
          <w:p w14:paraId="5E124EEE" w14:textId="41E9F0A9"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661,9</w:t>
            </w:r>
          </w:p>
        </w:tc>
        <w:tc>
          <w:tcPr>
            <w:tcW w:w="1082" w:type="dxa"/>
            <w:tcBorders>
              <w:top w:val="nil"/>
              <w:left w:val="nil"/>
              <w:bottom w:val="single" w:sz="4" w:space="0" w:color="auto"/>
              <w:right w:val="single" w:sz="4" w:space="0" w:color="auto"/>
            </w:tcBorders>
            <w:shd w:val="clear" w:color="auto" w:fill="auto"/>
            <w:noWrap/>
            <w:vAlign w:val="center"/>
          </w:tcPr>
          <w:p w14:paraId="7F6AFAD1" w14:textId="2B8AC0E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250,8</w:t>
            </w:r>
          </w:p>
        </w:tc>
        <w:tc>
          <w:tcPr>
            <w:tcW w:w="1417" w:type="dxa"/>
            <w:tcBorders>
              <w:top w:val="nil"/>
              <w:left w:val="nil"/>
              <w:bottom w:val="single" w:sz="4" w:space="0" w:color="auto"/>
              <w:right w:val="single" w:sz="4" w:space="0" w:color="auto"/>
            </w:tcBorders>
            <w:shd w:val="clear" w:color="auto" w:fill="auto"/>
            <w:noWrap/>
            <w:vAlign w:val="center"/>
          </w:tcPr>
          <w:p w14:paraId="46251584" w14:textId="1184F2AE"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37,9</w:t>
            </w:r>
          </w:p>
        </w:tc>
        <w:tc>
          <w:tcPr>
            <w:tcW w:w="1134" w:type="dxa"/>
            <w:tcBorders>
              <w:top w:val="nil"/>
              <w:left w:val="nil"/>
              <w:bottom w:val="single" w:sz="4" w:space="0" w:color="auto"/>
              <w:right w:val="single" w:sz="4" w:space="0" w:color="auto"/>
            </w:tcBorders>
            <w:shd w:val="clear" w:color="auto" w:fill="auto"/>
            <w:noWrap/>
            <w:vAlign w:val="center"/>
          </w:tcPr>
          <w:p w14:paraId="17B750E2" w14:textId="2F3FE686"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99,8</w:t>
            </w:r>
          </w:p>
        </w:tc>
      </w:tr>
      <w:tr w:rsidR="00927CAB" w:rsidRPr="00377D59" w14:paraId="6C1A0BA7" w14:textId="77777777" w:rsidTr="00920F4D">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932A0B5" w14:textId="77777777" w:rsidR="00927CAB" w:rsidRPr="00377D59" w:rsidRDefault="00927CAB" w:rsidP="00927CA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Társadalombiztosítás pénzügyi alapjainak egyenlege</w:t>
            </w:r>
          </w:p>
        </w:tc>
        <w:tc>
          <w:tcPr>
            <w:tcW w:w="1067" w:type="dxa"/>
            <w:tcBorders>
              <w:top w:val="nil"/>
              <w:left w:val="nil"/>
              <w:bottom w:val="single" w:sz="4" w:space="0" w:color="auto"/>
              <w:right w:val="single" w:sz="4" w:space="0" w:color="auto"/>
            </w:tcBorders>
            <w:shd w:val="clear" w:color="auto" w:fill="auto"/>
            <w:noWrap/>
            <w:vAlign w:val="center"/>
          </w:tcPr>
          <w:p w14:paraId="764C07C2" w14:textId="39CC4755"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-412,3</w:t>
            </w:r>
          </w:p>
        </w:tc>
        <w:tc>
          <w:tcPr>
            <w:tcW w:w="1233" w:type="dxa"/>
            <w:tcBorders>
              <w:top w:val="nil"/>
              <w:left w:val="nil"/>
              <w:bottom w:val="single" w:sz="4" w:space="0" w:color="auto"/>
              <w:right w:val="single" w:sz="4" w:space="0" w:color="auto"/>
            </w:tcBorders>
            <w:shd w:val="clear" w:color="auto" w:fill="auto"/>
            <w:noWrap/>
            <w:vAlign w:val="center"/>
          </w:tcPr>
          <w:p w14:paraId="5DD28CAB" w14:textId="6B38D97F"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67,3</w:t>
            </w:r>
          </w:p>
        </w:tc>
        <w:tc>
          <w:tcPr>
            <w:tcW w:w="1118" w:type="dxa"/>
            <w:tcBorders>
              <w:top w:val="nil"/>
              <w:left w:val="nil"/>
              <w:bottom w:val="single" w:sz="4" w:space="0" w:color="auto"/>
              <w:right w:val="single" w:sz="4" w:space="0" w:color="auto"/>
            </w:tcBorders>
            <w:shd w:val="clear" w:color="auto" w:fill="auto"/>
            <w:noWrap/>
            <w:vAlign w:val="center"/>
          </w:tcPr>
          <w:p w14:paraId="716B6B3D" w14:textId="41E750D7"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16,3</w:t>
            </w:r>
          </w:p>
        </w:tc>
        <w:tc>
          <w:tcPr>
            <w:tcW w:w="1103" w:type="dxa"/>
            <w:tcBorders>
              <w:top w:val="nil"/>
              <w:left w:val="nil"/>
              <w:bottom w:val="single" w:sz="4" w:space="0" w:color="auto"/>
              <w:right w:val="single" w:sz="4" w:space="0" w:color="auto"/>
            </w:tcBorders>
            <w:shd w:val="clear" w:color="auto" w:fill="auto"/>
            <w:noWrap/>
            <w:vAlign w:val="center"/>
          </w:tcPr>
          <w:p w14:paraId="40FDEB50" w14:textId="607C0A4F"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0,0</w:t>
            </w:r>
          </w:p>
        </w:tc>
        <w:tc>
          <w:tcPr>
            <w:tcW w:w="1082" w:type="dxa"/>
            <w:tcBorders>
              <w:top w:val="nil"/>
              <w:left w:val="nil"/>
              <w:bottom w:val="single" w:sz="4" w:space="0" w:color="auto"/>
              <w:right w:val="single" w:sz="4" w:space="0" w:color="auto"/>
            </w:tcBorders>
            <w:shd w:val="clear" w:color="auto" w:fill="auto"/>
            <w:noWrap/>
            <w:vAlign w:val="center"/>
          </w:tcPr>
          <w:p w14:paraId="6839221E" w14:textId="68A6024D"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104,3</w:t>
            </w:r>
          </w:p>
        </w:tc>
        <w:tc>
          <w:tcPr>
            <w:tcW w:w="1417" w:type="dxa"/>
            <w:tcBorders>
              <w:top w:val="nil"/>
              <w:left w:val="nil"/>
              <w:bottom w:val="single" w:sz="4" w:space="0" w:color="auto"/>
              <w:right w:val="single" w:sz="4" w:space="0" w:color="auto"/>
            </w:tcBorders>
            <w:shd w:val="clear" w:color="auto" w:fill="auto"/>
            <w:noWrap/>
            <w:vAlign w:val="center"/>
          </w:tcPr>
          <w:p w14:paraId="72DED2BB" w14:textId="43B33AE2"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6947371C" w14:textId="2B6202C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155,0</w:t>
            </w:r>
          </w:p>
        </w:tc>
      </w:tr>
      <w:tr w:rsidR="00927CAB" w:rsidRPr="00377D59" w14:paraId="5EA2BB6F"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E3E07BE"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6CBBEA73" w14:textId="2454C0A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9 468,1</w:t>
            </w:r>
          </w:p>
        </w:tc>
        <w:tc>
          <w:tcPr>
            <w:tcW w:w="1233" w:type="dxa"/>
            <w:tcBorders>
              <w:top w:val="nil"/>
              <w:left w:val="nil"/>
              <w:bottom w:val="single" w:sz="4" w:space="0" w:color="auto"/>
              <w:right w:val="single" w:sz="4" w:space="0" w:color="auto"/>
            </w:tcBorders>
            <w:shd w:val="clear" w:color="auto" w:fill="auto"/>
            <w:noWrap/>
            <w:vAlign w:val="center"/>
          </w:tcPr>
          <w:p w14:paraId="001E233C" w14:textId="190D2D7D"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4 134,6</w:t>
            </w:r>
          </w:p>
        </w:tc>
        <w:tc>
          <w:tcPr>
            <w:tcW w:w="1118" w:type="dxa"/>
            <w:tcBorders>
              <w:top w:val="nil"/>
              <w:left w:val="nil"/>
              <w:bottom w:val="single" w:sz="4" w:space="0" w:color="auto"/>
              <w:right w:val="single" w:sz="4" w:space="0" w:color="auto"/>
            </w:tcBorders>
            <w:shd w:val="clear" w:color="auto" w:fill="auto"/>
            <w:noWrap/>
            <w:vAlign w:val="center"/>
          </w:tcPr>
          <w:p w14:paraId="1F3A662D" w14:textId="1CF44DCC"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43,7</w:t>
            </w:r>
          </w:p>
        </w:tc>
        <w:tc>
          <w:tcPr>
            <w:tcW w:w="1103" w:type="dxa"/>
            <w:tcBorders>
              <w:top w:val="nil"/>
              <w:left w:val="nil"/>
              <w:bottom w:val="single" w:sz="4" w:space="0" w:color="auto"/>
              <w:right w:val="single" w:sz="4" w:space="0" w:color="auto"/>
            </w:tcBorders>
            <w:shd w:val="clear" w:color="auto" w:fill="auto"/>
            <w:noWrap/>
            <w:vAlign w:val="center"/>
          </w:tcPr>
          <w:p w14:paraId="1E6E9ABA" w14:textId="73B9DB87"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10 443,9</w:t>
            </w:r>
          </w:p>
        </w:tc>
        <w:tc>
          <w:tcPr>
            <w:tcW w:w="1082" w:type="dxa"/>
            <w:tcBorders>
              <w:top w:val="nil"/>
              <w:left w:val="nil"/>
              <w:bottom w:val="single" w:sz="4" w:space="0" w:color="auto"/>
              <w:right w:val="single" w:sz="4" w:space="0" w:color="auto"/>
            </w:tcBorders>
            <w:shd w:val="clear" w:color="auto" w:fill="auto"/>
            <w:noWrap/>
            <w:vAlign w:val="center"/>
          </w:tcPr>
          <w:p w14:paraId="14329349" w14:textId="5E9D7803"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4 608,9</w:t>
            </w:r>
          </w:p>
        </w:tc>
        <w:tc>
          <w:tcPr>
            <w:tcW w:w="1417" w:type="dxa"/>
            <w:tcBorders>
              <w:top w:val="nil"/>
              <w:left w:val="nil"/>
              <w:bottom w:val="single" w:sz="4" w:space="0" w:color="auto"/>
              <w:right w:val="single" w:sz="4" w:space="0" w:color="auto"/>
            </w:tcBorders>
            <w:shd w:val="clear" w:color="auto" w:fill="auto"/>
            <w:noWrap/>
            <w:vAlign w:val="center"/>
          </w:tcPr>
          <w:p w14:paraId="73491675" w14:textId="7ECCCA7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44,1</w:t>
            </w:r>
          </w:p>
        </w:tc>
        <w:tc>
          <w:tcPr>
            <w:tcW w:w="1134" w:type="dxa"/>
            <w:tcBorders>
              <w:top w:val="nil"/>
              <w:left w:val="nil"/>
              <w:bottom w:val="single" w:sz="4" w:space="0" w:color="auto"/>
              <w:right w:val="single" w:sz="4" w:space="0" w:color="auto"/>
            </w:tcBorders>
            <w:shd w:val="clear" w:color="auto" w:fill="auto"/>
            <w:noWrap/>
            <w:vAlign w:val="center"/>
          </w:tcPr>
          <w:p w14:paraId="55EF7685" w14:textId="2B49CF41"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111,5</w:t>
            </w:r>
          </w:p>
        </w:tc>
      </w:tr>
      <w:tr w:rsidR="00927CAB" w:rsidRPr="00377D59" w14:paraId="67C00D39"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23FD797A"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4E2A033A" w14:textId="380DBB1E"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9 880,4</w:t>
            </w:r>
          </w:p>
        </w:tc>
        <w:tc>
          <w:tcPr>
            <w:tcW w:w="1233" w:type="dxa"/>
            <w:tcBorders>
              <w:top w:val="nil"/>
              <w:left w:val="nil"/>
              <w:bottom w:val="single" w:sz="4" w:space="0" w:color="auto"/>
              <w:right w:val="single" w:sz="4" w:space="0" w:color="auto"/>
            </w:tcBorders>
            <w:shd w:val="clear" w:color="auto" w:fill="auto"/>
            <w:noWrap/>
            <w:vAlign w:val="center"/>
          </w:tcPr>
          <w:p w14:paraId="3CCAB3F8" w14:textId="2ADEF78E"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4 201,9</w:t>
            </w:r>
          </w:p>
        </w:tc>
        <w:tc>
          <w:tcPr>
            <w:tcW w:w="1118" w:type="dxa"/>
            <w:tcBorders>
              <w:top w:val="nil"/>
              <w:left w:val="nil"/>
              <w:bottom w:val="single" w:sz="4" w:space="0" w:color="auto"/>
              <w:right w:val="single" w:sz="4" w:space="0" w:color="auto"/>
            </w:tcBorders>
            <w:shd w:val="clear" w:color="auto" w:fill="auto"/>
            <w:noWrap/>
            <w:vAlign w:val="center"/>
          </w:tcPr>
          <w:p w14:paraId="4766FA26" w14:textId="125BF23D"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42,5</w:t>
            </w:r>
          </w:p>
        </w:tc>
        <w:tc>
          <w:tcPr>
            <w:tcW w:w="1103" w:type="dxa"/>
            <w:tcBorders>
              <w:top w:val="nil"/>
              <w:left w:val="nil"/>
              <w:bottom w:val="single" w:sz="4" w:space="0" w:color="auto"/>
              <w:right w:val="single" w:sz="4" w:space="0" w:color="auto"/>
            </w:tcBorders>
            <w:shd w:val="clear" w:color="auto" w:fill="auto"/>
            <w:noWrap/>
            <w:vAlign w:val="center"/>
          </w:tcPr>
          <w:p w14:paraId="54976177" w14:textId="0988DF83"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10 443,9</w:t>
            </w:r>
          </w:p>
        </w:tc>
        <w:tc>
          <w:tcPr>
            <w:tcW w:w="1082" w:type="dxa"/>
            <w:tcBorders>
              <w:top w:val="nil"/>
              <w:left w:val="nil"/>
              <w:bottom w:val="single" w:sz="4" w:space="0" w:color="auto"/>
              <w:right w:val="single" w:sz="4" w:space="0" w:color="auto"/>
            </w:tcBorders>
            <w:shd w:val="clear" w:color="auto" w:fill="auto"/>
            <w:noWrap/>
            <w:vAlign w:val="center"/>
          </w:tcPr>
          <w:p w14:paraId="4E82EE04" w14:textId="2C8655D9"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4 713,2</w:t>
            </w:r>
          </w:p>
        </w:tc>
        <w:tc>
          <w:tcPr>
            <w:tcW w:w="1417" w:type="dxa"/>
            <w:tcBorders>
              <w:top w:val="nil"/>
              <w:left w:val="nil"/>
              <w:bottom w:val="single" w:sz="4" w:space="0" w:color="auto"/>
              <w:right w:val="single" w:sz="4" w:space="0" w:color="auto"/>
            </w:tcBorders>
            <w:shd w:val="clear" w:color="auto" w:fill="auto"/>
            <w:noWrap/>
            <w:vAlign w:val="center"/>
          </w:tcPr>
          <w:p w14:paraId="0FF1FCDA" w14:textId="43BE3BE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45,1</w:t>
            </w:r>
          </w:p>
        </w:tc>
        <w:tc>
          <w:tcPr>
            <w:tcW w:w="1134" w:type="dxa"/>
            <w:tcBorders>
              <w:top w:val="nil"/>
              <w:left w:val="nil"/>
              <w:bottom w:val="single" w:sz="4" w:space="0" w:color="auto"/>
              <w:right w:val="single" w:sz="4" w:space="0" w:color="auto"/>
            </w:tcBorders>
            <w:shd w:val="clear" w:color="auto" w:fill="auto"/>
            <w:noWrap/>
            <w:vAlign w:val="center"/>
          </w:tcPr>
          <w:p w14:paraId="517DF22A" w14:textId="59DEF8BE"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112,2</w:t>
            </w:r>
          </w:p>
        </w:tc>
      </w:tr>
      <w:tr w:rsidR="00927CAB" w:rsidRPr="00377D59" w14:paraId="693893FF" w14:textId="77777777" w:rsidTr="00920F4D">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DC826FD" w14:textId="77777777" w:rsidR="00927CAB" w:rsidRPr="00377D59" w:rsidRDefault="00927CAB" w:rsidP="00927CA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Egyenleg összesen</w:t>
            </w:r>
          </w:p>
        </w:tc>
        <w:tc>
          <w:tcPr>
            <w:tcW w:w="1067" w:type="dxa"/>
            <w:tcBorders>
              <w:top w:val="nil"/>
              <w:left w:val="nil"/>
              <w:bottom w:val="single" w:sz="4" w:space="0" w:color="auto"/>
              <w:right w:val="single" w:sz="4" w:space="0" w:color="auto"/>
            </w:tcBorders>
            <w:shd w:val="clear" w:color="auto" w:fill="auto"/>
            <w:noWrap/>
            <w:vAlign w:val="center"/>
          </w:tcPr>
          <w:p w14:paraId="128C853D" w14:textId="5199658A"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-4 593,4</w:t>
            </w:r>
          </w:p>
        </w:tc>
        <w:tc>
          <w:tcPr>
            <w:tcW w:w="1233" w:type="dxa"/>
            <w:tcBorders>
              <w:top w:val="nil"/>
              <w:left w:val="nil"/>
              <w:bottom w:val="single" w:sz="4" w:space="0" w:color="auto"/>
              <w:right w:val="single" w:sz="4" w:space="0" w:color="auto"/>
            </w:tcBorders>
            <w:shd w:val="clear" w:color="auto" w:fill="auto"/>
            <w:noWrap/>
            <w:vAlign w:val="center"/>
          </w:tcPr>
          <w:p w14:paraId="33E03A05" w14:textId="204E0D62"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2 763,3</w:t>
            </w:r>
          </w:p>
        </w:tc>
        <w:tc>
          <w:tcPr>
            <w:tcW w:w="1118" w:type="dxa"/>
            <w:tcBorders>
              <w:top w:val="nil"/>
              <w:left w:val="nil"/>
              <w:bottom w:val="single" w:sz="4" w:space="0" w:color="auto"/>
              <w:right w:val="single" w:sz="4" w:space="0" w:color="auto"/>
            </w:tcBorders>
            <w:shd w:val="clear" w:color="auto" w:fill="auto"/>
            <w:noWrap/>
            <w:vAlign w:val="center"/>
          </w:tcPr>
          <w:p w14:paraId="3C1EA8E2" w14:textId="394D469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60,2</w:t>
            </w:r>
          </w:p>
        </w:tc>
        <w:tc>
          <w:tcPr>
            <w:tcW w:w="1103" w:type="dxa"/>
            <w:tcBorders>
              <w:top w:val="nil"/>
              <w:left w:val="nil"/>
              <w:bottom w:val="single" w:sz="4" w:space="0" w:color="auto"/>
              <w:right w:val="single" w:sz="4" w:space="0" w:color="auto"/>
            </w:tcBorders>
            <w:shd w:val="clear" w:color="auto" w:fill="auto"/>
            <w:noWrap/>
            <w:vAlign w:val="center"/>
          </w:tcPr>
          <w:p w14:paraId="7F41C27C" w14:textId="2CC6BCE5"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-2 514,8</w:t>
            </w:r>
          </w:p>
        </w:tc>
        <w:tc>
          <w:tcPr>
            <w:tcW w:w="1082" w:type="dxa"/>
            <w:tcBorders>
              <w:top w:val="nil"/>
              <w:left w:val="nil"/>
              <w:bottom w:val="single" w:sz="4" w:space="0" w:color="auto"/>
              <w:right w:val="single" w:sz="4" w:space="0" w:color="auto"/>
            </w:tcBorders>
            <w:shd w:val="clear" w:color="auto" w:fill="auto"/>
            <w:noWrap/>
            <w:vAlign w:val="center"/>
          </w:tcPr>
          <w:p w14:paraId="18CF0DD4" w14:textId="1F9F08A2" w:rsidR="00927CAB" w:rsidRPr="00565662" w:rsidRDefault="00927CAB" w:rsidP="00927CAB">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2 548,5</w:t>
            </w:r>
          </w:p>
        </w:tc>
        <w:tc>
          <w:tcPr>
            <w:tcW w:w="1417" w:type="dxa"/>
            <w:tcBorders>
              <w:top w:val="nil"/>
              <w:left w:val="nil"/>
              <w:bottom w:val="single" w:sz="4" w:space="0" w:color="auto"/>
              <w:right w:val="single" w:sz="4" w:space="0" w:color="auto"/>
            </w:tcBorders>
            <w:shd w:val="clear" w:color="auto" w:fill="auto"/>
            <w:noWrap/>
            <w:vAlign w:val="center"/>
          </w:tcPr>
          <w:p w14:paraId="5A523E61" w14:textId="2C54E090"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101,3</w:t>
            </w:r>
          </w:p>
        </w:tc>
        <w:tc>
          <w:tcPr>
            <w:tcW w:w="1134" w:type="dxa"/>
            <w:tcBorders>
              <w:top w:val="nil"/>
              <w:left w:val="nil"/>
              <w:bottom w:val="single" w:sz="4" w:space="0" w:color="auto"/>
              <w:right w:val="single" w:sz="4" w:space="0" w:color="auto"/>
            </w:tcBorders>
            <w:shd w:val="clear" w:color="auto" w:fill="auto"/>
            <w:noWrap/>
            <w:vAlign w:val="center"/>
          </w:tcPr>
          <w:p w14:paraId="202FEA34" w14:textId="2B42BBF6" w:rsidR="00927CAB" w:rsidRPr="00565662" w:rsidRDefault="00927CAB" w:rsidP="00927CAB">
            <w:pPr>
              <w:spacing w:after="0" w:line="240" w:lineRule="auto"/>
              <w:jc w:val="right"/>
              <w:rPr>
                <w:rFonts w:ascii="Times New Roman" w:hAnsi="Times New Roman" w:cs="Times New Roman"/>
                <w:sz w:val="20"/>
                <w:szCs w:val="20"/>
              </w:rPr>
            </w:pPr>
            <w:r>
              <w:rPr>
                <w:rFonts w:ascii="Garamond" w:hAnsi="Garamond"/>
              </w:rPr>
              <w:t>92,2</w:t>
            </w:r>
          </w:p>
        </w:tc>
      </w:tr>
      <w:tr w:rsidR="00927CAB" w:rsidRPr="00377D59" w14:paraId="74B0812B"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A9285F0"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22291C09" w14:textId="1C692073"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36 515,7</w:t>
            </w:r>
          </w:p>
        </w:tc>
        <w:tc>
          <w:tcPr>
            <w:tcW w:w="1233" w:type="dxa"/>
            <w:tcBorders>
              <w:top w:val="nil"/>
              <w:left w:val="nil"/>
              <w:bottom w:val="single" w:sz="4" w:space="0" w:color="auto"/>
              <w:right w:val="single" w:sz="4" w:space="0" w:color="auto"/>
            </w:tcBorders>
            <w:shd w:val="clear" w:color="auto" w:fill="auto"/>
            <w:noWrap/>
            <w:vAlign w:val="center"/>
          </w:tcPr>
          <w:p w14:paraId="1E254290" w14:textId="30E84A4E"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14 380,2</w:t>
            </w:r>
          </w:p>
        </w:tc>
        <w:tc>
          <w:tcPr>
            <w:tcW w:w="1118" w:type="dxa"/>
            <w:tcBorders>
              <w:top w:val="nil"/>
              <w:left w:val="nil"/>
              <w:bottom w:val="single" w:sz="4" w:space="0" w:color="auto"/>
              <w:right w:val="single" w:sz="4" w:space="0" w:color="auto"/>
            </w:tcBorders>
            <w:shd w:val="clear" w:color="auto" w:fill="auto"/>
            <w:noWrap/>
            <w:vAlign w:val="center"/>
          </w:tcPr>
          <w:p w14:paraId="1677581F" w14:textId="3078634D"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39,4</w:t>
            </w:r>
          </w:p>
        </w:tc>
        <w:tc>
          <w:tcPr>
            <w:tcW w:w="1103" w:type="dxa"/>
            <w:tcBorders>
              <w:top w:val="nil"/>
              <w:left w:val="nil"/>
              <w:bottom w:val="single" w:sz="4" w:space="0" w:color="auto"/>
              <w:right w:val="single" w:sz="4" w:space="0" w:color="auto"/>
            </w:tcBorders>
            <w:shd w:val="clear" w:color="auto" w:fill="auto"/>
            <w:noWrap/>
            <w:vAlign w:val="center"/>
          </w:tcPr>
          <w:p w14:paraId="7B7C4D83" w14:textId="5A741BFB"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38 240,3</w:t>
            </w:r>
          </w:p>
        </w:tc>
        <w:tc>
          <w:tcPr>
            <w:tcW w:w="1082" w:type="dxa"/>
            <w:tcBorders>
              <w:top w:val="nil"/>
              <w:left w:val="nil"/>
              <w:bottom w:val="single" w:sz="4" w:space="0" w:color="auto"/>
              <w:right w:val="single" w:sz="4" w:space="0" w:color="auto"/>
            </w:tcBorders>
            <w:shd w:val="clear" w:color="auto" w:fill="auto"/>
            <w:noWrap/>
            <w:vAlign w:val="center"/>
          </w:tcPr>
          <w:p w14:paraId="6AB699E4" w14:textId="5D0B1B81"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15 349,2</w:t>
            </w:r>
          </w:p>
        </w:tc>
        <w:tc>
          <w:tcPr>
            <w:tcW w:w="1417" w:type="dxa"/>
            <w:tcBorders>
              <w:top w:val="nil"/>
              <w:left w:val="nil"/>
              <w:bottom w:val="single" w:sz="4" w:space="0" w:color="auto"/>
              <w:right w:val="single" w:sz="4" w:space="0" w:color="auto"/>
            </w:tcBorders>
            <w:shd w:val="clear" w:color="auto" w:fill="auto"/>
            <w:noWrap/>
            <w:vAlign w:val="center"/>
          </w:tcPr>
          <w:p w14:paraId="7A3AB10B" w14:textId="249859F1"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40,1</w:t>
            </w:r>
          </w:p>
        </w:tc>
        <w:tc>
          <w:tcPr>
            <w:tcW w:w="1134" w:type="dxa"/>
            <w:tcBorders>
              <w:top w:val="nil"/>
              <w:left w:val="nil"/>
              <w:bottom w:val="single" w:sz="4" w:space="0" w:color="auto"/>
              <w:right w:val="single" w:sz="4" w:space="0" w:color="auto"/>
            </w:tcBorders>
            <w:shd w:val="clear" w:color="auto" w:fill="auto"/>
            <w:noWrap/>
            <w:vAlign w:val="center"/>
          </w:tcPr>
          <w:p w14:paraId="38A6DE72" w14:textId="58CC1913"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106,7</w:t>
            </w:r>
          </w:p>
        </w:tc>
      </w:tr>
      <w:tr w:rsidR="00927CAB" w:rsidRPr="00377D59" w14:paraId="185112E4" w14:textId="77777777" w:rsidTr="00920F4D">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25852F2" w14:textId="77777777" w:rsidR="00927CAB" w:rsidRPr="00377D59" w:rsidRDefault="00927CAB" w:rsidP="00927CA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0172DF5E" w14:textId="5281CFBF"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41 109,1</w:t>
            </w:r>
          </w:p>
        </w:tc>
        <w:tc>
          <w:tcPr>
            <w:tcW w:w="1233" w:type="dxa"/>
            <w:tcBorders>
              <w:top w:val="nil"/>
              <w:left w:val="nil"/>
              <w:bottom w:val="single" w:sz="4" w:space="0" w:color="auto"/>
              <w:right w:val="single" w:sz="4" w:space="0" w:color="auto"/>
            </w:tcBorders>
            <w:shd w:val="clear" w:color="auto" w:fill="auto"/>
            <w:noWrap/>
            <w:vAlign w:val="center"/>
          </w:tcPr>
          <w:p w14:paraId="2EEFB745" w14:textId="301FFBA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17 143,5</w:t>
            </w:r>
          </w:p>
        </w:tc>
        <w:tc>
          <w:tcPr>
            <w:tcW w:w="1118" w:type="dxa"/>
            <w:tcBorders>
              <w:top w:val="nil"/>
              <w:left w:val="nil"/>
              <w:bottom w:val="single" w:sz="4" w:space="0" w:color="auto"/>
              <w:right w:val="single" w:sz="4" w:space="0" w:color="auto"/>
            </w:tcBorders>
            <w:shd w:val="clear" w:color="auto" w:fill="auto"/>
            <w:noWrap/>
            <w:vAlign w:val="center"/>
          </w:tcPr>
          <w:p w14:paraId="3D56ACA8" w14:textId="2CEA6D9A"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bCs/>
              </w:rPr>
              <w:t>41,7</w:t>
            </w:r>
          </w:p>
        </w:tc>
        <w:tc>
          <w:tcPr>
            <w:tcW w:w="1103" w:type="dxa"/>
            <w:tcBorders>
              <w:top w:val="nil"/>
              <w:left w:val="nil"/>
              <w:bottom w:val="single" w:sz="4" w:space="0" w:color="auto"/>
              <w:right w:val="single" w:sz="4" w:space="0" w:color="auto"/>
            </w:tcBorders>
            <w:shd w:val="clear" w:color="auto" w:fill="auto"/>
            <w:noWrap/>
            <w:vAlign w:val="center"/>
          </w:tcPr>
          <w:p w14:paraId="412A7F29" w14:textId="72A74474"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40 755,1</w:t>
            </w:r>
          </w:p>
        </w:tc>
        <w:tc>
          <w:tcPr>
            <w:tcW w:w="1082" w:type="dxa"/>
            <w:tcBorders>
              <w:top w:val="nil"/>
              <w:left w:val="nil"/>
              <w:bottom w:val="single" w:sz="4" w:space="0" w:color="auto"/>
              <w:right w:val="single" w:sz="4" w:space="0" w:color="auto"/>
            </w:tcBorders>
            <w:shd w:val="clear" w:color="auto" w:fill="auto"/>
            <w:noWrap/>
            <w:vAlign w:val="center"/>
          </w:tcPr>
          <w:p w14:paraId="165D2D0D" w14:textId="32836A65"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17 897,7</w:t>
            </w:r>
          </w:p>
        </w:tc>
        <w:tc>
          <w:tcPr>
            <w:tcW w:w="1417" w:type="dxa"/>
            <w:tcBorders>
              <w:top w:val="nil"/>
              <w:left w:val="nil"/>
              <w:bottom w:val="single" w:sz="4" w:space="0" w:color="auto"/>
              <w:right w:val="single" w:sz="4" w:space="0" w:color="auto"/>
            </w:tcBorders>
            <w:shd w:val="clear" w:color="auto" w:fill="auto"/>
            <w:noWrap/>
            <w:vAlign w:val="center"/>
          </w:tcPr>
          <w:p w14:paraId="0F960772" w14:textId="5DF3724C"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43,9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A84AFA" w14:textId="18ECBC97" w:rsidR="00927CAB" w:rsidRPr="00565662" w:rsidRDefault="00927CAB" w:rsidP="00927CAB">
            <w:pPr>
              <w:spacing w:after="0" w:line="240" w:lineRule="auto"/>
              <w:jc w:val="right"/>
              <w:rPr>
                <w:rFonts w:ascii="Times New Roman" w:eastAsia="Times New Roman" w:hAnsi="Times New Roman" w:cs="Times New Roman"/>
                <w:sz w:val="20"/>
                <w:szCs w:val="20"/>
                <w:lang w:eastAsia="hu-HU"/>
              </w:rPr>
            </w:pPr>
            <w:r>
              <w:rPr>
                <w:rFonts w:ascii="Garamond" w:hAnsi="Garamond"/>
              </w:rPr>
              <w:t>104,4</w:t>
            </w:r>
          </w:p>
        </w:tc>
      </w:tr>
    </w:tbl>
    <w:p w14:paraId="7B768A91" w14:textId="77777777" w:rsidR="00B155FE" w:rsidRDefault="00B155FE" w:rsidP="00B155FE">
      <w:pPr>
        <w:spacing w:after="120" w:line="240" w:lineRule="auto"/>
        <w:jc w:val="both"/>
        <w:rPr>
          <w:rFonts w:ascii="Times New Roman" w:eastAsia="Times New Roman" w:hAnsi="Times New Roman" w:cs="Times New Roman"/>
          <w:b/>
          <w:bCs/>
          <w:sz w:val="26"/>
          <w:szCs w:val="20"/>
          <w:lang w:eastAsia="hu-HU"/>
        </w:rPr>
      </w:pPr>
    </w:p>
    <w:p w14:paraId="30CB3F52" w14:textId="77777777" w:rsidR="00684D06" w:rsidRPr="00377D59" w:rsidRDefault="00684D06" w:rsidP="00B155FE">
      <w:pPr>
        <w:spacing w:after="120" w:line="240" w:lineRule="auto"/>
        <w:jc w:val="both"/>
        <w:rPr>
          <w:rFonts w:ascii="Times New Roman" w:eastAsia="Times New Roman" w:hAnsi="Times New Roman" w:cs="Times New Roman"/>
          <w:b/>
          <w:bCs/>
          <w:sz w:val="26"/>
          <w:szCs w:val="20"/>
          <w:lang w:eastAsia="hu-HU"/>
        </w:rPr>
      </w:pPr>
    </w:p>
    <w:p w14:paraId="48AF08BC" w14:textId="77777777" w:rsidR="008F511B" w:rsidRPr="00377D59" w:rsidRDefault="639E9B9B" w:rsidP="639E9B9B">
      <w:pPr>
        <w:keepNext/>
        <w:spacing w:line="240" w:lineRule="auto"/>
        <w:ind w:left="425" w:hanging="425"/>
        <w:jc w:val="center"/>
        <w:outlineLvl w:val="3"/>
        <w:rPr>
          <w:rFonts w:ascii="Times New Roman" w:eastAsia="Times New Roman" w:hAnsi="Times New Roman" w:cs="Times New Roman"/>
          <w:b/>
          <w:bCs/>
          <w:caps/>
          <w:sz w:val="26"/>
          <w:szCs w:val="26"/>
          <w:lang w:eastAsia="hu-HU"/>
        </w:rPr>
      </w:pPr>
      <w:r w:rsidRPr="639E9B9B">
        <w:rPr>
          <w:rFonts w:ascii="Times New Roman" w:eastAsia="Times New Roman" w:hAnsi="Times New Roman" w:cs="Times New Roman"/>
          <w:b/>
          <w:bCs/>
          <w:caps/>
          <w:sz w:val="26"/>
          <w:szCs w:val="26"/>
          <w:lang w:eastAsia="hu-HU"/>
        </w:rPr>
        <w:t>Az államháztartás központi alrendszerének HIÁNYA</w:t>
      </w:r>
    </w:p>
    <w:p w14:paraId="52778348" w14:textId="77777777" w:rsidR="008F511B" w:rsidRPr="00384AA3" w:rsidRDefault="639E9B9B" w:rsidP="639E9B9B">
      <w:pPr>
        <w:jc w:val="both"/>
        <w:rPr>
          <w:rFonts w:ascii="Times New Roman" w:eastAsia="Times New Roman" w:hAnsi="Times New Roman" w:cs="Times New Roman"/>
          <w:color w:val="000000" w:themeColor="text1"/>
          <w:sz w:val="26"/>
          <w:szCs w:val="26"/>
          <w:lang w:eastAsia="hu-HU"/>
        </w:rPr>
      </w:pPr>
      <w:r w:rsidRPr="00384AA3">
        <w:rPr>
          <w:rFonts w:ascii="Times New Roman" w:eastAsia="Times New Roman" w:hAnsi="Times New Roman" w:cs="Times New Roman"/>
          <w:color w:val="000000" w:themeColor="text1"/>
          <w:sz w:val="26"/>
          <w:szCs w:val="26"/>
          <w:lang w:eastAsia="hu-HU"/>
        </w:rPr>
        <w:t>Az államháztartás központi alrendszerének az elfogadott költségvetési törvényben szereplő 2,9%-os ESA-hiányhoz tartozó pénzforgalmi hiánya 2 514,8 milliárd forint.</w:t>
      </w:r>
    </w:p>
    <w:p w14:paraId="4DF44AE1" w14:textId="4049E2C8" w:rsidR="008F511B" w:rsidRDefault="639E9B9B" w:rsidP="639E9B9B">
      <w:pPr>
        <w:jc w:val="both"/>
        <w:rPr>
          <w:rFonts w:ascii="Times New Roman" w:eastAsia="Times New Roman" w:hAnsi="Times New Roman" w:cs="Times New Roman"/>
          <w:sz w:val="26"/>
          <w:szCs w:val="26"/>
          <w:lang w:eastAsia="hu-HU"/>
        </w:rPr>
      </w:pPr>
      <w:r w:rsidRPr="00384AA3">
        <w:rPr>
          <w:rFonts w:ascii="Times New Roman" w:eastAsia="Times New Roman" w:hAnsi="Times New Roman" w:cs="Times New Roman"/>
          <w:color w:val="000000" w:themeColor="text1"/>
          <w:sz w:val="26"/>
          <w:szCs w:val="26"/>
          <w:lang w:eastAsia="hu-HU"/>
        </w:rPr>
        <w:t>A 4,5%-os módosított hiánycélhoz tartozó várható éves pénzforgalmi hiány – a kormányzati szektor egyenlegéről és adósságáról március végén közzétett jelentésben szereplő várható adat szerint – ugyanakkor 3 </w:t>
      </w:r>
      <w:r w:rsidR="00384AA3" w:rsidRPr="00384AA3">
        <w:rPr>
          <w:rFonts w:ascii="Times New Roman" w:eastAsia="Times New Roman" w:hAnsi="Times New Roman" w:cs="Times New Roman"/>
          <w:color w:val="000000" w:themeColor="text1"/>
          <w:sz w:val="26"/>
          <w:szCs w:val="26"/>
          <w:lang w:eastAsia="hu-HU"/>
        </w:rPr>
        <w:t xml:space="preserve">982,0 milliárd forint. A </w:t>
      </w:r>
      <w:r w:rsidRPr="00384AA3">
        <w:rPr>
          <w:rFonts w:ascii="Times New Roman" w:eastAsia="Times New Roman" w:hAnsi="Times New Roman" w:cs="Times New Roman"/>
          <w:color w:val="000000" w:themeColor="text1"/>
          <w:sz w:val="26"/>
          <w:szCs w:val="26"/>
          <w:lang w:eastAsia="hu-HU"/>
        </w:rPr>
        <w:t xml:space="preserve">központi alrendszer </w:t>
      </w:r>
      <w:r w:rsidR="0034232F" w:rsidRPr="00384AA3">
        <w:rPr>
          <w:rFonts w:ascii="Times New Roman" w:eastAsia="Times New Roman" w:hAnsi="Times New Roman" w:cs="Times New Roman"/>
          <w:color w:val="000000" w:themeColor="text1"/>
          <w:sz w:val="26"/>
          <w:szCs w:val="26"/>
          <w:lang w:eastAsia="hu-HU"/>
        </w:rPr>
        <w:t xml:space="preserve">május végi </w:t>
      </w:r>
      <w:r w:rsidRPr="00384AA3">
        <w:rPr>
          <w:rFonts w:ascii="Times New Roman" w:eastAsia="Times New Roman" w:hAnsi="Times New Roman" w:cs="Times New Roman"/>
          <w:color w:val="000000" w:themeColor="text1"/>
          <w:sz w:val="26"/>
          <w:szCs w:val="26"/>
          <w:lang w:eastAsia="hu-HU"/>
        </w:rPr>
        <w:t>hiánya (2 5</w:t>
      </w:r>
      <w:r w:rsidR="00384AA3" w:rsidRPr="00384AA3">
        <w:rPr>
          <w:rFonts w:ascii="Times New Roman" w:eastAsia="Times New Roman" w:hAnsi="Times New Roman" w:cs="Times New Roman"/>
          <w:color w:val="000000" w:themeColor="text1"/>
          <w:sz w:val="26"/>
          <w:szCs w:val="26"/>
          <w:lang w:eastAsia="hu-HU"/>
        </w:rPr>
        <w:t>48</w:t>
      </w:r>
      <w:r w:rsidRPr="00384AA3">
        <w:rPr>
          <w:rFonts w:ascii="Times New Roman" w:eastAsia="Times New Roman" w:hAnsi="Times New Roman" w:cs="Times New Roman"/>
          <w:color w:val="000000" w:themeColor="text1"/>
          <w:sz w:val="26"/>
          <w:szCs w:val="26"/>
          <w:lang w:eastAsia="hu-HU"/>
        </w:rPr>
        <w:t>,5 milliárd forint) ennek 6</w:t>
      </w:r>
      <w:r w:rsidR="00384AA3" w:rsidRPr="00384AA3">
        <w:rPr>
          <w:rFonts w:ascii="Times New Roman" w:eastAsia="Times New Roman" w:hAnsi="Times New Roman" w:cs="Times New Roman"/>
          <w:color w:val="000000" w:themeColor="text1"/>
          <w:sz w:val="26"/>
          <w:szCs w:val="26"/>
          <w:lang w:eastAsia="hu-HU"/>
        </w:rPr>
        <w:t>4,0</w:t>
      </w:r>
      <w:r w:rsidRPr="00384AA3">
        <w:rPr>
          <w:rFonts w:ascii="Times New Roman" w:eastAsia="Times New Roman" w:hAnsi="Times New Roman" w:cs="Times New Roman"/>
          <w:color w:val="000000" w:themeColor="text1"/>
          <w:sz w:val="26"/>
          <w:szCs w:val="26"/>
          <w:lang w:eastAsia="hu-HU"/>
        </w:rPr>
        <w:t>%-a.</w:t>
      </w:r>
    </w:p>
    <w:p w14:paraId="7B768A92" w14:textId="77777777" w:rsidR="00B155FE" w:rsidRPr="00377D59" w:rsidRDefault="00B155FE" w:rsidP="00B155FE">
      <w:pPr>
        <w:spacing w:after="120" w:line="240" w:lineRule="auto"/>
        <w:jc w:val="both"/>
        <w:rPr>
          <w:rFonts w:ascii="Times New Roman" w:eastAsia="Times New Roman" w:hAnsi="Times New Roman" w:cs="Times New Roman"/>
          <w:b/>
          <w:bCs/>
          <w:sz w:val="26"/>
          <w:szCs w:val="20"/>
          <w:lang w:eastAsia="hu-HU"/>
        </w:rPr>
      </w:pPr>
      <w:r w:rsidRPr="00377D59">
        <w:rPr>
          <w:rFonts w:ascii="Times New Roman" w:eastAsia="Times New Roman" w:hAnsi="Times New Roman" w:cs="Times New Roman"/>
          <w:b/>
          <w:bCs/>
          <w:sz w:val="26"/>
          <w:szCs w:val="20"/>
          <w:lang w:eastAsia="hu-HU"/>
        </w:rPr>
        <w:br w:type="page"/>
      </w:r>
    </w:p>
    <w:p w14:paraId="7B768A93" w14:textId="77777777" w:rsidR="00B155FE" w:rsidRPr="00377D59" w:rsidRDefault="639E9B9B" w:rsidP="639E9B9B">
      <w:pPr>
        <w:spacing w:after="120" w:line="240" w:lineRule="auto"/>
        <w:jc w:val="center"/>
        <w:rPr>
          <w:rFonts w:ascii="Times New Roman" w:eastAsia="Times New Roman" w:hAnsi="Times New Roman" w:cs="Times New Roman"/>
          <w:b/>
          <w:bCs/>
          <w:sz w:val="26"/>
          <w:szCs w:val="26"/>
          <w:lang w:eastAsia="hu-HU"/>
        </w:rPr>
      </w:pPr>
      <w:r w:rsidRPr="639E9B9B">
        <w:rPr>
          <w:rFonts w:ascii="Times New Roman" w:eastAsia="Times New Roman" w:hAnsi="Times New Roman" w:cs="Times New Roman"/>
          <w:b/>
          <w:bCs/>
          <w:sz w:val="26"/>
          <w:szCs w:val="26"/>
          <w:lang w:eastAsia="hu-HU"/>
        </w:rPr>
        <w:t>I.</w:t>
      </w:r>
    </w:p>
    <w:p w14:paraId="7B768A94" w14:textId="77777777" w:rsidR="00B155FE" w:rsidRPr="00377D59" w:rsidRDefault="639E9B9B" w:rsidP="639E9B9B">
      <w:pPr>
        <w:keepNext/>
        <w:spacing w:after="120" w:line="240" w:lineRule="auto"/>
        <w:jc w:val="center"/>
        <w:outlineLvl w:val="1"/>
        <w:rPr>
          <w:rFonts w:ascii="Times New Roman" w:eastAsia="Times New Roman" w:hAnsi="Times New Roman" w:cs="Times New Roman"/>
          <w:b/>
          <w:bCs/>
          <w:caps/>
          <w:sz w:val="26"/>
          <w:szCs w:val="26"/>
          <w:lang w:eastAsia="hu-HU"/>
        </w:rPr>
      </w:pPr>
      <w:r w:rsidRPr="639E9B9B">
        <w:rPr>
          <w:rFonts w:ascii="Times New Roman" w:eastAsia="Times New Roman" w:hAnsi="Times New Roman" w:cs="Times New Roman"/>
          <w:b/>
          <w:bCs/>
          <w:caps/>
          <w:sz w:val="26"/>
          <w:szCs w:val="26"/>
          <w:lang w:eastAsia="hu-HU"/>
        </w:rPr>
        <w:t xml:space="preserve">A központi alrendszer pénzügyi folyamatainak </w:t>
      </w:r>
      <w:r w:rsidR="6BF9886D">
        <w:br/>
      </w:r>
      <w:r w:rsidRPr="639E9B9B">
        <w:rPr>
          <w:rFonts w:ascii="Times New Roman" w:eastAsia="Times New Roman" w:hAnsi="Times New Roman" w:cs="Times New Roman"/>
          <w:b/>
          <w:bCs/>
          <w:caps/>
          <w:sz w:val="26"/>
          <w:szCs w:val="26"/>
          <w:lang w:eastAsia="hu-HU"/>
        </w:rPr>
        <w:t>alakulása</w:t>
      </w:r>
    </w:p>
    <w:p w14:paraId="6D461365" w14:textId="08DC9FC2" w:rsidR="0004032B" w:rsidRPr="00377D59" w:rsidRDefault="639E9B9B" w:rsidP="639E9B9B">
      <w:pPr>
        <w:keepNext/>
        <w:numPr>
          <w:ilvl w:val="0"/>
          <w:numId w:val="3"/>
        </w:numPr>
        <w:spacing w:after="120" w:line="240" w:lineRule="auto"/>
        <w:jc w:val="both"/>
        <w:outlineLvl w:val="2"/>
        <w:rPr>
          <w:rFonts w:ascii="Times New Roman" w:eastAsia="Times New Roman" w:hAnsi="Times New Roman" w:cs="Times New Roman"/>
          <w:b/>
          <w:bCs/>
          <w:smallCaps/>
          <w:sz w:val="28"/>
          <w:szCs w:val="28"/>
          <w:lang w:eastAsia="hu-HU"/>
        </w:rPr>
      </w:pPr>
      <w:r w:rsidRPr="639E9B9B">
        <w:rPr>
          <w:rFonts w:ascii="Times New Roman" w:eastAsia="Times New Roman" w:hAnsi="Times New Roman" w:cs="Times New Roman"/>
          <w:b/>
          <w:bCs/>
          <w:smallCaps/>
          <w:sz w:val="28"/>
          <w:szCs w:val="28"/>
          <w:lang w:eastAsia="hu-HU"/>
        </w:rPr>
        <w:t>A főbb bevételek</w:t>
      </w:r>
    </w:p>
    <w:p w14:paraId="12E99013" w14:textId="310EC71D" w:rsidR="0004032B" w:rsidRPr="00377D59" w:rsidRDefault="639E9B9B" w:rsidP="639E9B9B">
      <w:pPr>
        <w:jc w:val="both"/>
        <w:rPr>
          <w:rFonts w:ascii="Times New Roman" w:eastAsia="Times New Roman" w:hAnsi="Times New Roman" w:cs="Times New Roman"/>
          <w:b/>
          <w:bCs/>
          <w:sz w:val="26"/>
          <w:szCs w:val="26"/>
        </w:rPr>
      </w:pPr>
      <w:r w:rsidRPr="639E9B9B">
        <w:rPr>
          <w:rFonts w:ascii="Times New Roman" w:eastAsia="Times New Roman" w:hAnsi="Times New Roman" w:cs="Times New Roman"/>
          <w:b/>
          <w:bCs/>
          <w:sz w:val="26"/>
          <w:szCs w:val="26"/>
        </w:rPr>
        <w:t xml:space="preserve">A központi alrendszer </w:t>
      </w:r>
      <w:r w:rsidR="00927CAB">
        <w:rPr>
          <w:rFonts w:ascii="Times New Roman" w:eastAsia="Times New Roman" w:hAnsi="Times New Roman" w:cs="Times New Roman"/>
          <w:b/>
          <w:bCs/>
          <w:sz w:val="26"/>
          <w:szCs w:val="26"/>
        </w:rPr>
        <w:t>május</w:t>
      </w:r>
      <w:r w:rsidRPr="639E9B9B">
        <w:rPr>
          <w:rFonts w:ascii="Times New Roman" w:eastAsia="Times New Roman" w:hAnsi="Times New Roman" w:cs="Times New Roman"/>
          <w:b/>
          <w:bCs/>
          <w:sz w:val="26"/>
          <w:szCs w:val="26"/>
        </w:rPr>
        <w:t xml:space="preserve"> végi </w:t>
      </w:r>
      <w:r w:rsidR="00927CAB">
        <w:rPr>
          <w:rFonts w:ascii="Times New Roman" w:eastAsia="Times New Roman" w:hAnsi="Times New Roman" w:cs="Times New Roman"/>
          <w:b/>
          <w:bCs/>
          <w:sz w:val="26"/>
          <w:szCs w:val="26"/>
        </w:rPr>
        <w:t>15 </w:t>
      </w:r>
      <w:r w:rsidR="00927CAB" w:rsidRPr="00927CAB">
        <w:rPr>
          <w:rFonts w:ascii="Times New Roman" w:eastAsia="Times New Roman" w:hAnsi="Times New Roman" w:cs="Times New Roman"/>
          <w:b/>
          <w:bCs/>
          <w:sz w:val="26"/>
          <w:szCs w:val="26"/>
        </w:rPr>
        <w:t>349,2 milliárd forint összegű bevételei az előző év azonos időszakához képest 969,0 milliárd forinttal, 6,7%-kal magasabb összegben alakultak</w:t>
      </w:r>
      <w:r w:rsidRPr="639E9B9B">
        <w:rPr>
          <w:rFonts w:ascii="Times New Roman" w:eastAsia="Times New Roman" w:hAnsi="Times New Roman" w:cs="Times New Roman"/>
          <w:b/>
          <w:bCs/>
          <w:sz w:val="26"/>
          <w:szCs w:val="26"/>
        </w:rPr>
        <w:t>.</w:t>
      </w:r>
      <w:r w:rsidR="00B22BD9">
        <w:rPr>
          <w:rFonts w:ascii="Times New Roman" w:eastAsia="Times New Roman" w:hAnsi="Times New Roman" w:cs="Times New Roman"/>
          <w:b/>
          <w:bCs/>
          <w:sz w:val="26"/>
          <w:szCs w:val="26"/>
        </w:rPr>
        <w:t xml:space="preserve"> </w:t>
      </w:r>
    </w:p>
    <w:p w14:paraId="230C25CD" w14:textId="7F898E74" w:rsidR="00852731" w:rsidRPr="00377D59" w:rsidRDefault="00F01C3C" w:rsidP="00AD2450">
      <w:pPr>
        <w:spacing w:after="240" w:line="240" w:lineRule="auto"/>
        <w:jc w:val="center"/>
        <w:rPr>
          <w:rFonts w:ascii="Times New Roman" w:eastAsia="Times New Roman" w:hAnsi="Times New Roman" w:cs="Times New Roman"/>
          <w:b/>
          <w:bCs/>
          <w:sz w:val="26"/>
          <w:szCs w:val="26"/>
          <w:lang w:eastAsia="hu-HU"/>
        </w:rPr>
      </w:pPr>
      <w:r w:rsidRPr="00F01C3C">
        <w:rPr>
          <w:rFonts w:ascii="Times New Roman" w:eastAsia="Times New Roman" w:hAnsi="Times New Roman" w:cs="Times New Roman"/>
          <w:b/>
          <w:bCs/>
          <w:noProof/>
          <w:sz w:val="26"/>
          <w:szCs w:val="26"/>
          <w:lang w:eastAsia="hu-HU"/>
        </w:rPr>
        <w:drawing>
          <wp:inline distT="0" distB="0" distL="0" distR="0" wp14:anchorId="6002E3E2" wp14:editId="7E895FA6">
            <wp:extent cx="5940425" cy="2352485"/>
            <wp:effectExtent l="0" t="0" r="3175" b="0"/>
            <wp:docPr id="6" name="Kép 6" descr="Z:\monitoring\2024\MÉRLEG\05\ábrák\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nitoring\2024\MÉRLEG\05\ábrák\bevétel_megoszlá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52485"/>
                    </a:xfrm>
                    <a:prstGeom prst="rect">
                      <a:avLst/>
                    </a:prstGeom>
                    <a:noFill/>
                    <a:ln>
                      <a:noFill/>
                    </a:ln>
                  </pic:spPr>
                </pic:pic>
              </a:graphicData>
            </a:graphic>
          </wp:inline>
        </w:drawing>
      </w:r>
    </w:p>
    <w:p w14:paraId="0596A246" w14:textId="77777777" w:rsidR="0048361E" w:rsidRPr="0048361E" w:rsidRDefault="639E9B9B" w:rsidP="639E9B9B">
      <w:pPr>
        <w:jc w:val="both"/>
        <w:rPr>
          <w:rFonts w:ascii="Times New Roman" w:hAnsi="Times New Roman" w:cs="Times New Roman"/>
          <w:sz w:val="26"/>
          <w:szCs w:val="26"/>
          <w:highlight w:val="yellow"/>
        </w:rPr>
      </w:pPr>
      <w:r w:rsidRPr="639E9B9B">
        <w:rPr>
          <w:rFonts w:ascii="Times New Roman" w:hAnsi="Times New Roman" w:cs="Times New Roman"/>
          <w:b/>
          <w:bCs/>
          <w:sz w:val="26"/>
          <w:szCs w:val="26"/>
        </w:rPr>
        <w:t xml:space="preserve">Társasági adó </w:t>
      </w:r>
      <w:r w:rsidRPr="639E9B9B">
        <w:rPr>
          <w:rFonts w:ascii="Times New Roman" w:hAnsi="Times New Roman" w:cs="Times New Roman"/>
          <w:sz w:val="26"/>
          <w:szCs w:val="26"/>
        </w:rPr>
        <w:t>jogcímen a 2024. év első öt hónapjában 648,0 milliárd forint realizálódott, amely az előző év egyenlegét 38,9 milliárd forinttal haladta meg. A bázisévhez viszonyítva az eltérést a májusi elszámolásokhoz köthető magasabb pénzforgalom és az előlegek előző évinél magasabb szintje, valamint egyedi és eltérő üzleti éves adózók elszámolásához köthető befizetések okozzák.</w:t>
      </w:r>
    </w:p>
    <w:p w14:paraId="7EDC0283" w14:textId="77777777" w:rsidR="0048361E" w:rsidRPr="0048361E" w:rsidRDefault="639E9B9B" w:rsidP="639E9B9B">
      <w:pPr>
        <w:jc w:val="both"/>
        <w:rPr>
          <w:rFonts w:ascii="Times New Roman" w:hAnsi="Times New Roman" w:cs="Times New Roman"/>
          <w:sz w:val="26"/>
          <w:szCs w:val="26"/>
        </w:rPr>
      </w:pPr>
      <w:r w:rsidRPr="639E9B9B">
        <w:rPr>
          <w:rFonts w:ascii="Times New Roman" w:hAnsi="Times New Roman" w:cs="Times New Roman"/>
          <w:sz w:val="26"/>
          <w:szCs w:val="26"/>
        </w:rPr>
        <w:t>A</w:t>
      </w:r>
      <w:r w:rsidRPr="639E9B9B">
        <w:rPr>
          <w:rFonts w:ascii="Times New Roman" w:hAnsi="Times New Roman" w:cs="Times New Roman"/>
          <w:b/>
          <w:bCs/>
          <w:sz w:val="26"/>
          <w:szCs w:val="26"/>
        </w:rPr>
        <w:t xml:space="preserve"> pénzügyi szervezetek befizetései</w:t>
      </w:r>
      <w:r w:rsidRPr="639E9B9B">
        <w:rPr>
          <w:rFonts w:ascii="Times New Roman" w:hAnsi="Times New Roman" w:cs="Times New Roman"/>
          <w:sz w:val="26"/>
          <w:szCs w:val="26"/>
        </w:rPr>
        <w:t xml:space="preserve"> mérlegsoron a 2024. év első öt hónapjában 30,5 milliárd forint teljesült, amely az előző év egyenlegénél 15,5 milliárd forinttal kevesebb. Ennek oka az extraprofitadó befizetésének eltérő időpontja a 2023. évhez viszonyítva.</w:t>
      </w:r>
    </w:p>
    <w:p w14:paraId="59594670" w14:textId="77777777" w:rsidR="0048361E" w:rsidRPr="0048361E" w:rsidRDefault="639E9B9B" w:rsidP="639E9B9B">
      <w:pPr>
        <w:jc w:val="both"/>
        <w:rPr>
          <w:rFonts w:ascii="Times New Roman" w:hAnsi="Times New Roman" w:cs="Times New Roman"/>
          <w:sz w:val="26"/>
          <w:szCs w:val="26"/>
        </w:rPr>
      </w:pPr>
      <w:r w:rsidRPr="639E9B9B">
        <w:rPr>
          <w:rFonts w:ascii="Times New Roman" w:hAnsi="Times New Roman" w:cs="Times New Roman"/>
          <w:sz w:val="26"/>
          <w:szCs w:val="26"/>
        </w:rPr>
        <w:t>A</w:t>
      </w:r>
      <w:r w:rsidRPr="639E9B9B">
        <w:rPr>
          <w:rFonts w:ascii="Times New Roman" w:hAnsi="Times New Roman" w:cs="Times New Roman"/>
          <w:b/>
          <w:bCs/>
          <w:sz w:val="26"/>
          <w:szCs w:val="26"/>
        </w:rPr>
        <w:t xml:space="preserve"> kisadózók tételes adójából</w:t>
      </w:r>
      <w:r w:rsidRPr="639E9B9B">
        <w:rPr>
          <w:rFonts w:ascii="Times New Roman" w:hAnsi="Times New Roman" w:cs="Times New Roman"/>
          <w:sz w:val="26"/>
          <w:szCs w:val="26"/>
        </w:rPr>
        <w:t xml:space="preserve"> 2024 első öt hónapjában a költségvetésnek 27,8 milliárd forint bevétele keletkezett, amely 2,8 milliárd forinttal kevesebb az egy évvel korábbinál. Ennek oka az adónemet választók alacsonyabb létszáma.</w:t>
      </w:r>
    </w:p>
    <w:p w14:paraId="50F0116D" w14:textId="37D20482" w:rsidR="0048361E" w:rsidRPr="0048361E" w:rsidRDefault="639E9B9B" w:rsidP="639E9B9B">
      <w:pPr>
        <w:jc w:val="both"/>
        <w:rPr>
          <w:rFonts w:ascii="Times New Roman" w:hAnsi="Times New Roman" w:cs="Times New Roman"/>
          <w:sz w:val="26"/>
          <w:szCs w:val="26"/>
        </w:rPr>
      </w:pPr>
      <w:r w:rsidRPr="639E9B9B">
        <w:rPr>
          <w:rFonts w:ascii="Times New Roman" w:hAnsi="Times New Roman" w:cs="Times New Roman"/>
          <w:sz w:val="26"/>
          <w:szCs w:val="26"/>
        </w:rPr>
        <w:t>A</w:t>
      </w:r>
      <w:r w:rsidRPr="639E9B9B">
        <w:rPr>
          <w:rFonts w:ascii="Times New Roman" w:hAnsi="Times New Roman" w:cs="Times New Roman"/>
          <w:b/>
          <w:bCs/>
          <w:sz w:val="26"/>
          <w:szCs w:val="26"/>
        </w:rPr>
        <w:t xml:space="preserve"> kisvállalati adóból</w:t>
      </w:r>
      <w:r w:rsidRPr="639E9B9B">
        <w:rPr>
          <w:rFonts w:ascii="Times New Roman" w:hAnsi="Times New Roman" w:cs="Times New Roman"/>
          <w:sz w:val="26"/>
          <w:szCs w:val="26"/>
        </w:rPr>
        <w:t xml:space="preserve"> származó bevétel a 2024. év első öt hónapjában 92,2 milliárd forint volt, amely 14,4 milliárd forinttal magasabb az előző év egyenlegénél. Ennek oka az adóalanyok számának jelentős mértékű bővülése. A 2024. év májusában a KIVA alanyok s</w:t>
      </w:r>
      <w:r w:rsidR="00384AA3">
        <w:rPr>
          <w:rFonts w:ascii="Times New Roman" w:hAnsi="Times New Roman" w:cs="Times New Roman"/>
          <w:sz w:val="26"/>
          <w:szCs w:val="26"/>
        </w:rPr>
        <w:t>záma meghaladta a 93,9</w:t>
      </w:r>
      <w:r w:rsidRPr="639E9B9B">
        <w:rPr>
          <w:rFonts w:ascii="Times New Roman" w:hAnsi="Times New Roman" w:cs="Times New Roman"/>
          <w:sz w:val="26"/>
          <w:szCs w:val="26"/>
        </w:rPr>
        <w:t xml:space="preserve"> ezret.</w:t>
      </w:r>
    </w:p>
    <w:p w14:paraId="07D15ED5" w14:textId="5BC84041" w:rsidR="06BE6BE2" w:rsidRPr="00377D59"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bányajáradék-bevétel</w:t>
      </w:r>
      <w:r w:rsidRPr="639E9B9B">
        <w:rPr>
          <w:rFonts w:ascii="Times New Roman" w:eastAsia="Times New Roman" w:hAnsi="Times New Roman" w:cs="Times New Roman"/>
          <w:sz w:val="26"/>
          <w:szCs w:val="26"/>
        </w:rPr>
        <w:t xml:space="preserve"> az év első öt hónapjában 46,6 milliárd forint volt, amely 73,0 milliárd forinttal teljesült alacsonyabban az egy évvel korábbi azonos időszakénál, amelynek fő oka a bányajáradék számítási módjának 2023. szeptember 1-jétől hatályos módosítása.</w:t>
      </w:r>
    </w:p>
    <w:p w14:paraId="5322C39E" w14:textId="05E7326F" w:rsidR="72AFD5C4" w:rsidRPr="00377D59"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útdíjakból származó bevétel</w:t>
      </w:r>
      <w:r w:rsidRPr="639E9B9B">
        <w:rPr>
          <w:rFonts w:ascii="Times New Roman" w:eastAsia="Times New Roman" w:hAnsi="Times New Roman" w:cs="Times New Roman"/>
          <w:sz w:val="26"/>
          <w:szCs w:val="26"/>
        </w:rPr>
        <w:t xml:space="preserve"> 2024-től külön mérlegsoron jelenik meg, mely az elektronikus útdíj rendszer és az időalapú útdíj rendszer bevételeinek együttes összegét tartalmazza. Az útdíjakból 2024. május </w:t>
      </w:r>
      <w:r w:rsidRPr="00194E8F">
        <w:rPr>
          <w:rFonts w:ascii="Times New Roman" w:eastAsia="Times New Roman" w:hAnsi="Times New Roman" w:cs="Times New Roman"/>
          <w:sz w:val="26"/>
          <w:szCs w:val="26"/>
        </w:rPr>
        <w:t>végéig 250,9</w:t>
      </w:r>
      <w:r w:rsidR="00920F4D">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milliárd forint bevétel teljesült, amely 81,7</w:t>
      </w:r>
      <w:r w:rsidR="00920F4D">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milliárd forinttal magasabb az előző év azonos időszakához viszonyítva. A magasabb teljesülést alapvetőn a díjrendszereket érintő jogszabályi keretek változása, különösen</w:t>
      </w:r>
      <w:r w:rsidR="00920F4D">
        <w:rPr>
          <w:rFonts w:ascii="Times New Roman" w:eastAsia="Times New Roman" w:hAnsi="Times New Roman" w:cs="Times New Roman"/>
          <w:sz w:val="26"/>
          <w:szCs w:val="26"/>
        </w:rPr>
        <w:t xml:space="preserve"> a </w:t>
      </w:r>
      <w:r w:rsidRPr="639E9B9B">
        <w:rPr>
          <w:rFonts w:ascii="Times New Roman" w:eastAsia="Times New Roman" w:hAnsi="Times New Roman" w:cs="Times New Roman"/>
          <w:sz w:val="26"/>
          <w:szCs w:val="26"/>
        </w:rPr>
        <w:t>külsőköltség-díj bevezetése okozza.</w:t>
      </w:r>
    </w:p>
    <w:p w14:paraId="45332C98" w14:textId="20EC17CB" w:rsidR="00071FA3" w:rsidRPr="00377D59"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b/>
          <w:bCs/>
          <w:sz w:val="26"/>
          <w:szCs w:val="26"/>
        </w:rPr>
        <w:t xml:space="preserve">Egyéb központosított bevételekből </w:t>
      </w:r>
      <w:r w:rsidRPr="639E9B9B">
        <w:rPr>
          <w:rFonts w:ascii="Times New Roman" w:eastAsia="Times New Roman" w:hAnsi="Times New Roman" w:cs="Times New Roman"/>
          <w:sz w:val="26"/>
          <w:szCs w:val="26"/>
        </w:rPr>
        <w:t>– az útdíjak nélkül – május végéig összesen 57,8 milliárd forint bevétel teljesült, amely a törvényi előirányzat 39,7%-ának felel meg. Ezen belül kiemelkedő a bírságbevételekből befolyt 34,6 milliárd forint.</w:t>
      </w:r>
    </w:p>
    <w:p w14:paraId="67C68F72" w14:textId="27D64B88" w:rsidR="0048361E" w:rsidRPr="0048361E" w:rsidRDefault="639E9B9B" w:rsidP="639E9B9B">
      <w:pPr>
        <w:jc w:val="both"/>
        <w:rPr>
          <w:rFonts w:ascii="Times New Roman" w:hAnsi="Times New Roman" w:cs="Times New Roman"/>
          <w:b/>
          <w:bCs/>
          <w:sz w:val="26"/>
          <w:szCs w:val="26"/>
          <w:highlight w:val="yellow"/>
        </w:rPr>
      </w:pPr>
      <w:r w:rsidRPr="639E9B9B">
        <w:rPr>
          <w:rFonts w:ascii="Times New Roman" w:hAnsi="Times New Roman" w:cs="Times New Roman"/>
          <w:sz w:val="26"/>
          <w:szCs w:val="26"/>
        </w:rPr>
        <w:t>Az</w:t>
      </w:r>
      <w:r w:rsidRPr="639E9B9B">
        <w:rPr>
          <w:rFonts w:ascii="Times New Roman" w:hAnsi="Times New Roman" w:cs="Times New Roman"/>
          <w:b/>
          <w:bCs/>
          <w:sz w:val="26"/>
          <w:szCs w:val="26"/>
        </w:rPr>
        <w:t xml:space="preserve"> energia ágazat befizetései </w:t>
      </w:r>
      <w:r w:rsidRPr="639E9B9B">
        <w:rPr>
          <w:rFonts w:ascii="Times New Roman" w:hAnsi="Times New Roman" w:cs="Times New Roman"/>
          <w:sz w:val="26"/>
          <w:szCs w:val="26"/>
        </w:rPr>
        <w:t xml:space="preserve">jogcímen </w:t>
      </w:r>
      <w:r w:rsidR="00031C82">
        <w:rPr>
          <w:rFonts w:ascii="Times New Roman" w:hAnsi="Times New Roman" w:cs="Times New Roman"/>
          <w:sz w:val="26"/>
          <w:szCs w:val="26"/>
        </w:rPr>
        <w:t xml:space="preserve">a </w:t>
      </w:r>
      <w:r w:rsidRPr="639E9B9B">
        <w:rPr>
          <w:rFonts w:ascii="Times New Roman" w:hAnsi="Times New Roman" w:cs="Times New Roman"/>
          <w:sz w:val="26"/>
          <w:szCs w:val="26"/>
        </w:rPr>
        <w:t xml:space="preserve">2024. év első öt hónapjában 175,7 milliárd forint pénzforgalom teljesült, amely az előző év azonos időszakának egyenlegétől 53,2 milliárd forinttal maradt el. Az </w:t>
      </w:r>
      <w:r w:rsidR="00031C82">
        <w:rPr>
          <w:rFonts w:ascii="Times New Roman" w:hAnsi="Times New Roman" w:cs="Times New Roman"/>
          <w:sz w:val="26"/>
          <w:szCs w:val="26"/>
        </w:rPr>
        <w:t>elmaradás számottevő része az Ural-Brent spread különadóból származik.</w:t>
      </w:r>
    </w:p>
    <w:p w14:paraId="4779FC54" w14:textId="77777777" w:rsidR="0048361E" w:rsidRPr="0048361E" w:rsidRDefault="639E9B9B" w:rsidP="639E9B9B">
      <w:pPr>
        <w:jc w:val="both"/>
        <w:rPr>
          <w:rFonts w:ascii="Times New Roman" w:hAnsi="Times New Roman" w:cs="Times New Roman"/>
          <w:sz w:val="26"/>
          <w:szCs w:val="26"/>
          <w:highlight w:val="yellow"/>
        </w:rPr>
      </w:pPr>
      <w:r w:rsidRPr="639E9B9B">
        <w:rPr>
          <w:rFonts w:ascii="Times New Roman" w:hAnsi="Times New Roman" w:cs="Times New Roman"/>
          <w:b/>
          <w:bCs/>
          <w:sz w:val="26"/>
          <w:szCs w:val="26"/>
        </w:rPr>
        <w:t xml:space="preserve">Kiskereskedelmi adó </w:t>
      </w:r>
      <w:r w:rsidRPr="639E9B9B">
        <w:rPr>
          <w:rFonts w:ascii="Times New Roman" w:hAnsi="Times New Roman" w:cs="Times New Roman"/>
          <w:sz w:val="26"/>
          <w:szCs w:val="26"/>
        </w:rPr>
        <w:t>jogcímen az év első öt hónapjában 30,0 milliárd forint bevétel teljesült, amely az előző év azonos időszakának egyenlegénél 5,2 milliárd forinttal alacsonyabb. Az alacsonyabb teljesülés az elszámolásokhoz és önellenőrzésekhez köthető befizetéseknek köszönhető.</w:t>
      </w:r>
    </w:p>
    <w:p w14:paraId="4704FB1D" w14:textId="5C2C72E4" w:rsidR="00843640" w:rsidRPr="00843640" w:rsidRDefault="00843640" w:rsidP="00031C82">
      <w:pPr>
        <w:jc w:val="both"/>
        <w:rPr>
          <w:rFonts w:ascii="Times New Roman" w:hAnsi="Times New Roman" w:cs="Times New Roman"/>
          <w:sz w:val="26"/>
          <w:szCs w:val="26"/>
        </w:rPr>
      </w:pPr>
      <w:r w:rsidRPr="00843640">
        <w:rPr>
          <w:rFonts w:ascii="Times New Roman" w:hAnsi="Times New Roman" w:cs="Times New Roman"/>
          <w:b/>
          <w:sz w:val="26"/>
          <w:szCs w:val="26"/>
        </w:rPr>
        <w:t>Gyógyszergyártói adó</w:t>
      </w:r>
      <w:r w:rsidRPr="00843640">
        <w:rPr>
          <w:rFonts w:ascii="Times New Roman" w:hAnsi="Times New Roman" w:cs="Times New Roman"/>
          <w:sz w:val="26"/>
          <w:szCs w:val="26"/>
        </w:rPr>
        <w:t xml:space="preserve"> jogcímen 2024 első öt hónapjában 12,9 milliárd forint pénzforgalom teljesült, amely 25,8 milliárd forinttal marad el az előző év azonos időszakához képest. Ennek oka, hogy a jogszabály évente eltérő előlegfizetési, adóbevallási és elszámolási időpontokat határoz meg. Az első befizetés 2023 májusában történt, ekkor került megfizetésre a teljes 2022. évi adókötelezettség. Az idén májusban befolyt bevétel olyan elszámolása a 2023. évi adókötelezettségnek, amely jelentős része 2023 novemberében, előlegként már megfizetésre került.</w:t>
      </w:r>
    </w:p>
    <w:p w14:paraId="6BC820DB" w14:textId="310BE2CE" w:rsidR="0048361E" w:rsidRPr="0048361E" w:rsidRDefault="639E9B9B" w:rsidP="00031C82">
      <w:pPr>
        <w:jc w:val="both"/>
        <w:rPr>
          <w:rFonts w:ascii="Times New Roman" w:hAnsi="Times New Roman" w:cs="Times New Roman"/>
          <w:sz w:val="26"/>
          <w:szCs w:val="26"/>
        </w:rPr>
      </w:pPr>
      <w:r w:rsidRPr="639E9B9B">
        <w:rPr>
          <w:rFonts w:ascii="Times New Roman" w:hAnsi="Times New Roman" w:cs="Times New Roman"/>
          <w:sz w:val="26"/>
          <w:szCs w:val="26"/>
        </w:rPr>
        <w:t xml:space="preserve">A </w:t>
      </w:r>
      <w:r w:rsidRPr="639E9B9B">
        <w:rPr>
          <w:rFonts w:ascii="Times New Roman" w:hAnsi="Times New Roman" w:cs="Times New Roman"/>
          <w:b/>
          <w:bCs/>
          <w:sz w:val="26"/>
          <w:szCs w:val="26"/>
        </w:rPr>
        <w:t xml:space="preserve">rehabilitációs hozzájárulásból </w:t>
      </w:r>
      <w:r w:rsidRPr="639E9B9B">
        <w:rPr>
          <w:rFonts w:ascii="Times New Roman" w:hAnsi="Times New Roman" w:cs="Times New Roman"/>
          <w:sz w:val="26"/>
          <w:szCs w:val="26"/>
        </w:rPr>
        <w:t>származó bevétel az év első öt hónapjában 87,2 milliárd forint volt, amely 9,6 milliárd forinttal magasabb az egy évvel korábbi összegnél. Ennek oka a minimálbérnek, így az adó mértékének az emelkedése.</w:t>
      </w:r>
    </w:p>
    <w:p w14:paraId="3ED5C438" w14:textId="0822F12E" w:rsidR="00980084" w:rsidRPr="0048361E" w:rsidRDefault="639E9B9B" w:rsidP="00A9789C">
      <w:pPr>
        <w:widowControl w:val="0"/>
        <w:tabs>
          <w:tab w:val="left" w:pos="3105"/>
        </w:tabs>
        <w:spacing w:after="120"/>
        <w:jc w:val="both"/>
        <w:rPr>
          <w:rFonts w:ascii="Times New Roman" w:hAnsi="Times New Roman" w:cs="Times New Roman"/>
          <w:sz w:val="26"/>
          <w:szCs w:val="26"/>
        </w:rPr>
      </w:pPr>
      <w:r w:rsidRPr="639E9B9B">
        <w:rPr>
          <w:rFonts w:ascii="Times New Roman" w:hAnsi="Times New Roman" w:cs="Times New Roman"/>
          <w:sz w:val="26"/>
          <w:szCs w:val="26"/>
        </w:rPr>
        <w:t xml:space="preserve">Az év első öt hónapjában az </w:t>
      </w:r>
      <w:r w:rsidRPr="639E9B9B">
        <w:rPr>
          <w:rFonts w:ascii="Times New Roman" w:hAnsi="Times New Roman" w:cs="Times New Roman"/>
          <w:b/>
          <w:bCs/>
          <w:sz w:val="26"/>
          <w:szCs w:val="26"/>
        </w:rPr>
        <w:t>általános forgalmi adóból</w:t>
      </w:r>
      <w:r w:rsidRPr="639E9B9B">
        <w:rPr>
          <w:rFonts w:ascii="Times New Roman" w:hAnsi="Times New Roman" w:cs="Times New Roman"/>
          <w:sz w:val="26"/>
          <w:szCs w:val="26"/>
        </w:rPr>
        <w:t xml:space="preserve"> 2</w:t>
      </w:r>
      <w:r w:rsidRPr="639E9B9B">
        <w:rPr>
          <w:rFonts w:ascii="Times New Roman" w:hAnsi="Times New Roman" w:cs="Times New Roman"/>
          <w:color w:val="000000" w:themeColor="text1"/>
          <w:sz w:val="26"/>
          <w:szCs w:val="26"/>
        </w:rPr>
        <w:t> </w:t>
      </w:r>
      <w:r w:rsidRPr="639E9B9B">
        <w:rPr>
          <w:rFonts w:ascii="Times New Roman" w:hAnsi="Times New Roman" w:cs="Times New Roman"/>
          <w:sz w:val="26"/>
          <w:szCs w:val="26"/>
        </w:rPr>
        <w:t>850,1</w:t>
      </w:r>
      <w:r w:rsidRPr="639E9B9B">
        <w:rPr>
          <w:rFonts w:ascii="Times New Roman" w:hAnsi="Times New Roman" w:cs="Times New Roman"/>
          <w:color w:val="000000" w:themeColor="text1"/>
          <w:sz w:val="26"/>
          <w:szCs w:val="26"/>
        </w:rPr>
        <w:t> </w:t>
      </w:r>
      <w:r w:rsidRPr="639E9B9B">
        <w:rPr>
          <w:rFonts w:ascii="Times New Roman" w:hAnsi="Times New Roman" w:cs="Times New Roman"/>
          <w:sz w:val="26"/>
          <w:szCs w:val="26"/>
        </w:rPr>
        <w:t>milliárd forint bevétele keletkezett a költségvetésnek, ami az egy évvel korábbi bevételt 198,0</w:t>
      </w:r>
      <w:r w:rsidRPr="639E9B9B">
        <w:rPr>
          <w:rFonts w:ascii="Times New Roman" w:hAnsi="Times New Roman" w:cs="Times New Roman"/>
          <w:color w:val="000000" w:themeColor="text1"/>
          <w:sz w:val="26"/>
          <w:szCs w:val="26"/>
        </w:rPr>
        <w:t> </w:t>
      </w:r>
      <w:r w:rsidRPr="639E9B9B">
        <w:rPr>
          <w:rFonts w:ascii="Times New Roman" w:hAnsi="Times New Roman" w:cs="Times New Roman"/>
          <w:sz w:val="26"/>
          <w:szCs w:val="26"/>
        </w:rPr>
        <w:t>milliárd forinttal haladja meg.</w:t>
      </w:r>
    </w:p>
    <w:tbl>
      <w:tblPr>
        <w:tblW w:w="6905" w:type="dxa"/>
        <w:jc w:val="center"/>
        <w:tblCellMar>
          <w:left w:w="70" w:type="dxa"/>
          <w:right w:w="70" w:type="dxa"/>
        </w:tblCellMar>
        <w:tblLook w:val="04A0" w:firstRow="1" w:lastRow="0" w:firstColumn="1" w:lastColumn="0" w:noHBand="0" w:noVBand="1"/>
      </w:tblPr>
      <w:tblGrid>
        <w:gridCol w:w="1537"/>
        <w:gridCol w:w="1724"/>
        <w:gridCol w:w="1700"/>
        <w:gridCol w:w="993"/>
        <w:gridCol w:w="951"/>
      </w:tblGrid>
      <w:tr w:rsidR="0048361E" w:rsidRPr="0048361E" w14:paraId="4B85BE4C" w14:textId="77777777" w:rsidTr="639E9B9B">
        <w:trPr>
          <w:trHeight w:val="255"/>
          <w:jc w:val="center"/>
        </w:trPr>
        <w:tc>
          <w:tcPr>
            <w:tcW w:w="6905" w:type="dxa"/>
            <w:gridSpan w:val="5"/>
            <w:tcBorders>
              <w:top w:val="nil"/>
              <w:left w:val="nil"/>
              <w:bottom w:val="nil"/>
              <w:right w:val="nil"/>
            </w:tcBorders>
            <w:shd w:val="clear" w:color="auto" w:fill="auto"/>
            <w:noWrap/>
            <w:vAlign w:val="bottom"/>
            <w:hideMark/>
          </w:tcPr>
          <w:p w14:paraId="1ABFCF70" w14:textId="77777777" w:rsidR="0048361E" w:rsidRPr="0048361E" w:rsidRDefault="639E9B9B" w:rsidP="00A9789C">
            <w:pPr>
              <w:widowControl w:val="0"/>
              <w:jc w:val="center"/>
              <w:rPr>
                <w:rFonts w:ascii="Times New Roman" w:hAnsi="Times New Roman" w:cs="Times New Roman"/>
                <w:b/>
                <w:bCs/>
              </w:rPr>
            </w:pPr>
            <w:r w:rsidRPr="639E9B9B">
              <w:rPr>
                <w:rFonts w:ascii="Times New Roman" w:hAnsi="Times New Roman" w:cs="Times New Roman"/>
                <w:b/>
                <w:bCs/>
              </w:rPr>
              <w:t xml:space="preserve">Általános forgalmi adó bevétel alakulása (milliárd forint) </w:t>
            </w:r>
          </w:p>
        </w:tc>
      </w:tr>
      <w:tr w:rsidR="0048361E" w:rsidRPr="0048361E" w14:paraId="5653F451" w14:textId="77777777" w:rsidTr="639E9B9B">
        <w:trPr>
          <w:trHeight w:val="340"/>
          <w:jc w:val="center"/>
        </w:trPr>
        <w:tc>
          <w:tcPr>
            <w:tcW w:w="153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4E255CE"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Megnevezés</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02A4C3"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2023.</w:t>
            </w:r>
          </w:p>
          <w:p w14:paraId="3277C061"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I-V. hó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1C2686"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2024.</w:t>
            </w:r>
          </w:p>
          <w:p w14:paraId="4DFEC1FD"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I-V. hó</w:t>
            </w:r>
          </w:p>
        </w:tc>
        <w:tc>
          <w:tcPr>
            <w:tcW w:w="194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64E28C"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Eltérés</w:t>
            </w:r>
          </w:p>
        </w:tc>
      </w:tr>
      <w:tr w:rsidR="0048361E" w:rsidRPr="0048361E" w14:paraId="70507D33" w14:textId="77777777" w:rsidTr="639E9B9B">
        <w:trPr>
          <w:trHeight w:val="340"/>
          <w:jc w:val="center"/>
        </w:trPr>
        <w:tc>
          <w:tcPr>
            <w:tcW w:w="153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D0B0FF" w14:textId="77777777" w:rsidR="0048361E" w:rsidRPr="0048361E" w:rsidRDefault="0048361E" w:rsidP="00A9789C">
            <w:pPr>
              <w:spacing w:after="0"/>
              <w:rPr>
                <w:rFonts w:ascii="Times New Roman" w:hAnsi="Times New Roman" w:cs="Times New Roman"/>
                <w:b/>
                <w:bCs/>
              </w:rPr>
            </w:pPr>
          </w:p>
        </w:tc>
        <w:tc>
          <w:tcPr>
            <w:tcW w:w="172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232437" w14:textId="77777777" w:rsidR="0048361E" w:rsidRPr="0048361E" w:rsidRDefault="0048361E" w:rsidP="00A9789C">
            <w:pPr>
              <w:spacing w:after="0"/>
              <w:rPr>
                <w:rFonts w:ascii="Times New Roman" w:hAnsi="Times New Roman" w:cs="Times New Roman"/>
                <w:b/>
                <w:bCs/>
              </w:rPr>
            </w:pPr>
          </w:p>
        </w:tc>
        <w:tc>
          <w:tcPr>
            <w:tcW w:w="170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313C4E" w14:textId="77777777" w:rsidR="0048361E" w:rsidRPr="0048361E" w:rsidRDefault="0048361E" w:rsidP="00A9789C">
            <w:pPr>
              <w:spacing w:after="0"/>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8E34C95"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Mrd Ft</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2FDDE93"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w:t>
            </w:r>
          </w:p>
        </w:tc>
      </w:tr>
      <w:tr w:rsidR="0048361E" w:rsidRPr="0048361E" w14:paraId="4FEC089A" w14:textId="77777777" w:rsidTr="639E9B9B">
        <w:trPr>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F886" w14:textId="77777777" w:rsidR="0048361E" w:rsidRPr="0048361E" w:rsidRDefault="639E9B9B" w:rsidP="639E9B9B">
            <w:pPr>
              <w:spacing w:after="0"/>
              <w:rPr>
                <w:rFonts w:ascii="Times New Roman" w:hAnsi="Times New Roman" w:cs="Times New Roman"/>
              </w:rPr>
            </w:pPr>
            <w:r w:rsidRPr="639E9B9B">
              <w:rPr>
                <w:rFonts w:ascii="Times New Roman" w:hAnsi="Times New Roman" w:cs="Times New Roman"/>
              </w:rPr>
              <w:t>Befizetés</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E1534"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5 290,0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054A5"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5 261,5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EEDF"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-28,5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ABF1"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99,5</w:t>
            </w:r>
          </w:p>
        </w:tc>
      </w:tr>
      <w:tr w:rsidR="0048361E" w:rsidRPr="0048361E" w14:paraId="271C5BBE" w14:textId="77777777" w:rsidTr="639E9B9B">
        <w:trPr>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2E3CC" w14:textId="77777777" w:rsidR="0048361E" w:rsidRPr="0048361E" w:rsidRDefault="639E9B9B" w:rsidP="639E9B9B">
            <w:pPr>
              <w:spacing w:after="0"/>
              <w:rPr>
                <w:rFonts w:ascii="Times New Roman" w:hAnsi="Times New Roman" w:cs="Times New Roman"/>
              </w:rPr>
            </w:pPr>
            <w:r w:rsidRPr="639E9B9B">
              <w:rPr>
                <w:rFonts w:ascii="Times New Roman" w:hAnsi="Times New Roman" w:cs="Times New Roman"/>
              </w:rPr>
              <w:t>Kiutalás</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9D982"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2 637,9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A263F"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2 411,4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A0671"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-226,5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08CC"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91,4</w:t>
            </w:r>
          </w:p>
        </w:tc>
      </w:tr>
      <w:tr w:rsidR="0048361E" w:rsidRPr="0048361E" w14:paraId="4379BB0A" w14:textId="77777777" w:rsidTr="639E9B9B">
        <w:trPr>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5581" w14:textId="77777777" w:rsidR="0048361E" w:rsidRPr="0048361E" w:rsidRDefault="639E9B9B" w:rsidP="639E9B9B">
            <w:pPr>
              <w:spacing w:after="0"/>
              <w:rPr>
                <w:rFonts w:ascii="Times New Roman" w:hAnsi="Times New Roman" w:cs="Times New Roman"/>
                <w:b/>
                <w:bCs/>
              </w:rPr>
            </w:pPr>
            <w:r w:rsidRPr="639E9B9B">
              <w:rPr>
                <w:rFonts w:ascii="Times New Roman" w:hAnsi="Times New Roman" w:cs="Times New Roman"/>
                <w:b/>
                <w:bCs/>
              </w:rPr>
              <w:t>Egyenleg</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4E24C" w14:textId="77777777" w:rsidR="0048361E" w:rsidRPr="001215DC" w:rsidRDefault="639E9B9B" w:rsidP="639E9B9B">
            <w:pPr>
              <w:spacing w:after="0"/>
              <w:jc w:val="right"/>
              <w:rPr>
                <w:rFonts w:ascii="Times New Roman" w:hAnsi="Times New Roman" w:cs="Times New Roman"/>
                <w:b/>
                <w:bCs/>
              </w:rPr>
            </w:pPr>
            <w:r w:rsidRPr="001215DC">
              <w:rPr>
                <w:rFonts w:ascii="Times New Roman" w:hAnsi="Times New Roman" w:cs="Times New Roman"/>
                <w:b/>
                <w:bCs/>
              </w:rPr>
              <w:t>2</w:t>
            </w:r>
            <w:r w:rsidRPr="001215DC">
              <w:rPr>
                <w:rFonts w:ascii="Times New Roman" w:hAnsi="Times New Roman" w:cs="Times New Roman"/>
              </w:rPr>
              <w:t> </w:t>
            </w:r>
            <w:r w:rsidRPr="001215DC">
              <w:rPr>
                <w:rFonts w:ascii="Times New Roman" w:hAnsi="Times New Roman" w:cs="Times New Roman"/>
                <w:b/>
                <w:bCs/>
              </w:rPr>
              <w:t>652,1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A4C70" w14:textId="77777777" w:rsidR="0048361E" w:rsidRPr="001215DC" w:rsidRDefault="639E9B9B" w:rsidP="639E9B9B">
            <w:pPr>
              <w:spacing w:after="0"/>
              <w:jc w:val="right"/>
              <w:rPr>
                <w:rFonts w:ascii="Times New Roman" w:hAnsi="Times New Roman" w:cs="Times New Roman"/>
                <w:b/>
                <w:bCs/>
              </w:rPr>
            </w:pPr>
            <w:r w:rsidRPr="001215DC">
              <w:rPr>
                <w:rFonts w:ascii="Times New Roman" w:hAnsi="Times New Roman" w:cs="Times New Roman"/>
                <w:b/>
                <w:bCs/>
              </w:rPr>
              <w:t>2</w:t>
            </w:r>
            <w:r w:rsidRPr="001215DC">
              <w:rPr>
                <w:rFonts w:ascii="Times New Roman" w:hAnsi="Times New Roman" w:cs="Times New Roman"/>
              </w:rPr>
              <w:t> </w:t>
            </w:r>
            <w:r w:rsidRPr="001215DC">
              <w:rPr>
                <w:rFonts w:ascii="Times New Roman" w:hAnsi="Times New Roman" w:cs="Times New Roman"/>
                <w:b/>
                <w:bCs/>
              </w:rPr>
              <w:t>850,1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1B75" w14:textId="77777777" w:rsidR="0048361E" w:rsidRPr="001215DC" w:rsidRDefault="639E9B9B" w:rsidP="639E9B9B">
            <w:pPr>
              <w:spacing w:after="0"/>
              <w:jc w:val="right"/>
              <w:rPr>
                <w:rFonts w:ascii="Times New Roman" w:hAnsi="Times New Roman" w:cs="Times New Roman"/>
                <w:b/>
                <w:bCs/>
              </w:rPr>
            </w:pPr>
            <w:r w:rsidRPr="001215DC">
              <w:rPr>
                <w:rFonts w:ascii="Times New Roman" w:hAnsi="Times New Roman" w:cs="Times New Roman"/>
                <w:b/>
                <w:bCs/>
              </w:rPr>
              <w:t>198,0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14F3E" w14:textId="77777777" w:rsidR="0048361E" w:rsidRPr="001215DC" w:rsidRDefault="639E9B9B" w:rsidP="639E9B9B">
            <w:pPr>
              <w:spacing w:after="0"/>
              <w:jc w:val="right"/>
              <w:rPr>
                <w:rFonts w:ascii="Times New Roman" w:hAnsi="Times New Roman" w:cs="Times New Roman"/>
                <w:b/>
                <w:bCs/>
              </w:rPr>
            </w:pPr>
            <w:r w:rsidRPr="001215DC">
              <w:rPr>
                <w:rFonts w:ascii="Times New Roman" w:hAnsi="Times New Roman" w:cs="Times New Roman"/>
                <w:b/>
                <w:bCs/>
              </w:rPr>
              <w:t>107,5</w:t>
            </w:r>
          </w:p>
        </w:tc>
      </w:tr>
    </w:tbl>
    <w:p w14:paraId="61CD0D12" w14:textId="4460FCF9" w:rsidR="0048361E" w:rsidRPr="0048361E" w:rsidRDefault="639E9B9B" w:rsidP="00A9789C">
      <w:pPr>
        <w:spacing w:before="240"/>
        <w:jc w:val="both"/>
        <w:rPr>
          <w:rFonts w:ascii="Times New Roman" w:hAnsi="Times New Roman" w:cs="Times New Roman"/>
          <w:sz w:val="26"/>
          <w:szCs w:val="26"/>
          <w:highlight w:val="yellow"/>
        </w:rPr>
      </w:pPr>
      <w:r w:rsidRPr="639E9B9B">
        <w:rPr>
          <w:rFonts w:ascii="Times New Roman" w:hAnsi="Times New Roman" w:cs="Times New Roman"/>
          <w:sz w:val="26"/>
          <w:szCs w:val="26"/>
        </w:rPr>
        <w:t xml:space="preserve">A belföldi befizetések és az import utáni áfa bevétel </w:t>
      </w:r>
      <w:r w:rsidR="00A9789C">
        <w:rPr>
          <w:rFonts w:ascii="Times New Roman" w:hAnsi="Times New Roman" w:cs="Times New Roman"/>
          <w:sz w:val="26"/>
          <w:szCs w:val="26"/>
        </w:rPr>
        <w:t>egyaránt csökkent, ugyanakkor a </w:t>
      </w:r>
      <w:r w:rsidRPr="639E9B9B">
        <w:rPr>
          <w:rFonts w:ascii="Times New Roman" w:hAnsi="Times New Roman" w:cs="Times New Roman"/>
          <w:sz w:val="26"/>
          <w:szCs w:val="26"/>
        </w:rPr>
        <w:t xml:space="preserve">dohánytermékek utáni áfa bevétel növekedett. A belföldi befizetések </w:t>
      </w:r>
      <w:r w:rsidR="001215DC">
        <w:rPr>
          <w:rFonts w:ascii="Times New Roman" w:hAnsi="Times New Roman" w:cs="Times New Roman"/>
          <w:sz w:val="26"/>
          <w:szCs w:val="26"/>
        </w:rPr>
        <w:t>alakulása</w:t>
      </w:r>
      <w:r w:rsidRPr="639E9B9B">
        <w:rPr>
          <w:rFonts w:ascii="Times New Roman" w:hAnsi="Times New Roman" w:cs="Times New Roman"/>
          <w:sz w:val="26"/>
          <w:szCs w:val="26"/>
        </w:rPr>
        <w:t xml:space="preserve"> elsősorban a villamos</w:t>
      </w:r>
      <w:r w:rsidR="001215DC">
        <w:rPr>
          <w:rFonts w:ascii="Times New Roman" w:hAnsi="Times New Roman" w:cs="Times New Roman"/>
          <w:sz w:val="26"/>
          <w:szCs w:val="26"/>
        </w:rPr>
        <w:t xml:space="preserve"> </w:t>
      </w:r>
      <w:r w:rsidRPr="639E9B9B">
        <w:rPr>
          <w:rFonts w:ascii="Times New Roman" w:hAnsi="Times New Roman" w:cs="Times New Roman"/>
          <w:sz w:val="26"/>
          <w:szCs w:val="26"/>
        </w:rPr>
        <w:t xml:space="preserve">energia-, gáz-, gőzellátás, légkondicionálás iparág </w:t>
      </w:r>
      <w:r w:rsidR="001215DC">
        <w:rPr>
          <w:rFonts w:ascii="Times New Roman" w:hAnsi="Times New Roman" w:cs="Times New Roman"/>
          <w:sz w:val="26"/>
          <w:szCs w:val="26"/>
        </w:rPr>
        <w:t>áfa</w:t>
      </w:r>
      <w:r w:rsidRPr="639E9B9B">
        <w:rPr>
          <w:rFonts w:ascii="Times New Roman" w:hAnsi="Times New Roman" w:cs="Times New Roman"/>
          <w:sz w:val="26"/>
          <w:szCs w:val="26"/>
        </w:rPr>
        <w:t xml:space="preserve"> befizetéseinek csökkenésével magyarázható. Az import utáni befizetések csökkenésének hátterében a forgalom alakulása áll. A dohánytermékek utáni bevételek magasabb teljesülését a hevített termékek magasabb forgalma magyarázza. A kiutalások alakulását a köztes ágazatok befizetése befolyásolja.</w:t>
      </w:r>
    </w:p>
    <w:p w14:paraId="363CA142" w14:textId="651DA662" w:rsidR="00852731" w:rsidRPr="00377D59" w:rsidRDefault="00A9789C" w:rsidP="00835E74">
      <w:pPr>
        <w:spacing w:before="240" w:after="0"/>
        <w:jc w:val="center"/>
        <w:rPr>
          <w:rFonts w:ascii="Times New Roman" w:hAnsi="Times New Roman" w:cs="Times New Roman"/>
          <w:b/>
          <w:sz w:val="26"/>
          <w:szCs w:val="26"/>
        </w:rPr>
      </w:pPr>
      <w:r w:rsidRPr="00A9789C">
        <w:rPr>
          <w:rFonts w:ascii="Times New Roman" w:hAnsi="Times New Roman" w:cs="Times New Roman"/>
          <w:b/>
          <w:noProof/>
          <w:sz w:val="26"/>
          <w:szCs w:val="26"/>
          <w:lang w:eastAsia="hu-HU"/>
        </w:rPr>
        <w:drawing>
          <wp:inline distT="0" distB="0" distL="0" distR="0" wp14:anchorId="69C17714" wp14:editId="540A323E">
            <wp:extent cx="5752784" cy="3466735"/>
            <wp:effectExtent l="0" t="0" r="635" b="635"/>
            <wp:docPr id="4" name="Kép 4" descr="Z:\Áht_gyors_moni\2024_05_máj\0_feljegyzés_monitoring\ábrák\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ht_gyors_moni\2024_05_máj\0_feljegyzés_monitoring\ábrák\áfa.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1647" b="523"/>
                    <a:stretch/>
                  </pic:blipFill>
                  <pic:spPr bwMode="auto">
                    <a:xfrm>
                      <a:off x="0" y="0"/>
                      <a:ext cx="5814431" cy="3503885"/>
                    </a:xfrm>
                    <a:prstGeom prst="rect">
                      <a:avLst/>
                    </a:prstGeom>
                    <a:noFill/>
                    <a:ln>
                      <a:noFill/>
                    </a:ln>
                    <a:extLst>
                      <a:ext uri="{53640926-AAD7-44D8-BBD7-CCE9431645EC}">
                        <a14:shadowObscured xmlns:a14="http://schemas.microsoft.com/office/drawing/2010/main"/>
                      </a:ext>
                    </a:extLst>
                  </pic:spPr>
                </pic:pic>
              </a:graphicData>
            </a:graphic>
          </wp:inline>
        </w:drawing>
      </w:r>
    </w:p>
    <w:p w14:paraId="58E0A83D" w14:textId="5DAE1F6A" w:rsidR="000512BB" w:rsidRPr="0048361E" w:rsidRDefault="639E9B9B" w:rsidP="639E9B9B">
      <w:pPr>
        <w:spacing w:before="120"/>
        <w:jc w:val="both"/>
        <w:rPr>
          <w:rFonts w:ascii="Times New Roman" w:hAnsi="Times New Roman" w:cs="Times New Roman"/>
          <w:sz w:val="26"/>
          <w:szCs w:val="26"/>
        </w:rPr>
      </w:pPr>
      <w:r w:rsidRPr="639E9B9B">
        <w:rPr>
          <w:rFonts w:ascii="Times New Roman" w:hAnsi="Times New Roman" w:cs="Times New Roman"/>
          <w:sz w:val="26"/>
          <w:szCs w:val="26"/>
        </w:rPr>
        <w:t xml:space="preserve">A </w:t>
      </w:r>
      <w:r w:rsidRPr="639E9B9B">
        <w:rPr>
          <w:rFonts w:ascii="Times New Roman" w:hAnsi="Times New Roman" w:cs="Times New Roman"/>
          <w:b/>
          <w:bCs/>
          <w:sz w:val="26"/>
          <w:szCs w:val="26"/>
        </w:rPr>
        <w:t>jövedéki adóból</w:t>
      </w:r>
      <w:r w:rsidRPr="639E9B9B">
        <w:rPr>
          <w:rFonts w:ascii="Times New Roman" w:hAnsi="Times New Roman" w:cs="Times New Roman"/>
          <w:sz w:val="26"/>
          <w:szCs w:val="26"/>
        </w:rPr>
        <w:t xml:space="preserve"> származó bevétel az év első öt hónapjában 606,0</w:t>
      </w:r>
      <w:r w:rsidRPr="639E9B9B">
        <w:rPr>
          <w:rFonts w:ascii="Times New Roman" w:hAnsi="Times New Roman" w:cs="Times New Roman"/>
          <w:color w:val="000000" w:themeColor="text1"/>
          <w:sz w:val="26"/>
          <w:szCs w:val="26"/>
        </w:rPr>
        <w:t> </w:t>
      </w:r>
      <w:r w:rsidRPr="639E9B9B">
        <w:rPr>
          <w:rFonts w:ascii="Times New Roman" w:hAnsi="Times New Roman" w:cs="Times New Roman"/>
          <w:sz w:val="26"/>
          <w:szCs w:val="26"/>
        </w:rPr>
        <w:t>milliárd forintot tett ki, amely 81,5 milliárd forinttal magasabb az e</w:t>
      </w:r>
      <w:r w:rsidR="00920F4D">
        <w:rPr>
          <w:rFonts w:ascii="Times New Roman" w:hAnsi="Times New Roman" w:cs="Times New Roman"/>
          <w:sz w:val="26"/>
          <w:szCs w:val="26"/>
        </w:rPr>
        <w:t>gy évvel korábbi bevételnél. Az </w:t>
      </w:r>
      <w:r w:rsidRPr="639E9B9B">
        <w:rPr>
          <w:rFonts w:ascii="Times New Roman" w:hAnsi="Times New Roman" w:cs="Times New Roman"/>
          <w:sz w:val="26"/>
          <w:szCs w:val="26"/>
        </w:rPr>
        <w:t>üzemanyagok utáni bevételek növekedését a 2024. január 1-</w:t>
      </w:r>
      <w:r w:rsidR="001215DC">
        <w:rPr>
          <w:rFonts w:ascii="Times New Roman" w:hAnsi="Times New Roman" w:cs="Times New Roman"/>
          <w:sz w:val="26"/>
          <w:szCs w:val="26"/>
        </w:rPr>
        <w:t>jé</w:t>
      </w:r>
      <w:r w:rsidRPr="639E9B9B">
        <w:rPr>
          <w:rFonts w:ascii="Times New Roman" w:hAnsi="Times New Roman" w:cs="Times New Roman"/>
          <w:sz w:val="26"/>
          <w:szCs w:val="26"/>
        </w:rPr>
        <w:t>től hatályos megemelt adómértékek magyarázzák. A dohánytermékek utáni bevé</w:t>
      </w:r>
      <w:r w:rsidR="00920F4D">
        <w:rPr>
          <w:rFonts w:ascii="Times New Roman" w:hAnsi="Times New Roman" w:cs="Times New Roman"/>
          <w:sz w:val="26"/>
          <w:szCs w:val="26"/>
        </w:rPr>
        <w:t>telek alakulásának hátterében a </w:t>
      </w:r>
      <w:r w:rsidRPr="639E9B9B">
        <w:rPr>
          <w:rFonts w:ascii="Times New Roman" w:hAnsi="Times New Roman" w:cs="Times New Roman"/>
          <w:sz w:val="26"/>
          <w:szCs w:val="26"/>
        </w:rPr>
        <w:t xml:space="preserve">2023. januári adómérték-emelésből fakadó piaci reakció, a bázisévi készletezési hatás áll. A szeszesitalok és egyéb termékek esetében a bevételek </w:t>
      </w:r>
      <w:r w:rsidR="008B2A36">
        <w:rPr>
          <w:rFonts w:ascii="Times New Roman" w:hAnsi="Times New Roman" w:cs="Times New Roman"/>
          <w:sz w:val="26"/>
          <w:szCs w:val="26"/>
        </w:rPr>
        <w:t>növekedés</w:t>
      </w:r>
      <w:r w:rsidRPr="639E9B9B">
        <w:rPr>
          <w:rFonts w:ascii="Times New Roman" w:hAnsi="Times New Roman" w:cs="Times New Roman"/>
          <w:sz w:val="26"/>
          <w:szCs w:val="26"/>
        </w:rPr>
        <w:t>ét a forgalom alakulása indokolja. Az energiaadó bevételek növekedése adónem-elszámoláshoz köthető.</w:t>
      </w:r>
    </w:p>
    <w:tbl>
      <w:tblPr>
        <w:tblW w:w="8752" w:type="dxa"/>
        <w:jc w:val="center"/>
        <w:tblCellMar>
          <w:left w:w="70" w:type="dxa"/>
          <w:right w:w="70" w:type="dxa"/>
        </w:tblCellMar>
        <w:tblLook w:val="04A0" w:firstRow="1" w:lastRow="0" w:firstColumn="1" w:lastColumn="0" w:noHBand="0" w:noVBand="1"/>
      </w:tblPr>
      <w:tblGrid>
        <w:gridCol w:w="3402"/>
        <w:gridCol w:w="1560"/>
        <w:gridCol w:w="1594"/>
        <w:gridCol w:w="1061"/>
        <w:gridCol w:w="1135"/>
      </w:tblGrid>
      <w:tr w:rsidR="0048361E" w:rsidRPr="0048361E" w14:paraId="7A545477" w14:textId="77777777" w:rsidTr="639E9B9B">
        <w:trPr>
          <w:trHeight w:val="255"/>
          <w:jc w:val="center"/>
        </w:trPr>
        <w:tc>
          <w:tcPr>
            <w:tcW w:w="8752" w:type="dxa"/>
            <w:gridSpan w:val="5"/>
            <w:tcBorders>
              <w:top w:val="nil"/>
              <w:left w:val="nil"/>
              <w:bottom w:val="single" w:sz="4" w:space="0" w:color="auto"/>
              <w:right w:val="nil"/>
            </w:tcBorders>
            <w:shd w:val="clear" w:color="auto" w:fill="auto"/>
            <w:noWrap/>
            <w:vAlign w:val="bottom"/>
            <w:hideMark/>
          </w:tcPr>
          <w:p w14:paraId="1A599921" w14:textId="77777777" w:rsidR="0048361E" w:rsidRPr="0048361E" w:rsidRDefault="639E9B9B" w:rsidP="639E9B9B">
            <w:pPr>
              <w:spacing w:before="120"/>
              <w:jc w:val="center"/>
              <w:rPr>
                <w:rFonts w:ascii="Times New Roman" w:hAnsi="Times New Roman" w:cs="Times New Roman"/>
                <w:b/>
                <w:bCs/>
              </w:rPr>
            </w:pPr>
            <w:r w:rsidRPr="639E9B9B">
              <w:rPr>
                <w:rFonts w:ascii="Times New Roman" w:hAnsi="Times New Roman" w:cs="Times New Roman"/>
                <w:b/>
                <w:bCs/>
              </w:rPr>
              <w:t>Jövedéki adó bevétel alakulása (milliárd forint)</w:t>
            </w:r>
          </w:p>
        </w:tc>
      </w:tr>
      <w:tr w:rsidR="0048361E" w:rsidRPr="0048361E" w14:paraId="0D9042A1" w14:textId="77777777" w:rsidTr="639E9B9B">
        <w:trPr>
          <w:trHeight w:val="340"/>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394308"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Megnevezés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CD4FA9"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2023.</w:t>
            </w:r>
          </w:p>
          <w:p w14:paraId="02760AB9"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I-V. hó</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86064B"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2024.</w:t>
            </w:r>
          </w:p>
          <w:p w14:paraId="01AC2FBD"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I-V. hó</w:t>
            </w:r>
          </w:p>
        </w:tc>
        <w:tc>
          <w:tcPr>
            <w:tcW w:w="2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B00A84"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Eltérés</w:t>
            </w:r>
          </w:p>
        </w:tc>
      </w:tr>
      <w:tr w:rsidR="0048361E" w:rsidRPr="0048361E" w14:paraId="6E4CB17F" w14:textId="77777777" w:rsidTr="639E9B9B">
        <w:trPr>
          <w:trHeight w:val="340"/>
          <w:jc w:val="center"/>
        </w:trPr>
        <w:tc>
          <w:tcPr>
            <w:tcW w:w="34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58C173" w14:textId="77777777" w:rsidR="0048361E" w:rsidRPr="0048361E" w:rsidRDefault="0048361E" w:rsidP="00A9789C">
            <w:pPr>
              <w:spacing w:after="0"/>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024400" w14:textId="77777777" w:rsidR="0048361E" w:rsidRPr="0048361E" w:rsidRDefault="0048361E" w:rsidP="00A9789C">
            <w:pPr>
              <w:spacing w:after="0"/>
              <w:jc w:val="center"/>
              <w:rPr>
                <w:rFonts w:ascii="Times New Roman" w:hAnsi="Times New Roman" w:cs="Times New Roman"/>
                <w:b/>
                <w:bCs/>
              </w:rPr>
            </w:pPr>
          </w:p>
        </w:tc>
        <w:tc>
          <w:tcPr>
            <w:tcW w:w="159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F78B24" w14:textId="77777777" w:rsidR="0048361E" w:rsidRPr="0048361E" w:rsidRDefault="0048361E" w:rsidP="00A9789C">
            <w:pPr>
              <w:spacing w:after="0"/>
              <w:jc w:val="center"/>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2A1C76F"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Mrd Ft</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36CC19F"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w:t>
            </w:r>
          </w:p>
        </w:tc>
      </w:tr>
      <w:tr w:rsidR="0048361E" w:rsidRPr="0048361E" w14:paraId="22F828B2" w14:textId="77777777" w:rsidTr="639E9B9B">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52F2" w14:textId="77777777" w:rsidR="0048361E" w:rsidRPr="0048361E" w:rsidRDefault="639E9B9B" w:rsidP="639E9B9B">
            <w:pPr>
              <w:spacing w:after="0"/>
              <w:rPr>
                <w:rFonts w:ascii="Times New Roman" w:hAnsi="Times New Roman" w:cs="Times New Roman"/>
              </w:rPr>
            </w:pPr>
            <w:r w:rsidRPr="639E9B9B">
              <w:rPr>
                <w:rFonts w:ascii="Times New Roman" w:hAnsi="Times New Roman" w:cs="Times New Roman"/>
              </w:rPr>
              <w:t>Üzemanyag jövedéki 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4C07D"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261,8</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96C8D"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335,1</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641D9"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73,3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91FDC"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128,0</w:t>
            </w:r>
          </w:p>
        </w:tc>
      </w:tr>
      <w:tr w:rsidR="0048361E" w:rsidRPr="0048361E" w14:paraId="00362B07" w14:textId="77777777" w:rsidTr="639E9B9B">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EC30" w14:textId="77777777" w:rsidR="0048361E" w:rsidRPr="0048361E" w:rsidRDefault="639E9B9B" w:rsidP="639E9B9B">
            <w:pPr>
              <w:spacing w:after="0"/>
              <w:rPr>
                <w:rFonts w:ascii="Times New Roman" w:hAnsi="Times New Roman" w:cs="Times New Roman"/>
              </w:rPr>
            </w:pPr>
            <w:r w:rsidRPr="639E9B9B">
              <w:rPr>
                <w:rFonts w:ascii="Times New Roman" w:hAnsi="Times New Roman" w:cs="Times New Roman"/>
              </w:rPr>
              <w:t>Dohánygyártmány jövedéki 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AB7C4"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201,0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8BB3C"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206,1</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CF41"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5,1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2BE2A"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102,5</w:t>
            </w:r>
          </w:p>
        </w:tc>
      </w:tr>
      <w:tr w:rsidR="0048361E" w:rsidRPr="0048361E" w14:paraId="0245F478" w14:textId="77777777" w:rsidTr="639E9B9B">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D4FE2" w14:textId="77777777" w:rsidR="0048361E" w:rsidRPr="0048361E" w:rsidRDefault="639E9B9B" w:rsidP="639E9B9B">
            <w:pPr>
              <w:spacing w:after="0"/>
              <w:rPr>
                <w:rFonts w:ascii="Times New Roman" w:hAnsi="Times New Roman" w:cs="Times New Roman"/>
              </w:rPr>
            </w:pPr>
            <w:r w:rsidRPr="639E9B9B">
              <w:rPr>
                <w:rFonts w:ascii="Times New Roman" w:hAnsi="Times New Roman" w:cs="Times New Roman"/>
              </w:rPr>
              <w:t>Egyéb termék jövedéki 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E6E9D"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52,6</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65945"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54,4</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B9CE8"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1,8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F5F3F"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103,4</w:t>
            </w:r>
          </w:p>
        </w:tc>
      </w:tr>
      <w:tr w:rsidR="0048361E" w:rsidRPr="0048361E" w14:paraId="3AD97DAA" w14:textId="77777777" w:rsidTr="639E9B9B">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04761" w14:textId="77777777" w:rsidR="0048361E" w:rsidRPr="0048361E" w:rsidRDefault="639E9B9B" w:rsidP="639E9B9B">
            <w:pPr>
              <w:spacing w:after="0"/>
              <w:rPr>
                <w:rFonts w:ascii="Times New Roman" w:hAnsi="Times New Roman" w:cs="Times New Roman"/>
              </w:rPr>
            </w:pPr>
            <w:r w:rsidRPr="639E9B9B">
              <w:rPr>
                <w:rFonts w:ascii="Times New Roman" w:hAnsi="Times New Roman" w:cs="Times New Roman"/>
              </w:rPr>
              <w:t>Import jövedéki adó és energiaadó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F3F63"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9,1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FA011" w14:textId="77777777" w:rsidR="0048361E" w:rsidRPr="001215DC" w:rsidRDefault="639E9B9B" w:rsidP="639E9B9B">
            <w:pPr>
              <w:spacing w:after="0"/>
              <w:jc w:val="right"/>
              <w:rPr>
                <w:rFonts w:ascii="Times New Roman" w:hAnsi="Times New Roman" w:cs="Times New Roman"/>
              </w:rPr>
            </w:pPr>
            <w:r w:rsidRPr="001215DC">
              <w:rPr>
                <w:rFonts w:ascii="Times New Roman" w:hAnsi="Times New Roman" w:cs="Times New Roman"/>
              </w:rPr>
              <w:t>10,4</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C839D"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1,3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1D44" w14:textId="77777777" w:rsidR="0048361E" w:rsidRPr="0048361E" w:rsidRDefault="639E9B9B" w:rsidP="639E9B9B">
            <w:pPr>
              <w:spacing w:after="0"/>
              <w:jc w:val="right"/>
              <w:rPr>
                <w:rFonts w:ascii="Times New Roman" w:hAnsi="Times New Roman" w:cs="Times New Roman"/>
              </w:rPr>
            </w:pPr>
            <w:r w:rsidRPr="639E9B9B">
              <w:rPr>
                <w:rFonts w:ascii="Times New Roman" w:hAnsi="Times New Roman" w:cs="Times New Roman"/>
              </w:rPr>
              <w:t>114,3</w:t>
            </w:r>
          </w:p>
        </w:tc>
      </w:tr>
      <w:tr w:rsidR="0048361E" w:rsidRPr="0048361E" w14:paraId="3A7F33B8" w14:textId="77777777" w:rsidTr="639E9B9B">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B2EE" w14:textId="77777777" w:rsidR="0048361E" w:rsidRPr="0048361E" w:rsidRDefault="639E9B9B" w:rsidP="639E9B9B">
            <w:pPr>
              <w:spacing w:after="0"/>
              <w:rPr>
                <w:rFonts w:ascii="Times New Roman" w:hAnsi="Times New Roman" w:cs="Times New Roman"/>
                <w:b/>
                <w:bCs/>
              </w:rPr>
            </w:pPr>
            <w:r w:rsidRPr="639E9B9B">
              <w:rPr>
                <w:rFonts w:ascii="Times New Roman" w:hAnsi="Times New Roman" w:cs="Times New Roman"/>
                <w:b/>
                <w:bCs/>
              </w:rPr>
              <w:t>Jövedéki adók összesen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B3BF0" w14:textId="77777777" w:rsidR="0048361E" w:rsidRPr="0048361E" w:rsidRDefault="639E9B9B" w:rsidP="639E9B9B">
            <w:pPr>
              <w:spacing w:after="0"/>
              <w:jc w:val="right"/>
              <w:rPr>
                <w:rFonts w:ascii="Times New Roman" w:hAnsi="Times New Roman" w:cs="Times New Roman"/>
                <w:b/>
                <w:bCs/>
              </w:rPr>
            </w:pPr>
            <w:r w:rsidRPr="639E9B9B">
              <w:rPr>
                <w:rFonts w:ascii="Times New Roman" w:hAnsi="Times New Roman" w:cs="Times New Roman"/>
                <w:b/>
                <w:bCs/>
              </w:rPr>
              <w:t>524,5</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73A1B" w14:textId="77777777" w:rsidR="0048361E" w:rsidRPr="0048361E" w:rsidRDefault="639E9B9B" w:rsidP="639E9B9B">
            <w:pPr>
              <w:spacing w:after="0"/>
              <w:jc w:val="right"/>
              <w:rPr>
                <w:rFonts w:ascii="Times New Roman" w:hAnsi="Times New Roman" w:cs="Times New Roman"/>
                <w:b/>
                <w:bCs/>
              </w:rPr>
            </w:pPr>
            <w:r w:rsidRPr="639E9B9B">
              <w:rPr>
                <w:rFonts w:ascii="Times New Roman" w:hAnsi="Times New Roman" w:cs="Times New Roman"/>
                <w:b/>
                <w:bCs/>
              </w:rPr>
              <w:t>606,0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D086E" w14:textId="77777777" w:rsidR="0048361E" w:rsidRPr="0048361E" w:rsidRDefault="639E9B9B" w:rsidP="639E9B9B">
            <w:pPr>
              <w:spacing w:after="0"/>
              <w:jc w:val="right"/>
              <w:rPr>
                <w:rFonts w:ascii="Times New Roman" w:hAnsi="Times New Roman" w:cs="Times New Roman"/>
                <w:b/>
                <w:bCs/>
              </w:rPr>
            </w:pPr>
            <w:r w:rsidRPr="639E9B9B">
              <w:rPr>
                <w:rFonts w:ascii="Times New Roman" w:hAnsi="Times New Roman" w:cs="Times New Roman"/>
                <w:b/>
                <w:bCs/>
              </w:rPr>
              <w:t>81,5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95003" w14:textId="77777777" w:rsidR="0048361E" w:rsidRPr="0048361E" w:rsidRDefault="639E9B9B" w:rsidP="639E9B9B">
            <w:pPr>
              <w:spacing w:after="0"/>
              <w:jc w:val="right"/>
              <w:rPr>
                <w:rFonts w:ascii="Times New Roman" w:hAnsi="Times New Roman" w:cs="Times New Roman"/>
                <w:b/>
                <w:bCs/>
              </w:rPr>
            </w:pPr>
            <w:r w:rsidRPr="639E9B9B">
              <w:rPr>
                <w:rFonts w:ascii="Times New Roman" w:hAnsi="Times New Roman" w:cs="Times New Roman"/>
                <w:b/>
                <w:bCs/>
              </w:rPr>
              <w:t>115,5</w:t>
            </w:r>
          </w:p>
        </w:tc>
      </w:tr>
    </w:tbl>
    <w:p w14:paraId="7A2868B7" w14:textId="77777777" w:rsidR="0048361E" w:rsidRPr="0048361E" w:rsidRDefault="639E9B9B" w:rsidP="639E9B9B">
      <w:pPr>
        <w:spacing w:before="240"/>
        <w:jc w:val="both"/>
        <w:rPr>
          <w:rFonts w:ascii="Times New Roman" w:hAnsi="Times New Roman" w:cs="Times New Roman"/>
          <w:sz w:val="26"/>
          <w:szCs w:val="26"/>
        </w:rPr>
      </w:pPr>
      <w:r w:rsidRPr="639E9B9B">
        <w:rPr>
          <w:rFonts w:ascii="Times New Roman" w:hAnsi="Times New Roman" w:cs="Times New Roman"/>
          <w:b/>
          <w:bCs/>
          <w:sz w:val="26"/>
          <w:szCs w:val="26"/>
        </w:rPr>
        <w:t>Pénzügyi tranzakciós illetékből</w:t>
      </w:r>
      <w:r w:rsidRPr="639E9B9B">
        <w:rPr>
          <w:rFonts w:ascii="Times New Roman" w:hAnsi="Times New Roman" w:cs="Times New Roman"/>
          <w:sz w:val="26"/>
          <w:szCs w:val="26"/>
        </w:rPr>
        <w:t xml:space="preserve"> 2024 első öt hónapjában 142,6 milliárd forint bevétele keletkezett a költségvetésnek, ami 4,1 milliárd forinttal haladta meg az egy évvel korábbi összeget. A bevétel alakulása a bankkártyás ügyletek utáni befizetésekhez köthető.</w:t>
      </w:r>
    </w:p>
    <w:p w14:paraId="7B462671" w14:textId="565C7782" w:rsidR="0048361E" w:rsidRPr="0048361E" w:rsidRDefault="639E9B9B" w:rsidP="639E9B9B">
      <w:pPr>
        <w:spacing w:before="120"/>
        <w:jc w:val="both"/>
        <w:rPr>
          <w:rFonts w:ascii="Times New Roman" w:hAnsi="Times New Roman" w:cs="Times New Roman"/>
          <w:sz w:val="26"/>
          <w:szCs w:val="26"/>
          <w:highlight w:val="yellow"/>
        </w:rPr>
      </w:pPr>
      <w:r w:rsidRPr="639E9B9B">
        <w:rPr>
          <w:rFonts w:ascii="Times New Roman" w:hAnsi="Times New Roman" w:cs="Times New Roman"/>
          <w:sz w:val="26"/>
          <w:szCs w:val="26"/>
        </w:rPr>
        <w:t xml:space="preserve">A </w:t>
      </w:r>
      <w:r w:rsidRPr="639E9B9B">
        <w:rPr>
          <w:rFonts w:ascii="Times New Roman" w:hAnsi="Times New Roman" w:cs="Times New Roman"/>
          <w:b/>
          <w:bCs/>
          <w:sz w:val="26"/>
          <w:szCs w:val="26"/>
        </w:rPr>
        <w:t xml:space="preserve">biztosítási adóból </w:t>
      </w:r>
      <w:r w:rsidRPr="639E9B9B">
        <w:rPr>
          <w:rFonts w:ascii="Times New Roman" w:hAnsi="Times New Roman" w:cs="Times New Roman"/>
          <w:sz w:val="26"/>
          <w:szCs w:val="26"/>
        </w:rPr>
        <w:t xml:space="preserve">származó bevétel az év első öt hónapjában 133,2 milliárd forintot tett ki, amely 25,7 milliárd forinttal magasabb az egy évvel korábbi bevételnél. </w:t>
      </w:r>
      <w:r w:rsidR="00A9789C">
        <w:rPr>
          <w:rFonts w:ascii="Times New Roman" w:hAnsi="Times New Roman" w:cs="Times New Roman"/>
          <w:sz w:val="26"/>
          <w:szCs w:val="26"/>
        </w:rPr>
        <w:br/>
      </w:r>
      <w:r w:rsidRPr="639E9B9B">
        <w:rPr>
          <w:rFonts w:ascii="Times New Roman" w:hAnsi="Times New Roman" w:cs="Times New Roman"/>
          <w:sz w:val="26"/>
          <w:szCs w:val="26"/>
        </w:rPr>
        <w:t>A</w:t>
      </w:r>
      <w:r w:rsidR="00A9789C">
        <w:rPr>
          <w:rFonts w:ascii="Times New Roman" w:hAnsi="Times New Roman" w:cs="Times New Roman"/>
          <w:sz w:val="26"/>
          <w:szCs w:val="26"/>
        </w:rPr>
        <w:t xml:space="preserve"> </w:t>
      </w:r>
      <w:r w:rsidRPr="639E9B9B">
        <w:rPr>
          <w:rFonts w:ascii="Times New Roman" w:hAnsi="Times New Roman" w:cs="Times New Roman"/>
          <w:sz w:val="26"/>
          <w:szCs w:val="26"/>
        </w:rPr>
        <w:t>bevétel</w:t>
      </w:r>
      <w:r w:rsidR="00696F46">
        <w:rPr>
          <w:rFonts w:ascii="Times New Roman" w:hAnsi="Times New Roman" w:cs="Times New Roman"/>
          <w:sz w:val="26"/>
          <w:szCs w:val="26"/>
        </w:rPr>
        <w:t xml:space="preserve"> </w:t>
      </w:r>
      <w:r w:rsidRPr="639E9B9B">
        <w:rPr>
          <w:rFonts w:ascii="Times New Roman" w:hAnsi="Times New Roman" w:cs="Times New Roman"/>
          <w:sz w:val="26"/>
          <w:szCs w:val="26"/>
        </w:rPr>
        <w:t>növekedés</w:t>
      </w:r>
      <w:r w:rsidR="00696F46">
        <w:rPr>
          <w:rFonts w:ascii="Times New Roman" w:hAnsi="Times New Roman" w:cs="Times New Roman"/>
          <w:sz w:val="26"/>
          <w:szCs w:val="26"/>
        </w:rPr>
        <w:t>ének</w:t>
      </w:r>
      <w:r w:rsidRPr="639E9B9B">
        <w:rPr>
          <w:rFonts w:ascii="Times New Roman" w:hAnsi="Times New Roman" w:cs="Times New Roman"/>
          <w:sz w:val="26"/>
          <w:szCs w:val="26"/>
        </w:rPr>
        <w:t xml:space="preserve"> hátterében a 2023. évi biztosítási pótadó-kötelezettség 2024. januári elszámolása áll.</w:t>
      </w:r>
    </w:p>
    <w:p w14:paraId="4D3DC7E4" w14:textId="564711DF" w:rsidR="0048361E" w:rsidRPr="0048361E" w:rsidRDefault="639E9B9B" w:rsidP="639E9B9B">
      <w:pPr>
        <w:jc w:val="both"/>
        <w:rPr>
          <w:rFonts w:ascii="Times New Roman" w:hAnsi="Times New Roman" w:cs="Times New Roman"/>
          <w:color w:val="000000" w:themeColor="text1"/>
          <w:sz w:val="26"/>
          <w:szCs w:val="26"/>
        </w:rPr>
      </w:pPr>
      <w:r w:rsidRPr="639E9B9B">
        <w:rPr>
          <w:rFonts w:ascii="Times New Roman" w:hAnsi="Times New Roman" w:cs="Times New Roman"/>
          <w:color w:val="000000" w:themeColor="text1"/>
          <w:sz w:val="26"/>
          <w:szCs w:val="26"/>
        </w:rPr>
        <w:t xml:space="preserve">A </w:t>
      </w:r>
      <w:r w:rsidRPr="639E9B9B">
        <w:rPr>
          <w:rFonts w:ascii="Times New Roman" w:hAnsi="Times New Roman" w:cs="Times New Roman"/>
          <w:b/>
          <w:bCs/>
          <w:color w:val="000000" w:themeColor="text1"/>
          <w:sz w:val="26"/>
          <w:szCs w:val="26"/>
        </w:rPr>
        <w:t>személyi jövedelemadó</w:t>
      </w:r>
      <w:r w:rsidRPr="639E9B9B">
        <w:rPr>
          <w:rFonts w:ascii="Times New Roman" w:hAnsi="Times New Roman" w:cs="Times New Roman"/>
          <w:color w:val="000000" w:themeColor="text1"/>
          <w:sz w:val="26"/>
          <w:szCs w:val="26"/>
        </w:rPr>
        <w:t xml:space="preserve"> államháztartási szintű bevétele az év első öt hónapjában 1</w:t>
      </w:r>
      <w:r w:rsidR="00A0698F">
        <w:rPr>
          <w:rFonts w:ascii="Times New Roman" w:hAnsi="Times New Roman" w:cs="Times New Roman"/>
          <w:color w:val="000000" w:themeColor="text1"/>
          <w:sz w:val="26"/>
          <w:szCs w:val="26"/>
        </w:rPr>
        <w:t> </w:t>
      </w:r>
      <w:r w:rsidRPr="639E9B9B">
        <w:rPr>
          <w:rFonts w:ascii="Times New Roman" w:hAnsi="Times New Roman" w:cs="Times New Roman"/>
          <w:color w:val="000000" w:themeColor="text1"/>
          <w:sz w:val="26"/>
          <w:szCs w:val="26"/>
        </w:rPr>
        <w:t>841,4</w:t>
      </w:r>
      <w:r w:rsidRPr="639E9B9B">
        <w:rPr>
          <w:rFonts w:ascii="Times New Roman" w:hAnsi="Times New Roman" w:cs="Times New Roman"/>
          <w:sz w:val="26"/>
          <w:szCs w:val="26"/>
        </w:rPr>
        <w:t> </w:t>
      </w:r>
      <w:r w:rsidRPr="639E9B9B">
        <w:rPr>
          <w:rFonts w:ascii="Times New Roman" w:hAnsi="Times New Roman" w:cs="Times New Roman"/>
          <w:color w:val="000000" w:themeColor="text1"/>
          <w:sz w:val="26"/>
          <w:szCs w:val="26"/>
        </w:rPr>
        <w:t>milliárd forint volt, amely 214,2</w:t>
      </w:r>
      <w:r w:rsidRPr="639E9B9B">
        <w:rPr>
          <w:rFonts w:ascii="Times New Roman" w:hAnsi="Times New Roman" w:cs="Times New Roman"/>
          <w:sz w:val="26"/>
          <w:szCs w:val="26"/>
        </w:rPr>
        <w:t> </w:t>
      </w:r>
      <w:r w:rsidRPr="639E9B9B">
        <w:rPr>
          <w:rFonts w:ascii="Times New Roman" w:hAnsi="Times New Roman" w:cs="Times New Roman"/>
          <w:color w:val="000000" w:themeColor="text1"/>
          <w:sz w:val="26"/>
          <w:szCs w:val="26"/>
        </w:rPr>
        <w:t>milliárd forinttal magasabb az egy évvel korábbi összegnél. Ennek oka a bértömeg növekedése.</w:t>
      </w:r>
    </w:p>
    <w:p w14:paraId="7B768AF9" w14:textId="1570C082" w:rsidR="000512BB" w:rsidRDefault="639E9B9B" w:rsidP="639E9B9B">
      <w:pPr>
        <w:keepNext/>
        <w:keepLines/>
        <w:spacing w:before="120" w:after="12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 xml:space="preserve">Személyi jövedelemadó bevétel alakulása (milliárd forint) </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9"/>
        <w:gridCol w:w="1645"/>
        <w:gridCol w:w="1701"/>
        <w:gridCol w:w="992"/>
        <w:gridCol w:w="992"/>
      </w:tblGrid>
      <w:tr w:rsidR="0048361E" w:rsidRPr="0048361E" w14:paraId="34796882" w14:textId="77777777" w:rsidTr="639E9B9B">
        <w:trPr>
          <w:trHeight w:val="283"/>
          <w:jc w:val="center"/>
        </w:trPr>
        <w:tc>
          <w:tcPr>
            <w:tcW w:w="1469" w:type="dxa"/>
            <w:vMerge w:val="restart"/>
            <w:shd w:val="clear" w:color="auto" w:fill="DEEAF6" w:themeFill="accent1" w:themeFillTint="33"/>
            <w:noWrap/>
            <w:vAlign w:val="center"/>
            <w:hideMark/>
          </w:tcPr>
          <w:p w14:paraId="496AF19A" w14:textId="77777777" w:rsidR="0048361E" w:rsidRPr="0048361E" w:rsidRDefault="639E9B9B" w:rsidP="639E9B9B">
            <w:pPr>
              <w:keepNext/>
              <w:keepLines/>
              <w:spacing w:after="0"/>
              <w:jc w:val="center"/>
              <w:rPr>
                <w:rFonts w:ascii="Times New Roman" w:hAnsi="Times New Roman" w:cs="Times New Roman"/>
                <w:b/>
                <w:bCs/>
              </w:rPr>
            </w:pPr>
            <w:r w:rsidRPr="639E9B9B">
              <w:rPr>
                <w:rFonts w:ascii="Times New Roman" w:hAnsi="Times New Roman" w:cs="Times New Roman"/>
                <w:b/>
                <w:bCs/>
              </w:rPr>
              <w:t>Megnevezés</w:t>
            </w:r>
          </w:p>
        </w:tc>
        <w:tc>
          <w:tcPr>
            <w:tcW w:w="1645" w:type="dxa"/>
            <w:vMerge w:val="restart"/>
            <w:shd w:val="clear" w:color="auto" w:fill="DEEAF6" w:themeFill="accent1" w:themeFillTint="33"/>
            <w:vAlign w:val="center"/>
            <w:hideMark/>
          </w:tcPr>
          <w:p w14:paraId="26C380DB"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2023.</w:t>
            </w:r>
          </w:p>
          <w:p w14:paraId="35331838" w14:textId="77777777" w:rsidR="0048361E" w:rsidRPr="0048361E" w:rsidRDefault="639E9B9B" w:rsidP="639E9B9B">
            <w:pPr>
              <w:keepNext/>
              <w:keepLines/>
              <w:spacing w:after="0"/>
              <w:jc w:val="center"/>
              <w:rPr>
                <w:rFonts w:ascii="Times New Roman" w:hAnsi="Times New Roman" w:cs="Times New Roman"/>
                <w:b/>
                <w:bCs/>
              </w:rPr>
            </w:pPr>
            <w:r w:rsidRPr="639E9B9B">
              <w:rPr>
                <w:rFonts w:ascii="Times New Roman" w:hAnsi="Times New Roman" w:cs="Times New Roman"/>
                <w:b/>
                <w:bCs/>
              </w:rPr>
              <w:t>I-V. hó</w:t>
            </w:r>
          </w:p>
        </w:tc>
        <w:tc>
          <w:tcPr>
            <w:tcW w:w="1701" w:type="dxa"/>
            <w:vMerge w:val="restart"/>
            <w:shd w:val="clear" w:color="auto" w:fill="DEEAF6" w:themeFill="accent1" w:themeFillTint="33"/>
            <w:vAlign w:val="center"/>
            <w:hideMark/>
          </w:tcPr>
          <w:p w14:paraId="0434DAD7" w14:textId="77777777" w:rsidR="0048361E" w:rsidRPr="0048361E" w:rsidRDefault="639E9B9B" w:rsidP="639E9B9B">
            <w:pPr>
              <w:spacing w:after="0"/>
              <w:jc w:val="center"/>
              <w:rPr>
                <w:rFonts w:ascii="Times New Roman" w:hAnsi="Times New Roman" w:cs="Times New Roman"/>
                <w:b/>
                <w:bCs/>
              </w:rPr>
            </w:pPr>
            <w:r w:rsidRPr="639E9B9B">
              <w:rPr>
                <w:rFonts w:ascii="Times New Roman" w:hAnsi="Times New Roman" w:cs="Times New Roman"/>
                <w:b/>
                <w:bCs/>
              </w:rPr>
              <w:t>2024.</w:t>
            </w:r>
          </w:p>
          <w:p w14:paraId="7ABC09F2" w14:textId="77777777" w:rsidR="0048361E" w:rsidRPr="0048361E" w:rsidRDefault="639E9B9B" w:rsidP="639E9B9B">
            <w:pPr>
              <w:keepNext/>
              <w:keepLines/>
              <w:spacing w:after="0"/>
              <w:jc w:val="center"/>
              <w:rPr>
                <w:rFonts w:ascii="Times New Roman" w:hAnsi="Times New Roman" w:cs="Times New Roman"/>
                <w:b/>
                <w:bCs/>
              </w:rPr>
            </w:pPr>
            <w:r w:rsidRPr="639E9B9B">
              <w:rPr>
                <w:rFonts w:ascii="Times New Roman" w:hAnsi="Times New Roman" w:cs="Times New Roman"/>
                <w:b/>
                <w:bCs/>
              </w:rPr>
              <w:t>I-V. hó</w:t>
            </w:r>
          </w:p>
        </w:tc>
        <w:tc>
          <w:tcPr>
            <w:tcW w:w="1984" w:type="dxa"/>
            <w:gridSpan w:val="2"/>
            <w:shd w:val="clear" w:color="auto" w:fill="DEEAF6" w:themeFill="accent1" w:themeFillTint="33"/>
            <w:vAlign w:val="center"/>
            <w:hideMark/>
          </w:tcPr>
          <w:p w14:paraId="1AD690B0" w14:textId="77777777" w:rsidR="0048361E" w:rsidRPr="0048361E" w:rsidRDefault="639E9B9B" w:rsidP="639E9B9B">
            <w:pPr>
              <w:keepNext/>
              <w:keepLines/>
              <w:spacing w:after="0"/>
              <w:jc w:val="center"/>
              <w:rPr>
                <w:rFonts w:ascii="Times New Roman" w:hAnsi="Times New Roman" w:cs="Times New Roman"/>
                <w:b/>
                <w:bCs/>
              </w:rPr>
            </w:pPr>
            <w:r w:rsidRPr="639E9B9B">
              <w:rPr>
                <w:rFonts w:ascii="Times New Roman" w:hAnsi="Times New Roman" w:cs="Times New Roman"/>
                <w:b/>
                <w:bCs/>
              </w:rPr>
              <w:t>Eltérés</w:t>
            </w:r>
          </w:p>
        </w:tc>
      </w:tr>
      <w:tr w:rsidR="0048361E" w:rsidRPr="0048361E" w14:paraId="3C0BC7F9" w14:textId="77777777" w:rsidTr="639E9B9B">
        <w:trPr>
          <w:trHeight w:val="283"/>
          <w:jc w:val="center"/>
        </w:trPr>
        <w:tc>
          <w:tcPr>
            <w:tcW w:w="1469" w:type="dxa"/>
            <w:vMerge/>
            <w:shd w:val="clear" w:color="auto" w:fill="DEEAF6" w:themeFill="accent1" w:themeFillTint="33"/>
            <w:noWrap/>
            <w:vAlign w:val="center"/>
          </w:tcPr>
          <w:p w14:paraId="30AB2263" w14:textId="77777777" w:rsidR="0048361E" w:rsidRPr="0048361E" w:rsidRDefault="0048361E" w:rsidP="00A9789C">
            <w:pPr>
              <w:keepNext/>
              <w:keepLines/>
              <w:spacing w:after="0"/>
              <w:jc w:val="center"/>
              <w:rPr>
                <w:rFonts w:ascii="Times New Roman" w:hAnsi="Times New Roman" w:cs="Times New Roman"/>
                <w:b/>
                <w:bCs/>
              </w:rPr>
            </w:pPr>
          </w:p>
        </w:tc>
        <w:tc>
          <w:tcPr>
            <w:tcW w:w="1645" w:type="dxa"/>
            <w:vMerge/>
            <w:shd w:val="clear" w:color="auto" w:fill="DEEAF6" w:themeFill="accent1" w:themeFillTint="33"/>
            <w:vAlign w:val="center"/>
          </w:tcPr>
          <w:p w14:paraId="3052FDAB" w14:textId="77777777" w:rsidR="0048361E" w:rsidRPr="0048361E" w:rsidRDefault="0048361E" w:rsidP="00A9789C">
            <w:pPr>
              <w:spacing w:after="0"/>
              <w:jc w:val="center"/>
              <w:rPr>
                <w:rFonts w:ascii="Times New Roman" w:hAnsi="Times New Roman" w:cs="Times New Roman"/>
                <w:b/>
                <w:bCs/>
              </w:rPr>
            </w:pPr>
          </w:p>
        </w:tc>
        <w:tc>
          <w:tcPr>
            <w:tcW w:w="1701" w:type="dxa"/>
            <w:vMerge/>
            <w:shd w:val="clear" w:color="auto" w:fill="DEEAF6" w:themeFill="accent1" w:themeFillTint="33"/>
            <w:vAlign w:val="center"/>
          </w:tcPr>
          <w:p w14:paraId="7ADA4A75" w14:textId="77777777" w:rsidR="0048361E" w:rsidRPr="0048361E" w:rsidRDefault="0048361E" w:rsidP="00A9789C">
            <w:pPr>
              <w:spacing w:after="0"/>
              <w:jc w:val="center"/>
              <w:rPr>
                <w:rFonts w:ascii="Times New Roman" w:hAnsi="Times New Roman" w:cs="Times New Roman"/>
                <w:b/>
                <w:bCs/>
              </w:rPr>
            </w:pPr>
          </w:p>
        </w:tc>
        <w:tc>
          <w:tcPr>
            <w:tcW w:w="992" w:type="dxa"/>
            <w:shd w:val="clear" w:color="auto" w:fill="DEEAF6" w:themeFill="accent1" w:themeFillTint="33"/>
            <w:vAlign w:val="center"/>
          </w:tcPr>
          <w:p w14:paraId="23675355" w14:textId="77777777" w:rsidR="0048361E" w:rsidRPr="0048361E" w:rsidRDefault="639E9B9B" w:rsidP="639E9B9B">
            <w:pPr>
              <w:keepNext/>
              <w:keepLines/>
              <w:spacing w:after="0"/>
              <w:jc w:val="center"/>
              <w:rPr>
                <w:rFonts w:ascii="Times New Roman" w:hAnsi="Times New Roman" w:cs="Times New Roman"/>
                <w:b/>
                <w:bCs/>
              </w:rPr>
            </w:pPr>
            <w:r w:rsidRPr="639E9B9B">
              <w:rPr>
                <w:rFonts w:ascii="Times New Roman" w:hAnsi="Times New Roman" w:cs="Times New Roman"/>
                <w:b/>
                <w:bCs/>
              </w:rPr>
              <w:t>Mrd Ft</w:t>
            </w:r>
          </w:p>
        </w:tc>
        <w:tc>
          <w:tcPr>
            <w:tcW w:w="992" w:type="dxa"/>
            <w:shd w:val="clear" w:color="auto" w:fill="DEEAF6" w:themeFill="accent1" w:themeFillTint="33"/>
          </w:tcPr>
          <w:p w14:paraId="4DF49BDA" w14:textId="77777777" w:rsidR="0048361E" w:rsidRPr="0048361E" w:rsidRDefault="639E9B9B" w:rsidP="639E9B9B">
            <w:pPr>
              <w:keepNext/>
              <w:keepLines/>
              <w:spacing w:after="0"/>
              <w:jc w:val="center"/>
              <w:rPr>
                <w:rFonts w:ascii="Times New Roman" w:hAnsi="Times New Roman" w:cs="Times New Roman"/>
                <w:b/>
                <w:bCs/>
              </w:rPr>
            </w:pPr>
            <w:r w:rsidRPr="639E9B9B">
              <w:rPr>
                <w:rFonts w:ascii="Times New Roman" w:hAnsi="Times New Roman" w:cs="Times New Roman"/>
                <w:b/>
                <w:bCs/>
              </w:rPr>
              <w:t>%</w:t>
            </w:r>
          </w:p>
        </w:tc>
      </w:tr>
      <w:tr w:rsidR="0048361E" w:rsidRPr="0048361E" w14:paraId="11E23443" w14:textId="77777777" w:rsidTr="639E9B9B">
        <w:trPr>
          <w:trHeight w:val="340"/>
          <w:jc w:val="center"/>
        </w:trPr>
        <w:tc>
          <w:tcPr>
            <w:tcW w:w="1469" w:type="dxa"/>
            <w:shd w:val="clear" w:color="auto" w:fill="auto"/>
            <w:noWrap/>
            <w:vAlign w:val="center"/>
            <w:hideMark/>
          </w:tcPr>
          <w:p w14:paraId="2B0363C4" w14:textId="77777777" w:rsidR="0048361E" w:rsidRPr="0048361E" w:rsidRDefault="639E9B9B" w:rsidP="639E9B9B">
            <w:pPr>
              <w:keepNext/>
              <w:keepLines/>
              <w:spacing w:after="0"/>
              <w:rPr>
                <w:rFonts w:ascii="Times New Roman" w:hAnsi="Times New Roman" w:cs="Times New Roman"/>
              </w:rPr>
            </w:pPr>
            <w:r w:rsidRPr="639E9B9B">
              <w:rPr>
                <w:rFonts w:ascii="Times New Roman" w:hAnsi="Times New Roman" w:cs="Times New Roman"/>
              </w:rPr>
              <w:t>Befizetés</w:t>
            </w:r>
          </w:p>
        </w:tc>
        <w:tc>
          <w:tcPr>
            <w:tcW w:w="1645" w:type="dxa"/>
            <w:shd w:val="clear" w:color="auto" w:fill="auto"/>
            <w:noWrap/>
            <w:vAlign w:val="center"/>
          </w:tcPr>
          <w:p w14:paraId="3C17148B" w14:textId="7F858135"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1</w:t>
            </w:r>
            <w:r w:rsidR="00A0698F">
              <w:rPr>
                <w:rFonts w:ascii="Times New Roman" w:hAnsi="Times New Roman" w:cs="Times New Roman"/>
              </w:rPr>
              <w:t xml:space="preserve"> </w:t>
            </w:r>
            <w:r w:rsidRPr="639E9B9B">
              <w:rPr>
                <w:rFonts w:ascii="Times New Roman" w:hAnsi="Times New Roman" w:cs="Times New Roman"/>
              </w:rPr>
              <w:t>738,8</w:t>
            </w:r>
          </w:p>
        </w:tc>
        <w:tc>
          <w:tcPr>
            <w:tcW w:w="1701" w:type="dxa"/>
            <w:shd w:val="clear" w:color="auto" w:fill="auto"/>
            <w:noWrap/>
            <w:vAlign w:val="center"/>
          </w:tcPr>
          <w:p w14:paraId="5C7BF721" w14:textId="3FBACF5B"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1</w:t>
            </w:r>
            <w:r w:rsidR="00A0698F">
              <w:rPr>
                <w:rFonts w:ascii="Times New Roman" w:hAnsi="Times New Roman" w:cs="Times New Roman"/>
              </w:rPr>
              <w:t xml:space="preserve"> </w:t>
            </w:r>
            <w:r w:rsidRPr="639E9B9B">
              <w:rPr>
                <w:rFonts w:ascii="Times New Roman" w:hAnsi="Times New Roman" w:cs="Times New Roman"/>
              </w:rPr>
              <w:t>982,7</w:t>
            </w:r>
          </w:p>
        </w:tc>
        <w:tc>
          <w:tcPr>
            <w:tcW w:w="992" w:type="dxa"/>
            <w:shd w:val="clear" w:color="auto" w:fill="auto"/>
            <w:noWrap/>
            <w:vAlign w:val="center"/>
          </w:tcPr>
          <w:p w14:paraId="1AC496A4" w14:textId="77777777"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243,9</w:t>
            </w:r>
          </w:p>
        </w:tc>
        <w:tc>
          <w:tcPr>
            <w:tcW w:w="992" w:type="dxa"/>
            <w:shd w:val="clear" w:color="auto" w:fill="auto"/>
            <w:vAlign w:val="center"/>
          </w:tcPr>
          <w:p w14:paraId="02D3C967" w14:textId="77777777"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114,0</w:t>
            </w:r>
          </w:p>
        </w:tc>
      </w:tr>
      <w:tr w:rsidR="0048361E" w:rsidRPr="0048361E" w14:paraId="288E1D61" w14:textId="77777777" w:rsidTr="639E9B9B">
        <w:trPr>
          <w:trHeight w:val="340"/>
          <w:jc w:val="center"/>
        </w:trPr>
        <w:tc>
          <w:tcPr>
            <w:tcW w:w="1469" w:type="dxa"/>
            <w:shd w:val="clear" w:color="auto" w:fill="auto"/>
            <w:noWrap/>
            <w:vAlign w:val="center"/>
            <w:hideMark/>
          </w:tcPr>
          <w:p w14:paraId="2DFB9887" w14:textId="77777777" w:rsidR="0048361E" w:rsidRPr="0048361E" w:rsidRDefault="639E9B9B" w:rsidP="639E9B9B">
            <w:pPr>
              <w:keepNext/>
              <w:keepLines/>
              <w:spacing w:after="0"/>
              <w:rPr>
                <w:rFonts w:ascii="Times New Roman" w:hAnsi="Times New Roman" w:cs="Times New Roman"/>
              </w:rPr>
            </w:pPr>
            <w:r w:rsidRPr="639E9B9B">
              <w:rPr>
                <w:rFonts w:ascii="Times New Roman" w:hAnsi="Times New Roman" w:cs="Times New Roman"/>
              </w:rPr>
              <w:t>Kiutalás</w:t>
            </w:r>
          </w:p>
        </w:tc>
        <w:tc>
          <w:tcPr>
            <w:tcW w:w="1645" w:type="dxa"/>
            <w:shd w:val="clear" w:color="auto" w:fill="auto"/>
            <w:noWrap/>
            <w:vAlign w:val="center"/>
          </w:tcPr>
          <w:p w14:paraId="281747A4" w14:textId="77777777"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111,6</w:t>
            </w:r>
          </w:p>
        </w:tc>
        <w:tc>
          <w:tcPr>
            <w:tcW w:w="1701" w:type="dxa"/>
            <w:shd w:val="clear" w:color="auto" w:fill="auto"/>
            <w:noWrap/>
            <w:vAlign w:val="center"/>
          </w:tcPr>
          <w:p w14:paraId="202414D4" w14:textId="77777777"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141,3</w:t>
            </w:r>
          </w:p>
        </w:tc>
        <w:tc>
          <w:tcPr>
            <w:tcW w:w="992" w:type="dxa"/>
            <w:shd w:val="clear" w:color="auto" w:fill="auto"/>
            <w:noWrap/>
            <w:vAlign w:val="center"/>
          </w:tcPr>
          <w:p w14:paraId="233FCFFA" w14:textId="77777777"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29,7</w:t>
            </w:r>
          </w:p>
        </w:tc>
        <w:tc>
          <w:tcPr>
            <w:tcW w:w="992" w:type="dxa"/>
            <w:shd w:val="clear" w:color="auto" w:fill="auto"/>
            <w:vAlign w:val="center"/>
          </w:tcPr>
          <w:p w14:paraId="621A5DD2" w14:textId="77777777" w:rsidR="0048361E" w:rsidRPr="0048361E" w:rsidRDefault="639E9B9B" w:rsidP="639E9B9B">
            <w:pPr>
              <w:keepNext/>
              <w:keepLines/>
              <w:spacing w:after="0"/>
              <w:jc w:val="right"/>
              <w:rPr>
                <w:rFonts w:ascii="Times New Roman" w:hAnsi="Times New Roman" w:cs="Times New Roman"/>
              </w:rPr>
            </w:pPr>
            <w:r w:rsidRPr="639E9B9B">
              <w:rPr>
                <w:rFonts w:ascii="Times New Roman" w:hAnsi="Times New Roman" w:cs="Times New Roman"/>
              </w:rPr>
              <w:t>126,6</w:t>
            </w:r>
          </w:p>
        </w:tc>
      </w:tr>
      <w:tr w:rsidR="0048361E" w:rsidRPr="0048361E" w14:paraId="6BA4130B" w14:textId="77777777" w:rsidTr="639E9B9B">
        <w:trPr>
          <w:trHeight w:val="340"/>
          <w:jc w:val="center"/>
        </w:trPr>
        <w:tc>
          <w:tcPr>
            <w:tcW w:w="1469" w:type="dxa"/>
            <w:shd w:val="clear" w:color="auto" w:fill="auto"/>
            <w:noWrap/>
            <w:vAlign w:val="center"/>
            <w:hideMark/>
          </w:tcPr>
          <w:p w14:paraId="6F09CEC7" w14:textId="77777777" w:rsidR="0048361E" w:rsidRPr="0048361E" w:rsidRDefault="639E9B9B" w:rsidP="639E9B9B">
            <w:pPr>
              <w:widowControl w:val="0"/>
              <w:spacing w:after="0"/>
              <w:rPr>
                <w:rFonts w:ascii="Times New Roman" w:hAnsi="Times New Roman" w:cs="Times New Roman"/>
                <w:b/>
                <w:bCs/>
              </w:rPr>
            </w:pPr>
            <w:r w:rsidRPr="639E9B9B">
              <w:rPr>
                <w:rFonts w:ascii="Times New Roman" w:hAnsi="Times New Roman" w:cs="Times New Roman"/>
                <w:b/>
                <w:bCs/>
              </w:rPr>
              <w:t>Egyenleg</w:t>
            </w:r>
          </w:p>
        </w:tc>
        <w:tc>
          <w:tcPr>
            <w:tcW w:w="1645" w:type="dxa"/>
            <w:shd w:val="clear" w:color="auto" w:fill="auto"/>
            <w:noWrap/>
            <w:vAlign w:val="center"/>
          </w:tcPr>
          <w:p w14:paraId="664E9F80" w14:textId="4787DE4C" w:rsidR="0048361E" w:rsidRPr="0048361E" w:rsidRDefault="639E9B9B" w:rsidP="639E9B9B">
            <w:pPr>
              <w:widowControl w:val="0"/>
              <w:spacing w:after="0"/>
              <w:jc w:val="right"/>
              <w:rPr>
                <w:rFonts w:ascii="Times New Roman" w:hAnsi="Times New Roman" w:cs="Times New Roman"/>
                <w:b/>
                <w:bCs/>
              </w:rPr>
            </w:pPr>
            <w:r w:rsidRPr="639E9B9B">
              <w:rPr>
                <w:rFonts w:ascii="Times New Roman" w:hAnsi="Times New Roman" w:cs="Times New Roman"/>
                <w:b/>
                <w:bCs/>
              </w:rPr>
              <w:t>1</w:t>
            </w:r>
            <w:r w:rsidR="00A0698F">
              <w:rPr>
                <w:rFonts w:ascii="Times New Roman" w:hAnsi="Times New Roman" w:cs="Times New Roman"/>
                <w:b/>
                <w:bCs/>
              </w:rPr>
              <w:t xml:space="preserve"> </w:t>
            </w:r>
            <w:r w:rsidRPr="639E9B9B">
              <w:rPr>
                <w:rFonts w:ascii="Times New Roman" w:hAnsi="Times New Roman" w:cs="Times New Roman"/>
                <w:b/>
                <w:bCs/>
              </w:rPr>
              <w:t>627,2</w:t>
            </w:r>
          </w:p>
        </w:tc>
        <w:tc>
          <w:tcPr>
            <w:tcW w:w="1701" w:type="dxa"/>
            <w:shd w:val="clear" w:color="auto" w:fill="auto"/>
            <w:noWrap/>
            <w:vAlign w:val="center"/>
          </w:tcPr>
          <w:p w14:paraId="7149F166" w14:textId="24E41797" w:rsidR="0048361E" w:rsidRPr="0048361E" w:rsidRDefault="639E9B9B" w:rsidP="00A0698F">
            <w:pPr>
              <w:widowControl w:val="0"/>
              <w:spacing w:after="0"/>
              <w:jc w:val="right"/>
              <w:rPr>
                <w:rFonts w:ascii="Times New Roman" w:hAnsi="Times New Roman" w:cs="Times New Roman"/>
                <w:b/>
                <w:bCs/>
              </w:rPr>
            </w:pPr>
            <w:r w:rsidRPr="639E9B9B">
              <w:rPr>
                <w:rFonts w:ascii="Times New Roman" w:hAnsi="Times New Roman" w:cs="Times New Roman"/>
                <w:b/>
                <w:bCs/>
              </w:rPr>
              <w:t>1</w:t>
            </w:r>
            <w:r w:rsidR="00A0698F">
              <w:rPr>
                <w:rFonts w:ascii="Times New Roman" w:hAnsi="Times New Roman" w:cs="Times New Roman"/>
                <w:b/>
                <w:bCs/>
              </w:rPr>
              <w:t xml:space="preserve"> </w:t>
            </w:r>
            <w:r w:rsidRPr="639E9B9B">
              <w:rPr>
                <w:rFonts w:ascii="Times New Roman" w:hAnsi="Times New Roman" w:cs="Times New Roman"/>
                <w:b/>
                <w:bCs/>
              </w:rPr>
              <w:t>841,4</w:t>
            </w:r>
          </w:p>
        </w:tc>
        <w:tc>
          <w:tcPr>
            <w:tcW w:w="992" w:type="dxa"/>
            <w:shd w:val="clear" w:color="auto" w:fill="auto"/>
            <w:noWrap/>
            <w:vAlign w:val="center"/>
          </w:tcPr>
          <w:p w14:paraId="3CBED895" w14:textId="77777777" w:rsidR="0048361E" w:rsidRPr="0048361E" w:rsidRDefault="639E9B9B" w:rsidP="639E9B9B">
            <w:pPr>
              <w:widowControl w:val="0"/>
              <w:spacing w:after="0"/>
              <w:jc w:val="right"/>
              <w:rPr>
                <w:rFonts w:ascii="Times New Roman" w:hAnsi="Times New Roman" w:cs="Times New Roman"/>
                <w:b/>
                <w:bCs/>
              </w:rPr>
            </w:pPr>
            <w:r w:rsidRPr="639E9B9B">
              <w:rPr>
                <w:rFonts w:ascii="Times New Roman" w:hAnsi="Times New Roman" w:cs="Times New Roman"/>
                <w:b/>
                <w:bCs/>
              </w:rPr>
              <w:t>214,2</w:t>
            </w:r>
          </w:p>
        </w:tc>
        <w:tc>
          <w:tcPr>
            <w:tcW w:w="992" w:type="dxa"/>
            <w:shd w:val="clear" w:color="auto" w:fill="auto"/>
            <w:vAlign w:val="center"/>
          </w:tcPr>
          <w:p w14:paraId="00878FCB" w14:textId="77777777" w:rsidR="0048361E" w:rsidRPr="0048361E" w:rsidRDefault="639E9B9B" w:rsidP="639E9B9B">
            <w:pPr>
              <w:widowControl w:val="0"/>
              <w:spacing w:after="0"/>
              <w:jc w:val="right"/>
              <w:rPr>
                <w:rFonts w:ascii="Times New Roman" w:hAnsi="Times New Roman" w:cs="Times New Roman"/>
                <w:b/>
                <w:bCs/>
              </w:rPr>
            </w:pPr>
            <w:r w:rsidRPr="639E9B9B">
              <w:rPr>
                <w:rFonts w:ascii="Times New Roman" w:hAnsi="Times New Roman" w:cs="Times New Roman"/>
                <w:b/>
                <w:bCs/>
              </w:rPr>
              <w:t>113,2</w:t>
            </w:r>
          </w:p>
        </w:tc>
      </w:tr>
    </w:tbl>
    <w:p w14:paraId="54234F12" w14:textId="3879C02C" w:rsidR="123EFD2F" w:rsidRPr="00377D59" w:rsidRDefault="639E9B9B" w:rsidP="639E9B9B">
      <w:pPr>
        <w:spacing w:before="16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Központi Maradványelszámolási Alapba</w:t>
      </w:r>
      <w:r w:rsidRPr="639E9B9B">
        <w:rPr>
          <w:rFonts w:ascii="Times New Roman" w:eastAsia="Times New Roman" w:hAnsi="Times New Roman" w:cs="Times New Roman"/>
          <w:sz w:val="26"/>
          <w:szCs w:val="26"/>
        </w:rPr>
        <w:t xml:space="preserve"> </w:t>
      </w:r>
      <w:r w:rsidRPr="639E9B9B">
        <w:rPr>
          <w:rFonts w:ascii="Times New Roman" w:eastAsia="Times New Roman" w:hAnsi="Times New Roman" w:cs="Times New Roman"/>
          <w:b/>
          <w:bCs/>
          <w:sz w:val="26"/>
          <w:szCs w:val="26"/>
        </w:rPr>
        <w:t>történő befizetések</w:t>
      </w:r>
      <w:r w:rsidRPr="639E9B9B">
        <w:rPr>
          <w:rFonts w:ascii="Times New Roman" w:eastAsia="Times New Roman" w:hAnsi="Times New Roman" w:cs="Times New Roman"/>
          <w:sz w:val="26"/>
          <w:szCs w:val="26"/>
        </w:rPr>
        <w:t xml:space="preserve"> mérlegsorra az év első öt hónapjában 139,5 milliárd forint maradvány került befizetésre, szemben az előző év azonos időszakában befolyt 97,7 milliárd forintos összeggel.</w:t>
      </w:r>
    </w:p>
    <w:p w14:paraId="25C427CE" w14:textId="129D4C52" w:rsidR="029C2633" w:rsidRPr="00026266" w:rsidRDefault="639E9B9B" w:rsidP="639E9B9B">
      <w:pPr>
        <w:spacing w:before="16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állami vagyonnal kapcsolatos befizetések</w:t>
      </w:r>
      <w:r w:rsidRPr="639E9B9B">
        <w:rPr>
          <w:rFonts w:ascii="Times New Roman" w:eastAsia="Times New Roman" w:hAnsi="Times New Roman" w:cs="Times New Roman"/>
          <w:sz w:val="26"/>
          <w:szCs w:val="26"/>
        </w:rPr>
        <w:t xml:space="preserve"> </w:t>
      </w:r>
      <w:r w:rsidRPr="00696F46">
        <w:rPr>
          <w:rFonts w:ascii="Times New Roman" w:eastAsia="Times New Roman" w:hAnsi="Times New Roman" w:cs="Times New Roman"/>
          <w:sz w:val="26"/>
          <w:szCs w:val="26"/>
        </w:rPr>
        <w:t xml:space="preserve">első </w:t>
      </w:r>
      <w:r w:rsidR="00A0698F" w:rsidRPr="00696F46">
        <w:rPr>
          <w:rFonts w:ascii="Times New Roman" w:eastAsia="Times New Roman" w:hAnsi="Times New Roman" w:cs="Times New Roman"/>
          <w:sz w:val="26"/>
          <w:szCs w:val="26"/>
        </w:rPr>
        <w:t>öt</w:t>
      </w:r>
      <w:r w:rsidRPr="00696F46">
        <w:rPr>
          <w:rFonts w:ascii="Times New Roman" w:eastAsia="Times New Roman" w:hAnsi="Times New Roman" w:cs="Times New Roman"/>
          <w:sz w:val="26"/>
          <w:szCs w:val="26"/>
        </w:rPr>
        <w:t xml:space="preserve">havi összege </w:t>
      </w:r>
      <w:r w:rsidR="00A0698F" w:rsidRPr="00696F46">
        <w:rPr>
          <w:rFonts w:ascii="Times New Roman" w:eastAsia="Times New Roman" w:hAnsi="Times New Roman" w:cs="Times New Roman"/>
          <w:sz w:val="26"/>
          <w:szCs w:val="26"/>
        </w:rPr>
        <w:t>115,8</w:t>
      </w:r>
      <w:r w:rsidRPr="639E9B9B">
        <w:rPr>
          <w:rFonts w:ascii="Times New Roman" w:eastAsia="Times New Roman" w:hAnsi="Times New Roman" w:cs="Times New Roman"/>
          <w:sz w:val="26"/>
          <w:szCs w:val="26"/>
        </w:rPr>
        <w:t xml:space="preserve"> milliárd forint, amelynek meghatározó tétele a kvótaértékesítés volt. E mérlegsor 2024-től nem tartalmazza a kiemelt állami beruházásokkal kapcsolatos bevételeket.</w:t>
      </w:r>
    </w:p>
    <w:p w14:paraId="0D0F2783" w14:textId="0E3B5DDB" w:rsidR="009D55B4" w:rsidRPr="00377D59" w:rsidRDefault="00A9789C" w:rsidP="009D55B4">
      <w:pPr>
        <w:jc w:val="center"/>
        <w:rPr>
          <w:rFonts w:ascii="Times New Roman" w:eastAsia="Times New Roman" w:hAnsi="Times New Roman" w:cs="Times New Roman"/>
          <w:sz w:val="26"/>
          <w:szCs w:val="26"/>
        </w:rPr>
      </w:pPr>
      <w:r w:rsidRPr="00A9789C">
        <w:rPr>
          <w:rFonts w:ascii="Times New Roman" w:eastAsia="Times New Roman" w:hAnsi="Times New Roman" w:cs="Times New Roman"/>
          <w:noProof/>
          <w:sz w:val="26"/>
          <w:szCs w:val="26"/>
          <w:lang w:eastAsia="hu-HU"/>
        </w:rPr>
        <w:drawing>
          <wp:inline distT="0" distB="0" distL="0" distR="0" wp14:anchorId="1CAD31BC" wp14:editId="05485834">
            <wp:extent cx="5584648" cy="3438533"/>
            <wp:effectExtent l="0" t="0" r="0" b="0"/>
            <wp:docPr id="5" name="Kép 5" descr="Z:\Áht_gyors_moni\2024_05_máj\0_feljegyzés_monitoring\ábrák\___Vagyon_befizete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ht_gyors_moni\2024_05_máj\0_feljegyzés_monitoring\ábrák\___Vagyon_befizetesek.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89" b="4040"/>
                    <a:stretch/>
                  </pic:blipFill>
                  <pic:spPr bwMode="auto">
                    <a:xfrm>
                      <a:off x="0" y="0"/>
                      <a:ext cx="5626117" cy="3464066"/>
                    </a:xfrm>
                    <a:prstGeom prst="rect">
                      <a:avLst/>
                    </a:prstGeom>
                    <a:noFill/>
                    <a:ln>
                      <a:noFill/>
                    </a:ln>
                    <a:extLst>
                      <a:ext uri="{53640926-AAD7-44D8-BBD7-CCE9431645EC}">
                        <a14:shadowObscured xmlns:a14="http://schemas.microsoft.com/office/drawing/2010/main"/>
                      </a:ext>
                    </a:extLst>
                  </pic:spPr>
                </pic:pic>
              </a:graphicData>
            </a:graphic>
          </wp:inline>
        </w:drawing>
      </w:r>
    </w:p>
    <w:p w14:paraId="23623F4E" w14:textId="5469882B" w:rsidR="5B67C7D7" w:rsidRPr="00920F4D"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költségvetés XLV. </w:t>
      </w:r>
      <w:r w:rsidRPr="639E9B9B">
        <w:rPr>
          <w:rFonts w:ascii="Times New Roman" w:eastAsia="Times New Roman" w:hAnsi="Times New Roman" w:cs="Times New Roman"/>
          <w:b/>
          <w:bCs/>
          <w:sz w:val="26"/>
          <w:szCs w:val="26"/>
        </w:rPr>
        <w:t>Állami beruházások</w:t>
      </w:r>
      <w:r w:rsidRPr="639E9B9B">
        <w:rPr>
          <w:rFonts w:ascii="Times New Roman" w:eastAsia="Times New Roman" w:hAnsi="Times New Roman" w:cs="Times New Roman"/>
          <w:sz w:val="26"/>
          <w:szCs w:val="26"/>
        </w:rPr>
        <w:t xml:space="preserve"> fejezetének bevételei 2024-től új mérlegsoron szerepelnek. A fejezet bevételei 2024. május végéig 25,2 milliárd </w:t>
      </w:r>
      <w:r w:rsidRPr="00920F4D">
        <w:rPr>
          <w:rFonts w:ascii="Times New Roman" w:eastAsia="Times New Roman" w:hAnsi="Times New Roman" w:cs="Times New Roman"/>
          <w:sz w:val="26"/>
          <w:szCs w:val="26"/>
        </w:rPr>
        <w:t>forintot tettek ki.</w:t>
      </w:r>
    </w:p>
    <w:p w14:paraId="4BE4CA6A" w14:textId="5E86A1AC" w:rsidR="39728167" w:rsidRPr="00377D59" w:rsidRDefault="639E9B9B" w:rsidP="639E9B9B">
      <w:pPr>
        <w:jc w:val="both"/>
        <w:rPr>
          <w:rFonts w:ascii="Times New Roman" w:hAnsi="Times New Roman" w:cs="Times New Roman"/>
        </w:rPr>
      </w:pPr>
      <w:r w:rsidRPr="639E9B9B">
        <w:rPr>
          <w:rFonts w:ascii="Times New Roman" w:eastAsia="Times New Roman" w:hAnsi="Times New Roman" w:cs="Times New Roman"/>
          <w:sz w:val="26"/>
          <w:szCs w:val="26"/>
        </w:rPr>
        <w:t xml:space="preserve">Az uniós bevételek főszabály szerint a XLII. A költségvetés közvetlen bevételei és kiadásai fejezetbe érkeznek, ezek kimutatására szolgálnak az </w:t>
      </w:r>
      <w:r w:rsidRPr="639E9B9B">
        <w:rPr>
          <w:rFonts w:ascii="Times New Roman" w:eastAsia="Times New Roman" w:hAnsi="Times New Roman" w:cs="Times New Roman"/>
          <w:b/>
          <w:bCs/>
          <w:sz w:val="26"/>
          <w:szCs w:val="26"/>
        </w:rPr>
        <w:t>Uniós programok bevételei</w:t>
      </w:r>
      <w:r w:rsidRPr="639E9B9B">
        <w:rPr>
          <w:rFonts w:ascii="Times New Roman" w:eastAsia="Times New Roman" w:hAnsi="Times New Roman" w:cs="Times New Roman"/>
          <w:sz w:val="26"/>
          <w:szCs w:val="26"/>
        </w:rPr>
        <w:t xml:space="preserve">, valamint az </w:t>
      </w:r>
      <w:r w:rsidRPr="639E9B9B">
        <w:rPr>
          <w:rFonts w:ascii="Times New Roman" w:eastAsia="Times New Roman" w:hAnsi="Times New Roman" w:cs="Times New Roman"/>
          <w:b/>
          <w:bCs/>
          <w:sz w:val="26"/>
          <w:szCs w:val="26"/>
        </w:rPr>
        <w:t>Egyéb uniós bevételek</w:t>
      </w:r>
      <w:r w:rsidRPr="639E9B9B">
        <w:rPr>
          <w:rFonts w:ascii="Times New Roman" w:eastAsia="Times New Roman" w:hAnsi="Times New Roman" w:cs="Times New Roman"/>
          <w:sz w:val="26"/>
          <w:szCs w:val="26"/>
        </w:rPr>
        <w:t xml:space="preserve"> mérlegsorok.</w:t>
      </w:r>
    </w:p>
    <w:p w14:paraId="1E44DCF7" w14:textId="4DBE4918" w:rsidR="39728167" w:rsidRPr="00377D59" w:rsidRDefault="639E9B9B" w:rsidP="639E9B9B">
      <w:pPr>
        <w:spacing w:before="16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Uniós programok bevételei</w:t>
      </w:r>
      <w:r w:rsidRPr="639E9B9B">
        <w:rPr>
          <w:rFonts w:ascii="Times New Roman" w:eastAsia="Times New Roman" w:hAnsi="Times New Roman" w:cs="Times New Roman"/>
          <w:sz w:val="26"/>
          <w:szCs w:val="26"/>
        </w:rPr>
        <w:t xml:space="preserve"> mérlegsoron 2024. május végéig 546,2 milliárd forint bevétel keletkezett. Ez az összeg a törvényi előirányzat (2</w:t>
      </w:r>
      <w:r w:rsidR="008F0603">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479,8 milliárd forint) 22,0%-át teszi ki. A teljesült bevételből 464,7 milliárd forint az uniós és 81,5 milliárd forint az egyéb bevétel.</w:t>
      </w:r>
    </w:p>
    <w:p w14:paraId="040E2327" w14:textId="77988410" w:rsidR="74B9DF17" w:rsidRDefault="639E9B9B" w:rsidP="6BF9886D">
      <w:pPr>
        <w:spacing w:before="160"/>
        <w:jc w:val="both"/>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 xml:space="preserve">Egyéb uniós bevételek </w:t>
      </w:r>
      <w:r w:rsidRPr="639E9B9B">
        <w:rPr>
          <w:rFonts w:ascii="Times New Roman" w:eastAsia="Times New Roman" w:hAnsi="Times New Roman" w:cs="Times New Roman"/>
          <w:sz w:val="26"/>
          <w:szCs w:val="26"/>
        </w:rPr>
        <w:t>soron a vámbeszedési költség megtérítése jelenik meg, mely 12,4 milliárd forintot tett ki 2024 májusáig. Ez az összeg a törvényi előirányzat 32,1%-a</w:t>
      </w:r>
      <w:r w:rsidR="00C27DF5">
        <w:rPr>
          <w:rFonts w:ascii="Times New Roman" w:eastAsia="Times New Roman" w:hAnsi="Times New Roman" w:cs="Times New Roman"/>
          <w:sz w:val="26"/>
          <w:szCs w:val="26"/>
        </w:rPr>
        <w:t>,</w:t>
      </w:r>
      <w:r w:rsidRPr="639E9B9B">
        <w:rPr>
          <w:rFonts w:ascii="Times New Roman" w:eastAsia="Times New Roman" w:hAnsi="Times New Roman" w:cs="Times New Roman"/>
          <w:sz w:val="26"/>
          <w:szCs w:val="26"/>
        </w:rPr>
        <w:t xml:space="preserve"> és 2,2 milliárd forinttal marad el a 2023. év azonos időszakában keletkezett bevételtől. </w:t>
      </w:r>
    </w:p>
    <w:p w14:paraId="30A869E1" w14:textId="77777777" w:rsidR="0048361E" w:rsidRPr="0048361E" w:rsidRDefault="639E9B9B" w:rsidP="639E9B9B">
      <w:pPr>
        <w:jc w:val="both"/>
        <w:rPr>
          <w:rFonts w:ascii="Times New Roman" w:eastAsia="Calibri" w:hAnsi="Times New Roman" w:cs="Times New Roman"/>
          <w:sz w:val="26"/>
          <w:szCs w:val="26"/>
        </w:rPr>
      </w:pPr>
      <w:r w:rsidRPr="639E9B9B">
        <w:rPr>
          <w:rFonts w:ascii="Times New Roman" w:eastAsia="Calibri" w:hAnsi="Times New Roman" w:cs="Times New Roman"/>
          <w:sz w:val="26"/>
          <w:szCs w:val="26"/>
        </w:rPr>
        <w:t xml:space="preserve">A befizetett társadalombiztosítási járulék 8,1%-át az állami adóhatóság a foglalkoztatási programokkal kapcsolatos elkülönített állami pénzalapnak utalja át. 2024. május végéig a </w:t>
      </w:r>
      <w:r w:rsidRPr="639E9B9B">
        <w:rPr>
          <w:rFonts w:ascii="Times New Roman" w:eastAsia="Calibri" w:hAnsi="Times New Roman" w:cs="Times New Roman"/>
          <w:b/>
          <w:bCs/>
          <w:sz w:val="26"/>
          <w:szCs w:val="26"/>
        </w:rPr>
        <w:t xml:space="preserve">társadalombiztosítási járulék </w:t>
      </w:r>
      <w:r w:rsidRPr="639E9B9B">
        <w:rPr>
          <w:rFonts w:ascii="Times New Roman" w:hAnsi="Times New Roman" w:cs="Times New Roman"/>
          <w:b/>
          <w:bCs/>
          <w:sz w:val="26"/>
          <w:szCs w:val="26"/>
        </w:rPr>
        <w:t xml:space="preserve">Nemzeti Foglalkoztatási </w:t>
      </w:r>
      <w:r w:rsidRPr="639E9B9B">
        <w:rPr>
          <w:rFonts w:ascii="Times New Roman" w:eastAsia="Calibri" w:hAnsi="Times New Roman" w:cs="Times New Roman"/>
          <w:b/>
          <w:bCs/>
          <w:sz w:val="26"/>
          <w:szCs w:val="26"/>
        </w:rPr>
        <w:t xml:space="preserve">Alapot megillető része </w:t>
      </w:r>
      <w:r w:rsidRPr="639E9B9B">
        <w:rPr>
          <w:rFonts w:ascii="Times New Roman" w:eastAsia="Calibri" w:hAnsi="Times New Roman" w:cs="Times New Roman"/>
          <w:sz w:val="26"/>
          <w:szCs w:val="26"/>
        </w:rPr>
        <w:t>164,5 milliárd forintban teljesült, amely az előző év azonos időszakában befolyt bevételt 21,2</w:t>
      </w:r>
      <w:r w:rsidRPr="639E9B9B">
        <w:rPr>
          <w:rFonts w:ascii="Times New Roman" w:hAnsi="Times New Roman" w:cs="Times New Roman"/>
          <w:sz w:val="26"/>
          <w:szCs w:val="26"/>
        </w:rPr>
        <w:t> </w:t>
      </w:r>
      <w:r w:rsidRPr="639E9B9B">
        <w:rPr>
          <w:rFonts w:ascii="Times New Roman" w:eastAsia="Calibri" w:hAnsi="Times New Roman" w:cs="Times New Roman"/>
          <w:sz w:val="26"/>
          <w:szCs w:val="26"/>
        </w:rPr>
        <w:t>milliárd forinttal, 14,8%-kal haladta meg. A bevételnövekedés oka a járulékköteles jövedelmek növekedése.</w:t>
      </w:r>
    </w:p>
    <w:p w14:paraId="47F2B9A6" w14:textId="19D10764" w:rsidR="0048361E" w:rsidRPr="0048361E" w:rsidRDefault="639E9B9B" w:rsidP="639E9B9B">
      <w:pPr>
        <w:jc w:val="both"/>
        <w:rPr>
          <w:rFonts w:ascii="Times New Roman" w:hAnsi="Times New Roman" w:cs="Times New Roman"/>
          <w:sz w:val="26"/>
          <w:szCs w:val="26"/>
        </w:rPr>
      </w:pPr>
      <w:r w:rsidRPr="639E9B9B">
        <w:rPr>
          <w:rFonts w:ascii="Times New Roman" w:hAnsi="Times New Roman" w:cs="Times New Roman"/>
          <w:sz w:val="26"/>
          <w:szCs w:val="26"/>
        </w:rPr>
        <w:t xml:space="preserve">2024 első öt hónapjában a </w:t>
      </w:r>
      <w:r w:rsidRPr="639E9B9B">
        <w:rPr>
          <w:rFonts w:ascii="Times New Roman" w:hAnsi="Times New Roman" w:cs="Times New Roman"/>
          <w:b/>
          <w:bCs/>
          <w:sz w:val="26"/>
          <w:szCs w:val="26"/>
        </w:rPr>
        <w:t>szociális hozzájárulási adó Nyugdíjbiztosítási Alapot megillető része</w:t>
      </w:r>
      <w:r w:rsidRPr="639E9B9B">
        <w:rPr>
          <w:rFonts w:ascii="Times New Roman" w:hAnsi="Times New Roman" w:cs="Times New Roman"/>
          <w:sz w:val="26"/>
          <w:szCs w:val="26"/>
        </w:rPr>
        <w:t xml:space="preserve"> (1</w:t>
      </w:r>
      <w:r w:rsidR="00C27DF5">
        <w:rPr>
          <w:rFonts w:ascii="Times New Roman" w:hAnsi="Times New Roman" w:cs="Times New Roman"/>
          <w:sz w:val="26"/>
          <w:szCs w:val="26"/>
        </w:rPr>
        <w:t> </w:t>
      </w:r>
      <w:r w:rsidRPr="639E9B9B">
        <w:rPr>
          <w:rFonts w:ascii="Times New Roman" w:hAnsi="Times New Roman" w:cs="Times New Roman"/>
          <w:sz w:val="26"/>
          <w:szCs w:val="26"/>
        </w:rPr>
        <w:t>120,9 milliárd forint) 335,3 milliárd forinttal haladta meg az előző évi azonos időszakában befolyt bevételeket. A bevétel változása az adóköteles jövedelmek növekedésével és az alapok közötti megoszlási arány változásával magyarázható.</w:t>
      </w:r>
    </w:p>
    <w:p w14:paraId="45C8F823" w14:textId="36D5D56B" w:rsidR="0048361E" w:rsidRPr="0048361E" w:rsidRDefault="639E9B9B" w:rsidP="639E9B9B">
      <w:pPr>
        <w:jc w:val="both"/>
        <w:rPr>
          <w:rFonts w:ascii="Times New Roman" w:eastAsia="Calibri" w:hAnsi="Times New Roman" w:cs="Times New Roman"/>
          <w:sz w:val="26"/>
          <w:szCs w:val="26"/>
        </w:rPr>
      </w:pPr>
      <w:r w:rsidRPr="639E9B9B">
        <w:rPr>
          <w:rFonts w:ascii="Times New Roman" w:hAnsi="Times New Roman" w:cs="Times New Roman"/>
          <w:sz w:val="26"/>
          <w:szCs w:val="26"/>
        </w:rPr>
        <w:t xml:space="preserve">A befizetett társadalombiztosítási járulék 54%-át az állami adóhatóság a Nyugdíjbiztosítási Alapnak utalja át. 2024. május végéig a </w:t>
      </w:r>
      <w:r w:rsidRPr="639E9B9B">
        <w:rPr>
          <w:rFonts w:ascii="Times New Roman" w:hAnsi="Times New Roman" w:cs="Times New Roman"/>
          <w:b/>
          <w:bCs/>
          <w:sz w:val="26"/>
          <w:szCs w:val="26"/>
        </w:rPr>
        <w:t>társadalombiztosítási járulék Nyugdíjbiztosítási Alapot megillető része és nyugdíjjárulék</w:t>
      </w:r>
      <w:r w:rsidRPr="639E9B9B">
        <w:rPr>
          <w:rFonts w:ascii="Times New Roman" w:hAnsi="Times New Roman" w:cs="Times New Roman"/>
          <w:sz w:val="26"/>
          <w:szCs w:val="26"/>
        </w:rPr>
        <w:t xml:space="preserve"> 1</w:t>
      </w:r>
      <w:r w:rsidR="00C27DF5">
        <w:rPr>
          <w:rFonts w:ascii="Times New Roman" w:hAnsi="Times New Roman" w:cs="Times New Roman"/>
          <w:sz w:val="26"/>
          <w:szCs w:val="26"/>
        </w:rPr>
        <w:t> </w:t>
      </w:r>
      <w:r w:rsidRPr="639E9B9B">
        <w:rPr>
          <w:rFonts w:ascii="Times New Roman" w:hAnsi="Times New Roman" w:cs="Times New Roman"/>
          <w:sz w:val="26"/>
          <w:szCs w:val="26"/>
        </w:rPr>
        <w:t>121,0 milliárd forintban teljesült, amely az előző év azonos időszakában befolyt bev</w:t>
      </w:r>
      <w:r w:rsidR="00C27DF5">
        <w:rPr>
          <w:rFonts w:ascii="Times New Roman" w:hAnsi="Times New Roman" w:cs="Times New Roman"/>
          <w:sz w:val="26"/>
          <w:szCs w:val="26"/>
        </w:rPr>
        <w:t xml:space="preserve">ételt 144,5 milliárd forinttal </w:t>
      </w:r>
      <w:r w:rsidRPr="639E9B9B">
        <w:rPr>
          <w:rFonts w:ascii="Times New Roman" w:hAnsi="Times New Roman" w:cs="Times New Roman"/>
          <w:sz w:val="26"/>
          <w:szCs w:val="26"/>
        </w:rPr>
        <w:t xml:space="preserve">haladta meg. </w:t>
      </w:r>
      <w:r w:rsidR="006222FA">
        <w:rPr>
          <w:rFonts w:ascii="Times New Roman" w:eastAsia="Calibri" w:hAnsi="Times New Roman" w:cs="Times New Roman"/>
          <w:sz w:val="26"/>
          <w:szCs w:val="26"/>
        </w:rPr>
        <w:t>A </w:t>
      </w:r>
      <w:r w:rsidRPr="639E9B9B">
        <w:rPr>
          <w:rFonts w:ascii="Times New Roman" w:eastAsia="Calibri" w:hAnsi="Times New Roman" w:cs="Times New Roman"/>
          <w:sz w:val="26"/>
          <w:szCs w:val="26"/>
        </w:rPr>
        <w:t>bevételnövekedés oka a járulékköteles jövedelmek növekedése.</w:t>
      </w:r>
    </w:p>
    <w:p w14:paraId="04AE25CF" w14:textId="09FD5106" w:rsidR="13A3A09E" w:rsidRPr="00377D59" w:rsidRDefault="639E9B9B" w:rsidP="639E9B9B">
      <w:pPr>
        <w:spacing w:before="16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Nyugdíjbiztosítási Alap</w:t>
      </w:r>
      <w:r w:rsidRPr="639E9B9B">
        <w:rPr>
          <w:rFonts w:ascii="Times New Roman" w:eastAsia="Times New Roman" w:hAnsi="Times New Roman" w:cs="Times New Roman"/>
          <w:sz w:val="26"/>
          <w:szCs w:val="26"/>
        </w:rPr>
        <w:t xml:space="preserve"> 2024. évi költségvetése az ellátási kiadások támogatására 531,4 milliárd forint </w:t>
      </w:r>
      <w:r w:rsidRPr="639E9B9B">
        <w:rPr>
          <w:rFonts w:ascii="Times New Roman" w:eastAsia="Times New Roman" w:hAnsi="Times New Roman" w:cs="Times New Roman"/>
          <w:b/>
          <w:bCs/>
          <w:sz w:val="26"/>
          <w:szCs w:val="26"/>
        </w:rPr>
        <w:t>központi költségvetési hozzájárulást</w:t>
      </w:r>
      <w:r w:rsidRPr="639E9B9B">
        <w:rPr>
          <w:rFonts w:ascii="Times New Roman" w:eastAsia="Times New Roman" w:hAnsi="Times New Roman" w:cs="Times New Roman"/>
          <w:sz w:val="26"/>
          <w:szCs w:val="26"/>
        </w:rPr>
        <w:t xml:space="preserve"> tartalmaz.</w:t>
      </w:r>
    </w:p>
    <w:p w14:paraId="724BE7DF" w14:textId="06D29232" w:rsidR="13A3A09E" w:rsidRPr="00377D59" w:rsidRDefault="639E9B9B" w:rsidP="639E9B9B">
      <w:pPr>
        <w:spacing w:before="160"/>
        <w:jc w:val="both"/>
        <w:rPr>
          <w:rFonts w:ascii="Times New Roman" w:hAnsi="Times New Roman" w:cs="Times New Roman"/>
          <w:sz w:val="26"/>
          <w:szCs w:val="26"/>
        </w:rPr>
      </w:pPr>
      <w:r w:rsidRPr="639E9B9B">
        <w:rPr>
          <w:rFonts w:ascii="Times New Roman" w:eastAsia="Times New Roman" w:hAnsi="Times New Roman" w:cs="Times New Roman"/>
          <w:sz w:val="26"/>
          <w:szCs w:val="26"/>
        </w:rPr>
        <w:t>A költségvetési hozzájárulás előirányzatából a XLII. A költségvetés közvetlen bevételei és kiadásai fejezet 61,9 milliárd forintot pénzeszköz-átadás útján biztosít az alap részére, míg további 469,5 milliárd forintot – a 13. havi nyugdíj, illetve a nyugdíjprémium fedezeteként – címzett támogatás formájában. A 13. havi nyugdíj és a nyugdíjprémium támogatásának előirányzatai év közben előirányzat-módosítás nélkül túlléphetők.</w:t>
      </w:r>
    </w:p>
    <w:p w14:paraId="198EDE52" w14:textId="0E354EE8" w:rsidR="3630E3D9" w:rsidRDefault="639E9B9B" w:rsidP="639E9B9B">
      <w:pPr>
        <w:spacing w:before="16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Magyar Államkincstár a Nyugdíjbiztosítási Alap részére 2024. május </w:t>
      </w:r>
      <w:r w:rsidR="00C27DF5">
        <w:rPr>
          <w:rFonts w:ascii="Times New Roman" w:eastAsia="Times New Roman" w:hAnsi="Times New Roman" w:cs="Times New Roman"/>
          <w:sz w:val="26"/>
          <w:szCs w:val="26"/>
        </w:rPr>
        <w:t>végéig 25,8 </w:t>
      </w:r>
      <w:r w:rsidRPr="639E9B9B">
        <w:rPr>
          <w:rFonts w:ascii="Times New Roman" w:eastAsia="Times New Roman" w:hAnsi="Times New Roman" w:cs="Times New Roman"/>
          <w:sz w:val="26"/>
          <w:szCs w:val="26"/>
        </w:rPr>
        <w:t xml:space="preserve">milliárd forint </w:t>
      </w:r>
      <w:r w:rsidRPr="00C27DF5">
        <w:rPr>
          <w:rFonts w:ascii="Times New Roman" w:eastAsia="Times New Roman" w:hAnsi="Times New Roman" w:cs="Times New Roman"/>
          <w:b/>
          <w:sz w:val="26"/>
          <w:szCs w:val="26"/>
        </w:rPr>
        <w:t>központi támogatást</w:t>
      </w:r>
      <w:r w:rsidRPr="639E9B9B">
        <w:rPr>
          <w:rFonts w:ascii="Times New Roman" w:eastAsia="Times New Roman" w:hAnsi="Times New Roman" w:cs="Times New Roman"/>
          <w:sz w:val="26"/>
          <w:szCs w:val="26"/>
        </w:rPr>
        <w:t xml:space="preserve"> utalt át pénzes</w:t>
      </w:r>
      <w:r w:rsidR="001D04A8">
        <w:rPr>
          <w:rFonts w:ascii="Times New Roman" w:eastAsia="Times New Roman" w:hAnsi="Times New Roman" w:cs="Times New Roman"/>
          <w:sz w:val="26"/>
          <w:szCs w:val="26"/>
        </w:rPr>
        <w:t>zköz-átadás jogcímen, ami 246,1 </w:t>
      </w:r>
      <w:r w:rsidRPr="639E9B9B">
        <w:rPr>
          <w:rFonts w:ascii="Times New Roman" w:eastAsia="Times New Roman" w:hAnsi="Times New Roman" w:cs="Times New Roman"/>
          <w:sz w:val="26"/>
          <w:szCs w:val="26"/>
        </w:rPr>
        <w:t>milliárd forinttal alacsonyabb az előző év azonos időszakában nyújtott támogatás összegénél. A pénzeszköz-átadás a Nyugdíjbiztosítási Alap költségvetési egyensúlyának biztosítását szolgálja.</w:t>
      </w:r>
    </w:p>
    <w:p w14:paraId="44DEC0DB" w14:textId="5F9C09C8" w:rsidR="56F1BA1B" w:rsidRDefault="639E9B9B" w:rsidP="639E9B9B">
      <w:pPr>
        <w:spacing w:before="160" w:after="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13. havi nyugdíj kifizetésének</w:t>
      </w:r>
      <w:r w:rsidRPr="639E9B9B">
        <w:rPr>
          <w:rFonts w:ascii="Times New Roman" w:eastAsia="Times New Roman" w:hAnsi="Times New Roman" w:cs="Times New Roman"/>
          <w:sz w:val="26"/>
          <w:szCs w:val="26"/>
        </w:rPr>
        <w:t xml:space="preserve"> támogatására február hónapban 449,0 milliárd forint került átutalásra a Nyugdíjbiztosítási Alap részére, ami 31,0 milliárd forinttal haladja meg az előző év azonos időszakában ugyanezen a jogcímen nyújtott támogatás összegét. A céltámogatás 7,4%-os növekedésének oka a januári 6%-os nyugdíjemelés és az előző évről áthúzódó cserélődési és létszámhatás tervezett mértékének beépülése a juttatás összegébe.</w:t>
      </w:r>
    </w:p>
    <w:p w14:paraId="120A7C60" w14:textId="1F6E509E" w:rsidR="00F05220" w:rsidRDefault="008916DB" w:rsidP="00F05220">
      <w:pPr>
        <w:spacing w:before="160" w:after="0"/>
        <w:jc w:val="center"/>
        <w:rPr>
          <w:rFonts w:ascii="Times New Roman" w:eastAsia="Times New Roman" w:hAnsi="Times New Roman" w:cs="Times New Roman"/>
          <w:sz w:val="26"/>
          <w:szCs w:val="26"/>
        </w:rPr>
      </w:pPr>
      <w:r>
        <w:rPr>
          <w:noProof/>
          <w:lang w:eastAsia="hu-HU"/>
        </w:rPr>
        <w:drawing>
          <wp:inline distT="0" distB="0" distL="0" distR="0" wp14:anchorId="66177418" wp14:editId="787466E6">
            <wp:extent cx="6044314" cy="249731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3819" cy="2538423"/>
                    </a:xfrm>
                    <a:prstGeom prst="rect">
                      <a:avLst/>
                    </a:prstGeom>
                  </pic:spPr>
                </pic:pic>
              </a:graphicData>
            </a:graphic>
          </wp:inline>
        </w:drawing>
      </w:r>
    </w:p>
    <w:p w14:paraId="2F917A63" w14:textId="4C32EEBA" w:rsidR="0048361E" w:rsidRPr="0048361E" w:rsidRDefault="639E9B9B" w:rsidP="00CA3468">
      <w:pPr>
        <w:spacing w:before="240"/>
        <w:jc w:val="both"/>
        <w:rPr>
          <w:rFonts w:ascii="Times New Roman" w:hAnsi="Times New Roman" w:cs="Times New Roman"/>
          <w:sz w:val="26"/>
          <w:szCs w:val="26"/>
        </w:rPr>
      </w:pPr>
      <w:r w:rsidRPr="639E9B9B">
        <w:rPr>
          <w:rFonts w:ascii="Times New Roman" w:eastAsia="Calibri" w:hAnsi="Times New Roman" w:cs="Times New Roman"/>
          <w:sz w:val="26"/>
          <w:szCs w:val="26"/>
        </w:rPr>
        <w:t xml:space="preserve">2024. május végéig a </w:t>
      </w:r>
      <w:r w:rsidRPr="639E9B9B">
        <w:rPr>
          <w:rFonts w:ascii="Times New Roman" w:eastAsia="Calibri" w:hAnsi="Times New Roman" w:cs="Times New Roman"/>
          <w:b/>
          <w:bCs/>
          <w:sz w:val="26"/>
          <w:szCs w:val="26"/>
        </w:rPr>
        <w:t>szociális hozzájárulási adó Egészségbiztosítási Alapot megillető része</w:t>
      </w:r>
      <w:r w:rsidRPr="639E9B9B">
        <w:rPr>
          <w:rFonts w:ascii="Times New Roman" w:eastAsia="Calibri" w:hAnsi="Times New Roman" w:cs="Times New Roman"/>
          <w:sz w:val="26"/>
          <w:szCs w:val="26"/>
        </w:rPr>
        <w:t xml:space="preserve"> (136,6</w:t>
      </w:r>
      <w:r w:rsidRPr="639E9B9B">
        <w:rPr>
          <w:rFonts w:ascii="Times New Roman" w:hAnsi="Times New Roman" w:cs="Times New Roman"/>
          <w:sz w:val="26"/>
          <w:szCs w:val="26"/>
        </w:rPr>
        <w:t> </w:t>
      </w:r>
      <w:r w:rsidRPr="639E9B9B">
        <w:rPr>
          <w:rFonts w:ascii="Times New Roman" w:eastAsia="Calibri" w:hAnsi="Times New Roman" w:cs="Times New Roman"/>
          <w:sz w:val="26"/>
          <w:szCs w:val="26"/>
        </w:rPr>
        <w:t>milliárd forint) 174,5</w:t>
      </w:r>
      <w:r w:rsidRPr="639E9B9B">
        <w:rPr>
          <w:rFonts w:ascii="Times New Roman" w:hAnsi="Times New Roman" w:cs="Times New Roman"/>
          <w:sz w:val="26"/>
          <w:szCs w:val="26"/>
        </w:rPr>
        <w:t> </w:t>
      </w:r>
      <w:r w:rsidRPr="639E9B9B">
        <w:rPr>
          <w:rFonts w:ascii="Times New Roman" w:eastAsia="Calibri" w:hAnsi="Times New Roman" w:cs="Times New Roman"/>
          <w:sz w:val="26"/>
          <w:szCs w:val="26"/>
        </w:rPr>
        <w:t xml:space="preserve">milliárd forinttal kevesebb az előző év azonos időszakában befolyt bevételnél. </w:t>
      </w:r>
      <w:r w:rsidRPr="639E9B9B">
        <w:rPr>
          <w:rFonts w:ascii="Times New Roman" w:hAnsi="Times New Roman" w:cs="Times New Roman"/>
          <w:sz w:val="26"/>
          <w:szCs w:val="26"/>
        </w:rPr>
        <w:t>A bevétel változása az adóköteles jövedelmek növekedésével és az alapok közötti megoszlási arány változásának együttes hatásával magyarázható.</w:t>
      </w:r>
    </w:p>
    <w:p w14:paraId="5CBC13FA" w14:textId="36330BFC" w:rsidR="000512BB" w:rsidRPr="0048361E" w:rsidRDefault="639E9B9B" w:rsidP="639E9B9B">
      <w:pPr>
        <w:jc w:val="both"/>
        <w:rPr>
          <w:rFonts w:ascii="Times New Roman" w:eastAsia="Calibri" w:hAnsi="Times New Roman" w:cs="Times New Roman"/>
          <w:sz w:val="26"/>
          <w:szCs w:val="26"/>
        </w:rPr>
      </w:pPr>
      <w:r w:rsidRPr="639E9B9B">
        <w:rPr>
          <w:rFonts w:ascii="Times New Roman" w:eastAsia="Calibri" w:hAnsi="Times New Roman" w:cs="Times New Roman"/>
          <w:sz w:val="26"/>
          <w:szCs w:val="26"/>
        </w:rPr>
        <w:t xml:space="preserve">A befizetett társadalombiztosítási járulék 37,9%-át az állami adóhatóság az Egészségbiztosítási Alapnak utalja át. 2024. május végéig a </w:t>
      </w:r>
      <w:r w:rsidRPr="639E9B9B">
        <w:rPr>
          <w:rFonts w:ascii="Times New Roman" w:eastAsia="Calibri" w:hAnsi="Times New Roman" w:cs="Times New Roman"/>
          <w:b/>
          <w:bCs/>
          <w:sz w:val="26"/>
          <w:szCs w:val="26"/>
        </w:rPr>
        <w:t>társadalombiztosítási járulék Egészségbiztosítási Alapot megillető része és egészségbiztosítási járulék</w:t>
      </w:r>
      <w:r w:rsidRPr="639E9B9B">
        <w:rPr>
          <w:rFonts w:ascii="Times New Roman" w:eastAsia="Calibri" w:hAnsi="Times New Roman" w:cs="Times New Roman"/>
          <w:sz w:val="26"/>
          <w:szCs w:val="26"/>
        </w:rPr>
        <w:t xml:space="preserve"> 764,5</w:t>
      </w:r>
      <w:r w:rsidRPr="639E9B9B">
        <w:rPr>
          <w:rFonts w:ascii="Times New Roman" w:hAnsi="Times New Roman" w:cs="Times New Roman"/>
          <w:sz w:val="26"/>
          <w:szCs w:val="26"/>
        </w:rPr>
        <w:t> </w:t>
      </w:r>
      <w:r w:rsidRPr="639E9B9B">
        <w:rPr>
          <w:rFonts w:ascii="Times New Roman" w:eastAsia="Calibri" w:hAnsi="Times New Roman" w:cs="Times New Roman"/>
          <w:sz w:val="26"/>
          <w:szCs w:val="26"/>
        </w:rPr>
        <w:t xml:space="preserve"> milliárd forintban teljesült, amely az előző év azonos időszakában befolyt b</w:t>
      </w:r>
      <w:r w:rsidR="001D04A8">
        <w:rPr>
          <w:rFonts w:ascii="Times New Roman" w:eastAsia="Calibri" w:hAnsi="Times New Roman" w:cs="Times New Roman"/>
          <w:sz w:val="26"/>
          <w:szCs w:val="26"/>
        </w:rPr>
        <w:t>evételt 98,0 milliárd forinttal</w:t>
      </w:r>
      <w:r w:rsidRPr="639E9B9B">
        <w:rPr>
          <w:rFonts w:ascii="Times New Roman" w:eastAsia="Calibri" w:hAnsi="Times New Roman" w:cs="Times New Roman"/>
          <w:sz w:val="26"/>
          <w:szCs w:val="26"/>
        </w:rPr>
        <w:t xml:space="preserve"> haladta meg. A bevételnövekedés oka a járulékköteles jövedelmek növekedése.</w:t>
      </w:r>
    </w:p>
    <w:p w14:paraId="1E047965" w14:textId="1ED63727" w:rsidR="005961B9" w:rsidRDefault="639E9B9B" w:rsidP="639E9B9B">
      <w:pPr>
        <w:jc w:val="both"/>
        <w:rPr>
          <w:rFonts w:ascii="Times New Roman" w:hAnsi="Times New Roman" w:cs="Times New Roman"/>
          <w:sz w:val="26"/>
          <w:szCs w:val="26"/>
        </w:rPr>
      </w:pPr>
      <w:r w:rsidRPr="639E9B9B">
        <w:rPr>
          <w:rFonts w:ascii="Times New Roman" w:hAnsi="Times New Roman" w:cs="Times New Roman"/>
          <w:sz w:val="26"/>
          <w:szCs w:val="26"/>
        </w:rPr>
        <w:t xml:space="preserve">Az </w:t>
      </w:r>
      <w:r w:rsidRPr="639E9B9B">
        <w:rPr>
          <w:rFonts w:ascii="Times New Roman" w:hAnsi="Times New Roman" w:cs="Times New Roman"/>
          <w:b/>
          <w:bCs/>
          <w:sz w:val="26"/>
          <w:szCs w:val="26"/>
        </w:rPr>
        <w:t>Egészségbiztosítási Alap költségvetési hozzájárulásai</w:t>
      </w:r>
      <w:r w:rsidRPr="639E9B9B">
        <w:rPr>
          <w:rFonts w:ascii="Times New Roman" w:hAnsi="Times New Roman" w:cs="Times New Roman"/>
          <w:sz w:val="26"/>
          <w:szCs w:val="26"/>
        </w:rPr>
        <w:t xml:space="preserve"> 2024 első öt hónapjában összesen 787,9 milliárd forintot tettek ki, amely 256,1 milliárd forinttal magasabb, mint az előző év május végéig átutalt összeg. 2024 első öt hónapjában az Egészségbiztosítási Alap járulék címen átvett pénzeszközként 272,0 milliárd forint támogatást kapott, szemben a tavalyi év május végéig átutalt 235,2 milliárd forintos összeggel. Az Alap kiadásainak támogatására szolgáló tervezett pénzeszköz-átvétel és az egészségügyi feladatok ellátásával kapcsolatos hozzájárulás együttes összege 2024 első öt hónapjában 515,9 milliárd forintot tett ki, amely 219,3 milliárd forinttal haladta meg a tavalyi év ezen időszakában átutalt összeget.</w:t>
      </w:r>
    </w:p>
    <w:p w14:paraId="754C440E" w14:textId="77777777" w:rsidR="005961B9" w:rsidRDefault="005961B9">
      <w:pPr>
        <w:rPr>
          <w:rFonts w:ascii="Times New Roman" w:hAnsi="Times New Roman" w:cs="Times New Roman"/>
          <w:sz w:val="26"/>
          <w:szCs w:val="26"/>
        </w:rPr>
      </w:pPr>
      <w:r>
        <w:rPr>
          <w:rFonts w:ascii="Times New Roman" w:hAnsi="Times New Roman" w:cs="Times New Roman"/>
          <w:sz w:val="26"/>
          <w:szCs w:val="26"/>
        </w:rPr>
        <w:br w:type="page"/>
      </w:r>
    </w:p>
    <w:p w14:paraId="51F08DF7" w14:textId="36E87ACD" w:rsidR="009E34AE" w:rsidRPr="00377D59" w:rsidRDefault="639E9B9B" w:rsidP="639E9B9B">
      <w:pPr>
        <w:keepNext/>
        <w:numPr>
          <w:ilvl w:val="0"/>
          <w:numId w:val="3"/>
        </w:numPr>
        <w:spacing w:after="120" w:line="240" w:lineRule="auto"/>
        <w:jc w:val="both"/>
        <w:outlineLvl w:val="2"/>
        <w:rPr>
          <w:rFonts w:ascii="Times New Roman" w:eastAsia="Times New Roman" w:hAnsi="Times New Roman" w:cs="Times New Roman"/>
          <w:b/>
          <w:bCs/>
          <w:smallCaps/>
          <w:sz w:val="28"/>
          <w:szCs w:val="28"/>
          <w:lang w:eastAsia="hu-HU"/>
        </w:rPr>
      </w:pPr>
      <w:r w:rsidRPr="639E9B9B">
        <w:rPr>
          <w:rFonts w:ascii="Times New Roman" w:eastAsia="Times New Roman" w:hAnsi="Times New Roman" w:cs="Times New Roman"/>
          <w:b/>
          <w:bCs/>
          <w:smallCaps/>
          <w:sz w:val="28"/>
          <w:szCs w:val="28"/>
          <w:lang w:eastAsia="hu-HU"/>
        </w:rPr>
        <w:t xml:space="preserve">A főbb kiadások </w:t>
      </w:r>
    </w:p>
    <w:p w14:paraId="3F07553B" w14:textId="69172808" w:rsidR="009E34AE" w:rsidRPr="00377D59" w:rsidRDefault="639E9B9B" w:rsidP="639E9B9B">
      <w:pPr>
        <w:jc w:val="both"/>
        <w:rPr>
          <w:rFonts w:ascii="Times New Roman" w:eastAsia="Times New Roman" w:hAnsi="Times New Roman" w:cs="Times New Roman"/>
          <w:b/>
          <w:bCs/>
          <w:sz w:val="26"/>
          <w:szCs w:val="26"/>
          <w:lang w:eastAsia="hu-HU"/>
        </w:rPr>
      </w:pPr>
      <w:r w:rsidRPr="639E9B9B">
        <w:rPr>
          <w:rFonts w:ascii="Times New Roman" w:eastAsia="Times New Roman" w:hAnsi="Times New Roman" w:cs="Times New Roman"/>
          <w:b/>
          <w:bCs/>
          <w:sz w:val="26"/>
          <w:szCs w:val="26"/>
          <w:lang w:eastAsia="hu-HU"/>
        </w:rPr>
        <w:t xml:space="preserve">A központi alrendszer </w:t>
      </w:r>
      <w:r w:rsidR="00927CAB">
        <w:rPr>
          <w:rFonts w:ascii="Times New Roman" w:eastAsia="Times New Roman" w:hAnsi="Times New Roman" w:cs="Times New Roman"/>
          <w:b/>
          <w:bCs/>
          <w:sz w:val="26"/>
          <w:szCs w:val="26"/>
          <w:lang w:eastAsia="hu-HU"/>
        </w:rPr>
        <w:t>május végi 17</w:t>
      </w:r>
      <w:r w:rsidR="008D3E76">
        <w:rPr>
          <w:rFonts w:ascii="Times New Roman" w:eastAsia="Times New Roman" w:hAnsi="Times New Roman" w:cs="Times New Roman"/>
          <w:b/>
          <w:bCs/>
          <w:sz w:val="26"/>
          <w:szCs w:val="26"/>
          <w:lang w:eastAsia="hu-HU"/>
        </w:rPr>
        <w:t> 8</w:t>
      </w:r>
      <w:r w:rsidR="00A9789C">
        <w:rPr>
          <w:rFonts w:ascii="Times New Roman" w:eastAsia="Times New Roman" w:hAnsi="Times New Roman" w:cs="Times New Roman"/>
          <w:b/>
          <w:bCs/>
          <w:sz w:val="26"/>
          <w:szCs w:val="26"/>
          <w:lang w:eastAsia="hu-HU"/>
        </w:rPr>
        <w:t>97,7 </w:t>
      </w:r>
      <w:r w:rsidR="00927CAB" w:rsidRPr="00927CAB">
        <w:rPr>
          <w:rFonts w:ascii="Times New Roman" w:eastAsia="Times New Roman" w:hAnsi="Times New Roman" w:cs="Times New Roman"/>
          <w:b/>
          <w:bCs/>
          <w:sz w:val="26"/>
          <w:szCs w:val="26"/>
          <w:lang w:eastAsia="hu-HU"/>
        </w:rPr>
        <w:t>milliár</w:t>
      </w:r>
      <w:r w:rsidR="00927CAB">
        <w:rPr>
          <w:rFonts w:ascii="Times New Roman" w:eastAsia="Times New Roman" w:hAnsi="Times New Roman" w:cs="Times New Roman"/>
          <w:b/>
          <w:bCs/>
          <w:sz w:val="26"/>
          <w:szCs w:val="26"/>
          <w:lang w:eastAsia="hu-HU"/>
        </w:rPr>
        <w:t>d forint összegű kiadásai 754,2 </w:t>
      </w:r>
      <w:r w:rsidR="00927CAB" w:rsidRPr="00927CAB">
        <w:rPr>
          <w:rFonts w:ascii="Times New Roman" w:eastAsia="Times New Roman" w:hAnsi="Times New Roman" w:cs="Times New Roman"/>
          <w:b/>
          <w:bCs/>
          <w:sz w:val="26"/>
          <w:szCs w:val="26"/>
          <w:lang w:eastAsia="hu-HU"/>
        </w:rPr>
        <w:t>milliárd forinttal, 4,4%-kal haladták meg az előző év azonos időszaki adatát</w:t>
      </w:r>
      <w:r w:rsidR="00927CAB">
        <w:rPr>
          <w:rFonts w:ascii="Times New Roman" w:eastAsia="Times New Roman" w:hAnsi="Times New Roman" w:cs="Times New Roman"/>
          <w:b/>
          <w:bCs/>
          <w:sz w:val="26"/>
          <w:szCs w:val="26"/>
          <w:lang w:eastAsia="hu-HU"/>
        </w:rPr>
        <w:t>.</w:t>
      </w:r>
    </w:p>
    <w:p w14:paraId="447C5EFC" w14:textId="5BF9F9CF" w:rsidR="005C15F7" w:rsidRPr="00377D59" w:rsidRDefault="00927CAB" w:rsidP="00927CAB">
      <w:pPr>
        <w:spacing w:after="120"/>
        <w:jc w:val="both"/>
        <w:rPr>
          <w:rFonts w:ascii="Times New Roman" w:eastAsia="Times New Roman" w:hAnsi="Times New Roman" w:cs="Times New Roman"/>
          <w:b/>
          <w:bCs/>
          <w:sz w:val="26"/>
          <w:szCs w:val="26"/>
          <w:lang w:eastAsia="hu-HU"/>
        </w:rPr>
      </w:pPr>
      <w:r w:rsidRPr="00927CAB">
        <w:rPr>
          <w:rFonts w:ascii="Times New Roman" w:eastAsia="Times New Roman" w:hAnsi="Times New Roman" w:cs="Times New Roman"/>
          <w:b/>
          <w:bCs/>
          <w:sz w:val="26"/>
          <w:szCs w:val="26"/>
          <w:lang w:eastAsia="hu-HU"/>
        </w:rPr>
        <w:t>Magasabban teljesültek az egy évvel korábbihoz képest többek között az állami vagyonnal kapcsolatos kiadások, az állami beruházási fejezet kiadásai, a költségvetési szervek kiadásai, valamint a kamatkiadások.</w:t>
      </w:r>
      <w:r>
        <w:rPr>
          <w:rFonts w:ascii="Times New Roman" w:eastAsia="Times New Roman" w:hAnsi="Times New Roman" w:cs="Times New Roman"/>
          <w:b/>
          <w:bCs/>
          <w:sz w:val="26"/>
          <w:szCs w:val="26"/>
          <w:lang w:eastAsia="hu-HU"/>
        </w:rPr>
        <w:t xml:space="preserve"> </w:t>
      </w:r>
      <w:r w:rsidRPr="00927CAB">
        <w:rPr>
          <w:rFonts w:ascii="Times New Roman" w:eastAsia="Times New Roman" w:hAnsi="Times New Roman" w:cs="Times New Roman"/>
          <w:b/>
          <w:bCs/>
          <w:sz w:val="26"/>
          <w:szCs w:val="26"/>
          <w:lang w:eastAsia="hu-HU"/>
        </w:rPr>
        <w:t>Meghaladták az egy évvel korábbi kifizetést a nyugellátásokra és a gyógyító-megelőző ellátásra fordított</w:t>
      </w:r>
      <w:r w:rsidR="00A9789C">
        <w:rPr>
          <w:rFonts w:ascii="Times New Roman" w:eastAsia="Times New Roman" w:hAnsi="Times New Roman" w:cs="Times New Roman"/>
          <w:b/>
          <w:bCs/>
          <w:sz w:val="26"/>
          <w:szCs w:val="26"/>
          <w:lang w:eastAsia="hu-HU"/>
        </w:rPr>
        <w:t xml:space="preserve"> összegek is. Nyugellátásokra 2 848,4 milliárd forint, míg a </w:t>
      </w:r>
      <w:r w:rsidRPr="00927CAB">
        <w:rPr>
          <w:rFonts w:ascii="Times New Roman" w:eastAsia="Times New Roman" w:hAnsi="Times New Roman" w:cs="Times New Roman"/>
          <w:b/>
          <w:bCs/>
          <w:sz w:val="26"/>
          <w:szCs w:val="26"/>
          <w:lang w:eastAsia="hu-HU"/>
        </w:rPr>
        <w:t>gyó</w:t>
      </w:r>
      <w:r w:rsidR="00A9789C">
        <w:rPr>
          <w:rFonts w:ascii="Times New Roman" w:eastAsia="Times New Roman" w:hAnsi="Times New Roman" w:cs="Times New Roman"/>
          <w:b/>
          <w:bCs/>
          <w:sz w:val="26"/>
          <w:szCs w:val="26"/>
          <w:lang w:eastAsia="hu-HU"/>
        </w:rPr>
        <w:t>gyító-megelőző ellátásra 1 090,8 </w:t>
      </w:r>
      <w:r w:rsidRPr="00927CAB">
        <w:rPr>
          <w:rFonts w:ascii="Times New Roman" w:eastAsia="Times New Roman" w:hAnsi="Times New Roman" w:cs="Times New Roman"/>
          <w:b/>
          <w:bCs/>
          <w:sz w:val="26"/>
          <w:szCs w:val="26"/>
          <w:lang w:eastAsia="hu-HU"/>
        </w:rPr>
        <w:t>milliárd forint került kifizetésre május végéig</w:t>
      </w:r>
      <w:r w:rsidR="639E9B9B" w:rsidRPr="639E9B9B">
        <w:rPr>
          <w:rFonts w:ascii="Times New Roman" w:eastAsia="Times New Roman" w:hAnsi="Times New Roman" w:cs="Times New Roman"/>
          <w:b/>
          <w:bCs/>
          <w:sz w:val="26"/>
          <w:szCs w:val="26"/>
          <w:lang w:eastAsia="hu-HU"/>
        </w:rPr>
        <w:t>.</w:t>
      </w:r>
    </w:p>
    <w:p w14:paraId="3731FE75" w14:textId="59403C5B" w:rsidR="007C7FEB" w:rsidRPr="00377D59" w:rsidRDefault="00920F4D" w:rsidP="00AF704D">
      <w:pPr>
        <w:spacing w:after="240" w:line="240" w:lineRule="auto"/>
        <w:jc w:val="center"/>
        <w:rPr>
          <w:rFonts w:ascii="Times New Roman" w:eastAsia="Calibri" w:hAnsi="Times New Roman" w:cs="Times New Roman"/>
          <w:b/>
          <w:bCs/>
          <w:sz w:val="26"/>
          <w:szCs w:val="26"/>
          <w:lang w:eastAsia="hu-HU"/>
        </w:rPr>
      </w:pPr>
      <w:r w:rsidRPr="00920F4D">
        <w:rPr>
          <w:rFonts w:ascii="Times New Roman" w:eastAsia="Calibri" w:hAnsi="Times New Roman" w:cs="Times New Roman"/>
          <w:b/>
          <w:bCs/>
          <w:noProof/>
          <w:sz w:val="26"/>
          <w:szCs w:val="26"/>
          <w:lang w:eastAsia="hu-HU"/>
        </w:rPr>
        <w:drawing>
          <wp:inline distT="0" distB="0" distL="0" distR="0" wp14:anchorId="79567205" wp14:editId="409C9C03">
            <wp:extent cx="5937752" cy="2195724"/>
            <wp:effectExtent l="0" t="0" r="6350" b="0"/>
            <wp:docPr id="7" name="Kép 7" descr="Z:\Áht_gyors_moni\2024_05_máj\0_feljegyzés_monitoring\ábrák\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ht_gyors_moni\2024_05_máj\0_feljegyzés_monitoring\ábrák\kiadás_megoszlá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1120" cy="2204365"/>
                    </a:xfrm>
                    <a:prstGeom prst="rect">
                      <a:avLst/>
                    </a:prstGeom>
                    <a:noFill/>
                    <a:ln>
                      <a:noFill/>
                    </a:ln>
                  </pic:spPr>
                </pic:pic>
              </a:graphicData>
            </a:graphic>
          </wp:inline>
        </w:drawing>
      </w:r>
    </w:p>
    <w:p w14:paraId="5D932729" w14:textId="23E5E4C4" w:rsidR="266D0E36" w:rsidRDefault="639E9B9B" w:rsidP="639E9B9B">
      <w:pPr>
        <w:jc w:val="both"/>
        <w:rPr>
          <w:rFonts w:ascii="Times New Roman" w:hAnsi="Times New Roman" w:cs="Times New Roman"/>
          <w:sz w:val="26"/>
          <w:szCs w:val="26"/>
        </w:rPr>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úthálózat rendelkezésre állási díjak</w:t>
      </w:r>
      <w:r w:rsidRPr="639E9B9B">
        <w:rPr>
          <w:rFonts w:ascii="Times New Roman" w:eastAsia="Times New Roman" w:hAnsi="Times New Roman" w:cs="Times New Roman"/>
          <w:sz w:val="26"/>
          <w:szCs w:val="26"/>
        </w:rPr>
        <w:t xml:space="preserve"> mérlegsor tartalmazza az M5, M6 autópálya rendelkezésre állási díjak, valamint a gyorsforgalmi úthálózat rendelkezésre állási díj előirányzatok kiadásait, melynek összege 2024. május végéig együttesen 156,6 milliárd forint volt, </w:t>
      </w:r>
      <w:r w:rsidRPr="639E9B9B">
        <w:rPr>
          <w:rFonts w:ascii="Times New Roman" w:eastAsia="Calibri" w:hAnsi="Times New Roman" w:cs="Times New Roman"/>
          <w:sz w:val="26"/>
          <w:szCs w:val="26"/>
          <w:lang w:eastAsia="hu-HU"/>
        </w:rPr>
        <w:t xml:space="preserve">ami </w:t>
      </w:r>
      <w:r w:rsidRPr="639E9B9B">
        <w:rPr>
          <w:rFonts w:ascii="Times New Roman" w:eastAsia="Times New Roman" w:hAnsi="Times New Roman" w:cs="Times New Roman"/>
          <w:sz w:val="26"/>
          <w:szCs w:val="26"/>
        </w:rPr>
        <w:t>közel azonos mértékű az elmúlt év azonos időszakához képest.</w:t>
      </w:r>
    </w:p>
    <w:p w14:paraId="6FBBC40E" w14:textId="1C604015" w:rsidR="1E25FE9E" w:rsidRPr="00377D59"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közösségi közlekedés költségtérítés és támogatás</w:t>
      </w:r>
      <w:r w:rsidRPr="639E9B9B">
        <w:rPr>
          <w:rFonts w:ascii="Times New Roman" w:eastAsia="Times New Roman" w:hAnsi="Times New Roman" w:cs="Times New Roman"/>
          <w:sz w:val="26"/>
          <w:szCs w:val="26"/>
        </w:rPr>
        <w:t xml:space="preserve"> mérlegsor kiadásai május végéig </w:t>
      </w:r>
      <w:r w:rsidR="008D3E76" w:rsidRPr="00FF30FF">
        <w:rPr>
          <w:rFonts w:ascii="Times New Roman" w:eastAsia="Times New Roman" w:hAnsi="Times New Roman" w:cs="Times New Roman"/>
          <w:sz w:val="26"/>
          <w:szCs w:val="26"/>
        </w:rPr>
        <w:t>322,1</w:t>
      </w:r>
      <w:r w:rsidR="00FF30FF" w:rsidRPr="00FF30FF">
        <w:rPr>
          <w:rFonts w:ascii="Times New Roman" w:eastAsia="Times New Roman" w:hAnsi="Times New Roman" w:cs="Times New Roman"/>
          <w:sz w:val="26"/>
          <w:szCs w:val="26"/>
        </w:rPr>
        <w:t> </w:t>
      </w:r>
      <w:r w:rsidRPr="00FF30FF">
        <w:rPr>
          <w:rFonts w:ascii="Times New Roman" w:eastAsia="Times New Roman" w:hAnsi="Times New Roman" w:cs="Times New Roman"/>
          <w:sz w:val="26"/>
          <w:szCs w:val="26"/>
        </w:rPr>
        <w:t xml:space="preserve">milliárd forintot tettek ki, amelyből a szociálpolitikai menetdíj támogatás </w:t>
      </w:r>
      <w:r w:rsidR="008D3E76" w:rsidRPr="00FF30FF">
        <w:rPr>
          <w:rFonts w:ascii="Times New Roman" w:eastAsia="Times New Roman" w:hAnsi="Times New Roman" w:cs="Times New Roman"/>
          <w:sz w:val="26"/>
          <w:szCs w:val="26"/>
        </w:rPr>
        <w:t>50,5</w:t>
      </w:r>
      <w:r w:rsidR="00FF30FF" w:rsidRPr="00FF30FF">
        <w:rPr>
          <w:rFonts w:ascii="Times New Roman" w:eastAsia="Times New Roman" w:hAnsi="Times New Roman" w:cs="Times New Roman"/>
          <w:sz w:val="26"/>
          <w:szCs w:val="26"/>
        </w:rPr>
        <w:t> </w:t>
      </w:r>
      <w:r w:rsidRPr="00FF30FF">
        <w:rPr>
          <w:rFonts w:ascii="Times New Roman" w:eastAsia="Times New Roman" w:hAnsi="Times New Roman" w:cs="Times New Roman"/>
          <w:sz w:val="26"/>
          <w:szCs w:val="26"/>
        </w:rPr>
        <w:t>milliárd forint.</w:t>
      </w:r>
      <w:r w:rsidRPr="639E9B9B">
        <w:rPr>
          <w:rFonts w:ascii="Times New Roman" w:eastAsia="Times New Roman" w:hAnsi="Times New Roman" w:cs="Times New Roman"/>
          <w:sz w:val="26"/>
          <w:szCs w:val="26"/>
        </w:rPr>
        <w:t xml:space="preserve"> Az összes kiadás nagyságrendileg azonos a megelőző év azonos időszaki teljesítésével.</w:t>
      </w:r>
    </w:p>
    <w:p w14:paraId="34BE091E" w14:textId="77777777" w:rsidR="00057916"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közüzemi szolgáltatások támogatása</w:t>
      </w:r>
      <w:r w:rsidRPr="639E9B9B">
        <w:rPr>
          <w:rFonts w:ascii="Times New Roman" w:eastAsia="Times New Roman" w:hAnsi="Times New Roman" w:cs="Times New Roman"/>
          <w:sz w:val="26"/>
          <w:szCs w:val="26"/>
        </w:rPr>
        <w:t xml:space="preserve"> mérlegsor tartalmazza a lakossági energia rezsivédelmi szolgáltatás, a lakossági villamos energia rendszerhasználati díj támogatás, a rezsivédelmi készletezési szolgáltatás és a távhőszolgáltatók kompenzációjával kapcsolatos kiadásokat, valamint a Víziközmű-fejlesztési és Elle</w:t>
      </w:r>
      <w:r w:rsidR="00A9789C">
        <w:rPr>
          <w:rFonts w:ascii="Times New Roman" w:eastAsia="Times New Roman" w:hAnsi="Times New Roman" w:cs="Times New Roman"/>
          <w:sz w:val="26"/>
          <w:szCs w:val="26"/>
        </w:rPr>
        <w:t xml:space="preserve">ntételezési Alap kiadásait is. </w:t>
      </w:r>
      <w:r w:rsidRPr="639E9B9B">
        <w:rPr>
          <w:rFonts w:ascii="Times New Roman" w:eastAsia="Times New Roman" w:hAnsi="Times New Roman" w:cs="Times New Roman"/>
          <w:sz w:val="26"/>
          <w:szCs w:val="26"/>
        </w:rPr>
        <w:t xml:space="preserve">A közüzemi szolgáltatások támogatására fordított kiadások 2024. május végéig 589,0 milliárd forintot tettek ki, amelyből a mérlegsoron új elemként megjelenő Víziközmű-fejlesztési és Ellentételezési Alap kiadása 24,8 </w:t>
      </w:r>
      <w:r w:rsidR="008D3E76">
        <w:rPr>
          <w:rFonts w:ascii="Times New Roman" w:eastAsia="Times New Roman" w:hAnsi="Times New Roman" w:cs="Times New Roman"/>
          <w:sz w:val="26"/>
          <w:szCs w:val="26"/>
        </w:rPr>
        <w:t>milliárd forintot jelentenek.</w:t>
      </w:r>
      <w:r w:rsidR="00057916">
        <w:rPr>
          <w:rFonts w:ascii="Times New Roman" w:eastAsia="Times New Roman" w:hAnsi="Times New Roman" w:cs="Times New Roman"/>
          <w:sz w:val="26"/>
          <w:szCs w:val="26"/>
        </w:rPr>
        <w:t xml:space="preserve"> </w:t>
      </w:r>
    </w:p>
    <w:p w14:paraId="3B52873E" w14:textId="79708741" w:rsidR="008D3E76" w:rsidRDefault="00057916" w:rsidP="639E9B9B">
      <w:pPr>
        <w:jc w:val="both"/>
        <w:rPr>
          <w:rFonts w:ascii="Times New Roman" w:eastAsia="Times New Roman" w:hAnsi="Times New Roman" w:cs="Times New Roman"/>
          <w:sz w:val="26"/>
          <w:szCs w:val="26"/>
        </w:rPr>
      </w:pPr>
      <w:r w:rsidRPr="00057916">
        <w:rPr>
          <w:rFonts w:ascii="Times New Roman" w:eastAsia="Times New Roman" w:hAnsi="Times New Roman" w:cs="Times New Roman"/>
          <w:sz w:val="26"/>
          <w:szCs w:val="26"/>
        </w:rPr>
        <w:t xml:space="preserve">A jelenlegi teljesítés </w:t>
      </w:r>
      <w:r w:rsidRPr="008B2A36">
        <w:rPr>
          <w:rFonts w:ascii="Times New Roman" w:eastAsia="Times New Roman" w:hAnsi="Times New Roman" w:cs="Times New Roman"/>
          <w:sz w:val="26"/>
          <w:szCs w:val="26"/>
        </w:rPr>
        <w:t>305,6</w:t>
      </w:r>
      <w:r w:rsidRPr="00057916">
        <w:rPr>
          <w:rFonts w:ascii="Times New Roman" w:eastAsia="Times New Roman" w:hAnsi="Times New Roman" w:cs="Times New Roman"/>
          <w:sz w:val="26"/>
          <w:szCs w:val="26"/>
        </w:rPr>
        <w:t xml:space="preserve"> milliárd forinttal alacsonyabb, mint a tavalyi év azonos időszakában a közüzemi szolgáltatások teljesítésére fordított 894,6 milliárd forint, ami részben az alacsonyabb éves várható támogatási igényből, részben az eltérő havi kifizetési ütemezésből fakad.</w:t>
      </w:r>
    </w:p>
    <w:p w14:paraId="183C6341" w14:textId="78270C5B" w:rsidR="76B67B90" w:rsidRPr="00377D59"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b/>
          <w:bCs/>
          <w:sz w:val="26"/>
          <w:szCs w:val="26"/>
          <w:lang w:eastAsia="hu-HU"/>
        </w:rPr>
        <w:t xml:space="preserve">Lakástámogatásokra </w:t>
      </w:r>
      <w:r w:rsidRPr="639E9B9B">
        <w:rPr>
          <w:rFonts w:ascii="Times New Roman" w:eastAsia="Times New Roman" w:hAnsi="Times New Roman" w:cs="Times New Roman"/>
          <w:sz w:val="26"/>
          <w:szCs w:val="26"/>
        </w:rPr>
        <w:t>fordított kiadások összege május végéig 72,7 milliárd forint volt, mely 2023 azonos időszakához viszonyítva 247,6 milliárd forinttal teljesült alacsonyabban. Az eltérésben szerepet játszik az otthonfelújítási támogatás és az ehhez kapcsolódó kölcsön 2022. év végi megszüntetésének áthúzódó hatása, mely a tavalyi év első hónapjaiban került kifizetésre. Az idei évet mozgatja továbbá, hogy a Családi Otthonteremtési Kedvezményt (CSOK), 2024. január 1-jével új feltételekkel a CSOK Plusz váltotta fel. Emellett az árfolyam- és a referenciahozamok, valamint a további konstrukciókat igénybe vevők létszámának alakulása is befolyásolta a kifizetéseket.</w:t>
      </w:r>
    </w:p>
    <w:p w14:paraId="33223970" w14:textId="1A2C644A" w:rsidR="0F03D9E1" w:rsidRPr="00377D59" w:rsidRDefault="639E9B9B" w:rsidP="639E9B9B">
      <w:pPr>
        <w:jc w:val="both"/>
        <w:rPr>
          <w:rFonts w:ascii="Times New Roman" w:hAnsi="Times New Roman" w:cs="Times New Roman"/>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Nemzeti Család- és Szociálpolitikai Alap</w:t>
      </w:r>
      <w:r w:rsidRPr="639E9B9B">
        <w:rPr>
          <w:rFonts w:ascii="Times New Roman" w:eastAsia="Times New Roman" w:hAnsi="Times New Roman" w:cs="Times New Roman"/>
          <w:sz w:val="26"/>
          <w:szCs w:val="26"/>
        </w:rPr>
        <w:t xml:space="preserve"> a családi támogatásokat, a korhatár alatti ellátásokat, a jövedelempótló és jövedelemkiegészítő szociális támogatásokat, valamint a különféle jogcímen adott térítéseket tartalmazza. A főbb támogatásokat a következő táblázat részletezi:</w:t>
      </w:r>
    </w:p>
    <w:tbl>
      <w:tblPr>
        <w:tblW w:w="9351" w:type="dxa"/>
        <w:jc w:val="center"/>
        <w:tblCellMar>
          <w:left w:w="70" w:type="dxa"/>
          <w:right w:w="70" w:type="dxa"/>
        </w:tblCellMar>
        <w:tblLook w:val="04A0" w:firstRow="1" w:lastRow="0" w:firstColumn="1" w:lastColumn="0" w:noHBand="0" w:noVBand="1"/>
      </w:tblPr>
      <w:tblGrid>
        <w:gridCol w:w="5130"/>
        <w:gridCol w:w="1102"/>
        <w:gridCol w:w="1134"/>
        <w:gridCol w:w="993"/>
        <w:gridCol w:w="992"/>
      </w:tblGrid>
      <w:tr w:rsidR="00B155FE" w:rsidRPr="00377D59" w14:paraId="7B768B32" w14:textId="77777777" w:rsidTr="639E9B9B">
        <w:trPr>
          <w:trHeight w:val="340"/>
          <w:jc w:val="center"/>
        </w:trPr>
        <w:tc>
          <w:tcPr>
            <w:tcW w:w="5130" w:type="dxa"/>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noWrap/>
            <w:vAlign w:val="center"/>
            <w:hideMark/>
          </w:tcPr>
          <w:p w14:paraId="7B768B2E" w14:textId="77777777" w:rsidR="00B155FE" w:rsidRPr="00377D59" w:rsidRDefault="639E9B9B" w:rsidP="639E9B9B">
            <w:pPr>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Megnevezés</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2F" w14:textId="37B7F69D" w:rsidR="00B155FE" w:rsidRPr="00377D59" w:rsidRDefault="639E9B9B" w:rsidP="639E9B9B">
            <w:pPr>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2023.</w:t>
            </w:r>
            <w:r w:rsidR="6BF9886D">
              <w:br/>
            </w:r>
            <w:r w:rsidRPr="639E9B9B">
              <w:rPr>
                <w:rFonts w:ascii="Times New Roman" w:eastAsia="Times New Roman" w:hAnsi="Times New Roman" w:cs="Times New Roman"/>
                <w:b/>
                <w:bCs/>
                <w:lang w:eastAsia="hu-HU"/>
              </w:rPr>
              <w:t>I-V.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30" w14:textId="36FE6657" w:rsidR="00B155FE" w:rsidRPr="00377D59" w:rsidRDefault="639E9B9B" w:rsidP="639E9B9B">
            <w:pPr>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2024.</w:t>
            </w:r>
            <w:r w:rsidR="6BF9886D">
              <w:br/>
            </w:r>
            <w:r w:rsidRPr="639E9B9B">
              <w:rPr>
                <w:rFonts w:ascii="Times New Roman" w:eastAsia="Times New Roman" w:hAnsi="Times New Roman" w:cs="Times New Roman"/>
                <w:b/>
                <w:bCs/>
                <w:lang w:eastAsia="hu-HU"/>
              </w:rPr>
              <w:t>I-V. hó</w:t>
            </w:r>
          </w:p>
        </w:tc>
        <w:tc>
          <w:tcPr>
            <w:tcW w:w="1985"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B768B31" w14:textId="77777777" w:rsidR="00B155FE" w:rsidRPr="00377D59" w:rsidRDefault="639E9B9B" w:rsidP="639E9B9B">
            <w:pPr>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Eltérés</w:t>
            </w:r>
          </w:p>
        </w:tc>
      </w:tr>
      <w:tr w:rsidR="00B155FE" w:rsidRPr="00377D59" w14:paraId="7B768B38" w14:textId="77777777" w:rsidTr="639E9B9B">
        <w:trPr>
          <w:trHeight w:val="340"/>
          <w:jc w:val="center"/>
        </w:trPr>
        <w:tc>
          <w:tcPr>
            <w:tcW w:w="5375"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7B768B33" w14:textId="77777777" w:rsidR="00B155FE" w:rsidRPr="00377D59" w:rsidRDefault="00B155FE" w:rsidP="00B155FE">
            <w:pPr>
              <w:spacing w:after="0" w:line="240" w:lineRule="auto"/>
              <w:rPr>
                <w:rFonts w:ascii="Times New Roman" w:eastAsia="Times New Roman" w:hAnsi="Times New Roman" w:cs="Times New Roman"/>
                <w:b/>
                <w:bCs/>
                <w:lang w:eastAsia="hu-HU"/>
              </w:rPr>
            </w:pPr>
          </w:p>
        </w:tc>
        <w:tc>
          <w:tcPr>
            <w:tcW w:w="85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34" w14:textId="77777777" w:rsidR="00B155FE" w:rsidRPr="00377D59" w:rsidRDefault="00B155FE" w:rsidP="00B155FE">
            <w:pPr>
              <w:spacing w:after="0" w:line="240" w:lineRule="auto"/>
              <w:rPr>
                <w:rFonts w:ascii="Times New Roman" w:eastAsia="Times New Roman" w:hAnsi="Times New Roman" w:cs="Times New Roman"/>
                <w:b/>
                <w:bCs/>
                <w:lang w:eastAsia="hu-HU"/>
              </w:rPr>
            </w:pPr>
          </w:p>
        </w:tc>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35" w14:textId="77777777" w:rsidR="00B155FE" w:rsidRPr="00377D59" w:rsidRDefault="00B155FE" w:rsidP="00B155FE">
            <w:pPr>
              <w:spacing w:after="0" w:line="240" w:lineRule="auto"/>
              <w:rPr>
                <w:rFonts w:ascii="Times New Roman" w:eastAsia="Times New Roman" w:hAnsi="Times New Roman" w:cs="Times New Roman"/>
                <w:b/>
                <w:bCs/>
                <w:lang w:eastAsia="hu-HU"/>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7B768B36" w14:textId="77777777" w:rsidR="00B155FE" w:rsidRPr="00377D59" w:rsidRDefault="639E9B9B" w:rsidP="639E9B9B">
            <w:pPr>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Mrd Ft</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7B768B37" w14:textId="77777777" w:rsidR="00B155FE" w:rsidRPr="00377D59" w:rsidRDefault="639E9B9B" w:rsidP="639E9B9B">
            <w:pPr>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w:t>
            </w:r>
          </w:p>
        </w:tc>
      </w:tr>
      <w:tr w:rsidR="00B155FE" w:rsidRPr="00377D59" w14:paraId="7B768B3E"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39" w14:textId="77777777" w:rsidR="00B155FE" w:rsidRPr="00377D59" w:rsidRDefault="639E9B9B" w:rsidP="639E9B9B">
            <w:pPr>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Családi támogatások</w:t>
            </w:r>
          </w:p>
        </w:tc>
        <w:tc>
          <w:tcPr>
            <w:tcW w:w="1102" w:type="dxa"/>
            <w:tcBorders>
              <w:top w:val="nil"/>
              <w:left w:val="nil"/>
              <w:bottom w:val="single" w:sz="4" w:space="0" w:color="auto"/>
              <w:right w:val="single" w:sz="4" w:space="0" w:color="auto"/>
            </w:tcBorders>
            <w:shd w:val="clear" w:color="auto" w:fill="auto"/>
            <w:noWrap/>
            <w:vAlign w:val="center"/>
          </w:tcPr>
          <w:p w14:paraId="7B768B3A" w14:textId="42DD4C6F"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177,8</w:t>
            </w:r>
          </w:p>
        </w:tc>
        <w:tc>
          <w:tcPr>
            <w:tcW w:w="1134" w:type="dxa"/>
            <w:tcBorders>
              <w:top w:val="nil"/>
              <w:left w:val="nil"/>
              <w:bottom w:val="single" w:sz="4" w:space="0" w:color="auto"/>
              <w:right w:val="single" w:sz="4" w:space="0" w:color="auto"/>
            </w:tcBorders>
            <w:shd w:val="clear" w:color="auto" w:fill="auto"/>
            <w:noWrap/>
            <w:vAlign w:val="center"/>
          </w:tcPr>
          <w:p w14:paraId="7B768B3B" w14:textId="26D598D3"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181,2</w:t>
            </w:r>
          </w:p>
        </w:tc>
        <w:tc>
          <w:tcPr>
            <w:tcW w:w="993" w:type="dxa"/>
            <w:tcBorders>
              <w:top w:val="nil"/>
              <w:left w:val="nil"/>
              <w:bottom w:val="single" w:sz="4" w:space="0" w:color="auto"/>
              <w:right w:val="single" w:sz="4" w:space="0" w:color="auto"/>
            </w:tcBorders>
            <w:shd w:val="clear" w:color="auto" w:fill="auto"/>
            <w:noWrap/>
            <w:vAlign w:val="center"/>
          </w:tcPr>
          <w:p w14:paraId="7B768B3C" w14:textId="1A3CDC7D"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3,4</w:t>
            </w:r>
          </w:p>
        </w:tc>
        <w:tc>
          <w:tcPr>
            <w:tcW w:w="992" w:type="dxa"/>
            <w:tcBorders>
              <w:top w:val="nil"/>
              <w:left w:val="nil"/>
              <w:bottom w:val="single" w:sz="4" w:space="0" w:color="auto"/>
              <w:right w:val="single" w:sz="4" w:space="0" w:color="auto"/>
            </w:tcBorders>
            <w:shd w:val="clear" w:color="auto" w:fill="auto"/>
            <w:noWrap/>
            <w:vAlign w:val="center"/>
          </w:tcPr>
          <w:p w14:paraId="7B768B3D" w14:textId="7EA3179F"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101,9</w:t>
            </w:r>
          </w:p>
        </w:tc>
      </w:tr>
      <w:tr w:rsidR="00B155FE" w:rsidRPr="00377D59" w14:paraId="7B768B44"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3F" w14:textId="77777777" w:rsidR="00B155FE" w:rsidRPr="00377D59" w:rsidRDefault="639E9B9B" w:rsidP="639E9B9B">
            <w:pPr>
              <w:spacing w:after="0" w:line="240" w:lineRule="auto"/>
              <w:ind w:firstLineChars="100" w:firstLine="20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Ebből:</w:t>
            </w:r>
          </w:p>
        </w:tc>
        <w:tc>
          <w:tcPr>
            <w:tcW w:w="1102" w:type="dxa"/>
            <w:tcBorders>
              <w:top w:val="nil"/>
              <w:left w:val="nil"/>
              <w:bottom w:val="single" w:sz="4" w:space="0" w:color="auto"/>
              <w:right w:val="single" w:sz="4" w:space="0" w:color="auto"/>
            </w:tcBorders>
            <w:shd w:val="clear" w:color="auto" w:fill="auto"/>
            <w:noWrap/>
            <w:vAlign w:val="center"/>
          </w:tcPr>
          <w:p w14:paraId="7B768B40" w14:textId="3D315B46"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7B768B41" w14:textId="77777777" w:rsidR="00B155FE" w:rsidRPr="00377D59" w:rsidRDefault="00B155FE" w:rsidP="00B155FE">
            <w:pPr>
              <w:spacing w:after="0" w:line="240" w:lineRule="auto"/>
              <w:jc w:val="right"/>
              <w:rPr>
                <w:rFonts w:ascii="Times New Roman" w:eastAsia="Times New Roman" w:hAnsi="Times New Roman" w:cs="Times New Roman"/>
                <w:sz w:val="20"/>
                <w:szCs w:val="20"/>
                <w:lang w:eastAsia="hu-HU"/>
              </w:rPr>
            </w:pPr>
          </w:p>
        </w:tc>
        <w:tc>
          <w:tcPr>
            <w:tcW w:w="993" w:type="dxa"/>
            <w:tcBorders>
              <w:top w:val="nil"/>
              <w:left w:val="nil"/>
              <w:bottom w:val="single" w:sz="4" w:space="0" w:color="auto"/>
              <w:right w:val="single" w:sz="4" w:space="0" w:color="auto"/>
            </w:tcBorders>
            <w:shd w:val="clear" w:color="auto" w:fill="auto"/>
            <w:noWrap/>
            <w:vAlign w:val="center"/>
          </w:tcPr>
          <w:p w14:paraId="7B768B42" w14:textId="51EB1AB4"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c>
          <w:tcPr>
            <w:tcW w:w="992" w:type="dxa"/>
            <w:tcBorders>
              <w:top w:val="nil"/>
              <w:left w:val="nil"/>
              <w:bottom w:val="single" w:sz="4" w:space="0" w:color="auto"/>
              <w:right w:val="single" w:sz="4" w:space="0" w:color="auto"/>
            </w:tcBorders>
            <w:shd w:val="clear" w:color="auto" w:fill="auto"/>
            <w:noWrap/>
            <w:vAlign w:val="center"/>
          </w:tcPr>
          <w:p w14:paraId="7B768B43" w14:textId="28AB6269"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r>
      <w:tr w:rsidR="00B155FE" w:rsidRPr="00377D59" w14:paraId="7B768B4A"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45"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családi pótlék</w:t>
            </w:r>
          </w:p>
        </w:tc>
        <w:tc>
          <w:tcPr>
            <w:tcW w:w="1102" w:type="dxa"/>
            <w:tcBorders>
              <w:top w:val="nil"/>
              <w:left w:val="nil"/>
              <w:bottom w:val="single" w:sz="4" w:space="0" w:color="auto"/>
              <w:right w:val="single" w:sz="4" w:space="0" w:color="auto"/>
            </w:tcBorders>
            <w:shd w:val="clear" w:color="auto" w:fill="auto"/>
            <w:noWrap/>
            <w:vAlign w:val="center"/>
          </w:tcPr>
          <w:p w14:paraId="7B768B46" w14:textId="5DC51318"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128,9</w:t>
            </w:r>
          </w:p>
        </w:tc>
        <w:tc>
          <w:tcPr>
            <w:tcW w:w="1134" w:type="dxa"/>
            <w:tcBorders>
              <w:top w:val="nil"/>
              <w:left w:val="nil"/>
              <w:bottom w:val="single" w:sz="4" w:space="0" w:color="auto"/>
              <w:right w:val="single" w:sz="4" w:space="0" w:color="auto"/>
            </w:tcBorders>
            <w:shd w:val="clear" w:color="auto" w:fill="auto"/>
            <w:noWrap/>
            <w:vAlign w:val="center"/>
          </w:tcPr>
          <w:p w14:paraId="7B768B47" w14:textId="1DD07912" w:rsidR="00B155FE" w:rsidRPr="00377D59" w:rsidRDefault="639E9B9B" w:rsidP="639E9B9B">
            <w:pPr>
              <w:spacing w:after="0"/>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127,3</w:t>
            </w:r>
          </w:p>
        </w:tc>
        <w:tc>
          <w:tcPr>
            <w:tcW w:w="993" w:type="dxa"/>
            <w:tcBorders>
              <w:top w:val="nil"/>
              <w:left w:val="nil"/>
              <w:bottom w:val="single" w:sz="4" w:space="0" w:color="auto"/>
              <w:right w:val="single" w:sz="4" w:space="0" w:color="auto"/>
            </w:tcBorders>
            <w:shd w:val="clear" w:color="auto" w:fill="auto"/>
            <w:noWrap/>
            <w:vAlign w:val="center"/>
          </w:tcPr>
          <w:p w14:paraId="7B768B48" w14:textId="4FE43E4C"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-1,6</w:t>
            </w:r>
          </w:p>
        </w:tc>
        <w:tc>
          <w:tcPr>
            <w:tcW w:w="992" w:type="dxa"/>
            <w:tcBorders>
              <w:top w:val="nil"/>
              <w:left w:val="nil"/>
              <w:bottom w:val="single" w:sz="4" w:space="0" w:color="auto"/>
              <w:right w:val="single" w:sz="4" w:space="0" w:color="auto"/>
            </w:tcBorders>
            <w:shd w:val="clear" w:color="auto" w:fill="auto"/>
            <w:noWrap/>
            <w:vAlign w:val="center"/>
          </w:tcPr>
          <w:p w14:paraId="7B768B49" w14:textId="772EA6A7"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98,8</w:t>
            </w:r>
          </w:p>
        </w:tc>
      </w:tr>
      <w:tr w:rsidR="00B155FE" w:rsidRPr="00377D59" w14:paraId="7B768B50"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4B"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anyasági támogatás</w:t>
            </w:r>
          </w:p>
        </w:tc>
        <w:tc>
          <w:tcPr>
            <w:tcW w:w="1102" w:type="dxa"/>
            <w:tcBorders>
              <w:top w:val="nil"/>
              <w:left w:val="nil"/>
              <w:bottom w:val="single" w:sz="4" w:space="0" w:color="auto"/>
              <w:right w:val="single" w:sz="4" w:space="0" w:color="auto"/>
            </w:tcBorders>
            <w:shd w:val="clear" w:color="auto" w:fill="auto"/>
            <w:noWrap/>
            <w:vAlign w:val="center"/>
          </w:tcPr>
          <w:p w14:paraId="7B768B4C" w14:textId="323CDE7D"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2,5</w:t>
            </w:r>
          </w:p>
        </w:tc>
        <w:tc>
          <w:tcPr>
            <w:tcW w:w="1134" w:type="dxa"/>
            <w:tcBorders>
              <w:top w:val="nil"/>
              <w:left w:val="nil"/>
              <w:bottom w:val="single" w:sz="4" w:space="0" w:color="auto"/>
              <w:right w:val="single" w:sz="4" w:space="0" w:color="auto"/>
            </w:tcBorders>
            <w:shd w:val="clear" w:color="auto" w:fill="auto"/>
            <w:noWrap/>
            <w:vAlign w:val="center"/>
          </w:tcPr>
          <w:p w14:paraId="7B768B4D" w14:textId="2B0D211E"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2,3</w:t>
            </w:r>
          </w:p>
        </w:tc>
        <w:tc>
          <w:tcPr>
            <w:tcW w:w="993" w:type="dxa"/>
            <w:tcBorders>
              <w:top w:val="nil"/>
              <w:left w:val="nil"/>
              <w:bottom w:val="single" w:sz="4" w:space="0" w:color="auto"/>
              <w:right w:val="single" w:sz="4" w:space="0" w:color="auto"/>
            </w:tcBorders>
            <w:shd w:val="clear" w:color="auto" w:fill="auto"/>
            <w:noWrap/>
            <w:vAlign w:val="center"/>
          </w:tcPr>
          <w:p w14:paraId="7B768B4E" w14:textId="1F502AA8"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-0,2</w:t>
            </w:r>
          </w:p>
        </w:tc>
        <w:tc>
          <w:tcPr>
            <w:tcW w:w="992" w:type="dxa"/>
            <w:tcBorders>
              <w:top w:val="nil"/>
              <w:left w:val="nil"/>
              <w:bottom w:val="single" w:sz="4" w:space="0" w:color="auto"/>
              <w:right w:val="single" w:sz="4" w:space="0" w:color="auto"/>
            </w:tcBorders>
            <w:shd w:val="clear" w:color="auto" w:fill="auto"/>
            <w:noWrap/>
            <w:vAlign w:val="center"/>
          </w:tcPr>
          <w:p w14:paraId="7B768B4F" w14:textId="361142AA"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92,0</w:t>
            </w:r>
          </w:p>
        </w:tc>
      </w:tr>
      <w:tr w:rsidR="00B155FE" w:rsidRPr="00377D59" w14:paraId="7B768B56"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51"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gyermekgondozást segítő ellátás</w:t>
            </w:r>
          </w:p>
        </w:tc>
        <w:tc>
          <w:tcPr>
            <w:tcW w:w="1102" w:type="dxa"/>
            <w:tcBorders>
              <w:top w:val="nil"/>
              <w:left w:val="nil"/>
              <w:bottom w:val="single" w:sz="4" w:space="0" w:color="auto"/>
              <w:right w:val="single" w:sz="4" w:space="0" w:color="auto"/>
            </w:tcBorders>
            <w:shd w:val="clear" w:color="auto" w:fill="auto"/>
            <w:noWrap/>
            <w:vAlign w:val="center"/>
          </w:tcPr>
          <w:p w14:paraId="7B768B52" w14:textId="483C4CC7"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22,9</w:t>
            </w:r>
          </w:p>
        </w:tc>
        <w:tc>
          <w:tcPr>
            <w:tcW w:w="1134" w:type="dxa"/>
            <w:tcBorders>
              <w:top w:val="nil"/>
              <w:left w:val="nil"/>
              <w:bottom w:val="single" w:sz="4" w:space="0" w:color="auto"/>
              <w:right w:val="single" w:sz="4" w:space="0" w:color="auto"/>
            </w:tcBorders>
            <w:shd w:val="clear" w:color="auto" w:fill="auto"/>
            <w:noWrap/>
            <w:vAlign w:val="center"/>
          </w:tcPr>
          <w:p w14:paraId="7B768B53" w14:textId="2246839F"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22,4</w:t>
            </w:r>
          </w:p>
        </w:tc>
        <w:tc>
          <w:tcPr>
            <w:tcW w:w="993" w:type="dxa"/>
            <w:tcBorders>
              <w:top w:val="nil"/>
              <w:left w:val="nil"/>
              <w:bottom w:val="single" w:sz="4" w:space="0" w:color="auto"/>
              <w:right w:val="single" w:sz="4" w:space="0" w:color="auto"/>
            </w:tcBorders>
            <w:shd w:val="clear" w:color="auto" w:fill="auto"/>
            <w:noWrap/>
            <w:vAlign w:val="center"/>
          </w:tcPr>
          <w:p w14:paraId="7B768B54" w14:textId="47489505"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-0,5</w:t>
            </w:r>
          </w:p>
        </w:tc>
        <w:tc>
          <w:tcPr>
            <w:tcW w:w="992" w:type="dxa"/>
            <w:tcBorders>
              <w:top w:val="nil"/>
              <w:left w:val="nil"/>
              <w:bottom w:val="single" w:sz="4" w:space="0" w:color="auto"/>
              <w:right w:val="single" w:sz="4" w:space="0" w:color="auto"/>
            </w:tcBorders>
            <w:shd w:val="clear" w:color="auto" w:fill="auto"/>
            <w:noWrap/>
            <w:vAlign w:val="center"/>
          </w:tcPr>
          <w:p w14:paraId="7B768B55" w14:textId="48D00A76"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97,8</w:t>
            </w:r>
          </w:p>
        </w:tc>
      </w:tr>
      <w:tr w:rsidR="00B155FE" w:rsidRPr="00377D59" w14:paraId="7B768B5C"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57"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gyermeknevelési támogatás</w:t>
            </w:r>
          </w:p>
        </w:tc>
        <w:tc>
          <w:tcPr>
            <w:tcW w:w="1102" w:type="dxa"/>
            <w:tcBorders>
              <w:top w:val="nil"/>
              <w:left w:val="nil"/>
              <w:bottom w:val="single" w:sz="4" w:space="0" w:color="auto"/>
              <w:right w:val="single" w:sz="4" w:space="0" w:color="auto"/>
            </w:tcBorders>
            <w:shd w:val="clear" w:color="auto" w:fill="auto"/>
            <w:noWrap/>
            <w:vAlign w:val="center"/>
          </w:tcPr>
          <w:p w14:paraId="7B768B58" w14:textId="5448D522"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4,1</w:t>
            </w:r>
          </w:p>
        </w:tc>
        <w:tc>
          <w:tcPr>
            <w:tcW w:w="1134" w:type="dxa"/>
            <w:tcBorders>
              <w:top w:val="nil"/>
              <w:left w:val="nil"/>
              <w:bottom w:val="single" w:sz="4" w:space="0" w:color="auto"/>
              <w:right w:val="single" w:sz="4" w:space="0" w:color="auto"/>
            </w:tcBorders>
            <w:shd w:val="clear" w:color="auto" w:fill="auto"/>
            <w:noWrap/>
            <w:vAlign w:val="center"/>
          </w:tcPr>
          <w:p w14:paraId="7B768B59" w14:textId="31EF39E6"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3,9</w:t>
            </w:r>
          </w:p>
        </w:tc>
        <w:tc>
          <w:tcPr>
            <w:tcW w:w="993" w:type="dxa"/>
            <w:tcBorders>
              <w:top w:val="nil"/>
              <w:left w:val="nil"/>
              <w:bottom w:val="single" w:sz="4" w:space="0" w:color="auto"/>
              <w:right w:val="single" w:sz="4" w:space="0" w:color="auto"/>
            </w:tcBorders>
            <w:shd w:val="clear" w:color="auto" w:fill="auto"/>
            <w:noWrap/>
            <w:vAlign w:val="center"/>
          </w:tcPr>
          <w:p w14:paraId="7B768B5A" w14:textId="2E6FEC60"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-0,2</w:t>
            </w:r>
          </w:p>
        </w:tc>
        <w:tc>
          <w:tcPr>
            <w:tcW w:w="992" w:type="dxa"/>
            <w:tcBorders>
              <w:top w:val="nil"/>
              <w:left w:val="nil"/>
              <w:bottom w:val="single" w:sz="4" w:space="0" w:color="auto"/>
              <w:right w:val="single" w:sz="4" w:space="0" w:color="auto"/>
            </w:tcBorders>
            <w:shd w:val="clear" w:color="auto" w:fill="auto"/>
            <w:noWrap/>
            <w:vAlign w:val="center"/>
          </w:tcPr>
          <w:p w14:paraId="7B768B5B" w14:textId="62867F49"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95,1</w:t>
            </w:r>
          </w:p>
        </w:tc>
      </w:tr>
      <w:tr w:rsidR="00B155FE" w:rsidRPr="00377D59" w14:paraId="7B768B62"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5D"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gyermekek születésével kapcsolatos szabadság megtérítése</w:t>
            </w:r>
          </w:p>
        </w:tc>
        <w:tc>
          <w:tcPr>
            <w:tcW w:w="1102" w:type="dxa"/>
            <w:tcBorders>
              <w:top w:val="nil"/>
              <w:left w:val="nil"/>
              <w:bottom w:val="single" w:sz="4" w:space="0" w:color="auto"/>
              <w:right w:val="single" w:sz="4" w:space="0" w:color="auto"/>
            </w:tcBorders>
            <w:shd w:val="clear" w:color="auto" w:fill="auto"/>
            <w:noWrap/>
            <w:vAlign w:val="center"/>
          </w:tcPr>
          <w:p w14:paraId="7B768B5E" w14:textId="005011AA"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2,3</w:t>
            </w:r>
          </w:p>
        </w:tc>
        <w:tc>
          <w:tcPr>
            <w:tcW w:w="1134" w:type="dxa"/>
            <w:tcBorders>
              <w:top w:val="nil"/>
              <w:left w:val="nil"/>
              <w:bottom w:val="single" w:sz="4" w:space="0" w:color="auto"/>
              <w:right w:val="single" w:sz="4" w:space="0" w:color="auto"/>
            </w:tcBorders>
            <w:shd w:val="clear" w:color="auto" w:fill="auto"/>
            <w:noWrap/>
            <w:vAlign w:val="center"/>
          </w:tcPr>
          <w:p w14:paraId="7B768B5F" w14:textId="4F35CB49"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2,4</w:t>
            </w:r>
          </w:p>
        </w:tc>
        <w:tc>
          <w:tcPr>
            <w:tcW w:w="993" w:type="dxa"/>
            <w:tcBorders>
              <w:top w:val="nil"/>
              <w:left w:val="nil"/>
              <w:bottom w:val="single" w:sz="4" w:space="0" w:color="auto"/>
              <w:right w:val="single" w:sz="4" w:space="0" w:color="auto"/>
            </w:tcBorders>
            <w:shd w:val="clear" w:color="auto" w:fill="auto"/>
            <w:noWrap/>
            <w:vAlign w:val="center"/>
          </w:tcPr>
          <w:p w14:paraId="7B768B60" w14:textId="64F2F19D"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0,1</w:t>
            </w:r>
          </w:p>
        </w:tc>
        <w:tc>
          <w:tcPr>
            <w:tcW w:w="992" w:type="dxa"/>
            <w:tcBorders>
              <w:top w:val="nil"/>
              <w:left w:val="nil"/>
              <w:bottom w:val="single" w:sz="4" w:space="0" w:color="auto"/>
              <w:right w:val="single" w:sz="4" w:space="0" w:color="auto"/>
            </w:tcBorders>
            <w:shd w:val="clear" w:color="auto" w:fill="auto"/>
            <w:noWrap/>
            <w:vAlign w:val="center"/>
          </w:tcPr>
          <w:p w14:paraId="7B768B61" w14:textId="660F8582"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104,3</w:t>
            </w:r>
          </w:p>
        </w:tc>
      </w:tr>
      <w:tr w:rsidR="00B155FE" w:rsidRPr="00377D59" w14:paraId="7B768B68"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63"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életkezdési támogatás</w:t>
            </w:r>
          </w:p>
        </w:tc>
        <w:tc>
          <w:tcPr>
            <w:tcW w:w="1102" w:type="dxa"/>
            <w:tcBorders>
              <w:top w:val="nil"/>
              <w:left w:val="nil"/>
              <w:bottom w:val="single" w:sz="4" w:space="0" w:color="auto"/>
              <w:right w:val="single" w:sz="4" w:space="0" w:color="auto"/>
            </w:tcBorders>
            <w:shd w:val="clear" w:color="auto" w:fill="auto"/>
            <w:noWrap/>
            <w:vAlign w:val="center"/>
          </w:tcPr>
          <w:p w14:paraId="7B768B64" w14:textId="0387BF7E"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16,5</w:t>
            </w:r>
          </w:p>
        </w:tc>
        <w:tc>
          <w:tcPr>
            <w:tcW w:w="1134" w:type="dxa"/>
            <w:tcBorders>
              <w:top w:val="nil"/>
              <w:left w:val="nil"/>
              <w:bottom w:val="single" w:sz="4" w:space="0" w:color="auto"/>
              <w:right w:val="single" w:sz="4" w:space="0" w:color="auto"/>
            </w:tcBorders>
            <w:shd w:val="clear" w:color="auto" w:fill="auto"/>
            <w:noWrap/>
            <w:vAlign w:val="center"/>
          </w:tcPr>
          <w:p w14:paraId="7B768B65" w14:textId="42D8E684"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22,0</w:t>
            </w:r>
          </w:p>
        </w:tc>
        <w:tc>
          <w:tcPr>
            <w:tcW w:w="993" w:type="dxa"/>
            <w:tcBorders>
              <w:top w:val="nil"/>
              <w:left w:val="nil"/>
              <w:bottom w:val="single" w:sz="4" w:space="0" w:color="auto"/>
              <w:right w:val="single" w:sz="4" w:space="0" w:color="auto"/>
            </w:tcBorders>
            <w:shd w:val="clear" w:color="auto" w:fill="auto"/>
            <w:noWrap/>
            <w:vAlign w:val="center"/>
          </w:tcPr>
          <w:p w14:paraId="7B768B66" w14:textId="2235C586"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5,5</w:t>
            </w:r>
          </w:p>
        </w:tc>
        <w:tc>
          <w:tcPr>
            <w:tcW w:w="992" w:type="dxa"/>
            <w:tcBorders>
              <w:top w:val="nil"/>
              <w:left w:val="nil"/>
              <w:bottom w:val="single" w:sz="4" w:space="0" w:color="auto"/>
              <w:right w:val="single" w:sz="4" w:space="0" w:color="auto"/>
            </w:tcBorders>
            <w:shd w:val="clear" w:color="auto" w:fill="auto"/>
            <w:noWrap/>
            <w:vAlign w:val="center"/>
          </w:tcPr>
          <w:p w14:paraId="7B768B67" w14:textId="326C01AE"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133,3</w:t>
            </w:r>
          </w:p>
        </w:tc>
      </w:tr>
      <w:tr w:rsidR="00B155FE" w:rsidRPr="00377D59" w14:paraId="7B768B6E"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69" w14:textId="77777777" w:rsidR="00B155FE" w:rsidRPr="00377D59" w:rsidRDefault="639E9B9B" w:rsidP="639E9B9B">
            <w:pPr>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Korhatár alatti ellátások</w:t>
            </w:r>
          </w:p>
        </w:tc>
        <w:tc>
          <w:tcPr>
            <w:tcW w:w="1102" w:type="dxa"/>
            <w:tcBorders>
              <w:top w:val="nil"/>
              <w:left w:val="nil"/>
              <w:bottom w:val="single" w:sz="4" w:space="0" w:color="auto"/>
              <w:right w:val="single" w:sz="4" w:space="0" w:color="auto"/>
            </w:tcBorders>
            <w:shd w:val="clear" w:color="auto" w:fill="auto"/>
            <w:noWrap/>
            <w:vAlign w:val="center"/>
          </w:tcPr>
          <w:p w14:paraId="7B768B6A" w14:textId="79B3D87E"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58,0</w:t>
            </w:r>
          </w:p>
        </w:tc>
        <w:tc>
          <w:tcPr>
            <w:tcW w:w="1134" w:type="dxa"/>
            <w:tcBorders>
              <w:top w:val="nil"/>
              <w:left w:val="nil"/>
              <w:bottom w:val="single" w:sz="4" w:space="0" w:color="auto"/>
              <w:right w:val="single" w:sz="4" w:space="0" w:color="auto"/>
            </w:tcBorders>
            <w:shd w:val="clear" w:color="auto" w:fill="auto"/>
            <w:noWrap/>
            <w:vAlign w:val="center"/>
          </w:tcPr>
          <w:p w14:paraId="7B768B6B" w14:textId="1AB83DC8"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58,8</w:t>
            </w:r>
          </w:p>
        </w:tc>
        <w:tc>
          <w:tcPr>
            <w:tcW w:w="993" w:type="dxa"/>
            <w:tcBorders>
              <w:top w:val="nil"/>
              <w:left w:val="nil"/>
              <w:bottom w:val="single" w:sz="4" w:space="0" w:color="auto"/>
              <w:right w:val="single" w:sz="4" w:space="0" w:color="auto"/>
            </w:tcBorders>
            <w:shd w:val="clear" w:color="auto" w:fill="auto"/>
            <w:noWrap/>
            <w:vAlign w:val="center"/>
          </w:tcPr>
          <w:p w14:paraId="7B768B6C" w14:textId="255D76F7"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0,8</w:t>
            </w:r>
          </w:p>
        </w:tc>
        <w:tc>
          <w:tcPr>
            <w:tcW w:w="992" w:type="dxa"/>
            <w:tcBorders>
              <w:top w:val="nil"/>
              <w:left w:val="nil"/>
              <w:bottom w:val="single" w:sz="4" w:space="0" w:color="auto"/>
              <w:right w:val="single" w:sz="4" w:space="0" w:color="auto"/>
            </w:tcBorders>
            <w:shd w:val="clear" w:color="auto" w:fill="auto"/>
            <w:noWrap/>
            <w:vAlign w:val="center"/>
          </w:tcPr>
          <w:p w14:paraId="7B768B6D" w14:textId="57E7736C"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101,4</w:t>
            </w:r>
          </w:p>
        </w:tc>
      </w:tr>
      <w:tr w:rsidR="00B155FE" w:rsidRPr="00377D59" w14:paraId="7B768B74"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6F" w14:textId="77777777" w:rsidR="00B155FE" w:rsidRPr="00377D59" w:rsidRDefault="639E9B9B" w:rsidP="639E9B9B">
            <w:pPr>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Jövedelempótló és jövedelemkiegészítő szociális támogatások</w:t>
            </w:r>
          </w:p>
        </w:tc>
        <w:tc>
          <w:tcPr>
            <w:tcW w:w="1102" w:type="dxa"/>
            <w:tcBorders>
              <w:top w:val="nil"/>
              <w:left w:val="nil"/>
              <w:bottom w:val="single" w:sz="4" w:space="0" w:color="auto"/>
              <w:right w:val="single" w:sz="4" w:space="0" w:color="auto"/>
            </w:tcBorders>
            <w:shd w:val="clear" w:color="auto" w:fill="auto"/>
            <w:noWrap/>
            <w:vAlign w:val="center"/>
          </w:tcPr>
          <w:p w14:paraId="7B768B70" w14:textId="2346125C"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77,5</w:t>
            </w:r>
          </w:p>
        </w:tc>
        <w:tc>
          <w:tcPr>
            <w:tcW w:w="1134" w:type="dxa"/>
            <w:tcBorders>
              <w:top w:val="nil"/>
              <w:left w:val="nil"/>
              <w:bottom w:val="single" w:sz="4" w:space="0" w:color="auto"/>
              <w:right w:val="single" w:sz="4" w:space="0" w:color="auto"/>
            </w:tcBorders>
            <w:shd w:val="clear" w:color="auto" w:fill="auto"/>
            <w:noWrap/>
            <w:vAlign w:val="center"/>
          </w:tcPr>
          <w:p w14:paraId="7B768B71" w14:textId="3CD59A69"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86,0</w:t>
            </w:r>
          </w:p>
        </w:tc>
        <w:tc>
          <w:tcPr>
            <w:tcW w:w="993" w:type="dxa"/>
            <w:tcBorders>
              <w:top w:val="nil"/>
              <w:left w:val="nil"/>
              <w:bottom w:val="single" w:sz="4" w:space="0" w:color="auto"/>
              <w:right w:val="single" w:sz="4" w:space="0" w:color="auto"/>
            </w:tcBorders>
            <w:shd w:val="clear" w:color="auto" w:fill="auto"/>
            <w:noWrap/>
            <w:vAlign w:val="center"/>
          </w:tcPr>
          <w:p w14:paraId="7B768B72" w14:textId="6D8CA9E9"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8,5</w:t>
            </w:r>
          </w:p>
        </w:tc>
        <w:tc>
          <w:tcPr>
            <w:tcW w:w="992" w:type="dxa"/>
            <w:tcBorders>
              <w:top w:val="nil"/>
              <w:left w:val="nil"/>
              <w:bottom w:val="single" w:sz="4" w:space="0" w:color="auto"/>
              <w:right w:val="single" w:sz="4" w:space="0" w:color="auto"/>
            </w:tcBorders>
            <w:shd w:val="clear" w:color="auto" w:fill="auto"/>
            <w:noWrap/>
            <w:vAlign w:val="center"/>
          </w:tcPr>
          <w:p w14:paraId="7B768B73" w14:textId="62A6D3BA"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111,0</w:t>
            </w:r>
          </w:p>
        </w:tc>
      </w:tr>
      <w:tr w:rsidR="00B155FE" w:rsidRPr="00377D59" w14:paraId="7B768B7A"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75" w14:textId="77777777" w:rsidR="00B155FE" w:rsidRPr="00377D59" w:rsidRDefault="639E9B9B" w:rsidP="639E9B9B">
            <w:pPr>
              <w:spacing w:after="0" w:line="240" w:lineRule="auto"/>
              <w:ind w:firstLineChars="100" w:firstLine="20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Ebből:</w:t>
            </w:r>
          </w:p>
        </w:tc>
        <w:tc>
          <w:tcPr>
            <w:tcW w:w="1102" w:type="dxa"/>
            <w:tcBorders>
              <w:top w:val="nil"/>
              <w:left w:val="nil"/>
              <w:bottom w:val="single" w:sz="4" w:space="0" w:color="auto"/>
              <w:right w:val="single" w:sz="4" w:space="0" w:color="auto"/>
            </w:tcBorders>
            <w:shd w:val="clear" w:color="auto" w:fill="auto"/>
            <w:noWrap/>
            <w:vAlign w:val="center"/>
          </w:tcPr>
          <w:p w14:paraId="7B768B76" w14:textId="506A7E13"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7B768B77" w14:textId="53AE3228"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993" w:type="dxa"/>
            <w:tcBorders>
              <w:top w:val="nil"/>
              <w:left w:val="nil"/>
              <w:bottom w:val="single" w:sz="4" w:space="0" w:color="auto"/>
              <w:right w:val="single" w:sz="4" w:space="0" w:color="auto"/>
            </w:tcBorders>
            <w:shd w:val="clear" w:color="auto" w:fill="auto"/>
            <w:noWrap/>
            <w:vAlign w:val="center"/>
          </w:tcPr>
          <w:p w14:paraId="7B768B78" w14:textId="51E451CF"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992" w:type="dxa"/>
            <w:tcBorders>
              <w:top w:val="nil"/>
              <w:left w:val="nil"/>
              <w:bottom w:val="single" w:sz="4" w:space="0" w:color="auto"/>
              <w:right w:val="single" w:sz="4" w:space="0" w:color="auto"/>
            </w:tcBorders>
            <w:shd w:val="clear" w:color="auto" w:fill="auto"/>
            <w:noWrap/>
            <w:vAlign w:val="center"/>
          </w:tcPr>
          <w:p w14:paraId="7B768B79" w14:textId="0336BA32" w:rsidR="00B155FE" w:rsidRPr="00377D59" w:rsidRDefault="00B155FE" w:rsidP="0F03D9E1">
            <w:pPr>
              <w:spacing w:after="0" w:line="240" w:lineRule="auto"/>
              <w:jc w:val="right"/>
              <w:rPr>
                <w:rFonts w:ascii="Times New Roman" w:eastAsia="Times New Roman" w:hAnsi="Times New Roman" w:cs="Times New Roman"/>
                <w:b/>
                <w:bCs/>
                <w:sz w:val="20"/>
                <w:szCs w:val="20"/>
                <w:lang w:eastAsia="hu-HU"/>
              </w:rPr>
            </w:pPr>
          </w:p>
        </w:tc>
      </w:tr>
      <w:tr w:rsidR="00B155FE" w:rsidRPr="00377D59" w14:paraId="7B768B80"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7B"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Jövedelempótló és jövedelemkiegészítő ellátások</w:t>
            </w:r>
          </w:p>
        </w:tc>
        <w:tc>
          <w:tcPr>
            <w:tcW w:w="1102" w:type="dxa"/>
            <w:tcBorders>
              <w:top w:val="nil"/>
              <w:left w:val="nil"/>
              <w:bottom w:val="single" w:sz="4" w:space="0" w:color="auto"/>
              <w:right w:val="single" w:sz="4" w:space="0" w:color="auto"/>
            </w:tcBorders>
            <w:shd w:val="clear" w:color="auto" w:fill="auto"/>
            <w:noWrap/>
            <w:vAlign w:val="center"/>
          </w:tcPr>
          <w:p w14:paraId="7B768B7C" w14:textId="65AE3FC5"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32,3</w:t>
            </w:r>
          </w:p>
        </w:tc>
        <w:tc>
          <w:tcPr>
            <w:tcW w:w="1134" w:type="dxa"/>
            <w:tcBorders>
              <w:top w:val="nil"/>
              <w:left w:val="nil"/>
              <w:bottom w:val="single" w:sz="4" w:space="0" w:color="auto"/>
              <w:right w:val="single" w:sz="4" w:space="0" w:color="auto"/>
            </w:tcBorders>
            <w:shd w:val="clear" w:color="auto" w:fill="auto"/>
            <w:noWrap/>
            <w:vAlign w:val="center"/>
          </w:tcPr>
          <w:p w14:paraId="7B768B7D" w14:textId="6613FBA3"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34,4</w:t>
            </w:r>
          </w:p>
        </w:tc>
        <w:tc>
          <w:tcPr>
            <w:tcW w:w="993" w:type="dxa"/>
            <w:tcBorders>
              <w:top w:val="nil"/>
              <w:left w:val="nil"/>
              <w:bottom w:val="single" w:sz="4" w:space="0" w:color="auto"/>
              <w:right w:val="single" w:sz="4" w:space="0" w:color="auto"/>
            </w:tcBorders>
            <w:shd w:val="clear" w:color="auto" w:fill="auto"/>
            <w:noWrap/>
            <w:vAlign w:val="center"/>
          </w:tcPr>
          <w:p w14:paraId="7B768B7E" w14:textId="4C180505"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2,1</w:t>
            </w:r>
          </w:p>
        </w:tc>
        <w:tc>
          <w:tcPr>
            <w:tcW w:w="992" w:type="dxa"/>
            <w:tcBorders>
              <w:top w:val="nil"/>
              <w:left w:val="nil"/>
              <w:bottom w:val="single" w:sz="4" w:space="0" w:color="auto"/>
              <w:right w:val="single" w:sz="4" w:space="0" w:color="auto"/>
            </w:tcBorders>
            <w:shd w:val="clear" w:color="auto" w:fill="auto"/>
            <w:noWrap/>
            <w:vAlign w:val="center"/>
          </w:tcPr>
          <w:p w14:paraId="7B768B7F" w14:textId="4F4B71D6"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106,5</w:t>
            </w:r>
          </w:p>
        </w:tc>
      </w:tr>
      <w:tr w:rsidR="00B155FE" w:rsidRPr="00377D59" w14:paraId="7B768B86"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81"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Járási szociális feladatok ellátása</w:t>
            </w:r>
          </w:p>
        </w:tc>
        <w:tc>
          <w:tcPr>
            <w:tcW w:w="1102" w:type="dxa"/>
            <w:tcBorders>
              <w:top w:val="nil"/>
              <w:left w:val="nil"/>
              <w:bottom w:val="single" w:sz="4" w:space="0" w:color="auto"/>
              <w:right w:val="single" w:sz="4" w:space="0" w:color="auto"/>
            </w:tcBorders>
            <w:shd w:val="clear" w:color="auto" w:fill="auto"/>
            <w:noWrap/>
            <w:vAlign w:val="center"/>
          </w:tcPr>
          <w:p w14:paraId="7B768B82" w14:textId="52DBEBF4"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45,1</w:t>
            </w:r>
          </w:p>
        </w:tc>
        <w:tc>
          <w:tcPr>
            <w:tcW w:w="1134" w:type="dxa"/>
            <w:tcBorders>
              <w:top w:val="nil"/>
              <w:left w:val="nil"/>
              <w:bottom w:val="single" w:sz="4" w:space="0" w:color="auto"/>
              <w:right w:val="single" w:sz="4" w:space="0" w:color="auto"/>
            </w:tcBorders>
            <w:shd w:val="clear" w:color="auto" w:fill="auto"/>
            <w:noWrap/>
            <w:vAlign w:val="center"/>
          </w:tcPr>
          <w:p w14:paraId="7B768B83" w14:textId="60149F24"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51,5</w:t>
            </w:r>
          </w:p>
        </w:tc>
        <w:tc>
          <w:tcPr>
            <w:tcW w:w="993" w:type="dxa"/>
            <w:tcBorders>
              <w:top w:val="nil"/>
              <w:left w:val="nil"/>
              <w:bottom w:val="single" w:sz="4" w:space="0" w:color="auto"/>
              <w:right w:val="single" w:sz="4" w:space="0" w:color="auto"/>
            </w:tcBorders>
            <w:shd w:val="clear" w:color="auto" w:fill="auto"/>
            <w:noWrap/>
            <w:vAlign w:val="center"/>
          </w:tcPr>
          <w:p w14:paraId="7B768B84" w14:textId="2547645C"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6,4</w:t>
            </w:r>
          </w:p>
        </w:tc>
        <w:tc>
          <w:tcPr>
            <w:tcW w:w="992" w:type="dxa"/>
            <w:tcBorders>
              <w:top w:val="nil"/>
              <w:left w:val="nil"/>
              <w:bottom w:val="single" w:sz="4" w:space="0" w:color="auto"/>
              <w:right w:val="single" w:sz="4" w:space="0" w:color="auto"/>
            </w:tcBorders>
            <w:shd w:val="clear" w:color="auto" w:fill="auto"/>
            <w:noWrap/>
            <w:vAlign w:val="center"/>
          </w:tcPr>
          <w:p w14:paraId="7B768B85" w14:textId="4D419464"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114,2</w:t>
            </w:r>
          </w:p>
        </w:tc>
      </w:tr>
      <w:tr w:rsidR="00B155FE" w:rsidRPr="00377D59" w14:paraId="7B768B8C"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87" w14:textId="77777777" w:rsidR="00B155FE" w:rsidRPr="00377D59" w:rsidRDefault="639E9B9B" w:rsidP="639E9B9B">
            <w:pPr>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Különféle jogcímen adott térítések</w:t>
            </w:r>
          </w:p>
        </w:tc>
        <w:tc>
          <w:tcPr>
            <w:tcW w:w="1102" w:type="dxa"/>
            <w:tcBorders>
              <w:top w:val="nil"/>
              <w:left w:val="nil"/>
              <w:bottom w:val="single" w:sz="4" w:space="0" w:color="auto"/>
              <w:right w:val="single" w:sz="4" w:space="0" w:color="auto"/>
            </w:tcBorders>
            <w:shd w:val="clear" w:color="auto" w:fill="auto"/>
            <w:noWrap/>
            <w:vAlign w:val="center"/>
          </w:tcPr>
          <w:p w14:paraId="7B768B88" w14:textId="76DDB818" w:rsidR="00B155FE" w:rsidRPr="00377D59" w:rsidRDefault="639E9B9B" w:rsidP="00D45ADC">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10,</w:t>
            </w:r>
            <w:r w:rsidR="00D45ADC">
              <w:rPr>
                <w:rFonts w:ascii="Times New Roman" w:eastAsia="Times New Roman" w:hAnsi="Times New Roman" w:cs="Times New Roman"/>
                <w:b/>
                <w:bCs/>
                <w:sz w:val="20"/>
                <w:szCs w:val="20"/>
                <w:lang w:eastAsia="hu-HU"/>
              </w:rPr>
              <w:t>2</w:t>
            </w:r>
          </w:p>
        </w:tc>
        <w:tc>
          <w:tcPr>
            <w:tcW w:w="1134" w:type="dxa"/>
            <w:tcBorders>
              <w:top w:val="nil"/>
              <w:left w:val="nil"/>
              <w:bottom w:val="single" w:sz="4" w:space="0" w:color="auto"/>
              <w:right w:val="single" w:sz="4" w:space="0" w:color="auto"/>
            </w:tcBorders>
            <w:shd w:val="clear" w:color="auto" w:fill="auto"/>
            <w:noWrap/>
            <w:vAlign w:val="center"/>
          </w:tcPr>
          <w:p w14:paraId="7B768B89" w14:textId="706E3DB6"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10,3</w:t>
            </w:r>
          </w:p>
        </w:tc>
        <w:tc>
          <w:tcPr>
            <w:tcW w:w="993" w:type="dxa"/>
            <w:tcBorders>
              <w:top w:val="nil"/>
              <w:left w:val="nil"/>
              <w:bottom w:val="single" w:sz="4" w:space="0" w:color="auto"/>
              <w:right w:val="single" w:sz="4" w:space="0" w:color="auto"/>
            </w:tcBorders>
            <w:shd w:val="clear" w:color="auto" w:fill="auto"/>
            <w:noWrap/>
            <w:vAlign w:val="center"/>
          </w:tcPr>
          <w:p w14:paraId="7B768B8A" w14:textId="37597DD2" w:rsidR="00B155FE" w:rsidRPr="00377D59" w:rsidRDefault="639E9B9B" w:rsidP="006222FA">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0,</w:t>
            </w:r>
            <w:r w:rsidR="006222FA">
              <w:rPr>
                <w:rFonts w:ascii="Times New Roman" w:eastAsia="Times New Roman" w:hAnsi="Times New Roman" w:cs="Times New Roman"/>
                <w:b/>
                <w:bCs/>
                <w:sz w:val="20"/>
                <w:szCs w:val="20"/>
                <w:lang w:eastAsia="hu-HU"/>
              </w:rPr>
              <w:t>1</w:t>
            </w:r>
          </w:p>
        </w:tc>
        <w:tc>
          <w:tcPr>
            <w:tcW w:w="992" w:type="dxa"/>
            <w:tcBorders>
              <w:top w:val="nil"/>
              <w:left w:val="nil"/>
              <w:bottom w:val="single" w:sz="4" w:space="0" w:color="auto"/>
              <w:right w:val="single" w:sz="4" w:space="0" w:color="auto"/>
            </w:tcBorders>
            <w:shd w:val="clear" w:color="auto" w:fill="auto"/>
            <w:noWrap/>
            <w:vAlign w:val="center"/>
          </w:tcPr>
          <w:p w14:paraId="7B768B8B" w14:textId="547CB9D8" w:rsidR="00B155FE" w:rsidRPr="00377D59" w:rsidRDefault="639E9B9B" w:rsidP="006222FA">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10</w:t>
            </w:r>
            <w:r w:rsidR="006222FA">
              <w:rPr>
                <w:rFonts w:ascii="Times New Roman" w:eastAsia="Times New Roman" w:hAnsi="Times New Roman" w:cs="Times New Roman"/>
                <w:b/>
                <w:bCs/>
                <w:sz w:val="20"/>
                <w:szCs w:val="20"/>
                <w:lang w:eastAsia="hu-HU"/>
              </w:rPr>
              <w:t>1,1</w:t>
            </w:r>
          </w:p>
        </w:tc>
      </w:tr>
      <w:tr w:rsidR="00B155FE" w:rsidRPr="00377D59" w14:paraId="7B768B92"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8D" w14:textId="77777777" w:rsidR="00B155FE" w:rsidRPr="00377D59" w:rsidRDefault="639E9B9B" w:rsidP="639E9B9B">
            <w:pPr>
              <w:spacing w:after="0" w:line="240" w:lineRule="auto"/>
              <w:ind w:firstLineChars="100" w:firstLine="20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 xml:space="preserve">Ebből: </w:t>
            </w:r>
          </w:p>
        </w:tc>
        <w:tc>
          <w:tcPr>
            <w:tcW w:w="1102" w:type="dxa"/>
            <w:tcBorders>
              <w:top w:val="nil"/>
              <w:left w:val="nil"/>
              <w:bottom w:val="single" w:sz="4" w:space="0" w:color="auto"/>
              <w:right w:val="single" w:sz="4" w:space="0" w:color="auto"/>
            </w:tcBorders>
            <w:shd w:val="clear" w:color="auto" w:fill="auto"/>
            <w:noWrap/>
            <w:vAlign w:val="center"/>
          </w:tcPr>
          <w:p w14:paraId="7B768B8E" w14:textId="07D94906"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7B768B8F" w14:textId="77777777" w:rsidR="00B155FE" w:rsidRPr="00377D59" w:rsidRDefault="00B155FE" w:rsidP="00B155FE">
            <w:pPr>
              <w:spacing w:after="0" w:line="240" w:lineRule="auto"/>
              <w:jc w:val="right"/>
              <w:rPr>
                <w:rFonts w:ascii="Times New Roman" w:eastAsia="Times New Roman" w:hAnsi="Times New Roman" w:cs="Times New Roman"/>
                <w:sz w:val="20"/>
                <w:szCs w:val="20"/>
                <w:lang w:eastAsia="hu-HU"/>
              </w:rPr>
            </w:pPr>
          </w:p>
        </w:tc>
        <w:tc>
          <w:tcPr>
            <w:tcW w:w="993" w:type="dxa"/>
            <w:tcBorders>
              <w:top w:val="nil"/>
              <w:left w:val="nil"/>
              <w:bottom w:val="single" w:sz="4" w:space="0" w:color="auto"/>
              <w:right w:val="single" w:sz="4" w:space="0" w:color="auto"/>
            </w:tcBorders>
            <w:shd w:val="clear" w:color="auto" w:fill="auto"/>
            <w:noWrap/>
            <w:vAlign w:val="center"/>
          </w:tcPr>
          <w:p w14:paraId="7B768B90" w14:textId="04D5598E"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c>
          <w:tcPr>
            <w:tcW w:w="992" w:type="dxa"/>
            <w:tcBorders>
              <w:top w:val="nil"/>
              <w:left w:val="nil"/>
              <w:bottom w:val="single" w:sz="4" w:space="0" w:color="auto"/>
              <w:right w:val="single" w:sz="4" w:space="0" w:color="auto"/>
            </w:tcBorders>
            <w:shd w:val="clear" w:color="auto" w:fill="auto"/>
            <w:noWrap/>
            <w:vAlign w:val="center"/>
          </w:tcPr>
          <w:p w14:paraId="7B768B91" w14:textId="238D752F"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r>
      <w:tr w:rsidR="00B155FE" w:rsidRPr="00377D59" w14:paraId="7B768B98"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93" w14:textId="77777777" w:rsidR="00B155FE" w:rsidRPr="00377D59" w:rsidRDefault="639E9B9B" w:rsidP="639E9B9B">
            <w:pPr>
              <w:spacing w:after="0" w:line="240" w:lineRule="auto"/>
              <w:ind w:firstLineChars="175" w:firstLine="350"/>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közgyógyellátás</w:t>
            </w:r>
          </w:p>
        </w:tc>
        <w:tc>
          <w:tcPr>
            <w:tcW w:w="1102" w:type="dxa"/>
            <w:tcBorders>
              <w:top w:val="nil"/>
              <w:left w:val="nil"/>
              <w:bottom w:val="single" w:sz="4" w:space="0" w:color="auto"/>
              <w:right w:val="single" w:sz="4" w:space="0" w:color="auto"/>
            </w:tcBorders>
            <w:shd w:val="clear" w:color="auto" w:fill="auto"/>
            <w:noWrap/>
            <w:vAlign w:val="center"/>
          </w:tcPr>
          <w:p w14:paraId="7B768B94" w14:textId="3EA89A27"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7,1</w:t>
            </w:r>
          </w:p>
        </w:tc>
        <w:tc>
          <w:tcPr>
            <w:tcW w:w="1134" w:type="dxa"/>
            <w:tcBorders>
              <w:top w:val="nil"/>
              <w:left w:val="nil"/>
              <w:bottom w:val="single" w:sz="4" w:space="0" w:color="auto"/>
              <w:right w:val="single" w:sz="4" w:space="0" w:color="auto"/>
            </w:tcBorders>
            <w:shd w:val="clear" w:color="auto" w:fill="auto"/>
            <w:noWrap/>
            <w:vAlign w:val="center"/>
          </w:tcPr>
          <w:p w14:paraId="7B768B95" w14:textId="39CB5DCA"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7,1</w:t>
            </w:r>
          </w:p>
        </w:tc>
        <w:tc>
          <w:tcPr>
            <w:tcW w:w="993" w:type="dxa"/>
            <w:tcBorders>
              <w:top w:val="nil"/>
              <w:left w:val="nil"/>
              <w:bottom w:val="single" w:sz="4" w:space="0" w:color="auto"/>
              <w:right w:val="single" w:sz="4" w:space="0" w:color="auto"/>
            </w:tcBorders>
            <w:shd w:val="clear" w:color="auto" w:fill="auto"/>
            <w:noWrap/>
            <w:vAlign w:val="center"/>
          </w:tcPr>
          <w:p w14:paraId="7B768B96" w14:textId="59E1D33D"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0,0</w:t>
            </w:r>
          </w:p>
        </w:tc>
        <w:tc>
          <w:tcPr>
            <w:tcW w:w="992" w:type="dxa"/>
            <w:tcBorders>
              <w:top w:val="nil"/>
              <w:left w:val="nil"/>
              <w:bottom w:val="single" w:sz="4" w:space="0" w:color="auto"/>
              <w:right w:val="single" w:sz="4" w:space="0" w:color="auto"/>
            </w:tcBorders>
            <w:shd w:val="clear" w:color="auto" w:fill="auto"/>
            <w:noWrap/>
            <w:vAlign w:val="center"/>
          </w:tcPr>
          <w:p w14:paraId="7B768B97" w14:textId="4B24E3B9" w:rsidR="00B155FE" w:rsidRPr="00377D59" w:rsidRDefault="639E9B9B" w:rsidP="639E9B9B">
            <w:pPr>
              <w:spacing w:after="0" w:line="240" w:lineRule="auto"/>
              <w:jc w:val="right"/>
              <w:rPr>
                <w:rFonts w:ascii="Times New Roman" w:eastAsia="Times New Roman" w:hAnsi="Times New Roman" w:cs="Times New Roman"/>
                <w:sz w:val="20"/>
                <w:szCs w:val="20"/>
                <w:lang w:eastAsia="hu-HU"/>
              </w:rPr>
            </w:pPr>
            <w:r w:rsidRPr="639E9B9B">
              <w:rPr>
                <w:rFonts w:ascii="Times New Roman" w:eastAsia="Times New Roman" w:hAnsi="Times New Roman" w:cs="Times New Roman"/>
                <w:sz w:val="20"/>
                <w:szCs w:val="20"/>
                <w:lang w:eastAsia="hu-HU"/>
              </w:rPr>
              <w:t>100,0</w:t>
            </w:r>
          </w:p>
        </w:tc>
      </w:tr>
      <w:tr w:rsidR="00B155FE" w:rsidRPr="00377D59" w14:paraId="7B768B9E" w14:textId="77777777" w:rsidTr="639E9B9B">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99" w14:textId="760BCC07" w:rsidR="00B155FE" w:rsidRPr="00377D59" w:rsidRDefault="639E9B9B" w:rsidP="639E9B9B">
            <w:pPr>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Összesen</w:t>
            </w:r>
          </w:p>
        </w:tc>
        <w:tc>
          <w:tcPr>
            <w:tcW w:w="1102" w:type="dxa"/>
            <w:tcBorders>
              <w:top w:val="nil"/>
              <w:left w:val="nil"/>
              <w:bottom w:val="single" w:sz="4" w:space="0" w:color="auto"/>
              <w:right w:val="single" w:sz="4" w:space="0" w:color="auto"/>
            </w:tcBorders>
            <w:shd w:val="clear" w:color="auto" w:fill="auto"/>
            <w:noWrap/>
            <w:vAlign w:val="center"/>
          </w:tcPr>
          <w:p w14:paraId="7B768B9A" w14:textId="2243CC9D"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323,5</w:t>
            </w:r>
          </w:p>
        </w:tc>
        <w:tc>
          <w:tcPr>
            <w:tcW w:w="1134" w:type="dxa"/>
            <w:tcBorders>
              <w:top w:val="nil"/>
              <w:left w:val="nil"/>
              <w:bottom w:val="single" w:sz="4" w:space="0" w:color="auto"/>
              <w:right w:val="single" w:sz="4" w:space="0" w:color="auto"/>
            </w:tcBorders>
            <w:shd w:val="clear" w:color="auto" w:fill="auto"/>
            <w:noWrap/>
            <w:vAlign w:val="center"/>
          </w:tcPr>
          <w:p w14:paraId="7B768B9B" w14:textId="6A409822"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336,3</w:t>
            </w:r>
          </w:p>
        </w:tc>
        <w:tc>
          <w:tcPr>
            <w:tcW w:w="993" w:type="dxa"/>
            <w:tcBorders>
              <w:top w:val="nil"/>
              <w:left w:val="nil"/>
              <w:bottom w:val="single" w:sz="4" w:space="0" w:color="auto"/>
              <w:right w:val="single" w:sz="4" w:space="0" w:color="auto"/>
            </w:tcBorders>
            <w:shd w:val="clear" w:color="auto" w:fill="auto"/>
            <w:noWrap/>
            <w:vAlign w:val="center"/>
          </w:tcPr>
          <w:p w14:paraId="7B768B9C" w14:textId="4FC5EC6E"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12,8</w:t>
            </w:r>
          </w:p>
        </w:tc>
        <w:tc>
          <w:tcPr>
            <w:tcW w:w="992" w:type="dxa"/>
            <w:tcBorders>
              <w:top w:val="nil"/>
              <w:left w:val="nil"/>
              <w:bottom w:val="single" w:sz="4" w:space="0" w:color="auto"/>
              <w:right w:val="single" w:sz="4" w:space="0" w:color="auto"/>
            </w:tcBorders>
            <w:shd w:val="clear" w:color="auto" w:fill="auto"/>
            <w:noWrap/>
            <w:vAlign w:val="center"/>
          </w:tcPr>
          <w:p w14:paraId="7B768B9D" w14:textId="648FAA1B" w:rsidR="00B155FE" w:rsidRPr="00377D59" w:rsidRDefault="639E9B9B" w:rsidP="639E9B9B">
            <w:pPr>
              <w:spacing w:after="0" w:line="240" w:lineRule="auto"/>
              <w:jc w:val="right"/>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104,0</w:t>
            </w:r>
          </w:p>
        </w:tc>
      </w:tr>
    </w:tbl>
    <w:p w14:paraId="2AF1DCFE" w14:textId="610E328D" w:rsidR="639E9B9B" w:rsidRDefault="639E9B9B" w:rsidP="00A9789C">
      <w:pPr>
        <w:spacing w:before="240"/>
        <w:jc w:val="both"/>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családi támogatásokra</w:t>
      </w:r>
      <w:r w:rsidRPr="639E9B9B">
        <w:rPr>
          <w:rFonts w:ascii="Times New Roman" w:eastAsia="Times New Roman" w:hAnsi="Times New Roman" w:cs="Times New Roman"/>
          <w:sz w:val="26"/>
          <w:szCs w:val="26"/>
        </w:rPr>
        <w:t xml:space="preserve"> 2024 májusában összesen 181,2 milliárd forintot fizettek ki, amely 3,4 milliárd forinttal haladta meg az előző év teljes</w:t>
      </w:r>
      <w:r w:rsidR="00A9789C">
        <w:rPr>
          <w:rFonts w:ascii="Times New Roman" w:eastAsia="Times New Roman" w:hAnsi="Times New Roman" w:cs="Times New Roman"/>
          <w:sz w:val="26"/>
          <w:szCs w:val="26"/>
        </w:rPr>
        <w:t>ítését. Az eltérés elsősorban a </w:t>
      </w:r>
      <w:r w:rsidRPr="639E9B9B">
        <w:rPr>
          <w:rFonts w:ascii="Times New Roman" w:eastAsia="Times New Roman" w:hAnsi="Times New Roman" w:cs="Times New Roman"/>
          <w:sz w:val="26"/>
          <w:szCs w:val="26"/>
        </w:rPr>
        <w:t>családi támogatások jogcímcsoporthoz tartozó Életkezdési támogatás előirányzat kiadásai növekedésének következménye, ami 5,5 milliárd forinttal haladta meg az előző évi teljesítést. Ennek oka, hogy 2024-ban az életkezdési letéti számlákon nyilvántartott követelés összegére tekintettel fizetett kamat mértéke 17,6% volt (a 2023. évi infláció mértékének megfelelően), ami meghaladta a 2023-ben fizetett kamat mértékét (14,5%-ot), ezen kívül az életkezdési letéti számlákon nyilvántartott összeg is nőtt a tavalyihoz képest.</w:t>
      </w:r>
    </w:p>
    <w:p w14:paraId="67A76BAE" w14:textId="47A88DC9" w:rsidR="639E9B9B" w:rsidRDefault="639E9B9B" w:rsidP="639E9B9B">
      <w:pPr>
        <w:jc w:val="both"/>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korhatár alatti ellátások</w:t>
      </w:r>
      <w:r w:rsidRPr="639E9B9B">
        <w:rPr>
          <w:rFonts w:ascii="Times New Roman" w:eastAsia="Times New Roman" w:hAnsi="Times New Roman" w:cs="Times New Roman"/>
          <w:sz w:val="26"/>
          <w:szCs w:val="26"/>
        </w:rPr>
        <w:t xml:space="preserve"> esetében a kiadások növekedését elsősorban az okozta, hogy a 13. havi nyugdíjhoz hasonlóan februárban a korhatár előtti ellátásban részesülő személyek is részesültek 13. havi ellátásban. Ezen tú</w:t>
      </w:r>
      <w:r w:rsidR="00A9789C">
        <w:rPr>
          <w:rFonts w:ascii="Times New Roman" w:eastAsia="Times New Roman" w:hAnsi="Times New Roman" w:cs="Times New Roman"/>
          <w:sz w:val="26"/>
          <w:szCs w:val="26"/>
        </w:rPr>
        <w:t>lmenően januárban sor került az </w:t>
      </w:r>
      <w:r w:rsidRPr="639E9B9B">
        <w:rPr>
          <w:rFonts w:ascii="Times New Roman" w:eastAsia="Times New Roman" w:hAnsi="Times New Roman" w:cs="Times New Roman"/>
          <w:sz w:val="26"/>
          <w:szCs w:val="26"/>
        </w:rPr>
        <w:t>ellátások 6,0%-os emelésére.</w:t>
      </w:r>
    </w:p>
    <w:p w14:paraId="1D1DCDC2" w14:textId="5CAE22BD" w:rsidR="639E9B9B" w:rsidRDefault="639E9B9B" w:rsidP="639E9B9B">
      <w:pPr>
        <w:jc w:val="both"/>
      </w:pPr>
      <w:r w:rsidRPr="639E9B9B">
        <w:rPr>
          <w:rFonts w:ascii="Times New Roman" w:eastAsia="Times New Roman" w:hAnsi="Times New Roman" w:cs="Times New Roman"/>
          <w:sz w:val="26"/>
          <w:szCs w:val="26"/>
        </w:rPr>
        <w:t xml:space="preserve">2024 májusában </w:t>
      </w:r>
      <w:r w:rsidRPr="639E9B9B">
        <w:rPr>
          <w:rFonts w:ascii="Times New Roman" w:eastAsia="Times New Roman" w:hAnsi="Times New Roman" w:cs="Times New Roman"/>
          <w:b/>
          <w:bCs/>
          <w:sz w:val="26"/>
          <w:szCs w:val="26"/>
        </w:rPr>
        <w:t>a jövedelempótló és jövedelemkiegészítő szociális támogatásokra</w:t>
      </w:r>
      <w:r w:rsidRPr="639E9B9B">
        <w:rPr>
          <w:rFonts w:ascii="Times New Roman" w:eastAsia="Times New Roman" w:hAnsi="Times New Roman" w:cs="Times New Roman"/>
          <w:sz w:val="26"/>
          <w:szCs w:val="26"/>
        </w:rPr>
        <w:t xml:space="preserve"> biztosított kiadásokon belül a járási szociális feladatok ellátására (gyermekek otthongondozási díja, ápolási díj, időskorúak járadéka, foglalkoztatást helyettesítő támogatás, egészségkárosodási és gyermekfelügyeleti támogatás) 51,5 milliárd forintot fordítottak, mely 6,4 milliárd forinttal magasabb az előző évi adatnál. Ennek oka, hogy 2024. januártól a gyermekek otthongondozási díjának összege a minimálbér emelkedése miatt (232 000 forintról 266 800 forintra) emelkedett, és a jogosultak száma is emelkedő tendenciát mutat, az ápolási d</w:t>
      </w:r>
      <w:r w:rsidR="005933D0">
        <w:rPr>
          <w:rFonts w:ascii="Times New Roman" w:eastAsia="Times New Roman" w:hAnsi="Times New Roman" w:cs="Times New Roman"/>
          <w:sz w:val="26"/>
          <w:szCs w:val="26"/>
        </w:rPr>
        <w:t>íj összege pedig 6,0%-kal nőtt.</w:t>
      </w:r>
    </w:p>
    <w:p w14:paraId="51E32F1A" w14:textId="7464A8D9" w:rsidR="639E9B9B" w:rsidRDefault="00C97321" w:rsidP="639E9B9B">
      <w:pPr>
        <w:jc w:val="both"/>
      </w:pPr>
      <w:r>
        <w:rPr>
          <w:rFonts w:ascii="Times New Roman" w:eastAsia="Times New Roman" w:hAnsi="Times New Roman" w:cs="Times New Roman"/>
          <w:sz w:val="26"/>
          <w:szCs w:val="26"/>
        </w:rPr>
        <w:t xml:space="preserve">A </w:t>
      </w:r>
      <w:r w:rsidRPr="00C97321">
        <w:rPr>
          <w:rFonts w:ascii="Times New Roman" w:eastAsia="Times New Roman" w:hAnsi="Times New Roman" w:cs="Times New Roman"/>
          <w:b/>
          <w:sz w:val="26"/>
          <w:szCs w:val="26"/>
        </w:rPr>
        <w:t>j</w:t>
      </w:r>
      <w:r w:rsidR="639E9B9B" w:rsidRPr="00C97321">
        <w:rPr>
          <w:rFonts w:ascii="Times New Roman" w:eastAsia="Times New Roman" w:hAnsi="Times New Roman" w:cs="Times New Roman"/>
          <w:b/>
          <w:sz w:val="26"/>
          <w:szCs w:val="26"/>
        </w:rPr>
        <w:t>övedelempótló és jövedelemkiegészítő ellá</w:t>
      </w:r>
      <w:r w:rsidR="00A9789C" w:rsidRPr="00C97321">
        <w:rPr>
          <w:rFonts w:ascii="Times New Roman" w:eastAsia="Times New Roman" w:hAnsi="Times New Roman" w:cs="Times New Roman"/>
          <w:b/>
          <w:sz w:val="26"/>
          <w:szCs w:val="26"/>
        </w:rPr>
        <w:t>tások</w:t>
      </w:r>
      <w:r w:rsidR="00A9789C">
        <w:rPr>
          <w:rFonts w:ascii="Times New Roman" w:eastAsia="Times New Roman" w:hAnsi="Times New Roman" w:cs="Times New Roman"/>
          <w:sz w:val="26"/>
          <w:szCs w:val="26"/>
        </w:rPr>
        <w:t xml:space="preserve"> előirányzat tartalmazza a </w:t>
      </w:r>
      <w:r w:rsidR="639E9B9B" w:rsidRPr="639E9B9B">
        <w:rPr>
          <w:rFonts w:ascii="Times New Roman" w:eastAsia="Times New Roman" w:hAnsi="Times New Roman" w:cs="Times New Roman"/>
          <w:sz w:val="26"/>
          <w:szCs w:val="26"/>
        </w:rPr>
        <w:t>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34,4 milliárd forintot fizettek ki, mely az előző évi kifizetésénél 2,1 milliárd forinttal magasabb. A kiadások növekedését egyes ellátások januárban végrehajtott 6,0%-os emelésének, valamint a 2</w:t>
      </w:r>
      <w:r w:rsidR="00A9789C">
        <w:rPr>
          <w:rFonts w:ascii="Times New Roman" w:eastAsia="Times New Roman" w:hAnsi="Times New Roman" w:cs="Times New Roman"/>
          <w:sz w:val="26"/>
          <w:szCs w:val="26"/>
        </w:rPr>
        <w:t>024 februárjában kifizetett 13. </w:t>
      </w:r>
      <w:r w:rsidR="639E9B9B" w:rsidRPr="639E9B9B">
        <w:rPr>
          <w:rFonts w:ascii="Times New Roman" w:eastAsia="Times New Roman" w:hAnsi="Times New Roman" w:cs="Times New Roman"/>
          <w:sz w:val="26"/>
          <w:szCs w:val="26"/>
        </w:rPr>
        <w:t>havi ellátásnak a hatása okozza.</w:t>
      </w:r>
    </w:p>
    <w:p w14:paraId="18DD9C4F" w14:textId="6773889B" w:rsidR="639E9B9B" w:rsidRDefault="639E9B9B" w:rsidP="639E9B9B">
      <w:pPr>
        <w:jc w:val="both"/>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különféle jogcímen adott térítések</w:t>
      </w:r>
      <w:r w:rsidRPr="639E9B9B">
        <w:rPr>
          <w:rFonts w:ascii="Times New Roman" w:eastAsia="Times New Roman" w:hAnsi="Times New Roman" w:cs="Times New Roman"/>
          <w:sz w:val="26"/>
          <w:szCs w:val="26"/>
        </w:rPr>
        <w:t xml:space="preserve"> 2024 májusi összege megegyező volt az előző év azonos időszakához viszonyítva. A térítéseken belül a legnagyobb összeget, 7,1 milliárd forintot a közgyógyellátásra fizették ki.</w:t>
      </w:r>
    </w:p>
    <w:p w14:paraId="2BBDBEB3" w14:textId="263EF0BE" w:rsidR="0032261D" w:rsidRDefault="639E9B9B" w:rsidP="639E9B9B">
      <w:pPr>
        <w:pStyle w:val="NormlWeb"/>
        <w:spacing w:before="160" w:beforeAutospacing="0" w:after="0" w:afterAutospacing="0" w:line="259" w:lineRule="auto"/>
        <w:jc w:val="both"/>
        <w:rPr>
          <w:sz w:val="26"/>
          <w:szCs w:val="26"/>
        </w:rPr>
      </w:pPr>
      <w:r w:rsidRPr="639E9B9B">
        <w:rPr>
          <w:sz w:val="26"/>
          <w:szCs w:val="26"/>
        </w:rPr>
        <w:t xml:space="preserve">A </w:t>
      </w:r>
      <w:r w:rsidRPr="639E9B9B">
        <w:rPr>
          <w:b/>
          <w:bCs/>
          <w:sz w:val="26"/>
          <w:szCs w:val="26"/>
        </w:rPr>
        <w:t>babaváró támogatásokra</w:t>
      </w:r>
      <w:r w:rsidRPr="639E9B9B">
        <w:rPr>
          <w:sz w:val="26"/>
          <w:szCs w:val="26"/>
        </w:rPr>
        <w:t xml:space="preserve"> fordított kiadások összege május végéig 86,1 milliárd forint volt, amely a törvényi előirányzat 37,9%-ának felel meg, és az előző év azonos időszakához viszonyítva 12,4 milliárd forinttal teljesült magasabban.</w:t>
      </w:r>
    </w:p>
    <w:p w14:paraId="1A25D4E0" w14:textId="6420BFF9" w:rsidR="00E16566" w:rsidRPr="00377D59" w:rsidRDefault="639E9B9B" w:rsidP="639E9B9B">
      <w:pPr>
        <w:pStyle w:val="NormlWeb"/>
        <w:spacing w:before="160" w:beforeAutospacing="0" w:after="0" w:afterAutospacing="0" w:line="259" w:lineRule="auto"/>
        <w:jc w:val="both"/>
      </w:pPr>
      <w:r w:rsidRPr="639E9B9B">
        <w:rPr>
          <w:sz w:val="26"/>
          <w:szCs w:val="26"/>
        </w:rPr>
        <w:t xml:space="preserve">A </w:t>
      </w:r>
      <w:r w:rsidRPr="639E9B9B">
        <w:rPr>
          <w:b/>
          <w:bCs/>
          <w:sz w:val="26"/>
          <w:szCs w:val="26"/>
        </w:rPr>
        <w:t>helyi önkormányzatok</w:t>
      </w:r>
      <w:r w:rsidRPr="639E9B9B">
        <w:rPr>
          <w:sz w:val="26"/>
          <w:szCs w:val="26"/>
        </w:rPr>
        <w:t xml:space="preserve"> 2024. évi feladataihoz a hatályos jogszabályok alapján </w:t>
      </w:r>
      <w:r w:rsidR="6BF9886D">
        <w:br/>
      </w:r>
      <w:r w:rsidRPr="639E9B9B">
        <w:rPr>
          <w:sz w:val="26"/>
          <w:szCs w:val="26"/>
        </w:rPr>
        <w:t xml:space="preserve">1 132,7 milliárd forint állami támogatásban részesülnek. A jelentősebb tételek alakulását a következő táblázat mutatja </w:t>
      </w:r>
      <w:r w:rsidR="000458BD">
        <w:rPr>
          <w:sz w:val="26"/>
          <w:szCs w:val="26"/>
        </w:rPr>
        <w:t>május</w:t>
      </w:r>
      <w:r w:rsidRPr="639E9B9B">
        <w:rPr>
          <w:sz w:val="26"/>
          <w:szCs w:val="26"/>
        </w:rPr>
        <w:t xml:space="preserve"> végéig:</w:t>
      </w:r>
    </w:p>
    <w:p w14:paraId="2723D8B3" w14:textId="6B1F8798" w:rsidR="00C24948" w:rsidRPr="00377D59" w:rsidRDefault="639E9B9B" w:rsidP="639E9B9B">
      <w:pPr>
        <w:spacing w:before="240" w:after="120" w:line="240" w:lineRule="auto"/>
        <w:jc w:val="center"/>
        <w:rPr>
          <w:rFonts w:ascii="Times New Roman" w:eastAsia="Times New Roman" w:hAnsi="Times New Roman" w:cs="Times New Roman"/>
          <w:b/>
          <w:bCs/>
          <w:sz w:val="26"/>
          <w:szCs w:val="26"/>
        </w:rPr>
      </w:pPr>
      <w:r w:rsidRPr="639E9B9B">
        <w:rPr>
          <w:rFonts w:ascii="Times New Roman" w:eastAsia="Times New Roman" w:hAnsi="Times New Roman" w:cs="Times New Roman"/>
          <w:b/>
          <w:bCs/>
          <w:sz w:val="26"/>
          <w:szCs w:val="26"/>
        </w:rPr>
        <w:t>A helyi önkormányzatok támogatásának alakulása (milliárd forint)</w:t>
      </w:r>
    </w:p>
    <w:tbl>
      <w:tblPr>
        <w:tblpPr w:leftFromText="141" w:rightFromText="141" w:vertAnchor="text" w:horzAnchor="margin" w:tblpY="20"/>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196"/>
        <w:gridCol w:w="992"/>
        <w:gridCol w:w="850"/>
        <w:gridCol w:w="851"/>
      </w:tblGrid>
      <w:tr w:rsidR="00C24948" w:rsidRPr="00377D59" w14:paraId="6741B982" w14:textId="77777777" w:rsidTr="639E9B9B">
        <w:trPr>
          <w:trHeight w:val="340"/>
        </w:trPr>
        <w:tc>
          <w:tcPr>
            <w:tcW w:w="5382" w:type="dxa"/>
            <w:vMerge w:val="restart"/>
            <w:tcBorders>
              <w:right w:val="single" w:sz="4" w:space="0" w:color="auto"/>
            </w:tcBorders>
            <w:shd w:val="clear" w:color="auto" w:fill="DEEAF6" w:themeFill="accent1" w:themeFillTint="33"/>
            <w:noWrap/>
            <w:vAlign w:val="center"/>
            <w:hideMark/>
          </w:tcPr>
          <w:p w14:paraId="07514BAA" w14:textId="77777777"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Megnevezés</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D07FB7" w14:textId="19286FED"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2023. évi</w:t>
            </w:r>
          </w:p>
          <w:p w14:paraId="5DC080D6" w14:textId="624CB65D"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I-V.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1B7BD7" w14:textId="40BF9482"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 xml:space="preserve">2024. évi </w:t>
            </w:r>
          </w:p>
          <w:p w14:paraId="626AC8BC" w14:textId="1FE16E48"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I-V. hó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5A3C823" w14:textId="77777777"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Eltérés</w:t>
            </w:r>
          </w:p>
        </w:tc>
      </w:tr>
      <w:tr w:rsidR="00C24948" w:rsidRPr="00377D59" w14:paraId="2DD9A798" w14:textId="77777777" w:rsidTr="639E9B9B">
        <w:trPr>
          <w:trHeight w:val="340"/>
        </w:trPr>
        <w:tc>
          <w:tcPr>
            <w:tcW w:w="5382" w:type="dxa"/>
            <w:vMerge/>
            <w:tcBorders>
              <w:right w:val="single" w:sz="4" w:space="0" w:color="auto"/>
            </w:tcBorders>
            <w:shd w:val="clear" w:color="auto" w:fill="DEEAF6" w:themeFill="accent1" w:themeFillTint="33"/>
            <w:vAlign w:val="center"/>
            <w:hideMark/>
          </w:tcPr>
          <w:p w14:paraId="5F76A56A" w14:textId="77777777" w:rsidR="00C24948" w:rsidRPr="00377D59" w:rsidRDefault="00C24948" w:rsidP="00C24948">
            <w:pPr>
              <w:keepNext/>
              <w:keepLines/>
              <w:spacing w:after="0" w:line="240" w:lineRule="auto"/>
              <w:rPr>
                <w:rFonts w:ascii="Times New Roman" w:eastAsia="Times New Roman" w:hAnsi="Times New Roman" w:cs="Times New Roman"/>
                <w:b/>
                <w:bCs/>
                <w:sz w:val="20"/>
                <w:szCs w:val="20"/>
                <w:lang w:eastAsia="hu-HU"/>
              </w:rPr>
            </w:pPr>
          </w:p>
        </w:tc>
        <w:tc>
          <w:tcPr>
            <w:tcW w:w="119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B4B0A4" w14:textId="77777777" w:rsidR="00C24948" w:rsidRPr="00377D59" w:rsidRDefault="00C24948" w:rsidP="00C24948">
            <w:pPr>
              <w:keepNext/>
              <w:keepLines/>
              <w:spacing w:after="0" w:line="240" w:lineRule="auto"/>
              <w:jc w:val="center"/>
              <w:rPr>
                <w:rFonts w:ascii="Times New Roman" w:eastAsia="Times New Roman" w:hAnsi="Times New Roman" w:cs="Times New Roman"/>
                <w:b/>
                <w:bCs/>
                <w:sz w:val="20"/>
                <w:szCs w:val="20"/>
                <w:lang w:eastAsia="hu-HU"/>
              </w:rPr>
            </w:pPr>
          </w:p>
        </w:tc>
        <w:tc>
          <w:tcPr>
            <w:tcW w:w="99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E97B50" w14:textId="77777777" w:rsidR="00C24948" w:rsidRPr="00377D59" w:rsidRDefault="00C24948" w:rsidP="00C24948">
            <w:pPr>
              <w:keepNext/>
              <w:keepLines/>
              <w:spacing w:after="0" w:line="240" w:lineRule="auto"/>
              <w:jc w:val="center"/>
              <w:rPr>
                <w:rFonts w:ascii="Times New Roman" w:eastAsia="Times New Roman" w:hAnsi="Times New Roman" w:cs="Times New Roman"/>
                <w:b/>
                <w:bCs/>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B2C8FF2" w14:textId="77777777"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Mrd Ft</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79AEF43" w14:textId="77777777" w:rsidR="00C24948" w:rsidRPr="00377D59" w:rsidRDefault="639E9B9B" w:rsidP="639E9B9B">
            <w:pPr>
              <w:keepNext/>
              <w:keepLines/>
              <w:spacing w:after="0" w:line="240" w:lineRule="auto"/>
              <w:jc w:val="center"/>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w:t>
            </w:r>
          </w:p>
        </w:tc>
      </w:tr>
      <w:tr w:rsidR="00BE0DA4" w:rsidRPr="00377D59" w14:paraId="5CF52B9C" w14:textId="77777777" w:rsidTr="639E9B9B">
        <w:trPr>
          <w:trHeight w:val="510"/>
        </w:trPr>
        <w:tc>
          <w:tcPr>
            <w:tcW w:w="5382" w:type="dxa"/>
            <w:tcBorders>
              <w:right w:val="single" w:sz="4" w:space="0" w:color="auto"/>
            </w:tcBorders>
            <w:shd w:val="clear" w:color="auto" w:fill="auto"/>
            <w:vAlign w:val="center"/>
            <w:hideMark/>
          </w:tcPr>
          <w:p w14:paraId="11FF4C49" w14:textId="77777777" w:rsidR="00BE0DA4" w:rsidRPr="00377D59" w:rsidRDefault="639E9B9B" w:rsidP="639E9B9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A helyi önkormányzatok általános működésének és ágazati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0A1E4CBD" w14:textId="1D675D58" w:rsidR="00BE0DA4" w:rsidRPr="00AF2CE8" w:rsidRDefault="639E9B9B" w:rsidP="00C97321">
            <w:pPr>
              <w:keepNext/>
              <w:keepLines/>
              <w:spacing w:after="0" w:line="240" w:lineRule="auto"/>
              <w:jc w:val="right"/>
              <w:rPr>
                <w:rFonts w:ascii="Times New Roman" w:eastAsia="Times New Roman" w:hAnsi="Times New Roman" w:cs="Times New Roman"/>
                <w:b/>
                <w:bCs/>
                <w:sz w:val="20"/>
                <w:szCs w:val="20"/>
                <w:lang w:eastAsia="hu-HU"/>
              </w:rPr>
            </w:pPr>
            <w:r w:rsidRPr="00AF2CE8">
              <w:rPr>
                <w:rFonts w:ascii="Times New Roman" w:hAnsi="Times New Roman" w:cs="Times New Roman"/>
                <w:b/>
                <w:bCs/>
                <w:sz w:val="20"/>
                <w:szCs w:val="20"/>
              </w:rPr>
              <w:t>392,</w:t>
            </w:r>
            <w:r w:rsidR="00C97321" w:rsidRPr="00AF2CE8">
              <w:rPr>
                <w:rFonts w:ascii="Times New Roman" w:hAnsi="Times New Roman" w:cs="Times New Roman"/>
                <w:b/>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9553" w14:textId="4FC51961"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488,8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76081" w14:textId="44156A18" w:rsidR="00BE0DA4" w:rsidRPr="00BE0DA4" w:rsidRDefault="639E9B9B" w:rsidP="00AF2CE8">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96,</w:t>
            </w:r>
            <w:r w:rsidR="00AF2CE8">
              <w:rPr>
                <w:rFonts w:ascii="Times New Roman" w:hAnsi="Times New Roman" w:cs="Times New Roman"/>
                <w:b/>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60E" w14:textId="4FCFEA47"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124,5</w:t>
            </w:r>
          </w:p>
        </w:tc>
      </w:tr>
      <w:tr w:rsidR="00BE0DA4" w:rsidRPr="00377D59" w14:paraId="66D88640" w14:textId="77777777" w:rsidTr="639E9B9B">
        <w:trPr>
          <w:trHeight w:val="340"/>
        </w:trPr>
        <w:tc>
          <w:tcPr>
            <w:tcW w:w="5382" w:type="dxa"/>
            <w:tcBorders>
              <w:right w:val="single" w:sz="4" w:space="0" w:color="auto"/>
            </w:tcBorders>
            <w:shd w:val="clear" w:color="auto" w:fill="auto"/>
            <w:vAlign w:val="center"/>
            <w:hideMark/>
          </w:tcPr>
          <w:p w14:paraId="4496E62C" w14:textId="77777777" w:rsidR="00BE0DA4" w:rsidRPr="00377D59" w:rsidRDefault="639E9B9B" w:rsidP="639E9B9B">
            <w:pPr>
              <w:keepNext/>
              <w:keepLines/>
              <w:spacing w:after="0" w:line="240" w:lineRule="auto"/>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A helyi önkormányzatok működésének általános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6C091267" w14:textId="2E02E99F" w:rsidR="00BE0DA4" w:rsidRPr="00AF2CE8"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00AF2CE8">
              <w:rPr>
                <w:rFonts w:ascii="Times New Roman" w:hAnsi="Times New Roman" w:cs="Times New Roman"/>
                <w:i/>
                <w:iCs/>
                <w:sz w:val="20"/>
                <w:szCs w:val="20"/>
              </w:rPr>
              <w:t>125,8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3F341" w14:textId="04B8038A"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137,6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7C594" w14:textId="33A9E962"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384BF" w14:textId="618E45FB"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109,4</w:t>
            </w:r>
          </w:p>
        </w:tc>
      </w:tr>
      <w:tr w:rsidR="00BE0DA4" w:rsidRPr="00377D59" w14:paraId="644FC967" w14:textId="77777777" w:rsidTr="639E9B9B">
        <w:trPr>
          <w:trHeight w:val="510"/>
        </w:trPr>
        <w:tc>
          <w:tcPr>
            <w:tcW w:w="5382" w:type="dxa"/>
            <w:tcBorders>
              <w:right w:val="single" w:sz="4" w:space="0" w:color="auto"/>
            </w:tcBorders>
            <w:shd w:val="clear" w:color="auto" w:fill="auto"/>
            <w:vAlign w:val="center"/>
            <w:hideMark/>
          </w:tcPr>
          <w:p w14:paraId="1BA330A0" w14:textId="77777777" w:rsidR="00BE0DA4" w:rsidRPr="00377D59" w:rsidRDefault="639E9B9B" w:rsidP="639E9B9B">
            <w:pPr>
              <w:keepNext/>
              <w:keepLines/>
              <w:spacing w:after="0" w:line="240" w:lineRule="auto"/>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A települési önkormányzatok egyes köznevelési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5E8D28C3" w14:textId="1A8373E2" w:rsidR="00BE0DA4" w:rsidRPr="00AF2CE8"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00AF2CE8">
              <w:rPr>
                <w:rFonts w:ascii="Times New Roman" w:hAnsi="Times New Roman" w:cs="Times New Roman"/>
                <w:i/>
                <w:iCs/>
                <w:sz w:val="20"/>
                <w:szCs w:val="20"/>
              </w:rPr>
              <w:t>106,3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1BB58" w14:textId="115C18A9"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155,5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D1E80" w14:textId="265626C0"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49,2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7CDD1" w14:textId="3351D9C1"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146,3</w:t>
            </w:r>
          </w:p>
        </w:tc>
      </w:tr>
      <w:tr w:rsidR="00BE0DA4" w:rsidRPr="00377D59" w14:paraId="11F06AEB" w14:textId="77777777" w:rsidTr="639E9B9B">
        <w:trPr>
          <w:trHeight w:val="510"/>
        </w:trPr>
        <w:tc>
          <w:tcPr>
            <w:tcW w:w="5382" w:type="dxa"/>
            <w:tcBorders>
              <w:right w:val="single" w:sz="4" w:space="0" w:color="auto"/>
            </w:tcBorders>
            <w:shd w:val="clear" w:color="auto" w:fill="auto"/>
            <w:vAlign w:val="center"/>
            <w:hideMark/>
          </w:tcPr>
          <w:p w14:paraId="63EE65A2" w14:textId="77777777" w:rsidR="00BE0DA4" w:rsidRPr="00377D59" w:rsidRDefault="639E9B9B" w:rsidP="639E9B9B">
            <w:pPr>
              <w:keepNext/>
              <w:keepLines/>
              <w:spacing w:after="0" w:line="240" w:lineRule="auto"/>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A települési önkormányzatok egyes szociális, gyermekjóléti és gyermekétkeztetési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BBDE34C" w14:textId="4AF4E13F" w:rsidR="00BE0DA4" w:rsidRPr="00AF2CE8"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00AF2CE8">
              <w:rPr>
                <w:rFonts w:ascii="Times New Roman" w:hAnsi="Times New Roman" w:cs="Times New Roman"/>
                <w:i/>
                <w:iCs/>
                <w:sz w:val="20"/>
                <w:szCs w:val="20"/>
              </w:rPr>
              <w:t>150,5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C695" w14:textId="43128E17"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185,8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1228" w14:textId="289B7641"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35,3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53BB5" w14:textId="7AE5A31C"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123,5</w:t>
            </w:r>
          </w:p>
        </w:tc>
      </w:tr>
      <w:tr w:rsidR="00BE0DA4" w:rsidRPr="00377D59" w14:paraId="1FC403F4" w14:textId="77777777" w:rsidTr="639E9B9B">
        <w:trPr>
          <w:trHeight w:val="340"/>
        </w:trPr>
        <w:tc>
          <w:tcPr>
            <w:tcW w:w="5382" w:type="dxa"/>
            <w:tcBorders>
              <w:right w:val="single" w:sz="4" w:space="0" w:color="auto"/>
            </w:tcBorders>
            <w:shd w:val="clear" w:color="auto" w:fill="auto"/>
            <w:vAlign w:val="center"/>
            <w:hideMark/>
          </w:tcPr>
          <w:p w14:paraId="4F427CE2" w14:textId="77777777" w:rsidR="00BE0DA4" w:rsidRPr="00377D59" w:rsidRDefault="639E9B9B" w:rsidP="639E9B9B">
            <w:pPr>
              <w:keepNext/>
              <w:keepLines/>
              <w:spacing w:after="0" w:line="240" w:lineRule="auto"/>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A települési önkormányzatok kulturális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4BDB6D4" w14:textId="1F39FE5A" w:rsidR="00BE0DA4" w:rsidRPr="00AF2CE8"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00AF2CE8">
              <w:rPr>
                <w:rFonts w:ascii="Times New Roman" w:hAnsi="Times New Roman" w:cs="Times New Roman"/>
                <w:i/>
                <w:iCs/>
                <w:sz w:val="20"/>
                <w:szCs w:val="20"/>
              </w:rPr>
              <w:t>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BBCDB" w14:textId="31AABAC8" w:rsidR="00BE0DA4" w:rsidRPr="00C97321" w:rsidRDefault="639E9B9B" w:rsidP="639E9B9B">
            <w:pPr>
              <w:keepNext/>
              <w:keepLines/>
              <w:spacing w:after="0" w:line="240" w:lineRule="auto"/>
              <w:jc w:val="right"/>
              <w:rPr>
                <w:rFonts w:ascii="Times New Roman" w:eastAsia="Times New Roman" w:hAnsi="Times New Roman" w:cs="Times New Roman"/>
                <w:i/>
                <w:sz w:val="20"/>
                <w:szCs w:val="20"/>
                <w:lang w:eastAsia="hu-HU"/>
              </w:rPr>
            </w:pPr>
            <w:r w:rsidRPr="00C97321">
              <w:rPr>
                <w:rFonts w:ascii="Times New Roman" w:hAnsi="Times New Roman" w:cs="Times New Roman"/>
                <w:bCs/>
                <w:i/>
                <w:sz w:val="20"/>
                <w:szCs w:val="20"/>
              </w:rPr>
              <w:t>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8EF3A" w14:textId="2391A0D2"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83D2" w14:textId="5D8C3C25" w:rsidR="00BE0DA4" w:rsidRPr="00BE0DA4" w:rsidRDefault="639E9B9B" w:rsidP="639E9B9B">
            <w:pPr>
              <w:keepNext/>
              <w:keepLines/>
              <w:spacing w:after="0" w:line="240" w:lineRule="auto"/>
              <w:jc w:val="right"/>
              <w:rPr>
                <w:rFonts w:ascii="Times New Roman" w:eastAsia="Times New Roman" w:hAnsi="Times New Roman" w:cs="Times New Roman"/>
                <w:sz w:val="20"/>
                <w:szCs w:val="20"/>
                <w:lang w:eastAsia="hu-HU"/>
              </w:rPr>
            </w:pPr>
            <w:r w:rsidRPr="639E9B9B">
              <w:rPr>
                <w:rFonts w:ascii="Times New Roman" w:hAnsi="Times New Roman" w:cs="Times New Roman"/>
                <w:i/>
                <w:iCs/>
                <w:sz w:val="20"/>
                <w:szCs w:val="20"/>
              </w:rPr>
              <w:t>100,0</w:t>
            </w:r>
          </w:p>
        </w:tc>
      </w:tr>
      <w:tr w:rsidR="00BE0DA4" w:rsidRPr="00377D59" w14:paraId="44EF96BF" w14:textId="77777777" w:rsidTr="639E9B9B">
        <w:trPr>
          <w:trHeight w:val="340"/>
        </w:trPr>
        <w:tc>
          <w:tcPr>
            <w:tcW w:w="5382" w:type="dxa"/>
            <w:tcBorders>
              <w:bottom w:val="single" w:sz="4" w:space="0" w:color="auto"/>
              <w:right w:val="single" w:sz="4" w:space="0" w:color="auto"/>
            </w:tcBorders>
            <w:shd w:val="clear" w:color="auto" w:fill="auto"/>
            <w:vAlign w:val="center"/>
            <w:hideMark/>
          </w:tcPr>
          <w:p w14:paraId="3DD87A70" w14:textId="766307B5" w:rsidR="00BE0DA4" w:rsidRPr="00377D59" w:rsidRDefault="639E9B9B" w:rsidP="639E9B9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Helyi önkormányzatok kiegészítő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34DDE983" w14:textId="2779A3A6" w:rsidR="00BE0DA4" w:rsidRPr="00AF2CE8" w:rsidRDefault="639E9B9B" w:rsidP="000458BD">
            <w:pPr>
              <w:keepNext/>
              <w:keepLines/>
              <w:spacing w:after="0" w:line="240" w:lineRule="auto"/>
              <w:jc w:val="right"/>
              <w:rPr>
                <w:rFonts w:ascii="Times New Roman" w:eastAsia="Times New Roman" w:hAnsi="Times New Roman" w:cs="Times New Roman"/>
                <w:b/>
                <w:bCs/>
                <w:sz w:val="20"/>
                <w:szCs w:val="20"/>
                <w:lang w:eastAsia="hu-HU"/>
              </w:rPr>
            </w:pPr>
            <w:r w:rsidRPr="00AF2CE8">
              <w:rPr>
                <w:rFonts w:ascii="Times New Roman" w:hAnsi="Times New Roman" w:cs="Times New Roman"/>
                <w:b/>
                <w:bCs/>
                <w:sz w:val="20"/>
                <w:szCs w:val="20"/>
              </w:rPr>
              <w:t>55,</w:t>
            </w:r>
            <w:r w:rsidR="000458BD" w:rsidRPr="00AF2CE8">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23BA" w14:textId="039D941D"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33,5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B67F0" w14:textId="25719DAE" w:rsidR="00BE0DA4" w:rsidRPr="00BE0DA4" w:rsidRDefault="639E9B9B" w:rsidP="006222FA">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-21,</w:t>
            </w:r>
            <w:r w:rsidR="006222FA">
              <w:rPr>
                <w:rFonts w:ascii="Times New Roman" w:hAnsi="Times New Roman" w:cs="Times New Roman"/>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F6C6E" w14:textId="73F4F4A9" w:rsidR="00BE0DA4" w:rsidRPr="00BE0DA4" w:rsidRDefault="639E9B9B" w:rsidP="006222FA">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60,</w:t>
            </w:r>
            <w:r w:rsidR="006222FA">
              <w:rPr>
                <w:rFonts w:ascii="Times New Roman" w:hAnsi="Times New Roman" w:cs="Times New Roman"/>
                <w:b/>
                <w:bCs/>
                <w:sz w:val="20"/>
                <w:szCs w:val="20"/>
              </w:rPr>
              <w:t>5</w:t>
            </w:r>
          </w:p>
        </w:tc>
      </w:tr>
      <w:tr w:rsidR="00BE0DA4" w:rsidRPr="00377D59" w14:paraId="648C3F54" w14:textId="77777777" w:rsidTr="639E9B9B">
        <w:trPr>
          <w:trHeight w:val="340"/>
        </w:trPr>
        <w:tc>
          <w:tcPr>
            <w:tcW w:w="5382" w:type="dxa"/>
            <w:tcBorders>
              <w:top w:val="single" w:sz="4" w:space="0" w:color="auto"/>
              <w:right w:val="single" w:sz="4" w:space="0" w:color="auto"/>
            </w:tcBorders>
            <w:shd w:val="clear" w:color="auto" w:fill="auto"/>
            <w:vAlign w:val="center"/>
            <w:hideMark/>
          </w:tcPr>
          <w:p w14:paraId="3676EE9C" w14:textId="4925EF27" w:rsidR="00BE0DA4" w:rsidRPr="00377D59" w:rsidRDefault="639E9B9B" w:rsidP="639E9B9B">
            <w:pPr>
              <w:keepNext/>
              <w:keepLines/>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Év közben létrejött új jogcímek kiadásai</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0BACAC9E" w14:textId="7A4C2956" w:rsidR="00BE0DA4" w:rsidRPr="00AF2CE8" w:rsidRDefault="639E9B9B" w:rsidP="000458BD">
            <w:pPr>
              <w:keepNext/>
              <w:keepLines/>
              <w:spacing w:after="0" w:line="240" w:lineRule="auto"/>
              <w:jc w:val="right"/>
              <w:rPr>
                <w:rFonts w:ascii="Times New Roman" w:eastAsia="Times New Roman" w:hAnsi="Times New Roman" w:cs="Times New Roman"/>
                <w:b/>
                <w:bCs/>
                <w:sz w:val="20"/>
                <w:szCs w:val="20"/>
                <w:lang w:eastAsia="hu-HU"/>
              </w:rPr>
            </w:pPr>
            <w:r w:rsidRPr="00AF2CE8">
              <w:rPr>
                <w:rFonts w:ascii="Times New Roman" w:hAnsi="Times New Roman" w:cs="Times New Roman"/>
                <w:b/>
                <w:bCs/>
                <w:sz w:val="20"/>
                <w:szCs w:val="20"/>
              </w:rPr>
              <w:t>33,</w:t>
            </w:r>
            <w:r w:rsidR="000458BD" w:rsidRPr="00AF2CE8">
              <w:rPr>
                <w:rFonts w:ascii="Times New Roman" w:hAnsi="Times New Roman" w:cs="Times New Roman"/>
                <w:b/>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6E9FC" w14:textId="76465DB9"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586A" w14:textId="25B28E1C" w:rsidR="00BE0DA4" w:rsidRPr="00BE0DA4" w:rsidRDefault="639E9B9B" w:rsidP="006222FA">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-26,</w:t>
            </w:r>
            <w:r w:rsidR="006222FA">
              <w:rPr>
                <w:rFonts w:ascii="Times New Roman" w:hAnsi="Times New Roman" w:cs="Times New Roman"/>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BBBB0" w14:textId="430FAAC0"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20,2</w:t>
            </w:r>
          </w:p>
        </w:tc>
      </w:tr>
      <w:tr w:rsidR="00BE0DA4" w:rsidRPr="00377D59" w14:paraId="60064293" w14:textId="77777777" w:rsidTr="639E9B9B">
        <w:trPr>
          <w:trHeight w:val="340"/>
        </w:trPr>
        <w:tc>
          <w:tcPr>
            <w:tcW w:w="5382" w:type="dxa"/>
            <w:tcBorders>
              <w:right w:val="single" w:sz="4" w:space="0" w:color="auto"/>
            </w:tcBorders>
            <w:shd w:val="clear" w:color="auto" w:fill="auto"/>
            <w:noWrap/>
            <w:vAlign w:val="center"/>
            <w:hideMark/>
          </w:tcPr>
          <w:p w14:paraId="73666509" w14:textId="770E1DDA" w:rsidR="00BE0DA4" w:rsidRPr="00377D59" w:rsidRDefault="639E9B9B" w:rsidP="639E9B9B">
            <w:pPr>
              <w:widowControl w:val="0"/>
              <w:spacing w:after="0" w:line="240" w:lineRule="auto"/>
              <w:rPr>
                <w:rFonts w:ascii="Times New Roman" w:eastAsia="Times New Roman" w:hAnsi="Times New Roman" w:cs="Times New Roman"/>
                <w:b/>
                <w:bCs/>
                <w:sz w:val="20"/>
                <w:szCs w:val="20"/>
                <w:lang w:eastAsia="hu-HU"/>
              </w:rPr>
            </w:pPr>
            <w:r w:rsidRPr="639E9B9B">
              <w:rPr>
                <w:rFonts w:ascii="Times New Roman" w:eastAsia="Times New Roman" w:hAnsi="Times New Roman" w:cs="Times New Roman"/>
                <w:b/>
                <w:bCs/>
                <w:sz w:val="20"/>
                <w:szCs w:val="20"/>
                <w:lang w:eastAsia="hu-HU"/>
              </w:rPr>
              <w:t>Összesen</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3A3EFD36" w14:textId="35378931"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481,5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4CCAC" w14:textId="6EEB757B"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529,1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A3FA" w14:textId="57F40036"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47,6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B57DC" w14:textId="4363E106" w:rsidR="00BE0DA4" w:rsidRPr="00BE0DA4" w:rsidRDefault="639E9B9B" w:rsidP="639E9B9B">
            <w:pPr>
              <w:keepNext/>
              <w:keepLines/>
              <w:spacing w:after="0" w:line="240" w:lineRule="auto"/>
              <w:jc w:val="right"/>
              <w:rPr>
                <w:rFonts w:ascii="Times New Roman" w:eastAsia="Times New Roman" w:hAnsi="Times New Roman" w:cs="Times New Roman"/>
                <w:b/>
                <w:bCs/>
                <w:sz w:val="20"/>
                <w:szCs w:val="20"/>
                <w:lang w:eastAsia="hu-HU"/>
              </w:rPr>
            </w:pPr>
            <w:r w:rsidRPr="639E9B9B">
              <w:rPr>
                <w:rFonts w:ascii="Times New Roman" w:hAnsi="Times New Roman" w:cs="Times New Roman"/>
                <w:b/>
                <w:bCs/>
                <w:sz w:val="20"/>
                <w:szCs w:val="20"/>
              </w:rPr>
              <w:t>109,9</w:t>
            </w:r>
          </w:p>
        </w:tc>
      </w:tr>
    </w:tbl>
    <w:p w14:paraId="4DC14270" w14:textId="57DBE431" w:rsidR="74B9DF17" w:rsidRDefault="639E9B9B" w:rsidP="006222FA">
      <w:pPr>
        <w:spacing w:before="240"/>
        <w:jc w:val="both"/>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Uniós programok kiadásai</w:t>
      </w:r>
      <w:r w:rsidRPr="639E9B9B">
        <w:rPr>
          <w:rFonts w:ascii="Times New Roman" w:eastAsia="Times New Roman" w:hAnsi="Times New Roman" w:cs="Times New Roman"/>
          <w:i/>
          <w:iCs/>
          <w:sz w:val="26"/>
          <w:szCs w:val="26"/>
        </w:rPr>
        <w:t xml:space="preserve"> </w:t>
      </w:r>
      <w:r w:rsidRPr="639E9B9B">
        <w:rPr>
          <w:rFonts w:ascii="Times New Roman" w:eastAsia="Times New Roman" w:hAnsi="Times New Roman" w:cs="Times New Roman"/>
          <w:sz w:val="26"/>
          <w:szCs w:val="26"/>
        </w:rPr>
        <w:t>mérlegsoron 2024. május végéig 801,9 milliárd forint összegű kifizetés történt, amely a törvényi előirányzat (3</w:t>
      </w:r>
      <w:r w:rsidR="00AF2CE8">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605,8 milliárd forint) 22,2%-os teljesítését jelenti. A felmerült kiadások túlnyomó részét a 2021-2027-es Széchenyi Plusz programjai adták.</w:t>
      </w:r>
    </w:p>
    <w:p w14:paraId="6ABC464B" w14:textId="5918ADA4" w:rsidR="74B9DF17" w:rsidRDefault="639E9B9B" w:rsidP="6BF9886D">
      <w:pPr>
        <w:spacing w:before="240"/>
        <w:jc w:val="both"/>
      </w:pPr>
      <w:r w:rsidRPr="639E9B9B">
        <w:rPr>
          <w:rFonts w:ascii="Times New Roman" w:eastAsia="Times New Roman" w:hAnsi="Times New Roman" w:cs="Times New Roman"/>
          <w:sz w:val="26"/>
          <w:szCs w:val="26"/>
        </w:rPr>
        <w:t>A legnagyobb összegű kifizetéseket ezen időszakban a Széchenyi Terv Plusz operatív programok közül az Emberi Erőforrás Fejlesztési OP Plusz (EFOP Plusz), míg a Széchenyi 2020 operatív programjai közül az Emberi Erőforrás Fejlesztési Operatív Program teljesítette. Kiemelkedők továbbá a Vidékfejlesztési Program, a KAP Stratégiai Terv Vidékfejlesztési Intézkedései és a Helyreállítási és Ellenállóképességi Eszköz (RRF) kifizetése.</w:t>
      </w:r>
    </w:p>
    <w:p w14:paraId="0EE0B389" w14:textId="383307B9" w:rsidR="029C2633" w:rsidRPr="00026266"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állami vagyonnal kapcsolatos kiadások</w:t>
      </w:r>
      <w:r w:rsidRPr="639E9B9B">
        <w:rPr>
          <w:rFonts w:ascii="Times New Roman" w:eastAsia="Times New Roman" w:hAnsi="Times New Roman" w:cs="Times New Roman"/>
          <w:sz w:val="26"/>
          <w:szCs w:val="26"/>
        </w:rPr>
        <w:t xml:space="preserve"> első </w:t>
      </w:r>
      <w:r w:rsidR="006222FA">
        <w:rPr>
          <w:rFonts w:ascii="Times New Roman" w:eastAsia="Times New Roman" w:hAnsi="Times New Roman" w:cs="Times New Roman"/>
          <w:sz w:val="26"/>
          <w:szCs w:val="26"/>
        </w:rPr>
        <w:t>öt</w:t>
      </w:r>
      <w:r w:rsidRPr="639E9B9B">
        <w:rPr>
          <w:rFonts w:ascii="Times New Roman" w:eastAsia="Times New Roman" w:hAnsi="Times New Roman" w:cs="Times New Roman"/>
          <w:sz w:val="26"/>
          <w:szCs w:val="26"/>
        </w:rPr>
        <w:t xml:space="preserve">havi összege </w:t>
      </w:r>
      <w:r w:rsidR="00696F46">
        <w:rPr>
          <w:rFonts w:ascii="Times New Roman" w:eastAsia="Times New Roman" w:hAnsi="Times New Roman" w:cs="Times New Roman"/>
          <w:sz w:val="26"/>
          <w:szCs w:val="26"/>
        </w:rPr>
        <w:t>701,0 </w:t>
      </w:r>
      <w:r w:rsidRPr="639E9B9B">
        <w:rPr>
          <w:rFonts w:ascii="Times New Roman" w:eastAsia="Times New Roman" w:hAnsi="Times New Roman" w:cs="Times New Roman"/>
          <w:sz w:val="26"/>
          <w:szCs w:val="26"/>
        </w:rPr>
        <w:t>milliárd forint volt, amelynek meghatározó része tőkeemelésként került kifizetésre.</w:t>
      </w:r>
    </w:p>
    <w:p w14:paraId="4D36018A" w14:textId="33216654" w:rsidR="000B49AE" w:rsidRPr="00377D59" w:rsidRDefault="00920F4D" w:rsidP="000B49AE">
      <w:pPr>
        <w:spacing w:before="240" w:after="120" w:line="240" w:lineRule="auto"/>
        <w:jc w:val="center"/>
        <w:rPr>
          <w:rFonts w:ascii="Times New Roman" w:eastAsia="Times New Roman" w:hAnsi="Times New Roman" w:cs="Times New Roman"/>
          <w:b/>
          <w:bCs/>
          <w:sz w:val="26"/>
          <w:szCs w:val="26"/>
        </w:rPr>
      </w:pPr>
      <w:r w:rsidRPr="00920F4D">
        <w:rPr>
          <w:rFonts w:ascii="Times New Roman" w:eastAsia="Times New Roman" w:hAnsi="Times New Roman" w:cs="Times New Roman"/>
          <w:b/>
          <w:bCs/>
          <w:noProof/>
          <w:sz w:val="26"/>
          <w:szCs w:val="26"/>
          <w:lang w:eastAsia="hu-HU"/>
        </w:rPr>
        <w:drawing>
          <wp:inline distT="0" distB="0" distL="0" distR="0" wp14:anchorId="33488DD3" wp14:editId="72D11592">
            <wp:extent cx="5318811" cy="3306147"/>
            <wp:effectExtent l="0" t="0" r="0" b="8890"/>
            <wp:docPr id="8" name="Kép 8" descr="Z:\Áht_gyors_moni\2024_05_máj\0_feljegyzés_monitoring\ábrák\Vagyon_kiadá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ht_gyors_moni\2024_05_máj\0_feljegyzés_monitoring\ábrák\Vagyon_kiadás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8763" cy="3343413"/>
                    </a:xfrm>
                    <a:prstGeom prst="rect">
                      <a:avLst/>
                    </a:prstGeom>
                    <a:noFill/>
                    <a:ln>
                      <a:noFill/>
                    </a:ln>
                  </pic:spPr>
                </pic:pic>
              </a:graphicData>
            </a:graphic>
          </wp:inline>
        </w:drawing>
      </w:r>
    </w:p>
    <w:p w14:paraId="030326D3" w14:textId="60D42585" w:rsidR="5B67C7D7" w:rsidRPr="00377D59" w:rsidRDefault="639E9B9B" w:rsidP="639E9B9B">
      <w:pPr>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 xml:space="preserve">állami beruházási fejezet kiadásait </w:t>
      </w:r>
      <w:r w:rsidRPr="639E9B9B">
        <w:rPr>
          <w:rFonts w:ascii="Times New Roman" w:eastAsia="Times New Roman" w:hAnsi="Times New Roman" w:cs="Times New Roman"/>
          <w:sz w:val="26"/>
          <w:szCs w:val="26"/>
        </w:rPr>
        <w:t>az egyes projektek előrehaladása határozza meg. Míg 2023 azonos időszakában még kevesebb pénzmozg</w:t>
      </w:r>
      <w:r w:rsidR="00E04BAA">
        <w:rPr>
          <w:rFonts w:ascii="Times New Roman" w:eastAsia="Times New Roman" w:hAnsi="Times New Roman" w:cs="Times New Roman"/>
          <w:sz w:val="26"/>
          <w:szCs w:val="26"/>
        </w:rPr>
        <w:t>ás volt, addig 2024 első öt </w:t>
      </w:r>
      <w:r w:rsidRPr="639E9B9B">
        <w:rPr>
          <w:rFonts w:ascii="Times New Roman" w:eastAsia="Times New Roman" w:hAnsi="Times New Roman" w:cs="Times New Roman"/>
          <w:sz w:val="26"/>
          <w:szCs w:val="26"/>
        </w:rPr>
        <w:t>hónapjában 134,8 milliárd forint kiadás teljesült. Ennek nagy része az állami közútfejlesztési beruházásokhoz (62,5 milliárd forint), az európai uniós forrásokból megvalósuló beruházásokhoz (29,0 milliárd forint) és az egyedi magasépítési beruházásokhoz (40,8 milliárd forint) kapcsolód</w:t>
      </w:r>
      <w:r w:rsidR="00AF2CE8">
        <w:rPr>
          <w:rFonts w:ascii="Times New Roman" w:eastAsia="Times New Roman" w:hAnsi="Times New Roman" w:cs="Times New Roman"/>
          <w:sz w:val="26"/>
          <w:szCs w:val="26"/>
        </w:rPr>
        <w:t>tak</w:t>
      </w:r>
      <w:r w:rsidRPr="639E9B9B">
        <w:rPr>
          <w:rFonts w:ascii="Times New Roman" w:eastAsia="Times New Roman" w:hAnsi="Times New Roman" w:cs="Times New Roman"/>
          <w:sz w:val="24"/>
          <w:szCs w:val="24"/>
        </w:rPr>
        <w:t>.</w:t>
      </w:r>
    </w:p>
    <w:p w14:paraId="3BBA6AD8" w14:textId="00BA67FD" w:rsidR="74B9DF17" w:rsidRDefault="639E9B9B" w:rsidP="74B9DF17">
      <w:pPr>
        <w:jc w:val="both"/>
      </w:pPr>
      <w:r w:rsidRPr="639E9B9B">
        <w:rPr>
          <w:rFonts w:ascii="Times New Roman" w:eastAsia="Times New Roman" w:hAnsi="Times New Roman" w:cs="Times New Roman"/>
          <w:sz w:val="26"/>
          <w:szCs w:val="26"/>
        </w:rPr>
        <w:t xml:space="preserve">Az </w:t>
      </w:r>
      <w:r w:rsidRPr="639E9B9B">
        <w:rPr>
          <w:rFonts w:ascii="Times New Roman" w:eastAsia="Times New Roman" w:hAnsi="Times New Roman" w:cs="Times New Roman"/>
          <w:b/>
          <w:bCs/>
          <w:sz w:val="26"/>
          <w:szCs w:val="26"/>
        </w:rPr>
        <w:t>egyéb kiadások</w:t>
      </w:r>
      <w:r w:rsidRPr="639E9B9B">
        <w:rPr>
          <w:rFonts w:ascii="Times New Roman" w:eastAsia="Times New Roman" w:hAnsi="Times New Roman" w:cs="Times New Roman"/>
          <w:sz w:val="26"/>
          <w:szCs w:val="26"/>
        </w:rPr>
        <w:t xml:space="preserve"> 2024. évi I-V. havi teljesítése 221,7 milliárd forint lett, ami 44,2 milliárd forinttal magasabban alakult az elmúlt év azonos időszakának az értékétől. E mérlegsor tételeinek összetétele jelentősen változott a 2023. évihez képest. A mérlegsor pl. új elemként tartalmazza a villamosenergia-termelés, mint rendszerbiztonsági szolgáltatás ellentételezését (öt hónap alatt 51,9</w:t>
      </w:r>
      <w:r w:rsidR="006222FA">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milliárd forint), valamint az ipari fogyasztók veszélyhelyzeti rezsitámogatását (öt hónap alatt 7,8 milliárd forint).</w:t>
      </w:r>
    </w:p>
    <w:p w14:paraId="15F013A7" w14:textId="79C8450D" w:rsidR="74B9DF17" w:rsidRDefault="639E9B9B" w:rsidP="6BF9886D">
      <w:pPr>
        <w:spacing w:before="160" w:after="0"/>
        <w:jc w:val="both"/>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Hozzájárulás az EU költségvetéséhez</w:t>
      </w:r>
      <w:r w:rsidRPr="639E9B9B">
        <w:rPr>
          <w:rFonts w:ascii="Times New Roman" w:eastAsia="Times New Roman" w:hAnsi="Times New Roman" w:cs="Times New Roman"/>
          <w:sz w:val="26"/>
          <w:szCs w:val="26"/>
        </w:rPr>
        <w:t xml:space="preserve"> mérlegsoron 2024. május végéig 247,9 milliárd forint kiadás teljesült, ami a törvényi előirányzat 35,8%-a. E hozzájárulás 20,0 milliárd forinttal marad el a 2023. év azonos időszakában teljesített kiadásoktól.</w:t>
      </w:r>
    </w:p>
    <w:p w14:paraId="74BFA59F" w14:textId="06138818" w:rsidR="004F2496" w:rsidRPr="00D92214" w:rsidRDefault="639E9B9B" w:rsidP="639E9B9B">
      <w:pPr>
        <w:spacing w:before="160" w:after="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Nemzeti Kutatási, Fejlesztési és Innovációs Alapból</w:t>
      </w:r>
      <w:r w:rsidRPr="639E9B9B">
        <w:rPr>
          <w:rFonts w:ascii="Times New Roman" w:eastAsia="Times New Roman" w:hAnsi="Times New Roman" w:cs="Times New Roman"/>
          <w:sz w:val="26"/>
          <w:szCs w:val="26"/>
        </w:rPr>
        <w:t xml:space="preserve"> (NKFI Alap) 2024. május végéig 49,2 milliárd forint kiadás teljesült, ami 18,1 milliárd forinttal kevesebb kifizetést jelent a 2023. év azonos időszakának teljesítéséhez képest. A különbség a kifizeté</w:t>
      </w:r>
      <w:r w:rsidR="00920F4D">
        <w:rPr>
          <w:rFonts w:ascii="Times New Roman" w:eastAsia="Times New Roman" w:hAnsi="Times New Roman" w:cs="Times New Roman"/>
          <w:sz w:val="26"/>
          <w:szCs w:val="26"/>
        </w:rPr>
        <w:t>sek eltérő ütemezéséből adódik.</w:t>
      </w:r>
    </w:p>
    <w:p w14:paraId="17605E21" w14:textId="3C712B16" w:rsidR="6462B5A6" w:rsidRPr="00920F4D" w:rsidRDefault="639E9B9B" w:rsidP="639E9B9B">
      <w:pPr>
        <w:spacing w:before="160" w:after="0"/>
        <w:jc w:val="both"/>
        <w:rPr>
          <w:rFonts w:ascii="Times New Roman" w:eastAsia="Times New Roman" w:hAnsi="Times New Roman" w:cs="Times New Roman"/>
          <w:bCs/>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Nemzeti Foglalkoztatási Alap</w:t>
      </w:r>
      <w:r w:rsidRPr="639E9B9B">
        <w:rPr>
          <w:rFonts w:ascii="Times New Roman" w:eastAsia="Times New Roman" w:hAnsi="Times New Roman" w:cs="Times New Roman"/>
          <w:sz w:val="26"/>
          <w:szCs w:val="26"/>
        </w:rPr>
        <w:t xml:space="preserve"> (NFA) kiadásai estében a Start-munkaprogramra összesen 57,9 milliárd forint teljesült. Az uniós elő- és társfinanszírozásra 13,6 milliárd forintot fordítottak.</w:t>
      </w:r>
    </w:p>
    <w:p w14:paraId="5EBC5149" w14:textId="631465E7" w:rsidR="123EFD2F" w:rsidRPr="00377D59" w:rsidRDefault="639E9B9B" w:rsidP="00920F4D">
      <w:pPr>
        <w:spacing w:before="160"/>
        <w:jc w:val="both"/>
        <w:rPr>
          <w:rFonts w:ascii="Times New Roman" w:hAnsi="Times New Roman" w:cs="Times New Roman"/>
        </w:rPr>
      </w:pPr>
      <w:r w:rsidRPr="639E9B9B">
        <w:rPr>
          <w:rFonts w:ascii="Times New Roman" w:eastAsia="Times New Roman" w:hAnsi="Times New Roman" w:cs="Times New Roman"/>
          <w:sz w:val="26"/>
          <w:szCs w:val="26"/>
        </w:rPr>
        <w:t>A</w:t>
      </w:r>
      <w:r w:rsidRPr="639E9B9B">
        <w:rPr>
          <w:rFonts w:ascii="Times New Roman" w:eastAsia="Times New Roman" w:hAnsi="Times New Roman" w:cs="Times New Roman"/>
          <w:b/>
          <w:bCs/>
          <w:sz w:val="26"/>
          <w:szCs w:val="26"/>
        </w:rPr>
        <w:t xml:space="preserve"> Bethlen Gábor Alapból</w:t>
      </w:r>
      <w:r w:rsidRPr="639E9B9B">
        <w:rPr>
          <w:rFonts w:ascii="Times New Roman" w:eastAsia="Times New Roman" w:hAnsi="Times New Roman" w:cs="Times New Roman"/>
          <w:sz w:val="26"/>
          <w:szCs w:val="26"/>
        </w:rPr>
        <w:t xml:space="preserve"> (BGA) összesen 31,7 milliárd forint kiadás teljesült. Az alapból nyújtott támogatások a BGA irányítását ellátó Bizottság döntései alapján, ütemezetten kerültek kifizetésre.</w:t>
      </w:r>
    </w:p>
    <w:p w14:paraId="577A2999" w14:textId="4A4D2211" w:rsidR="00E04BAA" w:rsidRDefault="639E9B9B" w:rsidP="3630E3D9">
      <w:pPr>
        <w:jc w:val="both"/>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Nyugdíjbiztosítási Alap</w:t>
      </w:r>
      <w:r w:rsidRPr="639E9B9B">
        <w:rPr>
          <w:rFonts w:ascii="Times New Roman" w:eastAsia="Times New Roman" w:hAnsi="Times New Roman" w:cs="Times New Roman"/>
          <w:sz w:val="26"/>
          <w:szCs w:val="26"/>
        </w:rPr>
        <w:t xml:space="preserve"> nyugellátási kiadásai az ötödik hónap végéig 2 848,4 milliárd forintban teljesültek, ami 280,7</w:t>
      </w:r>
      <w:r w:rsidR="00AF2CE8">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milliárd forinttal haladta meg az előző év azonos i</w:t>
      </w:r>
      <w:r w:rsidR="00920F4D">
        <w:rPr>
          <w:rFonts w:ascii="Times New Roman" w:eastAsia="Times New Roman" w:hAnsi="Times New Roman" w:cs="Times New Roman"/>
          <w:sz w:val="26"/>
          <w:szCs w:val="26"/>
        </w:rPr>
        <w:t>dőszakának teljesítési adatait.</w:t>
      </w:r>
      <w:r w:rsidR="00E04BAA">
        <w:t xml:space="preserve"> </w:t>
      </w:r>
      <w:r w:rsidR="00E04BAA" w:rsidRPr="00E04BAA">
        <w:rPr>
          <w:rFonts w:ascii="Times New Roman" w:hAnsi="Times New Roman" w:cs="Times New Roman"/>
          <w:sz w:val="26"/>
          <w:szCs w:val="26"/>
        </w:rPr>
        <w:t>A 1</w:t>
      </w:r>
      <w:r w:rsidR="00E04BAA">
        <w:rPr>
          <w:rFonts w:ascii="Times New Roman" w:hAnsi="Times New Roman" w:cs="Times New Roman"/>
          <w:sz w:val="26"/>
          <w:szCs w:val="26"/>
        </w:rPr>
        <w:t>0,9</w:t>
      </w:r>
      <w:r w:rsidR="00E04BAA" w:rsidRPr="00E04BAA">
        <w:rPr>
          <w:rFonts w:ascii="Times New Roman" w:hAnsi="Times New Roman" w:cs="Times New Roman"/>
          <w:sz w:val="26"/>
          <w:szCs w:val="26"/>
        </w:rPr>
        <w:t>%-os kiadásnövekedést a tavaly novemberi kiegészítő nyugdíjemelés tárgyévre áthúzódó hatása, a tárgyév január hónapban végrehajtott inflációkövető nyugdíjemelés hatása, valamint az eltelt időszakban bekövetkezett létszámváltozás és cserélődés együttes hatása eredményezte.</w:t>
      </w:r>
    </w:p>
    <w:p w14:paraId="029C5597" w14:textId="33C8C049" w:rsidR="3630E3D9" w:rsidRDefault="639E9B9B" w:rsidP="3630E3D9">
      <w:pPr>
        <w:spacing w:before="160" w:after="0"/>
        <w:jc w:val="both"/>
      </w:pPr>
      <w:r w:rsidRPr="639E9B9B">
        <w:rPr>
          <w:rFonts w:ascii="Times New Roman" w:eastAsia="Times New Roman" w:hAnsi="Times New Roman" w:cs="Times New Roman"/>
          <w:sz w:val="26"/>
          <w:szCs w:val="26"/>
        </w:rPr>
        <w:t>Az öregségi nyugdíjban részesülők 2024. május havi</w:t>
      </w:r>
      <w:r w:rsidRPr="639E9B9B">
        <w:rPr>
          <w:rFonts w:ascii="Times New Roman" w:eastAsia="Times New Roman" w:hAnsi="Times New Roman" w:cs="Times New Roman"/>
          <w:b/>
          <w:bCs/>
          <w:sz w:val="26"/>
          <w:szCs w:val="26"/>
        </w:rPr>
        <w:t xml:space="preserve"> átlagos statisztikai állományi létszáma</w:t>
      </w:r>
      <w:r w:rsidRPr="639E9B9B">
        <w:rPr>
          <w:rFonts w:ascii="Times New Roman" w:eastAsia="Times New Roman" w:hAnsi="Times New Roman" w:cs="Times New Roman"/>
          <w:sz w:val="26"/>
          <w:szCs w:val="26"/>
        </w:rPr>
        <w:t xml:space="preserve"> kis mértékben növekedett, 6 626 fővel haladta meg az előző év azonos időszakának létszámát. Az öregségi nyugellátásban részesülők létszámán belül a nők kedvezményes nyugdíjában részesülők (korhatár alattiak) létszáma a korhatárbetöltés és az elhalálozás együttes hatásaként 5 849 fővel csökkent a 2023. májusi adathoz képest.</w:t>
      </w:r>
    </w:p>
    <w:p w14:paraId="17484B1A" w14:textId="299B6FCF" w:rsidR="00CA1C2C" w:rsidRPr="00AD72B4" w:rsidRDefault="008916DB" w:rsidP="00CA1C2C">
      <w:pPr>
        <w:spacing w:before="160" w:after="0"/>
        <w:jc w:val="center"/>
        <w:rPr>
          <w:rFonts w:ascii="Times New Roman" w:eastAsia="Times New Roman" w:hAnsi="Times New Roman" w:cs="Times New Roman"/>
          <w:sz w:val="26"/>
          <w:szCs w:val="26"/>
        </w:rPr>
      </w:pPr>
      <w:r>
        <w:rPr>
          <w:noProof/>
          <w:lang w:eastAsia="hu-HU"/>
        </w:rPr>
        <w:drawing>
          <wp:inline distT="0" distB="0" distL="0" distR="0" wp14:anchorId="4B1D21C7" wp14:editId="68302537">
            <wp:extent cx="5940425" cy="2085064"/>
            <wp:effectExtent l="0" t="0" r="317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57157" cy="2090937"/>
                    </a:xfrm>
                    <a:prstGeom prst="rect">
                      <a:avLst/>
                    </a:prstGeom>
                  </pic:spPr>
                </pic:pic>
              </a:graphicData>
            </a:graphic>
          </wp:inline>
        </w:drawing>
      </w:r>
    </w:p>
    <w:p w14:paraId="4AD4BCD3" w14:textId="1871E68E" w:rsidR="3630E3D9" w:rsidRDefault="639E9B9B" w:rsidP="3630E3D9">
      <w:pPr>
        <w:jc w:val="both"/>
      </w:pPr>
      <w:r w:rsidRPr="639E9B9B">
        <w:rPr>
          <w:rFonts w:ascii="Times New Roman" w:eastAsia="Times New Roman" w:hAnsi="Times New Roman" w:cs="Times New Roman"/>
          <w:sz w:val="26"/>
          <w:szCs w:val="26"/>
        </w:rPr>
        <w:t>Idén is 2,1 millió öregségi nyugdíjban és hozzátartozói nyugellátásban részesülő személy részére folyósítottak 13. havi nyugdíjat. A 13. havi kifizetés Nyugdíjbiztosítási Alapot terhelő kiadása május végéig 471</w:t>
      </w:r>
      <w:r w:rsidR="00E04BAA">
        <w:rPr>
          <w:rFonts w:ascii="Times New Roman" w:eastAsia="Times New Roman" w:hAnsi="Times New Roman" w:cs="Times New Roman"/>
          <w:sz w:val="26"/>
          <w:szCs w:val="26"/>
        </w:rPr>
        <w:t>,0 </w:t>
      </w:r>
      <w:r w:rsidRPr="639E9B9B">
        <w:rPr>
          <w:rFonts w:ascii="Times New Roman" w:eastAsia="Times New Roman" w:hAnsi="Times New Roman" w:cs="Times New Roman"/>
          <w:sz w:val="26"/>
          <w:szCs w:val="26"/>
        </w:rPr>
        <w:t>milliárd forint volt, ami 46,7</w:t>
      </w:r>
      <w:r w:rsidR="00E04BAA">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 xml:space="preserve">milliárd forinttal haladta meg az előző évben ezen a jogcímen teljesített kiadások </w:t>
      </w:r>
      <w:r w:rsidR="00920F4D">
        <w:rPr>
          <w:rFonts w:ascii="Times New Roman" w:eastAsia="Times New Roman" w:hAnsi="Times New Roman" w:cs="Times New Roman"/>
          <w:sz w:val="26"/>
          <w:szCs w:val="26"/>
        </w:rPr>
        <w:t>összegét. A kiadásnövekedést az </w:t>
      </w:r>
      <w:r w:rsidRPr="639E9B9B">
        <w:rPr>
          <w:rFonts w:ascii="Times New Roman" w:eastAsia="Times New Roman" w:hAnsi="Times New Roman" w:cs="Times New Roman"/>
          <w:sz w:val="26"/>
          <w:szCs w:val="26"/>
        </w:rPr>
        <w:t>ellátások tavaly novemberi és idén januári emelése, valamint a jogosultak létszám- és cserélődési hatásának változása eredményezte.</w:t>
      </w:r>
    </w:p>
    <w:p w14:paraId="64C9ADF8" w14:textId="70F48265" w:rsidR="3630E3D9" w:rsidRDefault="639E9B9B" w:rsidP="3630E3D9">
      <w:pPr>
        <w:jc w:val="both"/>
      </w:pPr>
      <w:r w:rsidRPr="639E9B9B">
        <w:rPr>
          <w:rFonts w:ascii="Times New Roman" w:eastAsia="Times New Roman" w:hAnsi="Times New Roman" w:cs="Times New Roman"/>
          <w:sz w:val="26"/>
          <w:szCs w:val="26"/>
        </w:rPr>
        <w:t>Az öregségi nyugdíjak átlagos havi összege egy év alatt 22</w:t>
      </w:r>
      <w:r w:rsidR="00E04BAA">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799</w:t>
      </w:r>
      <w:r w:rsidR="00E04BAA">
        <w:rPr>
          <w:rFonts w:ascii="Times New Roman" w:eastAsia="Times New Roman" w:hAnsi="Times New Roman" w:cs="Times New Roman"/>
          <w:sz w:val="26"/>
          <w:szCs w:val="26"/>
        </w:rPr>
        <w:t> forinttal emelkedett, 2024 </w:t>
      </w:r>
      <w:r w:rsidRPr="639E9B9B">
        <w:rPr>
          <w:rFonts w:ascii="Times New Roman" w:eastAsia="Times New Roman" w:hAnsi="Times New Roman" w:cs="Times New Roman"/>
          <w:sz w:val="26"/>
          <w:szCs w:val="26"/>
        </w:rPr>
        <w:t>májusában 232</w:t>
      </w:r>
      <w:r w:rsidR="00E04BAA">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269</w:t>
      </w:r>
      <w:r w:rsidR="00E04BAA">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forint volt.</w:t>
      </w:r>
    </w:p>
    <w:p w14:paraId="48FE7C22" w14:textId="326C48F6" w:rsidR="3630E3D9" w:rsidRDefault="639E9B9B" w:rsidP="3630E3D9">
      <w:pPr>
        <w:spacing w:before="160" w:after="240"/>
        <w:jc w:val="both"/>
      </w:pPr>
      <w:r w:rsidRPr="639E9B9B">
        <w:rPr>
          <w:rFonts w:ascii="Times New Roman" w:eastAsia="Times New Roman" w:hAnsi="Times New Roman" w:cs="Times New Roman"/>
          <w:sz w:val="26"/>
          <w:szCs w:val="26"/>
        </w:rPr>
        <w:t>Az ellátások egy főre jutó havi átlagos összege az egyes ellátotti jogcímeken belül az előző év azonos időszakával összehasonlítva az alábbiak szerint növekedett.</w:t>
      </w:r>
    </w:p>
    <w:p w14:paraId="48A2E076" w14:textId="7E382D31" w:rsidR="00DC22D9" w:rsidRPr="00377D59" w:rsidRDefault="00920F4D" w:rsidP="008916DB">
      <w:pPr>
        <w:spacing w:after="0"/>
        <w:jc w:val="center"/>
        <w:rPr>
          <w:rFonts w:ascii="Times New Roman" w:eastAsia="Times New Roman" w:hAnsi="Times New Roman" w:cs="Times New Roman"/>
          <w:sz w:val="26"/>
          <w:szCs w:val="26"/>
        </w:rPr>
      </w:pPr>
      <w:r w:rsidRPr="00920F4D">
        <w:rPr>
          <w:rFonts w:ascii="Times New Roman" w:eastAsia="Times New Roman" w:hAnsi="Times New Roman" w:cs="Times New Roman"/>
          <w:noProof/>
          <w:sz w:val="26"/>
          <w:szCs w:val="26"/>
          <w:lang w:eastAsia="hu-HU"/>
        </w:rPr>
        <w:drawing>
          <wp:inline distT="0" distB="0" distL="0" distR="0" wp14:anchorId="3A0C5681" wp14:editId="77448205">
            <wp:extent cx="5013229" cy="2987817"/>
            <wp:effectExtent l="0" t="0" r="0" b="3175"/>
            <wp:docPr id="10" name="Kép 10" descr="Z:\Áht_gyors_moni\2024_05_máj\0_feljegyzés_monitoring\ábrák\ellatasi_atlag_valtoz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ht_gyors_moni\2024_05_máj\0_feljegyzés_monitoring\ábrák\ellatasi_atlag_valtozasa.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2879" b="4821"/>
                    <a:stretch/>
                  </pic:blipFill>
                  <pic:spPr bwMode="auto">
                    <a:xfrm>
                      <a:off x="0" y="0"/>
                      <a:ext cx="5072140" cy="3022927"/>
                    </a:xfrm>
                    <a:prstGeom prst="rect">
                      <a:avLst/>
                    </a:prstGeom>
                    <a:noFill/>
                    <a:ln>
                      <a:noFill/>
                    </a:ln>
                    <a:extLst>
                      <a:ext uri="{53640926-AAD7-44D8-BBD7-CCE9431645EC}">
                        <a14:shadowObscured xmlns:a14="http://schemas.microsoft.com/office/drawing/2010/main"/>
                      </a:ext>
                    </a:extLst>
                  </pic:spPr>
                </pic:pic>
              </a:graphicData>
            </a:graphic>
          </wp:inline>
        </w:drawing>
      </w:r>
    </w:p>
    <w:p w14:paraId="2A07BBAA" w14:textId="77777777" w:rsidR="0022104D" w:rsidRDefault="639E9B9B" w:rsidP="003310E3">
      <w:pPr>
        <w:spacing w:before="240" w:after="24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Az öregségi nyugdíjban, hozzátartozói nyugellátásban részesülők jogcím szerinti megoszlásának összehasonlítását az előző évi adatokkal az alábbi ábrák mutatják.</w:t>
      </w:r>
    </w:p>
    <w:p w14:paraId="16542457" w14:textId="77777777" w:rsidR="003310E3" w:rsidRDefault="008916DB" w:rsidP="003310E3">
      <w:pPr>
        <w:spacing w:after="240"/>
        <w:jc w:val="center"/>
        <w:rPr>
          <w:rFonts w:ascii="Times New Roman" w:eastAsia="Times New Roman" w:hAnsi="Times New Roman" w:cs="Times New Roman"/>
          <w:sz w:val="26"/>
          <w:szCs w:val="26"/>
        </w:rPr>
      </w:pPr>
      <w:r>
        <w:rPr>
          <w:noProof/>
          <w:lang w:eastAsia="hu-HU"/>
        </w:rPr>
        <w:drawing>
          <wp:inline distT="0" distB="0" distL="0" distR="0" wp14:anchorId="3070C319" wp14:editId="65A31D96">
            <wp:extent cx="5939659" cy="2504408"/>
            <wp:effectExtent l="0" t="0" r="444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5369" cy="2519465"/>
                    </a:xfrm>
                    <a:prstGeom prst="rect">
                      <a:avLst/>
                    </a:prstGeom>
                  </pic:spPr>
                </pic:pic>
              </a:graphicData>
            </a:graphic>
          </wp:inline>
        </w:drawing>
      </w:r>
    </w:p>
    <w:p w14:paraId="4893D6C1" w14:textId="5972C7A5" w:rsidR="00DA4FBC" w:rsidRPr="003310E3" w:rsidRDefault="003310E3" w:rsidP="003310E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type="column"/>
      </w:r>
      <w:r w:rsidR="639E9B9B" w:rsidRPr="639E9B9B">
        <w:rPr>
          <w:rFonts w:ascii="Times New Roman" w:eastAsia="Times New Roman" w:hAnsi="Times New Roman" w:cs="Times New Roman"/>
          <w:sz w:val="26"/>
          <w:szCs w:val="26"/>
        </w:rPr>
        <w:t xml:space="preserve">Az </w:t>
      </w:r>
      <w:r w:rsidR="639E9B9B" w:rsidRPr="639E9B9B">
        <w:rPr>
          <w:rFonts w:ascii="Times New Roman" w:eastAsia="Times New Roman" w:hAnsi="Times New Roman" w:cs="Times New Roman"/>
          <w:b/>
          <w:bCs/>
          <w:sz w:val="26"/>
          <w:szCs w:val="26"/>
        </w:rPr>
        <w:t>Egészségbiztosítási Alap kiadásainak</w:t>
      </w:r>
      <w:r w:rsidR="639E9B9B" w:rsidRPr="639E9B9B">
        <w:rPr>
          <w:rFonts w:ascii="Times New Roman" w:eastAsia="Times New Roman" w:hAnsi="Times New Roman" w:cs="Times New Roman"/>
          <w:sz w:val="26"/>
          <w:szCs w:val="26"/>
        </w:rPr>
        <w:t xml:space="preserve"> összetételét a következő ábra mutatja be:</w:t>
      </w:r>
      <w:r w:rsidR="639E9B9B" w:rsidRPr="639E9B9B">
        <w:rPr>
          <w:rFonts w:ascii="Times New Roman" w:eastAsia="Times New Roman" w:hAnsi="Times New Roman" w:cs="Times New Roman"/>
          <w:b/>
          <w:bCs/>
          <w:color w:val="70AD47" w:themeColor="accent6"/>
          <w:sz w:val="26"/>
          <w:szCs w:val="26"/>
        </w:rPr>
        <w:t xml:space="preserve"> </w:t>
      </w:r>
    </w:p>
    <w:p w14:paraId="19FDF989" w14:textId="77777777" w:rsidR="00CA3468" w:rsidRDefault="008916DB" w:rsidP="00CA3468">
      <w:pPr>
        <w:keepNext/>
        <w:keepLines/>
        <w:jc w:val="both"/>
        <w:rPr>
          <w:rFonts w:ascii="Times New Roman" w:eastAsia="Times New Roman" w:hAnsi="Times New Roman" w:cs="Times New Roman"/>
          <w:sz w:val="26"/>
          <w:szCs w:val="26"/>
        </w:rPr>
      </w:pPr>
      <w:r>
        <w:rPr>
          <w:noProof/>
          <w:lang w:eastAsia="hu-HU"/>
        </w:rPr>
        <w:drawing>
          <wp:inline distT="0" distB="0" distL="0" distR="0" wp14:anchorId="67A1A588" wp14:editId="05F589A5">
            <wp:extent cx="5940425" cy="2336800"/>
            <wp:effectExtent l="0" t="0" r="3175" b="635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336800"/>
                    </a:xfrm>
                    <a:prstGeom prst="rect">
                      <a:avLst/>
                    </a:prstGeom>
                  </pic:spPr>
                </pic:pic>
              </a:graphicData>
            </a:graphic>
          </wp:inline>
        </w:drawing>
      </w:r>
      <w:r w:rsidR="639E9B9B" w:rsidRPr="639E9B9B">
        <w:rPr>
          <w:rFonts w:ascii="Times New Roman" w:eastAsia="Times New Roman" w:hAnsi="Times New Roman" w:cs="Times New Roman"/>
          <w:sz w:val="26"/>
          <w:szCs w:val="26"/>
        </w:rPr>
        <w:t xml:space="preserve">Az </w:t>
      </w:r>
      <w:r w:rsidR="639E9B9B" w:rsidRPr="639E9B9B">
        <w:rPr>
          <w:rFonts w:ascii="Times New Roman" w:eastAsia="Times New Roman" w:hAnsi="Times New Roman" w:cs="Times New Roman"/>
          <w:b/>
          <w:bCs/>
          <w:sz w:val="26"/>
          <w:szCs w:val="26"/>
        </w:rPr>
        <w:t>Egészségbiztosítási Alap</w:t>
      </w:r>
      <w:r w:rsidR="639E9B9B" w:rsidRPr="639E9B9B">
        <w:rPr>
          <w:rFonts w:ascii="Times New Roman" w:eastAsia="Times New Roman" w:hAnsi="Times New Roman" w:cs="Times New Roman"/>
          <w:sz w:val="26"/>
          <w:szCs w:val="26"/>
        </w:rPr>
        <w:t xml:space="preserve"> összes kiadásának 26,4%-át a </w:t>
      </w:r>
      <w:r w:rsidR="639E9B9B" w:rsidRPr="639E9B9B">
        <w:rPr>
          <w:rFonts w:ascii="Times New Roman" w:eastAsia="Times New Roman" w:hAnsi="Times New Roman" w:cs="Times New Roman"/>
          <w:b/>
          <w:bCs/>
          <w:sz w:val="26"/>
          <w:szCs w:val="26"/>
        </w:rPr>
        <w:t>pénzbeli ellátásokra</w:t>
      </w:r>
      <w:r w:rsidR="639E9B9B" w:rsidRPr="639E9B9B">
        <w:rPr>
          <w:rFonts w:ascii="Times New Roman" w:eastAsia="Times New Roman" w:hAnsi="Times New Roman" w:cs="Times New Roman"/>
          <w:sz w:val="26"/>
          <w:szCs w:val="26"/>
        </w:rPr>
        <w:t xml:space="preserve"> fordított összeg adta. Az ellátások részletes bemutatását a következő táblázat tartalmazza: </w:t>
      </w:r>
      <w:r w:rsidR="00CA3468">
        <w:rPr>
          <w:rFonts w:ascii="Times New Roman" w:eastAsia="Times New Roman" w:hAnsi="Times New Roman" w:cs="Times New Roman"/>
          <w:sz w:val="26"/>
          <w:szCs w:val="26"/>
        </w:rPr>
        <w:t> </w:t>
      </w:r>
    </w:p>
    <w:p w14:paraId="1D31F2C8" w14:textId="3F5AAC59" w:rsidR="00DA4FBC" w:rsidRPr="00CA3468" w:rsidRDefault="639E9B9B" w:rsidP="00CA3468">
      <w:pPr>
        <w:spacing w:after="240"/>
        <w:jc w:val="center"/>
        <w:rPr>
          <w:rFonts w:ascii="Times New Roman" w:eastAsia="Times New Roman" w:hAnsi="Times New Roman" w:cs="Times New Roman"/>
          <w:b/>
          <w:sz w:val="26"/>
          <w:szCs w:val="26"/>
        </w:rPr>
      </w:pPr>
      <w:r w:rsidRPr="00CA3468">
        <w:rPr>
          <w:rFonts w:ascii="Times New Roman" w:eastAsia="Times New Roman" w:hAnsi="Times New Roman" w:cs="Times New Roman"/>
          <w:b/>
          <w:sz w:val="26"/>
          <w:szCs w:val="26"/>
        </w:rPr>
        <w:t>Az Egészségbiztosítási Alap pénzbeli ellátásokra fordított kiadásainak alakulása (milliárd forint)</w:t>
      </w:r>
    </w:p>
    <w:tbl>
      <w:tblPr>
        <w:tblpPr w:leftFromText="141" w:rightFromText="141" w:vertAnchor="text" w:tblpXSpec="center" w:tblpY="1"/>
        <w:tblOverlap w:val="never"/>
        <w:tblW w:w="8718" w:type="dxa"/>
        <w:tblLayout w:type="fixed"/>
        <w:tblCellMar>
          <w:left w:w="70" w:type="dxa"/>
          <w:right w:w="70" w:type="dxa"/>
        </w:tblCellMar>
        <w:tblLook w:val="04A0" w:firstRow="1" w:lastRow="0" w:firstColumn="1" w:lastColumn="0" w:noHBand="0" w:noVBand="1"/>
      </w:tblPr>
      <w:tblGrid>
        <w:gridCol w:w="4179"/>
        <w:gridCol w:w="1134"/>
        <w:gridCol w:w="1420"/>
        <w:gridCol w:w="992"/>
        <w:gridCol w:w="993"/>
      </w:tblGrid>
      <w:tr w:rsidR="00DA4FBC" w:rsidRPr="00377D59" w14:paraId="36D9FAA7" w14:textId="77777777" w:rsidTr="639E9B9B">
        <w:trPr>
          <w:trHeight w:val="340"/>
        </w:trPr>
        <w:tc>
          <w:tcPr>
            <w:tcW w:w="4179" w:type="dxa"/>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noWrap/>
            <w:vAlign w:val="center"/>
            <w:hideMark/>
          </w:tcPr>
          <w:p w14:paraId="203BAA11" w14:textId="77777777" w:rsidR="00DA4FBC" w:rsidRPr="00377D59" w:rsidRDefault="639E9B9B" w:rsidP="639E9B9B">
            <w:pPr>
              <w:keepNext/>
              <w:keepLines/>
              <w:spacing w:after="0" w:line="240" w:lineRule="auto"/>
              <w:jc w:val="center"/>
              <w:rPr>
                <w:rFonts w:ascii="Times New Roman" w:eastAsia="Times New Roman" w:hAnsi="Times New Roman" w:cs="Times New Roman"/>
                <w:b/>
                <w:bCs/>
              </w:rPr>
            </w:pPr>
            <w:r w:rsidRPr="639E9B9B">
              <w:rPr>
                <w:rFonts w:ascii="Times New Roman" w:eastAsia="Times New Roman" w:hAnsi="Times New Roman" w:cs="Times New Roman"/>
                <w:b/>
                <w:bCs/>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F805A0" w14:textId="77777777" w:rsidR="00DA4FBC" w:rsidRPr="00377D59" w:rsidRDefault="639E9B9B" w:rsidP="639E9B9B">
            <w:pPr>
              <w:keepNext/>
              <w:keepLines/>
              <w:spacing w:after="0" w:line="240" w:lineRule="auto"/>
              <w:jc w:val="center"/>
              <w:rPr>
                <w:rFonts w:ascii="Times New Roman" w:eastAsia="Times New Roman" w:hAnsi="Times New Roman" w:cs="Times New Roman"/>
                <w:b/>
                <w:bCs/>
              </w:rPr>
            </w:pPr>
            <w:r w:rsidRPr="639E9B9B">
              <w:rPr>
                <w:rFonts w:ascii="Times New Roman" w:eastAsia="Times New Roman" w:hAnsi="Times New Roman" w:cs="Times New Roman"/>
                <w:b/>
                <w:bCs/>
              </w:rPr>
              <w:t xml:space="preserve">2023. </w:t>
            </w:r>
          </w:p>
          <w:p w14:paraId="64FC8E7C" w14:textId="6B7A46C7" w:rsidR="00DA4FBC" w:rsidRPr="00377D59" w:rsidRDefault="639E9B9B" w:rsidP="639E9B9B">
            <w:pPr>
              <w:keepNext/>
              <w:keepLines/>
              <w:spacing w:after="0" w:line="240" w:lineRule="auto"/>
              <w:jc w:val="center"/>
              <w:rPr>
                <w:rFonts w:ascii="Times New Roman" w:eastAsia="Times New Roman" w:hAnsi="Times New Roman" w:cs="Times New Roman"/>
                <w:b/>
                <w:bCs/>
              </w:rPr>
            </w:pPr>
            <w:r w:rsidRPr="639E9B9B">
              <w:rPr>
                <w:rFonts w:ascii="Times New Roman" w:eastAsia="Times New Roman" w:hAnsi="Times New Roman" w:cs="Times New Roman"/>
                <w:b/>
                <w:bCs/>
              </w:rPr>
              <w:t>I-V. hó</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F31033" w14:textId="77777777" w:rsidR="00DA4FBC" w:rsidRPr="00377D59" w:rsidRDefault="639E9B9B" w:rsidP="639E9B9B">
            <w:pPr>
              <w:keepNext/>
              <w:keepLines/>
              <w:spacing w:after="0" w:line="240" w:lineRule="auto"/>
              <w:jc w:val="center"/>
              <w:rPr>
                <w:rFonts w:ascii="Times New Roman" w:eastAsia="Times New Roman" w:hAnsi="Times New Roman" w:cs="Times New Roman"/>
                <w:b/>
                <w:bCs/>
              </w:rPr>
            </w:pPr>
            <w:r w:rsidRPr="639E9B9B">
              <w:rPr>
                <w:rFonts w:ascii="Times New Roman" w:eastAsia="Times New Roman" w:hAnsi="Times New Roman" w:cs="Times New Roman"/>
                <w:b/>
                <w:bCs/>
              </w:rPr>
              <w:t xml:space="preserve">2024. </w:t>
            </w:r>
          </w:p>
          <w:p w14:paraId="52C1569C" w14:textId="3AB3DF23" w:rsidR="00DA4FBC" w:rsidRPr="00377D59" w:rsidRDefault="639E9B9B" w:rsidP="639E9B9B">
            <w:pPr>
              <w:keepNext/>
              <w:keepLines/>
              <w:spacing w:after="0" w:line="240" w:lineRule="auto"/>
              <w:jc w:val="center"/>
              <w:rPr>
                <w:rFonts w:ascii="Times New Roman" w:eastAsia="Times New Roman" w:hAnsi="Times New Roman" w:cs="Times New Roman"/>
                <w:b/>
                <w:bCs/>
              </w:rPr>
            </w:pPr>
            <w:r w:rsidRPr="639E9B9B">
              <w:rPr>
                <w:rFonts w:ascii="Times New Roman" w:eastAsia="Times New Roman" w:hAnsi="Times New Roman" w:cs="Times New Roman"/>
                <w:b/>
                <w:bCs/>
              </w:rPr>
              <w:t>I-V. hó</w:t>
            </w:r>
          </w:p>
        </w:tc>
        <w:tc>
          <w:tcPr>
            <w:tcW w:w="1985"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E246F98" w14:textId="77777777" w:rsidR="00DA4FBC" w:rsidRPr="00377D59" w:rsidRDefault="639E9B9B" w:rsidP="639E9B9B">
            <w:pPr>
              <w:keepNext/>
              <w:keepLines/>
              <w:spacing w:after="0" w:line="240" w:lineRule="auto"/>
              <w:jc w:val="center"/>
              <w:rPr>
                <w:rFonts w:ascii="Times New Roman" w:eastAsia="Times New Roman" w:hAnsi="Times New Roman" w:cs="Times New Roman"/>
                <w:b/>
                <w:bCs/>
              </w:rPr>
            </w:pPr>
            <w:r w:rsidRPr="639E9B9B">
              <w:rPr>
                <w:rFonts w:ascii="Times New Roman" w:eastAsia="Times New Roman" w:hAnsi="Times New Roman" w:cs="Times New Roman"/>
                <w:b/>
                <w:bCs/>
              </w:rPr>
              <w:t>Eltérés</w:t>
            </w:r>
          </w:p>
        </w:tc>
      </w:tr>
      <w:tr w:rsidR="00DA4FBC" w:rsidRPr="00377D59" w14:paraId="2C551B4E" w14:textId="77777777" w:rsidTr="639E9B9B">
        <w:trPr>
          <w:trHeight w:val="340"/>
        </w:trPr>
        <w:tc>
          <w:tcPr>
            <w:tcW w:w="4179"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6371A9BD" w14:textId="77777777" w:rsidR="00DA4FBC" w:rsidRPr="00377D59" w:rsidRDefault="00DA4FBC" w:rsidP="00B60534">
            <w:pPr>
              <w:keepNext/>
              <w:keepLines/>
              <w:spacing w:after="0" w:line="240" w:lineRule="auto"/>
              <w:rPr>
                <w:rFonts w:ascii="Times New Roman" w:eastAsia="Times New Roman" w:hAnsi="Times New Roman" w:cs="Times New Roman"/>
                <w:b/>
                <w:bCs/>
                <w:lang w:eastAsia="hu-HU"/>
              </w:rPr>
            </w:pPr>
          </w:p>
        </w:tc>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9A608" w14:textId="77777777" w:rsidR="00DA4FBC" w:rsidRPr="00377D59" w:rsidRDefault="00DA4FBC" w:rsidP="00B60534">
            <w:pPr>
              <w:keepNext/>
              <w:keepLines/>
              <w:spacing w:after="0" w:line="240" w:lineRule="auto"/>
              <w:jc w:val="center"/>
              <w:rPr>
                <w:rFonts w:ascii="Times New Roman" w:eastAsia="Times New Roman" w:hAnsi="Times New Roman" w:cs="Times New Roman"/>
                <w:b/>
                <w:bCs/>
                <w:lang w:eastAsia="hu-HU"/>
              </w:rPr>
            </w:pPr>
          </w:p>
        </w:tc>
        <w:tc>
          <w:tcPr>
            <w:tcW w:w="142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B349BD" w14:textId="77777777" w:rsidR="00DA4FBC" w:rsidRPr="00377D59" w:rsidRDefault="00DA4FBC" w:rsidP="00B60534">
            <w:pPr>
              <w:keepNext/>
              <w:keepLines/>
              <w:spacing w:after="0" w:line="240" w:lineRule="auto"/>
              <w:jc w:val="center"/>
              <w:rPr>
                <w:rFonts w:ascii="Times New Roman" w:eastAsia="Times New Roman" w:hAnsi="Times New Roman" w:cs="Times New Roman"/>
                <w:b/>
                <w:bCs/>
                <w:lang w:eastAsia="hu-HU"/>
              </w:rPr>
            </w:pPr>
          </w:p>
        </w:tc>
        <w:tc>
          <w:tcPr>
            <w:tcW w:w="99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220A06A" w14:textId="77777777" w:rsidR="00DA4FBC" w:rsidRPr="00377D59" w:rsidRDefault="639E9B9B" w:rsidP="639E9B9B">
            <w:pPr>
              <w:keepNext/>
              <w:keepLines/>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Mrd Ft</w:t>
            </w: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8B6EAA8" w14:textId="77777777" w:rsidR="00DA4FBC" w:rsidRPr="00377D59" w:rsidRDefault="639E9B9B" w:rsidP="639E9B9B">
            <w:pPr>
              <w:keepNext/>
              <w:keepLines/>
              <w:spacing w:after="0" w:line="240" w:lineRule="auto"/>
              <w:jc w:val="center"/>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w:t>
            </w:r>
          </w:p>
        </w:tc>
      </w:tr>
      <w:tr w:rsidR="00DA4FBC" w:rsidRPr="00377D59" w14:paraId="2D21BC05" w14:textId="77777777" w:rsidTr="639E9B9B">
        <w:trPr>
          <w:trHeight w:val="340"/>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580544DE" w14:textId="77777777" w:rsidR="00DA4FBC" w:rsidRPr="00377D59" w:rsidRDefault="639E9B9B" w:rsidP="639E9B9B">
            <w:pPr>
              <w:keepNext/>
              <w:keepLines/>
              <w:spacing w:after="0" w:line="240" w:lineRule="auto"/>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Pénzbeli ellátások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FE811" w14:textId="71B221B5" w:rsidR="00DA4FBC" w:rsidRPr="00377D59" w:rsidRDefault="639E9B9B" w:rsidP="639E9B9B">
            <w:pPr>
              <w:keepNext/>
              <w:keepLines/>
              <w:spacing w:after="0"/>
              <w:jc w:val="right"/>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445,9</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E6B1D7" w14:textId="48097F33" w:rsidR="00DA4FBC" w:rsidRPr="00377D59" w:rsidRDefault="639E9B9B" w:rsidP="639E9B9B">
            <w:pPr>
              <w:keepNext/>
              <w:keepLines/>
              <w:spacing w:after="0"/>
              <w:jc w:val="right"/>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491,8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413A87" w14:textId="2E03171C" w:rsidR="00DA4FBC" w:rsidRPr="00377D59" w:rsidRDefault="639E9B9B" w:rsidP="639E9B9B">
            <w:pPr>
              <w:keepNext/>
              <w:keepLines/>
              <w:spacing w:after="0"/>
              <w:jc w:val="right"/>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45,9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36F3A71" w14:textId="18A0C2AE" w:rsidR="00DA4FBC" w:rsidRPr="00377D59" w:rsidRDefault="639E9B9B" w:rsidP="639E9B9B">
            <w:pPr>
              <w:keepNext/>
              <w:keepLines/>
              <w:spacing w:after="0"/>
              <w:jc w:val="right"/>
              <w:rPr>
                <w:rFonts w:ascii="Times New Roman" w:eastAsia="Times New Roman" w:hAnsi="Times New Roman" w:cs="Times New Roman"/>
                <w:b/>
                <w:bCs/>
                <w:lang w:eastAsia="hu-HU"/>
              </w:rPr>
            </w:pPr>
            <w:r w:rsidRPr="639E9B9B">
              <w:rPr>
                <w:rFonts w:ascii="Times New Roman" w:eastAsia="Times New Roman" w:hAnsi="Times New Roman" w:cs="Times New Roman"/>
                <w:b/>
                <w:bCs/>
                <w:lang w:eastAsia="hu-HU"/>
              </w:rPr>
              <w:t>110,3</w:t>
            </w:r>
          </w:p>
        </w:tc>
      </w:tr>
      <w:tr w:rsidR="00DA4FBC" w:rsidRPr="00377D59" w14:paraId="75F38E83" w14:textId="77777777" w:rsidTr="639E9B9B">
        <w:trPr>
          <w:trHeight w:val="284"/>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0236E3C9" w14:textId="77777777" w:rsidR="00DA4FBC" w:rsidRPr="00377D59" w:rsidRDefault="639E9B9B" w:rsidP="639E9B9B">
            <w:pPr>
              <w:keepNext/>
              <w:keepLines/>
              <w:spacing w:after="0" w:line="240" w:lineRule="auto"/>
              <w:ind w:firstLine="285"/>
              <w:rPr>
                <w:rFonts w:ascii="Times New Roman" w:eastAsia="Times New Roman" w:hAnsi="Times New Roman" w:cs="Times New Roman"/>
                <w:i/>
                <w:iCs/>
                <w:lang w:eastAsia="hu-HU"/>
              </w:rPr>
            </w:pPr>
            <w:r w:rsidRPr="639E9B9B">
              <w:rPr>
                <w:rFonts w:ascii="Times New Roman" w:eastAsia="Times New Roman" w:hAnsi="Times New Roman" w:cs="Times New Roman"/>
                <w:i/>
                <w:iCs/>
                <w:lang w:eastAsia="hu-HU"/>
              </w:rPr>
              <w:t>Ebből:</w:t>
            </w:r>
          </w:p>
        </w:tc>
        <w:tc>
          <w:tcPr>
            <w:tcW w:w="4539" w:type="dxa"/>
            <w:gridSpan w:val="4"/>
            <w:tcBorders>
              <w:top w:val="single" w:sz="4" w:space="0" w:color="auto"/>
              <w:left w:val="nil"/>
              <w:bottom w:val="single" w:sz="4" w:space="0" w:color="auto"/>
              <w:right w:val="single" w:sz="4" w:space="0" w:color="auto"/>
            </w:tcBorders>
            <w:shd w:val="clear" w:color="auto" w:fill="auto"/>
            <w:vAlign w:val="center"/>
          </w:tcPr>
          <w:p w14:paraId="0ECD52F1" w14:textId="77777777" w:rsidR="00DA4FBC" w:rsidRPr="00377D59" w:rsidRDefault="00DA4FBC" w:rsidP="00B60534">
            <w:pPr>
              <w:keepNext/>
              <w:keepLines/>
              <w:spacing w:after="0" w:line="240" w:lineRule="auto"/>
              <w:jc w:val="right"/>
              <w:rPr>
                <w:rFonts w:ascii="Times New Roman" w:eastAsia="Times New Roman" w:hAnsi="Times New Roman" w:cs="Times New Roman"/>
                <w:lang w:eastAsia="hu-HU"/>
              </w:rPr>
            </w:pPr>
          </w:p>
        </w:tc>
      </w:tr>
      <w:tr w:rsidR="00DA4FBC" w:rsidRPr="00377D59" w14:paraId="52906D26" w14:textId="77777777" w:rsidTr="639E9B9B">
        <w:trPr>
          <w:trHeight w:val="340"/>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1BAF39D1" w14:textId="77777777" w:rsidR="00DA4FBC" w:rsidRPr="00377D59" w:rsidRDefault="639E9B9B" w:rsidP="639E9B9B">
            <w:pPr>
              <w:keepNext/>
              <w:keepLines/>
              <w:spacing w:after="0" w:line="240" w:lineRule="auto"/>
              <w:ind w:firstLineChars="284" w:firstLine="625"/>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Rokkantsági, rehabilitációs ellátások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49D514" w14:textId="6D792E80"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171,4</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780250D" w14:textId="0BDF8752"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183,8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1A33D1" w14:textId="6AA6CC4E"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12,4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A42DFCC" w14:textId="0A8CBBD7"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107,2</w:t>
            </w:r>
          </w:p>
        </w:tc>
      </w:tr>
      <w:tr w:rsidR="00DA4FBC" w:rsidRPr="00377D59" w14:paraId="54604A45" w14:textId="77777777" w:rsidTr="639E9B9B">
        <w:trPr>
          <w:trHeight w:val="340"/>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09B8350F" w14:textId="77777777" w:rsidR="00DA4FBC" w:rsidRPr="00377D59" w:rsidRDefault="639E9B9B" w:rsidP="639E9B9B">
            <w:pPr>
              <w:keepNext/>
              <w:keepLines/>
              <w:spacing w:after="0" w:line="240" w:lineRule="auto"/>
              <w:ind w:firstLineChars="284" w:firstLine="625"/>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Gyermekgondozási díj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D8234A" w14:textId="68C68CFA"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131,5</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0CEB97B" w14:textId="2DB309AD"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154,4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AE773B" w14:textId="6FB14C74"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22,9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20DA37" w14:textId="69C0A211"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117,4</w:t>
            </w:r>
          </w:p>
        </w:tc>
      </w:tr>
      <w:tr w:rsidR="00DA4FBC" w:rsidRPr="00377D59" w14:paraId="165B1256" w14:textId="77777777" w:rsidTr="639E9B9B">
        <w:trPr>
          <w:trHeight w:val="340"/>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0E30" w14:textId="77777777" w:rsidR="00DA4FBC" w:rsidRPr="00377D59" w:rsidRDefault="639E9B9B" w:rsidP="639E9B9B">
            <w:pPr>
              <w:keepNext/>
              <w:keepLines/>
              <w:spacing w:after="0" w:line="240" w:lineRule="auto"/>
              <w:ind w:firstLineChars="284" w:firstLine="625"/>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430819" w14:textId="53CB1E67"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75,7</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99A9DEA" w14:textId="14458BAA"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83,6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A91D82" w14:textId="1A000944"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7,9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DDD5AC" w14:textId="74572A0D" w:rsidR="00DA4FBC" w:rsidRPr="00377D59" w:rsidRDefault="639E9B9B" w:rsidP="639E9B9B">
            <w:pPr>
              <w:keepNext/>
              <w:keepLines/>
              <w:spacing w:after="0"/>
              <w:jc w:val="right"/>
              <w:rPr>
                <w:rFonts w:ascii="Times New Roman" w:eastAsia="Times New Roman" w:hAnsi="Times New Roman" w:cs="Times New Roman"/>
                <w:lang w:eastAsia="hu-HU"/>
              </w:rPr>
            </w:pPr>
            <w:r w:rsidRPr="639E9B9B">
              <w:rPr>
                <w:rFonts w:ascii="Times New Roman" w:eastAsia="Times New Roman" w:hAnsi="Times New Roman" w:cs="Times New Roman"/>
                <w:lang w:eastAsia="hu-HU"/>
              </w:rPr>
              <w:t>110,4</w:t>
            </w:r>
          </w:p>
        </w:tc>
      </w:tr>
    </w:tbl>
    <w:p w14:paraId="01C71C99" w14:textId="19B3FDC5" w:rsidR="00CA3468" w:rsidRDefault="639E9B9B" w:rsidP="639E9B9B">
      <w:pPr>
        <w:keepNext/>
        <w:keepLines/>
        <w:spacing w:before="160" w:after="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 xml:space="preserve">A </w:t>
      </w:r>
      <w:r w:rsidRPr="639E9B9B">
        <w:rPr>
          <w:rFonts w:ascii="Times New Roman" w:eastAsia="Times New Roman" w:hAnsi="Times New Roman" w:cs="Times New Roman"/>
          <w:b/>
          <w:bCs/>
          <w:sz w:val="26"/>
          <w:szCs w:val="26"/>
        </w:rPr>
        <w:t>gyógyító-megelőző ellátásokra</w:t>
      </w:r>
      <w:r w:rsidRPr="639E9B9B">
        <w:rPr>
          <w:rFonts w:ascii="Times New Roman" w:eastAsia="Times New Roman" w:hAnsi="Times New Roman" w:cs="Times New Roman"/>
          <w:sz w:val="26"/>
          <w:szCs w:val="26"/>
        </w:rPr>
        <w:t xml:space="preserve"> fordított kiadás 2024 első öt hónapjában 1</w:t>
      </w:r>
      <w:r w:rsidR="00382EE1">
        <w:rPr>
          <w:rFonts w:ascii="Times New Roman" w:eastAsia="Times New Roman" w:hAnsi="Times New Roman" w:cs="Times New Roman"/>
          <w:sz w:val="26"/>
          <w:szCs w:val="26"/>
        </w:rPr>
        <w:t> </w:t>
      </w:r>
      <w:r w:rsidRPr="639E9B9B">
        <w:rPr>
          <w:rFonts w:ascii="Times New Roman" w:eastAsia="Times New Roman" w:hAnsi="Times New Roman" w:cs="Times New Roman"/>
          <w:sz w:val="26"/>
          <w:szCs w:val="26"/>
        </w:rPr>
        <w:t xml:space="preserve">090,8 milliárd forintot tett ki a 2023 azonos időszakában felmerülő 933,0 milliárd forint összegű kiadással szemben. Az előző évhez viszonyított magasabb összegű kiadás elsődlegesen a 2023. januártól harmadik ütemben tovább folytatott, az állami és önkormányzati fekvő- és járóbeteg-ellátásban dolgozó orvosok béremelésével, valamint a háziorvosok, fogorvosok bértámogatásával, és az egészségügyi szakdolgozók és egészségügyben dolgozók 2023. július 1-jével megkezdődő béremelésével kapcsolatosan jelentkezik. </w:t>
      </w:r>
    </w:p>
    <w:p w14:paraId="6C6741EC" w14:textId="09B98C32" w:rsidR="00377D59" w:rsidRPr="00CA3468" w:rsidRDefault="639E9B9B" w:rsidP="639E9B9B">
      <w:pPr>
        <w:keepNext/>
        <w:keepLines/>
        <w:spacing w:before="160" w:after="0"/>
        <w:jc w:val="both"/>
        <w:rPr>
          <w:rFonts w:ascii="Times New Roman" w:eastAsia="Times New Roman" w:hAnsi="Times New Roman" w:cs="Times New Roman"/>
          <w:sz w:val="26"/>
          <w:szCs w:val="26"/>
        </w:rPr>
      </w:pPr>
      <w:r w:rsidRPr="639E9B9B">
        <w:rPr>
          <w:rFonts w:ascii="Times New Roman" w:eastAsia="Times New Roman" w:hAnsi="Times New Roman" w:cs="Times New Roman"/>
          <w:sz w:val="26"/>
          <w:szCs w:val="26"/>
        </w:rPr>
        <w:t>További kiadás-növelő tényezőt jelent még az, hogy a járóbeteg- és fekvőbeteg-szakellátást nyújtó közfinanszírozott szolgáltatók gazdálkodását segítő intézkedésekről szóló 83/2024. (IV. 17.) Korm. rendelet alapján az említett ellátásokat nyújtó állami, önkormányzati, egyházi tulajdonban álló egészségügyi szolgáltatók, továbbá az orvostudományi egyetemek klinikai központjai a lejárt tartozásállományuk alapján 63,4 milliárd forint összegű működési támogatásban részesültek 2024. április végéig.</w:t>
      </w:r>
    </w:p>
    <w:p w14:paraId="46CD10E1" w14:textId="3D13AAFC" w:rsidR="00377D59" w:rsidRPr="00377D59" w:rsidRDefault="639E9B9B" w:rsidP="639E9B9B">
      <w:pPr>
        <w:keepNext/>
        <w:keepLines/>
        <w:spacing w:before="160" w:after="0"/>
        <w:jc w:val="both"/>
        <w:rPr>
          <w:rFonts w:ascii="Times New Roman" w:hAnsi="Times New Roman" w:cs="Times New Roman"/>
        </w:rPr>
      </w:pPr>
      <w:r w:rsidRPr="639E9B9B">
        <w:rPr>
          <w:rFonts w:ascii="Times New Roman" w:eastAsia="Times New Roman" w:hAnsi="Times New Roman" w:cs="Times New Roman"/>
          <w:b/>
          <w:bCs/>
          <w:sz w:val="26"/>
          <w:szCs w:val="26"/>
        </w:rPr>
        <w:t>Gyógyszertámogatásra</w:t>
      </w:r>
      <w:r w:rsidRPr="639E9B9B">
        <w:rPr>
          <w:rFonts w:ascii="Times New Roman" w:eastAsia="Times New Roman" w:hAnsi="Times New Roman" w:cs="Times New Roman"/>
          <w:sz w:val="26"/>
          <w:szCs w:val="26"/>
        </w:rPr>
        <w:t xml:space="preserve"> 2024 első öt hónapjában 222,6 milliárd forint került kifizetésre, amely 24,8 milliárd forinttal több az előző évben kifizetett összegnél.</w:t>
      </w:r>
    </w:p>
    <w:p w14:paraId="7B768C24" w14:textId="77777777" w:rsidR="00B155FE" w:rsidRPr="00377D59" w:rsidRDefault="639E9B9B" w:rsidP="639E9B9B">
      <w:pPr>
        <w:keepNext/>
        <w:pageBreakBefore/>
        <w:numPr>
          <w:ilvl w:val="0"/>
          <w:numId w:val="3"/>
        </w:numPr>
        <w:spacing w:after="120" w:line="240" w:lineRule="auto"/>
        <w:ind w:left="714" w:hanging="357"/>
        <w:jc w:val="both"/>
        <w:outlineLvl w:val="2"/>
        <w:rPr>
          <w:rFonts w:ascii="Times New Roman" w:eastAsia="Times New Roman" w:hAnsi="Times New Roman" w:cs="Times New Roman"/>
          <w:b/>
          <w:bCs/>
          <w:smallCaps/>
          <w:sz w:val="28"/>
          <w:szCs w:val="28"/>
          <w:lang w:eastAsia="hu-HU"/>
        </w:rPr>
      </w:pPr>
      <w:r w:rsidRPr="639E9B9B">
        <w:rPr>
          <w:rFonts w:ascii="Times New Roman" w:eastAsia="Times New Roman" w:hAnsi="Times New Roman" w:cs="Times New Roman"/>
          <w:b/>
          <w:bCs/>
          <w:smallCaps/>
          <w:sz w:val="28"/>
          <w:szCs w:val="28"/>
          <w:lang w:eastAsia="hu-HU"/>
        </w:rPr>
        <w:t xml:space="preserve">A költségvetési szervek és fejezeti kezelésű előirányzatok alakulása </w:t>
      </w:r>
    </w:p>
    <w:p w14:paraId="33892978" w14:textId="291B317B" w:rsidR="00B63DA3" w:rsidRPr="003D5132" w:rsidRDefault="639E9B9B" w:rsidP="639E9B9B">
      <w:pPr>
        <w:spacing w:before="160" w:after="0"/>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 xml:space="preserve">A </w:t>
      </w:r>
      <w:r w:rsidRPr="639E9B9B">
        <w:rPr>
          <w:rFonts w:ascii="Times New Roman" w:eastAsia="Times New Roman" w:hAnsi="Times New Roman" w:cs="Times New Roman"/>
          <w:b/>
          <w:bCs/>
          <w:sz w:val="26"/>
          <w:szCs w:val="26"/>
          <w:lang w:eastAsia="hu-HU"/>
        </w:rPr>
        <w:t>költségvetési szervek bevételei</w:t>
      </w:r>
      <w:r w:rsidRPr="639E9B9B">
        <w:rPr>
          <w:rFonts w:ascii="Times New Roman" w:eastAsia="Times New Roman" w:hAnsi="Times New Roman" w:cs="Times New Roman"/>
          <w:sz w:val="26"/>
          <w:szCs w:val="26"/>
          <w:lang w:eastAsia="hu-HU"/>
        </w:rPr>
        <w:t xml:space="preserve"> 2024 első öt hónapjában 1</w:t>
      </w:r>
      <w:r w:rsidR="00382EE1">
        <w:rPr>
          <w:rFonts w:ascii="Times New Roman" w:eastAsia="Times New Roman" w:hAnsi="Times New Roman" w:cs="Times New Roman"/>
          <w:sz w:val="26"/>
          <w:szCs w:val="26"/>
          <w:lang w:eastAsia="hu-HU"/>
        </w:rPr>
        <w:t> </w:t>
      </w:r>
      <w:r w:rsidRPr="639E9B9B">
        <w:rPr>
          <w:rFonts w:ascii="Times New Roman" w:eastAsia="Times New Roman" w:hAnsi="Times New Roman" w:cs="Times New Roman"/>
          <w:sz w:val="26"/>
          <w:szCs w:val="26"/>
          <w:lang w:eastAsia="hu-HU"/>
        </w:rPr>
        <w:t>228,6 milliárd forintot tettek ki, amely 44,6%-kal magasabb az előző év azonos időszakának bevételeihez képest. Az intézmények bevételei közül 595,0 milliárd forintot tett ki a Nemzeti Egészségbiztosítási Alapkezelő által az egészségügyi intézményeknek utalt támogatás.</w:t>
      </w:r>
    </w:p>
    <w:p w14:paraId="3008A395" w14:textId="23E2EF43" w:rsidR="00B63DA3" w:rsidRPr="003D5132" w:rsidRDefault="639E9B9B" w:rsidP="639E9B9B">
      <w:pPr>
        <w:spacing w:before="160" w:after="0"/>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 xml:space="preserve">A </w:t>
      </w:r>
      <w:r w:rsidRPr="639E9B9B">
        <w:rPr>
          <w:rFonts w:ascii="Times New Roman" w:eastAsia="Times New Roman" w:hAnsi="Times New Roman" w:cs="Times New Roman"/>
          <w:b/>
          <w:bCs/>
          <w:sz w:val="26"/>
          <w:szCs w:val="26"/>
          <w:lang w:eastAsia="hu-HU"/>
        </w:rPr>
        <w:t>szakmai fejezeti kezelésű előirányzatok bevételei</w:t>
      </w:r>
      <w:r w:rsidRPr="639E9B9B">
        <w:rPr>
          <w:rFonts w:ascii="Times New Roman" w:eastAsia="Times New Roman" w:hAnsi="Times New Roman" w:cs="Times New Roman"/>
          <w:sz w:val="26"/>
          <w:szCs w:val="26"/>
          <w:lang w:eastAsia="hu-HU"/>
        </w:rPr>
        <w:t xml:space="preserve"> 2024 első öt hónapjában 137,0 milliárd forintot tettek ki, mely 210,0 milliárd forinttal alacsonyabb az előző év azonos időszakának bevételéhez képest. A bevételek jelentős részét az „Alapok alapja GINOP pénzügyi eszközök” törvényi sorra befolyt összeg teszi ki, mely nem uniós bevételként jóváírt tétel.</w:t>
      </w:r>
    </w:p>
    <w:p w14:paraId="56786471" w14:textId="1345F708" w:rsidR="00B63DA3" w:rsidRPr="00F90893" w:rsidRDefault="639E9B9B" w:rsidP="639E9B9B">
      <w:pPr>
        <w:spacing w:before="160" w:after="0"/>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 xml:space="preserve">A </w:t>
      </w:r>
      <w:r w:rsidRPr="639E9B9B">
        <w:rPr>
          <w:rFonts w:ascii="Times New Roman" w:hAnsi="Times New Roman" w:cs="Times New Roman"/>
          <w:sz w:val="26"/>
          <w:szCs w:val="26"/>
          <w:lang w:eastAsia="hu-HU"/>
        </w:rPr>
        <w:t>2024. év első öthavi, 1</w:t>
      </w:r>
      <w:r w:rsidR="00382EE1">
        <w:rPr>
          <w:rFonts w:ascii="Times New Roman" w:hAnsi="Times New Roman" w:cs="Times New Roman"/>
          <w:sz w:val="26"/>
          <w:szCs w:val="26"/>
          <w:lang w:eastAsia="hu-HU"/>
        </w:rPr>
        <w:t> </w:t>
      </w:r>
      <w:r w:rsidRPr="639E9B9B">
        <w:rPr>
          <w:rFonts w:ascii="Times New Roman" w:hAnsi="Times New Roman" w:cs="Times New Roman"/>
          <w:sz w:val="26"/>
          <w:szCs w:val="26"/>
          <w:lang w:eastAsia="hu-HU"/>
        </w:rPr>
        <w:t>365,6 milliárd forint összegű bevételek megoszlását a következő grafikon szemlélteti</w:t>
      </w:r>
      <w:r w:rsidRPr="639E9B9B">
        <w:rPr>
          <w:rFonts w:ascii="Times New Roman" w:eastAsia="Times New Roman" w:hAnsi="Times New Roman" w:cs="Times New Roman"/>
          <w:sz w:val="26"/>
          <w:szCs w:val="26"/>
          <w:lang w:eastAsia="hu-HU"/>
        </w:rPr>
        <w:t>:</w:t>
      </w:r>
    </w:p>
    <w:p w14:paraId="576D18BB" w14:textId="5827AF8A" w:rsidR="00B056CC" w:rsidRPr="00377D59" w:rsidRDefault="00C261DC" w:rsidP="00C2238F">
      <w:pPr>
        <w:spacing w:before="240" w:after="120"/>
        <w:jc w:val="center"/>
        <w:rPr>
          <w:rFonts w:ascii="Times New Roman" w:eastAsia="Times New Roman" w:hAnsi="Times New Roman" w:cs="Times New Roman"/>
          <w:b/>
          <w:sz w:val="26"/>
          <w:szCs w:val="26"/>
        </w:rPr>
      </w:pPr>
      <w:r w:rsidRPr="00C261DC">
        <w:rPr>
          <w:rFonts w:ascii="Times New Roman" w:eastAsia="Times New Roman" w:hAnsi="Times New Roman" w:cs="Times New Roman"/>
          <w:b/>
          <w:noProof/>
          <w:sz w:val="26"/>
          <w:szCs w:val="26"/>
          <w:lang w:eastAsia="hu-HU"/>
        </w:rPr>
        <w:drawing>
          <wp:inline distT="0" distB="0" distL="0" distR="0" wp14:anchorId="3737888A" wp14:editId="5430AB05">
            <wp:extent cx="5892382" cy="3273398"/>
            <wp:effectExtent l="0" t="0" r="0" b="3810"/>
            <wp:docPr id="15" name="Kép 15" descr="Z:\Áht_gyors_moni\2024_05_máj\0_feljegyzés_monitoring\ábrák\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Áht_gyors_moni\2024_05_máj\0_feljegyzés_monitoring\ábrák\szervek_fejkezek_bevétele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1961" cy="3289830"/>
                    </a:xfrm>
                    <a:prstGeom prst="rect">
                      <a:avLst/>
                    </a:prstGeom>
                    <a:noFill/>
                    <a:ln>
                      <a:noFill/>
                    </a:ln>
                  </pic:spPr>
                </pic:pic>
              </a:graphicData>
            </a:graphic>
          </wp:inline>
        </w:drawing>
      </w:r>
    </w:p>
    <w:p w14:paraId="26E52363" w14:textId="3E7AD4D7" w:rsidR="00B63DA3" w:rsidRPr="00C261DC"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 xml:space="preserve">A </w:t>
      </w:r>
      <w:r w:rsidRPr="639E9B9B">
        <w:rPr>
          <w:rFonts w:ascii="Times New Roman" w:eastAsia="Times New Roman" w:hAnsi="Times New Roman" w:cs="Times New Roman"/>
          <w:b/>
          <w:bCs/>
          <w:sz w:val="26"/>
          <w:szCs w:val="26"/>
          <w:lang w:eastAsia="hu-HU"/>
        </w:rPr>
        <w:t>Költségvetési szervek kiadásai</w:t>
      </w:r>
      <w:r w:rsidRPr="639E9B9B">
        <w:rPr>
          <w:rFonts w:ascii="Times New Roman" w:eastAsia="Times New Roman" w:hAnsi="Times New Roman" w:cs="Times New Roman"/>
          <w:sz w:val="26"/>
          <w:szCs w:val="26"/>
          <w:lang w:eastAsia="hu-HU"/>
        </w:rPr>
        <w:t xml:space="preserve"> mérlegsoron 2024 első öt hónapjában 3</w:t>
      </w:r>
      <w:r w:rsidR="00382EE1">
        <w:rPr>
          <w:rFonts w:ascii="Times New Roman" w:eastAsia="Times New Roman" w:hAnsi="Times New Roman" w:cs="Times New Roman"/>
          <w:sz w:val="26"/>
          <w:szCs w:val="26"/>
          <w:lang w:eastAsia="hu-HU"/>
        </w:rPr>
        <w:t> </w:t>
      </w:r>
      <w:r w:rsidRPr="639E9B9B">
        <w:rPr>
          <w:rFonts w:ascii="Times New Roman" w:eastAsia="Times New Roman" w:hAnsi="Times New Roman" w:cs="Times New Roman"/>
          <w:sz w:val="26"/>
          <w:szCs w:val="26"/>
          <w:lang w:eastAsia="hu-HU"/>
        </w:rPr>
        <w:t>476,8 milliárd forint kiadás teljesült, mely 22,3%-kal magasabb az előző azonos időszakának kiadásaihoz képest. A kiadásból 1</w:t>
      </w:r>
      <w:r w:rsidR="00382EE1">
        <w:rPr>
          <w:rFonts w:ascii="Times New Roman" w:eastAsia="Times New Roman" w:hAnsi="Times New Roman" w:cs="Times New Roman"/>
          <w:sz w:val="26"/>
          <w:szCs w:val="26"/>
          <w:lang w:eastAsia="hu-HU"/>
        </w:rPr>
        <w:t> </w:t>
      </w:r>
      <w:r w:rsidRPr="639E9B9B">
        <w:rPr>
          <w:rFonts w:ascii="Times New Roman" w:eastAsia="Times New Roman" w:hAnsi="Times New Roman" w:cs="Times New Roman"/>
          <w:sz w:val="26"/>
          <w:szCs w:val="26"/>
          <w:lang w:eastAsia="hu-HU"/>
        </w:rPr>
        <w:t>965,7 milliárd forint a személyi juttatásokra és munkaadókat terhelő járulékokra kifizetett összeg.</w:t>
      </w:r>
    </w:p>
    <w:p w14:paraId="1F07A5C3" w14:textId="4E6123DF" w:rsidR="000E4F73" w:rsidRPr="000A2EAB"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 xml:space="preserve">A </w:t>
      </w:r>
      <w:r w:rsidRPr="639E9B9B">
        <w:rPr>
          <w:rFonts w:ascii="Times New Roman" w:eastAsia="Times New Roman" w:hAnsi="Times New Roman" w:cs="Times New Roman"/>
          <w:b/>
          <w:bCs/>
          <w:sz w:val="26"/>
          <w:szCs w:val="26"/>
          <w:lang w:eastAsia="hu-HU"/>
        </w:rPr>
        <w:t>Szakmai fejezeti kezelésű előirányzatok kiadásai</w:t>
      </w:r>
      <w:r w:rsidR="00382EE1">
        <w:rPr>
          <w:rFonts w:ascii="Times New Roman" w:eastAsia="Times New Roman" w:hAnsi="Times New Roman" w:cs="Times New Roman"/>
          <w:sz w:val="26"/>
          <w:szCs w:val="26"/>
          <w:lang w:eastAsia="hu-HU"/>
        </w:rPr>
        <w:t xml:space="preserve"> mérlegsoron 2024 első öt </w:t>
      </w:r>
      <w:r w:rsidRPr="639E9B9B">
        <w:rPr>
          <w:rFonts w:ascii="Times New Roman" w:eastAsia="Times New Roman" w:hAnsi="Times New Roman" w:cs="Times New Roman"/>
          <w:sz w:val="26"/>
          <w:szCs w:val="26"/>
          <w:lang w:eastAsia="hu-HU"/>
        </w:rPr>
        <w:t>hónapjában 2</w:t>
      </w:r>
      <w:r w:rsidR="00382EE1">
        <w:rPr>
          <w:rFonts w:ascii="Times New Roman" w:eastAsia="Times New Roman" w:hAnsi="Times New Roman" w:cs="Times New Roman"/>
          <w:sz w:val="26"/>
          <w:szCs w:val="26"/>
          <w:lang w:eastAsia="hu-HU"/>
        </w:rPr>
        <w:t> </w:t>
      </w:r>
      <w:r w:rsidRPr="639E9B9B">
        <w:rPr>
          <w:rFonts w:ascii="Times New Roman" w:eastAsia="Times New Roman" w:hAnsi="Times New Roman" w:cs="Times New Roman"/>
          <w:sz w:val="26"/>
          <w:szCs w:val="26"/>
          <w:lang w:eastAsia="hu-HU"/>
        </w:rPr>
        <w:t>081,5 milliárd forint kiadás teljesült, mely 10,9%-kal alacsonyabb, mint az előző év azonos időszakának kiadása. Ezen időszak teljesítéséből az alábbi kiadások emelhetők ki:</w:t>
      </w:r>
      <w:r w:rsidR="6BF9886D" w:rsidRPr="639E9B9B">
        <w:rPr>
          <w:rFonts w:ascii="Times New Roman" w:eastAsia="Times New Roman" w:hAnsi="Times New Roman" w:cs="Times New Roman"/>
          <w:color w:val="FF0000"/>
          <w:sz w:val="26"/>
          <w:szCs w:val="26"/>
          <w:lang w:eastAsia="hu-HU"/>
        </w:rPr>
        <w:br w:type="page"/>
      </w:r>
    </w:p>
    <w:p w14:paraId="036EE87C" w14:textId="77777777" w:rsidR="000E4F73" w:rsidRPr="003D5132" w:rsidRDefault="639E9B9B" w:rsidP="639E9B9B">
      <w:pPr>
        <w:spacing w:after="120" w:line="240" w:lineRule="auto"/>
        <w:jc w:val="right"/>
        <w:rPr>
          <w:rFonts w:ascii="Times New Roman" w:eastAsia="Times New Roman" w:hAnsi="Times New Roman" w:cs="Times New Roman"/>
          <w:i/>
          <w:iCs/>
          <w:sz w:val="20"/>
          <w:szCs w:val="20"/>
          <w:lang w:eastAsia="hu-HU"/>
        </w:rPr>
      </w:pPr>
      <w:r w:rsidRPr="639E9B9B">
        <w:rPr>
          <w:rFonts w:ascii="Times New Roman" w:eastAsia="Times New Roman" w:hAnsi="Times New Roman" w:cs="Times New Roman"/>
          <w:i/>
          <w:iCs/>
          <w:sz w:val="20"/>
          <w:szCs w:val="20"/>
          <w:lang w:eastAsia="hu-HU"/>
        </w:rPr>
        <w:t>milliárd forint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1"/>
        <w:gridCol w:w="992"/>
      </w:tblGrid>
      <w:tr w:rsidR="003D5132" w:rsidRPr="003D5132" w14:paraId="6D9D36DE" w14:textId="77777777" w:rsidTr="639E9B9B">
        <w:trPr>
          <w:trHeight w:val="340"/>
        </w:trPr>
        <w:tc>
          <w:tcPr>
            <w:tcW w:w="8251" w:type="dxa"/>
            <w:tcMar>
              <w:top w:w="0" w:type="dxa"/>
              <w:left w:w="108" w:type="dxa"/>
              <w:bottom w:w="0" w:type="dxa"/>
              <w:right w:w="108" w:type="dxa"/>
            </w:tcMar>
            <w:vAlign w:val="center"/>
            <w:hideMark/>
          </w:tcPr>
          <w:p w14:paraId="75B0580E" w14:textId="77777777" w:rsidR="00B63DA3"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992" w:type="dxa"/>
            <w:noWrap/>
            <w:tcMar>
              <w:top w:w="0" w:type="dxa"/>
              <w:left w:w="108" w:type="dxa"/>
              <w:bottom w:w="0" w:type="dxa"/>
              <w:right w:w="108" w:type="dxa"/>
            </w:tcMar>
            <w:vAlign w:val="center"/>
            <w:hideMark/>
          </w:tcPr>
          <w:p w14:paraId="092F109E" w14:textId="58E1EB63" w:rsidR="00B63DA3"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357,8</w:t>
            </w:r>
          </w:p>
        </w:tc>
      </w:tr>
      <w:tr w:rsidR="003D5132" w:rsidRPr="003D5132" w14:paraId="18ECFFF1" w14:textId="77777777" w:rsidTr="639E9B9B">
        <w:trPr>
          <w:trHeight w:val="283"/>
        </w:trPr>
        <w:tc>
          <w:tcPr>
            <w:tcW w:w="8251" w:type="dxa"/>
            <w:tcMar>
              <w:top w:w="0" w:type="dxa"/>
              <w:left w:w="108" w:type="dxa"/>
              <w:bottom w:w="0" w:type="dxa"/>
              <w:right w:w="108" w:type="dxa"/>
            </w:tcMar>
            <w:vAlign w:val="center"/>
            <w:hideMark/>
          </w:tcPr>
          <w:p w14:paraId="434EC8B3" w14:textId="77777777" w:rsidR="00B63DA3"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Nem állami felsőoktatási intézmények támogatása</w:t>
            </w:r>
          </w:p>
        </w:tc>
        <w:tc>
          <w:tcPr>
            <w:tcW w:w="992" w:type="dxa"/>
            <w:noWrap/>
            <w:tcMar>
              <w:top w:w="0" w:type="dxa"/>
              <w:left w:w="108" w:type="dxa"/>
              <w:bottom w:w="0" w:type="dxa"/>
              <w:right w:w="108" w:type="dxa"/>
            </w:tcMar>
            <w:vAlign w:val="center"/>
            <w:hideMark/>
          </w:tcPr>
          <w:p w14:paraId="40766427" w14:textId="714127B2" w:rsidR="00B63DA3"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239,7</w:t>
            </w:r>
          </w:p>
        </w:tc>
      </w:tr>
      <w:tr w:rsidR="003D5132" w:rsidRPr="003D5132" w14:paraId="13F57AE2" w14:textId="77777777" w:rsidTr="639E9B9B">
        <w:trPr>
          <w:trHeight w:val="283"/>
        </w:trPr>
        <w:tc>
          <w:tcPr>
            <w:tcW w:w="8251" w:type="dxa"/>
            <w:tcMar>
              <w:top w:w="0" w:type="dxa"/>
              <w:left w:w="108" w:type="dxa"/>
              <w:bottom w:w="0" w:type="dxa"/>
              <w:right w:w="108" w:type="dxa"/>
            </w:tcMar>
            <w:vAlign w:val="center"/>
          </w:tcPr>
          <w:p w14:paraId="162EED80" w14:textId="77777777" w:rsidR="00395832"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Térségi fejlesztési feladatok</w:t>
            </w:r>
          </w:p>
        </w:tc>
        <w:tc>
          <w:tcPr>
            <w:tcW w:w="992" w:type="dxa"/>
            <w:noWrap/>
            <w:tcMar>
              <w:top w:w="0" w:type="dxa"/>
              <w:left w:w="108" w:type="dxa"/>
              <w:bottom w:w="0" w:type="dxa"/>
              <w:right w:w="108" w:type="dxa"/>
            </w:tcMar>
            <w:vAlign w:val="center"/>
          </w:tcPr>
          <w:p w14:paraId="2159FAC1" w14:textId="77777777" w:rsidR="00395832"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92,2</w:t>
            </w:r>
          </w:p>
        </w:tc>
      </w:tr>
      <w:tr w:rsidR="003D5132" w:rsidRPr="003D5132" w14:paraId="13B83ACF" w14:textId="77777777" w:rsidTr="639E9B9B">
        <w:trPr>
          <w:trHeight w:val="283"/>
        </w:trPr>
        <w:tc>
          <w:tcPr>
            <w:tcW w:w="8251" w:type="dxa"/>
            <w:tcMar>
              <w:top w:w="0" w:type="dxa"/>
              <w:left w:w="108" w:type="dxa"/>
              <w:bottom w:w="0" w:type="dxa"/>
              <w:right w:w="108" w:type="dxa"/>
            </w:tcMar>
            <w:vAlign w:val="center"/>
          </w:tcPr>
          <w:p w14:paraId="531FDDE1" w14:textId="77777777" w:rsidR="00395832"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Gazdaságfejlesztési programok</w:t>
            </w:r>
          </w:p>
        </w:tc>
        <w:tc>
          <w:tcPr>
            <w:tcW w:w="992" w:type="dxa"/>
            <w:noWrap/>
            <w:tcMar>
              <w:top w:w="0" w:type="dxa"/>
              <w:left w:w="108" w:type="dxa"/>
              <w:bottom w:w="0" w:type="dxa"/>
              <w:right w:w="108" w:type="dxa"/>
            </w:tcMar>
            <w:vAlign w:val="center"/>
          </w:tcPr>
          <w:p w14:paraId="088FE7B2" w14:textId="77777777" w:rsidR="00395832"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88,7</w:t>
            </w:r>
          </w:p>
        </w:tc>
      </w:tr>
      <w:tr w:rsidR="003D5132" w:rsidRPr="003D5132" w14:paraId="00008938" w14:textId="77777777" w:rsidTr="639E9B9B">
        <w:trPr>
          <w:trHeight w:val="283"/>
        </w:trPr>
        <w:tc>
          <w:tcPr>
            <w:tcW w:w="8251" w:type="dxa"/>
            <w:tcMar>
              <w:top w:w="0" w:type="dxa"/>
              <w:left w:w="108" w:type="dxa"/>
              <w:bottom w:w="0" w:type="dxa"/>
              <w:right w:w="108" w:type="dxa"/>
            </w:tcMar>
            <w:vAlign w:val="center"/>
            <w:hideMark/>
          </w:tcPr>
          <w:p w14:paraId="572376DF" w14:textId="77777777" w:rsidR="00B63DA3"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Turisztikai fejlesztési célelőirányzat</w:t>
            </w:r>
          </w:p>
        </w:tc>
        <w:tc>
          <w:tcPr>
            <w:tcW w:w="992" w:type="dxa"/>
            <w:noWrap/>
            <w:tcMar>
              <w:top w:w="0" w:type="dxa"/>
              <w:left w:w="108" w:type="dxa"/>
              <w:bottom w:w="0" w:type="dxa"/>
              <w:right w:w="108" w:type="dxa"/>
            </w:tcMar>
            <w:vAlign w:val="center"/>
            <w:hideMark/>
          </w:tcPr>
          <w:p w14:paraId="06943D4E" w14:textId="3FE81418" w:rsidR="00B63DA3"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82,5</w:t>
            </w:r>
          </w:p>
        </w:tc>
      </w:tr>
      <w:tr w:rsidR="003D5132" w:rsidRPr="003D5132" w14:paraId="6C524A3D" w14:textId="77777777" w:rsidTr="639E9B9B">
        <w:trPr>
          <w:trHeight w:val="283"/>
        </w:trPr>
        <w:tc>
          <w:tcPr>
            <w:tcW w:w="8251" w:type="dxa"/>
            <w:tcMar>
              <w:top w:w="0" w:type="dxa"/>
              <w:left w:w="108" w:type="dxa"/>
              <w:bottom w:w="0" w:type="dxa"/>
              <w:right w:w="108" w:type="dxa"/>
            </w:tcMar>
            <w:vAlign w:val="center"/>
          </w:tcPr>
          <w:p w14:paraId="230D0737" w14:textId="77777777" w:rsidR="003A4D97"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Közlekedési ágazati programok</w:t>
            </w:r>
          </w:p>
        </w:tc>
        <w:tc>
          <w:tcPr>
            <w:tcW w:w="992" w:type="dxa"/>
            <w:noWrap/>
            <w:tcMar>
              <w:top w:w="0" w:type="dxa"/>
              <w:left w:w="108" w:type="dxa"/>
              <w:bottom w:w="0" w:type="dxa"/>
              <w:right w:w="108" w:type="dxa"/>
            </w:tcMar>
            <w:vAlign w:val="center"/>
          </w:tcPr>
          <w:p w14:paraId="45DA8CA4" w14:textId="5755F833" w:rsidR="003A4D97"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60,9</w:t>
            </w:r>
          </w:p>
        </w:tc>
      </w:tr>
      <w:tr w:rsidR="003D5132" w:rsidRPr="003D5132" w14:paraId="2DF66D90" w14:textId="77777777" w:rsidTr="639E9B9B">
        <w:trPr>
          <w:trHeight w:val="283"/>
        </w:trPr>
        <w:tc>
          <w:tcPr>
            <w:tcW w:w="8251" w:type="dxa"/>
            <w:tcMar>
              <w:top w:w="0" w:type="dxa"/>
              <w:left w:w="108" w:type="dxa"/>
              <w:bottom w:w="0" w:type="dxa"/>
              <w:right w:w="108" w:type="dxa"/>
            </w:tcMar>
            <w:vAlign w:val="center"/>
            <w:hideMark/>
          </w:tcPr>
          <w:p w14:paraId="6C774B06" w14:textId="77777777" w:rsidR="00395832"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Beruházás ösztönzési célelőirányzatok</w:t>
            </w:r>
          </w:p>
        </w:tc>
        <w:tc>
          <w:tcPr>
            <w:tcW w:w="992" w:type="dxa"/>
            <w:noWrap/>
            <w:tcMar>
              <w:top w:w="0" w:type="dxa"/>
              <w:left w:w="108" w:type="dxa"/>
              <w:bottom w:w="0" w:type="dxa"/>
              <w:right w:w="108" w:type="dxa"/>
            </w:tcMar>
            <w:vAlign w:val="center"/>
            <w:hideMark/>
          </w:tcPr>
          <w:p w14:paraId="37861593" w14:textId="77777777" w:rsidR="00395832"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51,0</w:t>
            </w:r>
          </w:p>
        </w:tc>
      </w:tr>
      <w:tr w:rsidR="003D5132" w:rsidRPr="003D5132" w14:paraId="75537FB7" w14:textId="77777777" w:rsidTr="639E9B9B">
        <w:trPr>
          <w:trHeight w:val="283"/>
        </w:trPr>
        <w:tc>
          <w:tcPr>
            <w:tcW w:w="8251" w:type="dxa"/>
            <w:tcMar>
              <w:top w:w="0" w:type="dxa"/>
              <w:left w:w="108" w:type="dxa"/>
              <w:bottom w:w="0" w:type="dxa"/>
              <w:right w:w="108" w:type="dxa"/>
            </w:tcMar>
            <w:vAlign w:val="center"/>
            <w:hideMark/>
          </w:tcPr>
          <w:p w14:paraId="2F9CDF71" w14:textId="0B43D50F" w:rsidR="00B63DA3" w:rsidRPr="003D5132" w:rsidRDefault="639E9B9B" w:rsidP="639E9B9B">
            <w:pPr>
              <w:spacing w:after="0" w:line="240" w:lineRule="auto"/>
              <w:jc w:val="both"/>
              <w:rPr>
                <w:rFonts w:ascii="Times New Roman" w:hAnsi="Times New Roman" w:cs="Times New Roman"/>
                <w:lang w:eastAsia="hu-HU"/>
              </w:rPr>
            </w:pPr>
            <w:r w:rsidRPr="639E9B9B">
              <w:rPr>
                <w:rFonts w:ascii="Times New Roman" w:hAnsi="Times New Roman" w:cs="Times New Roman"/>
                <w:lang w:eastAsia="hu-HU"/>
              </w:rPr>
              <w:t>Kulturális értékmegőrző beruházások</w:t>
            </w:r>
          </w:p>
        </w:tc>
        <w:tc>
          <w:tcPr>
            <w:tcW w:w="992" w:type="dxa"/>
            <w:noWrap/>
            <w:tcMar>
              <w:top w:w="0" w:type="dxa"/>
              <w:left w:w="108" w:type="dxa"/>
              <w:bottom w:w="0" w:type="dxa"/>
              <w:right w:w="108" w:type="dxa"/>
            </w:tcMar>
            <w:vAlign w:val="center"/>
            <w:hideMark/>
          </w:tcPr>
          <w:p w14:paraId="3034D170" w14:textId="36799DF4" w:rsidR="00B63DA3" w:rsidRPr="003D5132" w:rsidRDefault="639E9B9B" w:rsidP="639E9B9B">
            <w:pPr>
              <w:spacing w:after="0" w:line="240" w:lineRule="auto"/>
              <w:jc w:val="right"/>
              <w:rPr>
                <w:rFonts w:ascii="Times New Roman" w:hAnsi="Times New Roman" w:cs="Times New Roman"/>
                <w:lang w:eastAsia="hu-HU"/>
              </w:rPr>
            </w:pPr>
            <w:r w:rsidRPr="639E9B9B">
              <w:rPr>
                <w:rFonts w:ascii="Times New Roman" w:hAnsi="Times New Roman" w:cs="Times New Roman"/>
                <w:lang w:eastAsia="hu-HU"/>
              </w:rPr>
              <w:t>42,2</w:t>
            </w:r>
          </w:p>
        </w:tc>
      </w:tr>
    </w:tbl>
    <w:p w14:paraId="130E1B4D" w14:textId="7FAA0E6E" w:rsidR="0033462C" w:rsidRPr="00AE3104" w:rsidRDefault="639E9B9B" w:rsidP="639E9B9B">
      <w:pPr>
        <w:spacing w:before="160" w:after="0"/>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A 2024. év első öthavi, 5</w:t>
      </w:r>
      <w:r w:rsidR="00382EE1">
        <w:rPr>
          <w:rFonts w:ascii="Times New Roman" w:eastAsia="Times New Roman" w:hAnsi="Times New Roman" w:cs="Times New Roman"/>
          <w:sz w:val="26"/>
          <w:szCs w:val="26"/>
          <w:lang w:eastAsia="hu-HU"/>
        </w:rPr>
        <w:t> </w:t>
      </w:r>
      <w:r w:rsidRPr="639E9B9B">
        <w:rPr>
          <w:rFonts w:ascii="Times New Roman" w:eastAsia="Times New Roman" w:hAnsi="Times New Roman" w:cs="Times New Roman"/>
          <w:sz w:val="26"/>
          <w:szCs w:val="26"/>
          <w:lang w:eastAsia="hu-HU"/>
        </w:rPr>
        <w:t>558,4 milliárd forint összegű kiadásai megoszlását a következő grafikon szemlélteti:</w:t>
      </w:r>
    </w:p>
    <w:p w14:paraId="3599A16D" w14:textId="55F001B9" w:rsidR="00B056CC" w:rsidRDefault="00C261DC" w:rsidP="009C33A4">
      <w:pPr>
        <w:spacing w:before="240"/>
        <w:jc w:val="center"/>
        <w:rPr>
          <w:rFonts w:ascii="Times New Roman" w:eastAsia="Times New Roman" w:hAnsi="Times New Roman" w:cs="Times New Roman"/>
          <w:b/>
          <w:sz w:val="26"/>
          <w:szCs w:val="26"/>
        </w:rPr>
      </w:pPr>
      <w:r w:rsidRPr="00C261DC">
        <w:rPr>
          <w:rFonts w:ascii="Times New Roman" w:eastAsia="Times New Roman" w:hAnsi="Times New Roman" w:cs="Times New Roman"/>
          <w:b/>
          <w:noProof/>
          <w:sz w:val="26"/>
          <w:szCs w:val="26"/>
          <w:lang w:eastAsia="hu-HU"/>
        </w:rPr>
        <w:drawing>
          <wp:inline distT="0" distB="0" distL="0" distR="0" wp14:anchorId="518BD334" wp14:editId="799B4AD3">
            <wp:extent cx="5959017" cy="3442447"/>
            <wp:effectExtent l="0" t="0" r="3810" b="5715"/>
            <wp:docPr id="16" name="Kép 16" descr="Z:\Áht_gyors_moni\2024_05_máj\0_feljegyzés_monitoring\ábrák\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Áht_gyors_moni\2024_05_máj\0_feljegyzés_monitoring\ábrák\szervek_fejkezek_kiadásai.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3469" cy="3456572"/>
                    </a:xfrm>
                    <a:prstGeom prst="rect">
                      <a:avLst/>
                    </a:prstGeom>
                    <a:noFill/>
                    <a:ln>
                      <a:noFill/>
                    </a:ln>
                  </pic:spPr>
                </pic:pic>
              </a:graphicData>
            </a:graphic>
          </wp:inline>
        </w:drawing>
      </w:r>
    </w:p>
    <w:p w14:paraId="7B768C4E" w14:textId="3E063542" w:rsidR="00B155FE" w:rsidRPr="00377D59" w:rsidRDefault="639E9B9B" w:rsidP="00C261DC">
      <w:pPr>
        <w:keepNext/>
        <w:numPr>
          <w:ilvl w:val="0"/>
          <w:numId w:val="3"/>
        </w:numPr>
        <w:spacing w:before="240" w:after="120" w:line="240" w:lineRule="auto"/>
        <w:ind w:left="714" w:hanging="357"/>
        <w:jc w:val="both"/>
        <w:outlineLvl w:val="2"/>
        <w:rPr>
          <w:rFonts w:ascii="Times New Roman" w:eastAsia="Times New Roman" w:hAnsi="Times New Roman" w:cs="Times New Roman"/>
          <w:b/>
          <w:bCs/>
          <w:smallCaps/>
          <w:sz w:val="28"/>
          <w:szCs w:val="28"/>
          <w:lang w:eastAsia="hu-HU"/>
        </w:rPr>
      </w:pPr>
      <w:r w:rsidRPr="639E9B9B">
        <w:rPr>
          <w:rFonts w:ascii="Times New Roman" w:eastAsia="Times New Roman" w:hAnsi="Times New Roman" w:cs="Times New Roman"/>
          <w:b/>
          <w:bCs/>
          <w:smallCaps/>
          <w:sz w:val="28"/>
          <w:szCs w:val="28"/>
          <w:lang w:eastAsia="hu-HU"/>
        </w:rPr>
        <w:t>Kamategyenleg</w:t>
      </w:r>
    </w:p>
    <w:p w14:paraId="0047F521" w14:textId="629A8F0E" w:rsidR="003F3151" w:rsidRPr="00377D59" w:rsidRDefault="639E9B9B" w:rsidP="639E9B9B">
      <w:pPr>
        <w:jc w:val="both"/>
        <w:rPr>
          <w:rFonts w:ascii="Times New Roman" w:hAnsi="Times New Roman" w:cs="Times New Roman"/>
          <w:sz w:val="26"/>
          <w:szCs w:val="26"/>
        </w:rPr>
      </w:pPr>
      <w:r w:rsidRPr="639E9B9B">
        <w:rPr>
          <w:rFonts w:ascii="Times New Roman" w:hAnsi="Times New Roman" w:cs="Times New Roman"/>
          <w:sz w:val="26"/>
          <w:szCs w:val="26"/>
          <w:lang w:eastAsia="hu-HU"/>
        </w:rPr>
        <w:t xml:space="preserve">A bevételek és kiadások egyenlegeként adódó 1 559,2 milliárd forint összegű </w:t>
      </w:r>
      <w:r w:rsidRPr="639E9B9B">
        <w:rPr>
          <w:rFonts w:ascii="Times New Roman" w:hAnsi="Times New Roman" w:cs="Times New Roman"/>
          <w:b/>
          <w:bCs/>
          <w:sz w:val="26"/>
          <w:szCs w:val="26"/>
          <w:lang w:eastAsia="hu-HU"/>
        </w:rPr>
        <w:t>nettó</w:t>
      </w:r>
      <w:r w:rsidRPr="639E9B9B">
        <w:rPr>
          <w:rFonts w:ascii="Times New Roman" w:hAnsi="Times New Roman" w:cs="Times New Roman"/>
          <w:b/>
          <w:bCs/>
          <w:sz w:val="26"/>
          <w:szCs w:val="26"/>
        </w:rPr>
        <w:t xml:space="preserve"> kamatkiadás</w:t>
      </w:r>
      <w:r w:rsidRPr="639E9B9B">
        <w:rPr>
          <w:rFonts w:ascii="Times New Roman" w:hAnsi="Times New Roman" w:cs="Times New Roman"/>
          <w:sz w:val="26"/>
          <w:szCs w:val="26"/>
        </w:rPr>
        <w:t xml:space="preserve"> május végéig 606,3 milliárd forinttal lett magasabb az előző évhez képest, mely a kamatfizetések éven belüli eltérő lefutásával, az előző évitől különböző hozamokkal és finanszírozási szerkezettel magyarázható. A kamatkiadások év eleji megugrása a lakossági kötvények kamatfizetésében történt változások miatt tapasztalható, a Prémium Magyar Állampapír (PMÁP) sorozat kamatfizetési időpontja az első negyedévre került.</w:t>
      </w:r>
    </w:p>
    <w:p w14:paraId="7B768C50" w14:textId="77777777" w:rsidR="00B155FE" w:rsidRPr="00377D59" w:rsidRDefault="00B155FE" w:rsidP="00B155FE">
      <w:pPr>
        <w:tabs>
          <w:tab w:val="left" w:pos="550"/>
        </w:tabs>
        <w:spacing w:before="120" w:after="120" w:line="240" w:lineRule="auto"/>
        <w:jc w:val="both"/>
        <w:rPr>
          <w:rFonts w:ascii="Times New Roman" w:eastAsia="Times New Roman" w:hAnsi="Times New Roman" w:cs="Times New Roman"/>
          <w:caps/>
          <w:sz w:val="26"/>
          <w:szCs w:val="20"/>
          <w:lang w:eastAsia="hu-HU"/>
        </w:rPr>
      </w:pPr>
      <w:r w:rsidRPr="00377D59">
        <w:rPr>
          <w:rFonts w:ascii="Times New Roman" w:eastAsia="Times New Roman" w:hAnsi="Times New Roman" w:cs="Times New Roman"/>
          <w:caps/>
          <w:sz w:val="26"/>
          <w:szCs w:val="20"/>
          <w:lang w:eastAsia="hu-HU"/>
        </w:rPr>
        <w:br w:type="page"/>
      </w:r>
    </w:p>
    <w:p w14:paraId="7B768C51" w14:textId="589C5977" w:rsidR="00B155FE" w:rsidRPr="00377D59" w:rsidRDefault="639E9B9B" w:rsidP="639E9B9B">
      <w:pPr>
        <w:keepNext/>
        <w:spacing w:after="120" w:line="240" w:lineRule="auto"/>
        <w:ind w:left="425" w:right="-1" w:hanging="425"/>
        <w:jc w:val="center"/>
        <w:outlineLvl w:val="3"/>
        <w:rPr>
          <w:rFonts w:ascii="Times New Roman" w:eastAsia="Times New Roman" w:hAnsi="Times New Roman" w:cs="Times New Roman"/>
          <w:b/>
          <w:bCs/>
          <w:caps/>
          <w:sz w:val="26"/>
          <w:szCs w:val="26"/>
          <w:lang w:eastAsia="hu-HU"/>
        </w:rPr>
      </w:pPr>
      <w:r w:rsidRPr="639E9B9B">
        <w:rPr>
          <w:rFonts w:ascii="Times New Roman" w:eastAsia="Times New Roman" w:hAnsi="Times New Roman" w:cs="Times New Roman"/>
          <w:b/>
          <w:bCs/>
          <w:caps/>
          <w:sz w:val="26"/>
          <w:szCs w:val="26"/>
          <w:lang w:eastAsia="hu-HU"/>
        </w:rPr>
        <w:t>II.</w:t>
      </w:r>
      <w:r w:rsidR="6BF9886D">
        <w:br/>
      </w:r>
      <w:r w:rsidRPr="639E9B9B">
        <w:rPr>
          <w:rFonts w:ascii="Times New Roman" w:eastAsia="Times New Roman" w:hAnsi="Times New Roman" w:cs="Times New Roman"/>
          <w:b/>
          <w:bCs/>
          <w:caps/>
          <w:sz w:val="26"/>
          <w:szCs w:val="26"/>
          <w:lang w:eastAsia="hu-HU"/>
        </w:rPr>
        <w:t>Az államháztartás központi alrendszerének finanszírozása</w:t>
      </w:r>
    </w:p>
    <w:p w14:paraId="06C778E7" w14:textId="4DA077E2" w:rsidR="00710A26" w:rsidRPr="00377D59" w:rsidRDefault="639E9B9B" w:rsidP="00C261DC">
      <w:pPr>
        <w:spacing w:before="240" w:after="120" w:line="240" w:lineRule="auto"/>
        <w:ind w:right="23"/>
        <w:jc w:val="both"/>
        <w:rPr>
          <w:rFonts w:ascii="Times New Roman" w:eastAsia="Times New Roman" w:hAnsi="Times New Roman" w:cs="Times New Roman"/>
          <w:b/>
          <w:bCs/>
          <w:sz w:val="26"/>
          <w:szCs w:val="26"/>
          <w:lang w:eastAsia="hu-HU"/>
        </w:rPr>
      </w:pPr>
      <w:r w:rsidRPr="639E9B9B">
        <w:rPr>
          <w:rFonts w:ascii="Times New Roman" w:eastAsia="Times New Roman" w:hAnsi="Times New Roman" w:cs="Times New Roman"/>
          <w:b/>
          <w:bCs/>
          <w:sz w:val="26"/>
          <w:szCs w:val="26"/>
          <w:lang w:eastAsia="hu-HU"/>
        </w:rPr>
        <w:t>A központi költségvetés adóssága 2024. május végéig</w:t>
      </w:r>
      <w:r w:rsidRPr="639E9B9B">
        <w:rPr>
          <w:rFonts w:ascii="Times New Roman" w:eastAsia="Times New Roman" w:hAnsi="Times New Roman" w:cs="Times New Roman"/>
          <w:sz w:val="26"/>
          <w:szCs w:val="26"/>
          <w:lang w:eastAsia="hu-HU"/>
        </w:rPr>
        <w:t xml:space="preserve"> 3 767,4 milliárd forinttal </w:t>
      </w:r>
      <w:r w:rsidRPr="639E9B9B">
        <w:rPr>
          <w:rFonts w:ascii="Times New Roman" w:eastAsia="Times New Roman" w:hAnsi="Times New Roman" w:cs="Times New Roman"/>
          <w:b/>
          <w:bCs/>
          <w:sz w:val="26"/>
          <w:szCs w:val="26"/>
          <w:lang w:eastAsia="hu-HU"/>
        </w:rPr>
        <w:t>növekedett</w:t>
      </w:r>
      <w:r w:rsidRPr="639E9B9B">
        <w:rPr>
          <w:rFonts w:ascii="Times New Roman" w:eastAsia="Times New Roman" w:hAnsi="Times New Roman" w:cs="Times New Roman"/>
          <w:sz w:val="26"/>
          <w:szCs w:val="26"/>
          <w:lang w:eastAsia="hu-HU"/>
        </w:rPr>
        <w:t xml:space="preserve"> a következő négy tényező eredményeképpen:</w:t>
      </w:r>
    </w:p>
    <w:p w14:paraId="65CF69C6" w14:textId="0F0E5DF6" w:rsidR="006A18B3" w:rsidRPr="006A18B3" w:rsidRDefault="639E9B9B" w:rsidP="639E9B9B">
      <w:pPr>
        <w:pStyle w:val="Listaszerbekezds"/>
        <w:numPr>
          <w:ilvl w:val="0"/>
          <w:numId w:val="2"/>
        </w:num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b/>
          <w:bCs/>
          <w:sz w:val="26"/>
          <w:szCs w:val="26"/>
          <w:lang w:eastAsia="hu-HU"/>
        </w:rPr>
        <w:t>Az első tényező</w:t>
      </w:r>
      <w:r w:rsidRPr="639E9B9B">
        <w:rPr>
          <w:rFonts w:ascii="Times New Roman" w:eastAsia="Times New Roman" w:hAnsi="Times New Roman" w:cs="Times New Roman"/>
          <w:sz w:val="26"/>
          <w:szCs w:val="26"/>
          <w:lang w:eastAsia="hu-HU"/>
        </w:rPr>
        <w:t xml:space="preserve">, amely </w:t>
      </w:r>
      <w:r w:rsidRPr="639E9B9B">
        <w:rPr>
          <w:rFonts w:ascii="Times New Roman" w:eastAsia="Times New Roman" w:hAnsi="Times New Roman" w:cs="Times New Roman"/>
          <w:b/>
          <w:bCs/>
          <w:sz w:val="26"/>
          <w:szCs w:val="26"/>
          <w:lang w:eastAsia="hu-HU"/>
        </w:rPr>
        <w:t>növelte</w:t>
      </w:r>
      <w:r w:rsidRPr="639E9B9B">
        <w:rPr>
          <w:rFonts w:ascii="Times New Roman" w:eastAsia="Times New Roman" w:hAnsi="Times New Roman" w:cs="Times New Roman"/>
          <w:sz w:val="26"/>
          <w:szCs w:val="26"/>
          <w:lang w:eastAsia="hu-HU"/>
        </w:rPr>
        <w:t xml:space="preserve"> az adósságot a nettó devizakibocsátás, amely 1 805,6 milliárd forint összegben hozzájárul</w:t>
      </w:r>
      <w:r w:rsidR="004B2CAC">
        <w:rPr>
          <w:rFonts w:ascii="Times New Roman" w:eastAsia="Times New Roman" w:hAnsi="Times New Roman" w:cs="Times New Roman"/>
          <w:sz w:val="26"/>
          <w:szCs w:val="26"/>
          <w:lang w:eastAsia="hu-HU"/>
        </w:rPr>
        <w:t xml:space="preserve"> a hiány finanszírozásához és a </w:t>
      </w:r>
      <w:r w:rsidRPr="639E9B9B">
        <w:rPr>
          <w:rFonts w:ascii="Times New Roman" w:eastAsia="Times New Roman" w:hAnsi="Times New Roman" w:cs="Times New Roman"/>
          <w:sz w:val="26"/>
          <w:szCs w:val="26"/>
          <w:lang w:eastAsia="hu-HU"/>
        </w:rPr>
        <w:t>devizabetétállomány növekedéséhez.</w:t>
      </w:r>
    </w:p>
    <w:p w14:paraId="01D570C5" w14:textId="5A4174E6" w:rsidR="00B15A4C" w:rsidRPr="006A18B3" w:rsidRDefault="639E9B9B" w:rsidP="639E9B9B">
      <w:pPr>
        <w:pStyle w:val="Listaszerbekezds"/>
        <w:numPr>
          <w:ilvl w:val="0"/>
          <w:numId w:val="2"/>
        </w:numPr>
        <w:spacing w:after="120" w:line="240" w:lineRule="auto"/>
        <w:ind w:right="23"/>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b/>
          <w:bCs/>
          <w:sz w:val="26"/>
          <w:szCs w:val="26"/>
          <w:lang w:eastAsia="hu-HU"/>
        </w:rPr>
        <w:t>A második – szintén növelő hatású</w:t>
      </w:r>
      <w:r w:rsidRPr="639E9B9B">
        <w:rPr>
          <w:rFonts w:ascii="Times New Roman" w:eastAsia="Times New Roman" w:hAnsi="Times New Roman" w:cs="Times New Roman"/>
          <w:sz w:val="26"/>
          <w:szCs w:val="26"/>
          <w:lang w:eastAsia="hu-HU"/>
        </w:rPr>
        <w:t xml:space="preserve"> – tényező a nettó forintkibocsátás 1 912,2 milliárd forint összegben, ami a költségvetés hiányát finanszírozza és részben a KESZ állományát növeli.</w:t>
      </w:r>
    </w:p>
    <w:p w14:paraId="7F34FEE1" w14:textId="3104F2BE" w:rsidR="00B15A4C" w:rsidRDefault="639E9B9B" w:rsidP="639E9B9B">
      <w:pPr>
        <w:numPr>
          <w:ilvl w:val="0"/>
          <w:numId w:val="2"/>
        </w:numPr>
        <w:spacing w:after="120" w:line="240" w:lineRule="auto"/>
        <w:ind w:right="23"/>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b/>
          <w:bCs/>
          <w:sz w:val="26"/>
          <w:szCs w:val="26"/>
          <w:lang w:eastAsia="hu-HU"/>
        </w:rPr>
        <w:t>A harmadik – további növelő hatású – tényező</w:t>
      </w:r>
      <w:r w:rsidRPr="639E9B9B">
        <w:rPr>
          <w:rFonts w:ascii="Times New Roman" w:eastAsia="Times New Roman" w:hAnsi="Times New Roman" w:cs="Times New Roman"/>
          <w:sz w:val="26"/>
          <w:szCs w:val="26"/>
          <w:lang w:eastAsia="hu-HU"/>
        </w:rPr>
        <w:t xml:space="preserve"> a forint árfolyamának az elmúlt év végéhez képest bekövetkezett gyengülése, amely az adósság devizában fennálló részének forintban számított nyilvántartási értékét 274,2 milliárd forinttal növelte.</w:t>
      </w:r>
    </w:p>
    <w:p w14:paraId="584EE72C" w14:textId="4843EC97" w:rsidR="00377D59" w:rsidRPr="00377D59" w:rsidRDefault="639E9B9B" w:rsidP="639E9B9B">
      <w:pPr>
        <w:numPr>
          <w:ilvl w:val="0"/>
          <w:numId w:val="2"/>
        </w:numPr>
        <w:spacing w:after="120" w:line="240" w:lineRule="auto"/>
        <w:ind w:right="23"/>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b/>
          <w:bCs/>
          <w:sz w:val="26"/>
          <w:szCs w:val="26"/>
          <w:lang w:eastAsia="hu-HU"/>
        </w:rPr>
        <w:t>A negyedik – fentiekkel ellentétes, csökkentő hatású – tényező</w:t>
      </w:r>
      <w:r w:rsidRPr="639E9B9B">
        <w:rPr>
          <w:rFonts w:ascii="Times New Roman" w:eastAsia="Times New Roman" w:hAnsi="Times New Roman" w:cs="Times New Roman"/>
          <w:sz w:val="26"/>
          <w:szCs w:val="26"/>
          <w:lang w:eastAsia="hu-HU"/>
        </w:rPr>
        <w:t xml:space="preserve"> a deviza-keresztárfolyamok változása és egyéb tényezők miatt bekövetkezett mark-to-market betétállományok csökkenése 224,5 milliárd forint összegben.</w:t>
      </w:r>
    </w:p>
    <w:p w14:paraId="5DC271BB" w14:textId="2BC73D05" w:rsidR="00377D59" w:rsidRPr="00377D59" w:rsidRDefault="00377D59" w:rsidP="00377D59">
      <w:pPr>
        <w:rPr>
          <w:rFonts w:ascii="Times New Roman" w:eastAsia="Times New Roman" w:hAnsi="Times New Roman" w:cs="Times New Roman"/>
          <w:sz w:val="26"/>
          <w:szCs w:val="26"/>
          <w:lang w:eastAsia="hu-HU"/>
        </w:rPr>
      </w:pPr>
    </w:p>
    <w:p w14:paraId="157CBCF7" w14:textId="77777777" w:rsidR="00E5484A" w:rsidRPr="00377D59" w:rsidRDefault="00E5484A" w:rsidP="00377D59">
      <w:pPr>
        <w:rPr>
          <w:rFonts w:ascii="Times New Roman" w:eastAsia="Times New Roman" w:hAnsi="Times New Roman" w:cs="Times New Roman"/>
          <w:sz w:val="26"/>
          <w:szCs w:val="26"/>
          <w:lang w:eastAsia="hu-HU"/>
        </w:rPr>
        <w:sectPr w:rsidR="00E5484A" w:rsidRPr="00377D59" w:rsidSect="00556984">
          <w:footerReference w:type="default" r:id="rId25"/>
          <w:footnotePr>
            <w:numRestart w:val="eachPage"/>
          </w:footnotePr>
          <w:pgSz w:w="11907" w:h="16840" w:code="9"/>
          <w:pgMar w:top="1134" w:right="1134" w:bottom="1418" w:left="1418" w:header="709" w:footer="709" w:gutter="0"/>
          <w:cols w:space="708"/>
          <w:docGrid w:linePitch="354"/>
        </w:sectPr>
      </w:pPr>
    </w:p>
    <w:p w14:paraId="7B768C5C" w14:textId="54F0A516" w:rsidR="00B155FE" w:rsidRPr="00377D59" w:rsidRDefault="639E9B9B" w:rsidP="639E9B9B">
      <w:pPr>
        <w:spacing w:after="120" w:line="240" w:lineRule="auto"/>
        <w:ind w:right="23"/>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 xml:space="preserve">Az előzetes adatok szerint május végén a </w:t>
      </w:r>
      <w:r w:rsidRPr="639E9B9B">
        <w:rPr>
          <w:rFonts w:ascii="Times New Roman" w:eastAsia="Times New Roman" w:hAnsi="Times New Roman" w:cs="Times New Roman"/>
          <w:b/>
          <w:bCs/>
          <w:sz w:val="26"/>
          <w:szCs w:val="26"/>
          <w:lang w:eastAsia="hu-HU"/>
        </w:rPr>
        <w:t xml:space="preserve">központi költségvetés forint- és devizaadóssága </w:t>
      </w:r>
      <w:r w:rsidRPr="639E9B9B">
        <w:rPr>
          <w:rFonts w:ascii="Times New Roman" w:eastAsia="Times New Roman" w:hAnsi="Times New Roman" w:cs="Times New Roman"/>
          <w:sz w:val="26"/>
          <w:szCs w:val="26"/>
          <w:lang w:eastAsia="hu-HU"/>
        </w:rPr>
        <w:t>az alábbiak szerint alakult:</w:t>
      </w:r>
    </w:p>
    <w:p w14:paraId="7B768C5D" w14:textId="114E1082" w:rsidR="00B155FE" w:rsidRDefault="639E9B9B" w:rsidP="639E9B9B">
      <w:pPr>
        <w:overflowPunct w:val="0"/>
        <w:autoSpaceDE w:val="0"/>
        <w:autoSpaceDN w:val="0"/>
        <w:adjustRightInd w:val="0"/>
        <w:spacing w:after="120" w:line="240" w:lineRule="auto"/>
        <w:ind w:right="23"/>
        <w:jc w:val="center"/>
        <w:textAlignment w:val="baseline"/>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A központi költségvetés adósságának alakulása 2024-ben, milliárd forint</w:t>
      </w:r>
    </w:p>
    <w:p w14:paraId="0E54CB6B" w14:textId="4BEAC9AA" w:rsidR="00B15A4C" w:rsidRDefault="009E3E8D" w:rsidP="1D481232">
      <w:pPr>
        <w:overflowPunct w:val="0"/>
        <w:autoSpaceDE w:val="0"/>
        <w:autoSpaceDN w:val="0"/>
        <w:adjustRightInd w:val="0"/>
        <w:spacing w:after="120" w:line="240" w:lineRule="auto"/>
        <w:ind w:right="23"/>
        <w:jc w:val="center"/>
        <w:textAlignment w:val="baseline"/>
        <w:rPr>
          <w:rFonts w:ascii="Times New Roman" w:eastAsia="Times New Roman" w:hAnsi="Times New Roman" w:cs="Times New Roman"/>
          <w:sz w:val="26"/>
          <w:szCs w:val="26"/>
          <w:lang w:eastAsia="hu-HU"/>
        </w:rPr>
      </w:pPr>
      <w:r w:rsidRPr="009E3E8D">
        <w:rPr>
          <w:noProof/>
          <w:lang w:eastAsia="hu-HU"/>
        </w:rPr>
        <w:drawing>
          <wp:inline distT="0" distB="0" distL="0" distR="0" wp14:anchorId="66612238" wp14:editId="4E9BD943">
            <wp:extent cx="8933815" cy="4233545"/>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33815" cy="4233545"/>
                    </a:xfrm>
                    <a:prstGeom prst="rect">
                      <a:avLst/>
                    </a:prstGeom>
                    <a:noFill/>
                    <a:ln>
                      <a:noFill/>
                    </a:ln>
                  </pic:spPr>
                </pic:pic>
              </a:graphicData>
            </a:graphic>
          </wp:inline>
        </w:drawing>
      </w:r>
    </w:p>
    <w:p w14:paraId="7B768C5F" w14:textId="77777777" w:rsidR="00B155FE" w:rsidRPr="00377D59" w:rsidRDefault="639E9B9B" w:rsidP="639E9B9B">
      <w:pPr>
        <w:spacing w:after="120" w:line="240" w:lineRule="auto"/>
        <w:jc w:val="both"/>
        <w:rPr>
          <w:rFonts w:ascii="Times New Roman" w:eastAsia="Times New Roman" w:hAnsi="Times New Roman" w:cs="Times New Roman"/>
          <w:sz w:val="24"/>
          <w:szCs w:val="24"/>
          <w:lang w:eastAsia="hu-HU"/>
        </w:rPr>
      </w:pPr>
      <w:r w:rsidRPr="639E9B9B">
        <w:rPr>
          <w:rFonts w:ascii="Times New Roman" w:eastAsia="Times New Roman" w:hAnsi="Times New Roman" w:cs="Times New Roman"/>
          <w:i/>
          <w:iCs/>
          <w:sz w:val="24"/>
          <w:szCs w:val="24"/>
          <w:lang w:eastAsia="hu-HU"/>
        </w:rPr>
        <w:t>Megjegyzés: a táblában szereplő tizedes eltérések kerekítésből adódnak.</w:t>
      </w:r>
    </w:p>
    <w:p w14:paraId="67FEF71B" w14:textId="4352F928" w:rsidR="00617877" w:rsidRPr="00377D59" w:rsidRDefault="00617877" w:rsidP="00617877">
      <w:pPr>
        <w:jc w:val="center"/>
        <w:rPr>
          <w:rFonts w:ascii="Times New Roman" w:eastAsia="Times New Roman" w:hAnsi="Times New Roman" w:cs="Times New Roman"/>
          <w:sz w:val="26"/>
          <w:szCs w:val="26"/>
          <w:lang w:eastAsia="hu-HU"/>
        </w:rPr>
      </w:pPr>
    </w:p>
    <w:p w14:paraId="612D5E01" w14:textId="247C2A7A" w:rsidR="00617877" w:rsidRPr="00377D59" w:rsidRDefault="00617877" w:rsidP="00617877">
      <w:pPr>
        <w:rPr>
          <w:rFonts w:ascii="Times New Roman" w:eastAsia="Times New Roman" w:hAnsi="Times New Roman" w:cs="Times New Roman"/>
          <w:sz w:val="26"/>
          <w:szCs w:val="26"/>
          <w:lang w:eastAsia="hu-HU"/>
        </w:rPr>
      </w:pPr>
    </w:p>
    <w:p w14:paraId="4A764331" w14:textId="77777777" w:rsidR="00EA1F58" w:rsidRPr="00377D59" w:rsidRDefault="00EA1F58" w:rsidP="00617877">
      <w:pPr>
        <w:rPr>
          <w:rFonts w:ascii="Times New Roman" w:eastAsia="Times New Roman" w:hAnsi="Times New Roman" w:cs="Times New Roman"/>
          <w:sz w:val="26"/>
          <w:szCs w:val="26"/>
          <w:lang w:eastAsia="hu-HU"/>
        </w:rPr>
        <w:sectPr w:rsidR="00EA1F58" w:rsidRPr="00377D59" w:rsidSect="00947C6B">
          <w:headerReference w:type="default" r:id="rId27"/>
          <w:headerReference w:type="first" r:id="rId28"/>
          <w:footnotePr>
            <w:numRestart w:val="eachPage"/>
          </w:footnotePr>
          <w:pgSz w:w="16840" w:h="11907" w:orient="landscape" w:code="9"/>
          <w:pgMar w:top="993" w:right="1134" w:bottom="1134" w:left="1418" w:header="709" w:footer="709" w:gutter="0"/>
          <w:pgNumType w:start="19"/>
          <w:cols w:space="708"/>
          <w:titlePg/>
          <w:docGrid w:linePitch="299"/>
        </w:sectPr>
      </w:pPr>
    </w:p>
    <w:p w14:paraId="565BF2FD" w14:textId="34FA0EFB" w:rsidR="00ED4A6F" w:rsidRPr="00ED4A6F"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b/>
          <w:bCs/>
          <w:sz w:val="26"/>
          <w:szCs w:val="26"/>
          <w:lang w:eastAsia="hu-HU"/>
        </w:rPr>
        <w:t>A központi költségvetés devizaadóssága</w:t>
      </w:r>
      <w:r w:rsidRPr="639E9B9B">
        <w:rPr>
          <w:rFonts w:ascii="Times New Roman" w:eastAsia="Times New Roman" w:hAnsi="Times New Roman" w:cs="Times New Roman"/>
          <w:sz w:val="26"/>
          <w:szCs w:val="26"/>
          <w:lang w:eastAsia="hu-HU"/>
        </w:rPr>
        <w:t xml:space="preserve"> 2024-ben 2 079,7 milliárd forinttal 15 758,1 milliárd forintra növekedett az elmúlt év végéhez képest. A devizaadósság részaránya a 2023. év végi 26,9%-os szintről 28,8%-os szintre emelkedett a teljes adósságon belül.</w:t>
      </w:r>
    </w:p>
    <w:p w14:paraId="2085C474" w14:textId="020E91CF" w:rsidR="00ED4A6F" w:rsidRPr="00ED4A6F"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A növekedés hátterében döntően a januárban végrehajtott devizakötvény-kibocsátások állnak. 2024</w:t>
      </w:r>
      <w:r w:rsidR="0040704D">
        <w:rPr>
          <w:rFonts w:ascii="Times New Roman" w:eastAsia="Times New Roman" w:hAnsi="Times New Roman" w:cs="Times New Roman"/>
          <w:sz w:val="26"/>
          <w:szCs w:val="26"/>
          <w:lang w:eastAsia="hu-HU"/>
        </w:rPr>
        <w:t>.</w:t>
      </w:r>
      <w:r w:rsidRPr="639E9B9B">
        <w:rPr>
          <w:rFonts w:ascii="Times New Roman" w:eastAsia="Times New Roman" w:hAnsi="Times New Roman" w:cs="Times New Roman"/>
          <w:sz w:val="26"/>
          <w:szCs w:val="26"/>
          <w:lang w:eastAsia="hu-HU"/>
        </w:rPr>
        <w:t xml:space="preserve"> január 3-án került sor az idei év első nemzetközi kötvénykibocsátására 863,6 milliárd forint (2,5 milliárd USD) összegben 12 éves futamidővel, majd január 18-án Magyarország harmadik EUR Zöld Kötvényének kibocsátására 5,5 éves futamidővel 577,6 milliárd forint (1,5 milliárd EUR) összegben. Áprilisban 393,8 milliárd forint (1,0 milliárd EUR) összegű projektfinanszírozó devizahitel lehívása növelte a devizaadósságot. Az ECP (Euro Commercial Paper) program keretében 2024-ben kibocsátott devizaértékpapírok összege 180,4 milliárd forint (500 millió USD) volt. Az árfolyamgyengülés szintén emelte a devizaadósság részarányát.</w:t>
      </w:r>
    </w:p>
    <w:p w14:paraId="46CE693C" w14:textId="03FC5B30" w:rsidR="00ED4A6F" w:rsidRPr="00ED4A6F"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b/>
          <w:bCs/>
          <w:sz w:val="26"/>
          <w:szCs w:val="26"/>
          <w:lang w:eastAsia="hu-HU"/>
        </w:rPr>
        <w:t>A költségvetés forintadóssága</w:t>
      </w:r>
      <w:r w:rsidRPr="639E9B9B">
        <w:rPr>
          <w:rFonts w:ascii="Times New Roman" w:eastAsia="Times New Roman" w:hAnsi="Times New Roman" w:cs="Times New Roman"/>
          <w:sz w:val="26"/>
          <w:szCs w:val="26"/>
          <w:lang w:eastAsia="hu-HU"/>
        </w:rPr>
        <w:t xml:space="preserve"> május végéig 1 912,2 milliárd forinttal növekedett</w:t>
      </w:r>
      <w:r w:rsidR="0040704D">
        <w:rPr>
          <w:rFonts w:ascii="Times New Roman" w:eastAsia="Times New Roman" w:hAnsi="Times New Roman" w:cs="Times New Roman"/>
          <w:sz w:val="26"/>
          <w:szCs w:val="26"/>
          <w:lang w:eastAsia="hu-HU"/>
        </w:rPr>
        <w:t>,</w:t>
      </w:r>
      <w:r w:rsidRPr="639E9B9B">
        <w:rPr>
          <w:rFonts w:ascii="Times New Roman" w:eastAsia="Times New Roman" w:hAnsi="Times New Roman" w:cs="Times New Roman"/>
          <w:sz w:val="26"/>
          <w:szCs w:val="26"/>
          <w:lang w:eastAsia="hu-HU"/>
        </w:rPr>
        <w:t xml:space="preserve"> és 38 800,2 milliárd forintot ért el, a forint adósság a teljes államadósság 71,0%-át teszi ki. 2023 decemberében ez az arány 72,5% volt. </w:t>
      </w:r>
    </w:p>
    <w:p w14:paraId="77A80D7E" w14:textId="73EDD7E2" w:rsidR="00ED4A6F" w:rsidRPr="00ED4A6F"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2024. május végén a forint lakossági állampapírok állománya 11 026,2 milliárd forintot tett ki, ami 949,0 milliárd forint növekedést jelent 2023. december vége óta. A Prémium Magyar Állampapír állománya 2024. május végére 148,1 milliárd forinttal növekedett, amely így 7 140,8 milliárd forintot tett ki. A januárban bevezetett, 3 éves futamidejű Fix Magyar Állampapírral állománya elérte a 422,0 milliárd forintot hó végén. Szintén emelkedett a 3 és 5 éves Bónusz Magyar Állampapír értékesítése is, 122,3 milliárd forint növekedést követően a hó végén 995,5 milliárd forintot tett ki. Az Egyéves Magyar Állampapír állománya 792,8 milliárd forint volt május végén, ami 218,8 milliárd forinttal magasabb a 2023. év végi állománynál. A lakossági állampapír-kereslet döntő hányadát a hosszú futamidejű Fix Magyar Állampapír és a Bónusz Magyar Állampapír értékesítése képezte májusban.</w:t>
      </w:r>
    </w:p>
    <w:p w14:paraId="66BE5154" w14:textId="5018497B" w:rsidR="00ED4A6F" w:rsidRPr="00ED4A6F"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Az ÁKK Zrt. május hó folyamán összesen 12,4 milliárd forint összegben vásárolt vissza lakossági állampapírokat a forgalmazó bankoktól.</w:t>
      </w:r>
    </w:p>
    <w:p w14:paraId="2E42E047" w14:textId="467747A1" w:rsidR="00ED4A6F" w:rsidRPr="00ED4A6F"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i/>
          <w:iCs/>
          <w:sz w:val="26"/>
          <w:szCs w:val="26"/>
          <w:lang w:eastAsia="hu-HU"/>
        </w:rPr>
        <w:t>A külföldi befektetők állampapír állománya</w:t>
      </w:r>
      <w:r w:rsidRPr="639E9B9B">
        <w:rPr>
          <w:rFonts w:ascii="Times New Roman" w:eastAsia="Times New Roman" w:hAnsi="Times New Roman" w:cs="Times New Roman"/>
          <w:sz w:val="26"/>
          <w:szCs w:val="26"/>
          <w:lang w:eastAsia="hu-HU"/>
        </w:rPr>
        <w:t xml:space="preserve"> májusban 273,3 milliárd forinttal 7 111,7 milliárd forintra növekedett az előző hónaphoz képest. A külföldi állomány 98,9%-a, 7 032,9 milliárd forint államkötvény, 1,1%-a, 78,9 milliárd forint diszkontkincstárjegy. A külföldi állomány átlagos hátralévő futamideje május végén 5,7 év volt.</w:t>
      </w:r>
    </w:p>
    <w:p w14:paraId="06A97864" w14:textId="0FB2D2D8" w:rsidR="00FB59DC" w:rsidRPr="00D226F1" w:rsidRDefault="639E9B9B" w:rsidP="639E9B9B">
      <w:pPr>
        <w:jc w:val="both"/>
        <w:rPr>
          <w:rFonts w:ascii="Times New Roman" w:eastAsia="Times New Roman" w:hAnsi="Times New Roman" w:cs="Times New Roman"/>
          <w:sz w:val="26"/>
          <w:szCs w:val="26"/>
          <w:lang w:eastAsia="hu-HU"/>
        </w:rPr>
      </w:pPr>
      <w:r w:rsidRPr="639E9B9B">
        <w:rPr>
          <w:rFonts w:ascii="Times New Roman" w:eastAsia="Times New Roman" w:hAnsi="Times New Roman" w:cs="Times New Roman"/>
          <w:sz w:val="26"/>
          <w:szCs w:val="26"/>
          <w:lang w:eastAsia="hu-HU"/>
        </w:rPr>
        <w:t>A deviza-államadósság kockázatainak csökkentése érdekében az ÁKK Zrt. swap műveleteket köt, amiből az adósságállomány részét képezik az ezen ügyletek után az ÁKK Zrt-nél elhelyezésre kerülő fedezeti összegek (az ún. mark-to-market betétek) az egyéb kötelezettségek soron. A korábbi dollárkötvény kibocsátások óta eltelt időszakban az egyéb devizák (főként az USD) jelentősen felértékelődtek az euróhoz képest, az emiatt keletkező többletadósságot viszont a swapkötéssel sikerült kizárni. Az év első öt hónapja alatt az egyéb kötelezettségek állománya 224,5 milliárd forinttal csökkent. Május végén az állomány 74,3 milliárd forintot tett ki, ami a teljes államadósság 0,1%-át jelenti.</w:t>
      </w:r>
    </w:p>
    <w:sectPr w:rsidR="00FB59DC" w:rsidRPr="00D226F1" w:rsidSect="00617877">
      <w:headerReference w:type="even" r:id="rId29"/>
      <w:footerReference w:type="default" r:id="rId30"/>
      <w:footerReference w:type="first" r:id="rId31"/>
      <w:pgSz w:w="11906" w:h="16838"/>
      <w:pgMar w:top="1418" w:right="1134" w:bottom="1418" w:left="1134" w:header="708"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67BB" w14:textId="77777777" w:rsidR="00BC74C4" w:rsidRDefault="00BC74C4" w:rsidP="00B155FE">
      <w:pPr>
        <w:spacing w:after="0" w:line="240" w:lineRule="auto"/>
      </w:pPr>
      <w:r>
        <w:separator/>
      </w:r>
    </w:p>
  </w:endnote>
  <w:endnote w:type="continuationSeparator" w:id="0">
    <w:p w14:paraId="0EAF3A3F" w14:textId="77777777" w:rsidR="00BC74C4" w:rsidRDefault="00BC74C4" w:rsidP="00B155FE">
      <w:pPr>
        <w:spacing w:after="0" w:line="240" w:lineRule="auto"/>
      </w:pPr>
      <w:r>
        <w:continuationSeparator/>
      </w:r>
    </w:p>
  </w:endnote>
  <w:endnote w:type="continuationNotice" w:id="1">
    <w:p w14:paraId="6790D7B2" w14:textId="77777777" w:rsidR="00BC74C4" w:rsidRDefault="00BC7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2D1F" w14:textId="4DE2DC1D" w:rsidR="008B2A36" w:rsidRDefault="008B2A36">
    <w:pPr>
      <w:pStyle w:val="llb"/>
      <w:jc w:val="center"/>
    </w:pPr>
  </w:p>
  <w:p w14:paraId="41773F2F" w14:textId="77777777" w:rsidR="008B2A36" w:rsidRDefault="008B2A3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54505"/>
      <w:docPartObj>
        <w:docPartGallery w:val="Page Numbers (Bottom of Page)"/>
        <w:docPartUnique/>
      </w:docPartObj>
    </w:sdtPr>
    <w:sdtEndPr>
      <w:rPr>
        <w:rFonts w:ascii="Times New Roman" w:hAnsi="Times New Roman" w:cs="Times New Roman"/>
        <w:sz w:val="24"/>
      </w:rPr>
    </w:sdtEndPr>
    <w:sdtContent>
      <w:p w14:paraId="52C756D2" w14:textId="25F50D17" w:rsidR="008B2A36" w:rsidRPr="005B3D58" w:rsidRDefault="008B2A36">
        <w:pPr>
          <w:pStyle w:val="llb"/>
          <w:jc w:val="center"/>
          <w:rPr>
            <w:rFonts w:ascii="Times New Roman" w:hAnsi="Times New Roman" w:cs="Times New Roman"/>
            <w:sz w:val="24"/>
          </w:rPr>
        </w:pPr>
        <w:r>
          <w:rPr>
            <w:rFonts w:ascii="Times New Roman" w:hAnsi="Times New Roman" w:cs="Times New Roman"/>
            <w:sz w:val="24"/>
            <w:szCs w:val="24"/>
          </w:rPr>
          <w:t>19</w:t>
        </w:r>
      </w:p>
    </w:sdtContent>
  </w:sdt>
  <w:p w14:paraId="64304736" w14:textId="77777777" w:rsidR="008B2A36" w:rsidRDefault="008B2A3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58895"/>
      <w:docPartObj>
        <w:docPartGallery w:val="Page Numbers (Bottom of Page)"/>
        <w:docPartUnique/>
      </w:docPartObj>
    </w:sdtPr>
    <w:sdtEndPr>
      <w:rPr>
        <w:rFonts w:ascii="Times New Roman" w:hAnsi="Times New Roman" w:cs="Times New Roman"/>
        <w:sz w:val="24"/>
      </w:rPr>
    </w:sdtEndPr>
    <w:sdtContent>
      <w:p w14:paraId="10FD5F29" w14:textId="5FC2EE51" w:rsidR="008B2A36" w:rsidRPr="00470868" w:rsidRDefault="008B2A36">
        <w:pPr>
          <w:pStyle w:val="llb"/>
          <w:jc w:val="center"/>
          <w:rPr>
            <w:rFonts w:ascii="Times New Roman" w:hAnsi="Times New Roman" w:cs="Times New Roman"/>
            <w:sz w:val="24"/>
          </w:rPr>
        </w:pPr>
        <w:r w:rsidRPr="00470868">
          <w:rPr>
            <w:rFonts w:ascii="Times New Roman" w:hAnsi="Times New Roman" w:cs="Times New Roman"/>
            <w:sz w:val="24"/>
          </w:rPr>
          <w:fldChar w:fldCharType="begin"/>
        </w:r>
        <w:r w:rsidRPr="00470868">
          <w:rPr>
            <w:rFonts w:ascii="Times New Roman" w:hAnsi="Times New Roman" w:cs="Times New Roman"/>
            <w:sz w:val="24"/>
          </w:rPr>
          <w:instrText>PAGE   \* MERGEFORMAT</w:instrText>
        </w:r>
        <w:r w:rsidRPr="00470868">
          <w:rPr>
            <w:rFonts w:ascii="Times New Roman" w:hAnsi="Times New Roman" w:cs="Times New Roman"/>
            <w:sz w:val="24"/>
          </w:rPr>
          <w:fldChar w:fldCharType="separate"/>
        </w:r>
        <w:r w:rsidR="00770976">
          <w:rPr>
            <w:rFonts w:ascii="Times New Roman" w:hAnsi="Times New Roman" w:cs="Times New Roman"/>
            <w:noProof/>
            <w:sz w:val="24"/>
          </w:rPr>
          <w:t>1</w:t>
        </w:r>
        <w:r w:rsidRPr="00470868">
          <w:rPr>
            <w:rFonts w:ascii="Times New Roman" w:hAnsi="Times New Roman" w:cs="Times New Roman"/>
            <w:sz w:val="24"/>
          </w:rPr>
          <w:fldChar w:fldCharType="end"/>
        </w:r>
      </w:p>
    </w:sdtContent>
  </w:sdt>
  <w:p w14:paraId="17329691" w14:textId="773A5D5E" w:rsidR="008B2A36" w:rsidRPr="00556984" w:rsidRDefault="008B2A36" w:rsidP="0055698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8299"/>
      <w:docPartObj>
        <w:docPartGallery w:val="Page Numbers (Bottom of Page)"/>
        <w:docPartUnique/>
      </w:docPartObj>
    </w:sdtPr>
    <w:sdtEndPr>
      <w:rPr>
        <w:rFonts w:ascii="Times New Roman" w:hAnsi="Times New Roman" w:cs="Times New Roman"/>
      </w:rPr>
    </w:sdtEndPr>
    <w:sdtContent>
      <w:p w14:paraId="3125117D" w14:textId="529204FE" w:rsidR="008B2A36" w:rsidRPr="00D226F1" w:rsidRDefault="008B2A36">
        <w:pPr>
          <w:pStyle w:val="llb"/>
          <w:jc w:val="center"/>
          <w:rPr>
            <w:rFonts w:ascii="Times New Roman" w:hAnsi="Times New Roman" w:cs="Times New Roman"/>
          </w:rPr>
        </w:pPr>
        <w:r w:rsidRPr="00D226F1">
          <w:rPr>
            <w:rFonts w:ascii="Times New Roman" w:hAnsi="Times New Roman" w:cs="Times New Roman"/>
          </w:rPr>
          <w:t>21</w:t>
        </w:r>
      </w:p>
    </w:sdtContent>
  </w:sdt>
  <w:p w14:paraId="761CC432" w14:textId="77777777" w:rsidR="008B2A36" w:rsidRDefault="008B2A36" w:rsidP="00C74E0F">
    <w:pPr>
      <w:pStyle w:val="llb"/>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E82E" w14:textId="61C12A65" w:rsidR="008B2A36" w:rsidRDefault="008B2A36" w:rsidP="004A3001">
    <w:pPr>
      <w:pStyle w:val="llb"/>
      <w:jc w:val="center"/>
    </w:pPr>
    <w:r w:rsidRPr="639E9B9B">
      <w:rPr>
        <w:rFonts w:ascii="Times New Roman" w:hAnsi="Times New Roman" w:cs="Times New Roman"/>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17E7" w14:textId="77777777" w:rsidR="00BC74C4" w:rsidRDefault="00BC74C4" w:rsidP="00B155FE">
      <w:pPr>
        <w:spacing w:after="0" w:line="240" w:lineRule="auto"/>
      </w:pPr>
      <w:r>
        <w:separator/>
      </w:r>
    </w:p>
  </w:footnote>
  <w:footnote w:type="continuationSeparator" w:id="0">
    <w:p w14:paraId="16DFAFB4" w14:textId="77777777" w:rsidR="00BC74C4" w:rsidRDefault="00BC74C4" w:rsidP="00B155FE">
      <w:pPr>
        <w:spacing w:after="0" w:line="240" w:lineRule="auto"/>
      </w:pPr>
      <w:r>
        <w:continuationSeparator/>
      </w:r>
    </w:p>
  </w:footnote>
  <w:footnote w:type="continuationNotice" w:id="1">
    <w:p w14:paraId="088B26F6" w14:textId="77777777" w:rsidR="00BC74C4" w:rsidRDefault="00BC74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C96" w14:textId="77777777" w:rsidR="008B2A36" w:rsidRPr="00881044" w:rsidRDefault="008B2A36" w:rsidP="00C74E0F">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C97" w14:textId="77777777" w:rsidR="008B2A36" w:rsidRPr="00FE4DD1" w:rsidRDefault="008B2A36" w:rsidP="00C74E0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09518"/>
      <w:docPartObj>
        <w:docPartGallery w:val="Page Numbers (Top of Page)"/>
        <w:docPartUnique/>
      </w:docPartObj>
    </w:sdtPr>
    <w:sdtEndPr>
      <w:rPr>
        <w:noProof/>
      </w:rPr>
    </w:sdtEndPr>
    <w:sdtContent>
      <w:p w14:paraId="7585AF56" w14:textId="77777777" w:rsidR="008B2A36" w:rsidRDefault="008B2A36">
        <w:pPr>
          <w:pStyle w:val="lfej"/>
          <w:jc w:val="center"/>
        </w:pPr>
        <w:r>
          <w:fldChar w:fldCharType="begin"/>
        </w:r>
        <w:r>
          <w:instrText xml:space="preserve"> PAGE   \* MERGEFORMAT </w:instrText>
        </w:r>
        <w:r>
          <w:fldChar w:fldCharType="separate"/>
        </w:r>
        <w:r>
          <w:rPr>
            <w:noProof/>
          </w:rPr>
          <w:t>20</w:t>
        </w:r>
        <w:r>
          <w:rPr>
            <w:noProof/>
          </w:rPr>
          <w:fldChar w:fldCharType="end"/>
        </w:r>
      </w:p>
    </w:sdtContent>
  </w:sdt>
  <w:p w14:paraId="24A46ECE" w14:textId="77777777" w:rsidR="008B2A36" w:rsidRDefault="008B2A3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6602D43"/>
    <w:multiLevelType w:val="hybridMultilevel"/>
    <w:tmpl w:val="390E53F2"/>
    <w:lvl w:ilvl="0" w:tplc="F872D380">
      <w:start w:val="1"/>
      <w:numFmt w:val="bullet"/>
      <w:lvlText w:val=""/>
      <w:lvlJc w:val="left"/>
      <w:pPr>
        <w:ind w:left="720" w:hanging="360"/>
      </w:pPr>
      <w:rPr>
        <w:rFonts w:ascii="Symbol" w:hAnsi="Symbol" w:hint="default"/>
      </w:rPr>
    </w:lvl>
    <w:lvl w:ilvl="1" w:tplc="86BC4448">
      <w:start w:val="1"/>
      <w:numFmt w:val="bullet"/>
      <w:lvlText w:val="o"/>
      <w:lvlJc w:val="left"/>
      <w:pPr>
        <w:ind w:left="1440" w:hanging="360"/>
      </w:pPr>
      <w:rPr>
        <w:rFonts w:ascii="Courier New" w:hAnsi="Courier New" w:hint="default"/>
      </w:rPr>
    </w:lvl>
    <w:lvl w:ilvl="2" w:tplc="F05C9352">
      <w:start w:val="1"/>
      <w:numFmt w:val="bullet"/>
      <w:lvlText w:val=""/>
      <w:lvlJc w:val="left"/>
      <w:pPr>
        <w:ind w:left="2160" w:hanging="360"/>
      </w:pPr>
      <w:rPr>
        <w:rFonts w:ascii="Wingdings" w:hAnsi="Wingdings" w:hint="default"/>
      </w:rPr>
    </w:lvl>
    <w:lvl w:ilvl="3" w:tplc="232EF98C">
      <w:start w:val="1"/>
      <w:numFmt w:val="bullet"/>
      <w:lvlText w:val=""/>
      <w:lvlJc w:val="left"/>
      <w:pPr>
        <w:ind w:left="2880" w:hanging="360"/>
      </w:pPr>
      <w:rPr>
        <w:rFonts w:ascii="Symbol" w:hAnsi="Symbol" w:hint="default"/>
      </w:rPr>
    </w:lvl>
    <w:lvl w:ilvl="4" w:tplc="03066B72">
      <w:start w:val="1"/>
      <w:numFmt w:val="bullet"/>
      <w:lvlText w:val="o"/>
      <w:lvlJc w:val="left"/>
      <w:pPr>
        <w:ind w:left="3600" w:hanging="360"/>
      </w:pPr>
      <w:rPr>
        <w:rFonts w:ascii="Courier New" w:hAnsi="Courier New" w:hint="default"/>
      </w:rPr>
    </w:lvl>
    <w:lvl w:ilvl="5" w:tplc="7A906010">
      <w:start w:val="1"/>
      <w:numFmt w:val="bullet"/>
      <w:lvlText w:val=""/>
      <w:lvlJc w:val="left"/>
      <w:pPr>
        <w:ind w:left="4320" w:hanging="360"/>
      </w:pPr>
      <w:rPr>
        <w:rFonts w:ascii="Wingdings" w:hAnsi="Wingdings" w:hint="default"/>
      </w:rPr>
    </w:lvl>
    <w:lvl w:ilvl="6" w:tplc="9F6A3F04">
      <w:start w:val="1"/>
      <w:numFmt w:val="bullet"/>
      <w:lvlText w:val=""/>
      <w:lvlJc w:val="left"/>
      <w:pPr>
        <w:ind w:left="5040" w:hanging="360"/>
      </w:pPr>
      <w:rPr>
        <w:rFonts w:ascii="Symbol" w:hAnsi="Symbol" w:hint="default"/>
      </w:rPr>
    </w:lvl>
    <w:lvl w:ilvl="7" w:tplc="D5603E42">
      <w:start w:val="1"/>
      <w:numFmt w:val="bullet"/>
      <w:lvlText w:val="o"/>
      <w:lvlJc w:val="left"/>
      <w:pPr>
        <w:ind w:left="5760" w:hanging="360"/>
      </w:pPr>
      <w:rPr>
        <w:rFonts w:ascii="Courier New" w:hAnsi="Courier New" w:hint="default"/>
      </w:rPr>
    </w:lvl>
    <w:lvl w:ilvl="8" w:tplc="F1D4D0F8">
      <w:start w:val="1"/>
      <w:numFmt w:val="bullet"/>
      <w:lvlText w:val=""/>
      <w:lvlJc w:val="left"/>
      <w:pPr>
        <w:ind w:left="6480" w:hanging="360"/>
      </w:pPr>
      <w:rPr>
        <w:rFonts w:ascii="Wingdings" w:hAnsi="Wingdings" w:hint="default"/>
      </w:rPr>
    </w:lvl>
  </w:abstractNum>
  <w:abstractNum w:abstractNumId="2" w15:restartNumberingAfterBreak="0">
    <w:nsid w:val="3CC7670D"/>
    <w:multiLevelType w:val="hybridMultilevel"/>
    <w:tmpl w:val="FDDC7674"/>
    <w:lvl w:ilvl="0" w:tplc="9120DF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033469"/>
    <w:multiLevelType w:val="hybridMultilevel"/>
    <w:tmpl w:val="D612FE54"/>
    <w:lvl w:ilvl="0" w:tplc="85BCE940">
      <w:start w:val="1"/>
      <w:numFmt w:val="bullet"/>
      <w:lvlText w:val=""/>
      <w:lvlJc w:val="left"/>
      <w:pPr>
        <w:ind w:left="720" w:hanging="360"/>
      </w:pPr>
      <w:rPr>
        <w:rFonts w:ascii="Symbol" w:hAnsi="Symbol" w:hint="default"/>
      </w:rPr>
    </w:lvl>
    <w:lvl w:ilvl="1" w:tplc="EDE89D4A">
      <w:start w:val="1"/>
      <w:numFmt w:val="bullet"/>
      <w:lvlText w:val="o"/>
      <w:lvlJc w:val="left"/>
      <w:pPr>
        <w:ind w:left="1440" w:hanging="360"/>
      </w:pPr>
      <w:rPr>
        <w:rFonts w:ascii="Courier New" w:hAnsi="Courier New" w:hint="default"/>
      </w:rPr>
    </w:lvl>
    <w:lvl w:ilvl="2" w:tplc="91061732">
      <w:start w:val="1"/>
      <w:numFmt w:val="bullet"/>
      <w:lvlText w:val=""/>
      <w:lvlJc w:val="left"/>
      <w:pPr>
        <w:ind w:left="2160" w:hanging="360"/>
      </w:pPr>
      <w:rPr>
        <w:rFonts w:ascii="Wingdings" w:hAnsi="Wingdings" w:hint="default"/>
      </w:rPr>
    </w:lvl>
    <w:lvl w:ilvl="3" w:tplc="5D04C974">
      <w:start w:val="1"/>
      <w:numFmt w:val="bullet"/>
      <w:lvlText w:val=""/>
      <w:lvlJc w:val="left"/>
      <w:pPr>
        <w:ind w:left="2880" w:hanging="360"/>
      </w:pPr>
      <w:rPr>
        <w:rFonts w:ascii="Symbol" w:hAnsi="Symbol" w:hint="default"/>
      </w:rPr>
    </w:lvl>
    <w:lvl w:ilvl="4" w:tplc="1C648E36">
      <w:start w:val="1"/>
      <w:numFmt w:val="bullet"/>
      <w:lvlText w:val="o"/>
      <w:lvlJc w:val="left"/>
      <w:pPr>
        <w:ind w:left="3600" w:hanging="360"/>
      </w:pPr>
      <w:rPr>
        <w:rFonts w:ascii="Courier New" w:hAnsi="Courier New" w:hint="default"/>
      </w:rPr>
    </w:lvl>
    <w:lvl w:ilvl="5" w:tplc="2DB00CB0">
      <w:start w:val="1"/>
      <w:numFmt w:val="bullet"/>
      <w:lvlText w:val=""/>
      <w:lvlJc w:val="left"/>
      <w:pPr>
        <w:ind w:left="4320" w:hanging="360"/>
      </w:pPr>
      <w:rPr>
        <w:rFonts w:ascii="Wingdings" w:hAnsi="Wingdings" w:hint="default"/>
      </w:rPr>
    </w:lvl>
    <w:lvl w:ilvl="6" w:tplc="3C9E0854">
      <w:start w:val="1"/>
      <w:numFmt w:val="bullet"/>
      <w:lvlText w:val=""/>
      <w:lvlJc w:val="left"/>
      <w:pPr>
        <w:ind w:left="5040" w:hanging="360"/>
      </w:pPr>
      <w:rPr>
        <w:rFonts w:ascii="Symbol" w:hAnsi="Symbol" w:hint="default"/>
      </w:rPr>
    </w:lvl>
    <w:lvl w:ilvl="7" w:tplc="EF2AE296">
      <w:start w:val="1"/>
      <w:numFmt w:val="bullet"/>
      <w:lvlText w:val="o"/>
      <w:lvlJc w:val="left"/>
      <w:pPr>
        <w:ind w:left="5760" w:hanging="360"/>
      </w:pPr>
      <w:rPr>
        <w:rFonts w:ascii="Courier New" w:hAnsi="Courier New" w:hint="default"/>
      </w:rPr>
    </w:lvl>
    <w:lvl w:ilvl="8" w:tplc="1B7CE0FC">
      <w:start w:val="1"/>
      <w:numFmt w:val="bullet"/>
      <w:lvlText w:val=""/>
      <w:lvlJc w:val="left"/>
      <w:pPr>
        <w:ind w:left="6480" w:hanging="360"/>
      </w:pPr>
      <w:rPr>
        <w:rFonts w:ascii="Wingdings" w:hAnsi="Wingdings" w:hint="default"/>
      </w:rPr>
    </w:lvl>
  </w:abstractNum>
  <w:abstractNum w:abstractNumId="4"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70F720B"/>
    <w:multiLevelType w:val="hybridMultilevel"/>
    <w:tmpl w:val="9D346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FE"/>
    <w:rsid w:val="00000517"/>
    <w:rsid w:val="0000169C"/>
    <w:rsid w:val="00001DDD"/>
    <w:rsid w:val="000103E9"/>
    <w:rsid w:val="00015945"/>
    <w:rsid w:val="00020D17"/>
    <w:rsid w:val="00022974"/>
    <w:rsid w:val="0002586B"/>
    <w:rsid w:val="00026266"/>
    <w:rsid w:val="0002674A"/>
    <w:rsid w:val="000302F3"/>
    <w:rsid w:val="00031C82"/>
    <w:rsid w:val="0003668B"/>
    <w:rsid w:val="0003701E"/>
    <w:rsid w:val="0004032B"/>
    <w:rsid w:val="00044042"/>
    <w:rsid w:val="000458BD"/>
    <w:rsid w:val="000471E4"/>
    <w:rsid w:val="000512BB"/>
    <w:rsid w:val="00051E9B"/>
    <w:rsid w:val="0005236D"/>
    <w:rsid w:val="00052502"/>
    <w:rsid w:val="00052E4F"/>
    <w:rsid w:val="00054CDA"/>
    <w:rsid w:val="00057916"/>
    <w:rsid w:val="000617B7"/>
    <w:rsid w:val="00064521"/>
    <w:rsid w:val="0006496D"/>
    <w:rsid w:val="00064D6A"/>
    <w:rsid w:val="00065E19"/>
    <w:rsid w:val="00071FA3"/>
    <w:rsid w:val="00072A58"/>
    <w:rsid w:val="000770F3"/>
    <w:rsid w:val="0008062F"/>
    <w:rsid w:val="00081A0C"/>
    <w:rsid w:val="00082ADE"/>
    <w:rsid w:val="000846A7"/>
    <w:rsid w:val="00085DCC"/>
    <w:rsid w:val="00091F16"/>
    <w:rsid w:val="0009484D"/>
    <w:rsid w:val="00095C95"/>
    <w:rsid w:val="000A296F"/>
    <w:rsid w:val="000A2EAB"/>
    <w:rsid w:val="000A531B"/>
    <w:rsid w:val="000A7964"/>
    <w:rsid w:val="000B1235"/>
    <w:rsid w:val="000B2569"/>
    <w:rsid w:val="000B49AE"/>
    <w:rsid w:val="000B6723"/>
    <w:rsid w:val="000B6BE0"/>
    <w:rsid w:val="000C13F2"/>
    <w:rsid w:val="000C1781"/>
    <w:rsid w:val="000C31E5"/>
    <w:rsid w:val="000C3D4C"/>
    <w:rsid w:val="000C7CC7"/>
    <w:rsid w:val="000D074C"/>
    <w:rsid w:val="000D1BA8"/>
    <w:rsid w:val="000D4A41"/>
    <w:rsid w:val="000D4E21"/>
    <w:rsid w:val="000D76F4"/>
    <w:rsid w:val="000D7836"/>
    <w:rsid w:val="000D7C83"/>
    <w:rsid w:val="000D7EFD"/>
    <w:rsid w:val="000E4745"/>
    <w:rsid w:val="000E4F73"/>
    <w:rsid w:val="000F13BA"/>
    <w:rsid w:val="000F63B6"/>
    <w:rsid w:val="00103FE9"/>
    <w:rsid w:val="00110C6D"/>
    <w:rsid w:val="001138B8"/>
    <w:rsid w:val="00115AF5"/>
    <w:rsid w:val="00117E64"/>
    <w:rsid w:val="001209E7"/>
    <w:rsid w:val="00120B53"/>
    <w:rsid w:val="001215DC"/>
    <w:rsid w:val="0012490F"/>
    <w:rsid w:val="00125040"/>
    <w:rsid w:val="00126D53"/>
    <w:rsid w:val="00133EE6"/>
    <w:rsid w:val="0013421A"/>
    <w:rsid w:val="0013434A"/>
    <w:rsid w:val="00135EA3"/>
    <w:rsid w:val="00136087"/>
    <w:rsid w:val="001378AC"/>
    <w:rsid w:val="00146517"/>
    <w:rsid w:val="00147C0E"/>
    <w:rsid w:val="0015385C"/>
    <w:rsid w:val="00153C19"/>
    <w:rsid w:val="00155283"/>
    <w:rsid w:val="001615DE"/>
    <w:rsid w:val="00170E23"/>
    <w:rsid w:val="00185268"/>
    <w:rsid w:val="00186B09"/>
    <w:rsid w:val="00193DF7"/>
    <w:rsid w:val="00194E8F"/>
    <w:rsid w:val="001970FB"/>
    <w:rsid w:val="00197516"/>
    <w:rsid w:val="001A2835"/>
    <w:rsid w:val="001A5B43"/>
    <w:rsid w:val="001B0DB1"/>
    <w:rsid w:val="001B307C"/>
    <w:rsid w:val="001B4DF1"/>
    <w:rsid w:val="001B50D2"/>
    <w:rsid w:val="001B6F61"/>
    <w:rsid w:val="001C1935"/>
    <w:rsid w:val="001D04A8"/>
    <w:rsid w:val="001D04FF"/>
    <w:rsid w:val="001D17F4"/>
    <w:rsid w:val="001D4975"/>
    <w:rsid w:val="001D6BA0"/>
    <w:rsid w:val="001D709B"/>
    <w:rsid w:val="001D7FB5"/>
    <w:rsid w:val="001E4C57"/>
    <w:rsid w:val="001E6717"/>
    <w:rsid w:val="001E689B"/>
    <w:rsid w:val="001F10C2"/>
    <w:rsid w:val="001F4D95"/>
    <w:rsid w:val="001F7400"/>
    <w:rsid w:val="001F7BB0"/>
    <w:rsid w:val="001F7CA7"/>
    <w:rsid w:val="00201050"/>
    <w:rsid w:val="00204EA6"/>
    <w:rsid w:val="0020759E"/>
    <w:rsid w:val="00213E49"/>
    <w:rsid w:val="00215B35"/>
    <w:rsid w:val="0022104D"/>
    <w:rsid w:val="00224714"/>
    <w:rsid w:val="002247AD"/>
    <w:rsid w:val="00226A85"/>
    <w:rsid w:val="002276A7"/>
    <w:rsid w:val="0022DF0C"/>
    <w:rsid w:val="00232FCD"/>
    <w:rsid w:val="0023693F"/>
    <w:rsid w:val="0024009D"/>
    <w:rsid w:val="002409BB"/>
    <w:rsid w:val="00241A82"/>
    <w:rsid w:val="00241E69"/>
    <w:rsid w:val="0024586E"/>
    <w:rsid w:val="0025229C"/>
    <w:rsid w:val="00262041"/>
    <w:rsid w:val="002655BB"/>
    <w:rsid w:val="00265E51"/>
    <w:rsid w:val="00272765"/>
    <w:rsid w:val="002736E9"/>
    <w:rsid w:val="00275CF5"/>
    <w:rsid w:val="00280C09"/>
    <w:rsid w:val="00282A85"/>
    <w:rsid w:val="002910F0"/>
    <w:rsid w:val="002921A1"/>
    <w:rsid w:val="00295391"/>
    <w:rsid w:val="002A11AD"/>
    <w:rsid w:val="002A1BCD"/>
    <w:rsid w:val="002A4B97"/>
    <w:rsid w:val="002B09F4"/>
    <w:rsid w:val="002B39F8"/>
    <w:rsid w:val="002B7BB9"/>
    <w:rsid w:val="002B7C36"/>
    <w:rsid w:val="002C1531"/>
    <w:rsid w:val="002C4EE9"/>
    <w:rsid w:val="002D7D55"/>
    <w:rsid w:val="002E1C57"/>
    <w:rsid w:val="002E4E83"/>
    <w:rsid w:val="002E5FBF"/>
    <w:rsid w:val="002E7744"/>
    <w:rsid w:val="002F150D"/>
    <w:rsid w:val="002F4E3B"/>
    <w:rsid w:val="002F5E69"/>
    <w:rsid w:val="002F6DDD"/>
    <w:rsid w:val="002F7F1A"/>
    <w:rsid w:val="0030136A"/>
    <w:rsid w:val="003018B0"/>
    <w:rsid w:val="003050ED"/>
    <w:rsid w:val="00307C4F"/>
    <w:rsid w:val="00311E85"/>
    <w:rsid w:val="00316788"/>
    <w:rsid w:val="0032261D"/>
    <w:rsid w:val="0032514C"/>
    <w:rsid w:val="00327D30"/>
    <w:rsid w:val="003310E3"/>
    <w:rsid w:val="00333A2D"/>
    <w:rsid w:val="0033462C"/>
    <w:rsid w:val="00336E30"/>
    <w:rsid w:val="0034134A"/>
    <w:rsid w:val="0034232F"/>
    <w:rsid w:val="00343A3D"/>
    <w:rsid w:val="00346908"/>
    <w:rsid w:val="00350F76"/>
    <w:rsid w:val="00351831"/>
    <w:rsid w:val="00351D59"/>
    <w:rsid w:val="003524B0"/>
    <w:rsid w:val="003550F2"/>
    <w:rsid w:val="003559D3"/>
    <w:rsid w:val="00356959"/>
    <w:rsid w:val="0035701C"/>
    <w:rsid w:val="00360024"/>
    <w:rsid w:val="00362276"/>
    <w:rsid w:val="00364745"/>
    <w:rsid w:val="00370B57"/>
    <w:rsid w:val="00370CD6"/>
    <w:rsid w:val="00375C19"/>
    <w:rsid w:val="00377D59"/>
    <w:rsid w:val="003804A3"/>
    <w:rsid w:val="00380D8A"/>
    <w:rsid w:val="003824FA"/>
    <w:rsid w:val="00382EE1"/>
    <w:rsid w:val="00384AA3"/>
    <w:rsid w:val="003865FB"/>
    <w:rsid w:val="00387FF8"/>
    <w:rsid w:val="0039133A"/>
    <w:rsid w:val="003942C9"/>
    <w:rsid w:val="00395832"/>
    <w:rsid w:val="003A0943"/>
    <w:rsid w:val="003A4D97"/>
    <w:rsid w:val="003A5C78"/>
    <w:rsid w:val="003A6B84"/>
    <w:rsid w:val="003B53B6"/>
    <w:rsid w:val="003B55AB"/>
    <w:rsid w:val="003C09EA"/>
    <w:rsid w:val="003C2D6B"/>
    <w:rsid w:val="003C501E"/>
    <w:rsid w:val="003D0602"/>
    <w:rsid w:val="003D16B4"/>
    <w:rsid w:val="003D5132"/>
    <w:rsid w:val="003E46ED"/>
    <w:rsid w:val="003E4A41"/>
    <w:rsid w:val="003E508C"/>
    <w:rsid w:val="003F267F"/>
    <w:rsid w:val="003F3151"/>
    <w:rsid w:val="00400149"/>
    <w:rsid w:val="004003D1"/>
    <w:rsid w:val="00403D7E"/>
    <w:rsid w:val="0040704D"/>
    <w:rsid w:val="00411BDD"/>
    <w:rsid w:val="00414CDD"/>
    <w:rsid w:val="00421775"/>
    <w:rsid w:val="004220DE"/>
    <w:rsid w:val="0042380D"/>
    <w:rsid w:val="004269CF"/>
    <w:rsid w:val="0043012E"/>
    <w:rsid w:val="0043393D"/>
    <w:rsid w:val="00436C3A"/>
    <w:rsid w:val="004412D5"/>
    <w:rsid w:val="0044233D"/>
    <w:rsid w:val="00442993"/>
    <w:rsid w:val="00444554"/>
    <w:rsid w:val="0044587B"/>
    <w:rsid w:val="004523FE"/>
    <w:rsid w:val="004561EE"/>
    <w:rsid w:val="00457918"/>
    <w:rsid w:val="00464D42"/>
    <w:rsid w:val="00466A47"/>
    <w:rsid w:val="00466C80"/>
    <w:rsid w:val="00467A58"/>
    <w:rsid w:val="00470868"/>
    <w:rsid w:val="004727C2"/>
    <w:rsid w:val="00474AC8"/>
    <w:rsid w:val="00477B37"/>
    <w:rsid w:val="004816C1"/>
    <w:rsid w:val="0048361E"/>
    <w:rsid w:val="004879B8"/>
    <w:rsid w:val="00490330"/>
    <w:rsid w:val="0049287F"/>
    <w:rsid w:val="004971F1"/>
    <w:rsid w:val="004A2974"/>
    <w:rsid w:val="004A3001"/>
    <w:rsid w:val="004A6DD1"/>
    <w:rsid w:val="004B0F31"/>
    <w:rsid w:val="004B1132"/>
    <w:rsid w:val="004B1AF1"/>
    <w:rsid w:val="004B2CAC"/>
    <w:rsid w:val="004B391E"/>
    <w:rsid w:val="004B60A5"/>
    <w:rsid w:val="004B7931"/>
    <w:rsid w:val="004C64E7"/>
    <w:rsid w:val="004C73AF"/>
    <w:rsid w:val="004D06BA"/>
    <w:rsid w:val="004D0EEC"/>
    <w:rsid w:val="004D32C3"/>
    <w:rsid w:val="004D50F6"/>
    <w:rsid w:val="004D5146"/>
    <w:rsid w:val="004D549E"/>
    <w:rsid w:val="004D72BB"/>
    <w:rsid w:val="004E13F6"/>
    <w:rsid w:val="004E1FF6"/>
    <w:rsid w:val="004E6FA2"/>
    <w:rsid w:val="004F2496"/>
    <w:rsid w:val="004F277F"/>
    <w:rsid w:val="004F3F73"/>
    <w:rsid w:val="004F41FE"/>
    <w:rsid w:val="00507BC3"/>
    <w:rsid w:val="00510655"/>
    <w:rsid w:val="00521BEE"/>
    <w:rsid w:val="00523772"/>
    <w:rsid w:val="00523C26"/>
    <w:rsid w:val="005246B0"/>
    <w:rsid w:val="00526D67"/>
    <w:rsid w:val="005271DC"/>
    <w:rsid w:val="00527BF5"/>
    <w:rsid w:val="00530561"/>
    <w:rsid w:val="00530DB0"/>
    <w:rsid w:val="0053190B"/>
    <w:rsid w:val="00533CAF"/>
    <w:rsid w:val="00541866"/>
    <w:rsid w:val="00541988"/>
    <w:rsid w:val="00543F6A"/>
    <w:rsid w:val="00545562"/>
    <w:rsid w:val="00545BAB"/>
    <w:rsid w:val="00547E18"/>
    <w:rsid w:val="005521BE"/>
    <w:rsid w:val="00553319"/>
    <w:rsid w:val="005535B5"/>
    <w:rsid w:val="00556984"/>
    <w:rsid w:val="0055711F"/>
    <w:rsid w:val="0056202F"/>
    <w:rsid w:val="005635A9"/>
    <w:rsid w:val="005652EE"/>
    <w:rsid w:val="00565662"/>
    <w:rsid w:val="00584382"/>
    <w:rsid w:val="00587EF6"/>
    <w:rsid w:val="00590E73"/>
    <w:rsid w:val="00591E27"/>
    <w:rsid w:val="005920CB"/>
    <w:rsid w:val="005933D0"/>
    <w:rsid w:val="005961B9"/>
    <w:rsid w:val="005971AF"/>
    <w:rsid w:val="005A1631"/>
    <w:rsid w:val="005A246F"/>
    <w:rsid w:val="005A2FAA"/>
    <w:rsid w:val="005A684D"/>
    <w:rsid w:val="005A799B"/>
    <w:rsid w:val="005B053D"/>
    <w:rsid w:val="005B2320"/>
    <w:rsid w:val="005B2606"/>
    <w:rsid w:val="005B326D"/>
    <w:rsid w:val="005B3D58"/>
    <w:rsid w:val="005B5A7D"/>
    <w:rsid w:val="005C15F7"/>
    <w:rsid w:val="005C32F3"/>
    <w:rsid w:val="005C34CA"/>
    <w:rsid w:val="005C3CF0"/>
    <w:rsid w:val="005D02FC"/>
    <w:rsid w:val="005D3512"/>
    <w:rsid w:val="005D42A9"/>
    <w:rsid w:val="005D513C"/>
    <w:rsid w:val="005D5304"/>
    <w:rsid w:val="005E31AC"/>
    <w:rsid w:val="005E34FD"/>
    <w:rsid w:val="005E58C2"/>
    <w:rsid w:val="005F0581"/>
    <w:rsid w:val="005F5EDA"/>
    <w:rsid w:val="00601C5A"/>
    <w:rsid w:val="00603461"/>
    <w:rsid w:val="00607B0F"/>
    <w:rsid w:val="006106CD"/>
    <w:rsid w:val="00611B90"/>
    <w:rsid w:val="00616AB4"/>
    <w:rsid w:val="00617877"/>
    <w:rsid w:val="006200F6"/>
    <w:rsid w:val="006222FA"/>
    <w:rsid w:val="006260BC"/>
    <w:rsid w:val="006314BC"/>
    <w:rsid w:val="006449C9"/>
    <w:rsid w:val="006569D7"/>
    <w:rsid w:val="00656DFE"/>
    <w:rsid w:val="00657D8D"/>
    <w:rsid w:val="0066185B"/>
    <w:rsid w:val="00670A50"/>
    <w:rsid w:val="0067190E"/>
    <w:rsid w:val="006737F6"/>
    <w:rsid w:val="00675784"/>
    <w:rsid w:val="006757CD"/>
    <w:rsid w:val="00676F5C"/>
    <w:rsid w:val="00681D20"/>
    <w:rsid w:val="00681D46"/>
    <w:rsid w:val="00681D62"/>
    <w:rsid w:val="006843D1"/>
    <w:rsid w:val="00684D06"/>
    <w:rsid w:val="00685DCD"/>
    <w:rsid w:val="006909E9"/>
    <w:rsid w:val="0069214F"/>
    <w:rsid w:val="00695394"/>
    <w:rsid w:val="0069615E"/>
    <w:rsid w:val="00696F46"/>
    <w:rsid w:val="006A18B3"/>
    <w:rsid w:val="006A38AE"/>
    <w:rsid w:val="006A486D"/>
    <w:rsid w:val="006A4AFD"/>
    <w:rsid w:val="006B0E36"/>
    <w:rsid w:val="006B0F2B"/>
    <w:rsid w:val="006B1170"/>
    <w:rsid w:val="006B2682"/>
    <w:rsid w:val="006B3F67"/>
    <w:rsid w:val="006B50D4"/>
    <w:rsid w:val="006B7816"/>
    <w:rsid w:val="006C240C"/>
    <w:rsid w:val="006C2DF5"/>
    <w:rsid w:val="006C3879"/>
    <w:rsid w:val="006C5426"/>
    <w:rsid w:val="006D304F"/>
    <w:rsid w:val="006D57FF"/>
    <w:rsid w:val="006D626D"/>
    <w:rsid w:val="006D7D00"/>
    <w:rsid w:val="006E045D"/>
    <w:rsid w:val="006E1E70"/>
    <w:rsid w:val="006E311E"/>
    <w:rsid w:val="006E7C4E"/>
    <w:rsid w:val="006F6524"/>
    <w:rsid w:val="006F7D2B"/>
    <w:rsid w:val="00700FD8"/>
    <w:rsid w:val="00710A26"/>
    <w:rsid w:val="00711792"/>
    <w:rsid w:val="00712EB6"/>
    <w:rsid w:val="00715220"/>
    <w:rsid w:val="00715222"/>
    <w:rsid w:val="007173BC"/>
    <w:rsid w:val="007176FE"/>
    <w:rsid w:val="0072076F"/>
    <w:rsid w:val="007211BE"/>
    <w:rsid w:val="00727AFB"/>
    <w:rsid w:val="00736977"/>
    <w:rsid w:val="0073772C"/>
    <w:rsid w:val="00741A5C"/>
    <w:rsid w:val="00742B4A"/>
    <w:rsid w:val="00745FE6"/>
    <w:rsid w:val="007535E7"/>
    <w:rsid w:val="00753A39"/>
    <w:rsid w:val="00755595"/>
    <w:rsid w:val="007557AF"/>
    <w:rsid w:val="00763ED2"/>
    <w:rsid w:val="00763F5B"/>
    <w:rsid w:val="00767D38"/>
    <w:rsid w:val="00770976"/>
    <w:rsid w:val="00775995"/>
    <w:rsid w:val="00776277"/>
    <w:rsid w:val="007770BD"/>
    <w:rsid w:val="007804BF"/>
    <w:rsid w:val="0078168D"/>
    <w:rsid w:val="0078542D"/>
    <w:rsid w:val="00785DD9"/>
    <w:rsid w:val="00787E89"/>
    <w:rsid w:val="00796589"/>
    <w:rsid w:val="007A45B7"/>
    <w:rsid w:val="007A6D89"/>
    <w:rsid w:val="007B0346"/>
    <w:rsid w:val="007B2E0D"/>
    <w:rsid w:val="007B3563"/>
    <w:rsid w:val="007C2B68"/>
    <w:rsid w:val="007C7FEB"/>
    <w:rsid w:val="007D7E03"/>
    <w:rsid w:val="007E123A"/>
    <w:rsid w:val="007E13DB"/>
    <w:rsid w:val="007E2E82"/>
    <w:rsid w:val="007E4009"/>
    <w:rsid w:val="007F131A"/>
    <w:rsid w:val="007F13C6"/>
    <w:rsid w:val="007F1E17"/>
    <w:rsid w:val="007F3717"/>
    <w:rsid w:val="007F5DD2"/>
    <w:rsid w:val="007F76C4"/>
    <w:rsid w:val="007F778F"/>
    <w:rsid w:val="00801AAF"/>
    <w:rsid w:val="0080387B"/>
    <w:rsid w:val="00803A01"/>
    <w:rsid w:val="0080426C"/>
    <w:rsid w:val="0080731D"/>
    <w:rsid w:val="00812402"/>
    <w:rsid w:val="00815AAA"/>
    <w:rsid w:val="00815E8F"/>
    <w:rsid w:val="00827E74"/>
    <w:rsid w:val="008303AC"/>
    <w:rsid w:val="00832955"/>
    <w:rsid w:val="008343F0"/>
    <w:rsid w:val="00835E74"/>
    <w:rsid w:val="0083681E"/>
    <w:rsid w:val="00841ABD"/>
    <w:rsid w:val="00843640"/>
    <w:rsid w:val="00847DD0"/>
    <w:rsid w:val="00852731"/>
    <w:rsid w:val="00861563"/>
    <w:rsid w:val="008642C6"/>
    <w:rsid w:val="008647C5"/>
    <w:rsid w:val="00865224"/>
    <w:rsid w:val="00865CA2"/>
    <w:rsid w:val="00867A22"/>
    <w:rsid w:val="00872377"/>
    <w:rsid w:val="00873BD8"/>
    <w:rsid w:val="00873F9F"/>
    <w:rsid w:val="00880C11"/>
    <w:rsid w:val="00880D1C"/>
    <w:rsid w:val="008877C7"/>
    <w:rsid w:val="008916DB"/>
    <w:rsid w:val="00897EAF"/>
    <w:rsid w:val="008A3B0D"/>
    <w:rsid w:val="008A4DB8"/>
    <w:rsid w:val="008A524B"/>
    <w:rsid w:val="008A6C91"/>
    <w:rsid w:val="008A7027"/>
    <w:rsid w:val="008A7D1D"/>
    <w:rsid w:val="008A7E51"/>
    <w:rsid w:val="008B0614"/>
    <w:rsid w:val="008B14E9"/>
    <w:rsid w:val="008B2A36"/>
    <w:rsid w:val="008B5D03"/>
    <w:rsid w:val="008B685D"/>
    <w:rsid w:val="008B75B5"/>
    <w:rsid w:val="008C06B6"/>
    <w:rsid w:val="008C22A1"/>
    <w:rsid w:val="008C3E79"/>
    <w:rsid w:val="008D01C3"/>
    <w:rsid w:val="008D17C3"/>
    <w:rsid w:val="008D26F8"/>
    <w:rsid w:val="008D3E76"/>
    <w:rsid w:val="008D41C5"/>
    <w:rsid w:val="008E0260"/>
    <w:rsid w:val="008E2BC7"/>
    <w:rsid w:val="008E322E"/>
    <w:rsid w:val="008E5FE2"/>
    <w:rsid w:val="008E6833"/>
    <w:rsid w:val="008F0603"/>
    <w:rsid w:val="008F2C57"/>
    <w:rsid w:val="008F511B"/>
    <w:rsid w:val="009009EC"/>
    <w:rsid w:val="00901531"/>
    <w:rsid w:val="00904BD8"/>
    <w:rsid w:val="009120C5"/>
    <w:rsid w:val="00920F4D"/>
    <w:rsid w:val="009221A4"/>
    <w:rsid w:val="00924572"/>
    <w:rsid w:val="009267C3"/>
    <w:rsid w:val="009278F9"/>
    <w:rsid w:val="00927CAB"/>
    <w:rsid w:val="00930092"/>
    <w:rsid w:val="00933DA0"/>
    <w:rsid w:val="00936F84"/>
    <w:rsid w:val="009422F9"/>
    <w:rsid w:val="00945147"/>
    <w:rsid w:val="00945CE5"/>
    <w:rsid w:val="00947C6B"/>
    <w:rsid w:val="00947DAB"/>
    <w:rsid w:val="0095149A"/>
    <w:rsid w:val="009521B4"/>
    <w:rsid w:val="00964981"/>
    <w:rsid w:val="00964C0D"/>
    <w:rsid w:val="009704FA"/>
    <w:rsid w:val="00970EE4"/>
    <w:rsid w:val="0097271E"/>
    <w:rsid w:val="0097327C"/>
    <w:rsid w:val="0097329F"/>
    <w:rsid w:val="009756D7"/>
    <w:rsid w:val="00980084"/>
    <w:rsid w:val="00987B39"/>
    <w:rsid w:val="00990E75"/>
    <w:rsid w:val="00993967"/>
    <w:rsid w:val="00995845"/>
    <w:rsid w:val="00996A51"/>
    <w:rsid w:val="009A0101"/>
    <w:rsid w:val="009A1DD5"/>
    <w:rsid w:val="009A20F3"/>
    <w:rsid w:val="009A3D4A"/>
    <w:rsid w:val="009A7DCA"/>
    <w:rsid w:val="009B1108"/>
    <w:rsid w:val="009B5E74"/>
    <w:rsid w:val="009C33A4"/>
    <w:rsid w:val="009C40EA"/>
    <w:rsid w:val="009C49CC"/>
    <w:rsid w:val="009D0F61"/>
    <w:rsid w:val="009D353C"/>
    <w:rsid w:val="009D533D"/>
    <w:rsid w:val="009D55B4"/>
    <w:rsid w:val="009D64CC"/>
    <w:rsid w:val="009D7D92"/>
    <w:rsid w:val="009E34AE"/>
    <w:rsid w:val="009E3E8D"/>
    <w:rsid w:val="009F019D"/>
    <w:rsid w:val="009F4052"/>
    <w:rsid w:val="009F66DB"/>
    <w:rsid w:val="00A02DDD"/>
    <w:rsid w:val="00A0698F"/>
    <w:rsid w:val="00A07653"/>
    <w:rsid w:val="00A10571"/>
    <w:rsid w:val="00A12022"/>
    <w:rsid w:val="00A13316"/>
    <w:rsid w:val="00A136DD"/>
    <w:rsid w:val="00A14C8C"/>
    <w:rsid w:val="00A161A8"/>
    <w:rsid w:val="00A20692"/>
    <w:rsid w:val="00A24316"/>
    <w:rsid w:val="00A254CF"/>
    <w:rsid w:val="00A26E31"/>
    <w:rsid w:val="00A3350E"/>
    <w:rsid w:val="00A358EC"/>
    <w:rsid w:val="00A37B00"/>
    <w:rsid w:val="00A40C03"/>
    <w:rsid w:val="00A40F40"/>
    <w:rsid w:val="00A43A0F"/>
    <w:rsid w:val="00A47DF6"/>
    <w:rsid w:val="00A5012D"/>
    <w:rsid w:val="00A54466"/>
    <w:rsid w:val="00A54ACF"/>
    <w:rsid w:val="00A601F9"/>
    <w:rsid w:val="00A62B93"/>
    <w:rsid w:val="00A6446F"/>
    <w:rsid w:val="00A64CED"/>
    <w:rsid w:val="00A650E2"/>
    <w:rsid w:val="00A66196"/>
    <w:rsid w:val="00A71CD2"/>
    <w:rsid w:val="00A734E7"/>
    <w:rsid w:val="00A80FCF"/>
    <w:rsid w:val="00A82F6B"/>
    <w:rsid w:val="00A8723E"/>
    <w:rsid w:val="00A8797E"/>
    <w:rsid w:val="00A90970"/>
    <w:rsid w:val="00A928FF"/>
    <w:rsid w:val="00A94005"/>
    <w:rsid w:val="00A95CB6"/>
    <w:rsid w:val="00A95D1D"/>
    <w:rsid w:val="00A96796"/>
    <w:rsid w:val="00A9789C"/>
    <w:rsid w:val="00AA21F5"/>
    <w:rsid w:val="00AA2D82"/>
    <w:rsid w:val="00AB129C"/>
    <w:rsid w:val="00AB3613"/>
    <w:rsid w:val="00AB7A63"/>
    <w:rsid w:val="00AC0CBB"/>
    <w:rsid w:val="00AC2A80"/>
    <w:rsid w:val="00AC5E67"/>
    <w:rsid w:val="00AD1243"/>
    <w:rsid w:val="00AD169C"/>
    <w:rsid w:val="00AD2450"/>
    <w:rsid w:val="00AD6A38"/>
    <w:rsid w:val="00AD72B4"/>
    <w:rsid w:val="00AE3104"/>
    <w:rsid w:val="00AE43AD"/>
    <w:rsid w:val="00AE43BB"/>
    <w:rsid w:val="00AE53A6"/>
    <w:rsid w:val="00AE6B64"/>
    <w:rsid w:val="00AE7710"/>
    <w:rsid w:val="00AF2CE8"/>
    <w:rsid w:val="00AF704D"/>
    <w:rsid w:val="00AF7F6F"/>
    <w:rsid w:val="00B056CC"/>
    <w:rsid w:val="00B075D7"/>
    <w:rsid w:val="00B13AB1"/>
    <w:rsid w:val="00B14D9C"/>
    <w:rsid w:val="00B155FE"/>
    <w:rsid w:val="00B15A4C"/>
    <w:rsid w:val="00B221B5"/>
    <w:rsid w:val="00B22BD9"/>
    <w:rsid w:val="00B33638"/>
    <w:rsid w:val="00B33C05"/>
    <w:rsid w:val="00B35B95"/>
    <w:rsid w:val="00B36150"/>
    <w:rsid w:val="00B43A9F"/>
    <w:rsid w:val="00B44127"/>
    <w:rsid w:val="00B51261"/>
    <w:rsid w:val="00B54171"/>
    <w:rsid w:val="00B60534"/>
    <w:rsid w:val="00B622E5"/>
    <w:rsid w:val="00B62D08"/>
    <w:rsid w:val="00B63DA3"/>
    <w:rsid w:val="00B63EBC"/>
    <w:rsid w:val="00B72569"/>
    <w:rsid w:val="00B7456C"/>
    <w:rsid w:val="00B7458D"/>
    <w:rsid w:val="00B745F4"/>
    <w:rsid w:val="00B8447F"/>
    <w:rsid w:val="00B850B8"/>
    <w:rsid w:val="00B91ABD"/>
    <w:rsid w:val="00B94CCA"/>
    <w:rsid w:val="00B9640C"/>
    <w:rsid w:val="00B97A62"/>
    <w:rsid w:val="00BA35CC"/>
    <w:rsid w:val="00BA3B98"/>
    <w:rsid w:val="00BA5D1C"/>
    <w:rsid w:val="00BA62C3"/>
    <w:rsid w:val="00BB10E1"/>
    <w:rsid w:val="00BB259D"/>
    <w:rsid w:val="00BB4D90"/>
    <w:rsid w:val="00BB5D94"/>
    <w:rsid w:val="00BB79F6"/>
    <w:rsid w:val="00BC24BF"/>
    <w:rsid w:val="00BC4B9F"/>
    <w:rsid w:val="00BC74C4"/>
    <w:rsid w:val="00BD2A9C"/>
    <w:rsid w:val="00BD37C8"/>
    <w:rsid w:val="00BD7229"/>
    <w:rsid w:val="00BE00CC"/>
    <w:rsid w:val="00BE0DA4"/>
    <w:rsid w:val="00BE0F9D"/>
    <w:rsid w:val="00BE354F"/>
    <w:rsid w:val="00BE3FC6"/>
    <w:rsid w:val="00BE7750"/>
    <w:rsid w:val="00BF007B"/>
    <w:rsid w:val="00BF4035"/>
    <w:rsid w:val="00BF48C3"/>
    <w:rsid w:val="00C063C3"/>
    <w:rsid w:val="00C21761"/>
    <w:rsid w:val="00C2238F"/>
    <w:rsid w:val="00C24948"/>
    <w:rsid w:val="00C261DC"/>
    <w:rsid w:val="00C268BB"/>
    <w:rsid w:val="00C27BFB"/>
    <w:rsid w:val="00C27DF5"/>
    <w:rsid w:val="00C45E7A"/>
    <w:rsid w:val="00C46F63"/>
    <w:rsid w:val="00C50404"/>
    <w:rsid w:val="00C5054A"/>
    <w:rsid w:val="00C52FED"/>
    <w:rsid w:val="00C53734"/>
    <w:rsid w:val="00C53C2A"/>
    <w:rsid w:val="00C566FB"/>
    <w:rsid w:val="00C56FEF"/>
    <w:rsid w:val="00C56FF4"/>
    <w:rsid w:val="00C61227"/>
    <w:rsid w:val="00C62668"/>
    <w:rsid w:val="00C65238"/>
    <w:rsid w:val="00C72068"/>
    <w:rsid w:val="00C74E0F"/>
    <w:rsid w:val="00C75E27"/>
    <w:rsid w:val="00C7666C"/>
    <w:rsid w:val="00C768D3"/>
    <w:rsid w:val="00C776A0"/>
    <w:rsid w:val="00C83548"/>
    <w:rsid w:val="00C86437"/>
    <w:rsid w:val="00C86EA4"/>
    <w:rsid w:val="00C872F4"/>
    <w:rsid w:val="00C95900"/>
    <w:rsid w:val="00C97321"/>
    <w:rsid w:val="00CA0CEB"/>
    <w:rsid w:val="00CA1C2C"/>
    <w:rsid w:val="00CA3468"/>
    <w:rsid w:val="00CB01DA"/>
    <w:rsid w:val="00CB09E7"/>
    <w:rsid w:val="00CB1A82"/>
    <w:rsid w:val="00CB3696"/>
    <w:rsid w:val="00CB459B"/>
    <w:rsid w:val="00CB6F27"/>
    <w:rsid w:val="00CB7E48"/>
    <w:rsid w:val="00CC075B"/>
    <w:rsid w:val="00CC18D6"/>
    <w:rsid w:val="00CC703F"/>
    <w:rsid w:val="00CC706B"/>
    <w:rsid w:val="00CC7777"/>
    <w:rsid w:val="00CD0F03"/>
    <w:rsid w:val="00CD2095"/>
    <w:rsid w:val="00CD45B0"/>
    <w:rsid w:val="00CE01FC"/>
    <w:rsid w:val="00CE0F40"/>
    <w:rsid w:val="00CE1608"/>
    <w:rsid w:val="00CE4C8C"/>
    <w:rsid w:val="00CF0DB6"/>
    <w:rsid w:val="00CF1732"/>
    <w:rsid w:val="00CF533D"/>
    <w:rsid w:val="00CF667E"/>
    <w:rsid w:val="00CF75FB"/>
    <w:rsid w:val="00D0533C"/>
    <w:rsid w:val="00D07EA5"/>
    <w:rsid w:val="00D1616F"/>
    <w:rsid w:val="00D226F1"/>
    <w:rsid w:val="00D23FED"/>
    <w:rsid w:val="00D3076A"/>
    <w:rsid w:val="00D30DEE"/>
    <w:rsid w:val="00D33A8A"/>
    <w:rsid w:val="00D34CD7"/>
    <w:rsid w:val="00D35813"/>
    <w:rsid w:val="00D36123"/>
    <w:rsid w:val="00D3672D"/>
    <w:rsid w:val="00D436B8"/>
    <w:rsid w:val="00D4434A"/>
    <w:rsid w:val="00D45ADC"/>
    <w:rsid w:val="00D479D4"/>
    <w:rsid w:val="00D503EA"/>
    <w:rsid w:val="00D5055E"/>
    <w:rsid w:val="00D50A39"/>
    <w:rsid w:val="00D50A45"/>
    <w:rsid w:val="00D511E9"/>
    <w:rsid w:val="00D545F7"/>
    <w:rsid w:val="00D557C7"/>
    <w:rsid w:val="00D5594E"/>
    <w:rsid w:val="00D5677F"/>
    <w:rsid w:val="00D6008D"/>
    <w:rsid w:val="00D63A8A"/>
    <w:rsid w:val="00D73002"/>
    <w:rsid w:val="00D7302C"/>
    <w:rsid w:val="00D77DDB"/>
    <w:rsid w:val="00D84846"/>
    <w:rsid w:val="00D86367"/>
    <w:rsid w:val="00D870CF"/>
    <w:rsid w:val="00D916FA"/>
    <w:rsid w:val="00D91A99"/>
    <w:rsid w:val="00D92214"/>
    <w:rsid w:val="00D9414C"/>
    <w:rsid w:val="00DA143F"/>
    <w:rsid w:val="00DA15B5"/>
    <w:rsid w:val="00DA1682"/>
    <w:rsid w:val="00DA30F4"/>
    <w:rsid w:val="00DA363F"/>
    <w:rsid w:val="00DA4434"/>
    <w:rsid w:val="00DA4FBC"/>
    <w:rsid w:val="00DA547D"/>
    <w:rsid w:val="00DA6CEE"/>
    <w:rsid w:val="00DA72D2"/>
    <w:rsid w:val="00DB12ED"/>
    <w:rsid w:val="00DB3DD8"/>
    <w:rsid w:val="00DB6953"/>
    <w:rsid w:val="00DC0B89"/>
    <w:rsid w:val="00DC15E6"/>
    <w:rsid w:val="00DC22D9"/>
    <w:rsid w:val="00DC31DE"/>
    <w:rsid w:val="00DC4E7F"/>
    <w:rsid w:val="00DD1EE7"/>
    <w:rsid w:val="00DD25C1"/>
    <w:rsid w:val="00DD30E6"/>
    <w:rsid w:val="00DD3916"/>
    <w:rsid w:val="00DE084E"/>
    <w:rsid w:val="00DE1B2C"/>
    <w:rsid w:val="00DE7A5C"/>
    <w:rsid w:val="00DE7C03"/>
    <w:rsid w:val="00DF1268"/>
    <w:rsid w:val="00DF5E25"/>
    <w:rsid w:val="00E012DF"/>
    <w:rsid w:val="00E02497"/>
    <w:rsid w:val="00E02EEE"/>
    <w:rsid w:val="00E049D4"/>
    <w:rsid w:val="00E04BAA"/>
    <w:rsid w:val="00E055C2"/>
    <w:rsid w:val="00E07128"/>
    <w:rsid w:val="00E14619"/>
    <w:rsid w:val="00E1527D"/>
    <w:rsid w:val="00E16566"/>
    <w:rsid w:val="00E2147C"/>
    <w:rsid w:val="00E23EA4"/>
    <w:rsid w:val="00E23FFC"/>
    <w:rsid w:val="00E27C2A"/>
    <w:rsid w:val="00E36984"/>
    <w:rsid w:val="00E37F8C"/>
    <w:rsid w:val="00E42061"/>
    <w:rsid w:val="00E424F3"/>
    <w:rsid w:val="00E440AB"/>
    <w:rsid w:val="00E46CB1"/>
    <w:rsid w:val="00E501C9"/>
    <w:rsid w:val="00E5484A"/>
    <w:rsid w:val="00E561AD"/>
    <w:rsid w:val="00E56767"/>
    <w:rsid w:val="00E63B79"/>
    <w:rsid w:val="00E71F61"/>
    <w:rsid w:val="00E72811"/>
    <w:rsid w:val="00E81967"/>
    <w:rsid w:val="00E82306"/>
    <w:rsid w:val="00E832D7"/>
    <w:rsid w:val="00E8589D"/>
    <w:rsid w:val="00E92BE7"/>
    <w:rsid w:val="00E943EC"/>
    <w:rsid w:val="00E97147"/>
    <w:rsid w:val="00E97430"/>
    <w:rsid w:val="00E97B76"/>
    <w:rsid w:val="00EA0D4A"/>
    <w:rsid w:val="00EA1F58"/>
    <w:rsid w:val="00EA29C4"/>
    <w:rsid w:val="00EA375F"/>
    <w:rsid w:val="00EA435E"/>
    <w:rsid w:val="00EA5289"/>
    <w:rsid w:val="00EC2203"/>
    <w:rsid w:val="00EC3951"/>
    <w:rsid w:val="00EC3CCC"/>
    <w:rsid w:val="00EC421A"/>
    <w:rsid w:val="00EC589B"/>
    <w:rsid w:val="00ED0EA7"/>
    <w:rsid w:val="00ED1137"/>
    <w:rsid w:val="00ED1AEF"/>
    <w:rsid w:val="00ED219E"/>
    <w:rsid w:val="00ED2D97"/>
    <w:rsid w:val="00ED40C7"/>
    <w:rsid w:val="00ED4A6F"/>
    <w:rsid w:val="00ED57BA"/>
    <w:rsid w:val="00EE1E12"/>
    <w:rsid w:val="00EE2213"/>
    <w:rsid w:val="00EE3EB9"/>
    <w:rsid w:val="00EF002E"/>
    <w:rsid w:val="00EF14BD"/>
    <w:rsid w:val="00EF22AA"/>
    <w:rsid w:val="00EF4EF8"/>
    <w:rsid w:val="00EF6820"/>
    <w:rsid w:val="00EF717B"/>
    <w:rsid w:val="00F01C3C"/>
    <w:rsid w:val="00F05220"/>
    <w:rsid w:val="00F11762"/>
    <w:rsid w:val="00F224A0"/>
    <w:rsid w:val="00F26244"/>
    <w:rsid w:val="00F26645"/>
    <w:rsid w:val="00F33AE7"/>
    <w:rsid w:val="00F34521"/>
    <w:rsid w:val="00F3505B"/>
    <w:rsid w:val="00F35767"/>
    <w:rsid w:val="00F37865"/>
    <w:rsid w:val="00F40BBC"/>
    <w:rsid w:val="00F47184"/>
    <w:rsid w:val="00F71CAC"/>
    <w:rsid w:val="00F71FDE"/>
    <w:rsid w:val="00F72867"/>
    <w:rsid w:val="00F75868"/>
    <w:rsid w:val="00F76EE9"/>
    <w:rsid w:val="00F805AE"/>
    <w:rsid w:val="00F8132B"/>
    <w:rsid w:val="00F90893"/>
    <w:rsid w:val="00F92C4C"/>
    <w:rsid w:val="00F946AB"/>
    <w:rsid w:val="00F95FB2"/>
    <w:rsid w:val="00FA31A9"/>
    <w:rsid w:val="00FA3BFF"/>
    <w:rsid w:val="00FB1921"/>
    <w:rsid w:val="00FB28BD"/>
    <w:rsid w:val="00FB59DC"/>
    <w:rsid w:val="00FC114E"/>
    <w:rsid w:val="00FC4076"/>
    <w:rsid w:val="00FC49F4"/>
    <w:rsid w:val="00FC4CD2"/>
    <w:rsid w:val="00FC4EDF"/>
    <w:rsid w:val="00FC4F7E"/>
    <w:rsid w:val="00FC7DF0"/>
    <w:rsid w:val="00FD3C21"/>
    <w:rsid w:val="00FD3F05"/>
    <w:rsid w:val="00FD65B4"/>
    <w:rsid w:val="00FD7247"/>
    <w:rsid w:val="00FE0CFB"/>
    <w:rsid w:val="00FE2CD2"/>
    <w:rsid w:val="00FE30F2"/>
    <w:rsid w:val="00FE32C3"/>
    <w:rsid w:val="00FF30FF"/>
    <w:rsid w:val="00FF3A69"/>
    <w:rsid w:val="00FF50AB"/>
    <w:rsid w:val="00FF603C"/>
    <w:rsid w:val="00FF6CB2"/>
    <w:rsid w:val="029C2633"/>
    <w:rsid w:val="03F51677"/>
    <w:rsid w:val="03F69F1A"/>
    <w:rsid w:val="05919A2D"/>
    <w:rsid w:val="06379433"/>
    <w:rsid w:val="063D6843"/>
    <w:rsid w:val="066432AC"/>
    <w:rsid w:val="069B7ADC"/>
    <w:rsid w:val="06BE6BE2"/>
    <w:rsid w:val="07A6191C"/>
    <w:rsid w:val="07BA705A"/>
    <w:rsid w:val="0A700B55"/>
    <w:rsid w:val="0B0022D9"/>
    <w:rsid w:val="0C689E27"/>
    <w:rsid w:val="0C9FAC85"/>
    <w:rsid w:val="0CB1253A"/>
    <w:rsid w:val="0E967858"/>
    <w:rsid w:val="0F03D9E1"/>
    <w:rsid w:val="0F95990C"/>
    <w:rsid w:val="10A4A11E"/>
    <w:rsid w:val="10FB2C97"/>
    <w:rsid w:val="1112F309"/>
    <w:rsid w:val="11DD2B83"/>
    <w:rsid w:val="123EFD2F"/>
    <w:rsid w:val="13A3A09E"/>
    <w:rsid w:val="13A79940"/>
    <w:rsid w:val="13F426FA"/>
    <w:rsid w:val="15A58401"/>
    <w:rsid w:val="17131A31"/>
    <w:rsid w:val="17C27382"/>
    <w:rsid w:val="17DC55AF"/>
    <w:rsid w:val="18B57E3D"/>
    <w:rsid w:val="19E6C14B"/>
    <w:rsid w:val="1ADA31FC"/>
    <w:rsid w:val="1B284C5D"/>
    <w:rsid w:val="1B597A7E"/>
    <w:rsid w:val="1CE469A7"/>
    <w:rsid w:val="1D481232"/>
    <w:rsid w:val="1DD9EF3C"/>
    <w:rsid w:val="1E25FE9E"/>
    <w:rsid w:val="218F7423"/>
    <w:rsid w:val="244B8BA3"/>
    <w:rsid w:val="25167A99"/>
    <w:rsid w:val="266D0E36"/>
    <w:rsid w:val="2705F438"/>
    <w:rsid w:val="2AB2F450"/>
    <w:rsid w:val="2AB70C23"/>
    <w:rsid w:val="2B04FDB1"/>
    <w:rsid w:val="2CF1AE67"/>
    <w:rsid w:val="2DEB2C8A"/>
    <w:rsid w:val="2E2AB90F"/>
    <w:rsid w:val="2EE8C294"/>
    <w:rsid w:val="30FC3356"/>
    <w:rsid w:val="33059570"/>
    <w:rsid w:val="34E998B1"/>
    <w:rsid w:val="3518770D"/>
    <w:rsid w:val="351F2960"/>
    <w:rsid w:val="358BCD3F"/>
    <w:rsid w:val="3630E3D9"/>
    <w:rsid w:val="36C1AD60"/>
    <w:rsid w:val="382BB0E4"/>
    <w:rsid w:val="38303276"/>
    <w:rsid w:val="39728167"/>
    <w:rsid w:val="397FF86C"/>
    <w:rsid w:val="3A252E23"/>
    <w:rsid w:val="3AE1C658"/>
    <w:rsid w:val="3AE87F4D"/>
    <w:rsid w:val="3B3759A5"/>
    <w:rsid w:val="3B799BCC"/>
    <w:rsid w:val="3BBDEFDF"/>
    <w:rsid w:val="3C205190"/>
    <w:rsid w:val="3C415B41"/>
    <w:rsid w:val="3C637521"/>
    <w:rsid w:val="3D1B7E88"/>
    <w:rsid w:val="3F8285E0"/>
    <w:rsid w:val="404A42F7"/>
    <w:rsid w:val="405C61C0"/>
    <w:rsid w:val="41B4A28C"/>
    <w:rsid w:val="4254DCC1"/>
    <w:rsid w:val="42EDEF6D"/>
    <w:rsid w:val="451C38B0"/>
    <w:rsid w:val="45866D16"/>
    <w:rsid w:val="4660B91A"/>
    <w:rsid w:val="48375772"/>
    <w:rsid w:val="4D0967CF"/>
    <w:rsid w:val="4DBA415A"/>
    <w:rsid w:val="4E12A658"/>
    <w:rsid w:val="4E2B0E51"/>
    <w:rsid w:val="4F9EA472"/>
    <w:rsid w:val="5018C294"/>
    <w:rsid w:val="510D766F"/>
    <w:rsid w:val="51115786"/>
    <w:rsid w:val="52CC3B59"/>
    <w:rsid w:val="5369F3F4"/>
    <w:rsid w:val="537B7A8F"/>
    <w:rsid w:val="547A2D94"/>
    <w:rsid w:val="547CDDA0"/>
    <w:rsid w:val="54ACA371"/>
    <w:rsid w:val="559D80A3"/>
    <w:rsid w:val="56F1BA1B"/>
    <w:rsid w:val="58532BE8"/>
    <w:rsid w:val="587E035A"/>
    <w:rsid w:val="58A84EEA"/>
    <w:rsid w:val="5AF03726"/>
    <w:rsid w:val="5B67C7D7"/>
    <w:rsid w:val="5C24D288"/>
    <w:rsid w:val="5CEFEC53"/>
    <w:rsid w:val="5E4023AB"/>
    <w:rsid w:val="5E7D70E4"/>
    <w:rsid w:val="62C9B2EA"/>
    <w:rsid w:val="639E9B9B"/>
    <w:rsid w:val="63BEA325"/>
    <w:rsid w:val="6462B5A6"/>
    <w:rsid w:val="649087DC"/>
    <w:rsid w:val="649395FB"/>
    <w:rsid w:val="64A4B944"/>
    <w:rsid w:val="67205E4B"/>
    <w:rsid w:val="67630FE3"/>
    <w:rsid w:val="67929FA3"/>
    <w:rsid w:val="67E5EF71"/>
    <w:rsid w:val="688EC8D6"/>
    <w:rsid w:val="68C2C5D5"/>
    <w:rsid w:val="691A7037"/>
    <w:rsid w:val="6924D4D1"/>
    <w:rsid w:val="6987D822"/>
    <w:rsid w:val="6A66705C"/>
    <w:rsid w:val="6B3C2582"/>
    <w:rsid w:val="6B5B80CE"/>
    <w:rsid w:val="6BF9886D"/>
    <w:rsid w:val="6DE954D4"/>
    <w:rsid w:val="702EE3C2"/>
    <w:rsid w:val="7193A06A"/>
    <w:rsid w:val="727A167A"/>
    <w:rsid w:val="72AFD5C4"/>
    <w:rsid w:val="72F6ECCE"/>
    <w:rsid w:val="730FCCFB"/>
    <w:rsid w:val="73F401F8"/>
    <w:rsid w:val="74B9DF17"/>
    <w:rsid w:val="76B67B90"/>
    <w:rsid w:val="77359BF2"/>
    <w:rsid w:val="77446A4A"/>
    <w:rsid w:val="784B72B7"/>
    <w:rsid w:val="79CB34D5"/>
    <w:rsid w:val="7A6AF975"/>
    <w:rsid w:val="7B51F349"/>
    <w:rsid w:val="7BAD7C19"/>
    <w:rsid w:val="7C97CD75"/>
    <w:rsid w:val="7D073C85"/>
    <w:rsid w:val="7D0CF5E0"/>
    <w:rsid w:val="7DEED1A8"/>
    <w:rsid w:val="7FD379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689E2"/>
  <w15:docId w15:val="{38D6A328-5785-4CB2-BD85-E77B7552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55A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155FE"/>
    <w:pPr>
      <w:tabs>
        <w:tab w:val="center" w:pos="4536"/>
        <w:tab w:val="right" w:pos="9072"/>
      </w:tabs>
      <w:spacing w:after="0" w:line="240" w:lineRule="auto"/>
    </w:pPr>
  </w:style>
  <w:style w:type="character" w:customStyle="1" w:styleId="lfejChar">
    <w:name w:val="Élőfej Char"/>
    <w:basedOn w:val="Bekezdsalapbettpusa"/>
    <w:link w:val="lfej"/>
    <w:uiPriority w:val="99"/>
    <w:rsid w:val="00B155FE"/>
  </w:style>
  <w:style w:type="paragraph" w:styleId="llb">
    <w:name w:val="footer"/>
    <w:basedOn w:val="Norml"/>
    <w:link w:val="llbChar"/>
    <w:uiPriority w:val="99"/>
    <w:unhideWhenUsed/>
    <w:rsid w:val="00B155FE"/>
    <w:pPr>
      <w:tabs>
        <w:tab w:val="center" w:pos="4536"/>
        <w:tab w:val="right" w:pos="9072"/>
      </w:tabs>
      <w:spacing w:after="0" w:line="240" w:lineRule="auto"/>
    </w:pPr>
  </w:style>
  <w:style w:type="character" w:customStyle="1" w:styleId="llbChar">
    <w:name w:val="Élőláb Char"/>
    <w:basedOn w:val="Bekezdsalapbettpusa"/>
    <w:link w:val="llb"/>
    <w:uiPriority w:val="99"/>
    <w:rsid w:val="00B155FE"/>
  </w:style>
  <w:style w:type="paragraph" w:styleId="Lbjegyzetszveg">
    <w:name w:val="footnote text"/>
    <w:basedOn w:val="Norml"/>
    <w:link w:val="LbjegyzetszvegChar"/>
    <w:uiPriority w:val="99"/>
    <w:semiHidden/>
    <w:unhideWhenUsed/>
    <w:rsid w:val="00B155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155FE"/>
    <w:rPr>
      <w:sz w:val="20"/>
      <w:szCs w:val="20"/>
    </w:rPr>
  </w:style>
  <w:style w:type="character" w:styleId="Lbjegyzet-hivatkozs">
    <w:name w:val="footnote reference"/>
    <w:semiHidden/>
    <w:rsid w:val="00B155FE"/>
    <w:rPr>
      <w:vertAlign w:val="superscript"/>
    </w:rPr>
  </w:style>
  <w:style w:type="character" w:styleId="Oldalszm">
    <w:name w:val="page number"/>
    <w:basedOn w:val="Bekezdsalapbettpusa"/>
    <w:rsid w:val="00B155FE"/>
  </w:style>
  <w:style w:type="paragraph" w:styleId="Buborkszveg">
    <w:name w:val="Balloon Text"/>
    <w:basedOn w:val="Norml"/>
    <w:link w:val="BuborkszvegChar"/>
    <w:uiPriority w:val="99"/>
    <w:semiHidden/>
    <w:unhideWhenUsed/>
    <w:rsid w:val="009732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327C"/>
    <w:rPr>
      <w:rFonts w:ascii="Tahoma" w:hAnsi="Tahoma" w:cs="Tahoma"/>
      <w:sz w:val="16"/>
      <w:szCs w:val="16"/>
    </w:rPr>
  </w:style>
  <w:style w:type="paragraph" w:styleId="Listaszerbekezds">
    <w:name w:val="List Paragraph"/>
    <w:basedOn w:val="Norml"/>
    <w:uiPriority w:val="34"/>
    <w:qFormat/>
    <w:rsid w:val="00F71CAC"/>
    <w:pPr>
      <w:ind w:left="720"/>
      <w:contextualSpacing/>
    </w:p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table" w:styleId="Rcsostblzat">
    <w:name w:val="Table Grid"/>
    <w:basedOn w:val="Normltblzat"/>
    <w:uiPriority w:val="39"/>
    <w:rsid w:val="00D4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E165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608">
      <w:bodyDiv w:val="1"/>
      <w:marLeft w:val="0"/>
      <w:marRight w:val="0"/>
      <w:marTop w:val="0"/>
      <w:marBottom w:val="0"/>
      <w:divBdr>
        <w:top w:val="none" w:sz="0" w:space="0" w:color="auto"/>
        <w:left w:val="none" w:sz="0" w:space="0" w:color="auto"/>
        <w:bottom w:val="none" w:sz="0" w:space="0" w:color="auto"/>
        <w:right w:val="none" w:sz="0" w:space="0" w:color="auto"/>
      </w:divBdr>
    </w:div>
    <w:div w:id="251550484">
      <w:bodyDiv w:val="1"/>
      <w:marLeft w:val="0"/>
      <w:marRight w:val="0"/>
      <w:marTop w:val="0"/>
      <w:marBottom w:val="0"/>
      <w:divBdr>
        <w:top w:val="none" w:sz="0" w:space="0" w:color="auto"/>
        <w:left w:val="none" w:sz="0" w:space="0" w:color="auto"/>
        <w:bottom w:val="none" w:sz="0" w:space="0" w:color="auto"/>
        <w:right w:val="none" w:sz="0" w:space="0" w:color="auto"/>
      </w:divBdr>
    </w:div>
    <w:div w:id="263924984">
      <w:bodyDiv w:val="1"/>
      <w:marLeft w:val="0"/>
      <w:marRight w:val="0"/>
      <w:marTop w:val="0"/>
      <w:marBottom w:val="0"/>
      <w:divBdr>
        <w:top w:val="none" w:sz="0" w:space="0" w:color="auto"/>
        <w:left w:val="none" w:sz="0" w:space="0" w:color="auto"/>
        <w:bottom w:val="none" w:sz="0" w:space="0" w:color="auto"/>
        <w:right w:val="none" w:sz="0" w:space="0" w:color="auto"/>
      </w:divBdr>
    </w:div>
    <w:div w:id="414713825">
      <w:bodyDiv w:val="1"/>
      <w:marLeft w:val="0"/>
      <w:marRight w:val="0"/>
      <w:marTop w:val="0"/>
      <w:marBottom w:val="0"/>
      <w:divBdr>
        <w:top w:val="none" w:sz="0" w:space="0" w:color="auto"/>
        <w:left w:val="none" w:sz="0" w:space="0" w:color="auto"/>
        <w:bottom w:val="none" w:sz="0" w:space="0" w:color="auto"/>
        <w:right w:val="none" w:sz="0" w:space="0" w:color="auto"/>
      </w:divBdr>
    </w:div>
    <w:div w:id="419377097">
      <w:bodyDiv w:val="1"/>
      <w:marLeft w:val="0"/>
      <w:marRight w:val="0"/>
      <w:marTop w:val="0"/>
      <w:marBottom w:val="0"/>
      <w:divBdr>
        <w:top w:val="none" w:sz="0" w:space="0" w:color="auto"/>
        <w:left w:val="none" w:sz="0" w:space="0" w:color="auto"/>
        <w:bottom w:val="none" w:sz="0" w:space="0" w:color="auto"/>
        <w:right w:val="none" w:sz="0" w:space="0" w:color="auto"/>
      </w:divBdr>
    </w:div>
    <w:div w:id="422839085">
      <w:bodyDiv w:val="1"/>
      <w:marLeft w:val="0"/>
      <w:marRight w:val="0"/>
      <w:marTop w:val="0"/>
      <w:marBottom w:val="0"/>
      <w:divBdr>
        <w:top w:val="none" w:sz="0" w:space="0" w:color="auto"/>
        <w:left w:val="none" w:sz="0" w:space="0" w:color="auto"/>
        <w:bottom w:val="none" w:sz="0" w:space="0" w:color="auto"/>
        <w:right w:val="none" w:sz="0" w:space="0" w:color="auto"/>
      </w:divBdr>
    </w:div>
    <w:div w:id="750005642">
      <w:bodyDiv w:val="1"/>
      <w:marLeft w:val="0"/>
      <w:marRight w:val="0"/>
      <w:marTop w:val="0"/>
      <w:marBottom w:val="0"/>
      <w:divBdr>
        <w:top w:val="none" w:sz="0" w:space="0" w:color="auto"/>
        <w:left w:val="none" w:sz="0" w:space="0" w:color="auto"/>
        <w:bottom w:val="none" w:sz="0" w:space="0" w:color="auto"/>
        <w:right w:val="none" w:sz="0" w:space="0" w:color="auto"/>
      </w:divBdr>
    </w:div>
    <w:div w:id="825049051">
      <w:bodyDiv w:val="1"/>
      <w:marLeft w:val="0"/>
      <w:marRight w:val="0"/>
      <w:marTop w:val="0"/>
      <w:marBottom w:val="0"/>
      <w:divBdr>
        <w:top w:val="none" w:sz="0" w:space="0" w:color="auto"/>
        <w:left w:val="none" w:sz="0" w:space="0" w:color="auto"/>
        <w:bottom w:val="none" w:sz="0" w:space="0" w:color="auto"/>
        <w:right w:val="none" w:sz="0" w:space="0" w:color="auto"/>
      </w:divBdr>
    </w:div>
    <w:div w:id="831945513">
      <w:bodyDiv w:val="1"/>
      <w:marLeft w:val="0"/>
      <w:marRight w:val="0"/>
      <w:marTop w:val="0"/>
      <w:marBottom w:val="0"/>
      <w:divBdr>
        <w:top w:val="none" w:sz="0" w:space="0" w:color="auto"/>
        <w:left w:val="none" w:sz="0" w:space="0" w:color="auto"/>
        <w:bottom w:val="none" w:sz="0" w:space="0" w:color="auto"/>
        <w:right w:val="none" w:sz="0" w:space="0" w:color="auto"/>
      </w:divBdr>
    </w:div>
    <w:div w:id="955060427">
      <w:bodyDiv w:val="1"/>
      <w:marLeft w:val="0"/>
      <w:marRight w:val="0"/>
      <w:marTop w:val="0"/>
      <w:marBottom w:val="0"/>
      <w:divBdr>
        <w:top w:val="none" w:sz="0" w:space="0" w:color="auto"/>
        <w:left w:val="none" w:sz="0" w:space="0" w:color="auto"/>
        <w:bottom w:val="none" w:sz="0" w:space="0" w:color="auto"/>
        <w:right w:val="none" w:sz="0" w:space="0" w:color="auto"/>
      </w:divBdr>
    </w:div>
    <w:div w:id="1020281846">
      <w:bodyDiv w:val="1"/>
      <w:marLeft w:val="0"/>
      <w:marRight w:val="0"/>
      <w:marTop w:val="0"/>
      <w:marBottom w:val="0"/>
      <w:divBdr>
        <w:top w:val="none" w:sz="0" w:space="0" w:color="auto"/>
        <w:left w:val="none" w:sz="0" w:space="0" w:color="auto"/>
        <w:bottom w:val="none" w:sz="0" w:space="0" w:color="auto"/>
        <w:right w:val="none" w:sz="0" w:space="0" w:color="auto"/>
      </w:divBdr>
    </w:div>
    <w:div w:id="1137841753">
      <w:bodyDiv w:val="1"/>
      <w:marLeft w:val="0"/>
      <w:marRight w:val="0"/>
      <w:marTop w:val="0"/>
      <w:marBottom w:val="0"/>
      <w:divBdr>
        <w:top w:val="none" w:sz="0" w:space="0" w:color="auto"/>
        <w:left w:val="none" w:sz="0" w:space="0" w:color="auto"/>
        <w:bottom w:val="none" w:sz="0" w:space="0" w:color="auto"/>
        <w:right w:val="none" w:sz="0" w:space="0" w:color="auto"/>
      </w:divBdr>
    </w:div>
    <w:div w:id="1154029676">
      <w:bodyDiv w:val="1"/>
      <w:marLeft w:val="0"/>
      <w:marRight w:val="0"/>
      <w:marTop w:val="0"/>
      <w:marBottom w:val="0"/>
      <w:divBdr>
        <w:top w:val="none" w:sz="0" w:space="0" w:color="auto"/>
        <w:left w:val="none" w:sz="0" w:space="0" w:color="auto"/>
        <w:bottom w:val="none" w:sz="0" w:space="0" w:color="auto"/>
        <w:right w:val="none" w:sz="0" w:space="0" w:color="auto"/>
      </w:divBdr>
    </w:div>
    <w:div w:id="1194074906">
      <w:bodyDiv w:val="1"/>
      <w:marLeft w:val="0"/>
      <w:marRight w:val="0"/>
      <w:marTop w:val="0"/>
      <w:marBottom w:val="0"/>
      <w:divBdr>
        <w:top w:val="none" w:sz="0" w:space="0" w:color="auto"/>
        <w:left w:val="none" w:sz="0" w:space="0" w:color="auto"/>
        <w:bottom w:val="none" w:sz="0" w:space="0" w:color="auto"/>
        <w:right w:val="none" w:sz="0" w:space="0" w:color="auto"/>
      </w:divBdr>
    </w:div>
    <w:div w:id="1262031817">
      <w:bodyDiv w:val="1"/>
      <w:marLeft w:val="0"/>
      <w:marRight w:val="0"/>
      <w:marTop w:val="0"/>
      <w:marBottom w:val="0"/>
      <w:divBdr>
        <w:top w:val="none" w:sz="0" w:space="0" w:color="auto"/>
        <w:left w:val="none" w:sz="0" w:space="0" w:color="auto"/>
        <w:bottom w:val="none" w:sz="0" w:space="0" w:color="auto"/>
        <w:right w:val="none" w:sz="0" w:space="0" w:color="auto"/>
      </w:divBdr>
    </w:div>
    <w:div w:id="1299650999">
      <w:bodyDiv w:val="1"/>
      <w:marLeft w:val="0"/>
      <w:marRight w:val="0"/>
      <w:marTop w:val="0"/>
      <w:marBottom w:val="0"/>
      <w:divBdr>
        <w:top w:val="none" w:sz="0" w:space="0" w:color="auto"/>
        <w:left w:val="none" w:sz="0" w:space="0" w:color="auto"/>
        <w:bottom w:val="none" w:sz="0" w:space="0" w:color="auto"/>
        <w:right w:val="none" w:sz="0" w:space="0" w:color="auto"/>
      </w:divBdr>
    </w:div>
    <w:div w:id="1362433673">
      <w:bodyDiv w:val="1"/>
      <w:marLeft w:val="0"/>
      <w:marRight w:val="0"/>
      <w:marTop w:val="0"/>
      <w:marBottom w:val="0"/>
      <w:divBdr>
        <w:top w:val="none" w:sz="0" w:space="0" w:color="auto"/>
        <w:left w:val="none" w:sz="0" w:space="0" w:color="auto"/>
        <w:bottom w:val="none" w:sz="0" w:space="0" w:color="auto"/>
        <w:right w:val="none" w:sz="0" w:space="0" w:color="auto"/>
      </w:divBdr>
    </w:div>
    <w:div w:id="1369573113">
      <w:bodyDiv w:val="1"/>
      <w:marLeft w:val="0"/>
      <w:marRight w:val="0"/>
      <w:marTop w:val="0"/>
      <w:marBottom w:val="0"/>
      <w:divBdr>
        <w:top w:val="none" w:sz="0" w:space="0" w:color="auto"/>
        <w:left w:val="none" w:sz="0" w:space="0" w:color="auto"/>
        <w:bottom w:val="none" w:sz="0" w:space="0" w:color="auto"/>
        <w:right w:val="none" w:sz="0" w:space="0" w:color="auto"/>
      </w:divBdr>
    </w:div>
    <w:div w:id="1514765667">
      <w:bodyDiv w:val="1"/>
      <w:marLeft w:val="0"/>
      <w:marRight w:val="0"/>
      <w:marTop w:val="0"/>
      <w:marBottom w:val="0"/>
      <w:divBdr>
        <w:top w:val="none" w:sz="0" w:space="0" w:color="auto"/>
        <w:left w:val="none" w:sz="0" w:space="0" w:color="auto"/>
        <w:bottom w:val="none" w:sz="0" w:space="0" w:color="auto"/>
        <w:right w:val="none" w:sz="0" w:space="0" w:color="auto"/>
      </w:divBdr>
    </w:div>
    <w:div w:id="1538201461">
      <w:bodyDiv w:val="1"/>
      <w:marLeft w:val="0"/>
      <w:marRight w:val="0"/>
      <w:marTop w:val="0"/>
      <w:marBottom w:val="0"/>
      <w:divBdr>
        <w:top w:val="none" w:sz="0" w:space="0" w:color="auto"/>
        <w:left w:val="none" w:sz="0" w:space="0" w:color="auto"/>
        <w:bottom w:val="none" w:sz="0" w:space="0" w:color="auto"/>
        <w:right w:val="none" w:sz="0" w:space="0" w:color="auto"/>
      </w:divBdr>
    </w:div>
    <w:div w:id="1587760903">
      <w:bodyDiv w:val="1"/>
      <w:marLeft w:val="0"/>
      <w:marRight w:val="0"/>
      <w:marTop w:val="0"/>
      <w:marBottom w:val="0"/>
      <w:divBdr>
        <w:top w:val="none" w:sz="0" w:space="0" w:color="auto"/>
        <w:left w:val="none" w:sz="0" w:space="0" w:color="auto"/>
        <w:bottom w:val="none" w:sz="0" w:space="0" w:color="auto"/>
        <w:right w:val="none" w:sz="0" w:space="0" w:color="auto"/>
      </w:divBdr>
    </w:div>
    <w:div w:id="16330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9_v xmlns="cb7eed14-1ed6-4f4f-9464-e9d73fc2f8e9">2024</_x00c9_v>
    <T_x00e9_ma xmlns="cb7eed14-1ed6-4f4f-9464-e9d73fc2f8e9" xsi:nil="true"/>
    <L_x00e1_that_x00f3_s_x00e1_g xmlns="cb7eed14-1ed6-4f4f-9464-e9d73fc2f8e9">Publikus</L_x00e1_that_x00f3_s_x00e1_g>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5" ma:contentTypeDescription="Új dokumentum létrehozása." ma:contentTypeScope="" ma:versionID="31e4e3cdae65457b6dd54469a0de32db">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96afc7bfeb3cbb4c401c9bb959457ab5"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958D-48DC-4564-B24D-56E63215790F}">
  <ds:schemaRefs>
    <ds:schemaRef ds:uri="http://schemas.microsoft.com/office/2006/metadata/properties"/>
    <ds:schemaRef ds:uri="http://purl.org/dc/terms/"/>
    <ds:schemaRef ds:uri="cb7eed14-1ed6-4f4f-9464-e9d73fc2f8e9"/>
    <ds:schemaRef ds:uri="http://schemas.microsoft.com/office/2006/documentManagement/types"/>
    <ds:schemaRef ds:uri="http://schemas.microsoft.com/office/infopath/2007/PartnerControls"/>
    <ds:schemaRef ds:uri="9669010e-b829-4d86-87dd-cdce11b0204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2329B3-64CC-4780-89B6-C8C7C77A4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0F6AD-19C0-4D6B-ABDF-2564A2CC5C1F}">
  <ds:schemaRefs>
    <ds:schemaRef ds:uri="http://schemas.microsoft.com/sharepoint/v3/contenttype/forms"/>
  </ds:schemaRefs>
</ds:datastoreItem>
</file>

<file path=customXml/itemProps4.xml><?xml version="1.0" encoding="utf-8"?>
<ds:datastoreItem xmlns:ds="http://schemas.openxmlformats.org/officeDocument/2006/customXml" ds:itemID="{FC090155-77F3-4BE1-B701-187B5A10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4721</Words>
  <Characters>32578</Characters>
  <Application>Microsoft Office Word</Application>
  <DocSecurity>4</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37225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Kovács Márta</dc:creator>
  <cp:lastModifiedBy>Ivók Aurél Csaba</cp:lastModifiedBy>
  <cp:revision>2</cp:revision>
  <cp:lastPrinted>2024-05-21T06:36:00Z</cp:lastPrinted>
  <dcterms:created xsi:type="dcterms:W3CDTF">2024-06-21T07:54:00Z</dcterms:created>
  <dcterms:modified xsi:type="dcterms:W3CDTF">2024-06-21T07:54:00Z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