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689E2" w14:textId="6B71AC8F" w:rsidR="00B155FE" w:rsidRPr="00377D59" w:rsidRDefault="3782F5BA" w:rsidP="3782F5BA">
      <w:pPr>
        <w:tabs>
          <w:tab w:val="center" w:pos="4536"/>
        </w:tabs>
        <w:bidi/>
        <w:spacing w:after="120" w:line="240" w:lineRule="auto"/>
        <w:ind w:left="-142" w:right="-1" w:firstLine="142"/>
        <w:rPr>
          <w:rFonts w:ascii="Times New Roman" w:eastAsia="Times New Roman" w:hAnsi="Times New Roman" w:cs="Times New Roman"/>
          <w:b/>
          <w:bCs/>
          <w:smallCaps/>
          <w:sz w:val="32"/>
          <w:szCs w:val="32"/>
          <w:lang w:eastAsia="hu-HU"/>
        </w:rPr>
      </w:pPr>
      <w:r w:rsidRPr="3782F5BA">
        <w:rPr>
          <w:rFonts w:ascii="Times New Roman" w:eastAsia="Times New Roman" w:hAnsi="Times New Roman" w:cs="Times New Roman"/>
          <w:b/>
          <w:bCs/>
          <w:smallCaps/>
          <w:sz w:val="32"/>
          <w:szCs w:val="32"/>
          <w:lang w:eastAsia="hu-HU"/>
        </w:rPr>
        <w:t>Nemzetgazdasági Minisztérium</w:t>
      </w:r>
    </w:p>
    <w:p w14:paraId="7B7689E4"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36F33C9C" w14:textId="77777777" w:rsidR="001E689B" w:rsidRPr="00377D59" w:rsidRDefault="001E689B"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5"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6"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7"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8"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9"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26"/>
          <w:szCs w:val="26"/>
          <w:lang w:eastAsia="hu-HU"/>
        </w:rPr>
      </w:pPr>
    </w:p>
    <w:p w14:paraId="7B7689EA"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B"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C"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D"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E"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F" w14:textId="77777777" w:rsidR="00B155FE" w:rsidRPr="00377D59" w:rsidRDefault="00B155FE" w:rsidP="3782F5BA">
      <w:pPr>
        <w:keepNext/>
        <w:widowControl w:val="0"/>
        <w:spacing w:after="120" w:line="240" w:lineRule="auto"/>
        <w:jc w:val="center"/>
        <w:rPr>
          <w:rFonts w:ascii="Times New Roman" w:eastAsia="Times New Roman" w:hAnsi="Times New Roman" w:cs="Times New Roman"/>
          <w:b/>
          <w:bCs/>
          <w:caps/>
          <w:sz w:val="32"/>
          <w:szCs w:val="32"/>
          <w:lang w:eastAsia="hu-HU"/>
        </w:rPr>
      </w:pPr>
      <w:r w:rsidRPr="00377D59">
        <w:rPr>
          <w:rFonts w:ascii="Times New Roman" w:eastAsia="Times New Roman" w:hAnsi="Times New Roman" w:cs="Times New Roman"/>
          <w:b/>
          <w:bCs/>
          <w:caps/>
          <w:spacing w:val="60"/>
          <w:sz w:val="32"/>
          <w:szCs w:val="32"/>
          <w:lang w:eastAsia="hu-HU"/>
        </w:rPr>
        <w:t>Tájékoztató</w:t>
      </w:r>
    </w:p>
    <w:p w14:paraId="5AE02B14" w14:textId="2E42DEC3" w:rsidR="00B94CCA" w:rsidRPr="00377D59" w:rsidRDefault="3782F5BA" w:rsidP="3782F5BA">
      <w:pPr>
        <w:keepNext/>
        <w:tabs>
          <w:tab w:val="left" w:pos="2694"/>
        </w:tabs>
        <w:spacing w:after="120" w:line="240" w:lineRule="auto"/>
        <w:ind w:right="-1"/>
        <w:jc w:val="center"/>
        <w:outlineLvl w:val="1"/>
        <w:rPr>
          <w:rFonts w:ascii="Times New Roman" w:eastAsia="Times New Roman" w:hAnsi="Times New Roman" w:cs="Times New Roman"/>
          <w:b/>
          <w:bCs/>
          <w:i/>
          <w:iCs/>
          <w:sz w:val="26"/>
          <w:szCs w:val="26"/>
          <w:lang w:eastAsia="hu-HU"/>
        </w:rPr>
      </w:pPr>
      <w:r w:rsidRPr="3782F5BA">
        <w:rPr>
          <w:rFonts w:ascii="Times New Roman" w:eastAsia="Times New Roman" w:hAnsi="Times New Roman" w:cs="Times New Roman"/>
          <w:b/>
          <w:bCs/>
          <w:i/>
          <w:iCs/>
          <w:sz w:val="26"/>
          <w:szCs w:val="26"/>
          <w:lang w:eastAsia="hu-HU"/>
        </w:rPr>
        <w:t>az államháztartás központi alrendszerének</w:t>
      </w:r>
      <w:r w:rsidR="3569ECBC">
        <w:br/>
      </w:r>
      <w:r w:rsidRPr="3782F5BA">
        <w:rPr>
          <w:rFonts w:ascii="Times New Roman" w:eastAsia="Times New Roman" w:hAnsi="Times New Roman" w:cs="Times New Roman"/>
          <w:b/>
          <w:bCs/>
          <w:i/>
          <w:iCs/>
          <w:sz w:val="26"/>
          <w:szCs w:val="26"/>
          <w:lang w:eastAsia="hu-HU"/>
        </w:rPr>
        <w:t>2025. február végi helyzetéről</w:t>
      </w:r>
    </w:p>
    <w:p w14:paraId="7B7689F2" w14:textId="2D4563EC" w:rsidR="00B155FE" w:rsidRPr="00377D59" w:rsidRDefault="00B155FE"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4A2F8C9F"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1D327E5D"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35267E04"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20BD3D31"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16E13D32"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59F56A13"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7B7689F4" w14:textId="77777777" w:rsidR="00B155FE" w:rsidRPr="00377D59" w:rsidRDefault="00B155FE" w:rsidP="00B155FE">
      <w:pPr>
        <w:tabs>
          <w:tab w:val="left" w:pos="2694"/>
        </w:tabs>
        <w:spacing w:after="120" w:line="240" w:lineRule="auto"/>
        <w:jc w:val="both"/>
        <w:rPr>
          <w:rFonts w:ascii="Times New Roman" w:eastAsia="Times New Roman" w:hAnsi="Times New Roman" w:cs="Times New Roman"/>
          <w:sz w:val="26"/>
          <w:szCs w:val="20"/>
          <w:lang w:eastAsia="hu-HU"/>
        </w:rPr>
      </w:pPr>
    </w:p>
    <w:p w14:paraId="7B7689F6" w14:textId="77777777" w:rsidR="00B155FE" w:rsidRPr="00377D59" w:rsidRDefault="00B155FE" w:rsidP="00B155FE">
      <w:pPr>
        <w:tabs>
          <w:tab w:val="left" w:pos="2694"/>
        </w:tabs>
        <w:spacing w:after="120" w:line="240" w:lineRule="auto"/>
        <w:jc w:val="both"/>
        <w:rPr>
          <w:rFonts w:ascii="Times New Roman" w:eastAsia="Times New Roman" w:hAnsi="Times New Roman" w:cs="Times New Roman"/>
          <w:sz w:val="26"/>
          <w:szCs w:val="20"/>
          <w:lang w:eastAsia="hu-HU"/>
        </w:rPr>
      </w:pPr>
    </w:p>
    <w:p w14:paraId="7B7689F7"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8" w14:textId="7C3BEFF0" w:rsidR="00B155FE" w:rsidRPr="00377D59" w:rsidRDefault="00B155FE" w:rsidP="00EA1F58">
      <w:pPr>
        <w:tabs>
          <w:tab w:val="left" w:pos="5685"/>
        </w:tabs>
        <w:spacing w:after="120" w:line="240" w:lineRule="auto"/>
        <w:jc w:val="both"/>
        <w:rPr>
          <w:rFonts w:ascii="Times New Roman" w:eastAsia="Times New Roman" w:hAnsi="Times New Roman" w:cs="Times New Roman"/>
          <w:sz w:val="26"/>
          <w:szCs w:val="20"/>
          <w:lang w:eastAsia="hu-HU"/>
        </w:rPr>
      </w:pPr>
    </w:p>
    <w:p w14:paraId="7B7689F9"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A"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B"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1CF999E6" w14:textId="062C2ECE" w:rsidR="00E97147" w:rsidRPr="00377D59" w:rsidRDefault="00B155FE" w:rsidP="3782F5BA">
      <w:pPr>
        <w:tabs>
          <w:tab w:val="left" w:pos="2694"/>
        </w:tabs>
        <w:spacing w:after="120" w:line="240" w:lineRule="auto"/>
        <w:jc w:val="center"/>
        <w:rPr>
          <w:rFonts w:ascii="Times New Roman" w:eastAsia="Times New Roman" w:hAnsi="Times New Roman" w:cs="Times New Roman"/>
          <w:b/>
          <w:bCs/>
          <w:lang w:eastAsia="hu-HU"/>
        </w:rPr>
        <w:sectPr w:rsidR="00E97147" w:rsidRPr="00377D59" w:rsidSect="007449BF">
          <w:headerReference w:type="default" r:id="rId11"/>
          <w:footerReference w:type="default" r:id="rId12"/>
          <w:footerReference w:type="first" r:id="rId13"/>
          <w:footnotePr>
            <w:numRestart w:val="eachPage"/>
          </w:footnotePr>
          <w:pgSz w:w="11907" w:h="16840" w:code="9"/>
          <w:pgMar w:top="1134" w:right="1134" w:bottom="1418" w:left="1418" w:header="709" w:footer="709" w:gutter="0"/>
          <w:pgNumType w:fmt="numberInDash" w:start="0"/>
          <w:cols w:space="708"/>
          <w:docGrid w:linePitch="354"/>
        </w:sectPr>
      </w:pPr>
      <w:r w:rsidRPr="00377D59">
        <w:rPr>
          <w:rFonts w:ascii="Times New Roman" w:eastAsia="Times New Roman" w:hAnsi="Times New Roman" w:cs="Times New Roman"/>
          <w:b/>
          <w:bCs/>
          <w:noProof/>
          <w:lang w:eastAsia="hu-HU"/>
        </w:rPr>
        <mc:AlternateContent>
          <mc:Choice Requires="wps">
            <w:drawing>
              <wp:anchor distT="0" distB="0" distL="114300" distR="114300" simplePos="0" relativeHeight="251658240" behindDoc="0" locked="0" layoutInCell="1" allowOverlap="1" wp14:anchorId="7B768C6C" wp14:editId="7B768C6D">
                <wp:simplePos x="0" y="0"/>
                <wp:positionH relativeFrom="column">
                  <wp:posOffset>2336732</wp:posOffset>
                </wp:positionH>
                <wp:positionV relativeFrom="paragraph">
                  <wp:posOffset>980217</wp:posOffset>
                </wp:positionV>
                <wp:extent cx="971550" cy="393065"/>
                <wp:effectExtent l="0" t="0" r="0"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w14:anchorId="1261677C">
              <v:rect id="Rectangle 2" style="position:absolute;margin-left:184pt;margin-top:77.2pt;width:76.5pt;height: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7EA59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zDew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"/>
            </w:pict>
          </mc:Fallback>
        </mc:AlternateContent>
      </w:r>
      <w:r w:rsidRPr="00377D59">
        <w:rPr>
          <w:rFonts w:ascii="Times New Roman" w:eastAsia="Times New Roman" w:hAnsi="Times New Roman" w:cs="Times New Roman"/>
          <w:b/>
          <w:bCs/>
          <w:lang w:eastAsia="hu-HU"/>
        </w:rPr>
        <w:t>202</w:t>
      </w:r>
      <w:r w:rsidR="002107FF">
        <w:rPr>
          <w:rFonts w:ascii="Times New Roman" w:eastAsia="Times New Roman" w:hAnsi="Times New Roman" w:cs="Times New Roman"/>
          <w:b/>
          <w:bCs/>
          <w:lang w:eastAsia="hu-HU"/>
        </w:rPr>
        <w:t>5</w:t>
      </w:r>
      <w:r w:rsidRPr="00377D59">
        <w:rPr>
          <w:rFonts w:ascii="Times New Roman" w:eastAsia="Times New Roman" w:hAnsi="Times New Roman" w:cs="Times New Roman"/>
          <w:b/>
          <w:bCs/>
          <w:lang w:eastAsia="hu-HU"/>
        </w:rPr>
        <w:t xml:space="preserve">. </w:t>
      </w:r>
      <w:r w:rsidR="006320E9">
        <w:rPr>
          <w:rFonts w:ascii="Times New Roman" w:eastAsia="Times New Roman" w:hAnsi="Times New Roman" w:cs="Times New Roman"/>
          <w:b/>
          <w:bCs/>
          <w:lang w:eastAsia="hu-HU"/>
        </w:rPr>
        <w:t>március</w:t>
      </w:r>
    </w:p>
    <w:p w14:paraId="7B7689FF" w14:textId="77777777" w:rsidR="00B155FE" w:rsidRPr="00377D59" w:rsidRDefault="3782F5BA" w:rsidP="3782F5BA">
      <w:pPr>
        <w:keepNext/>
        <w:spacing w:before="240" w:after="480" w:line="480" w:lineRule="auto"/>
        <w:ind w:left="425" w:hanging="425"/>
        <w:jc w:val="center"/>
        <w:outlineLvl w:val="3"/>
        <w:rPr>
          <w:rFonts w:ascii="Times New Roman" w:eastAsia="Times New Roman" w:hAnsi="Times New Roman" w:cs="Times New Roman"/>
          <w:b/>
          <w:bCs/>
          <w:caps/>
          <w:color w:val="000000" w:themeColor="text1"/>
          <w:sz w:val="26"/>
          <w:szCs w:val="26"/>
          <w:lang w:eastAsia="hu-HU"/>
        </w:rPr>
      </w:pPr>
      <w:r w:rsidRPr="3782F5BA">
        <w:rPr>
          <w:rFonts w:ascii="Times New Roman" w:eastAsia="Times New Roman" w:hAnsi="Times New Roman" w:cs="Times New Roman"/>
          <w:b/>
          <w:bCs/>
          <w:caps/>
          <w:color w:val="000000" w:themeColor="text1"/>
          <w:sz w:val="26"/>
          <w:szCs w:val="26"/>
          <w:lang w:eastAsia="hu-HU"/>
        </w:rPr>
        <w:lastRenderedPageBreak/>
        <w:t>Összefoglalás</w:t>
      </w:r>
    </w:p>
    <w:p w14:paraId="2DFA7F10" w14:textId="638E326A" w:rsidR="00A70976" w:rsidRDefault="3782F5BA" w:rsidP="3782F5BA">
      <w:pPr>
        <w:widowControl w:val="0"/>
        <w:jc w:val="both"/>
        <w:rPr>
          <w:rFonts w:ascii="Times New Roman" w:eastAsia="Times New Roman" w:hAnsi="Times New Roman" w:cs="Times New Roman"/>
          <w:b/>
          <w:bCs/>
          <w:color w:val="000000" w:themeColor="text1"/>
          <w:sz w:val="26"/>
          <w:szCs w:val="26"/>
          <w:lang w:eastAsia="hu-HU"/>
        </w:rPr>
      </w:pPr>
      <w:r w:rsidRPr="3782F5BA">
        <w:rPr>
          <w:rFonts w:ascii="Times New Roman" w:eastAsia="Times New Roman" w:hAnsi="Times New Roman" w:cs="Times New Roman"/>
          <w:b/>
          <w:bCs/>
          <w:color w:val="000000" w:themeColor="text1"/>
          <w:sz w:val="26"/>
          <w:szCs w:val="26"/>
          <w:lang w:eastAsia="hu-HU"/>
        </w:rPr>
        <w:t xml:space="preserve">A </w:t>
      </w:r>
      <w:r w:rsidR="00A70976" w:rsidRPr="00A70976">
        <w:rPr>
          <w:rFonts w:ascii="Times New Roman" w:eastAsia="Times New Roman" w:hAnsi="Times New Roman" w:cs="Times New Roman"/>
          <w:b/>
          <w:bCs/>
          <w:color w:val="000000" w:themeColor="text1"/>
          <w:sz w:val="26"/>
          <w:szCs w:val="26"/>
          <w:lang w:eastAsia="hu-HU"/>
        </w:rPr>
        <w:t>kormány a magyar családok és a hazai kkv-k mellett a nyugdíjasokat is kiemelten támogatja. A kormány tartja magát a 2010-ben a nyugdíjasoknak tett ígéretéhez, megőrzi a nyugdíjak vásárlóértékét, és megvédi a 13. havi nyugdíjat</w:t>
      </w:r>
      <w:r w:rsidR="00EC00A2">
        <w:rPr>
          <w:rFonts w:ascii="Times New Roman" w:eastAsia="Times New Roman" w:hAnsi="Times New Roman" w:cs="Times New Roman"/>
          <w:b/>
          <w:bCs/>
          <w:color w:val="000000" w:themeColor="text1"/>
          <w:sz w:val="26"/>
          <w:szCs w:val="26"/>
          <w:lang w:eastAsia="hu-HU"/>
        </w:rPr>
        <w:t>.</w:t>
      </w:r>
    </w:p>
    <w:p w14:paraId="725A0996" w14:textId="77777777" w:rsidR="00EC00A2" w:rsidRPr="00EC00A2" w:rsidRDefault="00EC00A2" w:rsidP="00EC00A2">
      <w:pPr>
        <w:widowControl w:val="0"/>
        <w:jc w:val="both"/>
        <w:rPr>
          <w:rFonts w:ascii="Times New Roman" w:hAnsi="Times New Roman" w:cs="Times New Roman"/>
          <w:sz w:val="26"/>
          <w:szCs w:val="26"/>
        </w:rPr>
      </w:pPr>
      <w:r w:rsidRPr="00EC00A2">
        <w:rPr>
          <w:rFonts w:ascii="Times New Roman" w:hAnsi="Times New Roman" w:cs="Times New Roman"/>
          <w:sz w:val="26"/>
          <w:szCs w:val="26"/>
        </w:rPr>
        <w:t>Az elmúlt évekhez hasonlóan idén februárban is dupla ellátást kapott mintegy 2,5 millió nyugellátásban és nyugdíjszerű ellátásban részesülő. Ez a havi ellátáson felül kifizetett juttatás 2021-től összesen 1993,4 milliárd forint összegű kifizetést jelentett a jogosultaknak. Az állampapír kamat kifizetések a családokat is tovább erősítik, a kamatkiadásokra fordított összeg február végéig 1038,3 milliárd forint volt, 182,9 milliárd forinttal magasabb, mint a megelőző év azonos időszakában.</w:t>
      </w:r>
    </w:p>
    <w:p w14:paraId="032EAFF7" w14:textId="77777777" w:rsidR="00EC00A2" w:rsidRPr="00EC00A2" w:rsidRDefault="00EC00A2" w:rsidP="00EC00A2">
      <w:pPr>
        <w:widowControl w:val="0"/>
        <w:jc w:val="both"/>
        <w:rPr>
          <w:rFonts w:ascii="Times New Roman" w:hAnsi="Times New Roman" w:cs="Times New Roman"/>
          <w:sz w:val="26"/>
          <w:szCs w:val="26"/>
        </w:rPr>
      </w:pPr>
      <w:r w:rsidRPr="00EC00A2">
        <w:rPr>
          <w:rFonts w:ascii="Times New Roman" w:hAnsi="Times New Roman" w:cs="Times New Roman"/>
          <w:sz w:val="26"/>
          <w:szCs w:val="26"/>
        </w:rPr>
        <w:t>2025. év első két hónapjában az államháztartás központi alrendszere 1722,8 milliárd forintos hiánnyal zárt. Ezen belül a központi költségvetés 1683,5 milliárd forintos hiányt, az elkülönített állami pénzalapok 38,0 milliárd forintos többletet, a társadalombiztosítás pénzügyi alapjai pedig 77,3 milliárd forintos hiányt mutattak. A központi alrendszer adó- és járulékbevételei az előző évhez viszonyítva 13,5%-kal magasabban teljesültek.</w:t>
      </w:r>
    </w:p>
    <w:p w14:paraId="31213C92" w14:textId="77777777" w:rsidR="00EC00A2" w:rsidRPr="00EC00A2" w:rsidRDefault="00EC00A2" w:rsidP="00EC00A2">
      <w:pPr>
        <w:widowControl w:val="0"/>
        <w:jc w:val="both"/>
        <w:rPr>
          <w:rFonts w:ascii="Times New Roman" w:hAnsi="Times New Roman" w:cs="Times New Roman"/>
          <w:sz w:val="26"/>
          <w:szCs w:val="26"/>
        </w:rPr>
      </w:pPr>
      <w:r w:rsidRPr="00EC00A2">
        <w:rPr>
          <w:rFonts w:ascii="Times New Roman" w:hAnsi="Times New Roman" w:cs="Times New Roman"/>
          <w:sz w:val="26"/>
          <w:szCs w:val="26"/>
        </w:rPr>
        <w:t>A február havi hiány 1655,0 milliárd forint volt, mely az előző évekhez hasonlóan az időarányosnál magasabb. A hiány hátterében egyszeri tényezők állnak. A havi egyenleg kialakulásában fontos szerepet játszott, hogy az ÁFA-visszatérítések természetes szezonalitása miatt a nettó ÁFA-bevételek 318,5 milliárd forintot, az éves előirányzat mindössze 4%-át tették ki. A kiadási oldalon a téli hónap miatt az időarányosnál többet, 150,9 milliárdot fordítottunk a rezsicsökkentés támogatására. Februárban kerül kifizetésre a 13. havi nyugdíj, ami a 13. havi ellátással együtt összesen 536 milliárd forintot tett ki.</w:t>
      </w:r>
    </w:p>
    <w:p w14:paraId="631D7C77" w14:textId="15BB4EAC" w:rsidR="00EC00A2" w:rsidRPr="00EC00A2" w:rsidRDefault="00EC00A2" w:rsidP="00EC00A2">
      <w:pPr>
        <w:widowControl w:val="0"/>
        <w:jc w:val="both"/>
        <w:rPr>
          <w:rFonts w:ascii="Times New Roman" w:hAnsi="Times New Roman" w:cs="Times New Roman"/>
          <w:sz w:val="26"/>
          <w:szCs w:val="26"/>
        </w:rPr>
      </w:pPr>
      <w:r w:rsidRPr="00EC00A2">
        <w:rPr>
          <w:rFonts w:ascii="Times New Roman" w:hAnsi="Times New Roman" w:cs="Times New Roman"/>
          <w:sz w:val="26"/>
          <w:szCs w:val="26"/>
        </w:rPr>
        <w:t xml:space="preserve">Az állampapír kamat kifizetésekkel tovább </w:t>
      </w:r>
      <w:r w:rsidR="00E73AD4">
        <w:rPr>
          <w:rFonts w:ascii="Times New Roman" w:hAnsi="Times New Roman" w:cs="Times New Roman"/>
          <w:sz w:val="26"/>
          <w:szCs w:val="26"/>
        </w:rPr>
        <w:t>erősítik a magyar lakosságot. A </w:t>
      </w:r>
      <w:r w:rsidRPr="00EC00A2">
        <w:rPr>
          <w:rFonts w:ascii="Times New Roman" w:hAnsi="Times New Roman" w:cs="Times New Roman"/>
          <w:sz w:val="26"/>
          <w:szCs w:val="26"/>
        </w:rPr>
        <w:t>kamatkiadásokra fordított összeg február végéig 103</w:t>
      </w:r>
      <w:r w:rsidR="00E73AD4">
        <w:rPr>
          <w:rFonts w:ascii="Times New Roman" w:hAnsi="Times New Roman" w:cs="Times New Roman"/>
          <w:sz w:val="26"/>
          <w:szCs w:val="26"/>
        </w:rPr>
        <w:t>8,3 milliárd forint volt, 182,9 </w:t>
      </w:r>
      <w:r w:rsidRPr="00EC00A2">
        <w:rPr>
          <w:rFonts w:ascii="Times New Roman" w:hAnsi="Times New Roman" w:cs="Times New Roman"/>
          <w:sz w:val="26"/>
          <w:szCs w:val="26"/>
        </w:rPr>
        <w:t>milliárd forinttal magasabb az előző évi azonos időszaki kifizetéseknél, elsősorban egyes Prémium Magyar Állampapír (PMÁP) sorozatok januári és februári kamatfizetési időpontjainak köszönhetően.</w:t>
      </w:r>
    </w:p>
    <w:p w14:paraId="7D3CC063" w14:textId="77777777" w:rsidR="00EC00A2" w:rsidRPr="00EC00A2" w:rsidRDefault="00EC00A2" w:rsidP="00EC00A2">
      <w:pPr>
        <w:widowControl w:val="0"/>
        <w:jc w:val="both"/>
        <w:rPr>
          <w:rFonts w:ascii="Times New Roman" w:hAnsi="Times New Roman" w:cs="Times New Roman"/>
          <w:sz w:val="26"/>
          <w:szCs w:val="26"/>
        </w:rPr>
      </w:pPr>
      <w:r w:rsidRPr="00EC00A2">
        <w:rPr>
          <w:rFonts w:ascii="Times New Roman" w:hAnsi="Times New Roman" w:cs="Times New Roman"/>
          <w:sz w:val="26"/>
          <w:szCs w:val="26"/>
        </w:rPr>
        <w:t>2025. február végéig a gyógyító-megelőző ellátásokra 531,5 milliárd forint kifizetésére került sor, amely az előző évi kiadásokat 145,2 milliárd forinttal haladja meg. A kimagasló bővülés annak köszönhető, hogy 2025. február elején a járóbeteg- és fekvőbeteg-szakellátást nyújtó állami, önkormányzati és egyházi tulajdonban álló egészségügyi szolgáltatók, továbbá az orvostudományi egyetemek részeként működő klinikai központok 96,4 milliárd forint működési támogatásban részesültek, melyet a meghatározott prioritási sorrend alapján 2025. február 28. napjáig használhattak fel.</w:t>
      </w:r>
    </w:p>
    <w:p w14:paraId="686D9FB2" w14:textId="77777777" w:rsidR="00EC00A2" w:rsidRDefault="00EC00A2" w:rsidP="3782F5BA">
      <w:pPr>
        <w:widowControl w:val="0"/>
        <w:jc w:val="both"/>
        <w:rPr>
          <w:rFonts w:ascii="Times New Roman" w:hAnsi="Times New Roman" w:cs="Times New Roman"/>
          <w:sz w:val="26"/>
          <w:szCs w:val="26"/>
        </w:rPr>
      </w:pPr>
    </w:p>
    <w:p w14:paraId="7B768A0B" w14:textId="22620384" w:rsidR="005171E0" w:rsidRDefault="00920F4D" w:rsidP="3782F5BA">
      <w:pPr>
        <w:widowControl w:val="0"/>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br w:type="column"/>
      </w:r>
      <w:r w:rsidR="639E9B9B" w:rsidRPr="639E9B9B">
        <w:rPr>
          <w:rFonts w:ascii="Times New Roman" w:eastAsia="Times New Roman" w:hAnsi="Times New Roman" w:cs="Times New Roman"/>
          <w:sz w:val="26"/>
          <w:szCs w:val="26"/>
          <w:lang w:eastAsia="hu-HU"/>
        </w:rPr>
        <w:lastRenderedPageBreak/>
        <w:t>Az államháztartás központi alrendszerének 202</w:t>
      </w:r>
      <w:r w:rsidR="005171E0">
        <w:rPr>
          <w:rFonts w:ascii="Times New Roman" w:eastAsia="Times New Roman" w:hAnsi="Times New Roman" w:cs="Times New Roman"/>
          <w:sz w:val="26"/>
          <w:szCs w:val="26"/>
          <w:lang w:eastAsia="hu-HU"/>
        </w:rPr>
        <w:t>5</w:t>
      </w:r>
      <w:r w:rsidR="639E9B9B" w:rsidRPr="639E9B9B">
        <w:rPr>
          <w:rFonts w:ascii="Times New Roman" w:eastAsia="Times New Roman" w:hAnsi="Times New Roman" w:cs="Times New Roman"/>
          <w:sz w:val="26"/>
          <w:szCs w:val="26"/>
          <w:lang w:eastAsia="hu-HU"/>
        </w:rPr>
        <w:t xml:space="preserve">. </w:t>
      </w:r>
      <w:r w:rsidR="005A1E0F">
        <w:rPr>
          <w:rFonts w:ascii="Times New Roman" w:eastAsia="Times New Roman" w:hAnsi="Times New Roman" w:cs="Times New Roman"/>
          <w:sz w:val="26"/>
          <w:szCs w:val="26"/>
          <w:lang w:eastAsia="hu-HU"/>
        </w:rPr>
        <w:t>február</w:t>
      </w:r>
      <w:r w:rsidR="639E9B9B" w:rsidRPr="639E9B9B">
        <w:rPr>
          <w:rFonts w:ascii="Times New Roman" w:eastAsia="Times New Roman" w:hAnsi="Times New Roman" w:cs="Times New Roman"/>
          <w:sz w:val="26"/>
          <w:szCs w:val="26"/>
          <w:lang w:eastAsia="hu-HU"/>
        </w:rPr>
        <w:t xml:space="preserve"> végi főbb pé</w:t>
      </w:r>
      <w:r w:rsidR="006D5492">
        <w:rPr>
          <w:rFonts w:ascii="Times New Roman" w:eastAsia="Times New Roman" w:hAnsi="Times New Roman" w:cs="Times New Roman"/>
          <w:sz w:val="26"/>
          <w:szCs w:val="26"/>
          <w:lang w:eastAsia="hu-HU"/>
        </w:rPr>
        <w:t>nzforgalmi adatai a következők:</w:t>
      </w:r>
    </w:p>
    <w:tbl>
      <w:tblPr>
        <w:tblW w:w="10064" w:type="dxa"/>
        <w:jc w:val="center"/>
        <w:tblLayout w:type="fixed"/>
        <w:tblCellMar>
          <w:left w:w="70" w:type="dxa"/>
          <w:right w:w="70" w:type="dxa"/>
        </w:tblCellMar>
        <w:tblLook w:val="04A0" w:firstRow="1" w:lastRow="0" w:firstColumn="1" w:lastColumn="0" w:noHBand="0" w:noVBand="1"/>
      </w:tblPr>
      <w:tblGrid>
        <w:gridCol w:w="2047"/>
        <w:gridCol w:w="1284"/>
        <w:gridCol w:w="1059"/>
        <w:gridCol w:w="1075"/>
        <w:gridCol w:w="1103"/>
        <w:gridCol w:w="1224"/>
        <w:gridCol w:w="1159"/>
        <w:gridCol w:w="1113"/>
      </w:tblGrid>
      <w:tr w:rsidR="00935118" w:rsidRPr="003D514A" w14:paraId="7C2CBF88" w14:textId="77777777" w:rsidTr="007449BF">
        <w:trPr>
          <w:trHeight w:val="1440"/>
          <w:jc w:val="center"/>
        </w:trPr>
        <w:tc>
          <w:tcPr>
            <w:tcW w:w="204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66847C39" w14:textId="77777777" w:rsidR="00935118" w:rsidRPr="00602E3C" w:rsidRDefault="73C5D9BC" w:rsidP="73C5D9BC">
            <w:pPr>
              <w:keepNext/>
              <w:keepLines/>
              <w:rPr>
                <w:rFonts w:ascii="Times New Roman" w:hAnsi="Times New Roman" w:cs="Times New Roman"/>
                <w:sz w:val="20"/>
                <w:szCs w:val="20"/>
              </w:rPr>
            </w:pPr>
            <w:r w:rsidRPr="73C5D9BC">
              <w:rPr>
                <w:rFonts w:ascii="Times New Roman" w:hAnsi="Times New Roman" w:cs="Times New Roman"/>
                <w:sz w:val="20"/>
                <w:szCs w:val="20"/>
              </w:rPr>
              <w:t> </w:t>
            </w:r>
          </w:p>
        </w:tc>
        <w:tc>
          <w:tcPr>
            <w:tcW w:w="128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6A30138" w14:textId="77777777" w:rsidR="00B6763B" w:rsidRPr="00602E3C" w:rsidRDefault="3782F5BA" w:rsidP="3782F5BA">
            <w:pPr>
              <w:keepNext/>
              <w:keepLines/>
              <w:spacing w:after="0"/>
              <w:jc w:val="center"/>
              <w:rPr>
                <w:rFonts w:ascii="Times New Roman" w:hAnsi="Times New Roman" w:cs="Times New Roman"/>
                <w:sz w:val="20"/>
                <w:szCs w:val="20"/>
              </w:rPr>
            </w:pPr>
            <w:r w:rsidRPr="3782F5BA">
              <w:rPr>
                <w:rFonts w:ascii="Times New Roman" w:hAnsi="Times New Roman" w:cs="Times New Roman"/>
                <w:b/>
                <w:bCs/>
                <w:sz w:val="20"/>
                <w:szCs w:val="20"/>
              </w:rPr>
              <w:t>2024. évi előzetes</w:t>
            </w:r>
            <w:r w:rsidR="3569ECBC">
              <w:br/>
            </w:r>
            <w:r w:rsidRPr="3782F5BA">
              <w:rPr>
                <w:rFonts w:ascii="Times New Roman" w:hAnsi="Times New Roman" w:cs="Times New Roman"/>
                <w:b/>
                <w:bCs/>
                <w:sz w:val="20"/>
                <w:szCs w:val="20"/>
              </w:rPr>
              <w:t>tény</w:t>
            </w:r>
            <w:r w:rsidR="3569ECBC">
              <w:br/>
            </w:r>
            <w:r w:rsidRPr="3782F5BA">
              <w:rPr>
                <w:rFonts w:ascii="Times New Roman" w:hAnsi="Times New Roman" w:cs="Times New Roman"/>
                <w:sz w:val="20"/>
                <w:szCs w:val="20"/>
              </w:rPr>
              <w:t>milliárd forintban</w:t>
            </w:r>
          </w:p>
          <w:p w14:paraId="36F5C342" w14:textId="76728DC5" w:rsidR="00935118" w:rsidRPr="00602E3C" w:rsidRDefault="3782F5BA" w:rsidP="3782F5BA">
            <w:pPr>
              <w:keepNext/>
              <w:keepLines/>
              <w:spacing w:after="0"/>
              <w:jc w:val="center"/>
              <w:rPr>
                <w:rFonts w:ascii="Times New Roman" w:hAnsi="Times New Roman" w:cs="Times New Roman"/>
                <w:sz w:val="20"/>
                <w:szCs w:val="20"/>
              </w:rPr>
            </w:pPr>
            <w:r w:rsidRPr="3782F5BA">
              <w:rPr>
                <w:rFonts w:ascii="Times New Roman" w:hAnsi="Times New Roman" w:cs="Times New Roman"/>
                <w:sz w:val="20"/>
                <w:szCs w:val="20"/>
              </w:rPr>
              <w:t>(1)</w:t>
            </w:r>
          </w:p>
        </w:tc>
        <w:tc>
          <w:tcPr>
            <w:tcW w:w="105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FDF4E03" w14:textId="3E827363" w:rsidR="00935118" w:rsidRPr="00602E3C" w:rsidRDefault="000A2818" w:rsidP="3782F5BA">
            <w:pPr>
              <w:keepNext/>
              <w:keepLines/>
              <w:spacing w:after="0"/>
              <w:jc w:val="center"/>
              <w:rPr>
                <w:rFonts w:ascii="Times New Roman" w:hAnsi="Times New Roman" w:cs="Times New Roman"/>
                <w:sz w:val="20"/>
                <w:szCs w:val="20"/>
              </w:rPr>
            </w:pPr>
            <w:r>
              <w:rPr>
                <w:rFonts w:ascii="Times New Roman" w:hAnsi="Times New Roman" w:cs="Times New Roman"/>
                <w:b/>
                <w:bCs/>
                <w:sz w:val="20"/>
                <w:szCs w:val="20"/>
              </w:rPr>
              <w:t>2024. I</w:t>
            </w:r>
            <w:r w:rsidR="007007A3">
              <w:rPr>
                <w:rFonts w:ascii="Times New Roman" w:hAnsi="Times New Roman" w:cs="Times New Roman"/>
                <w:b/>
                <w:bCs/>
                <w:sz w:val="20"/>
                <w:szCs w:val="20"/>
              </w:rPr>
              <w:t>-II.</w:t>
            </w:r>
            <w:r w:rsidR="3782F5BA" w:rsidRPr="3782F5BA">
              <w:rPr>
                <w:rFonts w:ascii="Times New Roman" w:hAnsi="Times New Roman" w:cs="Times New Roman"/>
                <w:b/>
                <w:bCs/>
                <w:sz w:val="20"/>
                <w:szCs w:val="20"/>
              </w:rPr>
              <w:t xml:space="preserve"> hó tény</w:t>
            </w:r>
            <w:r w:rsidR="3569ECBC">
              <w:br/>
            </w:r>
            <w:r w:rsidR="3782F5BA" w:rsidRPr="3782F5BA">
              <w:rPr>
                <w:rFonts w:ascii="Times New Roman" w:hAnsi="Times New Roman" w:cs="Times New Roman"/>
                <w:sz w:val="20"/>
                <w:szCs w:val="20"/>
              </w:rPr>
              <w:t>milliárd forintban</w:t>
            </w:r>
          </w:p>
          <w:p w14:paraId="547D8DD1" w14:textId="77777777" w:rsidR="00B6763B" w:rsidRPr="00602E3C" w:rsidRDefault="00B6763B" w:rsidP="00B6763B">
            <w:pPr>
              <w:keepNext/>
              <w:keepLines/>
              <w:spacing w:after="0"/>
              <w:jc w:val="center"/>
              <w:rPr>
                <w:rFonts w:ascii="Times New Roman" w:hAnsi="Times New Roman" w:cs="Times New Roman"/>
                <w:sz w:val="20"/>
                <w:szCs w:val="20"/>
              </w:rPr>
            </w:pPr>
          </w:p>
          <w:p w14:paraId="080A44C1" w14:textId="4CBA2534" w:rsidR="00935118" w:rsidRPr="00602E3C" w:rsidRDefault="3782F5BA" w:rsidP="3782F5BA">
            <w:pPr>
              <w:keepNext/>
              <w:keepLines/>
              <w:spacing w:after="0"/>
              <w:jc w:val="center"/>
              <w:rPr>
                <w:rFonts w:ascii="Times New Roman" w:hAnsi="Times New Roman" w:cs="Times New Roman"/>
                <w:sz w:val="20"/>
                <w:szCs w:val="20"/>
              </w:rPr>
            </w:pPr>
            <w:r w:rsidRPr="3782F5BA">
              <w:rPr>
                <w:rFonts w:ascii="Times New Roman" w:hAnsi="Times New Roman" w:cs="Times New Roman"/>
                <w:sz w:val="20"/>
                <w:szCs w:val="20"/>
              </w:rPr>
              <w:t>(2)</w:t>
            </w:r>
          </w:p>
        </w:tc>
        <w:tc>
          <w:tcPr>
            <w:tcW w:w="1075"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9E2A84F" w14:textId="77777777" w:rsidR="00935118" w:rsidRPr="00602E3C" w:rsidRDefault="3782F5BA" w:rsidP="3782F5BA">
            <w:pPr>
              <w:keepNext/>
              <w:keepLines/>
              <w:spacing w:after="0"/>
              <w:jc w:val="center"/>
              <w:rPr>
                <w:rFonts w:ascii="Times New Roman" w:hAnsi="Times New Roman" w:cs="Times New Roman"/>
                <w:sz w:val="20"/>
                <w:szCs w:val="20"/>
              </w:rPr>
            </w:pPr>
            <w:r w:rsidRPr="3782F5BA">
              <w:rPr>
                <w:rFonts w:ascii="Times New Roman" w:hAnsi="Times New Roman" w:cs="Times New Roman"/>
                <w:sz w:val="20"/>
                <w:szCs w:val="20"/>
              </w:rPr>
              <w:t>éves előzetes tény=100%</w:t>
            </w:r>
            <w:r w:rsidR="3569ECBC">
              <w:br/>
            </w:r>
            <w:r w:rsidRPr="3782F5BA">
              <w:rPr>
                <w:rFonts w:ascii="Times New Roman" w:hAnsi="Times New Roman" w:cs="Times New Roman"/>
                <w:sz w:val="20"/>
                <w:szCs w:val="20"/>
              </w:rPr>
              <w:t>Index (%)</w:t>
            </w:r>
          </w:p>
          <w:p w14:paraId="03379603" w14:textId="77777777" w:rsidR="00CD1AD4" w:rsidRPr="00602E3C" w:rsidRDefault="00CD1AD4" w:rsidP="00B6763B">
            <w:pPr>
              <w:keepNext/>
              <w:keepLines/>
              <w:spacing w:after="0"/>
              <w:jc w:val="center"/>
              <w:rPr>
                <w:rFonts w:ascii="Times New Roman" w:hAnsi="Times New Roman" w:cs="Times New Roman"/>
                <w:sz w:val="20"/>
                <w:szCs w:val="20"/>
              </w:rPr>
            </w:pPr>
          </w:p>
          <w:p w14:paraId="7EA042FF" w14:textId="50D239CD" w:rsidR="00935118" w:rsidRPr="00602E3C" w:rsidRDefault="3782F5BA" w:rsidP="3782F5BA">
            <w:pPr>
              <w:keepNext/>
              <w:keepLines/>
              <w:spacing w:after="0"/>
              <w:jc w:val="center"/>
              <w:rPr>
                <w:rFonts w:ascii="Times New Roman" w:hAnsi="Times New Roman" w:cs="Times New Roman"/>
                <w:sz w:val="20"/>
                <w:szCs w:val="20"/>
              </w:rPr>
            </w:pPr>
            <w:r w:rsidRPr="3782F5BA">
              <w:rPr>
                <w:rFonts w:ascii="Times New Roman" w:hAnsi="Times New Roman" w:cs="Times New Roman"/>
                <w:sz w:val="20"/>
                <w:szCs w:val="20"/>
              </w:rPr>
              <w:t>(2/1)</w:t>
            </w:r>
          </w:p>
        </w:tc>
        <w:tc>
          <w:tcPr>
            <w:tcW w:w="110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21E5557" w14:textId="77777777" w:rsidR="00935118" w:rsidRPr="00602E3C" w:rsidRDefault="3782F5BA" w:rsidP="3782F5BA">
            <w:pPr>
              <w:keepNext/>
              <w:keepLines/>
              <w:spacing w:after="0"/>
              <w:jc w:val="center"/>
              <w:rPr>
                <w:rFonts w:ascii="Times New Roman" w:hAnsi="Times New Roman" w:cs="Times New Roman"/>
                <w:sz w:val="20"/>
                <w:szCs w:val="20"/>
              </w:rPr>
            </w:pPr>
            <w:r w:rsidRPr="3782F5BA">
              <w:rPr>
                <w:rFonts w:ascii="Times New Roman" w:hAnsi="Times New Roman" w:cs="Times New Roman"/>
                <w:b/>
                <w:bCs/>
                <w:sz w:val="20"/>
                <w:szCs w:val="20"/>
              </w:rPr>
              <w:t>2025. évi előirányzat</w:t>
            </w:r>
            <w:r w:rsidR="3569ECBC">
              <w:br/>
            </w:r>
            <w:r w:rsidRPr="3782F5BA">
              <w:rPr>
                <w:rFonts w:ascii="Times New Roman" w:hAnsi="Times New Roman" w:cs="Times New Roman"/>
                <w:sz w:val="20"/>
                <w:szCs w:val="20"/>
              </w:rPr>
              <w:t>milliárd forintban</w:t>
            </w:r>
          </w:p>
          <w:p w14:paraId="6FB67AB7" w14:textId="77777777" w:rsidR="00B6763B" w:rsidRPr="00602E3C" w:rsidRDefault="00B6763B" w:rsidP="00B6763B">
            <w:pPr>
              <w:keepNext/>
              <w:keepLines/>
              <w:spacing w:after="0"/>
              <w:jc w:val="center"/>
              <w:rPr>
                <w:rFonts w:ascii="Times New Roman" w:hAnsi="Times New Roman" w:cs="Times New Roman"/>
                <w:sz w:val="20"/>
                <w:szCs w:val="20"/>
              </w:rPr>
            </w:pPr>
          </w:p>
          <w:p w14:paraId="2C87F662" w14:textId="5B799A38" w:rsidR="00935118" w:rsidRPr="00602E3C" w:rsidRDefault="3782F5BA" w:rsidP="3782F5BA">
            <w:pPr>
              <w:keepNext/>
              <w:keepLines/>
              <w:spacing w:after="0"/>
              <w:jc w:val="center"/>
              <w:rPr>
                <w:rFonts w:ascii="Times New Roman" w:hAnsi="Times New Roman" w:cs="Times New Roman"/>
                <w:sz w:val="20"/>
                <w:szCs w:val="20"/>
              </w:rPr>
            </w:pPr>
            <w:r w:rsidRPr="3782F5BA">
              <w:rPr>
                <w:rFonts w:ascii="Times New Roman" w:hAnsi="Times New Roman" w:cs="Times New Roman"/>
                <w:sz w:val="20"/>
                <w:szCs w:val="20"/>
              </w:rPr>
              <w:t>(3)</w:t>
            </w:r>
          </w:p>
        </w:tc>
        <w:tc>
          <w:tcPr>
            <w:tcW w:w="122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D4190CD" w14:textId="42B2558C" w:rsidR="00B6763B" w:rsidRPr="00602E3C" w:rsidRDefault="000A2818" w:rsidP="3782F5BA">
            <w:pPr>
              <w:keepNext/>
              <w:keepLines/>
              <w:spacing w:after="0"/>
              <w:jc w:val="center"/>
              <w:rPr>
                <w:rFonts w:ascii="Times New Roman" w:hAnsi="Times New Roman" w:cs="Times New Roman"/>
                <w:sz w:val="20"/>
                <w:szCs w:val="20"/>
              </w:rPr>
            </w:pPr>
            <w:r>
              <w:rPr>
                <w:rFonts w:ascii="Times New Roman" w:hAnsi="Times New Roman" w:cs="Times New Roman"/>
                <w:b/>
                <w:bCs/>
                <w:sz w:val="20"/>
                <w:szCs w:val="20"/>
              </w:rPr>
              <w:t>2025. I</w:t>
            </w:r>
            <w:r w:rsidR="007007A3">
              <w:rPr>
                <w:rFonts w:ascii="Times New Roman" w:hAnsi="Times New Roman" w:cs="Times New Roman"/>
                <w:b/>
                <w:bCs/>
                <w:sz w:val="20"/>
                <w:szCs w:val="20"/>
              </w:rPr>
              <w:t>-II.</w:t>
            </w:r>
            <w:r w:rsidR="3782F5BA" w:rsidRPr="3782F5BA">
              <w:rPr>
                <w:rFonts w:ascii="Times New Roman" w:hAnsi="Times New Roman" w:cs="Times New Roman"/>
                <w:b/>
                <w:bCs/>
                <w:sz w:val="20"/>
                <w:szCs w:val="20"/>
              </w:rPr>
              <w:t xml:space="preserve"> hó tény</w:t>
            </w:r>
            <w:r w:rsidR="3569ECBC">
              <w:br/>
            </w:r>
            <w:r w:rsidR="3782F5BA" w:rsidRPr="3782F5BA">
              <w:rPr>
                <w:rFonts w:ascii="Times New Roman" w:hAnsi="Times New Roman" w:cs="Times New Roman"/>
                <w:sz w:val="20"/>
                <w:szCs w:val="20"/>
              </w:rPr>
              <w:t>milliárd forintban</w:t>
            </w:r>
          </w:p>
          <w:p w14:paraId="15A457DF" w14:textId="77777777" w:rsidR="00B6763B" w:rsidRPr="00602E3C" w:rsidRDefault="00B6763B" w:rsidP="00B6763B">
            <w:pPr>
              <w:keepNext/>
              <w:keepLines/>
              <w:spacing w:after="0"/>
              <w:jc w:val="center"/>
              <w:rPr>
                <w:rFonts w:ascii="Times New Roman" w:hAnsi="Times New Roman" w:cs="Times New Roman"/>
                <w:sz w:val="20"/>
                <w:szCs w:val="20"/>
              </w:rPr>
            </w:pPr>
          </w:p>
          <w:p w14:paraId="3C073C3C" w14:textId="075CFEB7" w:rsidR="00935118" w:rsidRPr="00602E3C" w:rsidRDefault="3782F5BA" w:rsidP="3782F5BA">
            <w:pPr>
              <w:keepNext/>
              <w:keepLines/>
              <w:spacing w:after="0"/>
              <w:jc w:val="center"/>
              <w:rPr>
                <w:rFonts w:ascii="Times New Roman" w:hAnsi="Times New Roman" w:cs="Times New Roman"/>
                <w:sz w:val="20"/>
                <w:szCs w:val="20"/>
              </w:rPr>
            </w:pPr>
            <w:r w:rsidRPr="3782F5BA">
              <w:rPr>
                <w:rFonts w:ascii="Times New Roman" w:hAnsi="Times New Roman" w:cs="Times New Roman"/>
                <w:sz w:val="20"/>
                <w:szCs w:val="20"/>
              </w:rPr>
              <w:t>(4)</w:t>
            </w:r>
          </w:p>
        </w:tc>
        <w:tc>
          <w:tcPr>
            <w:tcW w:w="115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CCBD1FD" w14:textId="77777777" w:rsidR="00B6763B" w:rsidRPr="00602E3C" w:rsidRDefault="3782F5BA" w:rsidP="3782F5BA">
            <w:pPr>
              <w:keepNext/>
              <w:keepLines/>
              <w:spacing w:after="0"/>
              <w:jc w:val="center"/>
              <w:rPr>
                <w:rFonts w:ascii="Times New Roman" w:hAnsi="Times New Roman" w:cs="Times New Roman"/>
                <w:sz w:val="20"/>
                <w:szCs w:val="20"/>
              </w:rPr>
            </w:pPr>
            <w:r w:rsidRPr="3782F5BA">
              <w:rPr>
                <w:rFonts w:ascii="Times New Roman" w:hAnsi="Times New Roman" w:cs="Times New Roman"/>
                <w:sz w:val="20"/>
                <w:szCs w:val="20"/>
              </w:rPr>
              <w:t>előirányzat=</w:t>
            </w:r>
            <w:r w:rsidR="3569ECBC">
              <w:br/>
            </w:r>
            <w:r w:rsidRPr="3782F5BA">
              <w:rPr>
                <w:rFonts w:ascii="Times New Roman" w:hAnsi="Times New Roman" w:cs="Times New Roman"/>
                <w:sz w:val="20"/>
                <w:szCs w:val="20"/>
              </w:rPr>
              <w:t>100%</w:t>
            </w:r>
            <w:r w:rsidR="3569ECBC">
              <w:br/>
            </w:r>
            <w:r w:rsidRPr="3782F5BA">
              <w:rPr>
                <w:rFonts w:ascii="Times New Roman" w:hAnsi="Times New Roman" w:cs="Times New Roman"/>
                <w:sz w:val="20"/>
                <w:szCs w:val="20"/>
              </w:rPr>
              <w:t>Index (%)</w:t>
            </w:r>
          </w:p>
          <w:p w14:paraId="4AEEBB44" w14:textId="77777777" w:rsidR="00B6763B" w:rsidRDefault="00B6763B" w:rsidP="00B6763B">
            <w:pPr>
              <w:keepNext/>
              <w:keepLines/>
              <w:spacing w:after="0"/>
              <w:jc w:val="center"/>
              <w:rPr>
                <w:rFonts w:ascii="Times New Roman" w:hAnsi="Times New Roman" w:cs="Times New Roman"/>
                <w:sz w:val="20"/>
                <w:szCs w:val="20"/>
              </w:rPr>
            </w:pPr>
          </w:p>
          <w:p w14:paraId="594C63D7" w14:textId="77777777" w:rsidR="00602E3C" w:rsidRPr="00602E3C" w:rsidRDefault="00602E3C" w:rsidP="00B6763B">
            <w:pPr>
              <w:keepNext/>
              <w:keepLines/>
              <w:spacing w:after="0"/>
              <w:jc w:val="center"/>
              <w:rPr>
                <w:rFonts w:ascii="Times New Roman" w:hAnsi="Times New Roman" w:cs="Times New Roman"/>
                <w:sz w:val="20"/>
                <w:szCs w:val="20"/>
              </w:rPr>
            </w:pPr>
          </w:p>
          <w:p w14:paraId="6886B04A" w14:textId="0682B2A8" w:rsidR="00935118" w:rsidRPr="00602E3C" w:rsidRDefault="3782F5BA" w:rsidP="3782F5BA">
            <w:pPr>
              <w:keepNext/>
              <w:keepLines/>
              <w:spacing w:after="0"/>
              <w:jc w:val="center"/>
              <w:rPr>
                <w:rFonts w:ascii="Times New Roman" w:hAnsi="Times New Roman" w:cs="Times New Roman"/>
                <w:sz w:val="20"/>
                <w:szCs w:val="20"/>
              </w:rPr>
            </w:pPr>
            <w:r w:rsidRPr="3782F5BA">
              <w:rPr>
                <w:rFonts w:ascii="Times New Roman" w:hAnsi="Times New Roman" w:cs="Times New Roman"/>
                <w:sz w:val="20"/>
                <w:szCs w:val="20"/>
              </w:rPr>
              <w:t>(4/3)</w:t>
            </w:r>
          </w:p>
        </w:tc>
        <w:tc>
          <w:tcPr>
            <w:tcW w:w="111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392F559" w14:textId="77777777" w:rsidR="00B6763B" w:rsidRPr="00602E3C" w:rsidRDefault="3782F5BA" w:rsidP="3782F5BA">
            <w:pPr>
              <w:keepNext/>
              <w:keepLines/>
              <w:spacing w:after="0"/>
              <w:jc w:val="center"/>
              <w:rPr>
                <w:rFonts w:ascii="Times New Roman" w:hAnsi="Times New Roman" w:cs="Times New Roman"/>
                <w:sz w:val="20"/>
                <w:szCs w:val="20"/>
              </w:rPr>
            </w:pPr>
            <w:r w:rsidRPr="3782F5BA">
              <w:rPr>
                <w:rFonts w:ascii="Times New Roman" w:hAnsi="Times New Roman" w:cs="Times New Roman"/>
                <w:sz w:val="20"/>
                <w:szCs w:val="20"/>
              </w:rPr>
              <w:t>előző év=</w:t>
            </w:r>
            <w:r w:rsidR="3569ECBC">
              <w:br/>
            </w:r>
            <w:r w:rsidRPr="3782F5BA">
              <w:rPr>
                <w:rFonts w:ascii="Times New Roman" w:hAnsi="Times New Roman" w:cs="Times New Roman"/>
                <w:sz w:val="20"/>
                <w:szCs w:val="20"/>
              </w:rPr>
              <w:t>100%</w:t>
            </w:r>
            <w:r w:rsidR="3569ECBC">
              <w:br/>
            </w:r>
            <w:r w:rsidRPr="3782F5BA">
              <w:rPr>
                <w:rFonts w:ascii="Times New Roman" w:hAnsi="Times New Roman" w:cs="Times New Roman"/>
                <w:sz w:val="20"/>
                <w:szCs w:val="20"/>
              </w:rPr>
              <w:t>Index (%)</w:t>
            </w:r>
          </w:p>
          <w:p w14:paraId="2CC3F023" w14:textId="77777777" w:rsidR="00B6763B" w:rsidRPr="00602E3C" w:rsidRDefault="00B6763B" w:rsidP="00B6763B">
            <w:pPr>
              <w:keepNext/>
              <w:keepLines/>
              <w:spacing w:after="0"/>
              <w:jc w:val="center"/>
              <w:rPr>
                <w:rFonts w:ascii="Times New Roman" w:hAnsi="Times New Roman" w:cs="Times New Roman"/>
                <w:sz w:val="20"/>
                <w:szCs w:val="20"/>
              </w:rPr>
            </w:pPr>
          </w:p>
          <w:p w14:paraId="1414C741" w14:textId="77DB2268" w:rsidR="00935118" w:rsidRPr="00602E3C" w:rsidRDefault="00935118" w:rsidP="3782F5BA">
            <w:pPr>
              <w:keepNext/>
              <w:keepLines/>
              <w:spacing w:after="0"/>
              <w:jc w:val="center"/>
              <w:rPr>
                <w:rFonts w:ascii="Times New Roman" w:hAnsi="Times New Roman" w:cs="Times New Roman"/>
                <w:sz w:val="20"/>
                <w:szCs w:val="20"/>
              </w:rPr>
            </w:pPr>
            <w:r>
              <w:br/>
            </w:r>
            <w:r w:rsidR="3782F5BA" w:rsidRPr="3782F5BA">
              <w:rPr>
                <w:rFonts w:ascii="Times New Roman" w:hAnsi="Times New Roman" w:cs="Times New Roman"/>
                <w:sz w:val="20"/>
                <w:szCs w:val="20"/>
              </w:rPr>
              <w:t>(4/2)</w:t>
            </w:r>
          </w:p>
        </w:tc>
      </w:tr>
      <w:tr w:rsidR="007007A3" w:rsidRPr="003D514A" w14:paraId="272C1797" w14:textId="77777777" w:rsidTr="73C5D9BC">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5BBCCA14" w14:textId="77777777" w:rsidR="007007A3" w:rsidRPr="00602E3C" w:rsidRDefault="007007A3" w:rsidP="007007A3">
            <w:pPr>
              <w:keepNext/>
              <w:keepLines/>
              <w:spacing w:before="120" w:after="120"/>
              <w:rPr>
                <w:rFonts w:ascii="Times New Roman" w:hAnsi="Times New Roman" w:cs="Times New Roman"/>
                <w:b/>
                <w:bCs/>
                <w:sz w:val="20"/>
                <w:szCs w:val="20"/>
              </w:rPr>
            </w:pPr>
            <w:r w:rsidRPr="3782F5BA">
              <w:rPr>
                <w:rFonts w:ascii="Times New Roman" w:hAnsi="Times New Roman" w:cs="Times New Roman"/>
                <w:b/>
                <w:bCs/>
                <w:sz w:val="20"/>
                <w:szCs w:val="20"/>
              </w:rPr>
              <w:t>Központi költségvetés egyenlege</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13CE6" w14:textId="1A728574" w:rsidR="007007A3" w:rsidRPr="007007A3" w:rsidRDefault="007007A3" w:rsidP="007007A3">
            <w:pPr>
              <w:spacing w:before="120" w:after="120"/>
              <w:jc w:val="right"/>
              <w:rPr>
                <w:rFonts w:ascii="Times New Roman" w:hAnsi="Times New Roman" w:cs="Times New Roman"/>
                <w:b/>
                <w:bCs/>
                <w:sz w:val="20"/>
                <w:szCs w:val="20"/>
              </w:rPr>
            </w:pPr>
            <w:r w:rsidRPr="007007A3">
              <w:rPr>
                <w:rFonts w:ascii="Garamond" w:hAnsi="Garamond"/>
                <w:b/>
                <w:bCs/>
                <w:sz w:val="20"/>
                <w:szCs w:val="20"/>
              </w:rPr>
              <w:t>-4 003,9</w:t>
            </w:r>
          </w:p>
        </w:tc>
        <w:tc>
          <w:tcPr>
            <w:tcW w:w="1059" w:type="dxa"/>
            <w:tcBorders>
              <w:top w:val="single" w:sz="4" w:space="0" w:color="auto"/>
              <w:left w:val="nil"/>
              <w:bottom w:val="single" w:sz="4" w:space="0" w:color="auto"/>
              <w:right w:val="single" w:sz="4" w:space="0" w:color="auto"/>
            </w:tcBorders>
            <w:shd w:val="clear" w:color="auto" w:fill="auto"/>
            <w:noWrap/>
            <w:vAlign w:val="center"/>
          </w:tcPr>
          <w:p w14:paraId="68AA4960" w14:textId="77F24591" w:rsidR="007007A3" w:rsidRPr="007007A3" w:rsidRDefault="007007A3" w:rsidP="007007A3">
            <w:pPr>
              <w:spacing w:before="120" w:after="120"/>
              <w:jc w:val="right"/>
              <w:rPr>
                <w:rFonts w:ascii="Times New Roman" w:hAnsi="Times New Roman" w:cs="Times New Roman"/>
                <w:b/>
                <w:bCs/>
                <w:sz w:val="20"/>
                <w:szCs w:val="20"/>
              </w:rPr>
            </w:pPr>
            <w:r w:rsidRPr="007007A3">
              <w:rPr>
                <w:rFonts w:ascii="Garamond" w:hAnsi="Garamond"/>
                <w:b/>
                <w:bCs/>
                <w:sz w:val="20"/>
                <w:szCs w:val="20"/>
              </w:rPr>
              <w:t>-1 759,5</w:t>
            </w:r>
          </w:p>
        </w:tc>
        <w:tc>
          <w:tcPr>
            <w:tcW w:w="1075" w:type="dxa"/>
            <w:tcBorders>
              <w:top w:val="single" w:sz="4" w:space="0" w:color="auto"/>
              <w:left w:val="nil"/>
              <w:bottom w:val="single" w:sz="4" w:space="0" w:color="auto"/>
              <w:right w:val="single" w:sz="4" w:space="0" w:color="auto"/>
            </w:tcBorders>
            <w:shd w:val="clear" w:color="auto" w:fill="auto"/>
            <w:noWrap/>
            <w:vAlign w:val="center"/>
          </w:tcPr>
          <w:p w14:paraId="67CDD199" w14:textId="222CD886"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43,9</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DEEBFBC" w14:textId="6F2A8FBD" w:rsidR="007007A3" w:rsidRPr="007007A3" w:rsidRDefault="007007A3" w:rsidP="007007A3">
            <w:pPr>
              <w:spacing w:before="120" w:after="120"/>
              <w:jc w:val="right"/>
              <w:rPr>
                <w:rFonts w:ascii="Times New Roman" w:hAnsi="Times New Roman" w:cs="Times New Roman"/>
                <w:b/>
                <w:bCs/>
                <w:sz w:val="20"/>
                <w:szCs w:val="20"/>
              </w:rPr>
            </w:pPr>
            <w:r w:rsidRPr="007007A3">
              <w:rPr>
                <w:rFonts w:ascii="Garamond" w:hAnsi="Garamond"/>
                <w:b/>
                <w:bCs/>
                <w:sz w:val="20"/>
                <w:szCs w:val="20"/>
              </w:rPr>
              <w:t>-4 211,6</w:t>
            </w:r>
          </w:p>
        </w:tc>
        <w:tc>
          <w:tcPr>
            <w:tcW w:w="1224" w:type="dxa"/>
            <w:tcBorders>
              <w:top w:val="single" w:sz="4" w:space="0" w:color="auto"/>
              <w:left w:val="nil"/>
              <w:bottom w:val="single" w:sz="4" w:space="0" w:color="auto"/>
              <w:right w:val="single" w:sz="4" w:space="0" w:color="auto"/>
            </w:tcBorders>
            <w:shd w:val="clear" w:color="auto" w:fill="auto"/>
            <w:noWrap/>
            <w:vAlign w:val="center"/>
          </w:tcPr>
          <w:p w14:paraId="2B3E7161" w14:textId="007F5F48" w:rsidR="007007A3" w:rsidRPr="007007A3" w:rsidRDefault="007007A3" w:rsidP="007007A3">
            <w:pPr>
              <w:spacing w:before="120" w:after="120"/>
              <w:jc w:val="right"/>
              <w:rPr>
                <w:rFonts w:ascii="Times New Roman" w:hAnsi="Times New Roman" w:cs="Times New Roman"/>
                <w:b/>
                <w:bCs/>
                <w:sz w:val="20"/>
                <w:szCs w:val="20"/>
              </w:rPr>
            </w:pPr>
            <w:r w:rsidRPr="007007A3">
              <w:rPr>
                <w:rFonts w:ascii="Garamond" w:hAnsi="Garamond"/>
                <w:b/>
                <w:bCs/>
                <w:sz w:val="20"/>
                <w:szCs w:val="20"/>
              </w:rPr>
              <w:t>-1 683,5</w:t>
            </w:r>
          </w:p>
        </w:tc>
        <w:tc>
          <w:tcPr>
            <w:tcW w:w="1159" w:type="dxa"/>
            <w:tcBorders>
              <w:top w:val="single" w:sz="4" w:space="0" w:color="auto"/>
              <w:left w:val="nil"/>
              <w:bottom w:val="single" w:sz="4" w:space="0" w:color="auto"/>
              <w:right w:val="single" w:sz="4" w:space="0" w:color="auto"/>
            </w:tcBorders>
            <w:shd w:val="clear" w:color="auto" w:fill="auto"/>
            <w:noWrap/>
            <w:vAlign w:val="center"/>
          </w:tcPr>
          <w:p w14:paraId="1590672A" w14:textId="3B07538E"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40,0</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5FD27053" w14:textId="33F09080"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95,7</w:t>
            </w:r>
          </w:p>
        </w:tc>
      </w:tr>
      <w:tr w:rsidR="007007A3" w:rsidRPr="003D514A" w14:paraId="43DB1C6B" w14:textId="77777777" w:rsidTr="73C5D9BC">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191C3DC" w14:textId="77777777" w:rsidR="007007A3" w:rsidRPr="00602E3C" w:rsidRDefault="007007A3" w:rsidP="007007A3">
            <w:pPr>
              <w:keepNext/>
              <w:keepLines/>
              <w:spacing w:before="120" w:after="120"/>
              <w:jc w:val="right"/>
              <w:rPr>
                <w:rFonts w:ascii="Times New Roman" w:hAnsi="Times New Roman" w:cs="Times New Roman"/>
                <w:sz w:val="20"/>
                <w:szCs w:val="20"/>
              </w:rPr>
            </w:pPr>
            <w:r w:rsidRPr="3782F5BA">
              <w:rPr>
                <w:rFonts w:ascii="Times New Roman" w:hAnsi="Times New Roman" w:cs="Times New Roman"/>
                <w:sz w:val="20"/>
                <w:szCs w:val="20"/>
              </w:rPr>
              <w:t>bevétel:</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3013BE1E" w14:textId="04BCC5B8"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26 655,6</w:t>
            </w:r>
          </w:p>
        </w:tc>
        <w:tc>
          <w:tcPr>
            <w:tcW w:w="1059" w:type="dxa"/>
            <w:tcBorders>
              <w:top w:val="nil"/>
              <w:left w:val="nil"/>
              <w:bottom w:val="single" w:sz="4" w:space="0" w:color="auto"/>
              <w:right w:val="single" w:sz="4" w:space="0" w:color="auto"/>
            </w:tcBorders>
            <w:shd w:val="clear" w:color="auto" w:fill="auto"/>
            <w:noWrap/>
            <w:vAlign w:val="center"/>
          </w:tcPr>
          <w:p w14:paraId="00714DA8" w14:textId="0319BE39"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3 705,4</w:t>
            </w:r>
          </w:p>
        </w:tc>
        <w:tc>
          <w:tcPr>
            <w:tcW w:w="1075" w:type="dxa"/>
            <w:tcBorders>
              <w:top w:val="nil"/>
              <w:left w:val="nil"/>
              <w:bottom w:val="single" w:sz="4" w:space="0" w:color="auto"/>
              <w:right w:val="single" w:sz="4" w:space="0" w:color="auto"/>
            </w:tcBorders>
            <w:shd w:val="clear" w:color="auto" w:fill="auto"/>
            <w:noWrap/>
            <w:vAlign w:val="center"/>
          </w:tcPr>
          <w:p w14:paraId="15BCE7D2" w14:textId="4DF9B40A"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13,9</w:t>
            </w:r>
          </w:p>
        </w:tc>
        <w:tc>
          <w:tcPr>
            <w:tcW w:w="1103" w:type="dxa"/>
            <w:tcBorders>
              <w:top w:val="nil"/>
              <w:left w:val="nil"/>
              <w:bottom w:val="single" w:sz="4" w:space="0" w:color="auto"/>
              <w:right w:val="single" w:sz="4" w:space="0" w:color="auto"/>
            </w:tcBorders>
            <w:shd w:val="clear" w:color="auto" w:fill="auto"/>
            <w:noWrap/>
            <w:vAlign w:val="center"/>
          </w:tcPr>
          <w:p w14:paraId="0B162934" w14:textId="6DFF4DD4"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26 622,0</w:t>
            </w:r>
          </w:p>
        </w:tc>
        <w:tc>
          <w:tcPr>
            <w:tcW w:w="1224" w:type="dxa"/>
            <w:tcBorders>
              <w:top w:val="nil"/>
              <w:left w:val="nil"/>
              <w:bottom w:val="single" w:sz="4" w:space="0" w:color="auto"/>
              <w:right w:val="single" w:sz="4" w:space="0" w:color="auto"/>
            </w:tcBorders>
            <w:shd w:val="clear" w:color="auto" w:fill="auto"/>
            <w:noWrap/>
            <w:vAlign w:val="center"/>
          </w:tcPr>
          <w:p w14:paraId="6C375A8F" w14:textId="67BBABF0"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3 876,7</w:t>
            </w:r>
          </w:p>
        </w:tc>
        <w:tc>
          <w:tcPr>
            <w:tcW w:w="1159" w:type="dxa"/>
            <w:tcBorders>
              <w:top w:val="nil"/>
              <w:left w:val="nil"/>
              <w:bottom w:val="single" w:sz="4" w:space="0" w:color="auto"/>
              <w:right w:val="single" w:sz="4" w:space="0" w:color="auto"/>
            </w:tcBorders>
            <w:shd w:val="clear" w:color="auto" w:fill="auto"/>
            <w:noWrap/>
            <w:vAlign w:val="center"/>
          </w:tcPr>
          <w:p w14:paraId="229A1E05" w14:textId="54AF116E"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14,6</w:t>
            </w:r>
          </w:p>
        </w:tc>
        <w:tc>
          <w:tcPr>
            <w:tcW w:w="1113" w:type="dxa"/>
            <w:tcBorders>
              <w:top w:val="nil"/>
              <w:left w:val="nil"/>
              <w:bottom w:val="single" w:sz="4" w:space="0" w:color="auto"/>
              <w:right w:val="single" w:sz="4" w:space="0" w:color="auto"/>
            </w:tcBorders>
            <w:shd w:val="clear" w:color="auto" w:fill="auto"/>
            <w:noWrap/>
            <w:vAlign w:val="center"/>
          </w:tcPr>
          <w:p w14:paraId="0D7E5DA4" w14:textId="3E52A30A"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104,6</w:t>
            </w:r>
          </w:p>
        </w:tc>
      </w:tr>
      <w:tr w:rsidR="007007A3" w:rsidRPr="003D514A" w14:paraId="576245F4" w14:textId="77777777" w:rsidTr="73C5D9BC">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7DE056B" w14:textId="77777777" w:rsidR="007007A3" w:rsidRPr="00602E3C" w:rsidRDefault="007007A3" w:rsidP="007007A3">
            <w:pPr>
              <w:keepNext/>
              <w:keepLines/>
              <w:spacing w:before="120" w:after="120"/>
              <w:jc w:val="right"/>
              <w:rPr>
                <w:rFonts w:ascii="Times New Roman" w:hAnsi="Times New Roman" w:cs="Times New Roman"/>
                <w:sz w:val="20"/>
                <w:szCs w:val="20"/>
              </w:rPr>
            </w:pPr>
            <w:r w:rsidRPr="3782F5BA">
              <w:rPr>
                <w:rFonts w:ascii="Times New Roman" w:hAnsi="Times New Roman" w:cs="Times New Roman"/>
                <w:sz w:val="20"/>
                <w:szCs w:val="20"/>
              </w:rPr>
              <w:t>kiadás:</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2B82BDD4" w14:textId="1BD32584"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30 659,5</w:t>
            </w:r>
          </w:p>
        </w:tc>
        <w:tc>
          <w:tcPr>
            <w:tcW w:w="1059" w:type="dxa"/>
            <w:tcBorders>
              <w:top w:val="nil"/>
              <w:left w:val="nil"/>
              <w:bottom w:val="single" w:sz="4" w:space="0" w:color="auto"/>
              <w:right w:val="single" w:sz="4" w:space="0" w:color="auto"/>
            </w:tcBorders>
            <w:shd w:val="clear" w:color="auto" w:fill="auto"/>
            <w:noWrap/>
            <w:vAlign w:val="center"/>
          </w:tcPr>
          <w:p w14:paraId="51B92D54" w14:textId="1F0897D8"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5 464,9</w:t>
            </w:r>
          </w:p>
        </w:tc>
        <w:tc>
          <w:tcPr>
            <w:tcW w:w="1075" w:type="dxa"/>
            <w:tcBorders>
              <w:top w:val="nil"/>
              <w:left w:val="nil"/>
              <w:bottom w:val="single" w:sz="4" w:space="0" w:color="auto"/>
              <w:right w:val="single" w:sz="4" w:space="0" w:color="auto"/>
            </w:tcBorders>
            <w:shd w:val="clear" w:color="auto" w:fill="auto"/>
            <w:noWrap/>
            <w:vAlign w:val="center"/>
          </w:tcPr>
          <w:p w14:paraId="480CDC03" w14:textId="0BE213F9"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17,8</w:t>
            </w:r>
          </w:p>
        </w:tc>
        <w:tc>
          <w:tcPr>
            <w:tcW w:w="1103" w:type="dxa"/>
            <w:tcBorders>
              <w:top w:val="nil"/>
              <w:left w:val="nil"/>
              <w:bottom w:val="single" w:sz="4" w:space="0" w:color="auto"/>
              <w:right w:val="single" w:sz="4" w:space="0" w:color="auto"/>
            </w:tcBorders>
            <w:shd w:val="clear" w:color="auto" w:fill="auto"/>
            <w:noWrap/>
            <w:vAlign w:val="center"/>
          </w:tcPr>
          <w:p w14:paraId="30613988" w14:textId="5491AAC2"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30 833,5</w:t>
            </w:r>
          </w:p>
        </w:tc>
        <w:tc>
          <w:tcPr>
            <w:tcW w:w="1224" w:type="dxa"/>
            <w:tcBorders>
              <w:top w:val="nil"/>
              <w:left w:val="nil"/>
              <w:bottom w:val="single" w:sz="4" w:space="0" w:color="auto"/>
              <w:right w:val="single" w:sz="4" w:space="0" w:color="auto"/>
            </w:tcBorders>
            <w:shd w:val="clear" w:color="auto" w:fill="auto"/>
            <w:noWrap/>
            <w:vAlign w:val="center"/>
          </w:tcPr>
          <w:p w14:paraId="1CE8D31A" w14:textId="7CC2C27C"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5 560,2</w:t>
            </w:r>
          </w:p>
        </w:tc>
        <w:tc>
          <w:tcPr>
            <w:tcW w:w="1159" w:type="dxa"/>
            <w:tcBorders>
              <w:top w:val="nil"/>
              <w:left w:val="nil"/>
              <w:bottom w:val="single" w:sz="4" w:space="0" w:color="auto"/>
              <w:right w:val="single" w:sz="4" w:space="0" w:color="auto"/>
            </w:tcBorders>
            <w:shd w:val="clear" w:color="auto" w:fill="auto"/>
            <w:noWrap/>
            <w:vAlign w:val="center"/>
          </w:tcPr>
          <w:p w14:paraId="2AF744DE" w14:textId="234D4AEE"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18,0</w:t>
            </w:r>
          </w:p>
        </w:tc>
        <w:tc>
          <w:tcPr>
            <w:tcW w:w="1113" w:type="dxa"/>
            <w:tcBorders>
              <w:top w:val="nil"/>
              <w:left w:val="nil"/>
              <w:bottom w:val="single" w:sz="4" w:space="0" w:color="auto"/>
              <w:right w:val="single" w:sz="4" w:space="0" w:color="auto"/>
            </w:tcBorders>
            <w:shd w:val="clear" w:color="auto" w:fill="auto"/>
            <w:noWrap/>
            <w:vAlign w:val="center"/>
          </w:tcPr>
          <w:p w14:paraId="6B19C9DE" w14:textId="26D34C82"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101,7</w:t>
            </w:r>
          </w:p>
        </w:tc>
      </w:tr>
      <w:tr w:rsidR="007007A3" w:rsidRPr="003D514A" w14:paraId="5D1AF47D" w14:textId="77777777" w:rsidTr="73C5D9BC">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702288AA" w14:textId="77777777" w:rsidR="007007A3" w:rsidRPr="00602E3C" w:rsidRDefault="007007A3" w:rsidP="007007A3">
            <w:pPr>
              <w:keepNext/>
              <w:keepLines/>
              <w:spacing w:before="120" w:after="120"/>
              <w:rPr>
                <w:rFonts w:ascii="Times New Roman" w:hAnsi="Times New Roman" w:cs="Times New Roman"/>
                <w:b/>
                <w:bCs/>
                <w:sz w:val="20"/>
                <w:szCs w:val="20"/>
              </w:rPr>
            </w:pPr>
            <w:r w:rsidRPr="3782F5BA">
              <w:rPr>
                <w:rFonts w:ascii="Times New Roman" w:hAnsi="Times New Roman" w:cs="Times New Roman"/>
                <w:b/>
                <w:bCs/>
                <w:sz w:val="20"/>
                <w:szCs w:val="20"/>
              </w:rPr>
              <w:t>Elkülönített állami pénzalapok egyenlege</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77E1D897" w14:textId="6EB46A45" w:rsidR="007007A3" w:rsidRPr="007007A3" w:rsidRDefault="007007A3" w:rsidP="007007A3">
            <w:pPr>
              <w:spacing w:before="120" w:after="120"/>
              <w:jc w:val="right"/>
              <w:rPr>
                <w:rFonts w:ascii="Times New Roman" w:hAnsi="Times New Roman" w:cs="Times New Roman"/>
                <w:b/>
                <w:bCs/>
                <w:sz w:val="20"/>
                <w:szCs w:val="20"/>
              </w:rPr>
            </w:pPr>
            <w:r w:rsidRPr="007007A3">
              <w:rPr>
                <w:rFonts w:ascii="Garamond" w:hAnsi="Garamond"/>
                <w:b/>
                <w:bCs/>
                <w:sz w:val="20"/>
                <w:szCs w:val="20"/>
              </w:rPr>
              <w:t>138,2</w:t>
            </w:r>
          </w:p>
        </w:tc>
        <w:tc>
          <w:tcPr>
            <w:tcW w:w="1059" w:type="dxa"/>
            <w:tcBorders>
              <w:top w:val="nil"/>
              <w:left w:val="nil"/>
              <w:bottom w:val="single" w:sz="4" w:space="0" w:color="auto"/>
              <w:right w:val="single" w:sz="4" w:space="0" w:color="auto"/>
            </w:tcBorders>
            <w:shd w:val="clear" w:color="auto" w:fill="auto"/>
            <w:noWrap/>
            <w:vAlign w:val="center"/>
          </w:tcPr>
          <w:p w14:paraId="2E3F1C5B" w14:textId="1DEC17D0" w:rsidR="007007A3" w:rsidRPr="007007A3" w:rsidRDefault="007007A3" w:rsidP="007007A3">
            <w:pPr>
              <w:spacing w:before="120" w:after="120"/>
              <w:jc w:val="right"/>
              <w:rPr>
                <w:rFonts w:ascii="Times New Roman" w:hAnsi="Times New Roman" w:cs="Times New Roman"/>
                <w:b/>
                <w:bCs/>
                <w:sz w:val="20"/>
                <w:szCs w:val="20"/>
              </w:rPr>
            </w:pPr>
            <w:r w:rsidRPr="007007A3">
              <w:rPr>
                <w:rFonts w:ascii="Garamond" w:hAnsi="Garamond"/>
                <w:b/>
                <w:bCs/>
                <w:sz w:val="20"/>
                <w:szCs w:val="20"/>
              </w:rPr>
              <w:t>79,0</w:t>
            </w:r>
          </w:p>
        </w:tc>
        <w:tc>
          <w:tcPr>
            <w:tcW w:w="1075" w:type="dxa"/>
            <w:tcBorders>
              <w:top w:val="nil"/>
              <w:left w:val="nil"/>
              <w:bottom w:val="single" w:sz="4" w:space="0" w:color="auto"/>
              <w:right w:val="single" w:sz="4" w:space="0" w:color="auto"/>
            </w:tcBorders>
            <w:shd w:val="clear" w:color="auto" w:fill="auto"/>
            <w:noWrap/>
            <w:vAlign w:val="center"/>
          </w:tcPr>
          <w:p w14:paraId="462FA081" w14:textId="732EEF42"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57,2</w:t>
            </w:r>
          </w:p>
        </w:tc>
        <w:tc>
          <w:tcPr>
            <w:tcW w:w="1103" w:type="dxa"/>
            <w:tcBorders>
              <w:top w:val="nil"/>
              <w:left w:val="nil"/>
              <w:bottom w:val="single" w:sz="4" w:space="0" w:color="auto"/>
              <w:right w:val="single" w:sz="4" w:space="0" w:color="auto"/>
            </w:tcBorders>
            <w:shd w:val="clear" w:color="auto" w:fill="auto"/>
            <w:noWrap/>
            <w:vAlign w:val="center"/>
          </w:tcPr>
          <w:p w14:paraId="2C2D5FB6" w14:textId="3BBABD3A" w:rsidR="007007A3" w:rsidRPr="007007A3" w:rsidRDefault="007007A3" w:rsidP="007007A3">
            <w:pPr>
              <w:spacing w:before="120" w:after="120"/>
              <w:jc w:val="right"/>
              <w:rPr>
                <w:rFonts w:ascii="Times New Roman" w:hAnsi="Times New Roman" w:cs="Times New Roman"/>
                <w:b/>
                <w:bCs/>
                <w:sz w:val="20"/>
                <w:szCs w:val="20"/>
              </w:rPr>
            </w:pPr>
            <w:r w:rsidRPr="007007A3">
              <w:rPr>
                <w:rFonts w:ascii="Garamond" w:hAnsi="Garamond"/>
                <w:b/>
                <w:bCs/>
                <w:sz w:val="20"/>
                <w:szCs w:val="20"/>
              </w:rPr>
              <w:t>88,6</w:t>
            </w:r>
          </w:p>
        </w:tc>
        <w:tc>
          <w:tcPr>
            <w:tcW w:w="1224" w:type="dxa"/>
            <w:tcBorders>
              <w:top w:val="nil"/>
              <w:left w:val="nil"/>
              <w:bottom w:val="single" w:sz="4" w:space="0" w:color="auto"/>
              <w:right w:val="single" w:sz="4" w:space="0" w:color="auto"/>
            </w:tcBorders>
            <w:shd w:val="clear" w:color="auto" w:fill="auto"/>
            <w:noWrap/>
            <w:vAlign w:val="center"/>
          </w:tcPr>
          <w:p w14:paraId="63BDA3B4" w14:textId="67398AC2" w:rsidR="007007A3" w:rsidRPr="007007A3" w:rsidRDefault="007007A3" w:rsidP="007007A3">
            <w:pPr>
              <w:spacing w:before="120" w:after="120"/>
              <w:jc w:val="right"/>
              <w:rPr>
                <w:rFonts w:ascii="Times New Roman" w:hAnsi="Times New Roman" w:cs="Times New Roman"/>
                <w:b/>
                <w:bCs/>
                <w:sz w:val="20"/>
                <w:szCs w:val="20"/>
              </w:rPr>
            </w:pPr>
            <w:r w:rsidRPr="007007A3">
              <w:rPr>
                <w:rFonts w:ascii="Garamond" w:hAnsi="Garamond"/>
                <w:b/>
                <w:bCs/>
                <w:sz w:val="20"/>
                <w:szCs w:val="20"/>
              </w:rPr>
              <w:t>38,0</w:t>
            </w:r>
          </w:p>
        </w:tc>
        <w:tc>
          <w:tcPr>
            <w:tcW w:w="1159" w:type="dxa"/>
            <w:tcBorders>
              <w:top w:val="nil"/>
              <w:left w:val="nil"/>
              <w:bottom w:val="single" w:sz="4" w:space="0" w:color="auto"/>
              <w:right w:val="single" w:sz="4" w:space="0" w:color="auto"/>
            </w:tcBorders>
            <w:shd w:val="clear" w:color="auto" w:fill="auto"/>
            <w:noWrap/>
            <w:vAlign w:val="center"/>
          </w:tcPr>
          <w:p w14:paraId="7D3E2161" w14:textId="33BDB94F"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42,9</w:t>
            </w:r>
          </w:p>
        </w:tc>
        <w:tc>
          <w:tcPr>
            <w:tcW w:w="1113" w:type="dxa"/>
            <w:tcBorders>
              <w:top w:val="nil"/>
              <w:left w:val="nil"/>
              <w:bottom w:val="single" w:sz="4" w:space="0" w:color="auto"/>
              <w:right w:val="single" w:sz="4" w:space="0" w:color="auto"/>
            </w:tcBorders>
            <w:shd w:val="clear" w:color="auto" w:fill="auto"/>
            <w:noWrap/>
            <w:vAlign w:val="center"/>
          </w:tcPr>
          <w:p w14:paraId="53938325" w14:textId="53A5693F"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48,1</w:t>
            </w:r>
          </w:p>
        </w:tc>
      </w:tr>
      <w:tr w:rsidR="007007A3" w:rsidRPr="003D514A" w14:paraId="28F7F28C" w14:textId="77777777" w:rsidTr="73C5D9BC">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E223547" w14:textId="77777777" w:rsidR="007007A3" w:rsidRPr="00602E3C" w:rsidRDefault="007007A3" w:rsidP="007007A3">
            <w:pPr>
              <w:keepNext/>
              <w:keepLines/>
              <w:spacing w:before="120" w:after="120"/>
              <w:jc w:val="right"/>
              <w:rPr>
                <w:rFonts w:ascii="Times New Roman" w:hAnsi="Times New Roman" w:cs="Times New Roman"/>
                <w:sz w:val="20"/>
                <w:szCs w:val="20"/>
              </w:rPr>
            </w:pPr>
            <w:r w:rsidRPr="3782F5BA">
              <w:rPr>
                <w:rFonts w:ascii="Times New Roman" w:hAnsi="Times New Roman" w:cs="Times New Roman"/>
                <w:sz w:val="20"/>
                <w:szCs w:val="20"/>
              </w:rPr>
              <w:t>bevétel:</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3162C4C7" w14:textId="654E50F8"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856,5</w:t>
            </w:r>
          </w:p>
        </w:tc>
        <w:tc>
          <w:tcPr>
            <w:tcW w:w="1059" w:type="dxa"/>
            <w:tcBorders>
              <w:top w:val="nil"/>
              <w:left w:val="nil"/>
              <w:bottom w:val="single" w:sz="4" w:space="0" w:color="auto"/>
              <w:right w:val="single" w:sz="4" w:space="0" w:color="auto"/>
            </w:tcBorders>
            <w:shd w:val="clear" w:color="auto" w:fill="auto"/>
            <w:noWrap/>
            <w:vAlign w:val="center"/>
          </w:tcPr>
          <w:p w14:paraId="3523D3FF" w14:textId="7A006871"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158,4</w:t>
            </w:r>
          </w:p>
        </w:tc>
        <w:tc>
          <w:tcPr>
            <w:tcW w:w="1075" w:type="dxa"/>
            <w:tcBorders>
              <w:top w:val="nil"/>
              <w:left w:val="nil"/>
              <w:bottom w:val="single" w:sz="4" w:space="0" w:color="auto"/>
              <w:right w:val="single" w:sz="4" w:space="0" w:color="auto"/>
            </w:tcBorders>
            <w:shd w:val="clear" w:color="auto" w:fill="auto"/>
            <w:noWrap/>
            <w:vAlign w:val="center"/>
          </w:tcPr>
          <w:p w14:paraId="3A889EFA" w14:textId="1547ED43"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18,5</w:t>
            </w:r>
          </w:p>
        </w:tc>
        <w:tc>
          <w:tcPr>
            <w:tcW w:w="1103" w:type="dxa"/>
            <w:tcBorders>
              <w:top w:val="nil"/>
              <w:left w:val="nil"/>
              <w:bottom w:val="single" w:sz="4" w:space="0" w:color="auto"/>
              <w:right w:val="single" w:sz="4" w:space="0" w:color="auto"/>
            </w:tcBorders>
            <w:shd w:val="clear" w:color="auto" w:fill="auto"/>
            <w:noWrap/>
            <w:vAlign w:val="center"/>
          </w:tcPr>
          <w:p w14:paraId="26479F49" w14:textId="77954313"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845,7</w:t>
            </w:r>
          </w:p>
        </w:tc>
        <w:tc>
          <w:tcPr>
            <w:tcW w:w="1224" w:type="dxa"/>
            <w:tcBorders>
              <w:top w:val="nil"/>
              <w:left w:val="nil"/>
              <w:bottom w:val="single" w:sz="4" w:space="0" w:color="auto"/>
              <w:right w:val="single" w:sz="4" w:space="0" w:color="auto"/>
            </w:tcBorders>
            <w:shd w:val="clear" w:color="auto" w:fill="auto"/>
            <w:noWrap/>
            <w:vAlign w:val="center"/>
          </w:tcPr>
          <w:p w14:paraId="24B66B6B" w14:textId="5B9AA59C"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138,5</w:t>
            </w:r>
          </w:p>
        </w:tc>
        <w:tc>
          <w:tcPr>
            <w:tcW w:w="1159" w:type="dxa"/>
            <w:tcBorders>
              <w:top w:val="nil"/>
              <w:left w:val="nil"/>
              <w:bottom w:val="single" w:sz="4" w:space="0" w:color="auto"/>
              <w:right w:val="single" w:sz="4" w:space="0" w:color="auto"/>
            </w:tcBorders>
            <w:shd w:val="clear" w:color="auto" w:fill="auto"/>
            <w:noWrap/>
            <w:vAlign w:val="center"/>
          </w:tcPr>
          <w:p w14:paraId="0543AEAF" w14:textId="0BFF684F"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16,4</w:t>
            </w:r>
          </w:p>
        </w:tc>
        <w:tc>
          <w:tcPr>
            <w:tcW w:w="1113" w:type="dxa"/>
            <w:tcBorders>
              <w:top w:val="nil"/>
              <w:left w:val="nil"/>
              <w:bottom w:val="single" w:sz="4" w:space="0" w:color="auto"/>
              <w:right w:val="single" w:sz="4" w:space="0" w:color="auto"/>
            </w:tcBorders>
            <w:shd w:val="clear" w:color="auto" w:fill="auto"/>
            <w:noWrap/>
            <w:vAlign w:val="center"/>
          </w:tcPr>
          <w:p w14:paraId="109115A4" w14:textId="29298CC6"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87,4</w:t>
            </w:r>
          </w:p>
        </w:tc>
      </w:tr>
      <w:tr w:rsidR="007007A3" w:rsidRPr="00190176" w14:paraId="1E40C612" w14:textId="77777777" w:rsidTr="73C5D9BC">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B20A0A7" w14:textId="77777777" w:rsidR="007007A3" w:rsidRPr="00602E3C" w:rsidRDefault="007007A3" w:rsidP="007007A3">
            <w:pPr>
              <w:keepNext/>
              <w:keepLines/>
              <w:spacing w:before="120" w:after="120"/>
              <w:jc w:val="right"/>
              <w:rPr>
                <w:rFonts w:ascii="Times New Roman" w:hAnsi="Times New Roman" w:cs="Times New Roman"/>
                <w:sz w:val="20"/>
                <w:szCs w:val="20"/>
              </w:rPr>
            </w:pPr>
            <w:r w:rsidRPr="3782F5BA">
              <w:rPr>
                <w:rFonts w:ascii="Times New Roman" w:hAnsi="Times New Roman" w:cs="Times New Roman"/>
                <w:sz w:val="20"/>
                <w:szCs w:val="20"/>
              </w:rPr>
              <w:t>kiadás:</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3DBFFE8F" w14:textId="38D49114"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718,3</w:t>
            </w:r>
          </w:p>
        </w:tc>
        <w:tc>
          <w:tcPr>
            <w:tcW w:w="1059" w:type="dxa"/>
            <w:tcBorders>
              <w:top w:val="nil"/>
              <w:left w:val="nil"/>
              <w:bottom w:val="single" w:sz="4" w:space="0" w:color="auto"/>
              <w:right w:val="single" w:sz="4" w:space="0" w:color="auto"/>
            </w:tcBorders>
            <w:shd w:val="clear" w:color="auto" w:fill="auto"/>
            <w:noWrap/>
            <w:vAlign w:val="center"/>
          </w:tcPr>
          <w:p w14:paraId="09959044" w14:textId="06A82F3C"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 xml:space="preserve">79,4 </w:t>
            </w:r>
          </w:p>
        </w:tc>
        <w:tc>
          <w:tcPr>
            <w:tcW w:w="1075" w:type="dxa"/>
            <w:tcBorders>
              <w:top w:val="nil"/>
              <w:left w:val="nil"/>
              <w:bottom w:val="single" w:sz="4" w:space="0" w:color="auto"/>
              <w:right w:val="single" w:sz="4" w:space="0" w:color="auto"/>
            </w:tcBorders>
            <w:shd w:val="clear" w:color="auto" w:fill="auto"/>
            <w:noWrap/>
            <w:vAlign w:val="center"/>
          </w:tcPr>
          <w:p w14:paraId="49CC2BC9" w14:textId="2096DC40"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 xml:space="preserve">11,1 </w:t>
            </w:r>
          </w:p>
        </w:tc>
        <w:tc>
          <w:tcPr>
            <w:tcW w:w="1103" w:type="dxa"/>
            <w:tcBorders>
              <w:top w:val="nil"/>
              <w:left w:val="nil"/>
              <w:bottom w:val="single" w:sz="4" w:space="0" w:color="auto"/>
              <w:right w:val="single" w:sz="4" w:space="0" w:color="auto"/>
            </w:tcBorders>
            <w:shd w:val="clear" w:color="auto" w:fill="auto"/>
            <w:noWrap/>
            <w:vAlign w:val="center"/>
          </w:tcPr>
          <w:p w14:paraId="38B8A8DE" w14:textId="5DD13B95"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757,2</w:t>
            </w:r>
          </w:p>
        </w:tc>
        <w:tc>
          <w:tcPr>
            <w:tcW w:w="1224" w:type="dxa"/>
            <w:tcBorders>
              <w:top w:val="nil"/>
              <w:left w:val="nil"/>
              <w:bottom w:val="single" w:sz="4" w:space="0" w:color="auto"/>
              <w:right w:val="single" w:sz="4" w:space="0" w:color="auto"/>
            </w:tcBorders>
            <w:shd w:val="clear" w:color="auto" w:fill="auto"/>
            <w:noWrap/>
            <w:vAlign w:val="center"/>
          </w:tcPr>
          <w:p w14:paraId="1F33273D" w14:textId="5A493C0D"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100,5</w:t>
            </w:r>
          </w:p>
        </w:tc>
        <w:tc>
          <w:tcPr>
            <w:tcW w:w="1159" w:type="dxa"/>
            <w:tcBorders>
              <w:top w:val="nil"/>
              <w:left w:val="nil"/>
              <w:bottom w:val="single" w:sz="4" w:space="0" w:color="auto"/>
              <w:right w:val="single" w:sz="4" w:space="0" w:color="auto"/>
            </w:tcBorders>
            <w:shd w:val="clear" w:color="auto" w:fill="auto"/>
            <w:noWrap/>
            <w:vAlign w:val="center"/>
          </w:tcPr>
          <w:p w14:paraId="087519CB" w14:textId="5E7EF0FA"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13,3</w:t>
            </w:r>
          </w:p>
        </w:tc>
        <w:tc>
          <w:tcPr>
            <w:tcW w:w="1113" w:type="dxa"/>
            <w:tcBorders>
              <w:top w:val="nil"/>
              <w:left w:val="nil"/>
              <w:bottom w:val="single" w:sz="4" w:space="0" w:color="auto"/>
              <w:right w:val="single" w:sz="4" w:space="0" w:color="auto"/>
            </w:tcBorders>
            <w:shd w:val="clear" w:color="auto" w:fill="auto"/>
            <w:noWrap/>
            <w:vAlign w:val="center"/>
          </w:tcPr>
          <w:p w14:paraId="0F6B30EE" w14:textId="70A2BCF9"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126,6</w:t>
            </w:r>
          </w:p>
        </w:tc>
      </w:tr>
      <w:tr w:rsidR="007007A3" w:rsidRPr="003D514A" w14:paraId="76328518" w14:textId="77777777" w:rsidTr="73C5D9BC">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35FB6F71" w14:textId="77777777" w:rsidR="007007A3" w:rsidRPr="00602E3C" w:rsidRDefault="007007A3" w:rsidP="007007A3">
            <w:pPr>
              <w:keepNext/>
              <w:keepLines/>
              <w:spacing w:before="120" w:after="120"/>
              <w:rPr>
                <w:rFonts w:ascii="Times New Roman" w:hAnsi="Times New Roman" w:cs="Times New Roman"/>
                <w:b/>
                <w:bCs/>
                <w:sz w:val="20"/>
                <w:szCs w:val="20"/>
              </w:rPr>
            </w:pPr>
            <w:r w:rsidRPr="3782F5BA">
              <w:rPr>
                <w:rFonts w:ascii="Times New Roman" w:hAnsi="Times New Roman" w:cs="Times New Roman"/>
                <w:b/>
                <w:bCs/>
                <w:sz w:val="20"/>
                <w:szCs w:val="20"/>
              </w:rPr>
              <w:t>Társadalombiztosítás pénzügyi alapjainak egyenlege</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09EEFFCC" w14:textId="4B12E5D5" w:rsidR="007007A3" w:rsidRPr="007007A3" w:rsidRDefault="007007A3" w:rsidP="007007A3">
            <w:pPr>
              <w:spacing w:before="120" w:after="120"/>
              <w:jc w:val="right"/>
              <w:rPr>
                <w:rFonts w:ascii="Times New Roman" w:hAnsi="Times New Roman" w:cs="Times New Roman"/>
                <w:b/>
                <w:bCs/>
                <w:sz w:val="20"/>
                <w:szCs w:val="20"/>
              </w:rPr>
            </w:pPr>
            <w:r w:rsidRPr="007007A3">
              <w:rPr>
                <w:rFonts w:ascii="Garamond" w:hAnsi="Garamond"/>
                <w:b/>
                <w:bCs/>
                <w:sz w:val="20"/>
                <w:szCs w:val="20"/>
              </w:rPr>
              <w:t>-230,1</w:t>
            </w:r>
          </w:p>
        </w:tc>
        <w:tc>
          <w:tcPr>
            <w:tcW w:w="1059" w:type="dxa"/>
            <w:tcBorders>
              <w:top w:val="nil"/>
              <w:left w:val="nil"/>
              <w:bottom w:val="single" w:sz="4" w:space="0" w:color="auto"/>
              <w:right w:val="single" w:sz="4" w:space="0" w:color="auto"/>
            </w:tcBorders>
            <w:shd w:val="clear" w:color="auto" w:fill="auto"/>
            <w:noWrap/>
            <w:vAlign w:val="center"/>
          </w:tcPr>
          <w:p w14:paraId="30D7DC00" w14:textId="618B9C59" w:rsidR="007007A3" w:rsidRPr="007007A3" w:rsidRDefault="007007A3" w:rsidP="007007A3">
            <w:pPr>
              <w:spacing w:before="120" w:after="120"/>
              <w:jc w:val="right"/>
              <w:rPr>
                <w:rFonts w:ascii="Times New Roman" w:hAnsi="Times New Roman" w:cs="Times New Roman"/>
                <w:b/>
                <w:bCs/>
                <w:sz w:val="20"/>
                <w:szCs w:val="20"/>
              </w:rPr>
            </w:pPr>
            <w:r w:rsidRPr="007007A3">
              <w:rPr>
                <w:rFonts w:ascii="Garamond" w:hAnsi="Garamond"/>
                <w:b/>
                <w:bCs/>
                <w:sz w:val="20"/>
                <w:szCs w:val="20"/>
              </w:rPr>
              <w:t>-23,5</w:t>
            </w:r>
          </w:p>
        </w:tc>
        <w:tc>
          <w:tcPr>
            <w:tcW w:w="1075" w:type="dxa"/>
            <w:tcBorders>
              <w:top w:val="nil"/>
              <w:left w:val="nil"/>
              <w:bottom w:val="single" w:sz="4" w:space="0" w:color="auto"/>
              <w:right w:val="single" w:sz="4" w:space="0" w:color="auto"/>
            </w:tcBorders>
            <w:shd w:val="clear" w:color="auto" w:fill="auto"/>
            <w:noWrap/>
            <w:vAlign w:val="center"/>
          </w:tcPr>
          <w:p w14:paraId="641FA9E4" w14:textId="65661FCC"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10,2</w:t>
            </w:r>
          </w:p>
        </w:tc>
        <w:tc>
          <w:tcPr>
            <w:tcW w:w="1103" w:type="dxa"/>
            <w:tcBorders>
              <w:top w:val="nil"/>
              <w:left w:val="nil"/>
              <w:bottom w:val="single" w:sz="4" w:space="0" w:color="auto"/>
              <w:right w:val="single" w:sz="4" w:space="0" w:color="auto"/>
            </w:tcBorders>
            <w:shd w:val="clear" w:color="auto" w:fill="auto"/>
            <w:noWrap/>
            <w:vAlign w:val="center"/>
          </w:tcPr>
          <w:p w14:paraId="2DC56B04" w14:textId="13B5DABB" w:rsidR="007007A3" w:rsidRPr="007007A3" w:rsidRDefault="007007A3" w:rsidP="007007A3">
            <w:pPr>
              <w:spacing w:before="120" w:after="120"/>
              <w:jc w:val="right"/>
              <w:rPr>
                <w:rFonts w:ascii="Times New Roman" w:hAnsi="Times New Roman" w:cs="Times New Roman"/>
                <w:b/>
                <w:bCs/>
                <w:sz w:val="20"/>
                <w:szCs w:val="20"/>
              </w:rPr>
            </w:pPr>
            <w:r w:rsidRPr="007007A3">
              <w:rPr>
                <w:rFonts w:ascii="Garamond" w:hAnsi="Garamond"/>
                <w:b/>
                <w:bCs/>
                <w:sz w:val="20"/>
                <w:szCs w:val="20"/>
              </w:rPr>
              <w:t>0,0</w:t>
            </w:r>
          </w:p>
        </w:tc>
        <w:tc>
          <w:tcPr>
            <w:tcW w:w="1224" w:type="dxa"/>
            <w:tcBorders>
              <w:top w:val="nil"/>
              <w:left w:val="nil"/>
              <w:bottom w:val="single" w:sz="4" w:space="0" w:color="auto"/>
              <w:right w:val="single" w:sz="4" w:space="0" w:color="auto"/>
            </w:tcBorders>
            <w:shd w:val="clear" w:color="auto" w:fill="auto"/>
            <w:noWrap/>
            <w:vAlign w:val="center"/>
          </w:tcPr>
          <w:p w14:paraId="09A75478" w14:textId="66C744ED" w:rsidR="007007A3" w:rsidRPr="007007A3" w:rsidRDefault="007007A3" w:rsidP="007007A3">
            <w:pPr>
              <w:spacing w:before="120" w:after="120"/>
              <w:jc w:val="right"/>
              <w:rPr>
                <w:rFonts w:ascii="Times New Roman" w:hAnsi="Times New Roman" w:cs="Times New Roman"/>
                <w:b/>
                <w:bCs/>
                <w:sz w:val="20"/>
                <w:szCs w:val="20"/>
              </w:rPr>
            </w:pPr>
            <w:r w:rsidRPr="007007A3">
              <w:rPr>
                <w:rFonts w:ascii="Garamond" w:hAnsi="Garamond"/>
                <w:b/>
                <w:bCs/>
                <w:sz w:val="20"/>
                <w:szCs w:val="20"/>
              </w:rPr>
              <w:t>-77,3</w:t>
            </w:r>
          </w:p>
        </w:tc>
        <w:tc>
          <w:tcPr>
            <w:tcW w:w="1159" w:type="dxa"/>
            <w:tcBorders>
              <w:top w:val="nil"/>
              <w:left w:val="nil"/>
              <w:bottom w:val="single" w:sz="4" w:space="0" w:color="auto"/>
              <w:right w:val="single" w:sz="4" w:space="0" w:color="auto"/>
            </w:tcBorders>
            <w:shd w:val="clear" w:color="auto" w:fill="auto"/>
            <w:noWrap/>
            <w:vAlign w:val="center"/>
          </w:tcPr>
          <w:p w14:paraId="7360352A" w14:textId="37B9F905"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 </w:t>
            </w:r>
          </w:p>
        </w:tc>
        <w:tc>
          <w:tcPr>
            <w:tcW w:w="1113" w:type="dxa"/>
            <w:tcBorders>
              <w:top w:val="nil"/>
              <w:left w:val="nil"/>
              <w:bottom w:val="single" w:sz="4" w:space="0" w:color="auto"/>
              <w:right w:val="single" w:sz="4" w:space="0" w:color="auto"/>
            </w:tcBorders>
            <w:shd w:val="clear" w:color="auto" w:fill="auto"/>
            <w:noWrap/>
            <w:vAlign w:val="center"/>
          </w:tcPr>
          <w:p w14:paraId="4CE48797" w14:textId="48D6F281"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328,9</w:t>
            </w:r>
          </w:p>
        </w:tc>
      </w:tr>
      <w:tr w:rsidR="007007A3" w:rsidRPr="003D514A" w14:paraId="019242A3" w14:textId="77777777" w:rsidTr="73C5D9BC">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0B28D060" w14:textId="77777777" w:rsidR="007007A3" w:rsidRPr="00602E3C" w:rsidRDefault="007007A3" w:rsidP="007007A3">
            <w:pPr>
              <w:keepNext/>
              <w:keepLines/>
              <w:spacing w:before="120" w:after="120"/>
              <w:jc w:val="right"/>
              <w:rPr>
                <w:rFonts w:ascii="Times New Roman" w:hAnsi="Times New Roman" w:cs="Times New Roman"/>
                <w:sz w:val="20"/>
                <w:szCs w:val="20"/>
              </w:rPr>
            </w:pPr>
            <w:r w:rsidRPr="3782F5BA">
              <w:rPr>
                <w:rFonts w:ascii="Times New Roman" w:hAnsi="Times New Roman" w:cs="Times New Roman"/>
                <w:sz w:val="20"/>
                <w:szCs w:val="20"/>
              </w:rPr>
              <w:t>bevétel:</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37CEA0A8" w14:textId="2D0BF833"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10 526,1</w:t>
            </w:r>
          </w:p>
        </w:tc>
        <w:tc>
          <w:tcPr>
            <w:tcW w:w="1059" w:type="dxa"/>
            <w:tcBorders>
              <w:top w:val="nil"/>
              <w:left w:val="nil"/>
              <w:bottom w:val="single" w:sz="4" w:space="0" w:color="auto"/>
              <w:right w:val="single" w:sz="4" w:space="0" w:color="auto"/>
            </w:tcBorders>
            <w:shd w:val="clear" w:color="auto" w:fill="auto"/>
            <w:noWrap/>
            <w:vAlign w:val="center"/>
          </w:tcPr>
          <w:p w14:paraId="0CF62633" w14:textId="389067E4"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2 111,1</w:t>
            </w:r>
          </w:p>
        </w:tc>
        <w:tc>
          <w:tcPr>
            <w:tcW w:w="1075" w:type="dxa"/>
            <w:tcBorders>
              <w:top w:val="nil"/>
              <w:left w:val="nil"/>
              <w:bottom w:val="single" w:sz="4" w:space="0" w:color="auto"/>
              <w:right w:val="single" w:sz="4" w:space="0" w:color="auto"/>
            </w:tcBorders>
            <w:shd w:val="clear" w:color="auto" w:fill="auto"/>
            <w:noWrap/>
            <w:vAlign w:val="center"/>
          </w:tcPr>
          <w:p w14:paraId="5A242BD9" w14:textId="528F9831"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20,1</w:t>
            </w:r>
          </w:p>
        </w:tc>
        <w:tc>
          <w:tcPr>
            <w:tcW w:w="1103" w:type="dxa"/>
            <w:tcBorders>
              <w:top w:val="nil"/>
              <w:left w:val="nil"/>
              <w:bottom w:val="single" w:sz="4" w:space="0" w:color="auto"/>
              <w:right w:val="single" w:sz="4" w:space="0" w:color="auto"/>
            </w:tcBorders>
            <w:shd w:val="clear" w:color="auto" w:fill="auto"/>
            <w:noWrap/>
            <w:vAlign w:val="center"/>
          </w:tcPr>
          <w:p w14:paraId="38B2FBF3" w14:textId="2F4D0387"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11 261,1</w:t>
            </w:r>
          </w:p>
        </w:tc>
        <w:tc>
          <w:tcPr>
            <w:tcW w:w="1224" w:type="dxa"/>
            <w:tcBorders>
              <w:top w:val="nil"/>
              <w:left w:val="nil"/>
              <w:bottom w:val="single" w:sz="4" w:space="0" w:color="auto"/>
              <w:right w:val="single" w:sz="4" w:space="0" w:color="auto"/>
            </w:tcBorders>
            <w:shd w:val="clear" w:color="auto" w:fill="auto"/>
            <w:noWrap/>
            <w:vAlign w:val="center"/>
          </w:tcPr>
          <w:p w14:paraId="45786421" w14:textId="1769B65A"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2 299,6</w:t>
            </w:r>
          </w:p>
        </w:tc>
        <w:tc>
          <w:tcPr>
            <w:tcW w:w="1159" w:type="dxa"/>
            <w:tcBorders>
              <w:top w:val="nil"/>
              <w:left w:val="nil"/>
              <w:bottom w:val="single" w:sz="4" w:space="0" w:color="auto"/>
              <w:right w:val="single" w:sz="4" w:space="0" w:color="auto"/>
            </w:tcBorders>
            <w:shd w:val="clear" w:color="auto" w:fill="auto"/>
            <w:noWrap/>
            <w:vAlign w:val="center"/>
          </w:tcPr>
          <w:p w14:paraId="36A63170" w14:textId="0D45C8F9"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20,4</w:t>
            </w:r>
          </w:p>
        </w:tc>
        <w:tc>
          <w:tcPr>
            <w:tcW w:w="1113" w:type="dxa"/>
            <w:tcBorders>
              <w:top w:val="nil"/>
              <w:left w:val="nil"/>
              <w:bottom w:val="single" w:sz="4" w:space="0" w:color="auto"/>
              <w:right w:val="single" w:sz="4" w:space="0" w:color="auto"/>
            </w:tcBorders>
            <w:shd w:val="clear" w:color="auto" w:fill="auto"/>
            <w:noWrap/>
            <w:vAlign w:val="center"/>
          </w:tcPr>
          <w:p w14:paraId="20C35B4C" w14:textId="0FA793DD"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108,9</w:t>
            </w:r>
          </w:p>
        </w:tc>
      </w:tr>
      <w:tr w:rsidR="007007A3" w:rsidRPr="003D514A" w14:paraId="57754C66" w14:textId="77777777" w:rsidTr="73C5D9BC">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3131A64" w14:textId="77777777" w:rsidR="007007A3" w:rsidRPr="00602E3C" w:rsidRDefault="007007A3" w:rsidP="007007A3">
            <w:pPr>
              <w:keepNext/>
              <w:keepLines/>
              <w:spacing w:before="120" w:after="120"/>
              <w:jc w:val="right"/>
              <w:rPr>
                <w:rFonts w:ascii="Times New Roman" w:hAnsi="Times New Roman" w:cs="Times New Roman"/>
                <w:sz w:val="20"/>
                <w:szCs w:val="20"/>
              </w:rPr>
            </w:pPr>
            <w:r w:rsidRPr="3782F5BA">
              <w:rPr>
                <w:rFonts w:ascii="Times New Roman" w:hAnsi="Times New Roman" w:cs="Times New Roman"/>
                <w:sz w:val="20"/>
                <w:szCs w:val="20"/>
              </w:rPr>
              <w:t>kiadás:</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6EE84A7D" w14:textId="7852D279"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10 756,2</w:t>
            </w:r>
          </w:p>
        </w:tc>
        <w:tc>
          <w:tcPr>
            <w:tcW w:w="1059" w:type="dxa"/>
            <w:tcBorders>
              <w:top w:val="nil"/>
              <w:left w:val="nil"/>
              <w:bottom w:val="single" w:sz="4" w:space="0" w:color="auto"/>
              <w:right w:val="single" w:sz="4" w:space="0" w:color="auto"/>
            </w:tcBorders>
            <w:shd w:val="clear" w:color="auto" w:fill="auto"/>
            <w:noWrap/>
            <w:vAlign w:val="center"/>
          </w:tcPr>
          <w:p w14:paraId="607E92BF" w14:textId="5E9688A0"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2 134,6</w:t>
            </w:r>
          </w:p>
        </w:tc>
        <w:tc>
          <w:tcPr>
            <w:tcW w:w="1075" w:type="dxa"/>
            <w:tcBorders>
              <w:top w:val="nil"/>
              <w:left w:val="nil"/>
              <w:bottom w:val="single" w:sz="4" w:space="0" w:color="auto"/>
              <w:right w:val="single" w:sz="4" w:space="0" w:color="auto"/>
            </w:tcBorders>
            <w:shd w:val="clear" w:color="auto" w:fill="auto"/>
            <w:noWrap/>
            <w:vAlign w:val="center"/>
          </w:tcPr>
          <w:p w14:paraId="72D0949B" w14:textId="4FF887D2"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19,8</w:t>
            </w:r>
          </w:p>
        </w:tc>
        <w:tc>
          <w:tcPr>
            <w:tcW w:w="1103" w:type="dxa"/>
            <w:tcBorders>
              <w:top w:val="nil"/>
              <w:left w:val="nil"/>
              <w:bottom w:val="single" w:sz="4" w:space="0" w:color="auto"/>
              <w:right w:val="single" w:sz="4" w:space="0" w:color="auto"/>
            </w:tcBorders>
            <w:shd w:val="clear" w:color="auto" w:fill="auto"/>
            <w:noWrap/>
            <w:vAlign w:val="center"/>
          </w:tcPr>
          <w:p w14:paraId="46E1FBBD" w14:textId="0E919C3D"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11 261,1</w:t>
            </w:r>
          </w:p>
        </w:tc>
        <w:tc>
          <w:tcPr>
            <w:tcW w:w="1224" w:type="dxa"/>
            <w:tcBorders>
              <w:top w:val="nil"/>
              <w:left w:val="nil"/>
              <w:bottom w:val="single" w:sz="4" w:space="0" w:color="auto"/>
              <w:right w:val="single" w:sz="4" w:space="0" w:color="auto"/>
            </w:tcBorders>
            <w:shd w:val="clear" w:color="auto" w:fill="auto"/>
            <w:noWrap/>
            <w:vAlign w:val="center"/>
          </w:tcPr>
          <w:p w14:paraId="66835E32" w14:textId="067A9F00"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2 376,9</w:t>
            </w:r>
          </w:p>
        </w:tc>
        <w:tc>
          <w:tcPr>
            <w:tcW w:w="1159" w:type="dxa"/>
            <w:tcBorders>
              <w:top w:val="nil"/>
              <w:left w:val="nil"/>
              <w:bottom w:val="single" w:sz="4" w:space="0" w:color="auto"/>
              <w:right w:val="single" w:sz="4" w:space="0" w:color="auto"/>
            </w:tcBorders>
            <w:shd w:val="clear" w:color="auto" w:fill="auto"/>
            <w:noWrap/>
            <w:vAlign w:val="center"/>
          </w:tcPr>
          <w:p w14:paraId="58C18A84" w14:textId="0FD2B0AC"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21,1</w:t>
            </w:r>
          </w:p>
        </w:tc>
        <w:tc>
          <w:tcPr>
            <w:tcW w:w="1113" w:type="dxa"/>
            <w:tcBorders>
              <w:top w:val="nil"/>
              <w:left w:val="nil"/>
              <w:bottom w:val="single" w:sz="4" w:space="0" w:color="auto"/>
              <w:right w:val="single" w:sz="4" w:space="0" w:color="auto"/>
            </w:tcBorders>
            <w:shd w:val="clear" w:color="auto" w:fill="auto"/>
            <w:noWrap/>
            <w:vAlign w:val="center"/>
          </w:tcPr>
          <w:p w14:paraId="13EBC871" w14:textId="750F5486"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111,4</w:t>
            </w:r>
          </w:p>
        </w:tc>
      </w:tr>
      <w:tr w:rsidR="007007A3" w:rsidRPr="003D514A" w14:paraId="0BB4AC6A" w14:textId="77777777" w:rsidTr="73C5D9BC">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A00CB7B" w14:textId="77777777" w:rsidR="007007A3" w:rsidRPr="00602E3C" w:rsidRDefault="007007A3" w:rsidP="007007A3">
            <w:pPr>
              <w:keepNext/>
              <w:keepLines/>
              <w:spacing w:before="120" w:after="120"/>
              <w:rPr>
                <w:rFonts w:ascii="Times New Roman" w:hAnsi="Times New Roman" w:cs="Times New Roman"/>
                <w:b/>
                <w:bCs/>
                <w:sz w:val="20"/>
                <w:szCs w:val="20"/>
              </w:rPr>
            </w:pPr>
            <w:r w:rsidRPr="3782F5BA">
              <w:rPr>
                <w:rFonts w:ascii="Times New Roman" w:hAnsi="Times New Roman" w:cs="Times New Roman"/>
                <w:b/>
                <w:bCs/>
                <w:sz w:val="20"/>
                <w:szCs w:val="20"/>
              </w:rPr>
              <w:t>Egyenleg összesen</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1B8B1324" w14:textId="46478B97" w:rsidR="007007A3" w:rsidRPr="007007A3" w:rsidRDefault="007007A3" w:rsidP="007007A3">
            <w:pPr>
              <w:spacing w:before="120" w:after="120"/>
              <w:jc w:val="right"/>
              <w:rPr>
                <w:rFonts w:ascii="Times New Roman" w:hAnsi="Times New Roman" w:cs="Times New Roman"/>
                <w:b/>
                <w:bCs/>
                <w:sz w:val="20"/>
                <w:szCs w:val="20"/>
              </w:rPr>
            </w:pPr>
            <w:r w:rsidRPr="007007A3">
              <w:rPr>
                <w:rFonts w:ascii="Garamond" w:hAnsi="Garamond"/>
                <w:b/>
                <w:bCs/>
                <w:sz w:val="20"/>
                <w:szCs w:val="20"/>
              </w:rPr>
              <w:t>-4 095,8</w:t>
            </w:r>
          </w:p>
        </w:tc>
        <w:tc>
          <w:tcPr>
            <w:tcW w:w="1059" w:type="dxa"/>
            <w:tcBorders>
              <w:top w:val="nil"/>
              <w:left w:val="nil"/>
              <w:bottom w:val="single" w:sz="4" w:space="0" w:color="auto"/>
              <w:right w:val="single" w:sz="4" w:space="0" w:color="auto"/>
            </w:tcBorders>
            <w:shd w:val="clear" w:color="auto" w:fill="auto"/>
            <w:noWrap/>
            <w:vAlign w:val="center"/>
          </w:tcPr>
          <w:p w14:paraId="4169FD4E" w14:textId="6F87981E" w:rsidR="007007A3" w:rsidRPr="007007A3" w:rsidRDefault="007007A3" w:rsidP="007007A3">
            <w:pPr>
              <w:spacing w:before="120" w:after="120"/>
              <w:jc w:val="right"/>
              <w:rPr>
                <w:rFonts w:ascii="Times New Roman" w:hAnsi="Times New Roman" w:cs="Times New Roman"/>
                <w:b/>
                <w:bCs/>
                <w:sz w:val="20"/>
                <w:szCs w:val="20"/>
              </w:rPr>
            </w:pPr>
            <w:r w:rsidRPr="007007A3">
              <w:rPr>
                <w:rFonts w:ascii="Garamond" w:hAnsi="Garamond"/>
                <w:b/>
                <w:bCs/>
                <w:sz w:val="20"/>
                <w:szCs w:val="20"/>
              </w:rPr>
              <w:t>-1 704,0</w:t>
            </w:r>
          </w:p>
        </w:tc>
        <w:tc>
          <w:tcPr>
            <w:tcW w:w="1075" w:type="dxa"/>
            <w:tcBorders>
              <w:top w:val="nil"/>
              <w:left w:val="nil"/>
              <w:bottom w:val="single" w:sz="4" w:space="0" w:color="auto"/>
              <w:right w:val="single" w:sz="4" w:space="0" w:color="auto"/>
            </w:tcBorders>
            <w:shd w:val="clear" w:color="auto" w:fill="auto"/>
            <w:noWrap/>
            <w:vAlign w:val="center"/>
          </w:tcPr>
          <w:p w14:paraId="1A278024" w14:textId="1DBD9494"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41,6</w:t>
            </w:r>
          </w:p>
        </w:tc>
        <w:tc>
          <w:tcPr>
            <w:tcW w:w="1103" w:type="dxa"/>
            <w:tcBorders>
              <w:top w:val="nil"/>
              <w:left w:val="nil"/>
              <w:bottom w:val="single" w:sz="4" w:space="0" w:color="auto"/>
              <w:right w:val="single" w:sz="4" w:space="0" w:color="auto"/>
            </w:tcBorders>
            <w:shd w:val="clear" w:color="auto" w:fill="auto"/>
            <w:noWrap/>
            <w:vAlign w:val="center"/>
          </w:tcPr>
          <w:p w14:paraId="786BA0A5" w14:textId="60702B41" w:rsidR="007007A3" w:rsidRPr="007007A3" w:rsidRDefault="007007A3" w:rsidP="007007A3">
            <w:pPr>
              <w:spacing w:before="120" w:after="120"/>
              <w:jc w:val="right"/>
              <w:rPr>
                <w:rFonts w:ascii="Times New Roman" w:hAnsi="Times New Roman" w:cs="Times New Roman"/>
                <w:b/>
                <w:bCs/>
                <w:sz w:val="20"/>
                <w:szCs w:val="20"/>
              </w:rPr>
            </w:pPr>
            <w:r w:rsidRPr="007007A3">
              <w:rPr>
                <w:rFonts w:ascii="Garamond" w:hAnsi="Garamond"/>
                <w:b/>
                <w:bCs/>
                <w:sz w:val="20"/>
                <w:szCs w:val="20"/>
              </w:rPr>
              <w:t>-4 123,0</w:t>
            </w:r>
          </w:p>
        </w:tc>
        <w:tc>
          <w:tcPr>
            <w:tcW w:w="1224" w:type="dxa"/>
            <w:tcBorders>
              <w:top w:val="nil"/>
              <w:left w:val="nil"/>
              <w:bottom w:val="single" w:sz="4" w:space="0" w:color="auto"/>
              <w:right w:val="single" w:sz="4" w:space="0" w:color="auto"/>
            </w:tcBorders>
            <w:shd w:val="clear" w:color="auto" w:fill="auto"/>
            <w:noWrap/>
            <w:vAlign w:val="center"/>
          </w:tcPr>
          <w:p w14:paraId="53FEC34A" w14:textId="6BB898DA" w:rsidR="007007A3" w:rsidRPr="007007A3" w:rsidRDefault="007007A3" w:rsidP="007007A3">
            <w:pPr>
              <w:spacing w:before="120" w:after="120"/>
              <w:jc w:val="right"/>
              <w:rPr>
                <w:rFonts w:ascii="Times New Roman" w:hAnsi="Times New Roman" w:cs="Times New Roman"/>
                <w:b/>
                <w:bCs/>
                <w:sz w:val="20"/>
                <w:szCs w:val="20"/>
              </w:rPr>
            </w:pPr>
            <w:r w:rsidRPr="007007A3">
              <w:rPr>
                <w:rFonts w:ascii="Garamond" w:hAnsi="Garamond"/>
                <w:b/>
                <w:bCs/>
                <w:sz w:val="20"/>
                <w:szCs w:val="20"/>
              </w:rPr>
              <w:t>-1 722,8</w:t>
            </w:r>
          </w:p>
        </w:tc>
        <w:tc>
          <w:tcPr>
            <w:tcW w:w="1159" w:type="dxa"/>
            <w:tcBorders>
              <w:top w:val="nil"/>
              <w:left w:val="nil"/>
              <w:bottom w:val="single" w:sz="4" w:space="0" w:color="auto"/>
              <w:right w:val="single" w:sz="4" w:space="0" w:color="auto"/>
            </w:tcBorders>
            <w:shd w:val="clear" w:color="auto" w:fill="auto"/>
            <w:noWrap/>
            <w:vAlign w:val="center"/>
          </w:tcPr>
          <w:p w14:paraId="6F96D6B4" w14:textId="01F56327"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41,8</w:t>
            </w:r>
          </w:p>
        </w:tc>
        <w:tc>
          <w:tcPr>
            <w:tcW w:w="1113" w:type="dxa"/>
            <w:tcBorders>
              <w:top w:val="nil"/>
              <w:left w:val="nil"/>
              <w:bottom w:val="single" w:sz="4" w:space="0" w:color="auto"/>
              <w:right w:val="single" w:sz="4" w:space="0" w:color="auto"/>
            </w:tcBorders>
            <w:shd w:val="clear" w:color="auto" w:fill="auto"/>
            <w:noWrap/>
            <w:vAlign w:val="center"/>
          </w:tcPr>
          <w:p w14:paraId="08B7BC04" w14:textId="43E0D31F"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101,1</w:t>
            </w:r>
          </w:p>
        </w:tc>
      </w:tr>
      <w:tr w:rsidR="007007A3" w:rsidRPr="003D514A" w14:paraId="54A89CE6" w14:textId="77777777" w:rsidTr="73C5D9BC">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2D471282" w14:textId="77777777" w:rsidR="007007A3" w:rsidRPr="00602E3C" w:rsidRDefault="007007A3" w:rsidP="007007A3">
            <w:pPr>
              <w:keepNext/>
              <w:keepLines/>
              <w:spacing w:before="120" w:after="120"/>
              <w:jc w:val="right"/>
              <w:rPr>
                <w:rFonts w:ascii="Times New Roman" w:hAnsi="Times New Roman" w:cs="Times New Roman"/>
                <w:sz w:val="20"/>
                <w:szCs w:val="20"/>
              </w:rPr>
            </w:pPr>
            <w:r w:rsidRPr="3782F5BA">
              <w:rPr>
                <w:rFonts w:ascii="Times New Roman" w:hAnsi="Times New Roman" w:cs="Times New Roman"/>
                <w:sz w:val="20"/>
                <w:szCs w:val="20"/>
              </w:rPr>
              <w:t>bevétel:</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1A9DE151" w14:textId="3EDFF61E"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38 038,2</w:t>
            </w:r>
          </w:p>
        </w:tc>
        <w:tc>
          <w:tcPr>
            <w:tcW w:w="1059" w:type="dxa"/>
            <w:tcBorders>
              <w:top w:val="nil"/>
              <w:left w:val="nil"/>
              <w:bottom w:val="single" w:sz="4" w:space="0" w:color="auto"/>
              <w:right w:val="single" w:sz="4" w:space="0" w:color="auto"/>
            </w:tcBorders>
            <w:shd w:val="clear" w:color="auto" w:fill="auto"/>
            <w:noWrap/>
            <w:vAlign w:val="center"/>
          </w:tcPr>
          <w:p w14:paraId="35D99CF8" w14:textId="4144A1A1"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5 974,9</w:t>
            </w:r>
          </w:p>
        </w:tc>
        <w:tc>
          <w:tcPr>
            <w:tcW w:w="1075" w:type="dxa"/>
            <w:tcBorders>
              <w:top w:val="nil"/>
              <w:left w:val="nil"/>
              <w:bottom w:val="single" w:sz="4" w:space="0" w:color="auto"/>
              <w:right w:val="single" w:sz="4" w:space="0" w:color="auto"/>
            </w:tcBorders>
            <w:shd w:val="clear" w:color="auto" w:fill="auto"/>
            <w:noWrap/>
            <w:vAlign w:val="center"/>
          </w:tcPr>
          <w:p w14:paraId="7867A6F0" w14:textId="7D4CA438"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15,7</w:t>
            </w:r>
          </w:p>
        </w:tc>
        <w:tc>
          <w:tcPr>
            <w:tcW w:w="1103" w:type="dxa"/>
            <w:tcBorders>
              <w:top w:val="nil"/>
              <w:left w:val="nil"/>
              <w:bottom w:val="single" w:sz="4" w:space="0" w:color="auto"/>
              <w:right w:val="single" w:sz="4" w:space="0" w:color="auto"/>
            </w:tcBorders>
            <w:shd w:val="clear" w:color="auto" w:fill="auto"/>
            <w:noWrap/>
            <w:vAlign w:val="center"/>
          </w:tcPr>
          <w:p w14:paraId="3B7C4504" w14:textId="701FBA3B"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38 728,8</w:t>
            </w:r>
          </w:p>
        </w:tc>
        <w:tc>
          <w:tcPr>
            <w:tcW w:w="1224" w:type="dxa"/>
            <w:tcBorders>
              <w:top w:val="nil"/>
              <w:left w:val="nil"/>
              <w:bottom w:val="single" w:sz="4" w:space="0" w:color="auto"/>
              <w:right w:val="single" w:sz="4" w:space="0" w:color="auto"/>
            </w:tcBorders>
            <w:shd w:val="clear" w:color="auto" w:fill="auto"/>
            <w:noWrap/>
            <w:vAlign w:val="center"/>
          </w:tcPr>
          <w:p w14:paraId="29707FCC" w14:textId="687931F5"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6 314,8</w:t>
            </w:r>
          </w:p>
        </w:tc>
        <w:tc>
          <w:tcPr>
            <w:tcW w:w="1159" w:type="dxa"/>
            <w:tcBorders>
              <w:top w:val="nil"/>
              <w:left w:val="nil"/>
              <w:bottom w:val="single" w:sz="4" w:space="0" w:color="auto"/>
              <w:right w:val="single" w:sz="4" w:space="0" w:color="auto"/>
            </w:tcBorders>
            <w:shd w:val="clear" w:color="auto" w:fill="auto"/>
            <w:noWrap/>
            <w:vAlign w:val="center"/>
          </w:tcPr>
          <w:p w14:paraId="5BE38AAD" w14:textId="67EE4D1C"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16,3</w:t>
            </w:r>
          </w:p>
        </w:tc>
        <w:tc>
          <w:tcPr>
            <w:tcW w:w="1113" w:type="dxa"/>
            <w:tcBorders>
              <w:top w:val="nil"/>
              <w:left w:val="nil"/>
              <w:bottom w:val="single" w:sz="4" w:space="0" w:color="auto"/>
              <w:right w:val="single" w:sz="4" w:space="0" w:color="auto"/>
            </w:tcBorders>
            <w:shd w:val="clear" w:color="auto" w:fill="auto"/>
            <w:noWrap/>
            <w:vAlign w:val="center"/>
          </w:tcPr>
          <w:p w14:paraId="434BF952" w14:textId="79B6F3AC"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105,7</w:t>
            </w:r>
          </w:p>
        </w:tc>
      </w:tr>
      <w:tr w:rsidR="007007A3" w:rsidRPr="0096527E" w14:paraId="7BAEDA41" w14:textId="77777777" w:rsidTr="73C5D9BC">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39802C9" w14:textId="77777777" w:rsidR="007007A3" w:rsidRPr="00602E3C" w:rsidRDefault="007007A3" w:rsidP="007007A3">
            <w:pPr>
              <w:keepNext/>
              <w:keepLines/>
              <w:spacing w:before="120" w:after="120"/>
              <w:jc w:val="right"/>
              <w:rPr>
                <w:rFonts w:ascii="Times New Roman" w:hAnsi="Times New Roman" w:cs="Times New Roman"/>
                <w:sz w:val="20"/>
                <w:szCs w:val="20"/>
              </w:rPr>
            </w:pPr>
            <w:r w:rsidRPr="3782F5BA">
              <w:rPr>
                <w:rFonts w:ascii="Times New Roman" w:hAnsi="Times New Roman" w:cs="Times New Roman"/>
                <w:sz w:val="20"/>
                <w:szCs w:val="20"/>
              </w:rPr>
              <w:t>kiadás:</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59AFD40D" w14:textId="2939C446"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42 134,0</w:t>
            </w:r>
          </w:p>
        </w:tc>
        <w:tc>
          <w:tcPr>
            <w:tcW w:w="1059" w:type="dxa"/>
            <w:tcBorders>
              <w:top w:val="nil"/>
              <w:left w:val="nil"/>
              <w:bottom w:val="single" w:sz="4" w:space="0" w:color="auto"/>
              <w:right w:val="single" w:sz="4" w:space="0" w:color="auto"/>
            </w:tcBorders>
            <w:shd w:val="clear" w:color="auto" w:fill="auto"/>
            <w:noWrap/>
            <w:vAlign w:val="center"/>
          </w:tcPr>
          <w:p w14:paraId="4966DA4D" w14:textId="27F839D8"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7 678,9</w:t>
            </w:r>
          </w:p>
        </w:tc>
        <w:tc>
          <w:tcPr>
            <w:tcW w:w="1075" w:type="dxa"/>
            <w:tcBorders>
              <w:top w:val="nil"/>
              <w:left w:val="nil"/>
              <w:bottom w:val="single" w:sz="4" w:space="0" w:color="auto"/>
              <w:right w:val="single" w:sz="4" w:space="0" w:color="auto"/>
            </w:tcBorders>
            <w:shd w:val="clear" w:color="auto" w:fill="auto"/>
            <w:noWrap/>
            <w:vAlign w:val="center"/>
          </w:tcPr>
          <w:p w14:paraId="09D1A52D" w14:textId="5BF7FF8F"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18,2</w:t>
            </w:r>
          </w:p>
        </w:tc>
        <w:tc>
          <w:tcPr>
            <w:tcW w:w="1103" w:type="dxa"/>
            <w:tcBorders>
              <w:top w:val="nil"/>
              <w:left w:val="nil"/>
              <w:bottom w:val="single" w:sz="4" w:space="0" w:color="auto"/>
              <w:right w:val="single" w:sz="4" w:space="0" w:color="auto"/>
            </w:tcBorders>
            <w:shd w:val="clear" w:color="auto" w:fill="auto"/>
            <w:noWrap/>
            <w:vAlign w:val="center"/>
          </w:tcPr>
          <w:p w14:paraId="4ABA63B9" w14:textId="1DEBF8FC"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42 851,8</w:t>
            </w:r>
          </w:p>
        </w:tc>
        <w:tc>
          <w:tcPr>
            <w:tcW w:w="1224" w:type="dxa"/>
            <w:tcBorders>
              <w:top w:val="nil"/>
              <w:left w:val="nil"/>
              <w:bottom w:val="single" w:sz="4" w:space="0" w:color="auto"/>
              <w:right w:val="single" w:sz="4" w:space="0" w:color="auto"/>
            </w:tcBorders>
            <w:shd w:val="clear" w:color="auto" w:fill="auto"/>
            <w:noWrap/>
            <w:vAlign w:val="center"/>
          </w:tcPr>
          <w:p w14:paraId="6B9088C5" w14:textId="386A53D5"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8 037,6</w:t>
            </w:r>
          </w:p>
        </w:tc>
        <w:tc>
          <w:tcPr>
            <w:tcW w:w="1159" w:type="dxa"/>
            <w:tcBorders>
              <w:top w:val="nil"/>
              <w:left w:val="nil"/>
              <w:bottom w:val="single" w:sz="4" w:space="0" w:color="auto"/>
              <w:right w:val="single" w:sz="4" w:space="0" w:color="auto"/>
            </w:tcBorders>
            <w:shd w:val="clear" w:color="auto" w:fill="auto"/>
            <w:noWrap/>
            <w:vAlign w:val="center"/>
          </w:tcPr>
          <w:p w14:paraId="22DBE23B" w14:textId="56958646"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18,8</w:t>
            </w:r>
          </w:p>
        </w:tc>
        <w:tc>
          <w:tcPr>
            <w:tcW w:w="1113" w:type="dxa"/>
            <w:tcBorders>
              <w:top w:val="nil"/>
              <w:left w:val="nil"/>
              <w:bottom w:val="single" w:sz="4" w:space="0" w:color="auto"/>
              <w:right w:val="single" w:sz="4" w:space="0" w:color="auto"/>
            </w:tcBorders>
            <w:shd w:val="clear" w:color="auto" w:fill="auto"/>
            <w:noWrap/>
            <w:vAlign w:val="center"/>
          </w:tcPr>
          <w:p w14:paraId="6882C43A" w14:textId="434B942D" w:rsidR="007007A3" w:rsidRPr="007007A3" w:rsidRDefault="007007A3" w:rsidP="007007A3">
            <w:pPr>
              <w:spacing w:before="120" w:after="120"/>
              <w:jc w:val="right"/>
              <w:rPr>
                <w:rFonts w:ascii="Times New Roman" w:hAnsi="Times New Roman" w:cs="Times New Roman"/>
                <w:sz w:val="20"/>
                <w:szCs w:val="20"/>
              </w:rPr>
            </w:pPr>
            <w:r w:rsidRPr="007007A3">
              <w:rPr>
                <w:rFonts w:ascii="Garamond" w:hAnsi="Garamond"/>
                <w:sz w:val="20"/>
                <w:szCs w:val="20"/>
              </w:rPr>
              <w:t>104,7</w:t>
            </w:r>
          </w:p>
        </w:tc>
      </w:tr>
    </w:tbl>
    <w:p w14:paraId="651BA2DD" w14:textId="77777777" w:rsidR="005171E0" w:rsidRDefault="005171E0" w:rsidP="005171E0">
      <w:pPr>
        <w:jc w:val="center"/>
        <w:rPr>
          <w:rFonts w:ascii="Times New Roman" w:eastAsia="Times New Roman" w:hAnsi="Times New Roman" w:cs="Times New Roman"/>
          <w:sz w:val="26"/>
          <w:szCs w:val="26"/>
          <w:lang w:eastAsia="hu-HU"/>
        </w:rPr>
      </w:pPr>
    </w:p>
    <w:p w14:paraId="5D2837F8" w14:textId="77777777" w:rsidR="006D5492" w:rsidRDefault="006D5492" w:rsidP="006D5492">
      <w:pPr>
        <w:pageBreakBefore/>
        <w:spacing w:after="120" w:line="240" w:lineRule="auto"/>
        <w:jc w:val="center"/>
        <w:rPr>
          <w:rFonts w:ascii="Times New Roman" w:eastAsia="Times New Roman" w:hAnsi="Times New Roman" w:cs="Times New Roman"/>
          <w:b/>
          <w:bCs/>
          <w:sz w:val="26"/>
          <w:szCs w:val="26"/>
          <w:lang w:eastAsia="hu-HU"/>
        </w:rPr>
      </w:pPr>
    </w:p>
    <w:p w14:paraId="7B768A93" w14:textId="77777777" w:rsidR="00B155FE" w:rsidRPr="00377D59" w:rsidRDefault="3782F5BA" w:rsidP="3782F5BA">
      <w:pPr>
        <w:spacing w:after="120" w:line="240" w:lineRule="auto"/>
        <w:jc w:val="center"/>
        <w:rPr>
          <w:rFonts w:ascii="Times New Roman" w:eastAsia="Times New Roman" w:hAnsi="Times New Roman" w:cs="Times New Roman"/>
          <w:b/>
          <w:bCs/>
          <w:sz w:val="26"/>
          <w:szCs w:val="26"/>
          <w:lang w:eastAsia="hu-HU"/>
        </w:rPr>
      </w:pPr>
      <w:r w:rsidRPr="3782F5BA">
        <w:rPr>
          <w:rFonts w:ascii="Times New Roman" w:eastAsia="Times New Roman" w:hAnsi="Times New Roman" w:cs="Times New Roman"/>
          <w:b/>
          <w:bCs/>
          <w:sz w:val="26"/>
          <w:szCs w:val="26"/>
          <w:lang w:eastAsia="hu-HU"/>
        </w:rPr>
        <w:t>I.</w:t>
      </w:r>
    </w:p>
    <w:p w14:paraId="7B768A94" w14:textId="77777777" w:rsidR="00B155FE" w:rsidRPr="00377D59" w:rsidRDefault="3782F5BA" w:rsidP="3782F5BA">
      <w:pPr>
        <w:keepNext/>
        <w:spacing w:after="120" w:line="240" w:lineRule="auto"/>
        <w:jc w:val="center"/>
        <w:outlineLvl w:val="1"/>
        <w:rPr>
          <w:rFonts w:ascii="Times New Roman" w:eastAsia="Times New Roman" w:hAnsi="Times New Roman" w:cs="Times New Roman"/>
          <w:b/>
          <w:bCs/>
          <w:caps/>
          <w:sz w:val="26"/>
          <w:szCs w:val="26"/>
          <w:lang w:eastAsia="hu-HU"/>
        </w:rPr>
      </w:pPr>
      <w:r w:rsidRPr="3782F5BA">
        <w:rPr>
          <w:rFonts w:ascii="Times New Roman" w:eastAsia="Times New Roman" w:hAnsi="Times New Roman" w:cs="Times New Roman"/>
          <w:b/>
          <w:bCs/>
          <w:caps/>
          <w:sz w:val="26"/>
          <w:szCs w:val="26"/>
          <w:lang w:eastAsia="hu-HU"/>
        </w:rPr>
        <w:t xml:space="preserve">A központi alrendszer pénzügyi folyamatainak </w:t>
      </w:r>
      <w:r w:rsidR="3569ECBC">
        <w:br/>
      </w:r>
      <w:r w:rsidRPr="3782F5BA">
        <w:rPr>
          <w:rFonts w:ascii="Times New Roman" w:eastAsia="Times New Roman" w:hAnsi="Times New Roman" w:cs="Times New Roman"/>
          <w:b/>
          <w:bCs/>
          <w:caps/>
          <w:sz w:val="26"/>
          <w:szCs w:val="26"/>
          <w:lang w:eastAsia="hu-HU"/>
        </w:rPr>
        <w:t>alakulása</w:t>
      </w:r>
    </w:p>
    <w:p w14:paraId="6D461365" w14:textId="08DC9FC2" w:rsidR="0004032B" w:rsidRPr="00377D59" w:rsidRDefault="3782F5BA" w:rsidP="3782F5BA">
      <w:pPr>
        <w:keepNext/>
        <w:numPr>
          <w:ilvl w:val="0"/>
          <w:numId w:val="3"/>
        </w:numPr>
        <w:spacing w:after="120" w:line="240" w:lineRule="auto"/>
        <w:jc w:val="both"/>
        <w:outlineLvl w:val="2"/>
        <w:rPr>
          <w:rFonts w:ascii="Times New Roman" w:eastAsia="Times New Roman" w:hAnsi="Times New Roman" w:cs="Times New Roman"/>
          <w:b/>
          <w:bCs/>
          <w:smallCaps/>
          <w:sz w:val="28"/>
          <w:szCs w:val="28"/>
          <w:lang w:eastAsia="hu-HU"/>
        </w:rPr>
      </w:pPr>
      <w:r w:rsidRPr="3782F5BA">
        <w:rPr>
          <w:rFonts w:ascii="Times New Roman" w:eastAsia="Times New Roman" w:hAnsi="Times New Roman" w:cs="Times New Roman"/>
          <w:b/>
          <w:bCs/>
          <w:smallCaps/>
          <w:sz w:val="28"/>
          <w:szCs w:val="28"/>
          <w:lang w:eastAsia="hu-HU"/>
        </w:rPr>
        <w:t>A főbb bevételek</w:t>
      </w:r>
    </w:p>
    <w:p w14:paraId="12E99013" w14:textId="47D8FD14" w:rsidR="0004032B" w:rsidRDefault="3782F5BA" w:rsidP="3782F5BA">
      <w:pPr>
        <w:jc w:val="both"/>
        <w:rPr>
          <w:rFonts w:ascii="Times New Roman" w:eastAsia="Times New Roman" w:hAnsi="Times New Roman" w:cs="Times New Roman"/>
          <w:b/>
          <w:bCs/>
          <w:sz w:val="26"/>
          <w:szCs w:val="26"/>
        </w:rPr>
      </w:pPr>
      <w:r w:rsidRPr="3782F5BA">
        <w:rPr>
          <w:rFonts w:ascii="Times New Roman" w:eastAsia="Times New Roman" w:hAnsi="Times New Roman" w:cs="Times New Roman"/>
          <w:b/>
          <w:bCs/>
          <w:sz w:val="26"/>
          <w:szCs w:val="26"/>
        </w:rPr>
        <w:t xml:space="preserve">A </w:t>
      </w:r>
      <w:r w:rsidR="001B416B" w:rsidRPr="001B416B">
        <w:rPr>
          <w:rFonts w:ascii="Times New Roman" w:eastAsia="Times New Roman" w:hAnsi="Times New Roman" w:cs="Times New Roman"/>
          <w:b/>
          <w:bCs/>
          <w:sz w:val="26"/>
          <w:szCs w:val="26"/>
        </w:rPr>
        <w:t>központi alrendszer február végi 6</w:t>
      </w:r>
      <w:r w:rsidR="001B416B">
        <w:rPr>
          <w:rFonts w:ascii="Times New Roman" w:eastAsia="Times New Roman" w:hAnsi="Times New Roman" w:cs="Times New Roman"/>
          <w:b/>
          <w:bCs/>
          <w:sz w:val="26"/>
          <w:szCs w:val="26"/>
        </w:rPr>
        <w:t> </w:t>
      </w:r>
      <w:r w:rsidR="001B416B" w:rsidRPr="001B416B">
        <w:rPr>
          <w:rFonts w:ascii="Times New Roman" w:eastAsia="Times New Roman" w:hAnsi="Times New Roman" w:cs="Times New Roman"/>
          <w:b/>
          <w:bCs/>
          <w:sz w:val="26"/>
          <w:szCs w:val="26"/>
        </w:rPr>
        <w:t>314,8 milliárd forint összegű bevételei az előző év azonos időszakához képest 339,9 milliárd forinttal, 5,7%-kal magasabb összegben alakultak</w:t>
      </w:r>
      <w:r w:rsidRPr="3782F5BA">
        <w:rPr>
          <w:rFonts w:ascii="Times New Roman" w:eastAsia="Times New Roman" w:hAnsi="Times New Roman" w:cs="Times New Roman"/>
          <w:b/>
          <w:bCs/>
          <w:sz w:val="26"/>
          <w:szCs w:val="26"/>
        </w:rPr>
        <w:t>.</w:t>
      </w:r>
    </w:p>
    <w:p w14:paraId="6BBE59DE" w14:textId="5ED7B6E0" w:rsidR="00CF551C" w:rsidRDefault="001B416B" w:rsidP="00C11940">
      <w:pPr>
        <w:pStyle w:val="NormlWeb"/>
        <w:spacing w:before="0" w:beforeAutospacing="0" w:after="120" w:afterAutospacing="0"/>
        <w:jc w:val="center"/>
      </w:pPr>
      <w:r>
        <w:rPr>
          <w:noProof/>
        </w:rPr>
        <w:drawing>
          <wp:inline distT="0" distB="0" distL="0" distR="0" wp14:anchorId="148F9C40" wp14:editId="27AE2554">
            <wp:extent cx="5940425" cy="2426970"/>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2426970"/>
                    </a:xfrm>
                    <a:prstGeom prst="rect">
                      <a:avLst/>
                    </a:prstGeom>
                  </pic:spPr>
                </pic:pic>
              </a:graphicData>
            </a:graphic>
          </wp:inline>
        </w:drawing>
      </w:r>
    </w:p>
    <w:p w14:paraId="69DD51CA" w14:textId="77777777" w:rsidR="00991169" w:rsidRPr="00991169" w:rsidRDefault="3782F5BA" w:rsidP="00EC00A2">
      <w:pPr>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b/>
          <w:bCs/>
          <w:sz w:val="26"/>
          <w:szCs w:val="26"/>
          <w:lang w:eastAsia="hu-HU"/>
        </w:rPr>
        <w:t xml:space="preserve">Társasági adó </w:t>
      </w:r>
      <w:r w:rsidRPr="3782F5BA">
        <w:rPr>
          <w:rFonts w:ascii="Times New Roman" w:eastAsia="Times New Roman" w:hAnsi="Times New Roman" w:cs="Times New Roman"/>
          <w:sz w:val="26"/>
          <w:szCs w:val="26"/>
          <w:lang w:eastAsia="hu-HU"/>
        </w:rPr>
        <w:t>jogcímen a 2025. év első két hónapjában 149,2 milliárd forint realizálódott, amely az előző év egyenlegét 8,3 milliárd forinttal haladta meg. A bázisévhez viszonyítva az eltérést az előlegek előző évinél magasabb szintje magyarázza.</w:t>
      </w:r>
    </w:p>
    <w:p w14:paraId="6A979FA0" w14:textId="77777777" w:rsidR="00991169" w:rsidRPr="00991169" w:rsidRDefault="73C5D9BC" w:rsidP="00EC00A2">
      <w:pPr>
        <w:jc w:val="both"/>
        <w:rPr>
          <w:rFonts w:ascii="Times New Roman" w:eastAsia="Times New Roman" w:hAnsi="Times New Roman" w:cs="Times New Roman"/>
          <w:sz w:val="26"/>
          <w:szCs w:val="26"/>
          <w:lang w:eastAsia="hu-HU"/>
        </w:rPr>
      </w:pPr>
      <w:r w:rsidRPr="73C5D9BC">
        <w:rPr>
          <w:rFonts w:ascii="Times New Roman" w:eastAsia="Times New Roman" w:hAnsi="Times New Roman" w:cs="Times New Roman"/>
          <w:sz w:val="26"/>
          <w:szCs w:val="26"/>
          <w:lang w:eastAsia="hu-HU"/>
        </w:rPr>
        <w:t>A</w:t>
      </w:r>
      <w:r w:rsidRPr="73C5D9BC">
        <w:rPr>
          <w:rFonts w:ascii="Times New Roman" w:eastAsia="Times New Roman" w:hAnsi="Times New Roman" w:cs="Times New Roman"/>
          <w:b/>
          <w:bCs/>
          <w:sz w:val="26"/>
          <w:szCs w:val="26"/>
          <w:lang w:eastAsia="hu-HU"/>
        </w:rPr>
        <w:t xml:space="preserve"> pénzügyi szervezetek befizetései</w:t>
      </w:r>
      <w:r w:rsidRPr="73C5D9BC">
        <w:rPr>
          <w:rFonts w:ascii="Times New Roman" w:eastAsia="Times New Roman" w:hAnsi="Times New Roman" w:cs="Times New Roman"/>
          <w:sz w:val="26"/>
          <w:szCs w:val="26"/>
          <w:lang w:eastAsia="hu-HU"/>
        </w:rPr>
        <w:t xml:space="preserve"> mérlegsoron a 2025. év első két hónapjában 2,5 milliárd forint teljesült, amely az előző év egyenlegét 0,4 milliárd forinttal haladja meg. Ennek oka a pénzügyi szervezetek különadójának alacsonyabb elszámolásokhoz és önellenőrzésekhez köthető pénzforgalmi kiutalása.</w:t>
      </w:r>
    </w:p>
    <w:p w14:paraId="55D3B6E2" w14:textId="77777777" w:rsidR="00991169" w:rsidRPr="00991169" w:rsidRDefault="3782F5BA" w:rsidP="00EC00A2">
      <w:pPr>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sz w:val="26"/>
          <w:szCs w:val="26"/>
          <w:lang w:eastAsia="hu-HU"/>
        </w:rPr>
        <w:t>A</w:t>
      </w:r>
      <w:r w:rsidRPr="3782F5BA">
        <w:rPr>
          <w:rFonts w:ascii="Times New Roman" w:eastAsia="Times New Roman" w:hAnsi="Times New Roman" w:cs="Times New Roman"/>
          <w:b/>
          <w:bCs/>
          <w:sz w:val="26"/>
          <w:szCs w:val="26"/>
          <w:lang w:eastAsia="hu-HU"/>
        </w:rPr>
        <w:t xml:space="preserve"> kisadózók tételes adójából</w:t>
      </w:r>
      <w:r w:rsidRPr="3782F5BA">
        <w:rPr>
          <w:rFonts w:ascii="Times New Roman" w:eastAsia="Times New Roman" w:hAnsi="Times New Roman" w:cs="Times New Roman"/>
          <w:sz w:val="26"/>
          <w:szCs w:val="26"/>
          <w:lang w:eastAsia="hu-HU"/>
        </w:rPr>
        <w:t xml:space="preserve"> 2025 első két hónapjában a költségvetésnek 11,6 milliárd forint bevétele keletkezett, amely 0,3 milliárd forinttal több az egy évvel korábbinál. Ennek oka az adónemet választók magasabb létszáma.</w:t>
      </w:r>
    </w:p>
    <w:p w14:paraId="361BDC4F" w14:textId="620357DA" w:rsidR="00991169" w:rsidRPr="00991169" w:rsidRDefault="3782F5BA" w:rsidP="00EC00A2">
      <w:pPr>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sz w:val="26"/>
          <w:szCs w:val="26"/>
          <w:lang w:eastAsia="hu-HU"/>
        </w:rPr>
        <w:t>A</w:t>
      </w:r>
      <w:r w:rsidRPr="3782F5BA">
        <w:rPr>
          <w:rFonts w:ascii="Times New Roman" w:eastAsia="Times New Roman" w:hAnsi="Times New Roman" w:cs="Times New Roman"/>
          <w:b/>
          <w:bCs/>
          <w:sz w:val="26"/>
          <w:szCs w:val="26"/>
          <w:lang w:eastAsia="hu-HU"/>
        </w:rPr>
        <w:t xml:space="preserve"> kisvállalati adóból</w:t>
      </w:r>
      <w:r w:rsidRPr="3782F5BA">
        <w:rPr>
          <w:rFonts w:ascii="Times New Roman" w:eastAsia="Times New Roman" w:hAnsi="Times New Roman" w:cs="Times New Roman"/>
          <w:sz w:val="26"/>
          <w:szCs w:val="26"/>
          <w:lang w:eastAsia="hu-HU"/>
        </w:rPr>
        <w:t xml:space="preserve"> származó bevétel a 2025. év első két hónapjában 42,2 milliárd forint volt, amely 3,9 milliárd forinttal magasabb az előző év egyenlegénél. Ennek oka az adóalanyok számán</w:t>
      </w:r>
      <w:r w:rsidR="00917632">
        <w:rPr>
          <w:rFonts w:ascii="Times New Roman" w:eastAsia="Times New Roman" w:hAnsi="Times New Roman" w:cs="Times New Roman"/>
          <w:sz w:val="26"/>
          <w:szCs w:val="26"/>
          <w:lang w:eastAsia="hu-HU"/>
        </w:rPr>
        <w:t>ak jelentős mértékű bővülése. 2025 februárjá</w:t>
      </w:r>
      <w:r w:rsidRPr="3782F5BA">
        <w:rPr>
          <w:rFonts w:ascii="Times New Roman" w:eastAsia="Times New Roman" w:hAnsi="Times New Roman" w:cs="Times New Roman"/>
          <w:sz w:val="26"/>
          <w:szCs w:val="26"/>
          <w:lang w:eastAsia="hu-HU"/>
        </w:rPr>
        <w:t>ban a KIVA alanyok száma meghaladta a 98,8 ezret.</w:t>
      </w:r>
    </w:p>
    <w:p w14:paraId="05A0FCFD" w14:textId="27096967" w:rsidR="00640595" w:rsidRDefault="73C5D9BC" w:rsidP="00EC00A2">
      <w:pPr>
        <w:jc w:val="both"/>
        <w:rPr>
          <w:rFonts w:ascii="Times New Roman" w:eastAsia="Times New Roman" w:hAnsi="Times New Roman" w:cs="Times New Roman"/>
          <w:sz w:val="26"/>
          <w:szCs w:val="26"/>
        </w:rPr>
      </w:pPr>
      <w:r w:rsidRPr="73C5D9BC">
        <w:rPr>
          <w:rFonts w:ascii="Times New Roman" w:eastAsia="Times New Roman" w:hAnsi="Times New Roman" w:cs="Times New Roman"/>
          <w:sz w:val="26"/>
          <w:szCs w:val="26"/>
        </w:rPr>
        <w:t xml:space="preserve">A </w:t>
      </w:r>
      <w:r w:rsidRPr="73C5D9BC">
        <w:rPr>
          <w:rFonts w:ascii="Times New Roman" w:eastAsia="Times New Roman" w:hAnsi="Times New Roman" w:cs="Times New Roman"/>
          <w:b/>
          <w:bCs/>
          <w:sz w:val="26"/>
          <w:szCs w:val="26"/>
        </w:rPr>
        <w:t>bányajáradék-bevétel</w:t>
      </w:r>
      <w:r w:rsidR="00B70AB8">
        <w:rPr>
          <w:rFonts w:ascii="Times New Roman" w:eastAsia="Times New Roman" w:hAnsi="Times New Roman" w:cs="Times New Roman"/>
          <w:sz w:val="26"/>
          <w:szCs w:val="26"/>
        </w:rPr>
        <w:t xml:space="preserve"> 2025 első két</w:t>
      </w:r>
      <w:r w:rsidRPr="73C5D9BC">
        <w:rPr>
          <w:rFonts w:ascii="Times New Roman" w:eastAsia="Times New Roman" w:hAnsi="Times New Roman" w:cs="Times New Roman"/>
          <w:sz w:val="26"/>
          <w:szCs w:val="26"/>
        </w:rPr>
        <w:t xml:space="preserve"> hónapjában 23,1 milliárd forint volt, amely 5,6 milliárd forinttal teljesült magasabban az előző év azonos időszakához képest, amelynek fő oka a bányajáradék számításához szükséges makroparaméterek (olajár, gázár, árfolyamok) változása.</w:t>
      </w:r>
    </w:p>
    <w:p w14:paraId="5322C39E" w14:textId="128E7B2B" w:rsidR="72AFD5C4" w:rsidRPr="00377D59" w:rsidRDefault="3782F5BA" w:rsidP="00EC00A2">
      <w:pPr>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lastRenderedPageBreak/>
        <w:t xml:space="preserve">Az </w:t>
      </w:r>
      <w:r w:rsidRPr="3782F5BA">
        <w:rPr>
          <w:rFonts w:ascii="Times New Roman" w:eastAsia="Times New Roman" w:hAnsi="Times New Roman" w:cs="Times New Roman"/>
          <w:b/>
          <w:bCs/>
          <w:sz w:val="26"/>
          <w:szCs w:val="26"/>
        </w:rPr>
        <w:t>útdíjakból származó bevétel</w:t>
      </w:r>
      <w:r w:rsidRPr="3782F5BA">
        <w:rPr>
          <w:rFonts w:ascii="Times New Roman" w:eastAsia="Times New Roman" w:hAnsi="Times New Roman" w:cs="Times New Roman"/>
          <w:sz w:val="26"/>
          <w:szCs w:val="26"/>
        </w:rPr>
        <w:t xml:space="preserve"> 2024-től külön mérlegsoron jelenik meg, mely az elektronikus útdíj rendszer és az időalapú útdíj rendszer bevételeinek együttes összegét tartalmazza. Az útdíjakból 2025 februárjáig 111,6 milliárd forint bevétel teljesült, amely 12,9</w:t>
      </w:r>
      <w:r w:rsidR="00917632">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forinttal magasabb az előző év azonos időszakához viszonyítva. A magasabb teljesülést alapvetően a forgalmi adatok, valamint a díjrendszereket érintő jogszabályi keretek változása okozza.</w:t>
      </w:r>
    </w:p>
    <w:p w14:paraId="685BE235" w14:textId="77D36DFD" w:rsidR="008A66DB" w:rsidRDefault="73C5D9BC" w:rsidP="00EC00A2">
      <w:pPr>
        <w:jc w:val="both"/>
        <w:rPr>
          <w:rFonts w:ascii="Times New Roman" w:eastAsia="Times New Roman" w:hAnsi="Times New Roman" w:cs="Times New Roman"/>
          <w:sz w:val="26"/>
          <w:szCs w:val="26"/>
        </w:rPr>
      </w:pPr>
      <w:r w:rsidRPr="73C5D9BC">
        <w:rPr>
          <w:rFonts w:ascii="Times New Roman" w:eastAsia="Times New Roman" w:hAnsi="Times New Roman" w:cs="Times New Roman"/>
          <w:b/>
          <w:bCs/>
          <w:sz w:val="26"/>
          <w:szCs w:val="26"/>
        </w:rPr>
        <w:t xml:space="preserve">Egyéb központosított bevételekből </w:t>
      </w:r>
      <w:r w:rsidRPr="73C5D9BC">
        <w:rPr>
          <w:rFonts w:ascii="Times New Roman" w:eastAsia="Times New Roman" w:hAnsi="Times New Roman" w:cs="Times New Roman"/>
          <w:sz w:val="26"/>
          <w:szCs w:val="26"/>
        </w:rPr>
        <w:t xml:space="preserve">az év első két hónapjában 22,7 milliárd forint bevétel </w:t>
      </w:r>
      <w:r w:rsidRPr="00A62991">
        <w:rPr>
          <w:rFonts w:ascii="Times New Roman" w:eastAsia="Times New Roman" w:hAnsi="Times New Roman" w:cs="Times New Roman"/>
          <w:sz w:val="26"/>
          <w:szCs w:val="26"/>
        </w:rPr>
        <w:t>teljesült, amely a törvényi előirányzat 12,5%-ának felel meg. Ezen belül kiemelkedő a bírságbevételekből befolyt 11,6 milliárd forint.</w:t>
      </w:r>
    </w:p>
    <w:p w14:paraId="55D6481D" w14:textId="1AAF992C" w:rsidR="00991169" w:rsidRPr="00991169" w:rsidRDefault="73C5D9BC" w:rsidP="00EC00A2">
      <w:pPr>
        <w:jc w:val="both"/>
        <w:rPr>
          <w:rFonts w:ascii="Times New Roman" w:eastAsia="Times New Roman" w:hAnsi="Times New Roman" w:cs="Times New Roman"/>
          <w:b/>
          <w:bCs/>
          <w:sz w:val="26"/>
          <w:szCs w:val="26"/>
          <w:highlight w:val="yellow"/>
          <w:lang w:eastAsia="hu-HU"/>
        </w:rPr>
      </w:pPr>
      <w:r w:rsidRPr="73C5D9BC">
        <w:rPr>
          <w:rFonts w:ascii="Times New Roman" w:eastAsia="Times New Roman" w:hAnsi="Times New Roman" w:cs="Times New Roman"/>
          <w:sz w:val="26"/>
          <w:szCs w:val="26"/>
          <w:lang w:eastAsia="hu-HU"/>
        </w:rPr>
        <w:t>Az</w:t>
      </w:r>
      <w:r w:rsidRPr="73C5D9BC">
        <w:rPr>
          <w:rFonts w:ascii="Times New Roman" w:eastAsia="Times New Roman" w:hAnsi="Times New Roman" w:cs="Times New Roman"/>
          <w:b/>
          <w:bCs/>
          <w:sz w:val="26"/>
          <w:szCs w:val="26"/>
          <w:lang w:eastAsia="hu-HU"/>
        </w:rPr>
        <w:t xml:space="preserve"> energia ágazat befizetései </w:t>
      </w:r>
      <w:r w:rsidRPr="73C5D9BC">
        <w:rPr>
          <w:rFonts w:ascii="Times New Roman" w:eastAsia="Times New Roman" w:hAnsi="Times New Roman" w:cs="Times New Roman"/>
          <w:sz w:val="26"/>
          <w:szCs w:val="26"/>
          <w:lang w:eastAsia="hu-HU"/>
        </w:rPr>
        <w:t xml:space="preserve">jogcímen </w:t>
      </w:r>
      <w:r w:rsidR="00B70AB8">
        <w:rPr>
          <w:rFonts w:ascii="Times New Roman" w:eastAsia="Times New Roman" w:hAnsi="Times New Roman" w:cs="Times New Roman"/>
          <w:sz w:val="26"/>
          <w:szCs w:val="26"/>
          <w:lang w:eastAsia="hu-HU"/>
        </w:rPr>
        <w:t xml:space="preserve">a </w:t>
      </w:r>
      <w:r w:rsidRPr="73C5D9BC">
        <w:rPr>
          <w:rFonts w:ascii="Times New Roman" w:eastAsia="Times New Roman" w:hAnsi="Times New Roman" w:cs="Times New Roman"/>
          <w:sz w:val="26"/>
          <w:szCs w:val="26"/>
          <w:lang w:eastAsia="hu-HU"/>
        </w:rPr>
        <w:t xml:space="preserve">2025. év első két hónapjában 30,9 milliárd forint pénzforgalom teljesült, amely az előző év </w:t>
      </w:r>
      <w:r w:rsidR="00B70AB8">
        <w:rPr>
          <w:rFonts w:ascii="Times New Roman" w:eastAsia="Times New Roman" w:hAnsi="Times New Roman" w:cs="Times New Roman"/>
          <w:sz w:val="26"/>
          <w:szCs w:val="26"/>
          <w:lang w:eastAsia="hu-HU"/>
        </w:rPr>
        <w:t xml:space="preserve">azonos időszakának </w:t>
      </w:r>
      <w:r w:rsidRPr="73C5D9BC">
        <w:rPr>
          <w:rFonts w:ascii="Times New Roman" w:eastAsia="Times New Roman" w:hAnsi="Times New Roman" w:cs="Times New Roman"/>
          <w:sz w:val="26"/>
          <w:szCs w:val="26"/>
          <w:lang w:eastAsia="hu-HU"/>
        </w:rPr>
        <w:t>egyenlegét 3,7 mi</w:t>
      </w:r>
      <w:r w:rsidR="005A1E0F">
        <w:rPr>
          <w:rFonts w:ascii="Times New Roman" w:eastAsia="Times New Roman" w:hAnsi="Times New Roman" w:cs="Times New Roman"/>
          <w:sz w:val="26"/>
          <w:szCs w:val="26"/>
          <w:lang w:eastAsia="hu-HU"/>
        </w:rPr>
        <w:t>lliárd forinttal haladta meg. A </w:t>
      </w:r>
      <w:r w:rsidRPr="73C5D9BC">
        <w:rPr>
          <w:rFonts w:ascii="Times New Roman" w:eastAsia="Times New Roman" w:hAnsi="Times New Roman" w:cs="Times New Roman"/>
          <w:sz w:val="26"/>
          <w:szCs w:val="26"/>
          <w:lang w:eastAsia="hu-HU"/>
        </w:rPr>
        <w:t>többletbevétel forrása az Ural-Brent spread különad</w:t>
      </w:r>
      <w:r w:rsidR="005A1E0F">
        <w:rPr>
          <w:rFonts w:ascii="Times New Roman" w:eastAsia="Times New Roman" w:hAnsi="Times New Roman" w:cs="Times New Roman"/>
          <w:sz w:val="26"/>
          <w:szCs w:val="26"/>
          <w:lang w:eastAsia="hu-HU"/>
        </w:rPr>
        <w:t>ó nagyobb mértékű teljesülése a </w:t>
      </w:r>
      <w:r w:rsidRPr="73C5D9BC">
        <w:rPr>
          <w:rFonts w:ascii="Times New Roman" w:eastAsia="Times New Roman" w:hAnsi="Times New Roman" w:cs="Times New Roman"/>
          <w:sz w:val="26"/>
          <w:szCs w:val="26"/>
          <w:lang w:eastAsia="hu-HU"/>
        </w:rPr>
        <w:t>tavalyi évhez képest.</w:t>
      </w:r>
    </w:p>
    <w:p w14:paraId="18996F22" w14:textId="77777777" w:rsidR="00991169" w:rsidRPr="00991169" w:rsidRDefault="3782F5BA" w:rsidP="00EC00A2">
      <w:pPr>
        <w:jc w:val="both"/>
        <w:rPr>
          <w:rFonts w:ascii="Times New Roman" w:eastAsia="Times New Roman" w:hAnsi="Times New Roman" w:cs="Times New Roman"/>
          <w:sz w:val="26"/>
          <w:szCs w:val="26"/>
          <w:highlight w:val="yellow"/>
          <w:lang w:eastAsia="hu-HU"/>
        </w:rPr>
      </w:pPr>
      <w:r w:rsidRPr="3782F5BA">
        <w:rPr>
          <w:rFonts w:ascii="Times New Roman" w:eastAsia="Times New Roman" w:hAnsi="Times New Roman" w:cs="Times New Roman"/>
          <w:b/>
          <w:bCs/>
          <w:sz w:val="26"/>
          <w:szCs w:val="26"/>
          <w:lang w:eastAsia="hu-HU"/>
        </w:rPr>
        <w:t xml:space="preserve">Kiskereskedelmi adó </w:t>
      </w:r>
      <w:r w:rsidRPr="3782F5BA">
        <w:rPr>
          <w:rFonts w:ascii="Times New Roman" w:eastAsia="Times New Roman" w:hAnsi="Times New Roman" w:cs="Times New Roman"/>
          <w:sz w:val="26"/>
          <w:szCs w:val="26"/>
          <w:lang w:eastAsia="hu-HU"/>
        </w:rPr>
        <w:t>jogcímen a 2025. év első két hónapjában 3,5 milliárd forint bevétel teljesült, amely a 2024. évi egyenlegénél 3,1 milliárd forinttal kevesebb. A bevételek alakulásának hátterében az előlegfizetések, valamint az elszámolásokhoz és önellenőrzésekhez köthető befizetések állnak.</w:t>
      </w:r>
    </w:p>
    <w:p w14:paraId="514922B9" w14:textId="1FC43866" w:rsidR="00991169" w:rsidRPr="00991169" w:rsidRDefault="3782F5BA" w:rsidP="00EC00A2">
      <w:pPr>
        <w:jc w:val="both"/>
        <w:rPr>
          <w:rFonts w:ascii="Times New Roman" w:eastAsia="Times New Roman" w:hAnsi="Times New Roman" w:cs="Times New Roman"/>
          <w:b/>
          <w:bCs/>
          <w:sz w:val="26"/>
          <w:szCs w:val="26"/>
          <w:highlight w:val="yellow"/>
          <w:lang w:eastAsia="hu-HU"/>
        </w:rPr>
      </w:pPr>
      <w:r w:rsidRPr="3782F5BA">
        <w:rPr>
          <w:rFonts w:ascii="Times New Roman" w:eastAsia="Times New Roman" w:hAnsi="Times New Roman" w:cs="Times New Roman"/>
          <w:b/>
          <w:bCs/>
          <w:sz w:val="26"/>
          <w:szCs w:val="26"/>
          <w:lang w:eastAsia="hu-HU"/>
        </w:rPr>
        <w:t xml:space="preserve">Gyógyszergyártói adó </w:t>
      </w:r>
      <w:r w:rsidRPr="3782F5BA">
        <w:rPr>
          <w:rFonts w:ascii="Times New Roman" w:eastAsia="Times New Roman" w:hAnsi="Times New Roman" w:cs="Times New Roman"/>
          <w:sz w:val="26"/>
          <w:szCs w:val="26"/>
          <w:lang w:eastAsia="hu-HU"/>
        </w:rPr>
        <w:t xml:space="preserve">jogcímen </w:t>
      </w:r>
      <w:r w:rsidR="00B70AB8">
        <w:rPr>
          <w:rFonts w:ascii="Times New Roman" w:eastAsia="Times New Roman" w:hAnsi="Times New Roman" w:cs="Times New Roman"/>
          <w:sz w:val="26"/>
          <w:szCs w:val="26"/>
          <w:lang w:eastAsia="hu-HU"/>
        </w:rPr>
        <w:t xml:space="preserve">a </w:t>
      </w:r>
      <w:r w:rsidRPr="3782F5BA">
        <w:rPr>
          <w:rFonts w:ascii="Times New Roman" w:eastAsia="Times New Roman" w:hAnsi="Times New Roman" w:cs="Times New Roman"/>
          <w:sz w:val="26"/>
          <w:szCs w:val="26"/>
          <w:lang w:eastAsia="hu-HU"/>
        </w:rPr>
        <w:t xml:space="preserve">2025. év első két hónapjában 0,4 milliárd forint pénzforgalom teljesült, amely 10,1 milliárd forinttal alacsonyabb az előző év azonos időszakához képest. Ennek oka, hogy az eltérő üzleti éves adózó már az előző évben megfizette a 2024. évi adókötelezettségét. Az adónem </w:t>
      </w:r>
      <w:r w:rsidR="002E589F">
        <w:rPr>
          <w:rFonts w:ascii="Times New Roman" w:eastAsia="Times New Roman" w:hAnsi="Times New Roman" w:cs="Times New Roman"/>
          <w:sz w:val="26"/>
          <w:szCs w:val="26"/>
          <w:lang w:eastAsia="hu-HU"/>
        </w:rPr>
        <w:t xml:space="preserve">a </w:t>
      </w:r>
      <w:r w:rsidRPr="3782F5BA">
        <w:rPr>
          <w:rFonts w:ascii="Times New Roman" w:eastAsia="Times New Roman" w:hAnsi="Times New Roman" w:cs="Times New Roman"/>
          <w:sz w:val="26"/>
          <w:szCs w:val="26"/>
          <w:lang w:eastAsia="hu-HU"/>
        </w:rPr>
        <w:t>2025. évben megszűnt.</w:t>
      </w:r>
    </w:p>
    <w:p w14:paraId="7DC5F5F6" w14:textId="77777777" w:rsidR="00991169" w:rsidRPr="00991169" w:rsidRDefault="3782F5BA" w:rsidP="00EC00A2">
      <w:pPr>
        <w:widowControl w:val="0"/>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sz w:val="26"/>
          <w:szCs w:val="26"/>
          <w:lang w:eastAsia="hu-HU"/>
        </w:rPr>
        <w:t xml:space="preserve">A </w:t>
      </w:r>
      <w:r w:rsidRPr="3782F5BA">
        <w:rPr>
          <w:rFonts w:ascii="Times New Roman" w:eastAsia="Times New Roman" w:hAnsi="Times New Roman" w:cs="Times New Roman"/>
          <w:b/>
          <w:bCs/>
          <w:sz w:val="26"/>
          <w:szCs w:val="26"/>
          <w:lang w:eastAsia="hu-HU"/>
        </w:rPr>
        <w:t xml:space="preserve">rehabilitációs hozzájárulásból </w:t>
      </w:r>
      <w:r w:rsidRPr="3782F5BA">
        <w:rPr>
          <w:rFonts w:ascii="Times New Roman" w:eastAsia="Times New Roman" w:hAnsi="Times New Roman" w:cs="Times New Roman"/>
          <w:sz w:val="26"/>
          <w:szCs w:val="26"/>
          <w:lang w:eastAsia="hu-HU"/>
        </w:rPr>
        <w:t>származó bevétel 2025 első két hónapjában 42,4 milliárd forint volt, amely 6,2 milliárd forinttal magasabb az egy évvel korábbi összegnél. Ennek oka a minimálbérnek, így az adó mértékének az emelkedése.</w:t>
      </w:r>
    </w:p>
    <w:p w14:paraId="30C8DA59" w14:textId="1981AE82" w:rsidR="00F40920" w:rsidRDefault="3782F5BA" w:rsidP="00EC00A2">
      <w:pPr>
        <w:widowControl w:val="0"/>
        <w:tabs>
          <w:tab w:val="left" w:pos="3105"/>
        </w:tabs>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sz w:val="26"/>
          <w:szCs w:val="26"/>
          <w:lang w:eastAsia="hu-HU"/>
        </w:rPr>
        <w:t xml:space="preserve">Az év első két hónapjában az </w:t>
      </w:r>
      <w:r w:rsidRPr="3782F5BA">
        <w:rPr>
          <w:rFonts w:ascii="Times New Roman" w:eastAsia="Times New Roman" w:hAnsi="Times New Roman" w:cs="Times New Roman"/>
          <w:b/>
          <w:bCs/>
          <w:sz w:val="26"/>
          <w:szCs w:val="26"/>
          <w:lang w:eastAsia="hu-HU"/>
        </w:rPr>
        <w:t>általános forgalmi adóból</w:t>
      </w:r>
      <w:r w:rsidRPr="3782F5BA">
        <w:rPr>
          <w:rFonts w:ascii="Times New Roman" w:eastAsia="Times New Roman" w:hAnsi="Times New Roman" w:cs="Times New Roman"/>
          <w:sz w:val="26"/>
          <w:szCs w:val="26"/>
          <w:lang w:eastAsia="hu-HU"/>
        </w:rPr>
        <w:t xml:space="preserve"> 1 247,8</w:t>
      </w:r>
      <w:r w:rsidRPr="3782F5BA">
        <w:rPr>
          <w:rFonts w:ascii="Times New Roman" w:eastAsia="Times New Roman" w:hAnsi="Times New Roman" w:cs="Times New Roman"/>
          <w:color w:val="000000" w:themeColor="text1"/>
          <w:sz w:val="26"/>
          <w:szCs w:val="26"/>
          <w:lang w:eastAsia="hu-HU"/>
        </w:rPr>
        <w:t> </w:t>
      </w:r>
      <w:r w:rsidRPr="3782F5BA">
        <w:rPr>
          <w:rFonts w:ascii="Times New Roman" w:eastAsia="Times New Roman" w:hAnsi="Times New Roman" w:cs="Times New Roman"/>
          <w:sz w:val="26"/>
          <w:szCs w:val="26"/>
          <w:lang w:eastAsia="hu-HU"/>
        </w:rPr>
        <w:t>milliárd forint bevétele keletkezett a költségvetésnek, ami az egy évvel korábbi bevételt 218,2</w:t>
      </w:r>
      <w:r w:rsidRPr="3782F5BA">
        <w:rPr>
          <w:rFonts w:ascii="Times New Roman" w:eastAsia="Times New Roman" w:hAnsi="Times New Roman" w:cs="Times New Roman"/>
          <w:color w:val="000000" w:themeColor="text1"/>
          <w:sz w:val="26"/>
          <w:szCs w:val="26"/>
          <w:lang w:eastAsia="hu-HU"/>
        </w:rPr>
        <w:t> </w:t>
      </w:r>
      <w:r w:rsidRPr="3782F5BA">
        <w:rPr>
          <w:rFonts w:ascii="Times New Roman" w:eastAsia="Times New Roman" w:hAnsi="Times New Roman" w:cs="Times New Roman"/>
          <w:sz w:val="26"/>
          <w:szCs w:val="26"/>
          <w:lang w:eastAsia="hu-HU"/>
        </w:rPr>
        <w:t>milliárd forinttal haladja meg.</w:t>
      </w:r>
    </w:p>
    <w:tbl>
      <w:tblPr>
        <w:tblW w:w="6905" w:type="dxa"/>
        <w:jc w:val="center"/>
        <w:tblCellMar>
          <w:left w:w="70" w:type="dxa"/>
          <w:right w:w="70" w:type="dxa"/>
        </w:tblCellMar>
        <w:tblLook w:val="04A0" w:firstRow="1" w:lastRow="0" w:firstColumn="1" w:lastColumn="0" w:noHBand="0" w:noVBand="1"/>
      </w:tblPr>
      <w:tblGrid>
        <w:gridCol w:w="1537"/>
        <w:gridCol w:w="1724"/>
        <w:gridCol w:w="1700"/>
        <w:gridCol w:w="993"/>
        <w:gridCol w:w="951"/>
      </w:tblGrid>
      <w:tr w:rsidR="00991169" w:rsidRPr="00991169" w14:paraId="401CF4AB" w14:textId="77777777" w:rsidTr="007449BF">
        <w:trPr>
          <w:trHeight w:val="255"/>
          <w:jc w:val="center"/>
        </w:trPr>
        <w:tc>
          <w:tcPr>
            <w:tcW w:w="6905" w:type="dxa"/>
            <w:gridSpan w:val="5"/>
            <w:tcBorders>
              <w:top w:val="nil"/>
              <w:left w:val="nil"/>
              <w:bottom w:val="single" w:sz="4" w:space="0" w:color="auto"/>
              <w:right w:val="nil"/>
            </w:tcBorders>
            <w:shd w:val="clear" w:color="auto" w:fill="auto"/>
            <w:noWrap/>
            <w:vAlign w:val="bottom"/>
            <w:hideMark/>
          </w:tcPr>
          <w:p w14:paraId="2A4BFC5B" w14:textId="77777777" w:rsidR="00991169" w:rsidRPr="00991169" w:rsidRDefault="3782F5BA" w:rsidP="3782F5BA">
            <w:pPr>
              <w:widowControl w:val="0"/>
              <w:spacing w:before="120" w:after="12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 xml:space="preserve">Általános forgalmi adó bevétel alakulása (milliárd forint) </w:t>
            </w:r>
          </w:p>
        </w:tc>
      </w:tr>
      <w:tr w:rsidR="00991169" w:rsidRPr="00991169" w14:paraId="37212171" w14:textId="77777777" w:rsidTr="007449BF">
        <w:trPr>
          <w:trHeight w:val="340"/>
          <w:jc w:val="center"/>
        </w:trPr>
        <w:tc>
          <w:tcPr>
            <w:tcW w:w="153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1E31425" w14:textId="77777777" w:rsidR="00991169" w:rsidRPr="00991169" w:rsidRDefault="3782F5BA" w:rsidP="3782F5BA">
            <w:pPr>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Megnevezés</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88A8FA" w14:textId="77777777" w:rsidR="00991169" w:rsidRPr="00991169" w:rsidRDefault="73C5D9BC" w:rsidP="73C5D9BC">
            <w:pPr>
              <w:spacing w:after="0" w:line="240" w:lineRule="auto"/>
              <w:jc w:val="center"/>
              <w:rPr>
                <w:rFonts w:ascii="Times New Roman" w:eastAsia="Times New Roman" w:hAnsi="Times New Roman" w:cs="Times New Roman"/>
                <w:b/>
                <w:bCs/>
                <w:lang w:eastAsia="hu-HU"/>
              </w:rPr>
            </w:pPr>
            <w:r w:rsidRPr="73C5D9BC">
              <w:rPr>
                <w:rFonts w:ascii="Times New Roman" w:eastAsia="Times New Roman" w:hAnsi="Times New Roman" w:cs="Times New Roman"/>
                <w:b/>
                <w:bCs/>
                <w:lang w:eastAsia="hu-HU"/>
              </w:rPr>
              <w:t>2024.</w:t>
            </w:r>
          </w:p>
          <w:p w14:paraId="68C78158" w14:textId="29566E3C" w:rsidR="00991169" w:rsidRPr="00991169" w:rsidRDefault="007449BF" w:rsidP="3782F5BA">
            <w:pPr>
              <w:spacing w:after="0" w:line="240" w:lineRule="auto"/>
              <w:jc w:val="center"/>
              <w:rPr>
                <w:rFonts w:ascii="Times New Roman" w:eastAsia="Times New Roman" w:hAnsi="Times New Roman" w:cs="Times New Roman"/>
                <w:b/>
                <w:bCs/>
                <w:lang w:eastAsia="hu-HU"/>
              </w:rPr>
            </w:pPr>
            <w:r>
              <w:rPr>
                <w:rFonts w:ascii="Times New Roman" w:eastAsia="Times New Roman" w:hAnsi="Times New Roman" w:cs="Times New Roman"/>
                <w:b/>
                <w:bCs/>
                <w:lang w:eastAsia="hu-HU"/>
              </w:rPr>
              <w:t>I-II. hó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B9F6FE" w14:textId="77777777" w:rsidR="00991169" w:rsidRPr="00991169" w:rsidRDefault="73C5D9BC" w:rsidP="73C5D9BC">
            <w:pPr>
              <w:spacing w:after="0" w:line="240" w:lineRule="auto"/>
              <w:jc w:val="center"/>
              <w:rPr>
                <w:rFonts w:ascii="Times New Roman" w:eastAsia="Times New Roman" w:hAnsi="Times New Roman" w:cs="Times New Roman"/>
                <w:b/>
                <w:bCs/>
                <w:lang w:eastAsia="hu-HU"/>
              </w:rPr>
            </w:pPr>
            <w:r w:rsidRPr="73C5D9BC">
              <w:rPr>
                <w:rFonts w:ascii="Times New Roman" w:eastAsia="Times New Roman" w:hAnsi="Times New Roman" w:cs="Times New Roman"/>
                <w:b/>
                <w:bCs/>
                <w:lang w:eastAsia="hu-HU"/>
              </w:rPr>
              <w:t>2025.</w:t>
            </w:r>
          </w:p>
          <w:p w14:paraId="214548F0" w14:textId="0486E99C" w:rsidR="00991169" w:rsidRPr="00991169" w:rsidRDefault="007449BF" w:rsidP="3782F5BA">
            <w:pPr>
              <w:spacing w:after="0" w:line="240" w:lineRule="auto"/>
              <w:jc w:val="center"/>
              <w:rPr>
                <w:rFonts w:ascii="Times New Roman" w:eastAsia="Times New Roman" w:hAnsi="Times New Roman" w:cs="Times New Roman"/>
                <w:b/>
                <w:bCs/>
                <w:lang w:eastAsia="hu-HU"/>
              </w:rPr>
            </w:pPr>
            <w:r>
              <w:rPr>
                <w:rFonts w:ascii="Times New Roman" w:eastAsia="Times New Roman" w:hAnsi="Times New Roman" w:cs="Times New Roman"/>
                <w:b/>
                <w:bCs/>
                <w:lang w:eastAsia="hu-HU"/>
              </w:rPr>
              <w:t>I-II. hó</w:t>
            </w:r>
          </w:p>
        </w:tc>
        <w:tc>
          <w:tcPr>
            <w:tcW w:w="194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A0BF0C8" w14:textId="77777777" w:rsidR="00991169" w:rsidRPr="00991169" w:rsidRDefault="3782F5BA" w:rsidP="3782F5BA">
            <w:pPr>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Eltérés</w:t>
            </w:r>
          </w:p>
        </w:tc>
      </w:tr>
      <w:tr w:rsidR="00991169" w:rsidRPr="00991169" w14:paraId="70887670" w14:textId="77777777" w:rsidTr="007449BF">
        <w:trPr>
          <w:trHeight w:val="340"/>
          <w:jc w:val="center"/>
        </w:trPr>
        <w:tc>
          <w:tcPr>
            <w:tcW w:w="153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D0CBE67" w14:textId="77777777" w:rsidR="00991169" w:rsidRPr="00991169" w:rsidRDefault="00991169" w:rsidP="00991169">
            <w:pPr>
              <w:spacing w:after="0" w:line="240" w:lineRule="auto"/>
              <w:jc w:val="both"/>
              <w:rPr>
                <w:rFonts w:ascii="Times New Roman" w:eastAsia="Times New Roman" w:hAnsi="Times New Roman" w:cs="Times New Roman"/>
                <w:b/>
                <w:bCs/>
                <w:szCs w:val="20"/>
                <w:lang w:eastAsia="hu-HU"/>
              </w:rPr>
            </w:pPr>
          </w:p>
        </w:tc>
        <w:tc>
          <w:tcPr>
            <w:tcW w:w="172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CF11A6F" w14:textId="77777777" w:rsidR="00991169" w:rsidRPr="00991169" w:rsidRDefault="00991169" w:rsidP="00991169">
            <w:pPr>
              <w:spacing w:after="0" w:line="240" w:lineRule="auto"/>
              <w:jc w:val="both"/>
              <w:rPr>
                <w:rFonts w:ascii="Times New Roman" w:eastAsia="Times New Roman" w:hAnsi="Times New Roman" w:cs="Times New Roman"/>
                <w:b/>
                <w:bCs/>
                <w:szCs w:val="20"/>
                <w:lang w:eastAsia="hu-HU"/>
              </w:rPr>
            </w:pPr>
          </w:p>
        </w:tc>
        <w:tc>
          <w:tcPr>
            <w:tcW w:w="170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8FE3D4" w14:textId="77777777" w:rsidR="00991169" w:rsidRPr="00991169" w:rsidRDefault="00991169" w:rsidP="00991169">
            <w:pPr>
              <w:spacing w:after="0" w:line="240" w:lineRule="auto"/>
              <w:jc w:val="both"/>
              <w:rPr>
                <w:rFonts w:ascii="Times New Roman" w:eastAsia="Times New Roman" w:hAnsi="Times New Roman" w:cs="Times New Roman"/>
                <w:b/>
                <w:bCs/>
                <w:szCs w:val="20"/>
                <w:lang w:eastAsia="hu-HU"/>
              </w:rPr>
            </w:pP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323E4C8" w14:textId="77777777" w:rsidR="00991169" w:rsidRPr="00991169" w:rsidRDefault="3782F5BA" w:rsidP="3782F5BA">
            <w:pPr>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Mrd Ft</w:t>
            </w:r>
          </w:p>
        </w:tc>
        <w:tc>
          <w:tcPr>
            <w:tcW w:w="95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30C78F0" w14:textId="77777777" w:rsidR="00991169" w:rsidRPr="00991169" w:rsidRDefault="3782F5BA" w:rsidP="3782F5BA">
            <w:pPr>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w:t>
            </w:r>
          </w:p>
        </w:tc>
      </w:tr>
      <w:tr w:rsidR="00991169" w:rsidRPr="00991169" w14:paraId="3AF8F929" w14:textId="77777777" w:rsidTr="73C5D9BC">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48C11" w14:textId="77777777" w:rsidR="00991169" w:rsidRPr="00991169" w:rsidRDefault="3782F5BA" w:rsidP="3782F5BA">
            <w:pPr>
              <w:spacing w:after="0" w:line="240" w:lineRule="auto"/>
              <w:jc w:val="both"/>
              <w:rPr>
                <w:rFonts w:ascii="Times New Roman" w:eastAsia="Times New Roman" w:hAnsi="Times New Roman" w:cs="Times New Roman"/>
                <w:lang w:eastAsia="hu-HU"/>
              </w:rPr>
            </w:pPr>
            <w:r w:rsidRPr="3782F5BA">
              <w:rPr>
                <w:rFonts w:ascii="Times New Roman" w:eastAsia="Times New Roman" w:hAnsi="Times New Roman" w:cs="Times New Roman"/>
                <w:lang w:eastAsia="hu-HU"/>
              </w:rPr>
              <w:t>Befizetés</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E38E1" w14:textId="77777777" w:rsidR="00991169" w:rsidRPr="00991169" w:rsidRDefault="73C5D9BC" w:rsidP="73C5D9BC">
            <w:pPr>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2 136,8</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8B4E7" w14:textId="77777777" w:rsidR="00991169" w:rsidRPr="00991169" w:rsidRDefault="73C5D9BC" w:rsidP="73C5D9BC">
            <w:pPr>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2 270,3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0DF5B" w14:textId="77777777" w:rsidR="00991169" w:rsidRPr="00991169" w:rsidRDefault="73C5D9BC" w:rsidP="73C5D9BC">
            <w:pPr>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133,5</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57869" w14:textId="77777777" w:rsidR="00991169" w:rsidRPr="00991169" w:rsidRDefault="73C5D9BC" w:rsidP="73C5D9BC">
            <w:pPr>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106,2</w:t>
            </w:r>
          </w:p>
        </w:tc>
      </w:tr>
      <w:tr w:rsidR="00991169" w:rsidRPr="00991169" w14:paraId="234C18F7" w14:textId="77777777" w:rsidTr="73C5D9BC">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B6964" w14:textId="77777777" w:rsidR="00991169" w:rsidRPr="00991169" w:rsidRDefault="3782F5BA" w:rsidP="3782F5BA">
            <w:pPr>
              <w:spacing w:after="0" w:line="240" w:lineRule="auto"/>
              <w:jc w:val="both"/>
              <w:rPr>
                <w:rFonts w:ascii="Times New Roman" w:eastAsia="Times New Roman" w:hAnsi="Times New Roman" w:cs="Times New Roman"/>
                <w:lang w:eastAsia="hu-HU"/>
              </w:rPr>
            </w:pPr>
            <w:r w:rsidRPr="3782F5BA">
              <w:rPr>
                <w:rFonts w:ascii="Times New Roman" w:eastAsia="Times New Roman" w:hAnsi="Times New Roman" w:cs="Times New Roman"/>
                <w:lang w:eastAsia="hu-HU"/>
              </w:rPr>
              <w:t>Kiutalás</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716D1" w14:textId="77777777" w:rsidR="00991169" w:rsidRPr="00991169" w:rsidRDefault="73C5D9BC" w:rsidP="73C5D9BC">
            <w:pPr>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1 107,2</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32292" w14:textId="77777777" w:rsidR="00991169" w:rsidRPr="00991169" w:rsidRDefault="73C5D9BC" w:rsidP="73C5D9BC">
            <w:pPr>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1 022,5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2224B" w14:textId="77777777" w:rsidR="00991169" w:rsidRPr="00991169" w:rsidRDefault="73C5D9BC" w:rsidP="73C5D9BC">
            <w:pPr>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-84,7</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A5643" w14:textId="77777777" w:rsidR="00991169" w:rsidRPr="00991169" w:rsidRDefault="73C5D9BC" w:rsidP="73C5D9BC">
            <w:pPr>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92,4</w:t>
            </w:r>
          </w:p>
        </w:tc>
      </w:tr>
      <w:tr w:rsidR="00991169" w:rsidRPr="00991169" w14:paraId="40F56BBD" w14:textId="77777777" w:rsidTr="73C5D9BC">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6804A" w14:textId="77777777" w:rsidR="00991169" w:rsidRPr="00991169" w:rsidRDefault="3782F5BA" w:rsidP="3782F5BA">
            <w:pPr>
              <w:spacing w:after="0" w:line="240" w:lineRule="auto"/>
              <w:jc w:val="both"/>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Egyenleg</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47871" w14:textId="77777777" w:rsidR="00991169" w:rsidRPr="00991169" w:rsidRDefault="73C5D9BC" w:rsidP="73C5D9BC">
            <w:pPr>
              <w:spacing w:after="0" w:line="240" w:lineRule="auto"/>
              <w:jc w:val="right"/>
              <w:rPr>
                <w:rFonts w:ascii="Times New Roman" w:eastAsia="Times New Roman" w:hAnsi="Times New Roman" w:cs="Times New Roman"/>
                <w:b/>
                <w:bCs/>
                <w:lang w:eastAsia="hu-HU"/>
              </w:rPr>
            </w:pPr>
            <w:r w:rsidRPr="73C5D9BC">
              <w:rPr>
                <w:rFonts w:ascii="Times New Roman" w:eastAsia="Times New Roman" w:hAnsi="Times New Roman" w:cs="Times New Roman"/>
                <w:b/>
                <w:bCs/>
                <w:lang w:eastAsia="hu-HU"/>
              </w:rPr>
              <w:t>1 029,6</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D4D8F" w14:textId="77777777" w:rsidR="00991169" w:rsidRPr="00991169" w:rsidRDefault="73C5D9BC" w:rsidP="73C5D9BC">
            <w:pPr>
              <w:spacing w:after="0" w:line="240" w:lineRule="auto"/>
              <w:jc w:val="right"/>
              <w:rPr>
                <w:rFonts w:ascii="Times New Roman" w:eastAsia="Times New Roman" w:hAnsi="Times New Roman" w:cs="Times New Roman"/>
                <w:b/>
                <w:bCs/>
                <w:lang w:eastAsia="hu-HU"/>
              </w:rPr>
            </w:pPr>
            <w:r w:rsidRPr="73C5D9BC">
              <w:rPr>
                <w:rFonts w:ascii="Times New Roman" w:eastAsia="Times New Roman" w:hAnsi="Times New Roman" w:cs="Times New Roman"/>
                <w:b/>
                <w:bCs/>
                <w:lang w:eastAsia="hu-HU"/>
              </w:rPr>
              <w:t>1 247,8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53DDF" w14:textId="77777777" w:rsidR="00991169" w:rsidRPr="00991169" w:rsidRDefault="73C5D9BC" w:rsidP="73C5D9BC">
            <w:pPr>
              <w:spacing w:after="0" w:line="240" w:lineRule="auto"/>
              <w:jc w:val="right"/>
              <w:rPr>
                <w:rFonts w:ascii="Times New Roman" w:eastAsia="Times New Roman" w:hAnsi="Times New Roman" w:cs="Times New Roman"/>
                <w:b/>
                <w:bCs/>
                <w:lang w:eastAsia="hu-HU"/>
              </w:rPr>
            </w:pPr>
            <w:r w:rsidRPr="73C5D9BC">
              <w:rPr>
                <w:rFonts w:ascii="Times New Roman" w:eastAsia="Times New Roman" w:hAnsi="Times New Roman" w:cs="Times New Roman"/>
                <w:b/>
                <w:bCs/>
                <w:lang w:eastAsia="hu-HU"/>
              </w:rPr>
              <w:t>218,2</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33C1A" w14:textId="77777777" w:rsidR="00991169" w:rsidRPr="00991169" w:rsidRDefault="73C5D9BC" w:rsidP="73C5D9BC">
            <w:pPr>
              <w:spacing w:after="0" w:line="240" w:lineRule="auto"/>
              <w:jc w:val="right"/>
              <w:rPr>
                <w:rFonts w:ascii="Times New Roman" w:eastAsia="Times New Roman" w:hAnsi="Times New Roman" w:cs="Times New Roman"/>
                <w:b/>
                <w:bCs/>
                <w:lang w:eastAsia="hu-HU"/>
              </w:rPr>
            </w:pPr>
            <w:r w:rsidRPr="73C5D9BC">
              <w:rPr>
                <w:rFonts w:ascii="Times New Roman" w:eastAsia="Times New Roman" w:hAnsi="Times New Roman" w:cs="Times New Roman"/>
                <w:b/>
                <w:bCs/>
                <w:lang w:eastAsia="hu-HU"/>
              </w:rPr>
              <w:t>121,2</w:t>
            </w:r>
          </w:p>
        </w:tc>
      </w:tr>
    </w:tbl>
    <w:p w14:paraId="1EC9D279" w14:textId="53E19B2B" w:rsidR="007E22F7" w:rsidRPr="007E22F7" w:rsidRDefault="3782F5BA" w:rsidP="3782F5BA">
      <w:pPr>
        <w:spacing w:before="240"/>
        <w:jc w:val="both"/>
        <w:rPr>
          <w:rFonts w:ascii="Times New Roman" w:eastAsia="Times New Roman" w:hAnsi="Times New Roman" w:cs="Times New Roman"/>
          <w:sz w:val="26"/>
          <w:szCs w:val="26"/>
          <w:lang w:eastAsia="hu-HU"/>
        </w:rPr>
      </w:pPr>
      <w:r w:rsidRPr="00A62991">
        <w:rPr>
          <w:rFonts w:ascii="Times New Roman" w:eastAsia="Times New Roman" w:hAnsi="Times New Roman" w:cs="Times New Roman"/>
          <w:sz w:val="26"/>
          <w:szCs w:val="26"/>
          <w:lang w:eastAsia="hu-HU"/>
        </w:rPr>
        <w:t>A belföldi bef</w:t>
      </w:r>
      <w:r w:rsidR="009E4399">
        <w:rPr>
          <w:rFonts w:ascii="Times New Roman" w:eastAsia="Times New Roman" w:hAnsi="Times New Roman" w:cs="Times New Roman"/>
          <w:sz w:val="26"/>
          <w:szCs w:val="26"/>
          <w:lang w:eastAsia="hu-HU"/>
        </w:rPr>
        <w:t>izetések és az import utáni áfa</w:t>
      </w:r>
      <w:r w:rsidRPr="00A62991">
        <w:rPr>
          <w:rFonts w:ascii="Times New Roman" w:eastAsia="Times New Roman" w:hAnsi="Times New Roman" w:cs="Times New Roman"/>
          <w:sz w:val="26"/>
          <w:szCs w:val="26"/>
          <w:lang w:eastAsia="hu-HU"/>
        </w:rPr>
        <w:t>bevétel növekedett, ugyanak</w:t>
      </w:r>
      <w:r w:rsidR="009E4399">
        <w:rPr>
          <w:rFonts w:ascii="Times New Roman" w:eastAsia="Times New Roman" w:hAnsi="Times New Roman" w:cs="Times New Roman"/>
          <w:sz w:val="26"/>
          <w:szCs w:val="26"/>
          <w:lang w:eastAsia="hu-HU"/>
        </w:rPr>
        <w:t>kor a dohány termékek utáni áfa</w:t>
      </w:r>
      <w:r w:rsidRPr="00A62991">
        <w:rPr>
          <w:rFonts w:ascii="Times New Roman" w:eastAsia="Times New Roman" w:hAnsi="Times New Roman" w:cs="Times New Roman"/>
          <w:sz w:val="26"/>
          <w:szCs w:val="26"/>
          <w:lang w:eastAsia="hu-HU"/>
        </w:rPr>
        <w:t>bevétel csökkent.</w:t>
      </w:r>
      <w:r w:rsidRPr="3782F5BA">
        <w:rPr>
          <w:rFonts w:ascii="Times New Roman" w:eastAsia="Times New Roman" w:hAnsi="Times New Roman" w:cs="Times New Roman"/>
          <w:sz w:val="26"/>
          <w:szCs w:val="26"/>
          <w:lang w:eastAsia="hu-HU"/>
        </w:rPr>
        <w:t xml:space="preserve"> A belföldi befizetések növekedése elsősorban a kereskedelem ágazathoz köthető. Az import utáni befizetések növekedése hátterében a forgalom alakulása áll. A dohánytermékek utáni bevételek alacsonyabb</w:t>
      </w:r>
      <w:r w:rsidR="002E589F">
        <w:rPr>
          <w:rFonts w:ascii="Times New Roman" w:eastAsia="Times New Roman" w:hAnsi="Times New Roman" w:cs="Times New Roman"/>
          <w:sz w:val="26"/>
          <w:szCs w:val="26"/>
          <w:lang w:eastAsia="hu-HU"/>
        </w:rPr>
        <w:t xml:space="preserve"> teljesülését a 2025. </w:t>
      </w:r>
      <w:r w:rsidRPr="3782F5BA">
        <w:rPr>
          <w:rFonts w:ascii="Times New Roman" w:eastAsia="Times New Roman" w:hAnsi="Times New Roman" w:cs="Times New Roman"/>
          <w:sz w:val="26"/>
          <w:szCs w:val="26"/>
          <w:lang w:eastAsia="hu-HU"/>
        </w:rPr>
        <w:t>januári jövedéki adómérték-emelésre adott piaci reakció, a készletezési hatás magyarázza. A kiutalások alakulását a köztes ágazatok befizetése befolyásolja.</w:t>
      </w:r>
    </w:p>
    <w:p w14:paraId="6A4419C7" w14:textId="7B1164B2" w:rsidR="00CF551C" w:rsidRDefault="001B416B" w:rsidP="00CF551C">
      <w:pPr>
        <w:pStyle w:val="NormlWeb"/>
        <w:jc w:val="center"/>
      </w:pPr>
      <w:r>
        <w:rPr>
          <w:noProof/>
        </w:rPr>
        <w:lastRenderedPageBreak/>
        <w:drawing>
          <wp:inline distT="0" distB="0" distL="0" distR="0" wp14:anchorId="6550F7B9" wp14:editId="5711BF8A">
            <wp:extent cx="5481155" cy="3548418"/>
            <wp:effectExtent l="0" t="0" r="571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980" t="2505" b="-1"/>
                    <a:stretch/>
                  </pic:blipFill>
                  <pic:spPr bwMode="auto">
                    <a:xfrm>
                      <a:off x="0" y="0"/>
                      <a:ext cx="5541592" cy="3587544"/>
                    </a:xfrm>
                    <a:prstGeom prst="rect">
                      <a:avLst/>
                    </a:prstGeom>
                    <a:ln>
                      <a:noFill/>
                    </a:ln>
                    <a:extLst>
                      <a:ext uri="{53640926-AAD7-44D8-BBD7-CCE9431645EC}">
                        <a14:shadowObscured xmlns:a14="http://schemas.microsoft.com/office/drawing/2010/main"/>
                      </a:ext>
                    </a:extLst>
                  </pic:spPr>
                </pic:pic>
              </a:graphicData>
            </a:graphic>
          </wp:inline>
        </w:drawing>
      </w:r>
    </w:p>
    <w:p w14:paraId="5270244D" w14:textId="5DBBC552" w:rsidR="00B9670A" w:rsidRPr="007E22F7" w:rsidRDefault="3782F5BA" w:rsidP="3782F5BA">
      <w:pPr>
        <w:spacing w:before="120"/>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sz w:val="26"/>
          <w:szCs w:val="26"/>
          <w:lang w:eastAsia="hu-HU"/>
        </w:rPr>
        <w:t xml:space="preserve">A </w:t>
      </w:r>
      <w:r w:rsidRPr="3782F5BA">
        <w:rPr>
          <w:rFonts w:ascii="Times New Roman" w:eastAsia="Times New Roman" w:hAnsi="Times New Roman" w:cs="Times New Roman"/>
          <w:b/>
          <w:bCs/>
          <w:sz w:val="26"/>
          <w:szCs w:val="26"/>
          <w:lang w:eastAsia="hu-HU"/>
        </w:rPr>
        <w:t>jövedéki adóból</w:t>
      </w:r>
      <w:r w:rsidRPr="3782F5BA">
        <w:rPr>
          <w:rFonts w:ascii="Times New Roman" w:eastAsia="Times New Roman" w:hAnsi="Times New Roman" w:cs="Times New Roman"/>
          <w:sz w:val="26"/>
          <w:szCs w:val="26"/>
          <w:lang w:eastAsia="hu-HU"/>
        </w:rPr>
        <w:t xml:space="preserve"> származó bevétel a 2025. év első két hónapjában 245,4</w:t>
      </w:r>
      <w:r w:rsidRPr="3782F5BA">
        <w:rPr>
          <w:rFonts w:ascii="Times New Roman" w:eastAsia="Times New Roman" w:hAnsi="Times New Roman" w:cs="Times New Roman"/>
          <w:color w:val="000000" w:themeColor="text1"/>
          <w:sz w:val="26"/>
          <w:szCs w:val="26"/>
          <w:lang w:eastAsia="hu-HU"/>
        </w:rPr>
        <w:t> </w:t>
      </w:r>
      <w:r w:rsidRPr="3782F5BA">
        <w:rPr>
          <w:rFonts w:ascii="Times New Roman" w:eastAsia="Times New Roman" w:hAnsi="Times New Roman" w:cs="Times New Roman"/>
          <w:sz w:val="26"/>
          <w:szCs w:val="26"/>
          <w:lang w:eastAsia="hu-HU"/>
        </w:rPr>
        <w:t>milliárd forintot tett ki, amely 12,4 milliárd forinttal magasabb az egy évvel korábbi bevételnél. Az üzemanyagok utáni bevételek növekedését a 2025. január 1-</w:t>
      </w:r>
      <w:r w:rsidR="001E0CF6">
        <w:rPr>
          <w:rFonts w:ascii="Times New Roman" w:eastAsia="Times New Roman" w:hAnsi="Times New Roman" w:cs="Times New Roman"/>
          <w:sz w:val="26"/>
          <w:szCs w:val="26"/>
          <w:lang w:eastAsia="hu-HU"/>
        </w:rPr>
        <w:t>jé</w:t>
      </w:r>
      <w:r w:rsidRPr="3782F5BA">
        <w:rPr>
          <w:rFonts w:ascii="Times New Roman" w:eastAsia="Times New Roman" w:hAnsi="Times New Roman" w:cs="Times New Roman"/>
          <w:sz w:val="26"/>
          <w:szCs w:val="26"/>
          <w:lang w:eastAsia="hu-HU"/>
        </w:rPr>
        <w:t>től hatályos magasabb adómértékek magyarázzák. A dohánytermékek utáni bevételek csökkenése hátterében a 2025. januári adómérték-emelésből fakadó készletezési hatás áll. A szeszesitalok és egyéb termékek esetében a bevételek növekedését a 2025. január 1-</w:t>
      </w:r>
      <w:r w:rsidR="002E589F">
        <w:rPr>
          <w:rFonts w:ascii="Times New Roman" w:eastAsia="Times New Roman" w:hAnsi="Times New Roman" w:cs="Times New Roman"/>
          <w:sz w:val="26"/>
          <w:szCs w:val="26"/>
          <w:lang w:eastAsia="hu-HU"/>
        </w:rPr>
        <w:t>je</w:t>
      </w:r>
      <w:r w:rsidRPr="3782F5BA">
        <w:rPr>
          <w:rFonts w:ascii="Times New Roman" w:eastAsia="Times New Roman" w:hAnsi="Times New Roman" w:cs="Times New Roman"/>
          <w:sz w:val="26"/>
          <w:szCs w:val="26"/>
          <w:lang w:eastAsia="hu-HU"/>
        </w:rPr>
        <w:t>i adómérték változás indokolja. Az energiaadó bevételek növekedése adónem-elszámoláshoz köthető.</w:t>
      </w:r>
    </w:p>
    <w:tbl>
      <w:tblPr>
        <w:tblW w:w="8752" w:type="dxa"/>
        <w:jc w:val="center"/>
        <w:tblCellMar>
          <w:left w:w="70" w:type="dxa"/>
          <w:right w:w="70" w:type="dxa"/>
        </w:tblCellMar>
        <w:tblLook w:val="04A0" w:firstRow="1" w:lastRow="0" w:firstColumn="1" w:lastColumn="0" w:noHBand="0" w:noVBand="1"/>
      </w:tblPr>
      <w:tblGrid>
        <w:gridCol w:w="3402"/>
        <w:gridCol w:w="1560"/>
        <w:gridCol w:w="1594"/>
        <w:gridCol w:w="1061"/>
        <w:gridCol w:w="1135"/>
      </w:tblGrid>
      <w:tr w:rsidR="00991169" w:rsidRPr="00991169" w14:paraId="74790A56" w14:textId="77777777" w:rsidTr="007449BF">
        <w:trPr>
          <w:trHeight w:val="255"/>
          <w:jc w:val="center"/>
        </w:trPr>
        <w:tc>
          <w:tcPr>
            <w:tcW w:w="8752" w:type="dxa"/>
            <w:gridSpan w:val="5"/>
            <w:tcBorders>
              <w:top w:val="nil"/>
              <w:left w:val="nil"/>
              <w:bottom w:val="single" w:sz="4" w:space="0" w:color="auto"/>
              <w:right w:val="nil"/>
            </w:tcBorders>
            <w:shd w:val="clear" w:color="auto" w:fill="auto"/>
            <w:noWrap/>
            <w:vAlign w:val="bottom"/>
            <w:hideMark/>
          </w:tcPr>
          <w:p w14:paraId="04ACCE75" w14:textId="77777777" w:rsidR="00991169" w:rsidRPr="00991169" w:rsidRDefault="3782F5BA" w:rsidP="3782F5BA">
            <w:pPr>
              <w:spacing w:before="120"/>
              <w:jc w:val="center"/>
              <w:rPr>
                <w:rFonts w:ascii="Times New Roman" w:eastAsia="Times New Roman" w:hAnsi="Times New Roman" w:cs="Times New Roman"/>
                <w:b/>
                <w:bCs/>
                <w:sz w:val="26"/>
                <w:szCs w:val="26"/>
                <w:lang w:eastAsia="hu-HU"/>
              </w:rPr>
            </w:pPr>
            <w:r w:rsidRPr="3782F5BA">
              <w:rPr>
                <w:rFonts w:ascii="Times New Roman" w:eastAsia="Times New Roman" w:hAnsi="Times New Roman" w:cs="Times New Roman"/>
                <w:b/>
                <w:bCs/>
                <w:lang w:eastAsia="hu-HU"/>
              </w:rPr>
              <w:t>Jövedéki adó bevétel alakulása (milliárd forint)</w:t>
            </w:r>
          </w:p>
        </w:tc>
      </w:tr>
      <w:tr w:rsidR="00991169" w:rsidRPr="00991169" w14:paraId="7AF29FBA" w14:textId="77777777" w:rsidTr="007449BF">
        <w:trPr>
          <w:trHeight w:val="340"/>
          <w:jc w:val="center"/>
        </w:trPr>
        <w:tc>
          <w:tcPr>
            <w:tcW w:w="340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28E690B" w14:textId="77777777" w:rsidR="00991169" w:rsidRPr="00991169" w:rsidRDefault="3782F5BA" w:rsidP="3782F5BA">
            <w:pPr>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Megnevezés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C60C91B" w14:textId="77777777" w:rsidR="00991169" w:rsidRPr="00991169" w:rsidRDefault="73C5D9BC" w:rsidP="73C5D9BC">
            <w:pPr>
              <w:spacing w:after="0" w:line="240" w:lineRule="auto"/>
              <w:jc w:val="center"/>
              <w:rPr>
                <w:rFonts w:ascii="Times New Roman" w:eastAsia="Times New Roman" w:hAnsi="Times New Roman" w:cs="Times New Roman"/>
                <w:b/>
                <w:bCs/>
                <w:lang w:eastAsia="hu-HU"/>
              </w:rPr>
            </w:pPr>
            <w:r w:rsidRPr="73C5D9BC">
              <w:rPr>
                <w:rFonts w:ascii="Times New Roman" w:eastAsia="Times New Roman" w:hAnsi="Times New Roman" w:cs="Times New Roman"/>
                <w:b/>
                <w:bCs/>
                <w:lang w:eastAsia="hu-HU"/>
              </w:rPr>
              <w:t>2024.</w:t>
            </w:r>
          </w:p>
          <w:p w14:paraId="780FB8D1" w14:textId="2515B1D6" w:rsidR="00991169" w:rsidRPr="00991169" w:rsidRDefault="007449BF" w:rsidP="3782F5BA">
            <w:pPr>
              <w:spacing w:after="0" w:line="240" w:lineRule="auto"/>
              <w:jc w:val="center"/>
              <w:rPr>
                <w:rFonts w:ascii="Times New Roman" w:eastAsia="Times New Roman" w:hAnsi="Times New Roman" w:cs="Times New Roman"/>
                <w:b/>
                <w:bCs/>
                <w:lang w:eastAsia="hu-HU"/>
              </w:rPr>
            </w:pPr>
            <w:r>
              <w:rPr>
                <w:rFonts w:ascii="Times New Roman" w:eastAsia="Times New Roman" w:hAnsi="Times New Roman" w:cs="Times New Roman"/>
                <w:b/>
                <w:bCs/>
                <w:lang w:eastAsia="hu-HU"/>
              </w:rPr>
              <w:t>I-II. hó</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3229FB" w14:textId="77777777" w:rsidR="00991169" w:rsidRPr="00991169" w:rsidRDefault="73C5D9BC" w:rsidP="73C5D9BC">
            <w:pPr>
              <w:spacing w:after="0" w:line="240" w:lineRule="auto"/>
              <w:jc w:val="center"/>
              <w:rPr>
                <w:rFonts w:ascii="Times New Roman" w:eastAsia="Times New Roman" w:hAnsi="Times New Roman" w:cs="Times New Roman"/>
                <w:b/>
                <w:bCs/>
                <w:lang w:eastAsia="hu-HU"/>
              </w:rPr>
            </w:pPr>
            <w:r w:rsidRPr="73C5D9BC">
              <w:rPr>
                <w:rFonts w:ascii="Times New Roman" w:eastAsia="Times New Roman" w:hAnsi="Times New Roman" w:cs="Times New Roman"/>
                <w:b/>
                <w:bCs/>
                <w:lang w:eastAsia="hu-HU"/>
              </w:rPr>
              <w:t>2025.</w:t>
            </w:r>
          </w:p>
          <w:p w14:paraId="358145FF" w14:textId="527C46CC" w:rsidR="00991169" w:rsidRPr="00991169" w:rsidRDefault="007449BF" w:rsidP="3782F5BA">
            <w:pPr>
              <w:spacing w:after="0" w:line="240" w:lineRule="auto"/>
              <w:jc w:val="center"/>
              <w:rPr>
                <w:rFonts w:ascii="Times New Roman" w:eastAsia="Times New Roman" w:hAnsi="Times New Roman" w:cs="Times New Roman"/>
                <w:b/>
                <w:bCs/>
                <w:lang w:eastAsia="hu-HU"/>
              </w:rPr>
            </w:pPr>
            <w:r>
              <w:rPr>
                <w:rFonts w:ascii="Times New Roman" w:eastAsia="Times New Roman" w:hAnsi="Times New Roman" w:cs="Times New Roman"/>
                <w:b/>
                <w:bCs/>
                <w:lang w:eastAsia="hu-HU"/>
              </w:rPr>
              <w:t>I-II. hó</w:t>
            </w:r>
          </w:p>
        </w:tc>
        <w:tc>
          <w:tcPr>
            <w:tcW w:w="219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B6709E0" w14:textId="77777777" w:rsidR="00991169" w:rsidRPr="00991169" w:rsidRDefault="3782F5BA" w:rsidP="3782F5BA">
            <w:pPr>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Eltérés</w:t>
            </w:r>
          </w:p>
        </w:tc>
      </w:tr>
      <w:tr w:rsidR="00991169" w:rsidRPr="00991169" w14:paraId="04B27A61" w14:textId="77777777" w:rsidTr="007449BF">
        <w:trPr>
          <w:trHeight w:val="340"/>
          <w:jc w:val="center"/>
        </w:trPr>
        <w:tc>
          <w:tcPr>
            <w:tcW w:w="340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E69C1B" w14:textId="77777777" w:rsidR="00991169" w:rsidRPr="00991169" w:rsidRDefault="00991169" w:rsidP="00991169">
            <w:pPr>
              <w:spacing w:after="0" w:line="240" w:lineRule="auto"/>
              <w:jc w:val="both"/>
              <w:rPr>
                <w:rFonts w:ascii="Times New Roman" w:eastAsia="Times New Roman" w:hAnsi="Times New Roman" w:cs="Times New Roman"/>
                <w:b/>
                <w:bCs/>
                <w:szCs w:val="20"/>
                <w:lang w:eastAsia="hu-HU"/>
              </w:rPr>
            </w:pPr>
          </w:p>
        </w:tc>
        <w:tc>
          <w:tcPr>
            <w:tcW w:w="156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1FF8343" w14:textId="77777777" w:rsidR="00991169" w:rsidRPr="00991169" w:rsidRDefault="00991169" w:rsidP="00991169">
            <w:pPr>
              <w:spacing w:after="0" w:line="240" w:lineRule="auto"/>
              <w:jc w:val="center"/>
              <w:rPr>
                <w:rFonts w:ascii="Times New Roman" w:eastAsia="Times New Roman" w:hAnsi="Times New Roman" w:cs="Times New Roman"/>
                <w:b/>
                <w:bCs/>
                <w:szCs w:val="20"/>
                <w:lang w:eastAsia="hu-HU"/>
              </w:rPr>
            </w:pPr>
          </w:p>
        </w:tc>
        <w:tc>
          <w:tcPr>
            <w:tcW w:w="159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25B77CE" w14:textId="77777777" w:rsidR="00991169" w:rsidRPr="00991169" w:rsidRDefault="00991169" w:rsidP="00991169">
            <w:pPr>
              <w:spacing w:after="0" w:line="240" w:lineRule="auto"/>
              <w:jc w:val="center"/>
              <w:rPr>
                <w:rFonts w:ascii="Times New Roman" w:eastAsia="Times New Roman" w:hAnsi="Times New Roman" w:cs="Times New Roman"/>
                <w:b/>
                <w:bCs/>
                <w:szCs w:val="20"/>
                <w:lang w:eastAsia="hu-HU"/>
              </w:rPr>
            </w:pPr>
          </w:p>
        </w:tc>
        <w:tc>
          <w:tcPr>
            <w:tcW w:w="1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A100B35" w14:textId="77777777" w:rsidR="00991169" w:rsidRPr="00991169" w:rsidRDefault="3782F5BA" w:rsidP="3782F5BA">
            <w:pPr>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Mrd Ft</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48A9CE9" w14:textId="77777777" w:rsidR="00991169" w:rsidRPr="00991169" w:rsidRDefault="3782F5BA" w:rsidP="3782F5BA">
            <w:pPr>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w:t>
            </w:r>
          </w:p>
        </w:tc>
      </w:tr>
      <w:tr w:rsidR="00991169" w:rsidRPr="00991169" w14:paraId="0A73656A" w14:textId="77777777" w:rsidTr="73C5D9BC">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D85B9" w14:textId="77777777" w:rsidR="00991169" w:rsidRPr="00991169" w:rsidRDefault="3782F5BA" w:rsidP="3782F5BA">
            <w:pPr>
              <w:spacing w:after="0" w:line="240" w:lineRule="auto"/>
              <w:jc w:val="both"/>
              <w:rPr>
                <w:rFonts w:ascii="Times New Roman" w:eastAsia="Times New Roman" w:hAnsi="Times New Roman" w:cs="Times New Roman"/>
                <w:lang w:eastAsia="hu-HU"/>
              </w:rPr>
            </w:pPr>
            <w:r w:rsidRPr="3782F5BA">
              <w:rPr>
                <w:rFonts w:ascii="Times New Roman" w:eastAsia="Times New Roman" w:hAnsi="Times New Roman" w:cs="Times New Roman"/>
                <w:lang w:eastAsia="hu-HU"/>
              </w:rPr>
              <w:t>Üzemanyag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FE3AB" w14:textId="436F69BE" w:rsidR="00991169" w:rsidRPr="00991169" w:rsidRDefault="73C5D9BC" w:rsidP="00567CCD">
            <w:pPr>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123,</w:t>
            </w:r>
            <w:r w:rsidR="00567CCD">
              <w:rPr>
                <w:rFonts w:ascii="Times New Roman" w:eastAsia="Times New Roman" w:hAnsi="Times New Roman" w:cs="Times New Roman"/>
                <w:lang w:eastAsia="hu-HU"/>
              </w:rPr>
              <w:t>7</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E12AD" w14:textId="77777777" w:rsidR="00991169" w:rsidRPr="00567CCD" w:rsidRDefault="73C5D9BC" w:rsidP="73C5D9BC">
            <w:pPr>
              <w:spacing w:after="0" w:line="240" w:lineRule="auto"/>
              <w:jc w:val="right"/>
              <w:rPr>
                <w:rFonts w:ascii="Times New Roman" w:eastAsia="Times New Roman" w:hAnsi="Times New Roman" w:cs="Times New Roman"/>
                <w:lang w:eastAsia="hu-HU"/>
              </w:rPr>
            </w:pPr>
            <w:r w:rsidRPr="00567CCD">
              <w:rPr>
                <w:rFonts w:ascii="Times New Roman" w:eastAsia="Times New Roman" w:hAnsi="Times New Roman" w:cs="Times New Roman"/>
                <w:lang w:eastAsia="hu-HU"/>
              </w:rPr>
              <w:t>136,9</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F64EB" w14:textId="076B04C6" w:rsidR="00991169" w:rsidRPr="00991169" w:rsidRDefault="73C5D9BC" w:rsidP="00567CCD">
            <w:pPr>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13,</w:t>
            </w:r>
            <w:r w:rsidR="00567CCD">
              <w:rPr>
                <w:rFonts w:ascii="Times New Roman" w:eastAsia="Times New Roman" w:hAnsi="Times New Roman" w:cs="Times New Roman"/>
                <w:lang w:eastAsia="hu-HU"/>
              </w:rPr>
              <w:t>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F5EC5" w14:textId="0DB7741E" w:rsidR="00991169" w:rsidRPr="00991169" w:rsidRDefault="73C5D9BC" w:rsidP="00567CCD">
            <w:pPr>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110,</w:t>
            </w:r>
            <w:r w:rsidR="00567CCD">
              <w:rPr>
                <w:rFonts w:ascii="Times New Roman" w:eastAsia="Times New Roman" w:hAnsi="Times New Roman" w:cs="Times New Roman"/>
                <w:lang w:eastAsia="hu-HU"/>
              </w:rPr>
              <w:t>7</w:t>
            </w:r>
          </w:p>
        </w:tc>
      </w:tr>
      <w:tr w:rsidR="00991169" w:rsidRPr="00991169" w14:paraId="5F317756" w14:textId="77777777" w:rsidTr="73C5D9BC">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64FAE" w14:textId="77777777" w:rsidR="00991169" w:rsidRPr="00991169" w:rsidRDefault="3782F5BA" w:rsidP="3782F5BA">
            <w:pPr>
              <w:spacing w:after="0" w:line="240" w:lineRule="auto"/>
              <w:jc w:val="both"/>
              <w:rPr>
                <w:rFonts w:ascii="Times New Roman" w:eastAsia="Times New Roman" w:hAnsi="Times New Roman" w:cs="Times New Roman"/>
                <w:lang w:eastAsia="hu-HU"/>
              </w:rPr>
            </w:pPr>
            <w:r w:rsidRPr="3782F5BA">
              <w:rPr>
                <w:rFonts w:ascii="Times New Roman" w:eastAsia="Times New Roman" w:hAnsi="Times New Roman" w:cs="Times New Roman"/>
                <w:lang w:eastAsia="hu-HU"/>
              </w:rPr>
              <w:t>Dohánygyártmány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B7437" w14:textId="77777777" w:rsidR="00991169" w:rsidRPr="00991169" w:rsidRDefault="73C5D9BC" w:rsidP="73C5D9BC">
            <w:pPr>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85,5</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6500D" w14:textId="77777777" w:rsidR="00991169" w:rsidRPr="00567CCD" w:rsidRDefault="73C5D9BC" w:rsidP="73C5D9BC">
            <w:pPr>
              <w:spacing w:after="0" w:line="240" w:lineRule="auto"/>
              <w:jc w:val="right"/>
              <w:rPr>
                <w:rFonts w:ascii="Times New Roman" w:eastAsia="Times New Roman" w:hAnsi="Times New Roman" w:cs="Times New Roman"/>
                <w:lang w:eastAsia="hu-HU"/>
              </w:rPr>
            </w:pPr>
            <w:r w:rsidRPr="00567CCD">
              <w:rPr>
                <w:rFonts w:ascii="Times New Roman" w:eastAsia="Times New Roman" w:hAnsi="Times New Roman" w:cs="Times New Roman"/>
                <w:lang w:eastAsia="hu-HU"/>
              </w:rPr>
              <w:t>83,0</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9D61E" w14:textId="77777777" w:rsidR="00991169" w:rsidRPr="00991169" w:rsidRDefault="73C5D9BC" w:rsidP="73C5D9BC">
            <w:pPr>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-2,5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81D1C" w14:textId="77777777" w:rsidR="00991169" w:rsidRPr="00991169" w:rsidRDefault="73C5D9BC" w:rsidP="73C5D9BC">
            <w:pPr>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97,1</w:t>
            </w:r>
          </w:p>
        </w:tc>
      </w:tr>
      <w:tr w:rsidR="00991169" w:rsidRPr="00991169" w14:paraId="2B32C886" w14:textId="77777777" w:rsidTr="73C5D9BC">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C18FA" w14:textId="77777777" w:rsidR="00991169" w:rsidRPr="00991169" w:rsidRDefault="3782F5BA" w:rsidP="3782F5BA">
            <w:pPr>
              <w:spacing w:after="0" w:line="240" w:lineRule="auto"/>
              <w:jc w:val="both"/>
              <w:rPr>
                <w:rFonts w:ascii="Times New Roman" w:eastAsia="Times New Roman" w:hAnsi="Times New Roman" w:cs="Times New Roman"/>
                <w:lang w:eastAsia="hu-HU"/>
              </w:rPr>
            </w:pPr>
            <w:r w:rsidRPr="3782F5BA">
              <w:rPr>
                <w:rFonts w:ascii="Times New Roman" w:eastAsia="Times New Roman" w:hAnsi="Times New Roman" w:cs="Times New Roman"/>
                <w:lang w:eastAsia="hu-HU"/>
              </w:rPr>
              <w:t>Egyéb termék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6F687" w14:textId="77777777" w:rsidR="00991169" w:rsidRPr="00991169" w:rsidRDefault="73C5D9BC" w:rsidP="73C5D9BC">
            <w:pPr>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20,6</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C6C5D" w14:textId="77777777" w:rsidR="00991169" w:rsidRPr="00567CCD" w:rsidRDefault="73C5D9BC" w:rsidP="73C5D9BC">
            <w:pPr>
              <w:spacing w:after="0" w:line="240" w:lineRule="auto"/>
              <w:jc w:val="right"/>
              <w:rPr>
                <w:rFonts w:ascii="Times New Roman" w:eastAsia="Times New Roman" w:hAnsi="Times New Roman" w:cs="Times New Roman"/>
                <w:lang w:eastAsia="hu-HU"/>
              </w:rPr>
            </w:pPr>
            <w:r w:rsidRPr="00567CCD">
              <w:rPr>
                <w:rFonts w:ascii="Times New Roman" w:eastAsia="Times New Roman" w:hAnsi="Times New Roman" w:cs="Times New Roman"/>
                <w:lang w:eastAsia="hu-HU"/>
              </w:rPr>
              <w:t>20,7</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60506" w14:textId="77777777" w:rsidR="00991169" w:rsidRPr="00991169" w:rsidRDefault="73C5D9BC" w:rsidP="73C5D9BC">
            <w:pPr>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0,1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B9DD4" w14:textId="77777777" w:rsidR="00991169" w:rsidRPr="00991169" w:rsidRDefault="73C5D9BC" w:rsidP="73C5D9BC">
            <w:pPr>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100,5</w:t>
            </w:r>
          </w:p>
        </w:tc>
      </w:tr>
      <w:tr w:rsidR="00991169" w:rsidRPr="00991169" w14:paraId="1AF52CA5" w14:textId="77777777" w:rsidTr="73C5D9BC">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395EB" w14:textId="77777777" w:rsidR="00991169" w:rsidRPr="00991169" w:rsidRDefault="3782F5BA" w:rsidP="3782F5BA">
            <w:pPr>
              <w:spacing w:after="0" w:line="240" w:lineRule="auto"/>
              <w:jc w:val="both"/>
              <w:rPr>
                <w:rFonts w:ascii="Times New Roman" w:eastAsia="Times New Roman" w:hAnsi="Times New Roman" w:cs="Times New Roman"/>
                <w:lang w:eastAsia="hu-HU"/>
              </w:rPr>
            </w:pPr>
            <w:r w:rsidRPr="3782F5BA">
              <w:rPr>
                <w:rFonts w:ascii="Times New Roman" w:eastAsia="Times New Roman" w:hAnsi="Times New Roman" w:cs="Times New Roman"/>
                <w:lang w:eastAsia="hu-HU"/>
              </w:rPr>
              <w:t>Import jövedéki adó és energiaadó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B3F05" w14:textId="228F6B29" w:rsidR="00991169" w:rsidRPr="00991169" w:rsidRDefault="73C5D9BC" w:rsidP="00567CCD">
            <w:pPr>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3,</w:t>
            </w:r>
            <w:r w:rsidR="00567CCD">
              <w:rPr>
                <w:rFonts w:ascii="Times New Roman" w:eastAsia="Times New Roman" w:hAnsi="Times New Roman" w:cs="Times New Roman"/>
                <w:lang w:eastAsia="hu-HU"/>
              </w:rPr>
              <w:t>2</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D9D2C" w14:textId="77777777" w:rsidR="00991169" w:rsidRPr="00567CCD" w:rsidRDefault="73C5D9BC" w:rsidP="73C5D9BC">
            <w:pPr>
              <w:spacing w:after="0" w:line="240" w:lineRule="auto"/>
              <w:jc w:val="right"/>
              <w:rPr>
                <w:rFonts w:ascii="Times New Roman" w:eastAsia="Times New Roman" w:hAnsi="Times New Roman" w:cs="Times New Roman"/>
                <w:lang w:eastAsia="hu-HU"/>
              </w:rPr>
            </w:pPr>
            <w:r w:rsidRPr="00567CCD">
              <w:rPr>
                <w:rFonts w:ascii="Times New Roman" w:eastAsia="Times New Roman" w:hAnsi="Times New Roman" w:cs="Times New Roman"/>
                <w:lang w:eastAsia="hu-HU"/>
              </w:rPr>
              <w:t>4,8</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392A8" w14:textId="1AD9386E" w:rsidR="00991169" w:rsidRPr="00991169" w:rsidRDefault="73C5D9BC" w:rsidP="00567CCD">
            <w:pPr>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1,</w:t>
            </w:r>
            <w:r w:rsidR="00567CCD">
              <w:rPr>
                <w:rFonts w:ascii="Times New Roman" w:eastAsia="Times New Roman" w:hAnsi="Times New Roman" w:cs="Times New Roman"/>
                <w:lang w:eastAsia="hu-HU"/>
              </w:rPr>
              <w:t>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DD947" w14:textId="141C53E3" w:rsidR="00991169" w:rsidRPr="00991169" w:rsidRDefault="00567CCD" w:rsidP="73C5D9BC">
            <w:pPr>
              <w:spacing w:after="0" w:line="240" w:lineRule="auto"/>
              <w:jc w:val="right"/>
              <w:rPr>
                <w:rFonts w:ascii="Times New Roman" w:eastAsia="Times New Roman" w:hAnsi="Times New Roman" w:cs="Times New Roman"/>
                <w:lang w:eastAsia="hu-HU"/>
              </w:rPr>
            </w:pPr>
            <w:r>
              <w:rPr>
                <w:rFonts w:ascii="Times New Roman" w:eastAsia="Times New Roman" w:hAnsi="Times New Roman" w:cs="Times New Roman"/>
                <w:lang w:eastAsia="hu-HU"/>
              </w:rPr>
              <w:t>150,0</w:t>
            </w:r>
          </w:p>
        </w:tc>
      </w:tr>
      <w:tr w:rsidR="00991169" w:rsidRPr="00991169" w14:paraId="64FD2BC1" w14:textId="77777777" w:rsidTr="73C5D9BC">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E8417" w14:textId="77777777" w:rsidR="00991169" w:rsidRPr="00991169" w:rsidRDefault="3782F5BA" w:rsidP="3782F5BA">
            <w:pPr>
              <w:spacing w:after="0" w:line="240" w:lineRule="auto"/>
              <w:jc w:val="both"/>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Jövedéki adók összesen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E5182" w14:textId="77777777" w:rsidR="00991169" w:rsidRPr="00991169" w:rsidRDefault="73C5D9BC" w:rsidP="73C5D9BC">
            <w:pPr>
              <w:spacing w:after="0" w:line="240" w:lineRule="auto"/>
              <w:jc w:val="right"/>
              <w:rPr>
                <w:rFonts w:ascii="Times New Roman" w:eastAsia="Times New Roman" w:hAnsi="Times New Roman" w:cs="Times New Roman"/>
                <w:b/>
                <w:bCs/>
                <w:lang w:eastAsia="hu-HU"/>
              </w:rPr>
            </w:pPr>
            <w:r w:rsidRPr="73C5D9BC">
              <w:rPr>
                <w:rFonts w:ascii="Times New Roman" w:eastAsia="Times New Roman" w:hAnsi="Times New Roman" w:cs="Times New Roman"/>
                <w:b/>
                <w:bCs/>
                <w:lang w:eastAsia="hu-HU"/>
              </w:rPr>
              <w:t>233,0</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991F6" w14:textId="77777777" w:rsidR="00991169" w:rsidRPr="00991169" w:rsidRDefault="73C5D9BC" w:rsidP="73C5D9BC">
            <w:pPr>
              <w:spacing w:after="0" w:line="240" w:lineRule="auto"/>
              <w:jc w:val="right"/>
              <w:rPr>
                <w:rFonts w:ascii="Times New Roman" w:eastAsia="Times New Roman" w:hAnsi="Times New Roman" w:cs="Times New Roman"/>
                <w:b/>
                <w:bCs/>
                <w:lang w:eastAsia="hu-HU"/>
              </w:rPr>
            </w:pPr>
            <w:r w:rsidRPr="73C5D9BC">
              <w:rPr>
                <w:rFonts w:ascii="Times New Roman" w:eastAsia="Times New Roman" w:hAnsi="Times New Roman" w:cs="Times New Roman"/>
                <w:b/>
                <w:bCs/>
                <w:lang w:eastAsia="hu-HU"/>
              </w:rPr>
              <w:t>245,4</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16AE1" w14:textId="77777777" w:rsidR="00991169" w:rsidRPr="00991169" w:rsidRDefault="73C5D9BC" w:rsidP="73C5D9BC">
            <w:pPr>
              <w:spacing w:after="0" w:line="240" w:lineRule="auto"/>
              <w:jc w:val="right"/>
              <w:rPr>
                <w:rFonts w:ascii="Times New Roman" w:eastAsia="Times New Roman" w:hAnsi="Times New Roman" w:cs="Times New Roman"/>
                <w:b/>
                <w:bCs/>
                <w:lang w:eastAsia="hu-HU"/>
              </w:rPr>
            </w:pPr>
            <w:r w:rsidRPr="73C5D9BC">
              <w:rPr>
                <w:rFonts w:ascii="Times New Roman" w:eastAsia="Times New Roman" w:hAnsi="Times New Roman" w:cs="Times New Roman"/>
                <w:b/>
                <w:bCs/>
                <w:lang w:eastAsia="hu-HU"/>
              </w:rPr>
              <w:t>12,4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DEB6A" w14:textId="77777777" w:rsidR="00991169" w:rsidRPr="00991169" w:rsidRDefault="73C5D9BC" w:rsidP="73C5D9BC">
            <w:pPr>
              <w:spacing w:after="0" w:line="240" w:lineRule="auto"/>
              <w:jc w:val="right"/>
              <w:rPr>
                <w:rFonts w:ascii="Times New Roman" w:eastAsia="Times New Roman" w:hAnsi="Times New Roman" w:cs="Times New Roman"/>
                <w:b/>
                <w:bCs/>
                <w:lang w:eastAsia="hu-HU"/>
              </w:rPr>
            </w:pPr>
            <w:r w:rsidRPr="73C5D9BC">
              <w:rPr>
                <w:rFonts w:ascii="Times New Roman" w:eastAsia="Times New Roman" w:hAnsi="Times New Roman" w:cs="Times New Roman"/>
                <w:b/>
                <w:bCs/>
                <w:lang w:eastAsia="hu-HU"/>
              </w:rPr>
              <w:t>105,3</w:t>
            </w:r>
          </w:p>
        </w:tc>
      </w:tr>
    </w:tbl>
    <w:p w14:paraId="0A548CA4" w14:textId="7CEE0DCF" w:rsidR="00991169" w:rsidRPr="00991169" w:rsidRDefault="3782F5BA" w:rsidP="00727FE7">
      <w:pPr>
        <w:spacing w:before="240"/>
        <w:jc w:val="both"/>
        <w:rPr>
          <w:rFonts w:ascii="Times New Roman" w:eastAsia="Times New Roman" w:hAnsi="Times New Roman" w:cs="Times New Roman"/>
          <w:sz w:val="26"/>
          <w:szCs w:val="26"/>
          <w:highlight w:val="yellow"/>
          <w:lang w:eastAsia="hu-HU"/>
        </w:rPr>
      </w:pPr>
      <w:r w:rsidRPr="3782F5BA">
        <w:rPr>
          <w:rFonts w:ascii="Times New Roman" w:eastAsia="Times New Roman" w:hAnsi="Times New Roman" w:cs="Times New Roman"/>
          <w:b/>
          <w:bCs/>
          <w:sz w:val="26"/>
          <w:szCs w:val="26"/>
          <w:lang w:eastAsia="hu-HU"/>
        </w:rPr>
        <w:t>Pénzügyi tranzakciós illetékből</w:t>
      </w:r>
      <w:r w:rsidR="002E589F">
        <w:rPr>
          <w:rFonts w:ascii="Times New Roman" w:eastAsia="Times New Roman" w:hAnsi="Times New Roman" w:cs="Times New Roman"/>
          <w:sz w:val="26"/>
          <w:szCs w:val="26"/>
          <w:lang w:eastAsia="hu-HU"/>
        </w:rPr>
        <w:t xml:space="preserve"> 2025</w:t>
      </w:r>
      <w:r w:rsidRPr="3782F5BA">
        <w:rPr>
          <w:rFonts w:ascii="Times New Roman" w:eastAsia="Times New Roman" w:hAnsi="Times New Roman" w:cs="Times New Roman"/>
          <w:sz w:val="26"/>
          <w:szCs w:val="26"/>
          <w:lang w:eastAsia="hu-HU"/>
        </w:rPr>
        <w:t xml:space="preserve"> első két hónapjában 103,4 milliárd forint bevétele keletkezett a költségvetésnek, ami 43,6 milliárd forinttal haladta meg az egy évvel korábbi összeget. A bevétel alakulásának hátterében a 2024. augusztus 1-</w:t>
      </w:r>
      <w:r w:rsidR="00AD65BE">
        <w:rPr>
          <w:rFonts w:ascii="Times New Roman" w:eastAsia="Times New Roman" w:hAnsi="Times New Roman" w:cs="Times New Roman"/>
          <w:sz w:val="26"/>
          <w:szCs w:val="26"/>
          <w:lang w:eastAsia="hu-HU"/>
        </w:rPr>
        <w:t>jé</w:t>
      </w:r>
      <w:r w:rsidRPr="3782F5BA">
        <w:rPr>
          <w:rFonts w:ascii="Times New Roman" w:eastAsia="Times New Roman" w:hAnsi="Times New Roman" w:cs="Times New Roman"/>
          <w:sz w:val="26"/>
          <w:szCs w:val="26"/>
          <w:lang w:eastAsia="hu-HU"/>
        </w:rPr>
        <w:t>től hatályos megemelt adómértékek állnak, illetve az, hogy 2024. október elsejétől az adó hatálya kiterjed a konverziót tartalmazó műveletekre is.</w:t>
      </w:r>
    </w:p>
    <w:p w14:paraId="68A426E0" w14:textId="0A2CDC13" w:rsidR="00991169" w:rsidRPr="00991169" w:rsidRDefault="3782F5BA" w:rsidP="00727FE7">
      <w:pPr>
        <w:spacing w:before="240"/>
        <w:jc w:val="both"/>
        <w:rPr>
          <w:rFonts w:ascii="Times New Roman" w:eastAsia="Times New Roman" w:hAnsi="Times New Roman" w:cs="Times New Roman"/>
          <w:sz w:val="26"/>
          <w:szCs w:val="26"/>
          <w:highlight w:val="yellow"/>
          <w:lang w:eastAsia="hu-HU"/>
        </w:rPr>
      </w:pPr>
      <w:r w:rsidRPr="3782F5BA">
        <w:rPr>
          <w:rFonts w:ascii="Times New Roman" w:eastAsia="Times New Roman" w:hAnsi="Times New Roman" w:cs="Times New Roman"/>
          <w:sz w:val="26"/>
          <w:szCs w:val="26"/>
          <w:lang w:eastAsia="hu-HU"/>
        </w:rPr>
        <w:t xml:space="preserve">A </w:t>
      </w:r>
      <w:r w:rsidRPr="3782F5BA">
        <w:rPr>
          <w:rFonts w:ascii="Times New Roman" w:eastAsia="Times New Roman" w:hAnsi="Times New Roman" w:cs="Times New Roman"/>
          <w:b/>
          <w:bCs/>
          <w:sz w:val="26"/>
          <w:szCs w:val="26"/>
          <w:lang w:eastAsia="hu-HU"/>
        </w:rPr>
        <w:t xml:space="preserve">biztosítási adóból </w:t>
      </w:r>
      <w:r w:rsidRPr="3782F5BA">
        <w:rPr>
          <w:rFonts w:ascii="Times New Roman" w:eastAsia="Times New Roman" w:hAnsi="Times New Roman" w:cs="Times New Roman"/>
          <w:sz w:val="26"/>
          <w:szCs w:val="26"/>
          <w:lang w:eastAsia="hu-HU"/>
        </w:rPr>
        <w:t xml:space="preserve">származó bevétel </w:t>
      </w:r>
      <w:r w:rsidR="00AD65BE">
        <w:rPr>
          <w:rFonts w:ascii="Times New Roman" w:eastAsia="Times New Roman" w:hAnsi="Times New Roman" w:cs="Times New Roman"/>
          <w:sz w:val="26"/>
          <w:szCs w:val="26"/>
          <w:lang w:eastAsia="hu-HU"/>
        </w:rPr>
        <w:t>2025</w:t>
      </w:r>
      <w:r w:rsidRPr="3782F5BA">
        <w:rPr>
          <w:rFonts w:ascii="Times New Roman" w:eastAsia="Times New Roman" w:hAnsi="Times New Roman" w:cs="Times New Roman"/>
          <w:sz w:val="26"/>
          <w:szCs w:val="26"/>
          <w:lang w:eastAsia="hu-HU"/>
        </w:rPr>
        <w:t xml:space="preserve"> első két hónapjában 40,4</w:t>
      </w:r>
      <w:r w:rsidR="006224FC">
        <w:rPr>
          <w:rFonts w:ascii="Times New Roman" w:eastAsia="Times New Roman" w:hAnsi="Times New Roman" w:cs="Times New Roman"/>
          <w:sz w:val="26"/>
          <w:szCs w:val="26"/>
          <w:lang w:eastAsia="hu-HU"/>
        </w:rPr>
        <w:t> </w:t>
      </w:r>
      <w:r w:rsidRPr="3782F5BA">
        <w:rPr>
          <w:rFonts w:ascii="Times New Roman" w:eastAsia="Times New Roman" w:hAnsi="Times New Roman" w:cs="Times New Roman"/>
          <w:sz w:val="26"/>
          <w:szCs w:val="26"/>
          <w:lang w:eastAsia="hu-HU"/>
        </w:rPr>
        <w:t xml:space="preserve">milliárd forintot tett ki, amely 11,9 milliárd forinttal alacsonyabb az egy évvel korábbi bevételnél. A bevételek </w:t>
      </w:r>
      <w:r w:rsidRPr="3782F5BA">
        <w:rPr>
          <w:rFonts w:ascii="Times New Roman" w:eastAsia="Times New Roman" w:hAnsi="Times New Roman" w:cs="Times New Roman"/>
          <w:sz w:val="26"/>
          <w:szCs w:val="26"/>
          <w:lang w:eastAsia="hu-HU"/>
        </w:rPr>
        <w:lastRenderedPageBreak/>
        <w:t>előző évhez viszonyított alacsonyabb teljesülését a 2023. évi biztosítási pótadó-kötelezettség 2024. januári elszámolásából fakadó többletbevétel magyarázza.</w:t>
      </w:r>
    </w:p>
    <w:p w14:paraId="603E7087" w14:textId="6FD51A57" w:rsidR="00991169" w:rsidRDefault="3782F5BA" w:rsidP="00727FE7">
      <w:pPr>
        <w:spacing w:before="240"/>
        <w:jc w:val="both"/>
        <w:rPr>
          <w:rFonts w:ascii="Times New Roman" w:eastAsia="Times New Roman" w:hAnsi="Times New Roman" w:cs="Times New Roman"/>
          <w:b/>
          <w:bCs/>
          <w:sz w:val="26"/>
          <w:szCs w:val="26"/>
          <w:lang w:eastAsia="hu-HU"/>
        </w:rPr>
      </w:pPr>
      <w:r w:rsidRPr="3782F5BA">
        <w:rPr>
          <w:rFonts w:ascii="Times New Roman" w:eastAsia="Times New Roman" w:hAnsi="Times New Roman" w:cs="Times New Roman"/>
          <w:color w:val="000000" w:themeColor="text1"/>
          <w:sz w:val="26"/>
          <w:szCs w:val="26"/>
          <w:lang w:eastAsia="hu-HU"/>
        </w:rPr>
        <w:t xml:space="preserve">A </w:t>
      </w:r>
      <w:r w:rsidRPr="3782F5BA">
        <w:rPr>
          <w:rFonts w:ascii="Times New Roman" w:eastAsia="Times New Roman" w:hAnsi="Times New Roman" w:cs="Times New Roman"/>
          <w:b/>
          <w:bCs/>
          <w:color w:val="000000" w:themeColor="text1"/>
          <w:sz w:val="26"/>
          <w:szCs w:val="26"/>
          <w:lang w:eastAsia="hu-HU"/>
        </w:rPr>
        <w:t>személyi jövedelemadó</w:t>
      </w:r>
      <w:r w:rsidRPr="3782F5BA">
        <w:rPr>
          <w:rFonts w:ascii="Times New Roman" w:eastAsia="Times New Roman" w:hAnsi="Times New Roman" w:cs="Times New Roman"/>
          <w:color w:val="000000" w:themeColor="text1"/>
          <w:sz w:val="26"/>
          <w:szCs w:val="26"/>
          <w:lang w:eastAsia="hu-HU"/>
        </w:rPr>
        <w:t xml:space="preserve"> bevétele 2025 első két hónapjában 860,8</w:t>
      </w:r>
      <w:r w:rsidRPr="3782F5BA">
        <w:rPr>
          <w:rFonts w:ascii="Times New Roman" w:eastAsia="Times New Roman" w:hAnsi="Times New Roman" w:cs="Times New Roman"/>
          <w:sz w:val="26"/>
          <w:szCs w:val="26"/>
          <w:lang w:eastAsia="hu-HU"/>
        </w:rPr>
        <w:t> </w:t>
      </w:r>
      <w:r w:rsidRPr="3782F5BA">
        <w:rPr>
          <w:rFonts w:ascii="Times New Roman" w:eastAsia="Times New Roman" w:hAnsi="Times New Roman" w:cs="Times New Roman"/>
          <w:color w:val="000000" w:themeColor="text1"/>
          <w:sz w:val="26"/>
          <w:szCs w:val="26"/>
          <w:lang w:eastAsia="hu-HU"/>
        </w:rPr>
        <w:t>milliárd</w:t>
      </w:r>
      <w:r w:rsidRPr="3782F5BA">
        <w:rPr>
          <w:rFonts w:ascii="Times New Roman" w:eastAsia="Times New Roman" w:hAnsi="Times New Roman" w:cs="Times New Roman"/>
          <w:sz w:val="26"/>
          <w:szCs w:val="26"/>
          <w:lang w:eastAsia="hu-HU"/>
        </w:rPr>
        <w:t> </w:t>
      </w:r>
      <w:r w:rsidRPr="3782F5BA">
        <w:rPr>
          <w:rFonts w:ascii="Times New Roman" w:eastAsia="Times New Roman" w:hAnsi="Times New Roman" w:cs="Times New Roman"/>
          <w:color w:val="000000" w:themeColor="text1"/>
          <w:sz w:val="26"/>
          <w:szCs w:val="26"/>
          <w:lang w:eastAsia="hu-HU"/>
        </w:rPr>
        <w:t>forint volt, amely 93,9</w:t>
      </w:r>
      <w:r w:rsidRPr="3782F5BA">
        <w:rPr>
          <w:rFonts w:ascii="Times New Roman" w:eastAsia="Times New Roman" w:hAnsi="Times New Roman" w:cs="Times New Roman"/>
          <w:sz w:val="26"/>
          <w:szCs w:val="26"/>
          <w:lang w:eastAsia="hu-HU"/>
        </w:rPr>
        <w:t> </w:t>
      </w:r>
      <w:r w:rsidRPr="3782F5BA">
        <w:rPr>
          <w:rFonts w:ascii="Times New Roman" w:eastAsia="Times New Roman" w:hAnsi="Times New Roman" w:cs="Times New Roman"/>
          <w:color w:val="000000" w:themeColor="text1"/>
          <w:sz w:val="26"/>
          <w:szCs w:val="26"/>
          <w:lang w:eastAsia="hu-HU"/>
        </w:rPr>
        <w:t>milliárd</w:t>
      </w:r>
      <w:r w:rsidRPr="3782F5BA">
        <w:rPr>
          <w:rFonts w:ascii="Times New Roman" w:eastAsia="Times New Roman" w:hAnsi="Times New Roman" w:cs="Times New Roman"/>
          <w:sz w:val="26"/>
          <w:szCs w:val="26"/>
          <w:lang w:eastAsia="hu-HU"/>
        </w:rPr>
        <w:t> </w:t>
      </w:r>
      <w:r w:rsidRPr="3782F5BA">
        <w:rPr>
          <w:rFonts w:ascii="Times New Roman" w:eastAsia="Times New Roman" w:hAnsi="Times New Roman" w:cs="Times New Roman"/>
          <w:color w:val="000000" w:themeColor="text1"/>
          <w:sz w:val="26"/>
          <w:szCs w:val="26"/>
          <w:lang w:eastAsia="hu-HU"/>
        </w:rPr>
        <w:t>forinttal magasabb az egy évvel korábbi összegnél. Ennek oka a bértömeg növekedése.</w:t>
      </w:r>
    </w:p>
    <w:p w14:paraId="4AD2F5D6" w14:textId="21575A88" w:rsidR="00085C37" w:rsidRPr="00F7556A" w:rsidRDefault="3782F5BA" w:rsidP="3782F5BA">
      <w:pPr>
        <w:jc w:val="center"/>
        <w:rPr>
          <w:rFonts w:ascii="Times New Roman" w:eastAsia="Times New Roman" w:hAnsi="Times New Roman" w:cs="Times New Roman"/>
          <w:sz w:val="26"/>
          <w:szCs w:val="26"/>
        </w:rPr>
      </w:pPr>
      <w:r w:rsidRPr="3782F5BA">
        <w:rPr>
          <w:rFonts w:ascii="Times New Roman" w:hAnsi="Times New Roman" w:cs="Times New Roman"/>
          <w:b/>
          <w:bCs/>
        </w:rPr>
        <w:t>Személyi jövedelemadó bevétel alakulása (milliárd forint)</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9"/>
        <w:gridCol w:w="1645"/>
        <w:gridCol w:w="1701"/>
        <w:gridCol w:w="992"/>
        <w:gridCol w:w="992"/>
      </w:tblGrid>
      <w:tr w:rsidR="00991169" w:rsidRPr="00991169" w14:paraId="512CBBE5" w14:textId="77777777" w:rsidTr="007449BF">
        <w:trPr>
          <w:trHeight w:val="283"/>
          <w:jc w:val="center"/>
        </w:trPr>
        <w:tc>
          <w:tcPr>
            <w:tcW w:w="1469" w:type="dxa"/>
            <w:vMerge w:val="restart"/>
            <w:shd w:val="clear" w:color="auto" w:fill="BDD6EE" w:themeFill="accent1" w:themeFillTint="66"/>
            <w:noWrap/>
            <w:vAlign w:val="center"/>
            <w:hideMark/>
          </w:tcPr>
          <w:p w14:paraId="30847EBB" w14:textId="77777777" w:rsidR="00991169" w:rsidRPr="00991169" w:rsidRDefault="3782F5BA" w:rsidP="3782F5BA">
            <w:pPr>
              <w:keepNext/>
              <w:keepLines/>
              <w:spacing w:after="0"/>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Megnevezés</w:t>
            </w:r>
          </w:p>
        </w:tc>
        <w:tc>
          <w:tcPr>
            <w:tcW w:w="1645" w:type="dxa"/>
            <w:vMerge w:val="restart"/>
            <w:shd w:val="clear" w:color="auto" w:fill="BDD6EE" w:themeFill="accent1" w:themeFillTint="66"/>
            <w:vAlign w:val="center"/>
            <w:hideMark/>
          </w:tcPr>
          <w:p w14:paraId="0083D804" w14:textId="77777777" w:rsidR="006224FC" w:rsidRDefault="3782F5BA" w:rsidP="006224FC">
            <w:pPr>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 xml:space="preserve">2024. </w:t>
            </w:r>
          </w:p>
          <w:p w14:paraId="65FE8973" w14:textId="5D02B771" w:rsidR="00991169" w:rsidRPr="00991169" w:rsidRDefault="006D7645" w:rsidP="006224FC">
            <w:pPr>
              <w:spacing w:after="0" w:line="240" w:lineRule="auto"/>
              <w:jc w:val="center"/>
              <w:rPr>
                <w:rFonts w:ascii="Times New Roman" w:eastAsia="Times New Roman" w:hAnsi="Times New Roman" w:cs="Times New Roman"/>
                <w:b/>
                <w:bCs/>
                <w:lang w:eastAsia="hu-HU"/>
              </w:rPr>
            </w:pPr>
            <w:r>
              <w:rPr>
                <w:rFonts w:ascii="Times New Roman" w:eastAsia="Times New Roman" w:hAnsi="Times New Roman" w:cs="Times New Roman"/>
                <w:b/>
                <w:bCs/>
                <w:lang w:eastAsia="hu-HU"/>
              </w:rPr>
              <w:t>I</w:t>
            </w:r>
            <w:r w:rsidR="007449BF">
              <w:rPr>
                <w:rFonts w:ascii="Times New Roman" w:eastAsia="Times New Roman" w:hAnsi="Times New Roman" w:cs="Times New Roman"/>
                <w:b/>
                <w:bCs/>
                <w:lang w:eastAsia="hu-HU"/>
              </w:rPr>
              <w:t>-II. hó</w:t>
            </w:r>
          </w:p>
        </w:tc>
        <w:tc>
          <w:tcPr>
            <w:tcW w:w="1701" w:type="dxa"/>
            <w:vMerge w:val="restart"/>
            <w:shd w:val="clear" w:color="auto" w:fill="BDD6EE" w:themeFill="accent1" w:themeFillTint="66"/>
            <w:vAlign w:val="center"/>
            <w:hideMark/>
          </w:tcPr>
          <w:p w14:paraId="727478E2" w14:textId="77777777" w:rsidR="006224FC" w:rsidRDefault="3782F5BA" w:rsidP="006224FC">
            <w:pPr>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2025.</w:t>
            </w:r>
          </w:p>
          <w:p w14:paraId="70EBDF7C" w14:textId="794E6BF6" w:rsidR="00991169" w:rsidRPr="00991169" w:rsidRDefault="006D7645" w:rsidP="006224FC">
            <w:pPr>
              <w:spacing w:after="0" w:line="240" w:lineRule="auto"/>
              <w:jc w:val="center"/>
              <w:rPr>
                <w:rFonts w:ascii="Times New Roman" w:eastAsia="Times New Roman" w:hAnsi="Times New Roman" w:cs="Times New Roman"/>
                <w:b/>
                <w:bCs/>
                <w:lang w:eastAsia="hu-HU"/>
              </w:rPr>
            </w:pPr>
            <w:r>
              <w:rPr>
                <w:rFonts w:ascii="Times New Roman" w:eastAsia="Times New Roman" w:hAnsi="Times New Roman" w:cs="Times New Roman"/>
                <w:b/>
                <w:bCs/>
                <w:lang w:eastAsia="hu-HU"/>
              </w:rPr>
              <w:t>I</w:t>
            </w:r>
            <w:r w:rsidR="007449BF">
              <w:rPr>
                <w:rFonts w:ascii="Times New Roman" w:eastAsia="Times New Roman" w:hAnsi="Times New Roman" w:cs="Times New Roman"/>
                <w:b/>
                <w:bCs/>
                <w:lang w:eastAsia="hu-HU"/>
              </w:rPr>
              <w:t>-II. hó</w:t>
            </w:r>
          </w:p>
        </w:tc>
        <w:tc>
          <w:tcPr>
            <w:tcW w:w="1984" w:type="dxa"/>
            <w:gridSpan w:val="2"/>
            <w:shd w:val="clear" w:color="auto" w:fill="BDD6EE" w:themeFill="accent1" w:themeFillTint="66"/>
            <w:vAlign w:val="center"/>
            <w:hideMark/>
          </w:tcPr>
          <w:p w14:paraId="23E988AB" w14:textId="77777777" w:rsidR="00991169" w:rsidRPr="00991169" w:rsidRDefault="3782F5BA" w:rsidP="3782F5BA">
            <w:pPr>
              <w:keepNext/>
              <w:keepLines/>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Eltérés</w:t>
            </w:r>
          </w:p>
        </w:tc>
      </w:tr>
      <w:tr w:rsidR="00991169" w:rsidRPr="00991169" w14:paraId="406DAACE" w14:textId="77777777" w:rsidTr="007449BF">
        <w:trPr>
          <w:trHeight w:val="283"/>
          <w:jc w:val="center"/>
        </w:trPr>
        <w:tc>
          <w:tcPr>
            <w:tcW w:w="1469" w:type="dxa"/>
            <w:vMerge/>
            <w:shd w:val="clear" w:color="auto" w:fill="BDD6EE" w:themeFill="accent1" w:themeFillTint="66"/>
            <w:noWrap/>
            <w:vAlign w:val="center"/>
          </w:tcPr>
          <w:p w14:paraId="3C312DBD" w14:textId="77777777" w:rsidR="00991169" w:rsidRPr="00991169" w:rsidRDefault="00991169" w:rsidP="00991169">
            <w:pPr>
              <w:keepNext/>
              <w:keepLines/>
              <w:spacing w:after="0" w:line="240" w:lineRule="auto"/>
              <w:jc w:val="center"/>
              <w:rPr>
                <w:rFonts w:ascii="Times New Roman" w:eastAsia="Times New Roman" w:hAnsi="Times New Roman" w:cs="Times New Roman"/>
                <w:b/>
                <w:bCs/>
                <w:szCs w:val="20"/>
                <w:lang w:eastAsia="hu-HU"/>
              </w:rPr>
            </w:pPr>
          </w:p>
        </w:tc>
        <w:tc>
          <w:tcPr>
            <w:tcW w:w="1645" w:type="dxa"/>
            <w:vMerge/>
            <w:shd w:val="clear" w:color="auto" w:fill="BDD6EE" w:themeFill="accent1" w:themeFillTint="66"/>
            <w:vAlign w:val="center"/>
          </w:tcPr>
          <w:p w14:paraId="45B47491" w14:textId="77777777" w:rsidR="00991169" w:rsidRPr="00991169" w:rsidRDefault="00991169" w:rsidP="00991169">
            <w:pPr>
              <w:spacing w:after="0" w:line="240" w:lineRule="auto"/>
              <w:jc w:val="center"/>
              <w:rPr>
                <w:rFonts w:ascii="Times New Roman" w:eastAsia="Times New Roman" w:hAnsi="Times New Roman" w:cs="Times New Roman"/>
                <w:b/>
                <w:bCs/>
                <w:szCs w:val="20"/>
                <w:lang w:eastAsia="hu-HU"/>
              </w:rPr>
            </w:pPr>
          </w:p>
        </w:tc>
        <w:tc>
          <w:tcPr>
            <w:tcW w:w="1701" w:type="dxa"/>
            <w:vMerge/>
            <w:shd w:val="clear" w:color="auto" w:fill="BDD6EE" w:themeFill="accent1" w:themeFillTint="66"/>
            <w:vAlign w:val="center"/>
          </w:tcPr>
          <w:p w14:paraId="36E8AE66" w14:textId="77777777" w:rsidR="00991169" w:rsidRPr="00991169" w:rsidRDefault="00991169" w:rsidP="00991169">
            <w:pPr>
              <w:spacing w:after="0" w:line="240" w:lineRule="auto"/>
              <w:jc w:val="center"/>
              <w:rPr>
                <w:rFonts w:ascii="Times New Roman" w:eastAsia="Times New Roman" w:hAnsi="Times New Roman" w:cs="Times New Roman"/>
                <w:b/>
                <w:bCs/>
                <w:szCs w:val="20"/>
                <w:lang w:eastAsia="hu-HU"/>
              </w:rPr>
            </w:pPr>
          </w:p>
        </w:tc>
        <w:tc>
          <w:tcPr>
            <w:tcW w:w="992" w:type="dxa"/>
            <w:shd w:val="clear" w:color="auto" w:fill="BDD6EE" w:themeFill="accent1" w:themeFillTint="66"/>
            <w:vAlign w:val="center"/>
          </w:tcPr>
          <w:p w14:paraId="17776316" w14:textId="77777777" w:rsidR="00991169" w:rsidRPr="00991169" w:rsidRDefault="3782F5BA" w:rsidP="3782F5BA">
            <w:pPr>
              <w:keepNext/>
              <w:keepLines/>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Mrd Ft</w:t>
            </w:r>
          </w:p>
        </w:tc>
        <w:tc>
          <w:tcPr>
            <w:tcW w:w="992" w:type="dxa"/>
            <w:shd w:val="clear" w:color="auto" w:fill="BDD6EE" w:themeFill="accent1" w:themeFillTint="66"/>
          </w:tcPr>
          <w:p w14:paraId="5A210946" w14:textId="77777777" w:rsidR="00991169" w:rsidRPr="00991169" w:rsidRDefault="3782F5BA" w:rsidP="3782F5BA">
            <w:pPr>
              <w:keepNext/>
              <w:keepLines/>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w:t>
            </w:r>
          </w:p>
        </w:tc>
      </w:tr>
      <w:tr w:rsidR="00991169" w:rsidRPr="00991169" w14:paraId="7711F8F2" w14:textId="77777777" w:rsidTr="73C5D9BC">
        <w:trPr>
          <w:trHeight w:val="340"/>
          <w:jc w:val="center"/>
        </w:trPr>
        <w:tc>
          <w:tcPr>
            <w:tcW w:w="1469" w:type="dxa"/>
            <w:shd w:val="clear" w:color="auto" w:fill="auto"/>
            <w:noWrap/>
            <w:vAlign w:val="center"/>
            <w:hideMark/>
          </w:tcPr>
          <w:p w14:paraId="4A3E7BA6" w14:textId="77777777" w:rsidR="00991169" w:rsidRPr="00991169" w:rsidRDefault="3782F5BA" w:rsidP="3782F5BA">
            <w:pPr>
              <w:keepNext/>
              <w:keepLines/>
              <w:spacing w:after="0" w:line="240" w:lineRule="auto"/>
              <w:jc w:val="both"/>
              <w:rPr>
                <w:rFonts w:ascii="Times New Roman" w:eastAsia="Times New Roman" w:hAnsi="Times New Roman" w:cs="Times New Roman"/>
                <w:lang w:eastAsia="hu-HU"/>
              </w:rPr>
            </w:pPr>
            <w:r w:rsidRPr="3782F5BA">
              <w:rPr>
                <w:rFonts w:ascii="Times New Roman" w:eastAsia="Times New Roman" w:hAnsi="Times New Roman" w:cs="Times New Roman"/>
                <w:lang w:eastAsia="hu-HU"/>
              </w:rPr>
              <w:t>Befizetés</w:t>
            </w:r>
          </w:p>
        </w:tc>
        <w:tc>
          <w:tcPr>
            <w:tcW w:w="1645" w:type="dxa"/>
            <w:shd w:val="clear" w:color="auto" w:fill="auto"/>
            <w:noWrap/>
            <w:vAlign w:val="center"/>
          </w:tcPr>
          <w:p w14:paraId="5A1A6ED6" w14:textId="77777777" w:rsidR="00991169" w:rsidRPr="00991169" w:rsidRDefault="73C5D9BC" w:rsidP="73C5D9BC">
            <w:pPr>
              <w:keepNext/>
              <w:keepLines/>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775,8</w:t>
            </w:r>
          </w:p>
        </w:tc>
        <w:tc>
          <w:tcPr>
            <w:tcW w:w="1701" w:type="dxa"/>
            <w:shd w:val="clear" w:color="auto" w:fill="auto"/>
            <w:noWrap/>
            <w:vAlign w:val="center"/>
          </w:tcPr>
          <w:p w14:paraId="431AF849" w14:textId="77777777" w:rsidR="00991169" w:rsidRPr="00991169" w:rsidRDefault="73C5D9BC" w:rsidP="73C5D9BC">
            <w:pPr>
              <w:keepNext/>
              <w:keepLines/>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867,9</w:t>
            </w:r>
          </w:p>
        </w:tc>
        <w:tc>
          <w:tcPr>
            <w:tcW w:w="992" w:type="dxa"/>
            <w:shd w:val="clear" w:color="auto" w:fill="auto"/>
            <w:noWrap/>
            <w:vAlign w:val="center"/>
          </w:tcPr>
          <w:p w14:paraId="7CB3DB9D" w14:textId="77777777" w:rsidR="00991169" w:rsidRPr="00991169" w:rsidRDefault="73C5D9BC" w:rsidP="73C5D9BC">
            <w:pPr>
              <w:keepNext/>
              <w:keepLines/>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92,1</w:t>
            </w:r>
          </w:p>
        </w:tc>
        <w:tc>
          <w:tcPr>
            <w:tcW w:w="992" w:type="dxa"/>
            <w:shd w:val="clear" w:color="auto" w:fill="auto"/>
            <w:vAlign w:val="center"/>
          </w:tcPr>
          <w:p w14:paraId="1AFD00BC" w14:textId="77777777" w:rsidR="00991169" w:rsidRPr="00991169" w:rsidRDefault="73C5D9BC" w:rsidP="73C5D9BC">
            <w:pPr>
              <w:keepNext/>
              <w:keepLines/>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111,9</w:t>
            </w:r>
          </w:p>
        </w:tc>
      </w:tr>
      <w:tr w:rsidR="00991169" w:rsidRPr="00991169" w14:paraId="74BEA537" w14:textId="77777777" w:rsidTr="73C5D9BC">
        <w:trPr>
          <w:trHeight w:val="340"/>
          <w:jc w:val="center"/>
        </w:trPr>
        <w:tc>
          <w:tcPr>
            <w:tcW w:w="1469" w:type="dxa"/>
            <w:shd w:val="clear" w:color="auto" w:fill="auto"/>
            <w:noWrap/>
            <w:vAlign w:val="center"/>
            <w:hideMark/>
          </w:tcPr>
          <w:p w14:paraId="07885527" w14:textId="77777777" w:rsidR="00991169" w:rsidRPr="00991169" w:rsidRDefault="3782F5BA" w:rsidP="3782F5BA">
            <w:pPr>
              <w:keepNext/>
              <w:keepLines/>
              <w:spacing w:after="0" w:line="240" w:lineRule="auto"/>
              <w:jc w:val="both"/>
              <w:rPr>
                <w:rFonts w:ascii="Times New Roman" w:eastAsia="Times New Roman" w:hAnsi="Times New Roman" w:cs="Times New Roman"/>
                <w:lang w:eastAsia="hu-HU"/>
              </w:rPr>
            </w:pPr>
            <w:r w:rsidRPr="3782F5BA">
              <w:rPr>
                <w:rFonts w:ascii="Times New Roman" w:eastAsia="Times New Roman" w:hAnsi="Times New Roman" w:cs="Times New Roman"/>
                <w:lang w:eastAsia="hu-HU"/>
              </w:rPr>
              <w:t>Kiutalás</w:t>
            </w:r>
          </w:p>
        </w:tc>
        <w:tc>
          <w:tcPr>
            <w:tcW w:w="1645" w:type="dxa"/>
            <w:shd w:val="clear" w:color="auto" w:fill="auto"/>
            <w:noWrap/>
            <w:vAlign w:val="center"/>
          </w:tcPr>
          <w:p w14:paraId="143768C0" w14:textId="77777777" w:rsidR="00991169" w:rsidRPr="00991169" w:rsidRDefault="73C5D9BC" w:rsidP="73C5D9BC">
            <w:pPr>
              <w:keepNext/>
              <w:keepLines/>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8,9</w:t>
            </w:r>
          </w:p>
        </w:tc>
        <w:tc>
          <w:tcPr>
            <w:tcW w:w="1701" w:type="dxa"/>
            <w:shd w:val="clear" w:color="auto" w:fill="auto"/>
            <w:noWrap/>
            <w:vAlign w:val="center"/>
          </w:tcPr>
          <w:p w14:paraId="2CBA4E57" w14:textId="77777777" w:rsidR="00991169" w:rsidRPr="00991169" w:rsidRDefault="73C5D9BC" w:rsidP="73C5D9BC">
            <w:pPr>
              <w:keepNext/>
              <w:keepLines/>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7,1</w:t>
            </w:r>
          </w:p>
        </w:tc>
        <w:tc>
          <w:tcPr>
            <w:tcW w:w="992" w:type="dxa"/>
            <w:shd w:val="clear" w:color="auto" w:fill="auto"/>
            <w:noWrap/>
            <w:vAlign w:val="center"/>
          </w:tcPr>
          <w:p w14:paraId="025C291D" w14:textId="77777777" w:rsidR="00991169" w:rsidRPr="00991169" w:rsidRDefault="73C5D9BC" w:rsidP="73C5D9BC">
            <w:pPr>
              <w:keepNext/>
              <w:keepLines/>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-1,8</w:t>
            </w:r>
          </w:p>
        </w:tc>
        <w:tc>
          <w:tcPr>
            <w:tcW w:w="992" w:type="dxa"/>
            <w:shd w:val="clear" w:color="auto" w:fill="auto"/>
            <w:vAlign w:val="center"/>
          </w:tcPr>
          <w:p w14:paraId="24A1F848" w14:textId="77777777" w:rsidR="00991169" w:rsidRPr="00991169" w:rsidRDefault="73C5D9BC" w:rsidP="73C5D9BC">
            <w:pPr>
              <w:keepNext/>
              <w:keepLines/>
              <w:spacing w:after="0" w:line="240" w:lineRule="auto"/>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79,8</w:t>
            </w:r>
          </w:p>
        </w:tc>
      </w:tr>
      <w:tr w:rsidR="00991169" w:rsidRPr="00991169" w14:paraId="1B4C78D8" w14:textId="77777777" w:rsidTr="73C5D9BC">
        <w:trPr>
          <w:trHeight w:val="340"/>
          <w:jc w:val="center"/>
        </w:trPr>
        <w:tc>
          <w:tcPr>
            <w:tcW w:w="1469" w:type="dxa"/>
            <w:shd w:val="clear" w:color="auto" w:fill="auto"/>
            <w:noWrap/>
            <w:vAlign w:val="center"/>
            <w:hideMark/>
          </w:tcPr>
          <w:p w14:paraId="50D535A0" w14:textId="77777777" w:rsidR="00991169" w:rsidRPr="00991169" w:rsidRDefault="3782F5BA" w:rsidP="3782F5BA">
            <w:pPr>
              <w:widowControl w:val="0"/>
              <w:spacing w:after="0" w:line="240" w:lineRule="auto"/>
              <w:jc w:val="both"/>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Egyenleg</w:t>
            </w:r>
          </w:p>
        </w:tc>
        <w:tc>
          <w:tcPr>
            <w:tcW w:w="1645" w:type="dxa"/>
            <w:shd w:val="clear" w:color="auto" w:fill="auto"/>
            <w:noWrap/>
            <w:vAlign w:val="center"/>
          </w:tcPr>
          <w:p w14:paraId="1E7724B4" w14:textId="77777777" w:rsidR="00991169" w:rsidRPr="00991169" w:rsidRDefault="73C5D9BC" w:rsidP="73C5D9BC">
            <w:pPr>
              <w:widowControl w:val="0"/>
              <w:spacing w:after="0" w:line="240" w:lineRule="auto"/>
              <w:jc w:val="right"/>
              <w:rPr>
                <w:rFonts w:ascii="Times New Roman" w:eastAsia="Times New Roman" w:hAnsi="Times New Roman" w:cs="Times New Roman"/>
                <w:b/>
                <w:bCs/>
                <w:lang w:eastAsia="hu-HU"/>
              </w:rPr>
            </w:pPr>
            <w:r w:rsidRPr="73C5D9BC">
              <w:rPr>
                <w:rFonts w:ascii="Times New Roman" w:eastAsia="Times New Roman" w:hAnsi="Times New Roman" w:cs="Times New Roman"/>
                <w:b/>
                <w:bCs/>
                <w:lang w:eastAsia="hu-HU"/>
              </w:rPr>
              <w:t>766,9</w:t>
            </w:r>
          </w:p>
        </w:tc>
        <w:tc>
          <w:tcPr>
            <w:tcW w:w="1701" w:type="dxa"/>
            <w:shd w:val="clear" w:color="auto" w:fill="auto"/>
            <w:noWrap/>
            <w:vAlign w:val="center"/>
          </w:tcPr>
          <w:p w14:paraId="5BC7BE3E" w14:textId="77777777" w:rsidR="00991169" w:rsidRPr="00991169" w:rsidRDefault="73C5D9BC" w:rsidP="73C5D9BC">
            <w:pPr>
              <w:widowControl w:val="0"/>
              <w:spacing w:after="0" w:line="240" w:lineRule="auto"/>
              <w:jc w:val="right"/>
              <w:rPr>
                <w:rFonts w:ascii="Times New Roman" w:eastAsia="Times New Roman" w:hAnsi="Times New Roman" w:cs="Times New Roman"/>
                <w:b/>
                <w:bCs/>
                <w:lang w:eastAsia="hu-HU"/>
              </w:rPr>
            </w:pPr>
            <w:r w:rsidRPr="73C5D9BC">
              <w:rPr>
                <w:rFonts w:ascii="Times New Roman" w:eastAsia="Times New Roman" w:hAnsi="Times New Roman" w:cs="Times New Roman"/>
                <w:b/>
                <w:bCs/>
                <w:lang w:eastAsia="hu-HU"/>
              </w:rPr>
              <w:t>860,8</w:t>
            </w:r>
          </w:p>
        </w:tc>
        <w:tc>
          <w:tcPr>
            <w:tcW w:w="992" w:type="dxa"/>
            <w:shd w:val="clear" w:color="auto" w:fill="auto"/>
            <w:noWrap/>
            <w:vAlign w:val="center"/>
          </w:tcPr>
          <w:p w14:paraId="18DA3AD9" w14:textId="77777777" w:rsidR="00991169" w:rsidRPr="00991169" w:rsidRDefault="73C5D9BC" w:rsidP="73C5D9BC">
            <w:pPr>
              <w:widowControl w:val="0"/>
              <w:spacing w:after="0" w:line="240" w:lineRule="auto"/>
              <w:jc w:val="right"/>
              <w:rPr>
                <w:rFonts w:ascii="Times New Roman" w:eastAsia="Times New Roman" w:hAnsi="Times New Roman" w:cs="Times New Roman"/>
                <w:b/>
                <w:bCs/>
                <w:lang w:eastAsia="hu-HU"/>
              </w:rPr>
            </w:pPr>
            <w:r w:rsidRPr="73C5D9BC">
              <w:rPr>
                <w:rFonts w:ascii="Times New Roman" w:eastAsia="Times New Roman" w:hAnsi="Times New Roman" w:cs="Times New Roman"/>
                <w:b/>
                <w:bCs/>
                <w:lang w:eastAsia="hu-HU"/>
              </w:rPr>
              <w:t>93,9</w:t>
            </w:r>
          </w:p>
        </w:tc>
        <w:tc>
          <w:tcPr>
            <w:tcW w:w="992" w:type="dxa"/>
            <w:shd w:val="clear" w:color="auto" w:fill="auto"/>
            <w:vAlign w:val="center"/>
          </w:tcPr>
          <w:p w14:paraId="07106702" w14:textId="77777777" w:rsidR="00991169" w:rsidRPr="00991169" w:rsidRDefault="73C5D9BC" w:rsidP="73C5D9BC">
            <w:pPr>
              <w:widowControl w:val="0"/>
              <w:spacing w:after="0" w:line="240" w:lineRule="auto"/>
              <w:jc w:val="right"/>
              <w:rPr>
                <w:rFonts w:ascii="Times New Roman" w:eastAsia="Times New Roman" w:hAnsi="Times New Roman" w:cs="Times New Roman"/>
                <w:b/>
                <w:bCs/>
                <w:lang w:eastAsia="hu-HU"/>
              </w:rPr>
            </w:pPr>
            <w:r w:rsidRPr="73C5D9BC">
              <w:rPr>
                <w:rFonts w:ascii="Times New Roman" w:eastAsia="Times New Roman" w:hAnsi="Times New Roman" w:cs="Times New Roman"/>
                <w:b/>
                <w:bCs/>
                <w:lang w:eastAsia="hu-HU"/>
              </w:rPr>
              <w:t>112,2</w:t>
            </w:r>
          </w:p>
        </w:tc>
      </w:tr>
    </w:tbl>
    <w:p w14:paraId="54234F12" w14:textId="08A829EF" w:rsidR="123EFD2F" w:rsidRPr="00377D59" w:rsidRDefault="3782F5BA" w:rsidP="3782F5BA">
      <w:pPr>
        <w:spacing w:before="240"/>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 xml:space="preserve">A </w:t>
      </w:r>
      <w:r w:rsidRPr="3782F5BA">
        <w:rPr>
          <w:rFonts w:ascii="Times New Roman" w:eastAsia="Times New Roman" w:hAnsi="Times New Roman" w:cs="Times New Roman"/>
          <w:b/>
          <w:bCs/>
          <w:sz w:val="26"/>
          <w:szCs w:val="26"/>
        </w:rPr>
        <w:t>Központi Maradványelszámolási Alapba</w:t>
      </w:r>
      <w:r w:rsidRPr="3782F5BA">
        <w:rPr>
          <w:rFonts w:ascii="Times New Roman" w:eastAsia="Times New Roman" w:hAnsi="Times New Roman" w:cs="Times New Roman"/>
          <w:sz w:val="26"/>
          <w:szCs w:val="26"/>
        </w:rPr>
        <w:t xml:space="preserve"> </w:t>
      </w:r>
      <w:r w:rsidRPr="3782F5BA">
        <w:rPr>
          <w:rFonts w:ascii="Times New Roman" w:eastAsia="Times New Roman" w:hAnsi="Times New Roman" w:cs="Times New Roman"/>
          <w:b/>
          <w:bCs/>
          <w:sz w:val="26"/>
          <w:szCs w:val="26"/>
        </w:rPr>
        <w:t>történő befizetések</w:t>
      </w:r>
      <w:r w:rsidRPr="3782F5BA">
        <w:rPr>
          <w:rFonts w:ascii="Times New Roman" w:eastAsia="Times New Roman" w:hAnsi="Times New Roman" w:cs="Times New Roman"/>
          <w:sz w:val="26"/>
          <w:szCs w:val="26"/>
        </w:rPr>
        <w:t xml:space="preserve"> mérlegsorra az év első két hónapjában 1,7 milliárd forint maradvány került befizetésre, szemben az előző év azonos időszakában befolyt 21,1 milliárd forintos összeggel.</w:t>
      </w:r>
    </w:p>
    <w:p w14:paraId="25C427CE" w14:textId="2A7FC373" w:rsidR="029C2633" w:rsidRDefault="3782F5BA" w:rsidP="3782F5BA">
      <w:pPr>
        <w:spacing w:before="160"/>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 xml:space="preserve">Az </w:t>
      </w:r>
      <w:r w:rsidRPr="3782F5BA">
        <w:rPr>
          <w:rFonts w:ascii="Times New Roman" w:eastAsia="Times New Roman" w:hAnsi="Times New Roman" w:cs="Times New Roman"/>
          <w:b/>
          <w:bCs/>
          <w:sz w:val="26"/>
          <w:szCs w:val="26"/>
        </w:rPr>
        <w:t>állami vagyonnal kapcsolatos befizetések</w:t>
      </w:r>
      <w:r w:rsidRPr="3782F5BA">
        <w:rPr>
          <w:rFonts w:ascii="Times New Roman" w:eastAsia="Times New Roman" w:hAnsi="Times New Roman" w:cs="Times New Roman"/>
          <w:sz w:val="26"/>
          <w:szCs w:val="26"/>
        </w:rPr>
        <w:t xml:space="preserve"> </w:t>
      </w:r>
      <w:r w:rsidR="00F632DF" w:rsidRPr="00F632DF">
        <w:rPr>
          <w:rFonts w:ascii="Times New Roman" w:eastAsia="Times New Roman" w:hAnsi="Times New Roman" w:cs="Times New Roman"/>
          <w:sz w:val="26"/>
          <w:szCs w:val="26"/>
        </w:rPr>
        <w:t xml:space="preserve">2025 </w:t>
      </w:r>
      <w:r w:rsidR="000A2818">
        <w:rPr>
          <w:rFonts w:ascii="Times New Roman" w:eastAsia="Times New Roman" w:hAnsi="Times New Roman" w:cs="Times New Roman"/>
          <w:sz w:val="26"/>
          <w:szCs w:val="26"/>
        </w:rPr>
        <w:t>első két</w:t>
      </w:r>
      <w:r w:rsidR="00F632DF">
        <w:rPr>
          <w:rFonts w:ascii="Times New Roman" w:eastAsia="Times New Roman" w:hAnsi="Times New Roman" w:cs="Times New Roman"/>
          <w:sz w:val="26"/>
          <w:szCs w:val="26"/>
        </w:rPr>
        <w:t>havi összege közel 27,7 </w:t>
      </w:r>
      <w:r w:rsidR="00F632DF" w:rsidRPr="00F632DF">
        <w:rPr>
          <w:rFonts w:ascii="Times New Roman" w:eastAsia="Times New Roman" w:hAnsi="Times New Roman" w:cs="Times New Roman"/>
          <w:sz w:val="26"/>
          <w:szCs w:val="26"/>
        </w:rPr>
        <w:t>milliárd forint, amelynek meghatározó tétele a kvótaértékesítés volt</w:t>
      </w:r>
      <w:r w:rsidRPr="3782F5BA">
        <w:rPr>
          <w:rFonts w:ascii="Times New Roman" w:eastAsia="Times New Roman" w:hAnsi="Times New Roman" w:cs="Times New Roman"/>
          <w:sz w:val="26"/>
          <w:szCs w:val="26"/>
        </w:rPr>
        <w:t xml:space="preserve">. </w:t>
      </w:r>
    </w:p>
    <w:p w14:paraId="0D0F2783" w14:textId="4C91530C" w:rsidR="009D55B4" w:rsidRPr="00377D59" w:rsidRDefault="00BE5712" w:rsidP="009D55B4">
      <w:pPr>
        <w:jc w:val="center"/>
        <w:rPr>
          <w:rFonts w:ascii="Times New Roman" w:eastAsia="Times New Roman" w:hAnsi="Times New Roman" w:cs="Times New Roman"/>
          <w:sz w:val="26"/>
          <w:szCs w:val="26"/>
        </w:rPr>
      </w:pPr>
      <w:r>
        <w:rPr>
          <w:noProof/>
          <w:lang w:eastAsia="hu-HU"/>
        </w:rPr>
        <w:drawing>
          <wp:inline distT="0" distB="0" distL="0" distR="0" wp14:anchorId="7E2BE253" wp14:editId="5832AC4C">
            <wp:extent cx="5924793" cy="3603009"/>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39817" cy="3612145"/>
                    </a:xfrm>
                    <a:prstGeom prst="rect">
                      <a:avLst/>
                    </a:prstGeom>
                  </pic:spPr>
                </pic:pic>
              </a:graphicData>
            </a:graphic>
          </wp:inline>
        </w:drawing>
      </w:r>
    </w:p>
    <w:p w14:paraId="23623F4E" w14:textId="1759065C" w:rsidR="5B67C7D7" w:rsidRPr="00920F4D" w:rsidRDefault="3782F5BA" w:rsidP="00081FF0">
      <w:pPr>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 xml:space="preserve">A költségvetés XLV. </w:t>
      </w:r>
      <w:r w:rsidRPr="3782F5BA">
        <w:rPr>
          <w:rFonts w:ascii="Times New Roman" w:eastAsia="Times New Roman" w:hAnsi="Times New Roman" w:cs="Times New Roman"/>
          <w:b/>
          <w:bCs/>
          <w:sz w:val="26"/>
          <w:szCs w:val="26"/>
        </w:rPr>
        <w:t>Állami beruházások</w:t>
      </w:r>
      <w:r w:rsidRPr="3782F5BA">
        <w:rPr>
          <w:rFonts w:ascii="Times New Roman" w:eastAsia="Times New Roman" w:hAnsi="Times New Roman" w:cs="Times New Roman"/>
          <w:sz w:val="26"/>
          <w:szCs w:val="26"/>
        </w:rPr>
        <w:t xml:space="preserve"> fejezetének bevételei 2025. február végéig 30,3 milliárd forintot tettek ki.</w:t>
      </w:r>
    </w:p>
    <w:p w14:paraId="4BE4CA6A" w14:textId="5E86A1AC" w:rsidR="39728167" w:rsidRPr="00377D59" w:rsidRDefault="73C5D9BC" w:rsidP="00081FF0">
      <w:pPr>
        <w:jc w:val="both"/>
        <w:rPr>
          <w:rFonts w:ascii="Times New Roman" w:hAnsi="Times New Roman" w:cs="Times New Roman"/>
        </w:rPr>
      </w:pPr>
      <w:r w:rsidRPr="73C5D9BC">
        <w:rPr>
          <w:rFonts w:ascii="Times New Roman" w:eastAsia="Times New Roman" w:hAnsi="Times New Roman" w:cs="Times New Roman"/>
          <w:sz w:val="26"/>
          <w:szCs w:val="26"/>
        </w:rPr>
        <w:t xml:space="preserve">Az uniós bevételek főszabály szerint a XLII. A költségvetés közvetlen bevételei és kiadásai fejezetbe érkeznek, ezek kimutatására szolgálnak az </w:t>
      </w:r>
      <w:r w:rsidRPr="73C5D9BC">
        <w:rPr>
          <w:rFonts w:ascii="Times New Roman" w:eastAsia="Times New Roman" w:hAnsi="Times New Roman" w:cs="Times New Roman"/>
          <w:b/>
          <w:bCs/>
          <w:sz w:val="26"/>
          <w:szCs w:val="26"/>
        </w:rPr>
        <w:t>Uniós programok bevételei</w:t>
      </w:r>
      <w:r w:rsidRPr="73C5D9BC">
        <w:rPr>
          <w:rFonts w:ascii="Times New Roman" w:eastAsia="Times New Roman" w:hAnsi="Times New Roman" w:cs="Times New Roman"/>
          <w:sz w:val="26"/>
          <w:szCs w:val="26"/>
        </w:rPr>
        <w:t xml:space="preserve">, valamint az </w:t>
      </w:r>
      <w:r w:rsidRPr="73C5D9BC">
        <w:rPr>
          <w:rFonts w:ascii="Times New Roman" w:eastAsia="Times New Roman" w:hAnsi="Times New Roman" w:cs="Times New Roman"/>
          <w:b/>
          <w:bCs/>
          <w:sz w:val="26"/>
          <w:szCs w:val="26"/>
        </w:rPr>
        <w:t>Egyéb uniós bevételek</w:t>
      </w:r>
      <w:r w:rsidRPr="73C5D9BC">
        <w:rPr>
          <w:rFonts w:ascii="Times New Roman" w:eastAsia="Times New Roman" w:hAnsi="Times New Roman" w:cs="Times New Roman"/>
          <w:sz w:val="26"/>
          <w:szCs w:val="26"/>
        </w:rPr>
        <w:t xml:space="preserve"> mérlegsorok.</w:t>
      </w:r>
    </w:p>
    <w:p w14:paraId="1E44DCF7" w14:textId="03B1D9B4" w:rsidR="39728167" w:rsidRPr="00377D59" w:rsidRDefault="3782F5BA" w:rsidP="00081FF0">
      <w:pPr>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lastRenderedPageBreak/>
        <w:t xml:space="preserve">Az </w:t>
      </w:r>
      <w:r w:rsidRPr="3782F5BA">
        <w:rPr>
          <w:rFonts w:ascii="Times New Roman" w:eastAsia="Times New Roman" w:hAnsi="Times New Roman" w:cs="Times New Roman"/>
          <w:b/>
          <w:bCs/>
          <w:sz w:val="26"/>
          <w:szCs w:val="26"/>
        </w:rPr>
        <w:t>Uniós programok bevételei</w:t>
      </w:r>
      <w:r w:rsidRPr="3782F5BA">
        <w:rPr>
          <w:rFonts w:ascii="Times New Roman" w:eastAsia="Times New Roman" w:hAnsi="Times New Roman" w:cs="Times New Roman"/>
          <w:sz w:val="26"/>
          <w:szCs w:val="26"/>
        </w:rPr>
        <w:t xml:space="preserve"> mérlegsoron 2025. február végéig 122,6 milliárd forint bevétel keletkezett. Ez az összeg a törvényi előirányzat (2</w:t>
      </w:r>
      <w:r w:rsidR="00081FF0">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235,9 milliárd forint) 5,5%-át teszi ki. A teljesült bevételből 98,5</w:t>
      </w:r>
      <w:r w:rsidR="006224FC">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 az uniós és 24,1</w:t>
      </w:r>
      <w:r w:rsidR="006224FC">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 xml:space="preserve">milliárd forint az egyéb bevételekhez tartozik. </w:t>
      </w:r>
    </w:p>
    <w:p w14:paraId="040E2327" w14:textId="3C76C1F4" w:rsidR="74B9DF17" w:rsidRDefault="3782F5BA" w:rsidP="00081FF0">
      <w:pPr>
        <w:jc w:val="both"/>
      </w:pPr>
      <w:r w:rsidRPr="3782F5BA">
        <w:rPr>
          <w:rFonts w:ascii="Times New Roman" w:eastAsia="Times New Roman" w:hAnsi="Times New Roman" w:cs="Times New Roman"/>
          <w:sz w:val="26"/>
          <w:szCs w:val="26"/>
        </w:rPr>
        <w:t xml:space="preserve">Az </w:t>
      </w:r>
      <w:r w:rsidRPr="3782F5BA">
        <w:rPr>
          <w:rFonts w:ascii="Times New Roman" w:eastAsia="Times New Roman" w:hAnsi="Times New Roman" w:cs="Times New Roman"/>
          <w:b/>
          <w:bCs/>
          <w:sz w:val="26"/>
          <w:szCs w:val="26"/>
        </w:rPr>
        <w:t xml:space="preserve">Egyéb uniós bevételek </w:t>
      </w:r>
      <w:r w:rsidRPr="3782F5BA">
        <w:rPr>
          <w:rFonts w:ascii="Times New Roman" w:eastAsia="Times New Roman" w:hAnsi="Times New Roman" w:cs="Times New Roman"/>
          <w:sz w:val="26"/>
          <w:szCs w:val="26"/>
        </w:rPr>
        <w:t>soron a vámbeszedési költség megtérítése jelenik meg, mely 5,4</w:t>
      </w:r>
      <w:r w:rsidR="006224FC">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forintot tett ki 2025 februárig. Ez az összeg a törvényi előirányzat 16,9%-a</w:t>
      </w:r>
      <w:r w:rsidR="006224FC">
        <w:rPr>
          <w:rFonts w:ascii="Times New Roman" w:eastAsia="Times New Roman" w:hAnsi="Times New Roman" w:cs="Times New Roman"/>
          <w:sz w:val="26"/>
          <w:szCs w:val="26"/>
        </w:rPr>
        <w:t>,</w:t>
      </w:r>
      <w:r w:rsidRPr="3782F5BA">
        <w:rPr>
          <w:rFonts w:ascii="Times New Roman" w:eastAsia="Times New Roman" w:hAnsi="Times New Roman" w:cs="Times New Roman"/>
          <w:sz w:val="26"/>
          <w:szCs w:val="26"/>
        </w:rPr>
        <w:t xml:space="preserve"> és 0,5</w:t>
      </w:r>
      <w:r w:rsidR="006224FC">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forinttal haladja meg a 2024. év azonos időszakában keletkezett bevételt.</w:t>
      </w:r>
    </w:p>
    <w:p w14:paraId="618CDC04" w14:textId="74DBC897" w:rsidR="00991169" w:rsidRPr="00991169" w:rsidRDefault="3782F5BA" w:rsidP="00081FF0">
      <w:pPr>
        <w:jc w:val="both"/>
        <w:rPr>
          <w:rFonts w:ascii="Times New Roman" w:eastAsia="Calibri" w:hAnsi="Times New Roman" w:cs="Times New Roman"/>
          <w:sz w:val="26"/>
          <w:szCs w:val="26"/>
          <w:lang w:eastAsia="hu-HU"/>
        </w:rPr>
      </w:pPr>
      <w:r w:rsidRPr="3782F5BA">
        <w:rPr>
          <w:rFonts w:ascii="Times New Roman" w:eastAsia="Calibri" w:hAnsi="Times New Roman" w:cs="Times New Roman"/>
          <w:sz w:val="26"/>
          <w:szCs w:val="26"/>
          <w:lang w:eastAsia="hu-HU"/>
        </w:rPr>
        <w:t>A befizetett társadalombiztosítási járulék 8,1%-át az állami adóhatóság a foglalkoztatási programokkal kapcsolatos elkülönített állami pénzalapnak utalja át. 2025</w:t>
      </w:r>
      <w:r w:rsidR="003558B8">
        <w:rPr>
          <w:rFonts w:ascii="Times New Roman" w:eastAsia="Calibri" w:hAnsi="Times New Roman" w:cs="Times New Roman"/>
          <w:sz w:val="26"/>
          <w:szCs w:val="26"/>
          <w:lang w:eastAsia="hu-HU"/>
        </w:rPr>
        <w:t>.</w:t>
      </w:r>
      <w:r w:rsidRPr="3782F5BA">
        <w:rPr>
          <w:rFonts w:ascii="Times New Roman" w:eastAsia="Calibri" w:hAnsi="Times New Roman" w:cs="Times New Roman"/>
          <w:sz w:val="26"/>
          <w:szCs w:val="26"/>
          <w:lang w:eastAsia="hu-HU"/>
        </w:rPr>
        <w:t xml:space="preserve"> </w:t>
      </w:r>
      <w:r w:rsidR="003558B8">
        <w:rPr>
          <w:rFonts w:ascii="Times New Roman" w:eastAsia="Calibri" w:hAnsi="Times New Roman" w:cs="Times New Roman"/>
          <w:sz w:val="26"/>
          <w:szCs w:val="26"/>
          <w:lang w:eastAsia="hu-HU"/>
        </w:rPr>
        <w:t>február végéig</w:t>
      </w:r>
      <w:r w:rsidRPr="3782F5BA">
        <w:rPr>
          <w:rFonts w:ascii="Times New Roman" w:eastAsia="Calibri" w:hAnsi="Times New Roman" w:cs="Times New Roman"/>
          <w:sz w:val="26"/>
          <w:szCs w:val="26"/>
          <w:lang w:eastAsia="hu-HU"/>
        </w:rPr>
        <w:t xml:space="preserve"> a </w:t>
      </w:r>
      <w:r w:rsidRPr="3782F5BA">
        <w:rPr>
          <w:rFonts w:ascii="Times New Roman" w:eastAsia="Calibri" w:hAnsi="Times New Roman" w:cs="Times New Roman"/>
          <w:b/>
          <w:bCs/>
          <w:sz w:val="26"/>
          <w:szCs w:val="26"/>
          <w:lang w:eastAsia="hu-HU"/>
        </w:rPr>
        <w:t xml:space="preserve">társadalombiztosítási járulék </w:t>
      </w:r>
      <w:r w:rsidRPr="3782F5BA">
        <w:rPr>
          <w:rFonts w:ascii="Times New Roman" w:eastAsia="Times New Roman" w:hAnsi="Times New Roman" w:cs="Times New Roman"/>
          <w:b/>
          <w:bCs/>
          <w:sz w:val="26"/>
          <w:szCs w:val="26"/>
          <w:lang w:eastAsia="hu-HU"/>
        </w:rPr>
        <w:t xml:space="preserve">Nemzeti Foglalkoztatási </w:t>
      </w:r>
      <w:r w:rsidRPr="3782F5BA">
        <w:rPr>
          <w:rFonts w:ascii="Times New Roman" w:eastAsia="Calibri" w:hAnsi="Times New Roman" w:cs="Times New Roman"/>
          <w:b/>
          <w:bCs/>
          <w:sz w:val="26"/>
          <w:szCs w:val="26"/>
          <w:lang w:eastAsia="hu-HU"/>
        </w:rPr>
        <w:t xml:space="preserve">Alapot megillető része </w:t>
      </w:r>
      <w:r w:rsidRPr="3782F5BA">
        <w:rPr>
          <w:rFonts w:ascii="Times New Roman" w:eastAsia="Calibri" w:hAnsi="Times New Roman" w:cs="Times New Roman"/>
          <w:sz w:val="26"/>
          <w:szCs w:val="26"/>
          <w:lang w:eastAsia="hu-HU"/>
        </w:rPr>
        <w:t>71,9 milliárd</w:t>
      </w:r>
      <w:r w:rsidRPr="3782F5BA">
        <w:rPr>
          <w:rFonts w:ascii="Times New Roman" w:eastAsia="Times New Roman" w:hAnsi="Times New Roman" w:cs="Times New Roman"/>
          <w:sz w:val="26"/>
          <w:szCs w:val="26"/>
          <w:lang w:eastAsia="hu-HU"/>
        </w:rPr>
        <w:t> </w:t>
      </w:r>
      <w:r w:rsidRPr="3782F5BA">
        <w:rPr>
          <w:rFonts w:ascii="Times New Roman" w:eastAsia="Calibri" w:hAnsi="Times New Roman" w:cs="Times New Roman"/>
          <w:sz w:val="26"/>
          <w:szCs w:val="26"/>
          <w:lang w:eastAsia="hu-HU"/>
        </w:rPr>
        <w:t>forintban teljesült, amely az előző év azonos időszakában befolyt bevételt 6,5</w:t>
      </w:r>
      <w:r w:rsidRPr="3782F5BA">
        <w:rPr>
          <w:rFonts w:ascii="Times New Roman" w:eastAsia="Times New Roman" w:hAnsi="Times New Roman" w:cs="Times New Roman"/>
          <w:sz w:val="26"/>
          <w:szCs w:val="26"/>
          <w:lang w:eastAsia="hu-HU"/>
        </w:rPr>
        <w:t> </w:t>
      </w:r>
      <w:r w:rsidRPr="3782F5BA">
        <w:rPr>
          <w:rFonts w:ascii="Times New Roman" w:eastAsia="Calibri" w:hAnsi="Times New Roman" w:cs="Times New Roman"/>
          <w:sz w:val="26"/>
          <w:szCs w:val="26"/>
          <w:lang w:eastAsia="hu-HU"/>
        </w:rPr>
        <w:t>milliárd</w:t>
      </w:r>
      <w:r w:rsidRPr="3782F5BA">
        <w:rPr>
          <w:rFonts w:ascii="Times New Roman" w:eastAsia="Times New Roman" w:hAnsi="Times New Roman" w:cs="Times New Roman"/>
          <w:sz w:val="26"/>
          <w:szCs w:val="26"/>
          <w:lang w:eastAsia="hu-HU"/>
        </w:rPr>
        <w:t> </w:t>
      </w:r>
      <w:r w:rsidRPr="3782F5BA">
        <w:rPr>
          <w:rFonts w:ascii="Times New Roman" w:eastAsia="Calibri" w:hAnsi="Times New Roman" w:cs="Times New Roman"/>
          <w:sz w:val="26"/>
          <w:szCs w:val="26"/>
          <w:lang w:eastAsia="hu-HU"/>
        </w:rPr>
        <w:t>forinttal, 9,9%-kal haladta meg. A bevételnövekedés oka a járulékköteles jövedelmek növekedése.</w:t>
      </w:r>
    </w:p>
    <w:p w14:paraId="73E161E9" w14:textId="63F40B15" w:rsidR="00991169" w:rsidRPr="00991169" w:rsidRDefault="73C5D9BC" w:rsidP="00081FF0">
      <w:pPr>
        <w:jc w:val="both"/>
        <w:rPr>
          <w:rFonts w:ascii="Times New Roman" w:eastAsia="Times New Roman" w:hAnsi="Times New Roman" w:cs="Times New Roman"/>
          <w:sz w:val="26"/>
          <w:szCs w:val="26"/>
          <w:lang w:eastAsia="hu-HU"/>
        </w:rPr>
      </w:pPr>
      <w:r w:rsidRPr="73C5D9BC">
        <w:rPr>
          <w:rFonts w:ascii="Times New Roman" w:eastAsia="Times New Roman" w:hAnsi="Times New Roman" w:cs="Times New Roman"/>
          <w:sz w:val="26"/>
          <w:szCs w:val="26"/>
          <w:lang w:eastAsia="hu-HU"/>
        </w:rPr>
        <w:t xml:space="preserve">2025-ben a szociális hozzájárulási adó megfizetett összegének 86,96%-a a Nyugdíjbiztosítási Alapot illeti meg. A </w:t>
      </w:r>
      <w:r w:rsidRPr="73C5D9BC">
        <w:rPr>
          <w:rFonts w:ascii="Times New Roman" w:eastAsia="Times New Roman" w:hAnsi="Times New Roman" w:cs="Times New Roman"/>
          <w:b/>
          <w:bCs/>
          <w:sz w:val="26"/>
          <w:szCs w:val="26"/>
          <w:lang w:eastAsia="hu-HU"/>
        </w:rPr>
        <w:t xml:space="preserve">szociális hozzájárulási adó Nyugdíjbiztosítási Alapot megillető része </w:t>
      </w:r>
      <w:r w:rsidRPr="73C5D9BC">
        <w:rPr>
          <w:rFonts w:ascii="Times New Roman" w:eastAsia="Times New Roman" w:hAnsi="Times New Roman" w:cs="Times New Roman"/>
          <w:sz w:val="26"/>
          <w:szCs w:val="26"/>
          <w:lang w:eastAsia="hu-HU"/>
        </w:rPr>
        <w:t>2025 első két hón</w:t>
      </w:r>
      <w:r w:rsidR="003558B8">
        <w:rPr>
          <w:rFonts w:ascii="Times New Roman" w:eastAsia="Times New Roman" w:hAnsi="Times New Roman" w:cs="Times New Roman"/>
          <w:sz w:val="26"/>
          <w:szCs w:val="26"/>
          <w:lang w:eastAsia="hu-HU"/>
        </w:rPr>
        <w:t xml:space="preserve">apjában (494,0 milliárd forint) </w:t>
      </w:r>
      <w:r w:rsidRPr="73C5D9BC">
        <w:rPr>
          <w:rFonts w:ascii="Times New Roman" w:eastAsia="Times New Roman" w:hAnsi="Times New Roman" w:cs="Times New Roman"/>
          <w:sz w:val="26"/>
          <w:szCs w:val="26"/>
          <w:lang w:eastAsia="hu-HU"/>
        </w:rPr>
        <w:t>48,4 milliárd forinttal haladta meg az előző év azonos időszakában befolyt bevételt. A bevétel változása az adóköteles jövedelmek növekedésével és az alapok közötti megoszlási arány változásával magyarázható.</w:t>
      </w:r>
    </w:p>
    <w:p w14:paraId="35D5AAAD" w14:textId="3DFD98A8" w:rsidR="007E22F7" w:rsidRPr="007E22F7" w:rsidRDefault="3782F5BA" w:rsidP="00081FF0">
      <w:pPr>
        <w:jc w:val="both"/>
        <w:rPr>
          <w:rFonts w:ascii="Times New Roman" w:eastAsia="Calibri" w:hAnsi="Times New Roman" w:cs="Times New Roman"/>
          <w:sz w:val="26"/>
          <w:szCs w:val="26"/>
          <w:lang w:eastAsia="hu-HU"/>
        </w:rPr>
      </w:pPr>
      <w:r w:rsidRPr="3782F5BA">
        <w:rPr>
          <w:rFonts w:ascii="Times New Roman" w:eastAsia="Times New Roman" w:hAnsi="Times New Roman" w:cs="Times New Roman"/>
          <w:sz w:val="26"/>
          <w:szCs w:val="26"/>
          <w:lang w:eastAsia="hu-HU"/>
        </w:rPr>
        <w:t xml:space="preserve">A befizetett társadalombiztosítási járulék 54%-át az állami adóhatóság a Nyugdíjbiztosítási Alapnak utalja át. 2025 első két hónapjában a </w:t>
      </w:r>
      <w:r w:rsidRPr="3782F5BA">
        <w:rPr>
          <w:rFonts w:ascii="Times New Roman" w:eastAsia="Times New Roman" w:hAnsi="Times New Roman" w:cs="Times New Roman"/>
          <w:b/>
          <w:bCs/>
          <w:sz w:val="26"/>
          <w:szCs w:val="26"/>
          <w:lang w:eastAsia="hu-HU"/>
        </w:rPr>
        <w:t>társadalombiztosítási járulék Nyugdíjbiztosítási Alapot megillető része és nyugdíjjárulék</w:t>
      </w:r>
      <w:r w:rsidRPr="3782F5BA">
        <w:rPr>
          <w:rFonts w:ascii="Times New Roman" w:eastAsia="Times New Roman" w:hAnsi="Times New Roman" w:cs="Times New Roman"/>
          <w:sz w:val="26"/>
          <w:szCs w:val="26"/>
          <w:lang w:eastAsia="hu-HU"/>
        </w:rPr>
        <w:t xml:space="preserve"> 490,6 milliárd forintban teljesült, amely az előző év azonos időszakában befolyt be</w:t>
      </w:r>
      <w:r w:rsidR="003558B8">
        <w:rPr>
          <w:rFonts w:ascii="Times New Roman" w:eastAsia="Times New Roman" w:hAnsi="Times New Roman" w:cs="Times New Roman"/>
          <w:sz w:val="26"/>
          <w:szCs w:val="26"/>
          <w:lang w:eastAsia="hu-HU"/>
        </w:rPr>
        <w:t xml:space="preserve">vételt 44,7 milliárd forinttal </w:t>
      </w:r>
      <w:r w:rsidRPr="3782F5BA">
        <w:rPr>
          <w:rFonts w:ascii="Times New Roman" w:eastAsia="Times New Roman" w:hAnsi="Times New Roman" w:cs="Times New Roman"/>
          <w:sz w:val="26"/>
          <w:szCs w:val="26"/>
          <w:lang w:eastAsia="hu-HU"/>
        </w:rPr>
        <w:t xml:space="preserve">haladta meg. </w:t>
      </w:r>
      <w:r w:rsidRPr="3782F5BA">
        <w:rPr>
          <w:rFonts w:ascii="Times New Roman" w:eastAsia="Calibri" w:hAnsi="Times New Roman" w:cs="Times New Roman"/>
          <w:sz w:val="26"/>
          <w:szCs w:val="26"/>
          <w:lang w:eastAsia="hu-HU"/>
        </w:rPr>
        <w:t>A bevételnövekedés oka a járulékköteles jövedelmek növekedése.</w:t>
      </w:r>
    </w:p>
    <w:p w14:paraId="6CB67DE9" w14:textId="0CA80230" w:rsidR="19667954" w:rsidRDefault="3782F5BA" w:rsidP="00081FF0">
      <w:pPr>
        <w:jc w:val="both"/>
      </w:pPr>
      <w:r w:rsidRPr="3782F5BA">
        <w:rPr>
          <w:rFonts w:ascii="Times New Roman" w:eastAsia="Times New Roman" w:hAnsi="Times New Roman" w:cs="Times New Roman"/>
          <w:sz w:val="26"/>
          <w:szCs w:val="26"/>
        </w:rPr>
        <w:t xml:space="preserve">A </w:t>
      </w:r>
      <w:r w:rsidRPr="3782F5BA">
        <w:rPr>
          <w:rFonts w:ascii="Times New Roman" w:eastAsia="Times New Roman" w:hAnsi="Times New Roman" w:cs="Times New Roman"/>
          <w:b/>
          <w:bCs/>
          <w:sz w:val="26"/>
          <w:szCs w:val="26"/>
        </w:rPr>
        <w:t>Nyugdíjbiztosítási Alap</w:t>
      </w:r>
      <w:r w:rsidRPr="3782F5BA">
        <w:rPr>
          <w:rFonts w:ascii="Times New Roman" w:eastAsia="Times New Roman" w:hAnsi="Times New Roman" w:cs="Times New Roman"/>
          <w:sz w:val="26"/>
          <w:szCs w:val="26"/>
        </w:rPr>
        <w:t xml:space="preserve"> 2025. évi költségvetése az ellátási kiadások támogatására 564,5</w:t>
      </w:r>
      <w:r w:rsidR="0055132B">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 xml:space="preserve">milliárd forint központi </w:t>
      </w:r>
      <w:r w:rsidRPr="3782F5BA">
        <w:rPr>
          <w:rFonts w:ascii="Times New Roman" w:eastAsia="Times New Roman" w:hAnsi="Times New Roman" w:cs="Times New Roman"/>
          <w:b/>
          <w:bCs/>
          <w:sz w:val="26"/>
          <w:szCs w:val="26"/>
        </w:rPr>
        <w:t>költségvetési hozzájárulást</w:t>
      </w:r>
      <w:r w:rsidRPr="3782F5BA">
        <w:rPr>
          <w:rFonts w:ascii="Times New Roman" w:eastAsia="Times New Roman" w:hAnsi="Times New Roman" w:cs="Times New Roman"/>
          <w:sz w:val="26"/>
          <w:szCs w:val="26"/>
        </w:rPr>
        <w:t xml:space="preserve"> tartalmaz, ami 33,1</w:t>
      </w:r>
      <w:r w:rsidR="0055132B">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forinttal haladja meg az előző évi előirányzatot.</w:t>
      </w:r>
    </w:p>
    <w:p w14:paraId="6CD6BAFB" w14:textId="7E783989" w:rsidR="00D72777" w:rsidRDefault="3782F5BA" w:rsidP="00081FF0">
      <w:pPr>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A központi költségvetés 77,4</w:t>
      </w:r>
      <w:r w:rsidR="00FB7355">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forintot biztosít az Alap részére pénzeszközátadás útján, míg további 487,1</w:t>
      </w:r>
      <w:r w:rsidR="00FB7355">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forintot – a 13. havi nyugdíj és a nyugdíjprémium fedezeteként – címzett támogatás formájában. A 13. havi nyugdíj és a nyugdíjprémium támogatásának előirányzatai év közben előirányzat-módosítás nélkül túlléphetők.</w:t>
      </w:r>
    </w:p>
    <w:p w14:paraId="2CBF9A93" w14:textId="5136E03E" w:rsidR="19667954" w:rsidRDefault="73C5D9BC" w:rsidP="00081FF0">
      <w:pPr>
        <w:jc w:val="both"/>
        <w:rPr>
          <w:rFonts w:ascii="Times New Roman" w:eastAsia="Times New Roman" w:hAnsi="Times New Roman" w:cs="Times New Roman"/>
          <w:sz w:val="26"/>
          <w:szCs w:val="26"/>
        </w:rPr>
      </w:pPr>
      <w:r w:rsidRPr="73C5D9BC">
        <w:rPr>
          <w:rFonts w:ascii="Times New Roman" w:eastAsia="Times New Roman" w:hAnsi="Times New Roman" w:cs="Times New Roman"/>
          <w:sz w:val="26"/>
          <w:szCs w:val="26"/>
        </w:rPr>
        <w:t xml:space="preserve">A Magyar Államkincstár az ellátási kiadások támogatására a Nyugdíjbiztosítási Alap részére 2025. </w:t>
      </w:r>
      <w:r w:rsidR="003558B8">
        <w:rPr>
          <w:rFonts w:ascii="Times New Roman" w:eastAsia="Times New Roman" w:hAnsi="Times New Roman" w:cs="Times New Roman"/>
          <w:sz w:val="26"/>
          <w:szCs w:val="26"/>
        </w:rPr>
        <w:t>február</w:t>
      </w:r>
      <w:r w:rsidRPr="73C5D9BC">
        <w:rPr>
          <w:rFonts w:ascii="Times New Roman" w:eastAsia="Times New Roman" w:hAnsi="Times New Roman" w:cs="Times New Roman"/>
          <w:sz w:val="26"/>
          <w:szCs w:val="26"/>
        </w:rPr>
        <w:t xml:space="preserve"> végéig 12,9</w:t>
      </w:r>
      <w:r w:rsidR="00FB7355">
        <w:rPr>
          <w:rFonts w:ascii="Times New Roman" w:eastAsia="Times New Roman" w:hAnsi="Times New Roman" w:cs="Times New Roman"/>
          <w:sz w:val="26"/>
          <w:szCs w:val="26"/>
        </w:rPr>
        <w:t> </w:t>
      </w:r>
      <w:r w:rsidRPr="73C5D9BC">
        <w:rPr>
          <w:rFonts w:ascii="Times New Roman" w:eastAsia="Times New Roman" w:hAnsi="Times New Roman" w:cs="Times New Roman"/>
          <w:sz w:val="26"/>
          <w:szCs w:val="26"/>
        </w:rPr>
        <w:t xml:space="preserve">milliárd forint központi támogatást utalt át </w:t>
      </w:r>
      <w:r w:rsidRPr="73C5D9BC">
        <w:rPr>
          <w:rFonts w:ascii="Times New Roman" w:eastAsia="Times New Roman" w:hAnsi="Times New Roman" w:cs="Times New Roman"/>
          <w:b/>
          <w:bCs/>
          <w:sz w:val="26"/>
          <w:szCs w:val="26"/>
        </w:rPr>
        <w:t>pénzeszköz-átadás</w:t>
      </w:r>
      <w:r w:rsidRPr="73C5D9BC">
        <w:rPr>
          <w:rFonts w:ascii="Times New Roman" w:eastAsia="Times New Roman" w:hAnsi="Times New Roman" w:cs="Times New Roman"/>
          <w:sz w:val="26"/>
          <w:szCs w:val="26"/>
        </w:rPr>
        <w:t xml:space="preserve"> jogcímen, ami 2,6</w:t>
      </w:r>
      <w:r w:rsidR="00FB7355">
        <w:rPr>
          <w:rFonts w:ascii="Times New Roman" w:eastAsia="Times New Roman" w:hAnsi="Times New Roman" w:cs="Times New Roman"/>
          <w:sz w:val="26"/>
          <w:szCs w:val="26"/>
        </w:rPr>
        <w:t> </w:t>
      </w:r>
      <w:r w:rsidRPr="73C5D9BC">
        <w:rPr>
          <w:rFonts w:ascii="Times New Roman" w:eastAsia="Times New Roman" w:hAnsi="Times New Roman" w:cs="Times New Roman"/>
          <w:sz w:val="26"/>
          <w:szCs w:val="26"/>
        </w:rPr>
        <w:t>milliárd forinttal magasabb az előző év azonos időszakában nyújtott támogatás összegénél. A pénzeszköz-átadás a Nyugdíjbiztosítási Alap költségvetési egyensúlyának biztosítását szolgálja.</w:t>
      </w:r>
    </w:p>
    <w:p w14:paraId="6BF2F156" w14:textId="4BC83F57" w:rsidR="00A76FE3" w:rsidRDefault="00A76FE3" w:rsidP="00A76FE3">
      <w:pPr>
        <w:spacing w:before="160" w:after="0"/>
        <w:jc w:val="both"/>
        <w:rPr>
          <w:rFonts w:ascii="Times New Roman" w:eastAsia="Times New Roman" w:hAnsi="Times New Roman" w:cs="Times New Roman"/>
          <w:sz w:val="26"/>
          <w:szCs w:val="26"/>
        </w:rPr>
      </w:pPr>
      <w:r w:rsidRPr="639E9B9B">
        <w:rPr>
          <w:rFonts w:ascii="Times New Roman" w:eastAsia="Times New Roman" w:hAnsi="Times New Roman" w:cs="Times New Roman"/>
          <w:sz w:val="26"/>
          <w:szCs w:val="26"/>
        </w:rPr>
        <w:t xml:space="preserve">A </w:t>
      </w:r>
      <w:r w:rsidRPr="639E9B9B">
        <w:rPr>
          <w:rFonts w:ascii="Times New Roman" w:eastAsia="Times New Roman" w:hAnsi="Times New Roman" w:cs="Times New Roman"/>
          <w:b/>
          <w:bCs/>
          <w:sz w:val="26"/>
          <w:szCs w:val="26"/>
        </w:rPr>
        <w:t>13. havi nyugdíj kifizetésének</w:t>
      </w:r>
      <w:r w:rsidRPr="639E9B9B">
        <w:rPr>
          <w:rFonts w:ascii="Times New Roman" w:eastAsia="Times New Roman" w:hAnsi="Times New Roman" w:cs="Times New Roman"/>
          <w:sz w:val="26"/>
          <w:szCs w:val="26"/>
        </w:rPr>
        <w:t xml:space="preserve"> t</w:t>
      </w:r>
      <w:r>
        <w:rPr>
          <w:rFonts w:ascii="Times New Roman" w:eastAsia="Times New Roman" w:hAnsi="Times New Roman" w:cs="Times New Roman"/>
          <w:sz w:val="26"/>
          <w:szCs w:val="26"/>
        </w:rPr>
        <w:t>ámogatására február hónapban 487,1 </w:t>
      </w:r>
      <w:r w:rsidRPr="639E9B9B">
        <w:rPr>
          <w:rFonts w:ascii="Times New Roman" w:eastAsia="Times New Roman" w:hAnsi="Times New Roman" w:cs="Times New Roman"/>
          <w:sz w:val="26"/>
          <w:szCs w:val="26"/>
        </w:rPr>
        <w:t>milliárd forint került átutalásra a Nyugdíj</w:t>
      </w:r>
      <w:r>
        <w:rPr>
          <w:rFonts w:ascii="Times New Roman" w:eastAsia="Times New Roman" w:hAnsi="Times New Roman" w:cs="Times New Roman"/>
          <w:sz w:val="26"/>
          <w:szCs w:val="26"/>
        </w:rPr>
        <w:t>biztosítási Alap részére, ami 38,1 </w:t>
      </w:r>
      <w:r w:rsidRPr="639E9B9B">
        <w:rPr>
          <w:rFonts w:ascii="Times New Roman" w:eastAsia="Times New Roman" w:hAnsi="Times New Roman" w:cs="Times New Roman"/>
          <w:sz w:val="26"/>
          <w:szCs w:val="26"/>
        </w:rPr>
        <w:t>milliárd forinttal haladja meg az előző év azonos időszakában ugyanezen a jogcím</w:t>
      </w:r>
      <w:r>
        <w:rPr>
          <w:rFonts w:ascii="Times New Roman" w:eastAsia="Times New Roman" w:hAnsi="Times New Roman" w:cs="Times New Roman"/>
          <w:sz w:val="26"/>
          <w:szCs w:val="26"/>
        </w:rPr>
        <w:t>en nyújtott támogatás összegét.</w:t>
      </w:r>
    </w:p>
    <w:p w14:paraId="7D300127" w14:textId="77777777" w:rsidR="00A76FE3" w:rsidRDefault="00A76FE3" w:rsidP="00081FF0">
      <w:pPr>
        <w:jc w:val="both"/>
      </w:pPr>
    </w:p>
    <w:p w14:paraId="3AEEF6FB" w14:textId="1457EC1D" w:rsidR="00C35E13" w:rsidRDefault="005A1E0F" w:rsidP="0036497A">
      <w:pPr>
        <w:pStyle w:val="NormlWeb"/>
        <w:spacing w:before="0" w:beforeAutospacing="0" w:after="160" w:afterAutospacing="0" w:line="259" w:lineRule="auto"/>
        <w:jc w:val="center"/>
      </w:pPr>
      <w:r>
        <w:rPr>
          <w:noProof/>
        </w:rPr>
        <w:lastRenderedPageBreak/>
        <w:drawing>
          <wp:inline distT="0" distB="0" distL="0" distR="0" wp14:anchorId="0C09C1CC" wp14:editId="0789BA44">
            <wp:extent cx="5940425" cy="2342515"/>
            <wp:effectExtent l="0" t="0" r="3175" b="635"/>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2342515"/>
                    </a:xfrm>
                    <a:prstGeom prst="rect">
                      <a:avLst/>
                    </a:prstGeom>
                  </pic:spPr>
                </pic:pic>
              </a:graphicData>
            </a:graphic>
          </wp:inline>
        </w:drawing>
      </w:r>
    </w:p>
    <w:p w14:paraId="3D4C8127" w14:textId="6B2F1926" w:rsidR="00991169" w:rsidRPr="00991169" w:rsidRDefault="3782F5BA" w:rsidP="3782F5BA">
      <w:pPr>
        <w:jc w:val="both"/>
        <w:rPr>
          <w:rFonts w:ascii="Times New Roman" w:eastAsia="Times New Roman" w:hAnsi="Times New Roman" w:cs="Times New Roman"/>
          <w:sz w:val="26"/>
          <w:szCs w:val="26"/>
          <w:lang w:eastAsia="hu-HU"/>
        </w:rPr>
      </w:pPr>
      <w:r w:rsidRPr="3782F5BA">
        <w:rPr>
          <w:rFonts w:ascii="Times New Roman" w:eastAsia="Calibri" w:hAnsi="Times New Roman" w:cs="Times New Roman"/>
          <w:sz w:val="26"/>
          <w:szCs w:val="26"/>
          <w:lang w:eastAsia="hu-HU"/>
        </w:rPr>
        <w:t xml:space="preserve">2025-ben a szociális hozzájárulási adó megfizetett összegének 13,04%-a az Egészségbiztosítási Alapot illeti meg. 2025 első két hónapjában a </w:t>
      </w:r>
      <w:r w:rsidRPr="3782F5BA">
        <w:rPr>
          <w:rFonts w:ascii="Times New Roman" w:eastAsia="Calibri" w:hAnsi="Times New Roman" w:cs="Times New Roman"/>
          <w:b/>
          <w:bCs/>
          <w:sz w:val="26"/>
          <w:szCs w:val="26"/>
          <w:lang w:eastAsia="hu-HU"/>
        </w:rPr>
        <w:t>szociális hozzájárulási adó Egészségbiztosítási Alapot megillető része</w:t>
      </w:r>
      <w:r w:rsidRPr="3782F5BA">
        <w:rPr>
          <w:rFonts w:ascii="Times New Roman" w:eastAsia="Calibri" w:hAnsi="Times New Roman" w:cs="Times New Roman"/>
          <w:sz w:val="26"/>
          <w:szCs w:val="26"/>
          <w:lang w:eastAsia="hu-HU"/>
        </w:rPr>
        <w:t xml:space="preserve"> (74,1</w:t>
      </w:r>
      <w:r w:rsidRPr="3782F5BA">
        <w:rPr>
          <w:rFonts w:ascii="Times New Roman" w:eastAsia="Times New Roman" w:hAnsi="Times New Roman" w:cs="Times New Roman"/>
          <w:sz w:val="26"/>
          <w:szCs w:val="26"/>
          <w:lang w:eastAsia="hu-HU"/>
        </w:rPr>
        <w:t> </w:t>
      </w:r>
      <w:r w:rsidRPr="3782F5BA">
        <w:rPr>
          <w:rFonts w:ascii="Times New Roman" w:eastAsia="Calibri" w:hAnsi="Times New Roman" w:cs="Times New Roman"/>
          <w:sz w:val="26"/>
          <w:szCs w:val="26"/>
          <w:lang w:eastAsia="hu-HU"/>
        </w:rPr>
        <w:t>milliárd</w:t>
      </w:r>
      <w:r w:rsidRPr="3782F5BA">
        <w:rPr>
          <w:rFonts w:ascii="Times New Roman" w:eastAsia="Times New Roman" w:hAnsi="Times New Roman" w:cs="Times New Roman"/>
          <w:sz w:val="26"/>
          <w:szCs w:val="26"/>
          <w:lang w:eastAsia="hu-HU"/>
        </w:rPr>
        <w:t> </w:t>
      </w:r>
      <w:r w:rsidR="00BD2E25">
        <w:rPr>
          <w:rFonts w:ascii="Times New Roman" w:eastAsia="Calibri" w:hAnsi="Times New Roman" w:cs="Times New Roman"/>
          <w:sz w:val="26"/>
          <w:szCs w:val="26"/>
          <w:lang w:eastAsia="hu-HU"/>
        </w:rPr>
        <w:t xml:space="preserve">forint) </w:t>
      </w:r>
      <w:r w:rsidRPr="3782F5BA">
        <w:rPr>
          <w:rFonts w:ascii="Times New Roman" w:eastAsia="Calibri" w:hAnsi="Times New Roman" w:cs="Times New Roman"/>
          <w:sz w:val="26"/>
          <w:szCs w:val="26"/>
          <w:lang w:eastAsia="hu-HU"/>
        </w:rPr>
        <w:t>19,8</w:t>
      </w:r>
      <w:r w:rsidRPr="3782F5BA">
        <w:rPr>
          <w:rFonts w:ascii="Times New Roman" w:eastAsia="Times New Roman" w:hAnsi="Times New Roman" w:cs="Times New Roman"/>
          <w:sz w:val="26"/>
          <w:szCs w:val="26"/>
          <w:lang w:eastAsia="hu-HU"/>
        </w:rPr>
        <w:t> </w:t>
      </w:r>
      <w:r w:rsidRPr="3782F5BA">
        <w:rPr>
          <w:rFonts w:ascii="Times New Roman" w:eastAsia="Calibri" w:hAnsi="Times New Roman" w:cs="Times New Roman"/>
          <w:sz w:val="26"/>
          <w:szCs w:val="26"/>
          <w:lang w:eastAsia="hu-HU"/>
        </w:rPr>
        <w:t>milliárd</w:t>
      </w:r>
      <w:r w:rsidRPr="3782F5BA">
        <w:rPr>
          <w:rFonts w:ascii="Times New Roman" w:eastAsia="Times New Roman" w:hAnsi="Times New Roman" w:cs="Times New Roman"/>
          <w:sz w:val="26"/>
          <w:szCs w:val="26"/>
          <w:lang w:eastAsia="hu-HU"/>
        </w:rPr>
        <w:t> </w:t>
      </w:r>
      <w:r w:rsidRPr="3782F5BA">
        <w:rPr>
          <w:rFonts w:ascii="Times New Roman" w:eastAsia="Calibri" w:hAnsi="Times New Roman" w:cs="Times New Roman"/>
          <w:sz w:val="26"/>
          <w:szCs w:val="26"/>
          <w:lang w:eastAsia="hu-HU"/>
        </w:rPr>
        <w:t xml:space="preserve">forinttal </w:t>
      </w:r>
      <w:r w:rsidRPr="3782F5BA">
        <w:rPr>
          <w:rFonts w:ascii="Times New Roman" w:eastAsia="Times New Roman" w:hAnsi="Times New Roman" w:cs="Times New Roman"/>
          <w:sz w:val="26"/>
          <w:szCs w:val="26"/>
          <w:lang w:eastAsia="hu-HU"/>
        </w:rPr>
        <w:t>haladta meg az előző év azonos időszakában befolyt bevételt</w:t>
      </w:r>
      <w:r w:rsidRPr="3782F5BA">
        <w:rPr>
          <w:rFonts w:ascii="Times New Roman" w:eastAsia="Calibri" w:hAnsi="Times New Roman" w:cs="Times New Roman"/>
          <w:sz w:val="26"/>
          <w:szCs w:val="26"/>
          <w:lang w:eastAsia="hu-HU"/>
        </w:rPr>
        <w:t xml:space="preserve">. </w:t>
      </w:r>
      <w:r w:rsidR="00327378">
        <w:rPr>
          <w:rFonts w:ascii="Times New Roman" w:eastAsia="Calibri" w:hAnsi="Times New Roman" w:cs="Times New Roman"/>
          <w:sz w:val="26"/>
          <w:szCs w:val="26"/>
          <w:lang w:eastAsia="hu-HU"/>
        </w:rPr>
        <w:br/>
      </w:r>
      <w:r w:rsidRPr="3782F5BA">
        <w:rPr>
          <w:rFonts w:ascii="Times New Roman" w:eastAsia="Times New Roman" w:hAnsi="Times New Roman" w:cs="Times New Roman"/>
          <w:sz w:val="26"/>
          <w:szCs w:val="26"/>
          <w:lang w:eastAsia="hu-HU"/>
        </w:rPr>
        <w:t>A bevétel változása az adóköteles jövedelmek növekedésével és az alapok közötti megoszlási arány változásának együttes hatásával magyarázható.</w:t>
      </w:r>
    </w:p>
    <w:p w14:paraId="08E28491" w14:textId="3B0378AE" w:rsidR="007E22F7" w:rsidRPr="007E22F7" w:rsidRDefault="3782F5BA" w:rsidP="3782F5BA">
      <w:pPr>
        <w:jc w:val="both"/>
        <w:rPr>
          <w:rFonts w:ascii="Times New Roman" w:eastAsia="Calibri" w:hAnsi="Times New Roman" w:cs="Times New Roman"/>
          <w:sz w:val="26"/>
          <w:szCs w:val="26"/>
          <w:lang w:eastAsia="hu-HU"/>
        </w:rPr>
      </w:pPr>
      <w:r w:rsidRPr="3782F5BA">
        <w:rPr>
          <w:rFonts w:ascii="Times New Roman" w:eastAsia="Calibri" w:hAnsi="Times New Roman" w:cs="Times New Roman"/>
          <w:sz w:val="26"/>
          <w:szCs w:val="26"/>
          <w:lang w:eastAsia="hu-HU"/>
        </w:rPr>
        <w:t xml:space="preserve">A befizetett társadalombiztosítási járulék 37,9%-át az állami adóhatóság az Egészségbiztosítási Alapnak utalja át. 2025 első két hónapjában a </w:t>
      </w:r>
      <w:r w:rsidRPr="3782F5BA">
        <w:rPr>
          <w:rFonts w:ascii="Times New Roman" w:eastAsia="Calibri" w:hAnsi="Times New Roman" w:cs="Times New Roman"/>
          <w:b/>
          <w:bCs/>
          <w:sz w:val="26"/>
          <w:szCs w:val="26"/>
          <w:lang w:eastAsia="hu-HU"/>
        </w:rPr>
        <w:t>társadalombiztosítási járulék Egészségbiztosítási Alapot megillető része és egészségbiztosítási járulék</w:t>
      </w:r>
      <w:r w:rsidRPr="3782F5BA">
        <w:rPr>
          <w:rFonts w:ascii="Times New Roman" w:eastAsia="Calibri" w:hAnsi="Times New Roman" w:cs="Times New Roman"/>
          <w:sz w:val="26"/>
          <w:szCs w:val="26"/>
          <w:lang w:eastAsia="hu-HU"/>
        </w:rPr>
        <w:t xml:space="preserve"> 334,7</w:t>
      </w:r>
      <w:r w:rsidRPr="3782F5BA">
        <w:rPr>
          <w:rFonts w:ascii="Times New Roman" w:eastAsia="Times New Roman" w:hAnsi="Times New Roman" w:cs="Times New Roman"/>
          <w:sz w:val="26"/>
          <w:szCs w:val="26"/>
          <w:lang w:eastAsia="hu-HU"/>
        </w:rPr>
        <w:t> </w:t>
      </w:r>
      <w:r w:rsidRPr="3782F5BA">
        <w:rPr>
          <w:rFonts w:ascii="Times New Roman" w:eastAsia="Calibri" w:hAnsi="Times New Roman" w:cs="Times New Roman"/>
          <w:sz w:val="26"/>
          <w:szCs w:val="26"/>
          <w:lang w:eastAsia="hu-HU"/>
        </w:rPr>
        <w:t>milliárd</w:t>
      </w:r>
      <w:r w:rsidRPr="3782F5BA">
        <w:rPr>
          <w:rFonts w:ascii="Times New Roman" w:eastAsia="Times New Roman" w:hAnsi="Times New Roman" w:cs="Times New Roman"/>
          <w:sz w:val="26"/>
          <w:szCs w:val="26"/>
          <w:lang w:eastAsia="hu-HU"/>
        </w:rPr>
        <w:t> </w:t>
      </w:r>
      <w:r w:rsidRPr="3782F5BA">
        <w:rPr>
          <w:rFonts w:ascii="Times New Roman" w:eastAsia="Calibri" w:hAnsi="Times New Roman" w:cs="Times New Roman"/>
          <w:sz w:val="26"/>
          <w:szCs w:val="26"/>
          <w:lang w:eastAsia="hu-HU"/>
        </w:rPr>
        <w:t xml:space="preserve">forintban teljesült, </w:t>
      </w:r>
      <w:r w:rsidRPr="3782F5BA">
        <w:rPr>
          <w:rFonts w:ascii="Times New Roman" w:eastAsia="Times New Roman" w:hAnsi="Times New Roman" w:cs="Times New Roman"/>
          <w:sz w:val="26"/>
          <w:szCs w:val="26"/>
          <w:lang w:eastAsia="hu-HU"/>
        </w:rPr>
        <w:t>amely az előző év azonos időszakában befolyt bevételt</w:t>
      </w:r>
      <w:r w:rsidRPr="3782F5BA">
        <w:rPr>
          <w:rFonts w:ascii="Times New Roman" w:eastAsia="Calibri" w:hAnsi="Times New Roman" w:cs="Times New Roman"/>
          <w:sz w:val="26"/>
          <w:szCs w:val="26"/>
          <w:lang w:eastAsia="hu-HU"/>
        </w:rPr>
        <w:t xml:space="preserve"> 30,4 milliárd</w:t>
      </w:r>
      <w:r w:rsidRPr="3782F5BA">
        <w:rPr>
          <w:rFonts w:ascii="Times New Roman" w:eastAsia="Times New Roman" w:hAnsi="Times New Roman" w:cs="Times New Roman"/>
          <w:sz w:val="26"/>
          <w:szCs w:val="26"/>
          <w:lang w:eastAsia="hu-HU"/>
        </w:rPr>
        <w:t> </w:t>
      </w:r>
      <w:r w:rsidRPr="3782F5BA">
        <w:rPr>
          <w:rFonts w:ascii="Times New Roman" w:eastAsia="Calibri" w:hAnsi="Times New Roman" w:cs="Times New Roman"/>
          <w:sz w:val="26"/>
          <w:szCs w:val="26"/>
          <w:lang w:eastAsia="hu-HU"/>
        </w:rPr>
        <w:t>forinttal, 10,0%-kal haladta meg. A bevételnövekedés oka a járulékköteles jövedelmek növekedése.</w:t>
      </w:r>
    </w:p>
    <w:p w14:paraId="1E047965" w14:textId="02B1F26C" w:rsidR="005961B9" w:rsidRDefault="3782F5BA" w:rsidP="3782F5BA">
      <w:pPr>
        <w:jc w:val="both"/>
        <w:rPr>
          <w:rFonts w:ascii="Times New Roman" w:hAnsi="Times New Roman" w:cs="Times New Roman"/>
          <w:sz w:val="26"/>
          <w:szCs w:val="26"/>
        </w:rPr>
      </w:pPr>
      <w:r w:rsidRPr="3782F5BA">
        <w:rPr>
          <w:rFonts w:ascii="Times New Roman" w:hAnsi="Times New Roman" w:cs="Times New Roman"/>
          <w:sz w:val="26"/>
          <w:szCs w:val="26"/>
        </w:rPr>
        <w:t xml:space="preserve">Az </w:t>
      </w:r>
      <w:r w:rsidRPr="3782F5BA">
        <w:rPr>
          <w:rFonts w:ascii="Times New Roman" w:hAnsi="Times New Roman" w:cs="Times New Roman"/>
          <w:b/>
          <w:bCs/>
          <w:sz w:val="26"/>
          <w:szCs w:val="26"/>
        </w:rPr>
        <w:t>Egészségbiztosítási Alap költségvetési hozzájárulásai</w:t>
      </w:r>
      <w:r w:rsidRPr="3782F5BA">
        <w:rPr>
          <w:rFonts w:ascii="Times New Roman" w:hAnsi="Times New Roman" w:cs="Times New Roman"/>
          <w:sz w:val="26"/>
          <w:szCs w:val="26"/>
        </w:rPr>
        <w:t xml:space="preserve"> 2025 első két hónapjában összesen 314,9 milliárd forintot tettek ki, amely 0,3 milliárd forinttal alacsonyabb, mint az előző év ugyanezen időszakában átutalt összeg. 2025 első két hónapjában az Egészségbiztosítási Alap járulék címen átvett pénzeszközként 115,4 milliárd forint támogatást kapott, szemben a tavalyi év azonos időszakában átutalt 108,8 milliárd forintos összeggel. Az Alap kiadásainak támogatására szolgáló tervezett pénzeszköz-átvétel és az egészségügyi feladatok ellátásával kapcsolatos hozz</w:t>
      </w:r>
      <w:r w:rsidR="00BD2E25">
        <w:rPr>
          <w:rFonts w:ascii="Times New Roman" w:hAnsi="Times New Roman" w:cs="Times New Roman"/>
          <w:sz w:val="26"/>
          <w:szCs w:val="26"/>
        </w:rPr>
        <w:t>ájárulás együttes összege 2025. </w:t>
      </w:r>
      <w:r w:rsidRPr="3782F5BA">
        <w:rPr>
          <w:rFonts w:ascii="Times New Roman" w:hAnsi="Times New Roman" w:cs="Times New Roman"/>
          <w:sz w:val="26"/>
          <w:szCs w:val="26"/>
        </w:rPr>
        <w:t xml:space="preserve">február végéig 199,5 milliárd forintot tett ki, amely </w:t>
      </w:r>
      <w:r w:rsidR="00C03BE7">
        <w:rPr>
          <w:rFonts w:ascii="Times New Roman" w:hAnsi="Times New Roman" w:cs="Times New Roman"/>
          <w:sz w:val="26"/>
          <w:szCs w:val="26"/>
        </w:rPr>
        <w:t>6,9 </w:t>
      </w:r>
      <w:r w:rsidRPr="3782F5BA">
        <w:rPr>
          <w:rFonts w:ascii="Times New Roman" w:hAnsi="Times New Roman" w:cs="Times New Roman"/>
          <w:sz w:val="26"/>
          <w:szCs w:val="26"/>
        </w:rPr>
        <w:t>milliárd forinttal elmarad a tavalyi év ezen időszakában átutalt összegtől.</w:t>
      </w:r>
    </w:p>
    <w:p w14:paraId="754C440E" w14:textId="77777777" w:rsidR="005961B9" w:rsidRDefault="005961B9">
      <w:pPr>
        <w:rPr>
          <w:rFonts w:ascii="Times New Roman" w:hAnsi="Times New Roman" w:cs="Times New Roman"/>
          <w:sz w:val="26"/>
          <w:szCs w:val="26"/>
        </w:rPr>
      </w:pPr>
      <w:r>
        <w:rPr>
          <w:rFonts w:ascii="Times New Roman" w:hAnsi="Times New Roman" w:cs="Times New Roman"/>
          <w:sz w:val="26"/>
          <w:szCs w:val="26"/>
        </w:rPr>
        <w:br w:type="page"/>
      </w:r>
    </w:p>
    <w:p w14:paraId="51F08DF7" w14:textId="36E87ACD" w:rsidR="009E34AE" w:rsidRPr="00377D59" w:rsidRDefault="3782F5BA" w:rsidP="3782F5BA">
      <w:pPr>
        <w:keepNext/>
        <w:numPr>
          <w:ilvl w:val="0"/>
          <w:numId w:val="3"/>
        </w:numPr>
        <w:spacing w:after="120" w:line="240" w:lineRule="auto"/>
        <w:jc w:val="both"/>
        <w:outlineLvl w:val="2"/>
        <w:rPr>
          <w:rFonts w:ascii="Times New Roman" w:eastAsia="Times New Roman" w:hAnsi="Times New Roman" w:cs="Times New Roman"/>
          <w:b/>
          <w:bCs/>
          <w:smallCaps/>
          <w:sz w:val="28"/>
          <w:szCs w:val="28"/>
          <w:lang w:eastAsia="hu-HU"/>
        </w:rPr>
      </w:pPr>
      <w:r w:rsidRPr="3782F5BA">
        <w:rPr>
          <w:rFonts w:ascii="Times New Roman" w:eastAsia="Times New Roman" w:hAnsi="Times New Roman" w:cs="Times New Roman"/>
          <w:b/>
          <w:bCs/>
          <w:smallCaps/>
          <w:sz w:val="28"/>
          <w:szCs w:val="28"/>
          <w:lang w:eastAsia="hu-HU"/>
        </w:rPr>
        <w:lastRenderedPageBreak/>
        <w:t xml:space="preserve">A főbb kiadások </w:t>
      </w:r>
    </w:p>
    <w:p w14:paraId="05B39752" w14:textId="325043D5" w:rsidR="001B416B" w:rsidRPr="001B416B" w:rsidRDefault="3782F5BA" w:rsidP="001B416B">
      <w:pPr>
        <w:spacing w:after="120"/>
        <w:jc w:val="both"/>
        <w:rPr>
          <w:rFonts w:ascii="Times New Roman" w:eastAsia="Times New Roman" w:hAnsi="Times New Roman" w:cs="Times New Roman"/>
          <w:b/>
          <w:bCs/>
          <w:sz w:val="26"/>
          <w:szCs w:val="26"/>
          <w:lang w:eastAsia="hu-HU"/>
        </w:rPr>
      </w:pPr>
      <w:r w:rsidRPr="3782F5BA">
        <w:rPr>
          <w:rFonts w:ascii="Times New Roman" w:eastAsia="Times New Roman" w:hAnsi="Times New Roman" w:cs="Times New Roman"/>
          <w:b/>
          <w:bCs/>
          <w:sz w:val="26"/>
          <w:szCs w:val="26"/>
          <w:lang w:eastAsia="hu-HU"/>
        </w:rPr>
        <w:t xml:space="preserve">A </w:t>
      </w:r>
      <w:r w:rsidR="001B416B" w:rsidRPr="001B416B">
        <w:rPr>
          <w:rFonts w:ascii="Times New Roman" w:eastAsia="Times New Roman" w:hAnsi="Times New Roman" w:cs="Times New Roman"/>
          <w:b/>
          <w:bCs/>
          <w:sz w:val="26"/>
          <w:szCs w:val="26"/>
          <w:lang w:eastAsia="hu-HU"/>
        </w:rPr>
        <w:t>központi alrendszer február végi 8</w:t>
      </w:r>
      <w:r w:rsidR="001B416B">
        <w:rPr>
          <w:rFonts w:ascii="Times New Roman" w:eastAsia="Times New Roman" w:hAnsi="Times New Roman" w:cs="Times New Roman"/>
          <w:b/>
          <w:bCs/>
          <w:sz w:val="26"/>
          <w:szCs w:val="26"/>
          <w:lang w:eastAsia="hu-HU"/>
        </w:rPr>
        <w:t> </w:t>
      </w:r>
      <w:r w:rsidR="001B416B" w:rsidRPr="001B416B">
        <w:rPr>
          <w:rFonts w:ascii="Times New Roman" w:eastAsia="Times New Roman" w:hAnsi="Times New Roman" w:cs="Times New Roman"/>
          <w:b/>
          <w:bCs/>
          <w:sz w:val="26"/>
          <w:szCs w:val="26"/>
          <w:lang w:eastAsia="hu-HU"/>
        </w:rPr>
        <w:t>037,6 milliárd forint összegű kiadásai 3</w:t>
      </w:r>
      <w:r w:rsidR="001B416B">
        <w:rPr>
          <w:rFonts w:ascii="Times New Roman" w:eastAsia="Times New Roman" w:hAnsi="Times New Roman" w:cs="Times New Roman"/>
          <w:b/>
          <w:bCs/>
          <w:sz w:val="26"/>
          <w:szCs w:val="26"/>
          <w:lang w:eastAsia="hu-HU"/>
        </w:rPr>
        <w:t>58,7 </w:t>
      </w:r>
      <w:r w:rsidR="001B416B" w:rsidRPr="001B416B">
        <w:rPr>
          <w:rFonts w:ascii="Times New Roman" w:eastAsia="Times New Roman" w:hAnsi="Times New Roman" w:cs="Times New Roman"/>
          <w:b/>
          <w:bCs/>
          <w:sz w:val="26"/>
          <w:szCs w:val="26"/>
          <w:lang w:eastAsia="hu-HU"/>
        </w:rPr>
        <w:t xml:space="preserve">milliárd forinttal, 4,7%-kal haladták meg az előző év azonos időszaki adatát. </w:t>
      </w:r>
    </w:p>
    <w:p w14:paraId="6FE8DFF4" w14:textId="5DE7995E" w:rsidR="00AC5231" w:rsidRPr="00377D59" w:rsidRDefault="00AC5231" w:rsidP="00AC5231">
      <w:pPr>
        <w:spacing w:after="120"/>
        <w:jc w:val="both"/>
        <w:rPr>
          <w:rFonts w:ascii="Times New Roman" w:eastAsia="Times New Roman" w:hAnsi="Times New Roman" w:cs="Times New Roman"/>
          <w:b/>
          <w:bCs/>
          <w:sz w:val="26"/>
          <w:szCs w:val="26"/>
          <w:lang w:eastAsia="hu-HU"/>
        </w:rPr>
      </w:pPr>
      <w:r w:rsidRPr="001B416B">
        <w:rPr>
          <w:rFonts w:ascii="Times New Roman" w:eastAsia="Times New Roman" w:hAnsi="Times New Roman" w:cs="Times New Roman"/>
          <w:b/>
          <w:bCs/>
          <w:sz w:val="26"/>
          <w:szCs w:val="26"/>
          <w:lang w:eastAsia="hu-HU"/>
        </w:rPr>
        <w:t>Meghaladták az egy évvel korábbi kifizetést a nyugellátásokra és</w:t>
      </w:r>
      <w:r w:rsidR="00531A41">
        <w:rPr>
          <w:rFonts w:ascii="Times New Roman" w:eastAsia="Times New Roman" w:hAnsi="Times New Roman" w:cs="Times New Roman"/>
          <w:b/>
          <w:bCs/>
          <w:sz w:val="26"/>
          <w:szCs w:val="26"/>
          <w:lang w:eastAsia="hu-HU"/>
        </w:rPr>
        <w:t xml:space="preserve"> nyugdíjszerű ellátásokra, valamint </w:t>
      </w:r>
      <w:r w:rsidRPr="001B416B">
        <w:rPr>
          <w:rFonts w:ascii="Times New Roman" w:eastAsia="Times New Roman" w:hAnsi="Times New Roman" w:cs="Times New Roman"/>
          <w:b/>
          <w:bCs/>
          <w:sz w:val="26"/>
          <w:szCs w:val="26"/>
          <w:lang w:eastAsia="hu-HU"/>
        </w:rPr>
        <w:t>a gyógyító-megelőző ellátás</w:t>
      </w:r>
      <w:r w:rsidR="00531A41">
        <w:rPr>
          <w:rFonts w:ascii="Times New Roman" w:eastAsia="Times New Roman" w:hAnsi="Times New Roman" w:cs="Times New Roman"/>
          <w:b/>
          <w:bCs/>
          <w:sz w:val="26"/>
          <w:szCs w:val="26"/>
          <w:lang w:eastAsia="hu-HU"/>
        </w:rPr>
        <w:t>ok</w:t>
      </w:r>
      <w:r w:rsidRPr="001B416B">
        <w:rPr>
          <w:rFonts w:ascii="Times New Roman" w:eastAsia="Times New Roman" w:hAnsi="Times New Roman" w:cs="Times New Roman"/>
          <w:b/>
          <w:bCs/>
          <w:sz w:val="26"/>
          <w:szCs w:val="26"/>
          <w:lang w:eastAsia="hu-HU"/>
        </w:rPr>
        <w:t>ra fordított összegek. Nyugellátásokra</w:t>
      </w:r>
      <w:r w:rsidR="00531A41">
        <w:rPr>
          <w:rFonts w:ascii="Times New Roman" w:eastAsia="Times New Roman" w:hAnsi="Times New Roman" w:cs="Times New Roman"/>
          <w:b/>
          <w:bCs/>
          <w:sz w:val="26"/>
          <w:szCs w:val="26"/>
          <w:lang w:eastAsia="hu-HU"/>
        </w:rPr>
        <w:t xml:space="preserve"> és nyugdíjszerű </w:t>
      </w:r>
      <w:r w:rsidR="00531A41" w:rsidRPr="00595277">
        <w:rPr>
          <w:rFonts w:ascii="Times New Roman" w:eastAsia="Times New Roman" w:hAnsi="Times New Roman" w:cs="Times New Roman"/>
          <w:b/>
          <w:bCs/>
          <w:sz w:val="26"/>
          <w:szCs w:val="26"/>
          <w:lang w:eastAsia="hu-HU"/>
        </w:rPr>
        <w:t xml:space="preserve">ellátásokra </w:t>
      </w:r>
      <w:r w:rsidR="00AA21D3" w:rsidRPr="00595277">
        <w:rPr>
          <w:rFonts w:ascii="Times New Roman" w:eastAsia="Times New Roman" w:hAnsi="Times New Roman" w:cs="Times New Roman"/>
          <w:b/>
          <w:bCs/>
          <w:sz w:val="26"/>
          <w:szCs w:val="26"/>
          <w:lang w:eastAsia="hu-HU"/>
        </w:rPr>
        <w:t>1 576,2</w:t>
      </w:r>
      <w:r w:rsidRPr="00595277">
        <w:rPr>
          <w:rFonts w:ascii="Times New Roman" w:eastAsia="Times New Roman" w:hAnsi="Times New Roman" w:cs="Times New Roman"/>
          <w:b/>
          <w:bCs/>
          <w:sz w:val="26"/>
          <w:szCs w:val="26"/>
          <w:lang w:eastAsia="hu-HU"/>
        </w:rPr>
        <w:t xml:space="preserve"> milliárd</w:t>
      </w:r>
      <w:r w:rsidRPr="001B416B">
        <w:rPr>
          <w:rFonts w:ascii="Times New Roman" w:eastAsia="Times New Roman" w:hAnsi="Times New Roman" w:cs="Times New Roman"/>
          <w:b/>
          <w:bCs/>
          <w:sz w:val="26"/>
          <w:szCs w:val="26"/>
          <w:lang w:eastAsia="hu-HU"/>
        </w:rPr>
        <w:t xml:space="preserve"> forint, míg a gyógyító-megelőző ellátás</w:t>
      </w:r>
      <w:r w:rsidR="00531A41">
        <w:rPr>
          <w:rFonts w:ascii="Times New Roman" w:eastAsia="Times New Roman" w:hAnsi="Times New Roman" w:cs="Times New Roman"/>
          <w:b/>
          <w:bCs/>
          <w:sz w:val="26"/>
          <w:szCs w:val="26"/>
          <w:lang w:eastAsia="hu-HU"/>
        </w:rPr>
        <w:t>ok</w:t>
      </w:r>
      <w:r w:rsidRPr="001B416B">
        <w:rPr>
          <w:rFonts w:ascii="Times New Roman" w:eastAsia="Times New Roman" w:hAnsi="Times New Roman" w:cs="Times New Roman"/>
          <w:b/>
          <w:bCs/>
          <w:sz w:val="26"/>
          <w:szCs w:val="26"/>
          <w:lang w:eastAsia="hu-HU"/>
        </w:rPr>
        <w:t>ra 531,5 milliárd forint került kifizetésre február végéig</w:t>
      </w:r>
      <w:r w:rsidRPr="3782F5BA">
        <w:rPr>
          <w:rFonts w:ascii="Times New Roman" w:eastAsia="Times New Roman" w:hAnsi="Times New Roman" w:cs="Times New Roman"/>
          <w:b/>
          <w:bCs/>
          <w:sz w:val="26"/>
          <w:szCs w:val="26"/>
          <w:lang w:eastAsia="hu-HU"/>
        </w:rPr>
        <w:t>.</w:t>
      </w:r>
    </w:p>
    <w:p w14:paraId="55C0E4A1" w14:textId="2663A488" w:rsidR="001B416B" w:rsidRPr="001B416B" w:rsidRDefault="001B416B" w:rsidP="001B416B">
      <w:pPr>
        <w:spacing w:after="120"/>
        <w:jc w:val="both"/>
        <w:rPr>
          <w:rFonts w:ascii="Times New Roman" w:eastAsia="Times New Roman" w:hAnsi="Times New Roman" w:cs="Times New Roman"/>
          <w:b/>
          <w:bCs/>
          <w:sz w:val="26"/>
          <w:szCs w:val="26"/>
          <w:lang w:eastAsia="hu-HU"/>
        </w:rPr>
      </w:pPr>
      <w:r w:rsidRPr="001B416B">
        <w:rPr>
          <w:rFonts w:ascii="Times New Roman" w:eastAsia="Times New Roman" w:hAnsi="Times New Roman" w:cs="Times New Roman"/>
          <w:b/>
          <w:bCs/>
          <w:sz w:val="26"/>
          <w:szCs w:val="26"/>
          <w:lang w:eastAsia="hu-HU"/>
        </w:rPr>
        <w:t>Magasabban teljesült</w:t>
      </w:r>
      <w:bookmarkStart w:id="0" w:name="_GoBack"/>
      <w:bookmarkEnd w:id="0"/>
      <w:r w:rsidRPr="001B416B">
        <w:rPr>
          <w:rFonts w:ascii="Times New Roman" w:eastAsia="Times New Roman" w:hAnsi="Times New Roman" w:cs="Times New Roman"/>
          <w:b/>
          <w:bCs/>
          <w:sz w:val="26"/>
          <w:szCs w:val="26"/>
          <w:lang w:eastAsia="hu-HU"/>
        </w:rPr>
        <w:t xml:space="preserve">ek az egy évvel korábbihoz képest </w:t>
      </w:r>
      <w:r w:rsidR="00AC5231">
        <w:rPr>
          <w:rFonts w:ascii="Times New Roman" w:eastAsia="Times New Roman" w:hAnsi="Times New Roman" w:cs="Times New Roman"/>
          <w:b/>
          <w:bCs/>
          <w:sz w:val="26"/>
          <w:szCs w:val="26"/>
          <w:lang w:eastAsia="hu-HU"/>
        </w:rPr>
        <w:t>mindezeken felül</w:t>
      </w:r>
      <w:r w:rsidRPr="001B416B">
        <w:rPr>
          <w:rFonts w:ascii="Times New Roman" w:eastAsia="Times New Roman" w:hAnsi="Times New Roman" w:cs="Times New Roman"/>
          <w:b/>
          <w:bCs/>
          <w:sz w:val="26"/>
          <w:szCs w:val="26"/>
          <w:lang w:eastAsia="hu-HU"/>
        </w:rPr>
        <w:t xml:space="preserve"> </w:t>
      </w:r>
      <w:r w:rsidR="00AC5231" w:rsidRPr="001B416B">
        <w:rPr>
          <w:rFonts w:ascii="Times New Roman" w:eastAsia="Times New Roman" w:hAnsi="Times New Roman" w:cs="Times New Roman"/>
          <w:b/>
          <w:bCs/>
          <w:sz w:val="26"/>
          <w:szCs w:val="26"/>
          <w:lang w:eastAsia="hu-HU"/>
        </w:rPr>
        <w:t>a kamatkiadások</w:t>
      </w:r>
      <w:r w:rsidR="00AC5231">
        <w:rPr>
          <w:rFonts w:ascii="Times New Roman" w:eastAsia="Times New Roman" w:hAnsi="Times New Roman" w:cs="Times New Roman"/>
          <w:b/>
          <w:bCs/>
          <w:sz w:val="26"/>
          <w:szCs w:val="26"/>
          <w:lang w:eastAsia="hu-HU"/>
        </w:rPr>
        <w:t xml:space="preserve">, </w:t>
      </w:r>
      <w:r w:rsidRPr="001B416B">
        <w:rPr>
          <w:rFonts w:ascii="Times New Roman" w:eastAsia="Times New Roman" w:hAnsi="Times New Roman" w:cs="Times New Roman"/>
          <w:b/>
          <w:bCs/>
          <w:sz w:val="26"/>
          <w:szCs w:val="26"/>
          <w:lang w:eastAsia="hu-HU"/>
        </w:rPr>
        <w:t>a költségvetési szervek kiadásai és a helyi önkormányzatok támogatásai.</w:t>
      </w:r>
    </w:p>
    <w:p w14:paraId="71AFDEF8" w14:textId="31F8C649" w:rsidR="00C35E13" w:rsidRDefault="001B416B" w:rsidP="00591D8B">
      <w:pPr>
        <w:pStyle w:val="NormlWeb"/>
        <w:spacing w:after="0" w:afterAutospacing="0"/>
        <w:jc w:val="center"/>
      </w:pPr>
      <w:r>
        <w:rPr>
          <w:noProof/>
        </w:rPr>
        <w:drawing>
          <wp:inline distT="0" distB="0" distL="0" distR="0" wp14:anchorId="2FDBABEC" wp14:editId="6BBCCC82">
            <wp:extent cx="5784098" cy="2154955"/>
            <wp:effectExtent l="0" t="0" r="762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05532" cy="2162940"/>
                    </a:xfrm>
                    <a:prstGeom prst="rect">
                      <a:avLst/>
                    </a:prstGeom>
                  </pic:spPr>
                </pic:pic>
              </a:graphicData>
            </a:graphic>
          </wp:inline>
        </w:drawing>
      </w:r>
    </w:p>
    <w:p w14:paraId="0B81A1F5" w14:textId="2405F835" w:rsidR="68DB40FC" w:rsidRDefault="3782F5BA" w:rsidP="006D363A">
      <w:pPr>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 xml:space="preserve">Az </w:t>
      </w:r>
      <w:r w:rsidRPr="3782F5BA">
        <w:rPr>
          <w:rFonts w:ascii="Times New Roman" w:eastAsia="Times New Roman" w:hAnsi="Times New Roman" w:cs="Times New Roman"/>
          <w:b/>
          <w:bCs/>
          <w:sz w:val="26"/>
          <w:szCs w:val="26"/>
        </w:rPr>
        <w:t>úthálózat rendelkezésre állási díjak</w:t>
      </w:r>
      <w:r w:rsidRPr="3782F5BA">
        <w:rPr>
          <w:rFonts w:ascii="Times New Roman" w:eastAsia="Times New Roman" w:hAnsi="Times New Roman" w:cs="Times New Roman"/>
          <w:sz w:val="26"/>
          <w:szCs w:val="26"/>
        </w:rPr>
        <w:t xml:space="preserve"> mérlegsor tartalmazza az M5, M6 autópálya rendelkezésre állási díjak, valamint a gyorsforgalmi úthálózat rendelkezésre állási díj előirányzatok kiadásait, amelynek összege 2025 első </w:t>
      </w:r>
      <w:r w:rsidR="0084330A">
        <w:rPr>
          <w:rFonts w:ascii="Times New Roman" w:eastAsia="Times New Roman" w:hAnsi="Times New Roman" w:cs="Times New Roman"/>
          <w:sz w:val="26"/>
          <w:szCs w:val="26"/>
        </w:rPr>
        <w:t>két</w:t>
      </w:r>
      <w:r w:rsidRPr="3782F5BA">
        <w:rPr>
          <w:rFonts w:ascii="Times New Roman" w:eastAsia="Times New Roman" w:hAnsi="Times New Roman" w:cs="Times New Roman"/>
          <w:sz w:val="26"/>
          <w:szCs w:val="26"/>
        </w:rPr>
        <w:t xml:space="preserve"> hónapjában 66,0</w:t>
      </w:r>
      <w:r w:rsidR="00306C97">
        <w:rPr>
          <w:rFonts w:ascii="Times New Roman" w:eastAsia="Times New Roman" w:hAnsi="Times New Roman" w:cs="Times New Roman"/>
          <w:sz w:val="26"/>
          <w:szCs w:val="26"/>
        </w:rPr>
        <w:t> milliárd forint vo</w:t>
      </w:r>
      <w:r w:rsidR="00C539FB">
        <w:rPr>
          <w:rFonts w:ascii="Times New Roman" w:eastAsia="Times New Roman" w:hAnsi="Times New Roman" w:cs="Times New Roman"/>
          <w:sz w:val="26"/>
          <w:szCs w:val="26"/>
        </w:rPr>
        <w:t>lt, ami 21,8</w:t>
      </w:r>
      <w:r w:rsidR="00306C97">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forinttal magasabban alakult a 2024. év azonos időszakához képest. Az eltérést alapvetően a gyorsforgalmi úthálózat rendelkezésre állási díjának szerződésből fakadó változása magyarázza.</w:t>
      </w:r>
    </w:p>
    <w:p w14:paraId="182A3A7A" w14:textId="075F260C" w:rsidR="1EBF714E" w:rsidRDefault="3782F5BA" w:rsidP="006D363A">
      <w:pPr>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 xml:space="preserve">A </w:t>
      </w:r>
      <w:r w:rsidRPr="3782F5BA">
        <w:rPr>
          <w:rFonts w:ascii="Times New Roman" w:eastAsia="Times New Roman" w:hAnsi="Times New Roman" w:cs="Times New Roman"/>
          <w:b/>
          <w:bCs/>
          <w:sz w:val="26"/>
          <w:szCs w:val="26"/>
        </w:rPr>
        <w:t>közösségi közlekedés költségtérítés és támogatás</w:t>
      </w:r>
      <w:r w:rsidRPr="3782F5BA">
        <w:rPr>
          <w:rFonts w:ascii="Times New Roman" w:eastAsia="Times New Roman" w:hAnsi="Times New Roman" w:cs="Times New Roman"/>
          <w:sz w:val="26"/>
          <w:szCs w:val="26"/>
        </w:rPr>
        <w:t xml:space="preserve"> mérlegsor kiadásai 2025. február végéig 25,0 milliárd forintot tettek ki, amely nagyságrendileg megegyezik a megelőző év azonos időszaki teljesítésével. A mérlegsoron belül kifizetés – hasonlóan a tavalyi évi hasonló időszaki adathoz – kizárólag a szociálpolitikai menetdíj támogatás vonatkozásában történt. Ennek oka, hogy a közlekedési közszolgáltatások költségtérítéseinek folyósítása még nem kezdődött meg. </w:t>
      </w:r>
    </w:p>
    <w:p w14:paraId="6CC62A3D" w14:textId="0AF527AA" w:rsidR="006D363A" w:rsidRDefault="3782F5BA" w:rsidP="006D363A">
      <w:pPr>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 xml:space="preserve">A </w:t>
      </w:r>
      <w:r w:rsidRPr="3782F5BA">
        <w:rPr>
          <w:rFonts w:ascii="Times New Roman" w:eastAsia="Times New Roman" w:hAnsi="Times New Roman" w:cs="Times New Roman"/>
          <w:b/>
          <w:bCs/>
          <w:sz w:val="26"/>
          <w:szCs w:val="26"/>
        </w:rPr>
        <w:t>közüzemi szolgáltatások támogatása</w:t>
      </w:r>
      <w:r w:rsidRPr="3782F5BA">
        <w:rPr>
          <w:rFonts w:ascii="Times New Roman" w:eastAsia="Times New Roman" w:hAnsi="Times New Roman" w:cs="Times New Roman"/>
          <w:sz w:val="26"/>
          <w:szCs w:val="26"/>
        </w:rPr>
        <w:t xml:space="preserve"> mérlegsor tartalmazza a lakossági energia rezsivédelmi szolgáltatás, a rezsivédelmi készletezési szolgáltatás és a távhőszolgáltatók kompenzációjával kapcsolatos kiadásokat, valamint a Víziközmű-fejlesztési és Ellentételezési Alap kiadásait is. A közüzemi szolgáltatások támogatására fordított kiadások 2025</w:t>
      </w:r>
      <w:r w:rsidR="008A20E7">
        <w:rPr>
          <w:rFonts w:ascii="Times New Roman" w:eastAsia="Times New Roman" w:hAnsi="Times New Roman" w:cs="Times New Roman"/>
          <w:sz w:val="26"/>
          <w:szCs w:val="26"/>
        </w:rPr>
        <w:t>.</w:t>
      </w:r>
      <w:r w:rsidRPr="3782F5BA">
        <w:rPr>
          <w:rFonts w:ascii="Times New Roman" w:eastAsia="Times New Roman" w:hAnsi="Times New Roman" w:cs="Times New Roman"/>
          <w:sz w:val="26"/>
          <w:szCs w:val="26"/>
        </w:rPr>
        <w:t xml:space="preserve"> február végéig 332,5 milliárd forintot tettek ki, amely magában foglalja a különleges földgázkészlet fenntartásának 2025. április 1-jéig történő finanszírozása érdekében februárban folyósított 3,0</w:t>
      </w:r>
      <w:r w:rsidR="00783E66">
        <w:rPr>
          <w:rFonts w:ascii="Times New Roman" w:eastAsia="Times New Roman" w:hAnsi="Times New Roman" w:cs="Times New Roman"/>
          <w:sz w:val="26"/>
          <w:szCs w:val="26"/>
        </w:rPr>
        <w:t> </w:t>
      </w:r>
      <w:r w:rsidR="00A1161C">
        <w:rPr>
          <w:rFonts w:ascii="Times New Roman" w:eastAsia="Times New Roman" w:hAnsi="Times New Roman" w:cs="Times New Roman"/>
          <w:sz w:val="26"/>
          <w:szCs w:val="26"/>
        </w:rPr>
        <w:t>milliárd forint</w:t>
      </w:r>
      <w:r w:rsidR="006D363A">
        <w:rPr>
          <w:rFonts w:ascii="Times New Roman" w:eastAsia="Times New Roman" w:hAnsi="Times New Roman" w:cs="Times New Roman"/>
          <w:sz w:val="26"/>
          <w:szCs w:val="26"/>
        </w:rPr>
        <w:t xml:space="preserve"> támogatást. T</w:t>
      </w:r>
      <w:r w:rsidRPr="3782F5BA">
        <w:rPr>
          <w:rFonts w:ascii="Times New Roman" w:eastAsia="Times New Roman" w:hAnsi="Times New Roman" w:cs="Times New Roman"/>
          <w:sz w:val="26"/>
          <w:szCs w:val="26"/>
        </w:rPr>
        <w:t xml:space="preserve">ovábbá </w:t>
      </w:r>
      <w:r w:rsidR="006D363A">
        <w:rPr>
          <w:rFonts w:ascii="Times New Roman" w:eastAsia="Times New Roman" w:hAnsi="Times New Roman" w:cs="Times New Roman"/>
          <w:sz w:val="26"/>
          <w:szCs w:val="26"/>
        </w:rPr>
        <w:t xml:space="preserve">tartalmazza </w:t>
      </w:r>
      <w:r w:rsidRPr="3782F5BA">
        <w:rPr>
          <w:rFonts w:ascii="Times New Roman" w:eastAsia="Times New Roman" w:hAnsi="Times New Roman" w:cs="Times New Roman"/>
          <w:sz w:val="26"/>
          <w:szCs w:val="26"/>
        </w:rPr>
        <w:t>a Víziközmű-fejlesztési és Ellentételezési Alapból a víziközmű-szol</w:t>
      </w:r>
      <w:r w:rsidR="00A1161C">
        <w:rPr>
          <w:rFonts w:ascii="Times New Roman" w:eastAsia="Times New Roman" w:hAnsi="Times New Roman" w:cs="Times New Roman"/>
          <w:sz w:val="26"/>
          <w:szCs w:val="26"/>
        </w:rPr>
        <w:t xml:space="preserve">gáltatók részére a </w:t>
      </w:r>
      <w:r w:rsidR="00A1161C">
        <w:rPr>
          <w:rFonts w:ascii="Times New Roman" w:eastAsia="Times New Roman" w:hAnsi="Times New Roman" w:cs="Times New Roman"/>
          <w:sz w:val="26"/>
          <w:szCs w:val="26"/>
        </w:rPr>
        <w:lastRenderedPageBreak/>
        <w:t>2024. év IV. </w:t>
      </w:r>
      <w:r w:rsidRPr="3782F5BA">
        <w:rPr>
          <w:rFonts w:ascii="Times New Roman" w:eastAsia="Times New Roman" w:hAnsi="Times New Roman" w:cs="Times New Roman"/>
          <w:sz w:val="26"/>
          <w:szCs w:val="26"/>
        </w:rPr>
        <w:t xml:space="preserve">negyedévi működésük ellentételezésére nyújtott 24,8 milliárd forintos kiadást is, amely kiadás 2024 első hónapjaiban még nem jelentkezett. </w:t>
      </w:r>
    </w:p>
    <w:p w14:paraId="3B52873E" w14:textId="5721C25A" w:rsidR="008D3E76" w:rsidRDefault="3782F5BA" w:rsidP="006D363A">
      <w:pPr>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A 2024-ben létrehozott Alapból a – negyedévet követő hónapban esedékes – kifizetések 2024 áprilisában kezdődtek meg. A mérlegsor jelenlegi teljesítése 1,6</w:t>
      </w:r>
      <w:r w:rsidR="00783E66">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forinttal alacsonyabb, mint a 2024. év azonos időszakában a közüzemi szolgáltatások teljesítésére fordított 334,1 milliárd forint, ez részben az alacsonyabb támogatási igényből, részben a kifizetés eltérő ütemezéséből fakadt.</w:t>
      </w:r>
    </w:p>
    <w:p w14:paraId="79E44A54" w14:textId="30B2A446" w:rsidR="0F03D9E1" w:rsidRDefault="3782F5BA" w:rsidP="006D363A">
      <w:pPr>
        <w:jc w:val="both"/>
        <w:rPr>
          <w:rFonts w:ascii="Times New Roman" w:eastAsia="Times New Roman" w:hAnsi="Times New Roman" w:cs="Times New Roman"/>
          <w:sz w:val="26"/>
          <w:szCs w:val="26"/>
        </w:rPr>
      </w:pPr>
      <w:r w:rsidRPr="3782F5BA">
        <w:rPr>
          <w:rFonts w:ascii="Times New Roman" w:eastAsia="Times New Roman" w:hAnsi="Times New Roman" w:cs="Times New Roman"/>
          <w:b/>
          <w:bCs/>
          <w:sz w:val="26"/>
          <w:szCs w:val="26"/>
          <w:lang w:eastAsia="hu-HU"/>
        </w:rPr>
        <w:t xml:space="preserve">Lakástámogatásokra </w:t>
      </w:r>
      <w:r w:rsidRPr="3782F5BA">
        <w:rPr>
          <w:rFonts w:ascii="Times New Roman" w:eastAsia="Times New Roman" w:hAnsi="Times New Roman" w:cs="Times New Roman"/>
          <w:sz w:val="26"/>
          <w:szCs w:val="26"/>
        </w:rPr>
        <w:t>fordított kiadások összege február</w:t>
      </w:r>
      <w:r w:rsidR="006D363A">
        <w:rPr>
          <w:rFonts w:ascii="Times New Roman" w:eastAsia="Times New Roman" w:hAnsi="Times New Roman" w:cs="Times New Roman"/>
          <w:sz w:val="26"/>
          <w:szCs w:val="26"/>
        </w:rPr>
        <w:t xml:space="preserve"> végé</w:t>
      </w:r>
      <w:r w:rsidRPr="3782F5BA">
        <w:rPr>
          <w:rFonts w:ascii="Times New Roman" w:eastAsia="Times New Roman" w:hAnsi="Times New Roman" w:cs="Times New Roman"/>
          <w:sz w:val="26"/>
          <w:szCs w:val="26"/>
        </w:rPr>
        <w:t>ig 24,5 milliárd forint volt, mely az előző év azonos időszakához viszonyítva 3,2</w:t>
      </w:r>
      <w:r w:rsidR="002D04D3">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w:t>
      </w:r>
      <w:r w:rsidR="002D04D3">
        <w:rPr>
          <w:rFonts w:ascii="Times New Roman" w:eastAsia="Times New Roman" w:hAnsi="Times New Roman" w:cs="Times New Roman"/>
          <w:sz w:val="26"/>
          <w:szCs w:val="26"/>
        </w:rPr>
        <w:t>inttal teljesült alacsonyabban.</w:t>
      </w:r>
    </w:p>
    <w:p w14:paraId="33223970" w14:textId="25DDB887" w:rsidR="0F03D9E1" w:rsidRDefault="3782F5BA" w:rsidP="006D363A">
      <w:pPr>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 xml:space="preserve">A </w:t>
      </w:r>
      <w:r w:rsidRPr="3782F5BA">
        <w:rPr>
          <w:rFonts w:ascii="Times New Roman" w:eastAsia="Times New Roman" w:hAnsi="Times New Roman" w:cs="Times New Roman"/>
          <w:b/>
          <w:bCs/>
          <w:sz w:val="26"/>
          <w:szCs w:val="26"/>
        </w:rPr>
        <w:t>Nemzeti Család- és Szociálpolitikai Alap</w:t>
      </w:r>
      <w:r w:rsidRPr="3782F5BA">
        <w:rPr>
          <w:rFonts w:ascii="Times New Roman" w:eastAsia="Times New Roman" w:hAnsi="Times New Roman" w:cs="Times New Roman"/>
          <w:sz w:val="26"/>
          <w:szCs w:val="26"/>
        </w:rPr>
        <w:t xml:space="preserve"> a családi támogatásokat, a korhatár alatti ellátásokat, a jövedelempótló és jövedelemkiegészítő szociális támogatásokat, valamint a különféle jogcímen adott térítéseket tartalmazza. A főbb támogatásokat a következő táblázat részletezi:</w:t>
      </w:r>
    </w:p>
    <w:p w14:paraId="46398944" w14:textId="2D482933" w:rsidR="00621840" w:rsidRPr="00B32682" w:rsidRDefault="3782F5BA" w:rsidP="3782F5BA">
      <w:pPr>
        <w:spacing w:after="0"/>
        <w:jc w:val="center"/>
        <w:rPr>
          <w:rFonts w:ascii="Times New Roman" w:eastAsia="Times New Roman" w:hAnsi="Times New Roman" w:cs="Times New Roman"/>
        </w:rPr>
      </w:pPr>
      <w:r w:rsidRPr="3782F5BA">
        <w:rPr>
          <w:rFonts w:ascii="Times New Roman" w:hAnsi="Times New Roman" w:cs="Times New Roman"/>
          <w:b/>
          <w:bCs/>
          <w:color w:val="000000" w:themeColor="text1"/>
        </w:rPr>
        <w:t>A Nemzeti Család- és Szociálpolitikai Alap kiadásainak alakulása (milliárd forint)</w:t>
      </w:r>
    </w:p>
    <w:tbl>
      <w:tblPr>
        <w:tblW w:w="9356" w:type="dxa"/>
        <w:tblCellMar>
          <w:left w:w="70" w:type="dxa"/>
          <w:right w:w="70" w:type="dxa"/>
        </w:tblCellMar>
        <w:tblLook w:val="04A0" w:firstRow="1" w:lastRow="0" w:firstColumn="1" w:lastColumn="0" w:noHBand="0" w:noVBand="1"/>
      </w:tblPr>
      <w:tblGrid>
        <w:gridCol w:w="5670"/>
        <w:gridCol w:w="993"/>
        <w:gridCol w:w="992"/>
        <w:gridCol w:w="850"/>
        <w:gridCol w:w="851"/>
      </w:tblGrid>
      <w:tr w:rsidR="006068B4" w:rsidRPr="00B32682" w14:paraId="2A7C74BD" w14:textId="77777777" w:rsidTr="73C5D9BC">
        <w:trPr>
          <w:trHeight w:hRule="exact" w:val="284"/>
        </w:trPr>
        <w:tc>
          <w:tcPr>
            <w:tcW w:w="9356" w:type="dxa"/>
            <w:gridSpan w:val="5"/>
            <w:tcBorders>
              <w:top w:val="nil"/>
              <w:left w:val="nil"/>
              <w:bottom w:val="single" w:sz="4" w:space="0" w:color="auto"/>
              <w:right w:val="nil"/>
            </w:tcBorders>
            <w:shd w:val="clear" w:color="auto" w:fill="auto"/>
            <w:noWrap/>
            <w:vAlign w:val="center"/>
            <w:hideMark/>
          </w:tcPr>
          <w:p w14:paraId="003FCBDC" w14:textId="77777777" w:rsidR="006068B4" w:rsidRPr="00B32682" w:rsidRDefault="006068B4" w:rsidP="000C1105">
            <w:pPr>
              <w:spacing w:after="0"/>
              <w:jc w:val="center"/>
              <w:rPr>
                <w:rFonts w:ascii="Times New Roman" w:hAnsi="Times New Roman" w:cs="Times New Roman"/>
                <w:b/>
                <w:bCs/>
                <w:color w:val="000000"/>
              </w:rPr>
            </w:pPr>
          </w:p>
        </w:tc>
      </w:tr>
      <w:tr w:rsidR="00081A16" w:rsidRPr="006068B4" w14:paraId="485D9574" w14:textId="77777777" w:rsidTr="73C5D9BC">
        <w:trPr>
          <w:trHeight w:hRule="exact" w:val="284"/>
        </w:trPr>
        <w:tc>
          <w:tcPr>
            <w:tcW w:w="5670" w:type="dxa"/>
            <w:vMerge w:val="restart"/>
            <w:tcBorders>
              <w:top w:val="nil"/>
              <w:left w:val="single" w:sz="4" w:space="0" w:color="auto"/>
              <w:bottom w:val="single" w:sz="4" w:space="0" w:color="000000" w:themeColor="text1"/>
              <w:right w:val="single" w:sz="4" w:space="0" w:color="auto"/>
            </w:tcBorders>
            <w:shd w:val="clear" w:color="auto" w:fill="BDD6EE" w:themeFill="accent1" w:themeFillTint="66"/>
            <w:noWrap/>
            <w:vAlign w:val="center"/>
            <w:hideMark/>
          </w:tcPr>
          <w:p w14:paraId="03974AE3" w14:textId="77777777" w:rsidR="00081A16" w:rsidRPr="00DD7FD1" w:rsidRDefault="3782F5BA" w:rsidP="006D3BF5">
            <w:pPr>
              <w:spacing w:after="0" w:line="240" w:lineRule="auto"/>
              <w:jc w:val="center"/>
              <w:rPr>
                <w:rFonts w:ascii="Times New Roman" w:hAnsi="Times New Roman" w:cs="Times New Roman"/>
                <w:b/>
                <w:bCs/>
                <w:color w:val="000000" w:themeColor="text1"/>
              </w:rPr>
            </w:pPr>
            <w:r w:rsidRPr="3782F5BA">
              <w:rPr>
                <w:rFonts w:ascii="Times New Roman" w:hAnsi="Times New Roman" w:cs="Times New Roman"/>
                <w:b/>
                <w:bCs/>
                <w:color w:val="000000" w:themeColor="text1"/>
              </w:rPr>
              <w:t>Megnevezés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119955B" w14:textId="30BE9847" w:rsidR="00081A16" w:rsidRPr="00DD7FD1" w:rsidRDefault="73C5D9BC" w:rsidP="73C5D9BC">
            <w:pPr>
              <w:spacing w:after="0" w:line="240" w:lineRule="auto"/>
              <w:jc w:val="center"/>
              <w:rPr>
                <w:rFonts w:ascii="Times New Roman" w:hAnsi="Times New Roman" w:cs="Times New Roman"/>
                <w:b/>
                <w:bCs/>
                <w:color w:val="000000" w:themeColor="text1"/>
              </w:rPr>
            </w:pPr>
            <w:r w:rsidRPr="73C5D9BC">
              <w:rPr>
                <w:rFonts w:ascii="Times New Roman" w:eastAsia="Times New Roman" w:hAnsi="Times New Roman" w:cs="Times New Roman"/>
                <w:b/>
                <w:bCs/>
                <w:lang w:eastAsia="hu-HU"/>
              </w:rPr>
              <w:t xml:space="preserve">2024. </w:t>
            </w:r>
          </w:p>
          <w:p w14:paraId="5E208842" w14:textId="787C500A" w:rsidR="00081A16" w:rsidRPr="00DD7FD1" w:rsidRDefault="3782F5BA" w:rsidP="3782F5BA">
            <w:pPr>
              <w:spacing w:after="0" w:line="240" w:lineRule="auto"/>
              <w:jc w:val="center"/>
              <w:rPr>
                <w:rFonts w:ascii="Times New Roman" w:hAnsi="Times New Roman" w:cs="Times New Roman"/>
                <w:b/>
                <w:bCs/>
                <w:color w:val="000000" w:themeColor="text1"/>
              </w:rPr>
            </w:pPr>
            <w:r w:rsidRPr="3782F5BA">
              <w:rPr>
                <w:rFonts w:ascii="Times New Roman" w:eastAsia="Times New Roman" w:hAnsi="Times New Roman" w:cs="Times New Roman"/>
                <w:b/>
                <w:bCs/>
                <w:lang w:eastAsia="hu-HU"/>
              </w:rPr>
              <w:t>I-II. hó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515045" w14:textId="76BFE4BD" w:rsidR="00081A16" w:rsidRPr="00DD7FD1" w:rsidRDefault="73C5D9BC" w:rsidP="73C5D9BC">
            <w:pPr>
              <w:spacing w:after="0" w:line="240" w:lineRule="auto"/>
              <w:jc w:val="center"/>
              <w:rPr>
                <w:rFonts w:ascii="Times New Roman" w:hAnsi="Times New Roman" w:cs="Times New Roman"/>
                <w:b/>
                <w:bCs/>
                <w:color w:val="000000" w:themeColor="text1"/>
              </w:rPr>
            </w:pPr>
            <w:r w:rsidRPr="73C5D9BC">
              <w:rPr>
                <w:rFonts w:ascii="Times New Roman" w:eastAsia="Times New Roman" w:hAnsi="Times New Roman" w:cs="Times New Roman"/>
                <w:b/>
                <w:bCs/>
                <w:lang w:eastAsia="hu-HU"/>
              </w:rPr>
              <w:t xml:space="preserve">2025. </w:t>
            </w:r>
          </w:p>
          <w:p w14:paraId="211822BF" w14:textId="63F3CBAF" w:rsidR="00081A16" w:rsidRPr="00DD7FD1" w:rsidRDefault="3782F5BA" w:rsidP="3782F5BA">
            <w:pPr>
              <w:spacing w:after="0" w:line="240" w:lineRule="auto"/>
              <w:jc w:val="center"/>
              <w:rPr>
                <w:rFonts w:ascii="Times New Roman" w:hAnsi="Times New Roman" w:cs="Times New Roman"/>
                <w:b/>
                <w:bCs/>
                <w:color w:val="000000" w:themeColor="text1"/>
              </w:rPr>
            </w:pPr>
            <w:r w:rsidRPr="3782F5BA">
              <w:rPr>
                <w:rFonts w:ascii="Times New Roman" w:eastAsia="Times New Roman" w:hAnsi="Times New Roman" w:cs="Times New Roman"/>
                <w:b/>
                <w:bCs/>
                <w:lang w:eastAsia="hu-HU"/>
              </w:rPr>
              <w:t>I-II. hó</w:t>
            </w:r>
          </w:p>
        </w:tc>
        <w:tc>
          <w:tcPr>
            <w:tcW w:w="1701"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5F9B9E7" w14:textId="77777777" w:rsidR="00081A16" w:rsidRPr="00DD7FD1" w:rsidRDefault="3782F5BA" w:rsidP="3782F5BA">
            <w:pPr>
              <w:jc w:val="center"/>
              <w:rPr>
                <w:rFonts w:ascii="Times New Roman" w:hAnsi="Times New Roman" w:cs="Times New Roman"/>
                <w:b/>
                <w:bCs/>
                <w:color w:val="000000" w:themeColor="text1"/>
              </w:rPr>
            </w:pPr>
            <w:r w:rsidRPr="3782F5BA">
              <w:rPr>
                <w:rFonts w:ascii="Times New Roman" w:hAnsi="Times New Roman" w:cs="Times New Roman"/>
                <w:b/>
                <w:bCs/>
                <w:color w:val="000000" w:themeColor="text1"/>
              </w:rPr>
              <w:t>Eltérés</w:t>
            </w:r>
          </w:p>
        </w:tc>
      </w:tr>
      <w:tr w:rsidR="006068B4" w:rsidRPr="006068B4" w14:paraId="2BEB1728" w14:textId="77777777" w:rsidTr="73C5D9BC">
        <w:trPr>
          <w:trHeight w:hRule="exact" w:val="569"/>
        </w:trPr>
        <w:tc>
          <w:tcPr>
            <w:tcW w:w="5670" w:type="dxa"/>
            <w:vMerge/>
            <w:tcBorders>
              <w:top w:val="nil"/>
              <w:left w:val="single" w:sz="4" w:space="0" w:color="auto"/>
              <w:bottom w:val="single" w:sz="4" w:space="0" w:color="000000"/>
              <w:right w:val="single" w:sz="4" w:space="0" w:color="auto"/>
            </w:tcBorders>
            <w:shd w:val="clear" w:color="auto" w:fill="BDD6EE" w:themeFill="accent1" w:themeFillTint="66"/>
            <w:vAlign w:val="center"/>
            <w:hideMark/>
          </w:tcPr>
          <w:p w14:paraId="493B685E" w14:textId="77777777" w:rsidR="006068B4" w:rsidRPr="00DD7FD1" w:rsidRDefault="006068B4" w:rsidP="000C1105">
            <w:pPr>
              <w:rPr>
                <w:rFonts w:ascii="Times New Roman" w:hAnsi="Times New Roman" w:cs="Times New Roman"/>
                <w:b/>
                <w:bCs/>
                <w:color w:val="000000"/>
              </w:rPr>
            </w:pPr>
          </w:p>
        </w:tc>
        <w:tc>
          <w:tcPr>
            <w:tcW w:w="993" w:type="dxa"/>
            <w:vMerge/>
            <w:tcBorders>
              <w:top w:val="nil"/>
              <w:left w:val="single" w:sz="4" w:space="0" w:color="auto"/>
              <w:bottom w:val="single" w:sz="4" w:space="0" w:color="000000"/>
              <w:right w:val="single" w:sz="4" w:space="0" w:color="auto"/>
            </w:tcBorders>
            <w:shd w:val="clear" w:color="auto" w:fill="BDD6EE" w:themeFill="accent1" w:themeFillTint="66"/>
            <w:vAlign w:val="center"/>
            <w:hideMark/>
          </w:tcPr>
          <w:p w14:paraId="071FC734" w14:textId="77777777" w:rsidR="006068B4" w:rsidRPr="00DD7FD1" w:rsidRDefault="006068B4" w:rsidP="000C1105">
            <w:pPr>
              <w:rPr>
                <w:rFonts w:ascii="Times New Roman" w:hAnsi="Times New Roman" w:cs="Times New Roman"/>
                <w:b/>
                <w:bCs/>
                <w:color w:val="000000"/>
              </w:rPr>
            </w:pPr>
          </w:p>
        </w:tc>
        <w:tc>
          <w:tcPr>
            <w:tcW w:w="992"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929BC54" w14:textId="77777777" w:rsidR="006068B4" w:rsidRPr="00DD7FD1" w:rsidRDefault="006068B4" w:rsidP="000C1105">
            <w:pPr>
              <w:rPr>
                <w:rFonts w:ascii="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BDD6EE" w:themeFill="accent1" w:themeFillTint="66"/>
            <w:noWrap/>
            <w:vAlign w:val="bottom"/>
            <w:hideMark/>
          </w:tcPr>
          <w:p w14:paraId="012AC354" w14:textId="77777777" w:rsidR="006068B4" w:rsidRPr="00DD7FD1" w:rsidRDefault="3782F5BA" w:rsidP="3782F5BA">
            <w:pPr>
              <w:jc w:val="center"/>
              <w:rPr>
                <w:rFonts w:ascii="Times New Roman" w:hAnsi="Times New Roman" w:cs="Times New Roman"/>
                <w:b/>
                <w:bCs/>
                <w:color w:val="000000" w:themeColor="text1"/>
              </w:rPr>
            </w:pPr>
            <w:r w:rsidRPr="3782F5BA">
              <w:rPr>
                <w:rFonts w:ascii="Times New Roman" w:hAnsi="Times New Roman" w:cs="Times New Roman"/>
                <w:b/>
                <w:bCs/>
                <w:color w:val="000000" w:themeColor="text1"/>
              </w:rPr>
              <w:t>Mrd Ft</w:t>
            </w:r>
          </w:p>
        </w:tc>
        <w:tc>
          <w:tcPr>
            <w:tcW w:w="851" w:type="dxa"/>
            <w:tcBorders>
              <w:top w:val="nil"/>
              <w:left w:val="nil"/>
              <w:bottom w:val="single" w:sz="4" w:space="0" w:color="auto"/>
              <w:right w:val="single" w:sz="4" w:space="0" w:color="auto"/>
            </w:tcBorders>
            <w:shd w:val="clear" w:color="auto" w:fill="BDD6EE" w:themeFill="accent1" w:themeFillTint="66"/>
            <w:noWrap/>
            <w:vAlign w:val="bottom"/>
            <w:hideMark/>
          </w:tcPr>
          <w:p w14:paraId="609414B4" w14:textId="77777777" w:rsidR="006068B4" w:rsidRPr="00DD7FD1" w:rsidRDefault="3782F5BA" w:rsidP="3782F5BA">
            <w:pPr>
              <w:jc w:val="center"/>
              <w:rPr>
                <w:rFonts w:ascii="Times New Roman" w:hAnsi="Times New Roman" w:cs="Times New Roman"/>
                <w:b/>
                <w:bCs/>
                <w:color w:val="000000" w:themeColor="text1"/>
              </w:rPr>
            </w:pPr>
            <w:r w:rsidRPr="3782F5BA">
              <w:rPr>
                <w:rFonts w:ascii="Times New Roman" w:hAnsi="Times New Roman" w:cs="Times New Roman"/>
                <w:b/>
                <w:bCs/>
                <w:color w:val="000000" w:themeColor="text1"/>
              </w:rPr>
              <w:t>%</w:t>
            </w:r>
          </w:p>
        </w:tc>
      </w:tr>
      <w:tr w:rsidR="00DA488F" w:rsidRPr="006068B4" w14:paraId="49EB33A2" w14:textId="77777777" w:rsidTr="73C5D9BC">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4E42FB2" w14:textId="77777777" w:rsidR="00DA488F" w:rsidRPr="006068B4" w:rsidRDefault="3782F5BA" w:rsidP="3782F5BA">
            <w:pPr>
              <w:spacing w:line="240" w:lineRule="auto"/>
              <w:rPr>
                <w:rFonts w:ascii="Times New Roman" w:hAnsi="Times New Roman" w:cs="Times New Roman"/>
                <w:b/>
                <w:bCs/>
                <w:color w:val="000000" w:themeColor="text1"/>
                <w:sz w:val="20"/>
                <w:szCs w:val="20"/>
              </w:rPr>
            </w:pPr>
            <w:r w:rsidRPr="3782F5BA">
              <w:rPr>
                <w:rFonts w:ascii="Times New Roman" w:hAnsi="Times New Roman" w:cs="Times New Roman"/>
                <w:b/>
                <w:bCs/>
                <w:color w:val="000000" w:themeColor="text1"/>
                <w:sz w:val="20"/>
                <w:szCs w:val="20"/>
              </w:rPr>
              <w:t>Családi támogatások</w:t>
            </w:r>
          </w:p>
        </w:tc>
        <w:tc>
          <w:tcPr>
            <w:tcW w:w="993" w:type="dxa"/>
            <w:tcBorders>
              <w:top w:val="nil"/>
              <w:left w:val="nil"/>
              <w:bottom w:val="single" w:sz="4" w:space="0" w:color="auto"/>
              <w:right w:val="single" w:sz="4" w:space="0" w:color="auto"/>
            </w:tcBorders>
            <w:shd w:val="clear" w:color="auto" w:fill="auto"/>
            <w:noWrap/>
            <w:hideMark/>
          </w:tcPr>
          <w:p w14:paraId="7106BB85" w14:textId="240225BE" w:rsidR="00DA488F" w:rsidRPr="00DA488F" w:rsidRDefault="73C5D9BC" w:rsidP="73C5D9BC">
            <w:pPr>
              <w:spacing w:line="240" w:lineRule="auto"/>
              <w:jc w:val="right"/>
              <w:rPr>
                <w:rFonts w:ascii="Times New Roman" w:hAnsi="Times New Roman" w:cs="Times New Roman"/>
                <w:b/>
                <w:bCs/>
                <w:sz w:val="20"/>
                <w:szCs w:val="20"/>
              </w:rPr>
            </w:pPr>
            <w:r w:rsidRPr="73C5D9BC">
              <w:rPr>
                <w:rFonts w:ascii="Times New Roman" w:hAnsi="Times New Roman" w:cs="Times New Roman"/>
                <w:b/>
                <w:bCs/>
                <w:sz w:val="20"/>
                <w:szCs w:val="20"/>
              </w:rPr>
              <w:t>81,1</w:t>
            </w:r>
          </w:p>
        </w:tc>
        <w:tc>
          <w:tcPr>
            <w:tcW w:w="992" w:type="dxa"/>
            <w:tcBorders>
              <w:top w:val="nil"/>
              <w:left w:val="nil"/>
              <w:bottom w:val="single" w:sz="4" w:space="0" w:color="auto"/>
              <w:right w:val="single" w:sz="4" w:space="0" w:color="auto"/>
            </w:tcBorders>
            <w:shd w:val="clear" w:color="auto" w:fill="auto"/>
            <w:noWrap/>
            <w:hideMark/>
          </w:tcPr>
          <w:p w14:paraId="2A54C0E6" w14:textId="1104997A" w:rsidR="00DA488F" w:rsidRPr="00DA488F" w:rsidRDefault="73C5D9BC" w:rsidP="73C5D9BC">
            <w:pPr>
              <w:spacing w:line="240" w:lineRule="auto"/>
              <w:jc w:val="right"/>
              <w:rPr>
                <w:rFonts w:ascii="Times New Roman" w:hAnsi="Times New Roman" w:cs="Times New Roman"/>
                <w:b/>
                <w:bCs/>
                <w:sz w:val="20"/>
                <w:szCs w:val="20"/>
              </w:rPr>
            </w:pPr>
            <w:r w:rsidRPr="73C5D9BC">
              <w:rPr>
                <w:rFonts w:ascii="Times New Roman" w:hAnsi="Times New Roman" w:cs="Times New Roman"/>
                <w:b/>
                <w:bCs/>
                <w:sz w:val="20"/>
                <w:szCs w:val="20"/>
              </w:rPr>
              <w:t>67,8</w:t>
            </w:r>
          </w:p>
        </w:tc>
        <w:tc>
          <w:tcPr>
            <w:tcW w:w="850" w:type="dxa"/>
            <w:tcBorders>
              <w:top w:val="nil"/>
              <w:left w:val="nil"/>
              <w:bottom w:val="single" w:sz="4" w:space="0" w:color="auto"/>
              <w:right w:val="single" w:sz="4" w:space="0" w:color="auto"/>
            </w:tcBorders>
            <w:shd w:val="clear" w:color="auto" w:fill="auto"/>
            <w:noWrap/>
            <w:hideMark/>
          </w:tcPr>
          <w:p w14:paraId="1078FA78" w14:textId="3C5BE126" w:rsidR="00DA488F" w:rsidRPr="00DA488F" w:rsidRDefault="73C5D9BC" w:rsidP="73C5D9BC">
            <w:pPr>
              <w:spacing w:line="240" w:lineRule="auto"/>
              <w:jc w:val="right"/>
              <w:rPr>
                <w:rFonts w:ascii="Times New Roman" w:hAnsi="Times New Roman" w:cs="Times New Roman"/>
                <w:b/>
                <w:bCs/>
                <w:sz w:val="20"/>
                <w:szCs w:val="20"/>
              </w:rPr>
            </w:pPr>
            <w:r w:rsidRPr="73C5D9BC">
              <w:rPr>
                <w:rFonts w:ascii="Times New Roman" w:hAnsi="Times New Roman" w:cs="Times New Roman"/>
                <w:b/>
                <w:bCs/>
                <w:sz w:val="20"/>
                <w:szCs w:val="20"/>
              </w:rPr>
              <w:t>-13,3</w:t>
            </w:r>
          </w:p>
        </w:tc>
        <w:tc>
          <w:tcPr>
            <w:tcW w:w="851" w:type="dxa"/>
            <w:tcBorders>
              <w:top w:val="nil"/>
              <w:left w:val="nil"/>
              <w:bottom w:val="single" w:sz="4" w:space="0" w:color="auto"/>
              <w:right w:val="single" w:sz="4" w:space="0" w:color="auto"/>
            </w:tcBorders>
            <w:shd w:val="clear" w:color="auto" w:fill="auto"/>
            <w:noWrap/>
            <w:hideMark/>
          </w:tcPr>
          <w:p w14:paraId="0C2D88F1" w14:textId="6F0D4D4A" w:rsidR="00DA488F" w:rsidRPr="00DA488F" w:rsidRDefault="73C5D9BC" w:rsidP="73C5D9BC">
            <w:pPr>
              <w:spacing w:line="240" w:lineRule="auto"/>
              <w:jc w:val="right"/>
              <w:rPr>
                <w:rFonts w:ascii="Times New Roman" w:hAnsi="Times New Roman" w:cs="Times New Roman"/>
                <w:b/>
                <w:bCs/>
                <w:sz w:val="20"/>
                <w:szCs w:val="20"/>
              </w:rPr>
            </w:pPr>
            <w:r w:rsidRPr="73C5D9BC">
              <w:rPr>
                <w:rFonts w:ascii="Times New Roman" w:hAnsi="Times New Roman" w:cs="Times New Roman"/>
                <w:b/>
                <w:bCs/>
                <w:sz w:val="20"/>
                <w:szCs w:val="20"/>
              </w:rPr>
              <w:t>83,6</w:t>
            </w:r>
          </w:p>
        </w:tc>
      </w:tr>
      <w:tr w:rsidR="00DA488F" w:rsidRPr="006068B4" w14:paraId="18F11EAE" w14:textId="77777777" w:rsidTr="73C5D9BC">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5F289C86" w14:textId="77777777" w:rsidR="00DA488F" w:rsidRPr="006068B4" w:rsidRDefault="3782F5BA" w:rsidP="3782F5BA">
            <w:pPr>
              <w:spacing w:line="240" w:lineRule="auto"/>
              <w:ind w:firstLineChars="100" w:firstLine="200"/>
              <w:rPr>
                <w:rFonts w:ascii="Times New Roman" w:hAnsi="Times New Roman" w:cs="Times New Roman"/>
                <w:i/>
                <w:iCs/>
                <w:color w:val="000000" w:themeColor="text1"/>
                <w:sz w:val="20"/>
                <w:szCs w:val="20"/>
              </w:rPr>
            </w:pPr>
            <w:r w:rsidRPr="3782F5BA">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3409B63E" w14:textId="38F34D08"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73A14223" w14:textId="68DF0F09"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0C731BD9" w14:textId="5050B205"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3700134C" w14:textId="42CA5D48" w:rsidR="00DA488F" w:rsidRPr="00DA488F" w:rsidRDefault="00DA488F" w:rsidP="00DA488F">
            <w:pPr>
              <w:spacing w:line="240" w:lineRule="auto"/>
              <w:jc w:val="right"/>
              <w:rPr>
                <w:rFonts w:ascii="Times New Roman" w:hAnsi="Times New Roman" w:cs="Times New Roman"/>
                <w:sz w:val="20"/>
                <w:szCs w:val="20"/>
              </w:rPr>
            </w:pPr>
          </w:p>
        </w:tc>
      </w:tr>
      <w:tr w:rsidR="00DA488F" w:rsidRPr="006068B4" w14:paraId="177E3B96" w14:textId="77777777" w:rsidTr="73C5D9BC">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532CB68" w14:textId="77777777" w:rsidR="00DA488F" w:rsidRPr="006068B4" w:rsidRDefault="3782F5BA" w:rsidP="3782F5BA">
            <w:pPr>
              <w:spacing w:line="240" w:lineRule="auto"/>
              <w:ind w:firstLineChars="400" w:firstLine="800"/>
              <w:rPr>
                <w:rFonts w:ascii="Times New Roman" w:hAnsi="Times New Roman" w:cs="Times New Roman"/>
                <w:i/>
                <w:iCs/>
                <w:color w:val="000000" w:themeColor="text1"/>
                <w:sz w:val="20"/>
                <w:szCs w:val="20"/>
              </w:rPr>
            </w:pPr>
            <w:r w:rsidRPr="3782F5BA">
              <w:rPr>
                <w:rFonts w:ascii="Times New Roman" w:hAnsi="Times New Roman" w:cs="Times New Roman"/>
                <w:i/>
                <w:iCs/>
                <w:color w:val="000000" w:themeColor="text1"/>
                <w:sz w:val="20"/>
                <w:szCs w:val="20"/>
              </w:rPr>
              <w:t>családi pótlék</w:t>
            </w:r>
          </w:p>
        </w:tc>
        <w:tc>
          <w:tcPr>
            <w:tcW w:w="993" w:type="dxa"/>
            <w:tcBorders>
              <w:top w:val="nil"/>
              <w:left w:val="nil"/>
              <w:bottom w:val="single" w:sz="4" w:space="0" w:color="auto"/>
              <w:right w:val="single" w:sz="4" w:space="0" w:color="auto"/>
            </w:tcBorders>
            <w:shd w:val="clear" w:color="auto" w:fill="auto"/>
            <w:noWrap/>
            <w:hideMark/>
          </w:tcPr>
          <w:p w14:paraId="38B23896" w14:textId="216D9523"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50,6</w:t>
            </w:r>
          </w:p>
        </w:tc>
        <w:tc>
          <w:tcPr>
            <w:tcW w:w="992" w:type="dxa"/>
            <w:tcBorders>
              <w:top w:val="nil"/>
              <w:left w:val="nil"/>
              <w:bottom w:val="single" w:sz="4" w:space="0" w:color="auto"/>
              <w:right w:val="single" w:sz="4" w:space="0" w:color="auto"/>
            </w:tcBorders>
            <w:shd w:val="clear" w:color="auto" w:fill="auto"/>
            <w:noWrap/>
            <w:hideMark/>
          </w:tcPr>
          <w:p w14:paraId="2831AA3C" w14:textId="5A3257F9"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50,2</w:t>
            </w:r>
          </w:p>
        </w:tc>
        <w:tc>
          <w:tcPr>
            <w:tcW w:w="850" w:type="dxa"/>
            <w:tcBorders>
              <w:top w:val="nil"/>
              <w:left w:val="nil"/>
              <w:bottom w:val="single" w:sz="4" w:space="0" w:color="auto"/>
              <w:right w:val="single" w:sz="4" w:space="0" w:color="auto"/>
            </w:tcBorders>
            <w:shd w:val="clear" w:color="auto" w:fill="auto"/>
            <w:noWrap/>
            <w:hideMark/>
          </w:tcPr>
          <w:p w14:paraId="145C8E2D" w14:textId="5306FF18"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-0,4</w:t>
            </w:r>
          </w:p>
        </w:tc>
        <w:tc>
          <w:tcPr>
            <w:tcW w:w="851" w:type="dxa"/>
            <w:tcBorders>
              <w:top w:val="nil"/>
              <w:left w:val="nil"/>
              <w:bottom w:val="single" w:sz="4" w:space="0" w:color="auto"/>
              <w:right w:val="single" w:sz="4" w:space="0" w:color="auto"/>
            </w:tcBorders>
            <w:shd w:val="clear" w:color="auto" w:fill="auto"/>
            <w:noWrap/>
            <w:hideMark/>
          </w:tcPr>
          <w:p w14:paraId="3DC707AD" w14:textId="3CAE92A9"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99,2</w:t>
            </w:r>
          </w:p>
        </w:tc>
      </w:tr>
      <w:tr w:rsidR="00DA488F" w:rsidRPr="006068B4" w14:paraId="750E94DE" w14:textId="77777777" w:rsidTr="73C5D9BC">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0C0A4C2" w14:textId="77777777" w:rsidR="00DA488F" w:rsidRPr="006068B4" w:rsidRDefault="3782F5BA" w:rsidP="3782F5BA">
            <w:pPr>
              <w:spacing w:line="240" w:lineRule="auto"/>
              <w:ind w:firstLineChars="400" w:firstLine="800"/>
              <w:rPr>
                <w:rFonts w:ascii="Times New Roman" w:hAnsi="Times New Roman" w:cs="Times New Roman"/>
                <w:i/>
                <w:iCs/>
                <w:color w:val="000000" w:themeColor="text1"/>
                <w:sz w:val="20"/>
                <w:szCs w:val="20"/>
              </w:rPr>
            </w:pPr>
            <w:r w:rsidRPr="3782F5BA">
              <w:rPr>
                <w:rFonts w:ascii="Times New Roman" w:hAnsi="Times New Roman" w:cs="Times New Roman"/>
                <w:i/>
                <w:iCs/>
                <w:color w:val="000000" w:themeColor="text1"/>
                <w:sz w:val="20"/>
                <w:szCs w:val="20"/>
              </w:rPr>
              <w:t>anyasági támogatás</w:t>
            </w:r>
          </w:p>
        </w:tc>
        <w:tc>
          <w:tcPr>
            <w:tcW w:w="993" w:type="dxa"/>
            <w:tcBorders>
              <w:top w:val="nil"/>
              <w:left w:val="nil"/>
              <w:bottom w:val="single" w:sz="4" w:space="0" w:color="auto"/>
              <w:right w:val="single" w:sz="4" w:space="0" w:color="auto"/>
            </w:tcBorders>
            <w:shd w:val="clear" w:color="auto" w:fill="auto"/>
            <w:noWrap/>
            <w:hideMark/>
          </w:tcPr>
          <w:p w14:paraId="597D9A51" w14:textId="55620A65"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1,0</w:t>
            </w:r>
          </w:p>
        </w:tc>
        <w:tc>
          <w:tcPr>
            <w:tcW w:w="992" w:type="dxa"/>
            <w:tcBorders>
              <w:top w:val="nil"/>
              <w:left w:val="nil"/>
              <w:bottom w:val="single" w:sz="4" w:space="0" w:color="auto"/>
              <w:right w:val="single" w:sz="4" w:space="0" w:color="auto"/>
            </w:tcBorders>
            <w:shd w:val="clear" w:color="auto" w:fill="auto"/>
            <w:noWrap/>
            <w:hideMark/>
          </w:tcPr>
          <w:p w14:paraId="4295E839" w14:textId="4ACD71A6"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0,9</w:t>
            </w:r>
          </w:p>
        </w:tc>
        <w:tc>
          <w:tcPr>
            <w:tcW w:w="850" w:type="dxa"/>
            <w:tcBorders>
              <w:top w:val="nil"/>
              <w:left w:val="nil"/>
              <w:bottom w:val="single" w:sz="4" w:space="0" w:color="auto"/>
              <w:right w:val="single" w:sz="4" w:space="0" w:color="auto"/>
            </w:tcBorders>
            <w:shd w:val="clear" w:color="auto" w:fill="auto"/>
            <w:noWrap/>
            <w:hideMark/>
          </w:tcPr>
          <w:p w14:paraId="0BFAA189" w14:textId="305A84E5"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-0,1</w:t>
            </w:r>
          </w:p>
        </w:tc>
        <w:tc>
          <w:tcPr>
            <w:tcW w:w="851" w:type="dxa"/>
            <w:tcBorders>
              <w:top w:val="nil"/>
              <w:left w:val="nil"/>
              <w:bottom w:val="single" w:sz="4" w:space="0" w:color="auto"/>
              <w:right w:val="single" w:sz="4" w:space="0" w:color="auto"/>
            </w:tcBorders>
            <w:shd w:val="clear" w:color="auto" w:fill="auto"/>
            <w:noWrap/>
            <w:hideMark/>
          </w:tcPr>
          <w:p w14:paraId="2913BB8B" w14:textId="144AC07E"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90,0</w:t>
            </w:r>
          </w:p>
        </w:tc>
      </w:tr>
      <w:tr w:rsidR="00DA488F" w:rsidRPr="006068B4" w14:paraId="723C4BB5" w14:textId="77777777" w:rsidTr="73C5D9BC">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4B71EC87" w14:textId="77777777" w:rsidR="00DA488F" w:rsidRPr="006068B4" w:rsidRDefault="3782F5BA" w:rsidP="3782F5BA">
            <w:pPr>
              <w:spacing w:line="240" w:lineRule="auto"/>
              <w:ind w:firstLineChars="400" w:firstLine="800"/>
              <w:rPr>
                <w:rFonts w:ascii="Times New Roman" w:hAnsi="Times New Roman" w:cs="Times New Roman"/>
                <w:i/>
                <w:iCs/>
                <w:color w:val="000000" w:themeColor="text1"/>
                <w:sz w:val="20"/>
                <w:szCs w:val="20"/>
              </w:rPr>
            </w:pPr>
            <w:r w:rsidRPr="3782F5BA">
              <w:rPr>
                <w:rFonts w:ascii="Times New Roman" w:hAnsi="Times New Roman" w:cs="Times New Roman"/>
                <w:i/>
                <w:iCs/>
                <w:color w:val="000000" w:themeColor="text1"/>
                <w:sz w:val="20"/>
                <w:szCs w:val="20"/>
              </w:rPr>
              <w:t>gyermekgondozást segítő ellátás</w:t>
            </w:r>
          </w:p>
        </w:tc>
        <w:tc>
          <w:tcPr>
            <w:tcW w:w="993" w:type="dxa"/>
            <w:tcBorders>
              <w:top w:val="nil"/>
              <w:left w:val="nil"/>
              <w:bottom w:val="single" w:sz="4" w:space="0" w:color="auto"/>
              <w:right w:val="single" w:sz="4" w:space="0" w:color="auto"/>
            </w:tcBorders>
            <w:shd w:val="clear" w:color="auto" w:fill="auto"/>
            <w:noWrap/>
            <w:hideMark/>
          </w:tcPr>
          <w:p w14:paraId="6C8BD5D3" w14:textId="7CFF88BE"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9,1</w:t>
            </w:r>
          </w:p>
        </w:tc>
        <w:tc>
          <w:tcPr>
            <w:tcW w:w="992" w:type="dxa"/>
            <w:tcBorders>
              <w:top w:val="nil"/>
              <w:left w:val="nil"/>
              <w:bottom w:val="single" w:sz="4" w:space="0" w:color="auto"/>
              <w:right w:val="single" w:sz="4" w:space="0" w:color="auto"/>
            </w:tcBorders>
            <w:shd w:val="clear" w:color="auto" w:fill="auto"/>
            <w:noWrap/>
            <w:hideMark/>
          </w:tcPr>
          <w:p w14:paraId="4B96F73D" w14:textId="2280F181"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8,8</w:t>
            </w:r>
          </w:p>
        </w:tc>
        <w:tc>
          <w:tcPr>
            <w:tcW w:w="850" w:type="dxa"/>
            <w:tcBorders>
              <w:top w:val="nil"/>
              <w:left w:val="nil"/>
              <w:bottom w:val="single" w:sz="4" w:space="0" w:color="auto"/>
              <w:right w:val="single" w:sz="4" w:space="0" w:color="auto"/>
            </w:tcBorders>
            <w:shd w:val="clear" w:color="auto" w:fill="auto"/>
            <w:noWrap/>
            <w:hideMark/>
          </w:tcPr>
          <w:p w14:paraId="7997B51A" w14:textId="690CD6F8"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-0,3</w:t>
            </w:r>
          </w:p>
        </w:tc>
        <w:tc>
          <w:tcPr>
            <w:tcW w:w="851" w:type="dxa"/>
            <w:tcBorders>
              <w:top w:val="nil"/>
              <w:left w:val="nil"/>
              <w:bottom w:val="single" w:sz="4" w:space="0" w:color="auto"/>
              <w:right w:val="single" w:sz="4" w:space="0" w:color="auto"/>
            </w:tcBorders>
            <w:shd w:val="clear" w:color="auto" w:fill="auto"/>
            <w:noWrap/>
            <w:hideMark/>
          </w:tcPr>
          <w:p w14:paraId="4C0B8D65" w14:textId="5E984898"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96,7</w:t>
            </w:r>
          </w:p>
        </w:tc>
      </w:tr>
      <w:tr w:rsidR="00DA488F" w:rsidRPr="006068B4" w14:paraId="4C1A9EFC" w14:textId="77777777" w:rsidTr="73C5D9BC">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0E314DCD" w14:textId="77777777" w:rsidR="00DA488F" w:rsidRPr="006068B4" w:rsidRDefault="3782F5BA" w:rsidP="3782F5BA">
            <w:pPr>
              <w:spacing w:line="240" w:lineRule="auto"/>
              <w:ind w:firstLineChars="400" w:firstLine="800"/>
              <w:rPr>
                <w:rFonts w:ascii="Times New Roman" w:hAnsi="Times New Roman" w:cs="Times New Roman"/>
                <w:i/>
                <w:iCs/>
                <w:color w:val="000000" w:themeColor="text1"/>
                <w:sz w:val="20"/>
                <w:szCs w:val="20"/>
              </w:rPr>
            </w:pPr>
            <w:r w:rsidRPr="3782F5BA">
              <w:rPr>
                <w:rFonts w:ascii="Times New Roman" w:hAnsi="Times New Roman" w:cs="Times New Roman"/>
                <w:i/>
                <w:iCs/>
                <w:color w:val="000000" w:themeColor="text1"/>
                <w:sz w:val="20"/>
                <w:szCs w:val="20"/>
              </w:rPr>
              <w:t>gyermeknevelési támogatás</w:t>
            </w:r>
          </w:p>
        </w:tc>
        <w:tc>
          <w:tcPr>
            <w:tcW w:w="993" w:type="dxa"/>
            <w:tcBorders>
              <w:top w:val="nil"/>
              <w:left w:val="nil"/>
              <w:bottom w:val="single" w:sz="4" w:space="0" w:color="auto"/>
              <w:right w:val="single" w:sz="4" w:space="0" w:color="auto"/>
            </w:tcBorders>
            <w:shd w:val="clear" w:color="auto" w:fill="auto"/>
            <w:noWrap/>
            <w:hideMark/>
          </w:tcPr>
          <w:p w14:paraId="14826C72" w14:textId="64290AF6"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1,6</w:t>
            </w:r>
          </w:p>
        </w:tc>
        <w:tc>
          <w:tcPr>
            <w:tcW w:w="992" w:type="dxa"/>
            <w:tcBorders>
              <w:top w:val="nil"/>
              <w:left w:val="nil"/>
              <w:bottom w:val="single" w:sz="4" w:space="0" w:color="auto"/>
              <w:right w:val="single" w:sz="4" w:space="0" w:color="auto"/>
            </w:tcBorders>
            <w:shd w:val="clear" w:color="auto" w:fill="auto"/>
            <w:noWrap/>
            <w:hideMark/>
          </w:tcPr>
          <w:p w14:paraId="6A870304" w14:textId="22D8C1B1"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1,5</w:t>
            </w:r>
          </w:p>
        </w:tc>
        <w:tc>
          <w:tcPr>
            <w:tcW w:w="850" w:type="dxa"/>
            <w:tcBorders>
              <w:top w:val="nil"/>
              <w:left w:val="nil"/>
              <w:bottom w:val="single" w:sz="4" w:space="0" w:color="auto"/>
              <w:right w:val="single" w:sz="4" w:space="0" w:color="auto"/>
            </w:tcBorders>
            <w:shd w:val="clear" w:color="auto" w:fill="auto"/>
            <w:noWrap/>
            <w:hideMark/>
          </w:tcPr>
          <w:p w14:paraId="588B93BB" w14:textId="4D7C0E41"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-0,1</w:t>
            </w:r>
          </w:p>
        </w:tc>
        <w:tc>
          <w:tcPr>
            <w:tcW w:w="851" w:type="dxa"/>
            <w:tcBorders>
              <w:top w:val="nil"/>
              <w:left w:val="nil"/>
              <w:bottom w:val="single" w:sz="4" w:space="0" w:color="auto"/>
              <w:right w:val="single" w:sz="4" w:space="0" w:color="auto"/>
            </w:tcBorders>
            <w:shd w:val="clear" w:color="auto" w:fill="auto"/>
            <w:noWrap/>
            <w:hideMark/>
          </w:tcPr>
          <w:p w14:paraId="7DAF609F" w14:textId="1136EE99"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93,8</w:t>
            </w:r>
          </w:p>
        </w:tc>
      </w:tr>
      <w:tr w:rsidR="00DA488F" w:rsidRPr="006068B4" w14:paraId="49AE6306" w14:textId="77777777" w:rsidTr="73C5D9BC">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345200B1" w14:textId="77777777" w:rsidR="00DA488F" w:rsidRPr="006068B4" w:rsidRDefault="3782F5BA" w:rsidP="3782F5BA">
            <w:pPr>
              <w:spacing w:line="240" w:lineRule="auto"/>
              <w:ind w:firstLineChars="400" w:firstLine="800"/>
              <w:rPr>
                <w:rFonts w:ascii="Times New Roman" w:hAnsi="Times New Roman" w:cs="Times New Roman"/>
                <w:i/>
                <w:iCs/>
                <w:color w:val="000000" w:themeColor="text1"/>
                <w:sz w:val="20"/>
                <w:szCs w:val="20"/>
              </w:rPr>
            </w:pPr>
            <w:r w:rsidRPr="3782F5BA">
              <w:rPr>
                <w:rFonts w:ascii="Times New Roman" w:hAnsi="Times New Roman" w:cs="Times New Roman"/>
                <w:i/>
                <w:iCs/>
                <w:color w:val="000000" w:themeColor="text1"/>
                <w:sz w:val="20"/>
                <w:szCs w:val="20"/>
              </w:rPr>
              <w:t>gyermekek születésével kapcsolatos szabadság megtérítése</w:t>
            </w:r>
          </w:p>
        </w:tc>
        <w:tc>
          <w:tcPr>
            <w:tcW w:w="993" w:type="dxa"/>
            <w:tcBorders>
              <w:top w:val="nil"/>
              <w:left w:val="nil"/>
              <w:bottom w:val="single" w:sz="4" w:space="0" w:color="auto"/>
              <w:right w:val="single" w:sz="4" w:space="0" w:color="auto"/>
            </w:tcBorders>
            <w:shd w:val="clear" w:color="auto" w:fill="auto"/>
            <w:noWrap/>
            <w:hideMark/>
          </w:tcPr>
          <w:p w14:paraId="48F1434B" w14:textId="27425215"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1,2</w:t>
            </w:r>
          </w:p>
        </w:tc>
        <w:tc>
          <w:tcPr>
            <w:tcW w:w="992" w:type="dxa"/>
            <w:tcBorders>
              <w:top w:val="nil"/>
              <w:left w:val="nil"/>
              <w:bottom w:val="single" w:sz="4" w:space="0" w:color="auto"/>
              <w:right w:val="single" w:sz="4" w:space="0" w:color="auto"/>
            </w:tcBorders>
            <w:shd w:val="clear" w:color="auto" w:fill="auto"/>
            <w:noWrap/>
            <w:hideMark/>
          </w:tcPr>
          <w:p w14:paraId="6AAF688A" w14:textId="6B3B2103"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1,3</w:t>
            </w:r>
          </w:p>
        </w:tc>
        <w:tc>
          <w:tcPr>
            <w:tcW w:w="850" w:type="dxa"/>
            <w:tcBorders>
              <w:top w:val="nil"/>
              <w:left w:val="nil"/>
              <w:bottom w:val="single" w:sz="4" w:space="0" w:color="auto"/>
              <w:right w:val="single" w:sz="4" w:space="0" w:color="auto"/>
            </w:tcBorders>
            <w:shd w:val="clear" w:color="auto" w:fill="auto"/>
            <w:noWrap/>
            <w:hideMark/>
          </w:tcPr>
          <w:p w14:paraId="664A5D3B" w14:textId="4E87FB12"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0,1</w:t>
            </w:r>
          </w:p>
        </w:tc>
        <w:tc>
          <w:tcPr>
            <w:tcW w:w="851" w:type="dxa"/>
            <w:tcBorders>
              <w:top w:val="nil"/>
              <w:left w:val="nil"/>
              <w:bottom w:val="single" w:sz="4" w:space="0" w:color="auto"/>
              <w:right w:val="single" w:sz="4" w:space="0" w:color="auto"/>
            </w:tcBorders>
            <w:shd w:val="clear" w:color="auto" w:fill="auto"/>
            <w:noWrap/>
            <w:hideMark/>
          </w:tcPr>
          <w:p w14:paraId="4DE79E3D" w14:textId="256B2F2F"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108,3</w:t>
            </w:r>
          </w:p>
        </w:tc>
      </w:tr>
      <w:tr w:rsidR="00DA488F" w:rsidRPr="006068B4" w14:paraId="31537421" w14:textId="77777777" w:rsidTr="73C5D9BC">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4219C75A" w14:textId="77777777" w:rsidR="00DA488F" w:rsidRPr="006068B4" w:rsidRDefault="3782F5BA" w:rsidP="3782F5BA">
            <w:pPr>
              <w:spacing w:line="240" w:lineRule="auto"/>
              <w:ind w:firstLineChars="400" w:firstLine="800"/>
              <w:rPr>
                <w:rFonts w:ascii="Times New Roman" w:hAnsi="Times New Roman" w:cs="Times New Roman"/>
                <w:i/>
                <w:iCs/>
                <w:color w:val="000000" w:themeColor="text1"/>
                <w:sz w:val="20"/>
                <w:szCs w:val="20"/>
              </w:rPr>
            </w:pPr>
            <w:r w:rsidRPr="3782F5BA">
              <w:rPr>
                <w:rFonts w:ascii="Times New Roman" w:hAnsi="Times New Roman" w:cs="Times New Roman"/>
                <w:i/>
                <w:iCs/>
                <w:color w:val="000000" w:themeColor="text1"/>
                <w:sz w:val="20"/>
                <w:szCs w:val="20"/>
              </w:rPr>
              <w:t>életkezdési támogatás</w:t>
            </w:r>
          </w:p>
        </w:tc>
        <w:tc>
          <w:tcPr>
            <w:tcW w:w="993" w:type="dxa"/>
            <w:tcBorders>
              <w:top w:val="nil"/>
              <w:left w:val="nil"/>
              <w:bottom w:val="single" w:sz="4" w:space="0" w:color="auto"/>
              <w:right w:val="single" w:sz="4" w:space="0" w:color="auto"/>
            </w:tcBorders>
            <w:shd w:val="clear" w:color="auto" w:fill="auto"/>
            <w:noWrap/>
            <w:hideMark/>
          </w:tcPr>
          <w:p w14:paraId="7201B04B" w14:textId="6964B5B5"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17,2</w:t>
            </w:r>
          </w:p>
        </w:tc>
        <w:tc>
          <w:tcPr>
            <w:tcW w:w="992" w:type="dxa"/>
            <w:tcBorders>
              <w:top w:val="nil"/>
              <w:left w:val="nil"/>
              <w:bottom w:val="single" w:sz="4" w:space="0" w:color="auto"/>
              <w:right w:val="single" w:sz="4" w:space="0" w:color="auto"/>
            </w:tcBorders>
            <w:shd w:val="clear" w:color="auto" w:fill="auto"/>
            <w:noWrap/>
            <w:hideMark/>
          </w:tcPr>
          <w:p w14:paraId="45D51CF7" w14:textId="17F15929"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4,5</w:t>
            </w:r>
          </w:p>
        </w:tc>
        <w:tc>
          <w:tcPr>
            <w:tcW w:w="850" w:type="dxa"/>
            <w:tcBorders>
              <w:top w:val="nil"/>
              <w:left w:val="nil"/>
              <w:bottom w:val="single" w:sz="4" w:space="0" w:color="auto"/>
              <w:right w:val="single" w:sz="4" w:space="0" w:color="auto"/>
            </w:tcBorders>
            <w:shd w:val="clear" w:color="auto" w:fill="auto"/>
            <w:noWrap/>
            <w:hideMark/>
          </w:tcPr>
          <w:p w14:paraId="1BC502FA" w14:textId="44A2BA99"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-12,7</w:t>
            </w:r>
          </w:p>
        </w:tc>
        <w:tc>
          <w:tcPr>
            <w:tcW w:w="851" w:type="dxa"/>
            <w:tcBorders>
              <w:top w:val="nil"/>
              <w:left w:val="nil"/>
              <w:bottom w:val="single" w:sz="4" w:space="0" w:color="auto"/>
              <w:right w:val="single" w:sz="4" w:space="0" w:color="auto"/>
            </w:tcBorders>
            <w:shd w:val="clear" w:color="auto" w:fill="auto"/>
            <w:noWrap/>
            <w:hideMark/>
          </w:tcPr>
          <w:p w14:paraId="70100317" w14:textId="0658C9DF"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26,2</w:t>
            </w:r>
          </w:p>
        </w:tc>
      </w:tr>
      <w:tr w:rsidR="00DA488F" w:rsidRPr="006068B4" w14:paraId="7D88A7FB" w14:textId="77777777" w:rsidTr="73C5D9BC">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99AE9AE" w14:textId="77777777" w:rsidR="00DA488F" w:rsidRPr="006068B4" w:rsidRDefault="3782F5BA" w:rsidP="3782F5BA">
            <w:pPr>
              <w:spacing w:line="240" w:lineRule="auto"/>
              <w:rPr>
                <w:rFonts w:ascii="Times New Roman" w:hAnsi="Times New Roman" w:cs="Times New Roman"/>
                <w:b/>
                <w:bCs/>
                <w:color w:val="000000" w:themeColor="text1"/>
                <w:sz w:val="20"/>
                <w:szCs w:val="20"/>
              </w:rPr>
            </w:pPr>
            <w:r w:rsidRPr="3782F5BA">
              <w:rPr>
                <w:rFonts w:ascii="Times New Roman" w:hAnsi="Times New Roman" w:cs="Times New Roman"/>
                <w:b/>
                <w:bCs/>
                <w:color w:val="000000" w:themeColor="text1"/>
                <w:sz w:val="20"/>
                <w:szCs w:val="20"/>
              </w:rPr>
              <w:t>Korhatár alatti ellátások</w:t>
            </w:r>
          </w:p>
        </w:tc>
        <w:tc>
          <w:tcPr>
            <w:tcW w:w="993" w:type="dxa"/>
            <w:tcBorders>
              <w:top w:val="nil"/>
              <w:left w:val="nil"/>
              <w:bottom w:val="single" w:sz="4" w:space="0" w:color="auto"/>
              <w:right w:val="single" w:sz="4" w:space="0" w:color="auto"/>
            </w:tcBorders>
            <w:shd w:val="clear" w:color="auto" w:fill="auto"/>
            <w:noWrap/>
            <w:hideMark/>
          </w:tcPr>
          <w:p w14:paraId="7703B44A" w14:textId="157E9768" w:rsidR="00DA488F" w:rsidRPr="00DA488F" w:rsidRDefault="73C5D9BC" w:rsidP="73C5D9BC">
            <w:pPr>
              <w:spacing w:line="240" w:lineRule="auto"/>
              <w:jc w:val="right"/>
              <w:rPr>
                <w:rFonts w:ascii="Times New Roman" w:hAnsi="Times New Roman" w:cs="Times New Roman"/>
                <w:b/>
                <w:bCs/>
                <w:sz w:val="20"/>
                <w:szCs w:val="20"/>
              </w:rPr>
            </w:pPr>
            <w:r w:rsidRPr="73C5D9BC">
              <w:rPr>
                <w:rFonts w:ascii="Times New Roman" w:hAnsi="Times New Roman" w:cs="Times New Roman"/>
                <w:b/>
                <w:bCs/>
                <w:sz w:val="20"/>
                <w:szCs w:val="20"/>
              </w:rPr>
              <w:t>29,5</w:t>
            </w:r>
          </w:p>
        </w:tc>
        <w:tc>
          <w:tcPr>
            <w:tcW w:w="992" w:type="dxa"/>
            <w:tcBorders>
              <w:top w:val="nil"/>
              <w:left w:val="nil"/>
              <w:bottom w:val="single" w:sz="4" w:space="0" w:color="auto"/>
              <w:right w:val="single" w:sz="4" w:space="0" w:color="auto"/>
            </w:tcBorders>
            <w:shd w:val="clear" w:color="auto" w:fill="auto"/>
            <w:noWrap/>
            <w:hideMark/>
          </w:tcPr>
          <w:p w14:paraId="6428734A" w14:textId="0B777576" w:rsidR="00DA488F" w:rsidRPr="00DA488F" w:rsidRDefault="73C5D9BC" w:rsidP="73C5D9BC">
            <w:pPr>
              <w:spacing w:line="240" w:lineRule="auto"/>
              <w:jc w:val="right"/>
              <w:rPr>
                <w:rFonts w:ascii="Times New Roman" w:hAnsi="Times New Roman" w:cs="Times New Roman"/>
                <w:b/>
                <w:bCs/>
                <w:sz w:val="20"/>
                <w:szCs w:val="20"/>
              </w:rPr>
            </w:pPr>
            <w:r w:rsidRPr="73C5D9BC">
              <w:rPr>
                <w:rFonts w:ascii="Times New Roman" w:hAnsi="Times New Roman" w:cs="Times New Roman"/>
                <w:b/>
                <w:bCs/>
                <w:sz w:val="20"/>
                <w:szCs w:val="20"/>
              </w:rPr>
              <w:t>28,3</w:t>
            </w:r>
          </w:p>
        </w:tc>
        <w:tc>
          <w:tcPr>
            <w:tcW w:w="850" w:type="dxa"/>
            <w:tcBorders>
              <w:top w:val="nil"/>
              <w:left w:val="nil"/>
              <w:bottom w:val="single" w:sz="4" w:space="0" w:color="auto"/>
              <w:right w:val="single" w:sz="4" w:space="0" w:color="auto"/>
            </w:tcBorders>
            <w:shd w:val="clear" w:color="auto" w:fill="auto"/>
            <w:noWrap/>
            <w:hideMark/>
          </w:tcPr>
          <w:p w14:paraId="7EDBDA2F" w14:textId="2B886540" w:rsidR="00DA488F" w:rsidRPr="00DA488F" w:rsidRDefault="73C5D9BC" w:rsidP="73C5D9BC">
            <w:pPr>
              <w:spacing w:line="240" w:lineRule="auto"/>
              <w:jc w:val="right"/>
              <w:rPr>
                <w:rFonts w:ascii="Times New Roman" w:hAnsi="Times New Roman" w:cs="Times New Roman"/>
                <w:b/>
                <w:bCs/>
                <w:sz w:val="20"/>
                <w:szCs w:val="20"/>
              </w:rPr>
            </w:pPr>
            <w:r w:rsidRPr="73C5D9BC">
              <w:rPr>
                <w:rFonts w:ascii="Times New Roman" w:hAnsi="Times New Roman" w:cs="Times New Roman"/>
                <w:b/>
                <w:bCs/>
                <w:sz w:val="20"/>
                <w:szCs w:val="20"/>
              </w:rPr>
              <w:t>-1,2</w:t>
            </w:r>
          </w:p>
        </w:tc>
        <w:tc>
          <w:tcPr>
            <w:tcW w:w="851" w:type="dxa"/>
            <w:tcBorders>
              <w:top w:val="nil"/>
              <w:left w:val="nil"/>
              <w:bottom w:val="single" w:sz="4" w:space="0" w:color="auto"/>
              <w:right w:val="single" w:sz="4" w:space="0" w:color="auto"/>
            </w:tcBorders>
            <w:shd w:val="clear" w:color="auto" w:fill="auto"/>
            <w:noWrap/>
            <w:hideMark/>
          </w:tcPr>
          <w:p w14:paraId="534E4A63" w14:textId="0E29474A" w:rsidR="00DA488F" w:rsidRPr="00DA488F" w:rsidRDefault="73C5D9BC" w:rsidP="73C5D9BC">
            <w:pPr>
              <w:spacing w:line="240" w:lineRule="auto"/>
              <w:jc w:val="right"/>
              <w:rPr>
                <w:rFonts w:ascii="Times New Roman" w:hAnsi="Times New Roman" w:cs="Times New Roman"/>
                <w:b/>
                <w:bCs/>
                <w:sz w:val="20"/>
                <w:szCs w:val="20"/>
              </w:rPr>
            </w:pPr>
            <w:r w:rsidRPr="73C5D9BC">
              <w:rPr>
                <w:rFonts w:ascii="Times New Roman" w:hAnsi="Times New Roman" w:cs="Times New Roman"/>
                <w:b/>
                <w:bCs/>
                <w:sz w:val="20"/>
                <w:szCs w:val="20"/>
              </w:rPr>
              <w:t>95,9</w:t>
            </w:r>
          </w:p>
        </w:tc>
      </w:tr>
      <w:tr w:rsidR="00DA488F" w:rsidRPr="006068B4" w14:paraId="2D32D206" w14:textId="77777777" w:rsidTr="73C5D9BC">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EA13739" w14:textId="77777777" w:rsidR="00DA488F" w:rsidRPr="006068B4" w:rsidRDefault="3782F5BA" w:rsidP="3782F5BA">
            <w:pPr>
              <w:spacing w:line="240" w:lineRule="auto"/>
              <w:rPr>
                <w:rFonts w:ascii="Times New Roman" w:hAnsi="Times New Roman" w:cs="Times New Roman"/>
                <w:b/>
                <w:bCs/>
                <w:color w:val="000000" w:themeColor="text1"/>
                <w:sz w:val="20"/>
                <w:szCs w:val="20"/>
              </w:rPr>
            </w:pPr>
            <w:r w:rsidRPr="3782F5BA">
              <w:rPr>
                <w:rFonts w:ascii="Times New Roman" w:hAnsi="Times New Roman" w:cs="Times New Roman"/>
                <w:b/>
                <w:bCs/>
                <w:color w:val="000000" w:themeColor="text1"/>
                <w:sz w:val="20"/>
                <w:szCs w:val="20"/>
              </w:rPr>
              <w:t>Jövedelempótló és jövedelemkiegészítő szociális támogatások</w:t>
            </w:r>
          </w:p>
        </w:tc>
        <w:tc>
          <w:tcPr>
            <w:tcW w:w="993" w:type="dxa"/>
            <w:tcBorders>
              <w:top w:val="nil"/>
              <w:left w:val="nil"/>
              <w:bottom w:val="single" w:sz="4" w:space="0" w:color="auto"/>
              <w:right w:val="single" w:sz="4" w:space="0" w:color="auto"/>
            </w:tcBorders>
            <w:shd w:val="clear" w:color="auto" w:fill="auto"/>
            <w:noWrap/>
            <w:hideMark/>
          </w:tcPr>
          <w:p w14:paraId="09D08D68" w14:textId="47490E96" w:rsidR="00DA488F" w:rsidRPr="00DA488F" w:rsidRDefault="73C5D9BC" w:rsidP="73C5D9BC">
            <w:pPr>
              <w:spacing w:line="240" w:lineRule="auto"/>
              <w:jc w:val="right"/>
              <w:rPr>
                <w:rFonts w:ascii="Times New Roman" w:hAnsi="Times New Roman" w:cs="Times New Roman"/>
                <w:b/>
                <w:bCs/>
                <w:sz w:val="20"/>
                <w:szCs w:val="20"/>
              </w:rPr>
            </w:pPr>
            <w:r w:rsidRPr="73C5D9BC">
              <w:rPr>
                <w:rFonts w:ascii="Times New Roman" w:hAnsi="Times New Roman" w:cs="Times New Roman"/>
                <w:b/>
                <w:bCs/>
                <w:sz w:val="20"/>
                <w:szCs w:val="20"/>
              </w:rPr>
              <w:t>32,4</w:t>
            </w:r>
          </w:p>
        </w:tc>
        <w:tc>
          <w:tcPr>
            <w:tcW w:w="992" w:type="dxa"/>
            <w:tcBorders>
              <w:top w:val="nil"/>
              <w:left w:val="nil"/>
              <w:bottom w:val="single" w:sz="4" w:space="0" w:color="auto"/>
              <w:right w:val="single" w:sz="4" w:space="0" w:color="auto"/>
            </w:tcBorders>
            <w:shd w:val="clear" w:color="auto" w:fill="auto"/>
            <w:noWrap/>
            <w:hideMark/>
          </w:tcPr>
          <w:p w14:paraId="20CD8076" w14:textId="73865173" w:rsidR="00DA488F" w:rsidRPr="00DA488F" w:rsidRDefault="73C5D9BC" w:rsidP="73C5D9BC">
            <w:pPr>
              <w:spacing w:line="240" w:lineRule="auto"/>
              <w:jc w:val="right"/>
              <w:rPr>
                <w:rFonts w:ascii="Times New Roman" w:hAnsi="Times New Roman" w:cs="Times New Roman"/>
                <w:b/>
                <w:bCs/>
                <w:sz w:val="20"/>
                <w:szCs w:val="20"/>
              </w:rPr>
            </w:pPr>
            <w:r w:rsidRPr="73C5D9BC">
              <w:rPr>
                <w:rFonts w:ascii="Times New Roman" w:hAnsi="Times New Roman" w:cs="Times New Roman"/>
                <w:b/>
                <w:bCs/>
                <w:sz w:val="20"/>
                <w:szCs w:val="20"/>
              </w:rPr>
              <w:t>34,6</w:t>
            </w:r>
          </w:p>
        </w:tc>
        <w:tc>
          <w:tcPr>
            <w:tcW w:w="850" w:type="dxa"/>
            <w:tcBorders>
              <w:top w:val="nil"/>
              <w:left w:val="nil"/>
              <w:bottom w:val="single" w:sz="4" w:space="0" w:color="auto"/>
              <w:right w:val="single" w:sz="4" w:space="0" w:color="auto"/>
            </w:tcBorders>
            <w:shd w:val="clear" w:color="auto" w:fill="auto"/>
            <w:noWrap/>
            <w:hideMark/>
          </w:tcPr>
          <w:p w14:paraId="06C5F2C2" w14:textId="392F16B7" w:rsidR="00DA488F" w:rsidRPr="00DA488F" w:rsidRDefault="73C5D9BC" w:rsidP="73C5D9BC">
            <w:pPr>
              <w:spacing w:line="240" w:lineRule="auto"/>
              <w:jc w:val="right"/>
              <w:rPr>
                <w:rFonts w:ascii="Times New Roman" w:hAnsi="Times New Roman" w:cs="Times New Roman"/>
                <w:b/>
                <w:bCs/>
                <w:sz w:val="20"/>
                <w:szCs w:val="20"/>
              </w:rPr>
            </w:pPr>
            <w:r w:rsidRPr="73C5D9BC">
              <w:rPr>
                <w:rFonts w:ascii="Times New Roman" w:hAnsi="Times New Roman" w:cs="Times New Roman"/>
                <w:b/>
                <w:bCs/>
                <w:sz w:val="20"/>
                <w:szCs w:val="20"/>
              </w:rPr>
              <w:t>2,2</w:t>
            </w:r>
          </w:p>
        </w:tc>
        <w:tc>
          <w:tcPr>
            <w:tcW w:w="851" w:type="dxa"/>
            <w:tcBorders>
              <w:top w:val="nil"/>
              <w:left w:val="nil"/>
              <w:bottom w:val="single" w:sz="4" w:space="0" w:color="auto"/>
              <w:right w:val="single" w:sz="4" w:space="0" w:color="auto"/>
            </w:tcBorders>
            <w:shd w:val="clear" w:color="auto" w:fill="auto"/>
            <w:noWrap/>
            <w:hideMark/>
          </w:tcPr>
          <w:p w14:paraId="72FE9F51" w14:textId="0BF75ABA" w:rsidR="00DA488F" w:rsidRPr="00DA488F" w:rsidRDefault="73C5D9BC" w:rsidP="73C5D9BC">
            <w:pPr>
              <w:spacing w:line="240" w:lineRule="auto"/>
              <w:jc w:val="right"/>
              <w:rPr>
                <w:rFonts w:ascii="Times New Roman" w:hAnsi="Times New Roman" w:cs="Times New Roman"/>
                <w:b/>
                <w:bCs/>
                <w:sz w:val="20"/>
                <w:szCs w:val="20"/>
              </w:rPr>
            </w:pPr>
            <w:r w:rsidRPr="73C5D9BC">
              <w:rPr>
                <w:rFonts w:ascii="Times New Roman" w:hAnsi="Times New Roman" w:cs="Times New Roman"/>
                <w:b/>
                <w:bCs/>
                <w:sz w:val="20"/>
                <w:szCs w:val="20"/>
              </w:rPr>
              <w:t>106,8</w:t>
            </w:r>
          </w:p>
        </w:tc>
      </w:tr>
      <w:tr w:rsidR="00DA488F" w:rsidRPr="006068B4" w14:paraId="5788F37E" w14:textId="77777777" w:rsidTr="73C5D9BC">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1B003BA" w14:textId="77777777" w:rsidR="00DA488F" w:rsidRPr="006068B4" w:rsidRDefault="3782F5BA" w:rsidP="3782F5BA">
            <w:pPr>
              <w:spacing w:line="240" w:lineRule="auto"/>
              <w:ind w:firstLineChars="100" w:firstLine="200"/>
              <w:rPr>
                <w:rFonts w:ascii="Times New Roman" w:hAnsi="Times New Roman" w:cs="Times New Roman"/>
                <w:i/>
                <w:iCs/>
                <w:color w:val="000000" w:themeColor="text1"/>
                <w:sz w:val="20"/>
                <w:szCs w:val="20"/>
              </w:rPr>
            </w:pPr>
            <w:r w:rsidRPr="3782F5BA">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288BBE5A" w14:textId="2B3F6537"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14125CFD" w14:textId="3A1AADC5"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1F8604AB" w14:textId="2C8940A6"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736DD4C8" w14:textId="2881F13B" w:rsidR="00DA488F" w:rsidRPr="00DA488F" w:rsidRDefault="00DA488F" w:rsidP="00DA488F">
            <w:pPr>
              <w:spacing w:line="240" w:lineRule="auto"/>
              <w:jc w:val="right"/>
              <w:rPr>
                <w:rFonts w:ascii="Times New Roman" w:hAnsi="Times New Roman" w:cs="Times New Roman"/>
                <w:b/>
                <w:bCs/>
                <w:sz w:val="20"/>
                <w:szCs w:val="20"/>
              </w:rPr>
            </w:pPr>
          </w:p>
        </w:tc>
      </w:tr>
      <w:tr w:rsidR="00DA488F" w:rsidRPr="006068B4" w14:paraId="2B9D2C3D" w14:textId="77777777" w:rsidTr="73C5D9BC">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3BF205E9" w14:textId="77777777" w:rsidR="00DA488F" w:rsidRPr="006068B4" w:rsidRDefault="3782F5BA" w:rsidP="3782F5BA">
            <w:pPr>
              <w:spacing w:line="240" w:lineRule="auto"/>
              <w:ind w:firstLineChars="400" w:firstLine="800"/>
              <w:rPr>
                <w:rFonts w:ascii="Times New Roman" w:hAnsi="Times New Roman" w:cs="Times New Roman"/>
                <w:i/>
                <w:iCs/>
                <w:color w:val="000000" w:themeColor="text1"/>
                <w:sz w:val="20"/>
                <w:szCs w:val="20"/>
              </w:rPr>
            </w:pPr>
            <w:r w:rsidRPr="3782F5BA">
              <w:rPr>
                <w:rFonts w:ascii="Times New Roman" w:hAnsi="Times New Roman" w:cs="Times New Roman"/>
                <w:i/>
                <w:iCs/>
                <w:color w:val="000000" w:themeColor="text1"/>
                <w:sz w:val="20"/>
                <w:szCs w:val="20"/>
              </w:rPr>
              <w:t>Jövedelempótló és jövedelemkiegészítő ellátások</w:t>
            </w:r>
          </w:p>
        </w:tc>
        <w:tc>
          <w:tcPr>
            <w:tcW w:w="993" w:type="dxa"/>
            <w:tcBorders>
              <w:top w:val="nil"/>
              <w:left w:val="nil"/>
              <w:bottom w:val="single" w:sz="4" w:space="0" w:color="auto"/>
              <w:right w:val="single" w:sz="4" w:space="0" w:color="auto"/>
            </w:tcBorders>
            <w:shd w:val="clear" w:color="auto" w:fill="auto"/>
            <w:noWrap/>
            <w:hideMark/>
          </w:tcPr>
          <w:p w14:paraId="4ED98D04" w14:textId="58538D3E"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16,8</w:t>
            </w:r>
          </w:p>
        </w:tc>
        <w:tc>
          <w:tcPr>
            <w:tcW w:w="992" w:type="dxa"/>
            <w:tcBorders>
              <w:top w:val="nil"/>
              <w:left w:val="nil"/>
              <w:bottom w:val="single" w:sz="4" w:space="0" w:color="auto"/>
              <w:right w:val="single" w:sz="4" w:space="0" w:color="auto"/>
            </w:tcBorders>
            <w:shd w:val="clear" w:color="auto" w:fill="auto"/>
            <w:noWrap/>
            <w:hideMark/>
          </w:tcPr>
          <w:p w14:paraId="0B03B656" w14:textId="18FBB1B6"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17,0</w:t>
            </w:r>
          </w:p>
        </w:tc>
        <w:tc>
          <w:tcPr>
            <w:tcW w:w="850" w:type="dxa"/>
            <w:tcBorders>
              <w:top w:val="nil"/>
              <w:left w:val="nil"/>
              <w:bottom w:val="single" w:sz="4" w:space="0" w:color="auto"/>
              <w:right w:val="single" w:sz="4" w:space="0" w:color="auto"/>
            </w:tcBorders>
            <w:shd w:val="clear" w:color="auto" w:fill="auto"/>
            <w:noWrap/>
            <w:hideMark/>
          </w:tcPr>
          <w:p w14:paraId="2876B997" w14:textId="3E52B75E"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0,2</w:t>
            </w:r>
          </w:p>
        </w:tc>
        <w:tc>
          <w:tcPr>
            <w:tcW w:w="851" w:type="dxa"/>
            <w:tcBorders>
              <w:top w:val="nil"/>
              <w:left w:val="nil"/>
              <w:bottom w:val="single" w:sz="4" w:space="0" w:color="auto"/>
              <w:right w:val="single" w:sz="4" w:space="0" w:color="auto"/>
            </w:tcBorders>
            <w:shd w:val="clear" w:color="auto" w:fill="auto"/>
            <w:noWrap/>
            <w:hideMark/>
          </w:tcPr>
          <w:p w14:paraId="6DBAA01B" w14:textId="4B83C285"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101,2</w:t>
            </w:r>
          </w:p>
        </w:tc>
      </w:tr>
      <w:tr w:rsidR="00DA488F" w:rsidRPr="006068B4" w14:paraId="65888AD0" w14:textId="77777777" w:rsidTr="73C5D9BC">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47B6E086" w14:textId="77777777" w:rsidR="00DA488F" w:rsidRPr="006068B4" w:rsidRDefault="3782F5BA" w:rsidP="3782F5BA">
            <w:pPr>
              <w:spacing w:line="240" w:lineRule="auto"/>
              <w:ind w:firstLineChars="400" w:firstLine="800"/>
              <w:rPr>
                <w:rFonts w:ascii="Times New Roman" w:hAnsi="Times New Roman" w:cs="Times New Roman"/>
                <w:i/>
                <w:iCs/>
                <w:color w:val="000000" w:themeColor="text1"/>
                <w:sz w:val="20"/>
                <w:szCs w:val="20"/>
              </w:rPr>
            </w:pPr>
            <w:r w:rsidRPr="3782F5BA">
              <w:rPr>
                <w:rFonts w:ascii="Times New Roman" w:hAnsi="Times New Roman" w:cs="Times New Roman"/>
                <w:i/>
                <w:iCs/>
                <w:color w:val="000000" w:themeColor="text1"/>
                <w:sz w:val="20"/>
                <w:szCs w:val="20"/>
              </w:rPr>
              <w:t>Járási szociális feladatok ellátása</w:t>
            </w:r>
          </w:p>
        </w:tc>
        <w:tc>
          <w:tcPr>
            <w:tcW w:w="993" w:type="dxa"/>
            <w:tcBorders>
              <w:top w:val="nil"/>
              <w:left w:val="nil"/>
              <w:bottom w:val="single" w:sz="4" w:space="0" w:color="auto"/>
              <w:right w:val="single" w:sz="4" w:space="0" w:color="auto"/>
            </w:tcBorders>
            <w:shd w:val="clear" w:color="auto" w:fill="auto"/>
            <w:noWrap/>
            <w:hideMark/>
          </w:tcPr>
          <w:p w14:paraId="4DD04FA4" w14:textId="27C841A2"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15,6</w:t>
            </w:r>
          </w:p>
        </w:tc>
        <w:tc>
          <w:tcPr>
            <w:tcW w:w="992" w:type="dxa"/>
            <w:tcBorders>
              <w:top w:val="nil"/>
              <w:left w:val="nil"/>
              <w:bottom w:val="single" w:sz="4" w:space="0" w:color="auto"/>
              <w:right w:val="single" w:sz="4" w:space="0" w:color="auto"/>
            </w:tcBorders>
            <w:shd w:val="clear" w:color="auto" w:fill="auto"/>
            <w:noWrap/>
            <w:hideMark/>
          </w:tcPr>
          <w:p w14:paraId="4B8C340C" w14:textId="2E22071B"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17,6</w:t>
            </w:r>
          </w:p>
        </w:tc>
        <w:tc>
          <w:tcPr>
            <w:tcW w:w="850" w:type="dxa"/>
            <w:tcBorders>
              <w:top w:val="nil"/>
              <w:left w:val="nil"/>
              <w:bottom w:val="single" w:sz="4" w:space="0" w:color="auto"/>
              <w:right w:val="single" w:sz="4" w:space="0" w:color="auto"/>
            </w:tcBorders>
            <w:shd w:val="clear" w:color="auto" w:fill="auto"/>
            <w:noWrap/>
            <w:hideMark/>
          </w:tcPr>
          <w:p w14:paraId="5CB598A8" w14:textId="64A5A11B"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2,0</w:t>
            </w:r>
          </w:p>
        </w:tc>
        <w:tc>
          <w:tcPr>
            <w:tcW w:w="851" w:type="dxa"/>
            <w:tcBorders>
              <w:top w:val="nil"/>
              <w:left w:val="nil"/>
              <w:bottom w:val="single" w:sz="4" w:space="0" w:color="auto"/>
              <w:right w:val="single" w:sz="4" w:space="0" w:color="auto"/>
            </w:tcBorders>
            <w:shd w:val="clear" w:color="auto" w:fill="auto"/>
            <w:noWrap/>
            <w:hideMark/>
          </w:tcPr>
          <w:p w14:paraId="3DAE5F3D" w14:textId="3D6378D9"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112,8</w:t>
            </w:r>
          </w:p>
        </w:tc>
      </w:tr>
      <w:tr w:rsidR="00DA488F" w:rsidRPr="006068B4" w14:paraId="030B4DBA" w14:textId="77777777" w:rsidTr="73C5D9BC">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2423DBB" w14:textId="77777777" w:rsidR="00DA488F" w:rsidRPr="006068B4" w:rsidRDefault="3782F5BA" w:rsidP="3782F5BA">
            <w:pPr>
              <w:spacing w:line="240" w:lineRule="auto"/>
              <w:rPr>
                <w:rFonts w:ascii="Times New Roman" w:hAnsi="Times New Roman" w:cs="Times New Roman"/>
                <w:b/>
                <w:bCs/>
                <w:color w:val="000000" w:themeColor="text1"/>
                <w:sz w:val="20"/>
                <w:szCs w:val="20"/>
              </w:rPr>
            </w:pPr>
            <w:r w:rsidRPr="3782F5BA">
              <w:rPr>
                <w:rFonts w:ascii="Times New Roman" w:hAnsi="Times New Roman" w:cs="Times New Roman"/>
                <w:b/>
                <w:bCs/>
                <w:color w:val="000000" w:themeColor="text1"/>
                <w:sz w:val="20"/>
                <w:szCs w:val="20"/>
              </w:rPr>
              <w:t>Különféle jogcímen adott térítések</w:t>
            </w:r>
          </w:p>
        </w:tc>
        <w:tc>
          <w:tcPr>
            <w:tcW w:w="993" w:type="dxa"/>
            <w:tcBorders>
              <w:top w:val="nil"/>
              <w:left w:val="nil"/>
              <w:bottom w:val="single" w:sz="4" w:space="0" w:color="auto"/>
              <w:right w:val="single" w:sz="4" w:space="0" w:color="auto"/>
            </w:tcBorders>
            <w:shd w:val="clear" w:color="auto" w:fill="auto"/>
            <w:noWrap/>
            <w:hideMark/>
          </w:tcPr>
          <w:p w14:paraId="0247058E" w14:textId="7CF2B522" w:rsidR="00DA488F" w:rsidRPr="00DA488F" w:rsidRDefault="73C5D9BC" w:rsidP="73C5D9BC">
            <w:pPr>
              <w:spacing w:line="240" w:lineRule="auto"/>
              <w:jc w:val="right"/>
              <w:rPr>
                <w:rFonts w:ascii="Times New Roman" w:hAnsi="Times New Roman" w:cs="Times New Roman"/>
                <w:b/>
                <w:bCs/>
                <w:sz w:val="20"/>
                <w:szCs w:val="20"/>
              </w:rPr>
            </w:pPr>
            <w:r w:rsidRPr="73C5D9BC">
              <w:rPr>
                <w:rFonts w:ascii="Times New Roman" w:hAnsi="Times New Roman" w:cs="Times New Roman"/>
                <w:b/>
                <w:bCs/>
                <w:sz w:val="20"/>
                <w:szCs w:val="20"/>
              </w:rPr>
              <w:t>4,1</w:t>
            </w:r>
          </w:p>
        </w:tc>
        <w:tc>
          <w:tcPr>
            <w:tcW w:w="992" w:type="dxa"/>
            <w:tcBorders>
              <w:top w:val="nil"/>
              <w:left w:val="nil"/>
              <w:bottom w:val="single" w:sz="4" w:space="0" w:color="auto"/>
              <w:right w:val="single" w:sz="4" w:space="0" w:color="auto"/>
            </w:tcBorders>
            <w:shd w:val="clear" w:color="auto" w:fill="auto"/>
            <w:noWrap/>
            <w:hideMark/>
          </w:tcPr>
          <w:p w14:paraId="79ACCB29" w14:textId="2D9BEFE2" w:rsidR="00DA488F" w:rsidRPr="00DA488F" w:rsidRDefault="73C5D9BC" w:rsidP="73C5D9BC">
            <w:pPr>
              <w:spacing w:line="240" w:lineRule="auto"/>
              <w:jc w:val="right"/>
              <w:rPr>
                <w:rFonts w:ascii="Times New Roman" w:hAnsi="Times New Roman" w:cs="Times New Roman"/>
                <w:b/>
                <w:bCs/>
                <w:sz w:val="20"/>
                <w:szCs w:val="20"/>
              </w:rPr>
            </w:pPr>
            <w:r w:rsidRPr="73C5D9BC">
              <w:rPr>
                <w:rFonts w:ascii="Times New Roman" w:hAnsi="Times New Roman" w:cs="Times New Roman"/>
                <w:b/>
                <w:bCs/>
                <w:sz w:val="20"/>
                <w:szCs w:val="20"/>
              </w:rPr>
              <w:t>4,0</w:t>
            </w:r>
          </w:p>
        </w:tc>
        <w:tc>
          <w:tcPr>
            <w:tcW w:w="850" w:type="dxa"/>
            <w:tcBorders>
              <w:top w:val="nil"/>
              <w:left w:val="nil"/>
              <w:bottom w:val="single" w:sz="4" w:space="0" w:color="auto"/>
              <w:right w:val="single" w:sz="4" w:space="0" w:color="auto"/>
            </w:tcBorders>
            <w:shd w:val="clear" w:color="auto" w:fill="auto"/>
            <w:noWrap/>
            <w:hideMark/>
          </w:tcPr>
          <w:p w14:paraId="74FAD509" w14:textId="52C056B5" w:rsidR="00DA488F" w:rsidRPr="00DA488F" w:rsidRDefault="73C5D9BC" w:rsidP="73C5D9BC">
            <w:pPr>
              <w:spacing w:line="240" w:lineRule="auto"/>
              <w:jc w:val="right"/>
              <w:rPr>
                <w:rFonts w:ascii="Times New Roman" w:hAnsi="Times New Roman" w:cs="Times New Roman"/>
                <w:b/>
                <w:bCs/>
                <w:sz w:val="20"/>
                <w:szCs w:val="20"/>
              </w:rPr>
            </w:pPr>
            <w:r w:rsidRPr="73C5D9BC">
              <w:rPr>
                <w:rFonts w:ascii="Times New Roman" w:hAnsi="Times New Roman" w:cs="Times New Roman"/>
                <w:b/>
                <w:bCs/>
                <w:sz w:val="20"/>
                <w:szCs w:val="20"/>
              </w:rPr>
              <w:t>-0,1</w:t>
            </w:r>
          </w:p>
        </w:tc>
        <w:tc>
          <w:tcPr>
            <w:tcW w:w="851" w:type="dxa"/>
            <w:tcBorders>
              <w:top w:val="nil"/>
              <w:left w:val="nil"/>
              <w:bottom w:val="single" w:sz="4" w:space="0" w:color="auto"/>
              <w:right w:val="single" w:sz="4" w:space="0" w:color="auto"/>
            </w:tcBorders>
            <w:shd w:val="clear" w:color="auto" w:fill="auto"/>
            <w:noWrap/>
            <w:hideMark/>
          </w:tcPr>
          <w:p w14:paraId="55CBB5D3" w14:textId="44B52449" w:rsidR="00DA488F" w:rsidRPr="00DA488F" w:rsidRDefault="73C5D9BC" w:rsidP="73C5D9BC">
            <w:pPr>
              <w:spacing w:line="240" w:lineRule="auto"/>
              <w:jc w:val="right"/>
              <w:rPr>
                <w:rFonts w:ascii="Times New Roman" w:hAnsi="Times New Roman" w:cs="Times New Roman"/>
                <w:b/>
                <w:bCs/>
                <w:sz w:val="20"/>
                <w:szCs w:val="20"/>
              </w:rPr>
            </w:pPr>
            <w:r w:rsidRPr="73C5D9BC">
              <w:rPr>
                <w:rFonts w:ascii="Times New Roman" w:hAnsi="Times New Roman" w:cs="Times New Roman"/>
                <w:b/>
                <w:bCs/>
                <w:sz w:val="20"/>
                <w:szCs w:val="20"/>
              </w:rPr>
              <w:t>97,6</w:t>
            </w:r>
          </w:p>
        </w:tc>
      </w:tr>
      <w:tr w:rsidR="00DA488F" w:rsidRPr="006068B4" w14:paraId="217EDD81" w14:textId="77777777" w:rsidTr="73C5D9BC">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3B18587" w14:textId="77777777" w:rsidR="00DA488F" w:rsidRPr="006068B4" w:rsidRDefault="3782F5BA" w:rsidP="3782F5BA">
            <w:pPr>
              <w:spacing w:line="240" w:lineRule="auto"/>
              <w:ind w:firstLineChars="100" w:firstLine="200"/>
              <w:rPr>
                <w:rFonts w:ascii="Times New Roman" w:hAnsi="Times New Roman" w:cs="Times New Roman"/>
                <w:i/>
                <w:iCs/>
                <w:color w:val="000000" w:themeColor="text1"/>
                <w:sz w:val="20"/>
                <w:szCs w:val="20"/>
              </w:rPr>
            </w:pPr>
            <w:r w:rsidRPr="3782F5BA">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2C5C6549" w14:textId="55BA2136"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6FA678CF" w14:textId="6098F400"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60758E7D" w14:textId="66D5869B"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18E843D4" w14:textId="2899C3A6" w:rsidR="00DA488F" w:rsidRPr="00DA488F" w:rsidRDefault="00DA488F" w:rsidP="00DA488F">
            <w:pPr>
              <w:spacing w:line="240" w:lineRule="auto"/>
              <w:jc w:val="right"/>
              <w:rPr>
                <w:rFonts w:ascii="Times New Roman" w:hAnsi="Times New Roman" w:cs="Times New Roman"/>
                <w:sz w:val="20"/>
                <w:szCs w:val="20"/>
              </w:rPr>
            </w:pPr>
          </w:p>
        </w:tc>
      </w:tr>
      <w:tr w:rsidR="00DA488F" w:rsidRPr="006068B4" w14:paraId="166A0870" w14:textId="77777777" w:rsidTr="73C5D9BC">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B046E44" w14:textId="77777777" w:rsidR="00DA488F" w:rsidRPr="006068B4" w:rsidRDefault="3782F5BA" w:rsidP="3782F5BA">
            <w:pPr>
              <w:spacing w:line="240" w:lineRule="auto"/>
              <w:ind w:firstLineChars="400" w:firstLine="800"/>
              <w:rPr>
                <w:rFonts w:ascii="Times New Roman" w:hAnsi="Times New Roman" w:cs="Times New Roman"/>
                <w:i/>
                <w:iCs/>
                <w:color w:val="000000" w:themeColor="text1"/>
                <w:sz w:val="20"/>
                <w:szCs w:val="20"/>
              </w:rPr>
            </w:pPr>
            <w:r w:rsidRPr="3782F5BA">
              <w:rPr>
                <w:rFonts w:ascii="Times New Roman" w:hAnsi="Times New Roman" w:cs="Times New Roman"/>
                <w:i/>
                <w:iCs/>
                <w:color w:val="000000" w:themeColor="text1"/>
                <w:sz w:val="20"/>
                <w:szCs w:val="20"/>
              </w:rPr>
              <w:t>közgyógyellátás</w:t>
            </w:r>
          </w:p>
        </w:tc>
        <w:tc>
          <w:tcPr>
            <w:tcW w:w="993" w:type="dxa"/>
            <w:tcBorders>
              <w:top w:val="nil"/>
              <w:left w:val="nil"/>
              <w:bottom w:val="single" w:sz="4" w:space="0" w:color="auto"/>
              <w:right w:val="single" w:sz="4" w:space="0" w:color="auto"/>
            </w:tcBorders>
            <w:shd w:val="clear" w:color="auto" w:fill="auto"/>
            <w:noWrap/>
            <w:hideMark/>
          </w:tcPr>
          <w:p w14:paraId="1406D65C" w14:textId="6148E272"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2,8</w:t>
            </w:r>
          </w:p>
        </w:tc>
        <w:tc>
          <w:tcPr>
            <w:tcW w:w="992" w:type="dxa"/>
            <w:tcBorders>
              <w:top w:val="nil"/>
              <w:left w:val="nil"/>
              <w:bottom w:val="single" w:sz="4" w:space="0" w:color="auto"/>
              <w:right w:val="single" w:sz="4" w:space="0" w:color="auto"/>
            </w:tcBorders>
            <w:shd w:val="clear" w:color="auto" w:fill="auto"/>
            <w:noWrap/>
            <w:hideMark/>
          </w:tcPr>
          <w:p w14:paraId="655A4EFA" w14:textId="71BBC2BC"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2,7</w:t>
            </w:r>
          </w:p>
        </w:tc>
        <w:tc>
          <w:tcPr>
            <w:tcW w:w="850" w:type="dxa"/>
            <w:tcBorders>
              <w:top w:val="nil"/>
              <w:left w:val="nil"/>
              <w:bottom w:val="single" w:sz="4" w:space="0" w:color="auto"/>
              <w:right w:val="single" w:sz="4" w:space="0" w:color="auto"/>
            </w:tcBorders>
            <w:shd w:val="clear" w:color="auto" w:fill="auto"/>
            <w:noWrap/>
            <w:hideMark/>
          </w:tcPr>
          <w:p w14:paraId="5494B891" w14:textId="02AB890B"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-0,1</w:t>
            </w:r>
          </w:p>
        </w:tc>
        <w:tc>
          <w:tcPr>
            <w:tcW w:w="851" w:type="dxa"/>
            <w:tcBorders>
              <w:top w:val="nil"/>
              <w:left w:val="nil"/>
              <w:bottom w:val="single" w:sz="4" w:space="0" w:color="auto"/>
              <w:right w:val="single" w:sz="4" w:space="0" w:color="auto"/>
            </w:tcBorders>
            <w:shd w:val="clear" w:color="auto" w:fill="auto"/>
            <w:noWrap/>
            <w:hideMark/>
          </w:tcPr>
          <w:p w14:paraId="68797428" w14:textId="6C78877D" w:rsidR="00DA488F" w:rsidRPr="00DA488F" w:rsidRDefault="73C5D9BC" w:rsidP="73C5D9BC">
            <w:pPr>
              <w:spacing w:line="240" w:lineRule="auto"/>
              <w:jc w:val="right"/>
              <w:rPr>
                <w:rFonts w:ascii="Times New Roman" w:hAnsi="Times New Roman" w:cs="Times New Roman"/>
                <w:sz w:val="20"/>
                <w:szCs w:val="20"/>
              </w:rPr>
            </w:pPr>
            <w:r w:rsidRPr="73C5D9BC">
              <w:rPr>
                <w:rFonts w:ascii="Times New Roman" w:hAnsi="Times New Roman" w:cs="Times New Roman"/>
                <w:sz w:val="20"/>
                <w:szCs w:val="20"/>
              </w:rPr>
              <w:t>96,4</w:t>
            </w:r>
          </w:p>
        </w:tc>
      </w:tr>
      <w:tr w:rsidR="00DA488F" w:rsidRPr="006068B4" w14:paraId="393A56CC" w14:textId="77777777" w:rsidTr="73C5D9BC">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CD2655C" w14:textId="77777777" w:rsidR="00DA488F" w:rsidRPr="006068B4" w:rsidRDefault="3782F5BA" w:rsidP="3782F5BA">
            <w:pPr>
              <w:spacing w:line="240" w:lineRule="auto"/>
              <w:rPr>
                <w:rFonts w:ascii="Times New Roman" w:hAnsi="Times New Roman" w:cs="Times New Roman"/>
                <w:b/>
                <w:bCs/>
                <w:color w:val="000000" w:themeColor="text1"/>
                <w:sz w:val="20"/>
                <w:szCs w:val="20"/>
              </w:rPr>
            </w:pPr>
            <w:r w:rsidRPr="3782F5BA">
              <w:rPr>
                <w:rFonts w:ascii="Times New Roman" w:hAnsi="Times New Roman" w:cs="Times New Roman"/>
                <w:b/>
                <w:bCs/>
                <w:color w:val="000000" w:themeColor="text1"/>
                <w:sz w:val="20"/>
                <w:szCs w:val="20"/>
              </w:rPr>
              <w:t>Összesen</w:t>
            </w:r>
          </w:p>
        </w:tc>
        <w:tc>
          <w:tcPr>
            <w:tcW w:w="993" w:type="dxa"/>
            <w:tcBorders>
              <w:top w:val="nil"/>
              <w:left w:val="nil"/>
              <w:bottom w:val="single" w:sz="4" w:space="0" w:color="auto"/>
              <w:right w:val="single" w:sz="4" w:space="0" w:color="auto"/>
            </w:tcBorders>
            <w:shd w:val="clear" w:color="auto" w:fill="auto"/>
            <w:noWrap/>
            <w:hideMark/>
          </w:tcPr>
          <w:p w14:paraId="2E876EDD" w14:textId="57D5138D" w:rsidR="00DA488F" w:rsidRPr="00DA488F" w:rsidRDefault="73C5D9BC" w:rsidP="73C5D9BC">
            <w:pPr>
              <w:spacing w:line="240" w:lineRule="auto"/>
              <w:jc w:val="right"/>
              <w:rPr>
                <w:rFonts w:ascii="Times New Roman" w:hAnsi="Times New Roman" w:cs="Times New Roman"/>
                <w:b/>
                <w:bCs/>
                <w:sz w:val="20"/>
                <w:szCs w:val="20"/>
              </w:rPr>
            </w:pPr>
            <w:r w:rsidRPr="73C5D9BC">
              <w:rPr>
                <w:rFonts w:ascii="Times New Roman" w:hAnsi="Times New Roman" w:cs="Times New Roman"/>
                <w:b/>
                <w:bCs/>
                <w:sz w:val="20"/>
                <w:szCs w:val="20"/>
              </w:rPr>
              <w:t>147,1</w:t>
            </w:r>
          </w:p>
        </w:tc>
        <w:tc>
          <w:tcPr>
            <w:tcW w:w="992" w:type="dxa"/>
            <w:tcBorders>
              <w:top w:val="nil"/>
              <w:left w:val="nil"/>
              <w:bottom w:val="single" w:sz="4" w:space="0" w:color="auto"/>
              <w:right w:val="single" w:sz="4" w:space="0" w:color="auto"/>
            </w:tcBorders>
            <w:shd w:val="clear" w:color="auto" w:fill="auto"/>
            <w:noWrap/>
            <w:hideMark/>
          </w:tcPr>
          <w:p w14:paraId="1CB4D241" w14:textId="654641C9" w:rsidR="00DA488F" w:rsidRPr="00DA488F" w:rsidRDefault="73C5D9BC" w:rsidP="73C5D9BC">
            <w:pPr>
              <w:spacing w:line="240" w:lineRule="auto"/>
              <w:jc w:val="right"/>
              <w:rPr>
                <w:rFonts w:ascii="Times New Roman" w:hAnsi="Times New Roman" w:cs="Times New Roman"/>
                <w:b/>
                <w:bCs/>
                <w:sz w:val="20"/>
                <w:szCs w:val="20"/>
              </w:rPr>
            </w:pPr>
            <w:r w:rsidRPr="73C5D9BC">
              <w:rPr>
                <w:rFonts w:ascii="Times New Roman" w:hAnsi="Times New Roman" w:cs="Times New Roman"/>
                <w:b/>
                <w:bCs/>
                <w:sz w:val="20"/>
                <w:szCs w:val="20"/>
              </w:rPr>
              <w:t>134,7</w:t>
            </w:r>
          </w:p>
        </w:tc>
        <w:tc>
          <w:tcPr>
            <w:tcW w:w="850" w:type="dxa"/>
            <w:tcBorders>
              <w:top w:val="nil"/>
              <w:left w:val="nil"/>
              <w:bottom w:val="single" w:sz="4" w:space="0" w:color="auto"/>
              <w:right w:val="single" w:sz="4" w:space="0" w:color="auto"/>
            </w:tcBorders>
            <w:shd w:val="clear" w:color="auto" w:fill="auto"/>
            <w:noWrap/>
            <w:hideMark/>
          </w:tcPr>
          <w:p w14:paraId="5FF2C368" w14:textId="2808C9F6" w:rsidR="00DA488F" w:rsidRPr="00DA488F" w:rsidRDefault="73C5D9BC" w:rsidP="73C5D9BC">
            <w:pPr>
              <w:spacing w:line="240" w:lineRule="auto"/>
              <w:jc w:val="right"/>
              <w:rPr>
                <w:rFonts w:ascii="Times New Roman" w:hAnsi="Times New Roman" w:cs="Times New Roman"/>
                <w:b/>
                <w:bCs/>
                <w:sz w:val="20"/>
                <w:szCs w:val="20"/>
              </w:rPr>
            </w:pPr>
            <w:r w:rsidRPr="73C5D9BC">
              <w:rPr>
                <w:rFonts w:ascii="Times New Roman" w:hAnsi="Times New Roman" w:cs="Times New Roman"/>
                <w:b/>
                <w:bCs/>
                <w:sz w:val="20"/>
                <w:szCs w:val="20"/>
              </w:rPr>
              <w:t>-12,4</w:t>
            </w:r>
          </w:p>
        </w:tc>
        <w:tc>
          <w:tcPr>
            <w:tcW w:w="851" w:type="dxa"/>
            <w:tcBorders>
              <w:top w:val="nil"/>
              <w:left w:val="nil"/>
              <w:bottom w:val="single" w:sz="4" w:space="0" w:color="auto"/>
              <w:right w:val="single" w:sz="4" w:space="0" w:color="auto"/>
            </w:tcBorders>
            <w:shd w:val="clear" w:color="auto" w:fill="auto"/>
            <w:noWrap/>
            <w:hideMark/>
          </w:tcPr>
          <w:p w14:paraId="7F3F44AB" w14:textId="6D9DF6FC" w:rsidR="00DA488F" w:rsidRPr="00DA488F" w:rsidRDefault="73C5D9BC" w:rsidP="73C5D9BC">
            <w:pPr>
              <w:spacing w:line="240" w:lineRule="auto"/>
              <w:jc w:val="right"/>
              <w:rPr>
                <w:rFonts w:ascii="Times New Roman" w:hAnsi="Times New Roman" w:cs="Times New Roman"/>
                <w:b/>
                <w:bCs/>
                <w:sz w:val="20"/>
                <w:szCs w:val="20"/>
              </w:rPr>
            </w:pPr>
            <w:r w:rsidRPr="73C5D9BC">
              <w:rPr>
                <w:rFonts w:ascii="Times New Roman" w:hAnsi="Times New Roman" w:cs="Times New Roman"/>
                <w:b/>
                <w:bCs/>
                <w:sz w:val="20"/>
                <w:szCs w:val="20"/>
              </w:rPr>
              <w:t>91,6</w:t>
            </w:r>
          </w:p>
        </w:tc>
      </w:tr>
    </w:tbl>
    <w:p w14:paraId="44479D78" w14:textId="621360E9" w:rsidR="00D258D9" w:rsidRDefault="3782F5BA" w:rsidP="0013596C">
      <w:pPr>
        <w:spacing w:before="240"/>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 xml:space="preserve">A </w:t>
      </w:r>
      <w:r w:rsidRPr="3782F5BA">
        <w:rPr>
          <w:rFonts w:ascii="Times New Roman" w:eastAsia="Times New Roman" w:hAnsi="Times New Roman" w:cs="Times New Roman"/>
          <w:b/>
          <w:bCs/>
          <w:sz w:val="26"/>
          <w:szCs w:val="26"/>
        </w:rPr>
        <w:t>családi támogatásokra</w:t>
      </w:r>
      <w:r w:rsidRPr="3782F5BA">
        <w:rPr>
          <w:rFonts w:ascii="Times New Roman" w:eastAsia="Times New Roman" w:hAnsi="Times New Roman" w:cs="Times New Roman"/>
          <w:sz w:val="26"/>
          <w:szCs w:val="26"/>
        </w:rPr>
        <w:t xml:space="preserve"> 2025 első két hónapjában összesen 67,8</w:t>
      </w:r>
      <w:r w:rsidR="00453786">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forintot fizettek ki, amely 13,3</w:t>
      </w:r>
      <w:r w:rsidR="00453786">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forinttal volt alacsonyabb az előző évi teljesítésnél. Az eltérés elsősorban a Családi támogatások jogcím csoporthoz tartozó Életkezdési támogatás előirányzat kiadásai csökkenésének következménye, ami 12,7</w:t>
      </w:r>
      <w:r w:rsidR="0013596C">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 xml:space="preserve">milliárd forinttal volt alacsonyabb </w:t>
      </w:r>
      <w:r w:rsidR="00783E66">
        <w:rPr>
          <w:rFonts w:ascii="Times New Roman" w:eastAsia="Times New Roman" w:hAnsi="Times New Roman" w:cs="Times New Roman"/>
          <w:sz w:val="26"/>
          <w:szCs w:val="26"/>
        </w:rPr>
        <w:t xml:space="preserve">az </w:t>
      </w:r>
      <w:r w:rsidRPr="3782F5BA">
        <w:rPr>
          <w:rFonts w:ascii="Times New Roman" w:eastAsia="Times New Roman" w:hAnsi="Times New Roman" w:cs="Times New Roman"/>
          <w:sz w:val="26"/>
          <w:szCs w:val="26"/>
        </w:rPr>
        <w:t xml:space="preserve">előző év azonos időszakához képest. </w:t>
      </w:r>
    </w:p>
    <w:p w14:paraId="249DEDB3" w14:textId="1DC6EDB3" w:rsidR="320BC70F" w:rsidRDefault="3782F5BA" w:rsidP="0013596C">
      <w:pPr>
        <w:spacing w:before="240"/>
        <w:jc w:val="both"/>
      </w:pPr>
      <w:r w:rsidRPr="3782F5BA">
        <w:rPr>
          <w:rFonts w:ascii="Times New Roman" w:eastAsia="Times New Roman" w:hAnsi="Times New Roman" w:cs="Times New Roman"/>
          <w:sz w:val="26"/>
          <w:szCs w:val="26"/>
        </w:rPr>
        <w:lastRenderedPageBreak/>
        <w:t xml:space="preserve">Ennek oka, hogy 2025-ben az életkezdési letéti számlákon nyilvántartott követelés összegére tekintettel fizetett kamat mértéke 3,7% volt (a 2024. évi infláció mértékének megfelelően), ami jelentősen alacsonyabb a 2024-ben fizetett kamat </w:t>
      </w:r>
      <w:r w:rsidR="001266D5">
        <w:rPr>
          <w:rFonts w:ascii="Times New Roman" w:eastAsia="Times New Roman" w:hAnsi="Times New Roman" w:cs="Times New Roman"/>
          <w:sz w:val="26"/>
          <w:szCs w:val="26"/>
        </w:rPr>
        <w:t xml:space="preserve">(17,6%) </w:t>
      </w:r>
      <w:r w:rsidRPr="3782F5BA">
        <w:rPr>
          <w:rFonts w:ascii="Times New Roman" w:eastAsia="Times New Roman" w:hAnsi="Times New Roman" w:cs="Times New Roman"/>
          <w:sz w:val="26"/>
          <w:szCs w:val="26"/>
        </w:rPr>
        <w:t>mértékénél</w:t>
      </w:r>
      <w:r w:rsidR="001266D5">
        <w:rPr>
          <w:rFonts w:ascii="Times New Roman" w:eastAsia="Times New Roman" w:hAnsi="Times New Roman" w:cs="Times New Roman"/>
          <w:sz w:val="26"/>
          <w:szCs w:val="26"/>
        </w:rPr>
        <w:t>.</w:t>
      </w:r>
      <w:r w:rsidRPr="3782F5BA">
        <w:rPr>
          <w:rFonts w:ascii="Times New Roman" w:eastAsia="Times New Roman" w:hAnsi="Times New Roman" w:cs="Times New Roman"/>
          <w:sz w:val="26"/>
          <w:szCs w:val="26"/>
        </w:rPr>
        <w:t xml:space="preserve"> </w:t>
      </w:r>
    </w:p>
    <w:p w14:paraId="1E1B0013" w14:textId="382003DA" w:rsidR="320BC70F" w:rsidRDefault="3782F5BA" w:rsidP="0013596C">
      <w:pPr>
        <w:jc w:val="both"/>
      </w:pPr>
      <w:r w:rsidRPr="3782F5BA">
        <w:rPr>
          <w:rFonts w:ascii="Times New Roman" w:eastAsia="Times New Roman" w:hAnsi="Times New Roman" w:cs="Times New Roman"/>
          <w:sz w:val="26"/>
          <w:szCs w:val="26"/>
        </w:rPr>
        <w:t xml:space="preserve">A </w:t>
      </w:r>
      <w:r w:rsidRPr="3782F5BA">
        <w:rPr>
          <w:rFonts w:ascii="Times New Roman" w:eastAsia="Times New Roman" w:hAnsi="Times New Roman" w:cs="Times New Roman"/>
          <w:b/>
          <w:bCs/>
          <w:sz w:val="26"/>
          <w:szCs w:val="26"/>
        </w:rPr>
        <w:t>korhatár alatti ellátások</w:t>
      </w:r>
      <w:r w:rsidRPr="3782F5BA">
        <w:rPr>
          <w:rFonts w:ascii="Times New Roman" w:eastAsia="Times New Roman" w:hAnsi="Times New Roman" w:cs="Times New Roman"/>
          <w:sz w:val="26"/>
          <w:szCs w:val="26"/>
        </w:rPr>
        <w:t xml:space="preserve"> esetében a kiadás 1,2</w:t>
      </w:r>
      <w:r w:rsidR="008E5197">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forinttal alacsonyabb volt az előző év azonos időszakához képest. A csökkenést az okozza, hogy a jogosultak elérik az öregségi nyugdíjkorhatárt, és nyugellátásra válnak jogosulttá, létszámuk folyamatosan csökken. Januárban sor került az ellátások 3,2%-os emelésére is, valamint a 13. havi nyugdíjhoz hasonlóan februárban a korhatár előtti ellátásban részesülő személyek is részesültek 13. havi ellátásban.</w:t>
      </w:r>
    </w:p>
    <w:p w14:paraId="0156B806" w14:textId="5C0555BC" w:rsidR="00D258D9" w:rsidRDefault="3782F5BA" w:rsidP="0013596C">
      <w:pPr>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 xml:space="preserve">2025 februárjáig </w:t>
      </w:r>
      <w:r w:rsidRPr="3782F5BA">
        <w:rPr>
          <w:rFonts w:ascii="Times New Roman" w:eastAsia="Times New Roman" w:hAnsi="Times New Roman" w:cs="Times New Roman"/>
          <w:b/>
          <w:bCs/>
          <w:sz w:val="26"/>
          <w:szCs w:val="26"/>
        </w:rPr>
        <w:t>a jövedelempótló és jövedelemkiegészítő szociális támogatásokra</w:t>
      </w:r>
      <w:r w:rsidRPr="3782F5BA">
        <w:rPr>
          <w:rFonts w:ascii="Times New Roman" w:eastAsia="Times New Roman" w:hAnsi="Times New Roman" w:cs="Times New Roman"/>
          <w:sz w:val="26"/>
          <w:szCs w:val="26"/>
        </w:rPr>
        <w:t xml:space="preserve"> biztosított kiadásokon belül a járási szociális feladatok ellátására (gyermekek otthongondozási díja, ápolási díj, időskorúak járadéka, foglalkoztatást helyettesítő támogatás, egészségkárosodási és gyermekfelügyeleti támogatás) 17,6</w:t>
      </w:r>
      <w:r w:rsidR="00CC0866">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forintot fordítottak, mely 2,0</w:t>
      </w:r>
      <w:r w:rsidR="00306C97">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 xml:space="preserve">milliárd forinttal magasabb az előző évi adatnál. </w:t>
      </w:r>
    </w:p>
    <w:p w14:paraId="7F1FBACA" w14:textId="19A210CC" w:rsidR="320BC70F" w:rsidRDefault="3782F5BA" w:rsidP="0013596C">
      <w:pPr>
        <w:jc w:val="both"/>
      </w:pPr>
      <w:r w:rsidRPr="3782F5BA">
        <w:rPr>
          <w:rFonts w:ascii="Times New Roman" w:eastAsia="Times New Roman" w:hAnsi="Times New Roman" w:cs="Times New Roman"/>
          <w:sz w:val="26"/>
          <w:szCs w:val="26"/>
        </w:rPr>
        <w:t>A növekedést az okozza, hogy 2025. januártól a gyermekek otthongondozási díjának összege a minimálbér emelkedése miatt (266</w:t>
      </w:r>
      <w:r w:rsidR="00CC0866">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800 forintról 290</w:t>
      </w:r>
      <w:r w:rsidR="00CC0866">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 xml:space="preserve">800 forintra) emelkedett, az ápolási díj összege pedig 3,2%-kal nőtt. </w:t>
      </w:r>
    </w:p>
    <w:p w14:paraId="27F266EA" w14:textId="77777777" w:rsidR="00D258D9" w:rsidRDefault="3782F5BA" w:rsidP="0013596C">
      <w:pPr>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A Jövedelempótló és jövedelemkiegészítő ellá</w:t>
      </w:r>
      <w:r w:rsidR="005A1E0F">
        <w:rPr>
          <w:rFonts w:ascii="Times New Roman" w:eastAsia="Times New Roman" w:hAnsi="Times New Roman" w:cs="Times New Roman"/>
          <w:sz w:val="26"/>
          <w:szCs w:val="26"/>
        </w:rPr>
        <w:t>tások előirányzat tartalmazza a </w:t>
      </w:r>
      <w:r w:rsidRPr="3782F5BA">
        <w:rPr>
          <w:rFonts w:ascii="Times New Roman" w:eastAsia="Times New Roman" w:hAnsi="Times New Roman" w:cs="Times New Roman"/>
          <w:sz w:val="26"/>
          <w:szCs w:val="26"/>
        </w:rPr>
        <w:t xml:space="preserve">fogyatékossági támogatás, a vakok személyi járadéka, az átmeneti bányászjáradék és számos további, jellemzően kifutó jellegű ellátás (pl. mezőgazdasági járadék, politikai rehabilitációs és más nyugdíj-kiegészítések, házastársi pótlék) forrását. </w:t>
      </w:r>
    </w:p>
    <w:p w14:paraId="6217FF4B" w14:textId="796B2B76" w:rsidR="320BC70F" w:rsidRDefault="3782F5BA" w:rsidP="0013596C">
      <w:pPr>
        <w:jc w:val="both"/>
      </w:pPr>
      <w:r w:rsidRPr="3782F5BA">
        <w:rPr>
          <w:rFonts w:ascii="Times New Roman" w:eastAsia="Times New Roman" w:hAnsi="Times New Roman" w:cs="Times New Roman"/>
          <w:sz w:val="26"/>
          <w:szCs w:val="26"/>
        </w:rPr>
        <w:t>A jövedelempótló és jövedelemkiegészítő ellátásokra 17,0</w:t>
      </w:r>
      <w:r w:rsidR="0013596C">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forintot fizettek ki, mely</w:t>
      </w:r>
      <w:r w:rsidR="0013596C">
        <w:rPr>
          <w:rFonts w:ascii="Times New Roman" w:eastAsia="Times New Roman" w:hAnsi="Times New Roman" w:cs="Times New Roman"/>
          <w:sz w:val="26"/>
          <w:szCs w:val="26"/>
        </w:rPr>
        <w:t xml:space="preserve"> az előző évi kifizetésénél 0,2 </w:t>
      </w:r>
      <w:r w:rsidRPr="3782F5BA">
        <w:rPr>
          <w:rFonts w:ascii="Times New Roman" w:eastAsia="Times New Roman" w:hAnsi="Times New Roman" w:cs="Times New Roman"/>
          <w:sz w:val="26"/>
          <w:szCs w:val="26"/>
        </w:rPr>
        <w:t>milliárd forinttal magasabb. A kiadások növekedését egyes ellátások januárban végrehajtott 3,2%-os emelésének, valamint a 20</w:t>
      </w:r>
      <w:r w:rsidR="005A1E0F">
        <w:rPr>
          <w:rFonts w:ascii="Times New Roman" w:eastAsia="Times New Roman" w:hAnsi="Times New Roman" w:cs="Times New Roman"/>
          <w:sz w:val="26"/>
          <w:szCs w:val="26"/>
        </w:rPr>
        <w:t>24</w:t>
      </w:r>
      <w:r w:rsidR="0013596C">
        <w:rPr>
          <w:rFonts w:ascii="Times New Roman" w:eastAsia="Times New Roman" w:hAnsi="Times New Roman" w:cs="Times New Roman"/>
          <w:sz w:val="26"/>
          <w:szCs w:val="26"/>
        </w:rPr>
        <w:t> </w:t>
      </w:r>
      <w:r w:rsidR="005A1E0F">
        <w:rPr>
          <w:rFonts w:ascii="Times New Roman" w:eastAsia="Times New Roman" w:hAnsi="Times New Roman" w:cs="Times New Roman"/>
          <w:sz w:val="26"/>
          <w:szCs w:val="26"/>
        </w:rPr>
        <w:t>februárjában kifizetett 13. </w:t>
      </w:r>
      <w:r w:rsidRPr="3782F5BA">
        <w:rPr>
          <w:rFonts w:ascii="Times New Roman" w:eastAsia="Times New Roman" w:hAnsi="Times New Roman" w:cs="Times New Roman"/>
          <w:sz w:val="26"/>
          <w:szCs w:val="26"/>
        </w:rPr>
        <w:t>havi ellátásnak a hatása okozza.</w:t>
      </w:r>
    </w:p>
    <w:p w14:paraId="4EEBE421" w14:textId="5032C3B0" w:rsidR="320BC70F" w:rsidRDefault="3782F5BA" w:rsidP="0013596C">
      <w:pPr>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 xml:space="preserve">A </w:t>
      </w:r>
      <w:r w:rsidRPr="3782F5BA">
        <w:rPr>
          <w:rFonts w:ascii="Times New Roman" w:eastAsia="Times New Roman" w:hAnsi="Times New Roman" w:cs="Times New Roman"/>
          <w:b/>
          <w:bCs/>
          <w:sz w:val="26"/>
          <w:szCs w:val="26"/>
        </w:rPr>
        <w:t>különféle jogcímen adott térítések</w:t>
      </w:r>
      <w:r w:rsidRPr="3782F5BA">
        <w:rPr>
          <w:rFonts w:ascii="Times New Roman" w:eastAsia="Times New Roman" w:hAnsi="Times New Roman" w:cs="Times New Roman"/>
          <w:sz w:val="26"/>
          <w:szCs w:val="26"/>
        </w:rPr>
        <w:t xml:space="preserve"> 2025</w:t>
      </w:r>
      <w:r w:rsidR="0013596C">
        <w:rPr>
          <w:rFonts w:ascii="Times New Roman" w:eastAsia="Times New Roman" w:hAnsi="Times New Roman" w:cs="Times New Roman"/>
          <w:sz w:val="26"/>
          <w:szCs w:val="26"/>
        </w:rPr>
        <w:t>.</w:t>
      </w:r>
      <w:r w:rsidRPr="3782F5BA">
        <w:rPr>
          <w:rFonts w:ascii="Times New Roman" w:eastAsia="Times New Roman" w:hAnsi="Times New Roman" w:cs="Times New Roman"/>
          <w:sz w:val="26"/>
          <w:szCs w:val="26"/>
        </w:rPr>
        <w:t xml:space="preserve"> február </w:t>
      </w:r>
      <w:r w:rsidR="0013596C">
        <w:rPr>
          <w:rFonts w:ascii="Times New Roman" w:eastAsia="Times New Roman" w:hAnsi="Times New Roman" w:cs="Times New Roman"/>
          <w:sz w:val="26"/>
          <w:szCs w:val="26"/>
        </w:rPr>
        <w:t xml:space="preserve">végi </w:t>
      </w:r>
      <w:r w:rsidRPr="3782F5BA">
        <w:rPr>
          <w:rFonts w:ascii="Times New Roman" w:eastAsia="Times New Roman" w:hAnsi="Times New Roman" w:cs="Times New Roman"/>
          <w:sz w:val="26"/>
          <w:szCs w:val="26"/>
        </w:rPr>
        <w:t>összege 0,1</w:t>
      </w:r>
      <w:r w:rsidR="00CC0866">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forinttal alacsonyabb volt, mint az előző év azonos időszakában. A térítéseken belül a legnagyobb összeget, 2,7</w:t>
      </w:r>
      <w:r w:rsidR="00CC0866">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forintot a közgyógyellátásra fizették ki.</w:t>
      </w:r>
    </w:p>
    <w:p w14:paraId="2BBDBEB3" w14:textId="034334A7" w:rsidR="0032261D" w:rsidRPr="005C3ECD" w:rsidRDefault="73C5D9BC" w:rsidP="0013596C">
      <w:pPr>
        <w:pStyle w:val="NormlWeb"/>
        <w:spacing w:before="0" w:beforeAutospacing="0" w:after="160" w:afterAutospacing="0" w:line="259" w:lineRule="auto"/>
        <w:jc w:val="both"/>
        <w:rPr>
          <w:sz w:val="26"/>
          <w:szCs w:val="26"/>
        </w:rPr>
      </w:pPr>
      <w:r w:rsidRPr="73C5D9BC">
        <w:rPr>
          <w:sz w:val="26"/>
          <w:szCs w:val="26"/>
        </w:rPr>
        <w:t xml:space="preserve">A </w:t>
      </w:r>
      <w:r w:rsidRPr="73C5D9BC">
        <w:rPr>
          <w:b/>
          <w:bCs/>
          <w:sz w:val="26"/>
          <w:szCs w:val="26"/>
        </w:rPr>
        <w:t>babaváró támogatásokra</w:t>
      </w:r>
      <w:r w:rsidRPr="73C5D9BC">
        <w:rPr>
          <w:sz w:val="26"/>
          <w:szCs w:val="26"/>
        </w:rPr>
        <w:t xml:space="preserve"> fordított kiadások összege február</w:t>
      </w:r>
      <w:r w:rsidR="0013596C">
        <w:rPr>
          <w:sz w:val="26"/>
          <w:szCs w:val="26"/>
        </w:rPr>
        <w:t xml:space="preserve"> végé</w:t>
      </w:r>
      <w:r w:rsidRPr="73C5D9BC">
        <w:rPr>
          <w:sz w:val="26"/>
          <w:szCs w:val="26"/>
        </w:rPr>
        <w:t>ig 38,1 milliárd forintot tett ki, amely a törvényi előirányzat 15,1%-ának felel meg, és a 2024. év azonos időszakához viszonyítva 1,5</w:t>
      </w:r>
      <w:r w:rsidR="00D258D9">
        <w:rPr>
          <w:sz w:val="26"/>
          <w:szCs w:val="26"/>
        </w:rPr>
        <w:t> </w:t>
      </w:r>
      <w:r w:rsidRPr="73C5D9BC">
        <w:rPr>
          <w:sz w:val="26"/>
          <w:szCs w:val="26"/>
        </w:rPr>
        <w:t>milliárd forinttal teljesült magasabban.</w:t>
      </w:r>
    </w:p>
    <w:p w14:paraId="1A25D4E0" w14:textId="49811769" w:rsidR="000C2BFE" w:rsidRPr="005C3ECD" w:rsidRDefault="3782F5BA" w:rsidP="0013596C">
      <w:pPr>
        <w:pStyle w:val="NormlWeb"/>
        <w:spacing w:before="0" w:beforeAutospacing="0" w:after="160" w:afterAutospacing="0" w:line="259" w:lineRule="auto"/>
        <w:jc w:val="both"/>
        <w:rPr>
          <w:sz w:val="26"/>
          <w:szCs w:val="26"/>
        </w:rPr>
      </w:pPr>
      <w:r w:rsidRPr="3782F5BA">
        <w:rPr>
          <w:sz w:val="26"/>
          <w:szCs w:val="26"/>
        </w:rPr>
        <w:t xml:space="preserve">A </w:t>
      </w:r>
      <w:r w:rsidRPr="3782F5BA">
        <w:rPr>
          <w:b/>
          <w:bCs/>
          <w:sz w:val="26"/>
          <w:szCs w:val="26"/>
        </w:rPr>
        <w:t>helyi önkormányzatok</w:t>
      </w:r>
      <w:r w:rsidRPr="3782F5BA">
        <w:rPr>
          <w:sz w:val="26"/>
          <w:szCs w:val="26"/>
        </w:rPr>
        <w:t xml:space="preserve"> 2025. évi feladataihoz a hatályos költségvetési törvény alapján </w:t>
      </w:r>
      <w:r w:rsidR="3569ECBC">
        <w:br/>
      </w:r>
      <w:r w:rsidRPr="3782F5BA">
        <w:rPr>
          <w:sz w:val="26"/>
          <w:szCs w:val="26"/>
        </w:rPr>
        <w:t xml:space="preserve">1 305,7 milliárd forint állami támogatás került megállapításra. Február végéig 260,7 milliárd forint kifizetés történt. Az előző év azonos időszakához viszonyítva </w:t>
      </w:r>
      <w:r w:rsidR="00D258D9">
        <w:rPr>
          <w:sz w:val="26"/>
          <w:szCs w:val="26"/>
        </w:rPr>
        <w:t>24,4</w:t>
      </w:r>
      <w:r w:rsidRPr="3782F5BA">
        <w:rPr>
          <w:sz w:val="26"/>
          <w:szCs w:val="26"/>
        </w:rPr>
        <w:t> milliárd forint (10,3%-os) növekedés történt. A jelentősebb tételek alakulását a következő táblázat mutatja:</w:t>
      </w:r>
    </w:p>
    <w:p w14:paraId="2723D8B3" w14:textId="621DAAE8" w:rsidR="00C24948" w:rsidRPr="00B32682" w:rsidRDefault="3782F5BA" w:rsidP="00D258D9">
      <w:pPr>
        <w:pageBreakBefore/>
        <w:jc w:val="center"/>
        <w:rPr>
          <w:rFonts w:ascii="Times New Roman" w:eastAsia="Times New Roman" w:hAnsi="Times New Roman" w:cs="Times New Roman"/>
          <w:lang w:eastAsia="hu-HU"/>
        </w:rPr>
      </w:pPr>
      <w:r w:rsidRPr="3782F5BA">
        <w:rPr>
          <w:rFonts w:ascii="Times New Roman" w:eastAsia="Times New Roman" w:hAnsi="Times New Roman" w:cs="Times New Roman"/>
          <w:b/>
          <w:bCs/>
        </w:rPr>
        <w:lastRenderedPageBreak/>
        <w:t>A helyi önkormányzatok támogatásának alakulása (milliárd forint)</w:t>
      </w:r>
    </w:p>
    <w:tbl>
      <w:tblPr>
        <w:tblpPr w:leftFromText="141" w:rightFromText="141" w:vertAnchor="text" w:horzAnchor="margin" w:tblpY="20"/>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1196"/>
        <w:gridCol w:w="992"/>
        <w:gridCol w:w="850"/>
        <w:gridCol w:w="851"/>
      </w:tblGrid>
      <w:tr w:rsidR="00081A16" w:rsidRPr="00377D59" w14:paraId="6741B982" w14:textId="77777777" w:rsidTr="73C5D9BC">
        <w:trPr>
          <w:trHeight w:val="340"/>
        </w:trPr>
        <w:tc>
          <w:tcPr>
            <w:tcW w:w="5382" w:type="dxa"/>
            <w:vMerge w:val="restart"/>
            <w:shd w:val="clear" w:color="auto" w:fill="BDD6EE" w:themeFill="accent1" w:themeFillTint="66"/>
            <w:noWrap/>
            <w:vAlign w:val="center"/>
            <w:hideMark/>
          </w:tcPr>
          <w:p w14:paraId="07514BAA" w14:textId="77777777" w:rsidR="00081A16" w:rsidRPr="00DD7FD1" w:rsidRDefault="3782F5BA" w:rsidP="3782F5BA">
            <w:pPr>
              <w:keepNext/>
              <w:keepLines/>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Megnevezés</w:t>
            </w:r>
          </w:p>
        </w:tc>
        <w:tc>
          <w:tcPr>
            <w:tcW w:w="1196" w:type="dxa"/>
            <w:vMerge w:val="restart"/>
            <w:shd w:val="clear" w:color="auto" w:fill="BDD6EE" w:themeFill="accent1" w:themeFillTint="66"/>
            <w:vAlign w:val="center"/>
            <w:hideMark/>
          </w:tcPr>
          <w:p w14:paraId="5DC080D6" w14:textId="3D6E6A9C" w:rsidR="00081A16" w:rsidRPr="00DD7FD1" w:rsidRDefault="3782F5BA" w:rsidP="3782F5BA">
            <w:pPr>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 xml:space="preserve">2024. </w:t>
            </w:r>
            <w:r w:rsidR="3569ECBC">
              <w:br/>
            </w:r>
            <w:r w:rsidRPr="3782F5BA">
              <w:rPr>
                <w:rFonts w:ascii="Times New Roman" w:hAnsi="Times New Roman" w:cs="Times New Roman"/>
                <w:b/>
                <w:bCs/>
              </w:rPr>
              <w:t>I-II. hó</w:t>
            </w:r>
          </w:p>
        </w:tc>
        <w:tc>
          <w:tcPr>
            <w:tcW w:w="992" w:type="dxa"/>
            <w:vMerge w:val="restart"/>
            <w:shd w:val="clear" w:color="auto" w:fill="BDD6EE" w:themeFill="accent1" w:themeFillTint="66"/>
            <w:vAlign w:val="center"/>
            <w:hideMark/>
          </w:tcPr>
          <w:p w14:paraId="626AC8BC" w14:textId="1F7DBEE1" w:rsidR="00081A16" w:rsidRPr="00DD7FD1" w:rsidRDefault="3782F5BA" w:rsidP="3782F5BA">
            <w:pPr>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 xml:space="preserve">2025. </w:t>
            </w:r>
            <w:r w:rsidR="3569ECBC">
              <w:br/>
            </w:r>
            <w:r w:rsidRPr="3782F5BA">
              <w:rPr>
                <w:rFonts w:ascii="Times New Roman" w:hAnsi="Times New Roman" w:cs="Times New Roman"/>
                <w:b/>
                <w:bCs/>
              </w:rPr>
              <w:t>I-II. hó</w:t>
            </w:r>
          </w:p>
        </w:tc>
        <w:tc>
          <w:tcPr>
            <w:tcW w:w="1701" w:type="dxa"/>
            <w:gridSpan w:val="2"/>
            <w:shd w:val="clear" w:color="auto" w:fill="BDD6EE" w:themeFill="accent1" w:themeFillTint="66"/>
            <w:noWrap/>
            <w:vAlign w:val="center"/>
            <w:hideMark/>
          </w:tcPr>
          <w:p w14:paraId="35A3C823" w14:textId="77777777" w:rsidR="00081A16" w:rsidRPr="00DD7FD1" w:rsidRDefault="3782F5BA" w:rsidP="3782F5BA">
            <w:pPr>
              <w:keepNext/>
              <w:keepLines/>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Eltérés</w:t>
            </w:r>
          </w:p>
        </w:tc>
      </w:tr>
      <w:tr w:rsidR="00C24948" w:rsidRPr="00377D59" w14:paraId="2DD9A798" w14:textId="77777777" w:rsidTr="73C5D9BC">
        <w:trPr>
          <w:trHeight w:val="340"/>
        </w:trPr>
        <w:tc>
          <w:tcPr>
            <w:tcW w:w="5382" w:type="dxa"/>
            <w:vMerge/>
            <w:shd w:val="clear" w:color="auto" w:fill="BDD6EE" w:themeFill="accent1" w:themeFillTint="66"/>
            <w:vAlign w:val="center"/>
            <w:hideMark/>
          </w:tcPr>
          <w:p w14:paraId="5F76A56A" w14:textId="77777777" w:rsidR="00C24948" w:rsidRPr="00DD7FD1" w:rsidRDefault="00C24948" w:rsidP="00C24948">
            <w:pPr>
              <w:keepNext/>
              <w:keepLines/>
              <w:spacing w:after="0" w:line="240" w:lineRule="auto"/>
              <w:rPr>
                <w:rFonts w:ascii="Times New Roman" w:eastAsia="Times New Roman" w:hAnsi="Times New Roman" w:cs="Times New Roman"/>
                <w:b/>
                <w:bCs/>
                <w:lang w:eastAsia="hu-HU"/>
              </w:rPr>
            </w:pPr>
          </w:p>
        </w:tc>
        <w:tc>
          <w:tcPr>
            <w:tcW w:w="1196" w:type="dxa"/>
            <w:vMerge/>
            <w:tcBorders>
              <w:bottom w:val="single" w:sz="4" w:space="0" w:color="auto"/>
            </w:tcBorders>
            <w:shd w:val="clear" w:color="auto" w:fill="BDD6EE" w:themeFill="accent1" w:themeFillTint="66"/>
            <w:vAlign w:val="center"/>
            <w:hideMark/>
          </w:tcPr>
          <w:p w14:paraId="65B4B0A4" w14:textId="77777777" w:rsidR="00C24948" w:rsidRPr="00DD7FD1" w:rsidRDefault="00C24948" w:rsidP="00C24948">
            <w:pPr>
              <w:keepNext/>
              <w:keepLines/>
              <w:spacing w:after="0" w:line="240" w:lineRule="auto"/>
              <w:jc w:val="center"/>
              <w:rPr>
                <w:rFonts w:ascii="Times New Roman" w:eastAsia="Times New Roman" w:hAnsi="Times New Roman" w:cs="Times New Roman"/>
                <w:b/>
                <w:bCs/>
                <w:lang w:eastAsia="hu-HU"/>
              </w:rPr>
            </w:pPr>
          </w:p>
        </w:tc>
        <w:tc>
          <w:tcPr>
            <w:tcW w:w="992" w:type="dxa"/>
            <w:vMerge/>
            <w:tcBorders>
              <w:bottom w:val="single" w:sz="4" w:space="0" w:color="auto"/>
            </w:tcBorders>
            <w:shd w:val="clear" w:color="auto" w:fill="BDD6EE" w:themeFill="accent1" w:themeFillTint="66"/>
            <w:vAlign w:val="center"/>
            <w:hideMark/>
          </w:tcPr>
          <w:p w14:paraId="5FE97B50" w14:textId="77777777" w:rsidR="00C24948" w:rsidRPr="00DD7FD1" w:rsidRDefault="00C24948" w:rsidP="00C24948">
            <w:pPr>
              <w:keepNext/>
              <w:keepLines/>
              <w:spacing w:after="0" w:line="240" w:lineRule="auto"/>
              <w:jc w:val="center"/>
              <w:rPr>
                <w:rFonts w:ascii="Times New Roman" w:eastAsia="Times New Roman" w:hAnsi="Times New Roman" w:cs="Times New Roman"/>
                <w:b/>
                <w:bCs/>
                <w:lang w:eastAsia="hu-HU"/>
              </w:rPr>
            </w:pPr>
          </w:p>
        </w:tc>
        <w:tc>
          <w:tcPr>
            <w:tcW w:w="850" w:type="dxa"/>
            <w:tcBorders>
              <w:bottom w:val="single" w:sz="4" w:space="0" w:color="auto"/>
            </w:tcBorders>
            <w:shd w:val="clear" w:color="auto" w:fill="BDD6EE" w:themeFill="accent1" w:themeFillTint="66"/>
            <w:noWrap/>
            <w:vAlign w:val="center"/>
            <w:hideMark/>
          </w:tcPr>
          <w:p w14:paraId="1B2C8FF2" w14:textId="77777777" w:rsidR="00C24948" w:rsidRPr="00DD7FD1" w:rsidRDefault="3782F5BA" w:rsidP="3782F5BA">
            <w:pPr>
              <w:keepNext/>
              <w:keepLines/>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Mrd Ft</w:t>
            </w:r>
          </w:p>
        </w:tc>
        <w:tc>
          <w:tcPr>
            <w:tcW w:w="851" w:type="dxa"/>
            <w:tcBorders>
              <w:bottom w:val="single" w:sz="4" w:space="0" w:color="auto"/>
            </w:tcBorders>
            <w:shd w:val="clear" w:color="auto" w:fill="BDD6EE" w:themeFill="accent1" w:themeFillTint="66"/>
            <w:noWrap/>
            <w:vAlign w:val="center"/>
            <w:hideMark/>
          </w:tcPr>
          <w:p w14:paraId="179AEF43" w14:textId="77777777" w:rsidR="00C24948" w:rsidRPr="00DD7FD1" w:rsidRDefault="3782F5BA" w:rsidP="3782F5BA">
            <w:pPr>
              <w:keepNext/>
              <w:keepLines/>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w:t>
            </w:r>
          </w:p>
        </w:tc>
      </w:tr>
      <w:tr w:rsidR="00E61389" w:rsidRPr="00377D59" w14:paraId="5CF52B9C" w14:textId="77777777" w:rsidTr="73C5D9BC">
        <w:trPr>
          <w:trHeight w:val="510"/>
        </w:trPr>
        <w:tc>
          <w:tcPr>
            <w:tcW w:w="5382" w:type="dxa"/>
            <w:shd w:val="clear" w:color="auto" w:fill="auto"/>
            <w:vAlign w:val="center"/>
            <w:hideMark/>
          </w:tcPr>
          <w:p w14:paraId="11FF4C49" w14:textId="77777777" w:rsidR="00E61389" w:rsidRPr="00976E1E" w:rsidRDefault="3782F5BA" w:rsidP="3782F5BA">
            <w:pPr>
              <w:keepNext/>
              <w:keepLines/>
              <w:spacing w:after="0" w:line="240" w:lineRule="auto"/>
              <w:rPr>
                <w:rFonts w:ascii="Times New Roman" w:eastAsia="Times New Roman" w:hAnsi="Times New Roman" w:cs="Times New Roman"/>
                <w:b/>
                <w:bCs/>
                <w:sz w:val="20"/>
                <w:szCs w:val="20"/>
                <w:lang w:eastAsia="hu-HU"/>
              </w:rPr>
            </w:pPr>
            <w:r w:rsidRPr="3782F5BA">
              <w:rPr>
                <w:rFonts w:ascii="Times New Roman" w:eastAsia="Times New Roman" w:hAnsi="Times New Roman" w:cs="Times New Roman"/>
                <w:b/>
                <w:bCs/>
                <w:sz w:val="20"/>
                <w:szCs w:val="20"/>
                <w:lang w:eastAsia="hu-HU"/>
              </w:rPr>
              <w:t>A helyi önkormányzatok általános működésének és ágazati feladatainak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0A1E4CBD" w14:textId="32139BF7" w:rsidR="00E61389" w:rsidRPr="00E61389" w:rsidRDefault="73C5D9BC" w:rsidP="73C5D9BC">
            <w:pPr>
              <w:keepNext/>
              <w:keepLines/>
              <w:spacing w:after="0" w:line="240" w:lineRule="auto"/>
              <w:jc w:val="right"/>
              <w:rPr>
                <w:rFonts w:ascii="Times New Roman" w:eastAsia="Times New Roman" w:hAnsi="Times New Roman" w:cs="Times New Roman"/>
                <w:b/>
                <w:bCs/>
                <w:sz w:val="20"/>
                <w:szCs w:val="20"/>
                <w:lang w:eastAsia="hu-HU"/>
              </w:rPr>
            </w:pPr>
            <w:r w:rsidRPr="73C5D9BC">
              <w:rPr>
                <w:rFonts w:ascii="Times New Roman" w:hAnsi="Times New Roman" w:cs="Times New Roman"/>
                <w:b/>
                <w:bCs/>
                <w:sz w:val="20"/>
                <w:szCs w:val="20"/>
              </w:rPr>
              <w:t>222,3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29553" w14:textId="4F1BDA2A" w:rsidR="00E61389" w:rsidRPr="00E61389" w:rsidRDefault="73C5D9BC" w:rsidP="73C5D9BC">
            <w:pPr>
              <w:keepNext/>
              <w:keepLines/>
              <w:spacing w:after="0" w:line="240" w:lineRule="auto"/>
              <w:jc w:val="right"/>
              <w:rPr>
                <w:rFonts w:ascii="Times New Roman" w:eastAsia="Times New Roman" w:hAnsi="Times New Roman" w:cs="Times New Roman"/>
                <w:b/>
                <w:bCs/>
                <w:sz w:val="20"/>
                <w:szCs w:val="20"/>
                <w:lang w:eastAsia="hu-HU"/>
              </w:rPr>
            </w:pPr>
            <w:r w:rsidRPr="73C5D9BC">
              <w:rPr>
                <w:rFonts w:ascii="Times New Roman" w:hAnsi="Times New Roman" w:cs="Times New Roman"/>
                <w:b/>
                <w:bCs/>
                <w:sz w:val="20"/>
                <w:szCs w:val="20"/>
              </w:rPr>
              <w:t>236,5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76081" w14:textId="1BCBE653" w:rsidR="00E61389" w:rsidRPr="00E61389" w:rsidRDefault="73C5D9BC" w:rsidP="73C5D9BC">
            <w:pPr>
              <w:keepNext/>
              <w:keepLines/>
              <w:spacing w:after="0" w:line="240" w:lineRule="auto"/>
              <w:jc w:val="right"/>
              <w:rPr>
                <w:rFonts w:ascii="Times New Roman" w:eastAsia="Times New Roman" w:hAnsi="Times New Roman" w:cs="Times New Roman"/>
                <w:b/>
                <w:bCs/>
                <w:sz w:val="20"/>
                <w:szCs w:val="20"/>
                <w:lang w:eastAsia="hu-HU"/>
              </w:rPr>
            </w:pPr>
            <w:r w:rsidRPr="73C5D9BC">
              <w:rPr>
                <w:rFonts w:ascii="Times New Roman" w:hAnsi="Times New Roman" w:cs="Times New Roman"/>
                <w:b/>
                <w:bCs/>
                <w:sz w:val="20"/>
                <w:szCs w:val="20"/>
              </w:rPr>
              <w:t>14,2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DF60E" w14:textId="271B9F9B" w:rsidR="00E61389" w:rsidRPr="00E61389" w:rsidRDefault="73C5D9BC" w:rsidP="73C5D9BC">
            <w:pPr>
              <w:keepNext/>
              <w:keepLines/>
              <w:spacing w:after="0" w:line="240" w:lineRule="auto"/>
              <w:jc w:val="right"/>
              <w:rPr>
                <w:rFonts w:ascii="Times New Roman" w:eastAsia="Times New Roman" w:hAnsi="Times New Roman" w:cs="Times New Roman"/>
                <w:b/>
                <w:bCs/>
                <w:sz w:val="20"/>
                <w:szCs w:val="20"/>
                <w:lang w:eastAsia="hu-HU"/>
              </w:rPr>
            </w:pPr>
            <w:r w:rsidRPr="73C5D9BC">
              <w:rPr>
                <w:rFonts w:ascii="Times New Roman" w:hAnsi="Times New Roman" w:cs="Times New Roman"/>
                <w:b/>
                <w:bCs/>
                <w:sz w:val="20"/>
                <w:szCs w:val="20"/>
              </w:rPr>
              <w:t>106,4</w:t>
            </w:r>
          </w:p>
        </w:tc>
      </w:tr>
      <w:tr w:rsidR="00E61389" w:rsidRPr="00377D59" w14:paraId="66D88640" w14:textId="77777777" w:rsidTr="73C5D9BC">
        <w:trPr>
          <w:trHeight w:val="340"/>
        </w:trPr>
        <w:tc>
          <w:tcPr>
            <w:tcW w:w="5382" w:type="dxa"/>
            <w:shd w:val="clear" w:color="auto" w:fill="auto"/>
            <w:vAlign w:val="center"/>
            <w:hideMark/>
          </w:tcPr>
          <w:p w14:paraId="4496E62C" w14:textId="77777777" w:rsidR="00E61389" w:rsidRPr="00976E1E" w:rsidRDefault="3782F5BA" w:rsidP="3782F5BA">
            <w:pPr>
              <w:keepNext/>
              <w:keepLines/>
              <w:spacing w:after="0" w:line="240" w:lineRule="auto"/>
              <w:rPr>
                <w:rFonts w:ascii="Times New Roman" w:eastAsia="Times New Roman" w:hAnsi="Times New Roman" w:cs="Times New Roman"/>
                <w:i/>
                <w:iCs/>
                <w:sz w:val="20"/>
                <w:szCs w:val="20"/>
                <w:lang w:eastAsia="hu-HU"/>
              </w:rPr>
            </w:pPr>
            <w:r w:rsidRPr="3782F5BA">
              <w:rPr>
                <w:rFonts w:ascii="Times New Roman" w:eastAsia="Times New Roman" w:hAnsi="Times New Roman" w:cs="Times New Roman"/>
                <w:i/>
                <w:iCs/>
                <w:sz w:val="20"/>
                <w:szCs w:val="20"/>
                <w:lang w:eastAsia="hu-HU"/>
              </w:rPr>
              <w:t>A helyi önkormányzatok működésének általános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6C091267" w14:textId="0AF6ACF7" w:rsidR="00E61389" w:rsidRPr="00E61389" w:rsidRDefault="73C5D9BC" w:rsidP="73C5D9BC">
            <w:pPr>
              <w:keepNext/>
              <w:keepLines/>
              <w:spacing w:after="0" w:line="240" w:lineRule="auto"/>
              <w:jc w:val="right"/>
              <w:rPr>
                <w:rFonts w:ascii="Times New Roman" w:eastAsia="Times New Roman" w:hAnsi="Times New Roman" w:cs="Times New Roman"/>
                <w:i/>
                <w:iCs/>
                <w:sz w:val="20"/>
                <w:szCs w:val="20"/>
                <w:lang w:eastAsia="hu-HU"/>
              </w:rPr>
            </w:pPr>
            <w:r w:rsidRPr="73C5D9BC">
              <w:rPr>
                <w:rFonts w:ascii="Times New Roman" w:hAnsi="Times New Roman" w:cs="Times New Roman"/>
                <w:i/>
                <w:iCs/>
                <w:sz w:val="20"/>
                <w:szCs w:val="20"/>
              </w:rPr>
              <w:t>62,6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3F341" w14:textId="6A1408A1" w:rsidR="00E61389" w:rsidRPr="00E61389" w:rsidRDefault="73C5D9BC" w:rsidP="73C5D9BC">
            <w:pPr>
              <w:keepNext/>
              <w:keepLines/>
              <w:spacing w:after="0" w:line="240" w:lineRule="auto"/>
              <w:jc w:val="right"/>
              <w:rPr>
                <w:rFonts w:ascii="Times New Roman" w:eastAsia="Times New Roman" w:hAnsi="Times New Roman" w:cs="Times New Roman"/>
                <w:i/>
                <w:iCs/>
                <w:sz w:val="20"/>
                <w:szCs w:val="20"/>
                <w:lang w:eastAsia="hu-HU"/>
              </w:rPr>
            </w:pPr>
            <w:r w:rsidRPr="73C5D9BC">
              <w:rPr>
                <w:rFonts w:ascii="Times New Roman" w:hAnsi="Times New Roman" w:cs="Times New Roman"/>
                <w:i/>
                <w:iCs/>
                <w:sz w:val="20"/>
                <w:szCs w:val="20"/>
              </w:rPr>
              <w:t>60,5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7C594" w14:textId="0587C5AB" w:rsidR="00E61389" w:rsidRPr="00E61389" w:rsidRDefault="73C5D9BC" w:rsidP="73C5D9BC">
            <w:pPr>
              <w:keepNext/>
              <w:keepLines/>
              <w:spacing w:after="0" w:line="240" w:lineRule="auto"/>
              <w:jc w:val="right"/>
              <w:rPr>
                <w:rFonts w:ascii="Times New Roman" w:eastAsia="Times New Roman" w:hAnsi="Times New Roman" w:cs="Times New Roman"/>
                <w:i/>
                <w:iCs/>
                <w:sz w:val="20"/>
                <w:szCs w:val="20"/>
                <w:lang w:eastAsia="hu-HU"/>
              </w:rPr>
            </w:pPr>
            <w:r w:rsidRPr="73C5D9BC">
              <w:rPr>
                <w:rFonts w:ascii="Times New Roman" w:hAnsi="Times New Roman" w:cs="Times New Roman"/>
                <w:i/>
                <w:iCs/>
                <w:sz w:val="20"/>
                <w:szCs w:val="20"/>
              </w:rPr>
              <w:t>-2,1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384BF" w14:textId="35C8E623" w:rsidR="00E61389" w:rsidRPr="00E61389" w:rsidRDefault="73C5D9BC" w:rsidP="73C5D9BC">
            <w:pPr>
              <w:keepNext/>
              <w:keepLines/>
              <w:spacing w:after="0" w:line="240" w:lineRule="auto"/>
              <w:jc w:val="right"/>
              <w:rPr>
                <w:rFonts w:ascii="Times New Roman" w:eastAsia="Times New Roman" w:hAnsi="Times New Roman" w:cs="Times New Roman"/>
                <w:i/>
                <w:iCs/>
                <w:sz w:val="20"/>
                <w:szCs w:val="20"/>
                <w:lang w:eastAsia="hu-HU"/>
              </w:rPr>
            </w:pPr>
            <w:r w:rsidRPr="73C5D9BC">
              <w:rPr>
                <w:rFonts w:ascii="Times New Roman" w:hAnsi="Times New Roman" w:cs="Times New Roman"/>
                <w:i/>
                <w:iCs/>
                <w:sz w:val="20"/>
                <w:szCs w:val="20"/>
              </w:rPr>
              <w:t>96,6</w:t>
            </w:r>
          </w:p>
        </w:tc>
      </w:tr>
      <w:tr w:rsidR="00E61389" w:rsidRPr="00377D59" w14:paraId="644FC967" w14:textId="77777777" w:rsidTr="73C5D9BC">
        <w:trPr>
          <w:trHeight w:val="510"/>
        </w:trPr>
        <w:tc>
          <w:tcPr>
            <w:tcW w:w="5382" w:type="dxa"/>
            <w:shd w:val="clear" w:color="auto" w:fill="auto"/>
            <w:vAlign w:val="center"/>
            <w:hideMark/>
          </w:tcPr>
          <w:p w14:paraId="1BA330A0" w14:textId="77777777" w:rsidR="00E61389" w:rsidRPr="00976E1E" w:rsidRDefault="3782F5BA" w:rsidP="3782F5BA">
            <w:pPr>
              <w:keepNext/>
              <w:keepLines/>
              <w:spacing w:after="0" w:line="240" w:lineRule="auto"/>
              <w:rPr>
                <w:rFonts w:ascii="Times New Roman" w:eastAsia="Times New Roman" w:hAnsi="Times New Roman" w:cs="Times New Roman"/>
                <w:i/>
                <w:iCs/>
                <w:sz w:val="20"/>
                <w:szCs w:val="20"/>
                <w:lang w:eastAsia="hu-HU"/>
              </w:rPr>
            </w:pPr>
            <w:r w:rsidRPr="3782F5BA">
              <w:rPr>
                <w:rFonts w:ascii="Times New Roman" w:eastAsia="Times New Roman" w:hAnsi="Times New Roman" w:cs="Times New Roman"/>
                <w:i/>
                <w:iCs/>
                <w:sz w:val="20"/>
                <w:szCs w:val="20"/>
                <w:lang w:eastAsia="hu-HU"/>
              </w:rPr>
              <w:t>A települési önkormányzatok egyes köznevelési feladatainak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5E8D28C3" w14:textId="44EC7CFC" w:rsidR="00E61389" w:rsidRPr="00E61389" w:rsidRDefault="73C5D9BC" w:rsidP="73C5D9BC">
            <w:pPr>
              <w:keepNext/>
              <w:keepLines/>
              <w:spacing w:after="0" w:line="240" w:lineRule="auto"/>
              <w:jc w:val="right"/>
              <w:rPr>
                <w:rFonts w:ascii="Times New Roman" w:eastAsia="Times New Roman" w:hAnsi="Times New Roman" w:cs="Times New Roman"/>
                <w:i/>
                <w:iCs/>
                <w:sz w:val="20"/>
                <w:szCs w:val="20"/>
                <w:lang w:eastAsia="hu-HU"/>
              </w:rPr>
            </w:pPr>
            <w:r w:rsidRPr="73C5D9BC">
              <w:rPr>
                <w:rFonts w:ascii="Times New Roman" w:hAnsi="Times New Roman" w:cs="Times New Roman"/>
                <w:i/>
                <w:iCs/>
                <w:sz w:val="20"/>
                <w:szCs w:val="20"/>
              </w:rPr>
              <w:t>70,7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1BB58" w14:textId="393F8A0D" w:rsidR="00E61389" w:rsidRPr="00E61389" w:rsidRDefault="73C5D9BC" w:rsidP="73C5D9BC">
            <w:pPr>
              <w:keepNext/>
              <w:keepLines/>
              <w:spacing w:after="0" w:line="240" w:lineRule="auto"/>
              <w:jc w:val="right"/>
              <w:rPr>
                <w:rFonts w:ascii="Times New Roman" w:eastAsia="Times New Roman" w:hAnsi="Times New Roman" w:cs="Times New Roman"/>
                <w:i/>
                <w:iCs/>
                <w:sz w:val="20"/>
                <w:szCs w:val="20"/>
                <w:lang w:eastAsia="hu-HU"/>
              </w:rPr>
            </w:pPr>
            <w:r w:rsidRPr="73C5D9BC">
              <w:rPr>
                <w:rFonts w:ascii="Times New Roman" w:hAnsi="Times New Roman" w:cs="Times New Roman"/>
                <w:i/>
                <w:iCs/>
                <w:sz w:val="20"/>
                <w:szCs w:val="20"/>
              </w:rPr>
              <w:t>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D1E80" w14:textId="72A42696" w:rsidR="00E61389" w:rsidRPr="00E61389" w:rsidRDefault="73C5D9BC" w:rsidP="73C5D9BC">
            <w:pPr>
              <w:keepNext/>
              <w:keepLines/>
              <w:spacing w:after="0" w:line="240" w:lineRule="auto"/>
              <w:jc w:val="right"/>
              <w:rPr>
                <w:rFonts w:ascii="Times New Roman" w:eastAsia="Times New Roman" w:hAnsi="Times New Roman" w:cs="Times New Roman"/>
                <w:i/>
                <w:iCs/>
                <w:sz w:val="20"/>
                <w:szCs w:val="20"/>
                <w:lang w:eastAsia="hu-HU"/>
              </w:rPr>
            </w:pPr>
            <w:r w:rsidRPr="73C5D9BC">
              <w:rPr>
                <w:rFonts w:ascii="Times New Roman" w:hAnsi="Times New Roman" w:cs="Times New Roman"/>
                <w:i/>
                <w:iCs/>
                <w:sz w:val="20"/>
                <w:szCs w:val="20"/>
              </w:rPr>
              <w:t>9,3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7CDD1" w14:textId="46EBB3DC" w:rsidR="00E61389" w:rsidRPr="00E61389" w:rsidRDefault="73C5D9BC" w:rsidP="73C5D9BC">
            <w:pPr>
              <w:keepNext/>
              <w:keepLines/>
              <w:spacing w:after="0" w:line="240" w:lineRule="auto"/>
              <w:jc w:val="right"/>
              <w:rPr>
                <w:rFonts w:ascii="Times New Roman" w:eastAsia="Times New Roman" w:hAnsi="Times New Roman" w:cs="Times New Roman"/>
                <w:i/>
                <w:iCs/>
                <w:sz w:val="20"/>
                <w:szCs w:val="20"/>
                <w:lang w:eastAsia="hu-HU"/>
              </w:rPr>
            </w:pPr>
            <w:r w:rsidRPr="73C5D9BC">
              <w:rPr>
                <w:rFonts w:ascii="Times New Roman" w:hAnsi="Times New Roman" w:cs="Times New Roman"/>
                <w:i/>
                <w:iCs/>
                <w:sz w:val="20"/>
                <w:szCs w:val="20"/>
              </w:rPr>
              <w:t>113,2</w:t>
            </w:r>
          </w:p>
        </w:tc>
      </w:tr>
      <w:tr w:rsidR="00E61389" w:rsidRPr="00377D59" w14:paraId="11F06AEB" w14:textId="77777777" w:rsidTr="73C5D9BC">
        <w:trPr>
          <w:trHeight w:val="510"/>
        </w:trPr>
        <w:tc>
          <w:tcPr>
            <w:tcW w:w="5382" w:type="dxa"/>
            <w:shd w:val="clear" w:color="auto" w:fill="auto"/>
            <w:vAlign w:val="center"/>
            <w:hideMark/>
          </w:tcPr>
          <w:p w14:paraId="63EE65A2" w14:textId="77777777" w:rsidR="00E61389" w:rsidRPr="00976E1E" w:rsidRDefault="3782F5BA" w:rsidP="3782F5BA">
            <w:pPr>
              <w:keepNext/>
              <w:keepLines/>
              <w:spacing w:after="0" w:line="240" w:lineRule="auto"/>
              <w:rPr>
                <w:rFonts w:ascii="Times New Roman" w:eastAsia="Times New Roman" w:hAnsi="Times New Roman" w:cs="Times New Roman"/>
                <w:i/>
                <w:iCs/>
                <w:sz w:val="20"/>
                <w:szCs w:val="20"/>
                <w:lang w:eastAsia="hu-HU"/>
              </w:rPr>
            </w:pPr>
            <w:r w:rsidRPr="3782F5BA">
              <w:rPr>
                <w:rFonts w:ascii="Times New Roman" w:eastAsia="Times New Roman" w:hAnsi="Times New Roman" w:cs="Times New Roman"/>
                <w:i/>
                <w:iCs/>
                <w:sz w:val="20"/>
                <w:szCs w:val="20"/>
                <w:lang w:eastAsia="hu-HU"/>
              </w:rPr>
              <w:t>A települési önkormányzatok egyes szociális, gyermekjóléti és gyermekétkeztetési feladatainak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4BBDE34C" w14:textId="09028BE2" w:rsidR="00E61389" w:rsidRPr="00E61389" w:rsidRDefault="73C5D9BC" w:rsidP="73C5D9BC">
            <w:pPr>
              <w:keepNext/>
              <w:keepLines/>
              <w:spacing w:after="0" w:line="240" w:lineRule="auto"/>
              <w:jc w:val="right"/>
              <w:rPr>
                <w:rFonts w:ascii="Times New Roman" w:eastAsia="Times New Roman" w:hAnsi="Times New Roman" w:cs="Times New Roman"/>
                <w:i/>
                <w:iCs/>
                <w:sz w:val="20"/>
                <w:szCs w:val="20"/>
                <w:lang w:eastAsia="hu-HU"/>
              </w:rPr>
            </w:pPr>
            <w:r w:rsidRPr="73C5D9BC">
              <w:rPr>
                <w:rFonts w:ascii="Times New Roman" w:hAnsi="Times New Roman" w:cs="Times New Roman"/>
                <w:i/>
                <w:iCs/>
                <w:sz w:val="20"/>
                <w:szCs w:val="20"/>
              </w:rPr>
              <w:t>84,5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5C695" w14:textId="0E48A2E5" w:rsidR="00E61389" w:rsidRPr="00E61389" w:rsidRDefault="73C5D9BC" w:rsidP="73C5D9BC">
            <w:pPr>
              <w:keepNext/>
              <w:keepLines/>
              <w:spacing w:after="0" w:line="240" w:lineRule="auto"/>
              <w:jc w:val="right"/>
              <w:rPr>
                <w:rFonts w:ascii="Times New Roman" w:eastAsia="Times New Roman" w:hAnsi="Times New Roman" w:cs="Times New Roman"/>
                <w:i/>
                <w:iCs/>
                <w:sz w:val="20"/>
                <w:szCs w:val="20"/>
                <w:lang w:eastAsia="hu-HU"/>
              </w:rPr>
            </w:pPr>
            <w:r w:rsidRPr="73C5D9BC">
              <w:rPr>
                <w:rFonts w:ascii="Times New Roman" w:hAnsi="Times New Roman" w:cs="Times New Roman"/>
                <w:i/>
                <w:iCs/>
                <w:sz w:val="20"/>
                <w:szCs w:val="20"/>
              </w:rPr>
              <w:t>91,5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01228" w14:textId="2DB89229" w:rsidR="00E61389" w:rsidRPr="00E61389" w:rsidRDefault="73C5D9BC" w:rsidP="73C5D9BC">
            <w:pPr>
              <w:keepNext/>
              <w:keepLines/>
              <w:spacing w:after="0" w:line="240" w:lineRule="auto"/>
              <w:jc w:val="right"/>
              <w:rPr>
                <w:rFonts w:ascii="Times New Roman" w:eastAsia="Times New Roman" w:hAnsi="Times New Roman" w:cs="Times New Roman"/>
                <w:i/>
                <w:iCs/>
                <w:sz w:val="20"/>
                <w:szCs w:val="20"/>
                <w:lang w:eastAsia="hu-HU"/>
              </w:rPr>
            </w:pPr>
            <w:r w:rsidRPr="73C5D9BC">
              <w:rPr>
                <w:rFonts w:ascii="Times New Roman" w:hAnsi="Times New Roman" w:cs="Times New Roman"/>
                <w:i/>
                <w:iCs/>
                <w:sz w:val="20"/>
                <w:szCs w:val="20"/>
              </w:rPr>
              <w:t>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53BB5" w14:textId="58E857F2" w:rsidR="00E61389" w:rsidRPr="00E61389" w:rsidRDefault="73C5D9BC" w:rsidP="73C5D9BC">
            <w:pPr>
              <w:keepNext/>
              <w:keepLines/>
              <w:spacing w:after="0" w:line="240" w:lineRule="auto"/>
              <w:jc w:val="right"/>
              <w:rPr>
                <w:rFonts w:ascii="Times New Roman" w:eastAsia="Times New Roman" w:hAnsi="Times New Roman" w:cs="Times New Roman"/>
                <w:i/>
                <w:iCs/>
                <w:sz w:val="20"/>
                <w:szCs w:val="20"/>
                <w:lang w:eastAsia="hu-HU"/>
              </w:rPr>
            </w:pPr>
            <w:r w:rsidRPr="73C5D9BC">
              <w:rPr>
                <w:rFonts w:ascii="Times New Roman" w:hAnsi="Times New Roman" w:cs="Times New Roman"/>
                <w:i/>
                <w:iCs/>
                <w:sz w:val="20"/>
                <w:szCs w:val="20"/>
              </w:rPr>
              <w:t>108,3</w:t>
            </w:r>
          </w:p>
        </w:tc>
      </w:tr>
      <w:tr w:rsidR="00E61389" w:rsidRPr="00377D59" w14:paraId="1FC403F4" w14:textId="77777777" w:rsidTr="73C5D9BC">
        <w:trPr>
          <w:trHeight w:val="340"/>
        </w:trPr>
        <w:tc>
          <w:tcPr>
            <w:tcW w:w="5382" w:type="dxa"/>
            <w:shd w:val="clear" w:color="auto" w:fill="auto"/>
            <w:vAlign w:val="center"/>
            <w:hideMark/>
          </w:tcPr>
          <w:p w14:paraId="4F427CE2" w14:textId="77777777" w:rsidR="00E61389" w:rsidRPr="00976E1E" w:rsidRDefault="3782F5BA" w:rsidP="3782F5BA">
            <w:pPr>
              <w:keepNext/>
              <w:keepLines/>
              <w:spacing w:after="0" w:line="240" w:lineRule="auto"/>
              <w:rPr>
                <w:rFonts w:ascii="Times New Roman" w:eastAsia="Times New Roman" w:hAnsi="Times New Roman" w:cs="Times New Roman"/>
                <w:i/>
                <w:iCs/>
                <w:sz w:val="20"/>
                <w:szCs w:val="20"/>
                <w:lang w:eastAsia="hu-HU"/>
              </w:rPr>
            </w:pPr>
            <w:r w:rsidRPr="3782F5BA">
              <w:rPr>
                <w:rFonts w:ascii="Times New Roman" w:eastAsia="Times New Roman" w:hAnsi="Times New Roman" w:cs="Times New Roman"/>
                <w:i/>
                <w:iCs/>
                <w:sz w:val="20"/>
                <w:szCs w:val="20"/>
                <w:lang w:eastAsia="hu-HU"/>
              </w:rPr>
              <w:t>A települési önkormányzatok kulturális feladatainak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44BDB6D4" w14:textId="0580BB17" w:rsidR="00E61389" w:rsidRPr="00E61389" w:rsidRDefault="73C5D9BC" w:rsidP="73C5D9BC">
            <w:pPr>
              <w:keepNext/>
              <w:keepLines/>
              <w:spacing w:after="0" w:line="240" w:lineRule="auto"/>
              <w:jc w:val="right"/>
              <w:rPr>
                <w:rFonts w:ascii="Times New Roman" w:eastAsia="Times New Roman" w:hAnsi="Times New Roman" w:cs="Times New Roman"/>
                <w:i/>
                <w:iCs/>
                <w:sz w:val="20"/>
                <w:szCs w:val="20"/>
                <w:lang w:eastAsia="hu-HU"/>
              </w:rPr>
            </w:pPr>
            <w:r w:rsidRPr="73C5D9BC">
              <w:rPr>
                <w:rFonts w:ascii="Times New Roman" w:hAnsi="Times New Roman" w:cs="Times New Roman"/>
                <w:i/>
                <w:iCs/>
                <w:sz w:val="20"/>
                <w:szCs w:val="20"/>
              </w:rPr>
              <w:t>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BBCDB" w14:textId="38EBC70F" w:rsidR="00E61389" w:rsidRPr="00E61389" w:rsidRDefault="73C5D9BC" w:rsidP="73C5D9BC">
            <w:pPr>
              <w:keepNext/>
              <w:keepLines/>
              <w:spacing w:after="0" w:line="240" w:lineRule="auto"/>
              <w:jc w:val="right"/>
              <w:rPr>
                <w:rFonts w:ascii="Times New Roman" w:eastAsia="Times New Roman" w:hAnsi="Times New Roman" w:cs="Times New Roman"/>
                <w:i/>
                <w:iCs/>
                <w:sz w:val="20"/>
                <w:szCs w:val="20"/>
                <w:lang w:eastAsia="hu-HU"/>
              </w:rPr>
            </w:pPr>
            <w:r w:rsidRPr="73C5D9BC">
              <w:rPr>
                <w:rFonts w:ascii="Times New Roman" w:hAnsi="Times New Roman" w:cs="Times New Roman"/>
                <w:i/>
                <w:iCs/>
                <w:sz w:val="20"/>
                <w:szCs w:val="20"/>
              </w:rPr>
              <w:t>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8EF3A" w14:textId="65DC0484" w:rsidR="00E61389" w:rsidRPr="00E61389" w:rsidRDefault="73C5D9BC" w:rsidP="73C5D9BC">
            <w:pPr>
              <w:keepNext/>
              <w:keepLines/>
              <w:spacing w:after="0" w:line="240" w:lineRule="auto"/>
              <w:jc w:val="right"/>
              <w:rPr>
                <w:rFonts w:ascii="Times New Roman" w:eastAsia="Times New Roman" w:hAnsi="Times New Roman" w:cs="Times New Roman"/>
                <w:i/>
                <w:iCs/>
                <w:sz w:val="20"/>
                <w:szCs w:val="20"/>
                <w:lang w:eastAsia="hu-HU"/>
              </w:rPr>
            </w:pPr>
            <w:r w:rsidRPr="73C5D9BC">
              <w:rPr>
                <w:rFonts w:ascii="Times New Roman" w:hAnsi="Times New Roman" w:cs="Times New Roman"/>
                <w:i/>
                <w:iCs/>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83D2" w14:textId="33AA3264" w:rsidR="00E61389" w:rsidRPr="00E61389" w:rsidRDefault="73C5D9BC" w:rsidP="73C5D9BC">
            <w:pPr>
              <w:keepNext/>
              <w:keepLines/>
              <w:spacing w:after="0" w:line="240" w:lineRule="auto"/>
              <w:jc w:val="right"/>
              <w:rPr>
                <w:rFonts w:ascii="Times New Roman" w:eastAsia="Times New Roman" w:hAnsi="Times New Roman" w:cs="Times New Roman"/>
                <w:i/>
                <w:iCs/>
                <w:sz w:val="20"/>
                <w:szCs w:val="20"/>
                <w:lang w:eastAsia="hu-HU"/>
              </w:rPr>
            </w:pPr>
            <w:r w:rsidRPr="73C5D9BC">
              <w:rPr>
                <w:rFonts w:ascii="Times New Roman" w:hAnsi="Times New Roman" w:cs="Times New Roman"/>
                <w:i/>
                <w:iCs/>
                <w:sz w:val="20"/>
                <w:szCs w:val="20"/>
              </w:rPr>
              <w:t>100,0</w:t>
            </w:r>
          </w:p>
        </w:tc>
      </w:tr>
      <w:tr w:rsidR="00E61389" w:rsidRPr="00377D59" w14:paraId="44EF96BF" w14:textId="77777777" w:rsidTr="73C5D9BC">
        <w:trPr>
          <w:trHeight w:val="340"/>
        </w:trPr>
        <w:tc>
          <w:tcPr>
            <w:tcW w:w="5382" w:type="dxa"/>
            <w:shd w:val="clear" w:color="auto" w:fill="auto"/>
            <w:vAlign w:val="center"/>
            <w:hideMark/>
          </w:tcPr>
          <w:p w14:paraId="3DD87A70" w14:textId="766307B5" w:rsidR="00E61389" w:rsidRPr="00976E1E" w:rsidRDefault="3782F5BA" w:rsidP="3782F5BA">
            <w:pPr>
              <w:keepNext/>
              <w:keepLines/>
              <w:spacing w:after="0" w:line="240" w:lineRule="auto"/>
              <w:rPr>
                <w:rFonts w:ascii="Times New Roman" w:eastAsia="Times New Roman" w:hAnsi="Times New Roman" w:cs="Times New Roman"/>
                <w:b/>
                <w:bCs/>
                <w:sz w:val="20"/>
                <w:szCs w:val="20"/>
                <w:lang w:eastAsia="hu-HU"/>
              </w:rPr>
            </w:pPr>
            <w:r w:rsidRPr="3782F5BA">
              <w:rPr>
                <w:rFonts w:ascii="Times New Roman" w:eastAsia="Times New Roman" w:hAnsi="Times New Roman" w:cs="Times New Roman"/>
                <w:b/>
                <w:bCs/>
                <w:sz w:val="20"/>
                <w:szCs w:val="20"/>
                <w:lang w:eastAsia="hu-HU"/>
              </w:rPr>
              <w:t>Helyi önkormányzatok kiegészítő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34DDE983" w14:textId="1B7C636D" w:rsidR="00E61389" w:rsidRPr="00E61389" w:rsidRDefault="73C5D9BC" w:rsidP="73C5D9BC">
            <w:pPr>
              <w:keepNext/>
              <w:keepLines/>
              <w:spacing w:after="0" w:line="240" w:lineRule="auto"/>
              <w:jc w:val="right"/>
              <w:rPr>
                <w:rFonts w:ascii="Times New Roman" w:eastAsia="Times New Roman" w:hAnsi="Times New Roman" w:cs="Times New Roman"/>
                <w:b/>
                <w:bCs/>
                <w:sz w:val="20"/>
                <w:szCs w:val="20"/>
                <w:lang w:eastAsia="hu-HU"/>
              </w:rPr>
            </w:pPr>
            <w:r w:rsidRPr="73C5D9BC">
              <w:rPr>
                <w:rFonts w:ascii="Times New Roman" w:hAnsi="Times New Roman" w:cs="Times New Roman"/>
                <w:b/>
                <w:bCs/>
                <w:sz w:val="20"/>
                <w:szCs w:val="20"/>
              </w:rPr>
              <w:t>12,1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423BA" w14:textId="1ED46DD9" w:rsidR="00E61389" w:rsidRPr="00E61389" w:rsidRDefault="73C5D9BC" w:rsidP="00D258D9">
            <w:pPr>
              <w:keepNext/>
              <w:keepLines/>
              <w:spacing w:after="0" w:line="240" w:lineRule="auto"/>
              <w:jc w:val="right"/>
              <w:rPr>
                <w:rFonts w:ascii="Times New Roman" w:eastAsia="Times New Roman" w:hAnsi="Times New Roman" w:cs="Times New Roman"/>
                <w:b/>
                <w:bCs/>
                <w:sz w:val="20"/>
                <w:szCs w:val="20"/>
                <w:lang w:eastAsia="hu-HU"/>
              </w:rPr>
            </w:pPr>
            <w:r w:rsidRPr="73C5D9BC">
              <w:rPr>
                <w:rFonts w:ascii="Times New Roman" w:hAnsi="Times New Roman" w:cs="Times New Roman"/>
                <w:b/>
                <w:bCs/>
                <w:sz w:val="20"/>
                <w:szCs w:val="20"/>
              </w:rPr>
              <w:t>2</w:t>
            </w:r>
            <w:r w:rsidR="00D258D9">
              <w:rPr>
                <w:rFonts w:ascii="Times New Roman" w:hAnsi="Times New Roman" w:cs="Times New Roman"/>
                <w:b/>
                <w:bCs/>
                <w:sz w:val="20"/>
                <w:szCs w:val="20"/>
              </w:rPr>
              <w:t>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B67F0" w14:textId="106629C2" w:rsidR="00E61389" w:rsidRPr="00E61389" w:rsidRDefault="73C5D9BC" w:rsidP="73C5D9BC">
            <w:pPr>
              <w:keepNext/>
              <w:keepLines/>
              <w:spacing w:after="0" w:line="240" w:lineRule="auto"/>
              <w:jc w:val="right"/>
              <w:rPr>
                <w:rFonts w:ascii="Times New Roman" w:eastAsia="Times New Roman" w:hAnsi="Times New Roman" w:cs="Times New Roman"/>
                <w:b/>
                <w:bCs/>
                <w:sz w:val="20"/>
                <w:szCs w:val="20"/>
                <w:lang w:eastAsia="hu-HU"/>
              </w:rPr>
            </w:pPr>
            <w:r w:rsidRPr="73C5D9BC">
              <w:rPr>
                <w:rFonts w:ascii="Times New Roman" w:hAnsi="Times New Roman" w:cs="Times New Roman"/>
                <w:b/>
                <w:bCs/>
                <w:sz w:val="20"/>
                <w:szCs w:val="20"/>
              </w:rPr>
              <w:t>1</w:t>
            </w:r>
            <w:r w:rsidR="00D258D9">
              <w:rPr>
                <w:rFonts w:ascii="Times New Roman" w:hAnsi="Times New Roman" w:cs="Times New Roman"/>
                <w:b/>
                <w:bCs/>
                <w:sz w:val="20"/>
                <w:szCs w:val="20"/>
              </w:rPr>
              <w:t>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F6C6E" w14:textId="516AC56A" w:rsidR="00E61389" w:rsidRPr="00E61389" w:rsidRDefault="73C5D9BC" w:rsidP="00236BF8">
            <w:pPr>
              <w:keepNext/>
              <w:keepLines/>
              <w:spacing w:after="0" w:line="240" w:lineRule="auto"/>
              <w:jc w:val="right"/>
              <w:rPr>
                <w:rFonts w:ascii="Times New Roman" w:eastAsia="Times New Roman" w:hAnsi="Times New Roman" w:cs="Times New Roman"/>
                <w:b/>
                <w:bCs/>
                <w:sz w:val="20"/>
                <w:szCs w:val="20"/>
                <w:lang w:eastAsia="hu-HU"/>
              </w:rPr>
            </w:pPr>
            <w:r w:rsidRPr="73C5D9BC">
              <w:rPr>
                <w:rFonts w:ascii="Times New Roman" w:hAnsi="Times New Roman" w:cs="Times New Roman"/>
                <w:b/>
                <w:bCs/>
                <w:sz w:val="20"/>
                <w:szCs w:val="20"/>
              </w:rPr>
              <w:t>19</w:t>
            </w:r>
            <w:r w:rsidR="00236BF8">
              <w:rPr>
                <w:rFonts w:ascii="Times New Roman" w:hAnsi="Times New Roman" w:cs="Times New Roman"/>
                <w:b/>
                <w:bCs/>
                <w:sz w:val="20"/>
                <w:szCs w:val="20"/>
              </w:rPr>
              <w:t>8,3</w:t>
            </w:r>
          </w:p>
        </w:tc>
      </w:tr>
      <w:tr w:rsidR="00E61389" w:rsidRPr="00377D59" w14:paraId="648C3F54" w14:textId="77777777" w:rsidTr="73C5D9BC">
        <w:trPr>
          <w:trHeight w:val="340"/>
        </w:trPr>
        <w:tc>
          <w:tcPr>
            <w:tcW w:w="5382" w:type="dxa"/>
            <w:shd w:val="clear" w:color="auto" w:fill="auto"/>
            <w:vAlign w:val="center"/>
            <w:hideMark/>
          </w:tcPr>
          <w:p w14:paraId="3676EE9C" w14:textId="4925EF27" w:rsidR="00E61389" w:rsidRPr="00976E1E" w:rsidRDefault="3782F5BA" w:rsidP="3782F5BA">
            <w:pPr>
              <w:keepNext/>
              <w:keepLines/>
              <w:spacing w:after="0" w:line="240" w:lineRule="auto"/>
              <w:rPr>
                <w:rFonts w:ascii="Times New Roman" w:eastAsia="Times New Roman" w:hAnsi="Times New Roman" w:cs="Times New Roman"/>
                <w:b/>
                <w:bCs/>
                <w:sz w:val="20"/>
                <w:szCs w:val="20"/>
                <w:lang w:eastAsia="hu-HU"/>
              </w:rPr>
            </w:pPr>
            <w:r w:rsidRPr="3782F5BA">
              <w:rPr>
                <w:rFonts w:ascii="Times New Roman" w:eastAsia="Times New Roman" w:hAnsi="Times New Roman" w:cs="Times New Roman"/>
                <w:b/>
                <w:bCs/>
                <w:sz w:val="20"/>
                <w:szCs w:val="20"/>
                <w:lang w:eastAsia="hu-HU"/>
              </w:rPr>
              <w:t>Év közben létrejött új jogcímek kiadásai</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0BACAC9E" w14:textId="23612533" w:rsidR="00E61389" w:rsidRPr="00E61389" w:rsidRDefault="73C5D9BC" w:rsidP="73C5D9BC">
            <w:pPr>
              <w:keepNext/>
              <w:keepLines/>
              <w:spacing w:after="0" w:line="240" w:lineRule="auto"/>
              <w:jc w:val="right"/>
              <w:rPr>
                <w:rFonts w:ascii="Times New Roman" w:eastAsia="Times New Roman" w:hAnsi="Times New Roman" w:cs="Times New Roman"/>
                <w:b/>
                <w:bCs/>
                <w:sz w:val="20"/>
                <w:szCs w:val="20"/>
                <w:lang w:eastAsia="hu-HU"/>
              </w:rPr>
            </w:pPr>
            <w:r w:rsidRPr="73C5D9BC">
              <w:rPr>
                <w:rFonts w:ascii="Times New Roman" w:hAnsi="Times New Roman" w:cs="Times New Roman"/>
                <w:b/>
                <w:bCs/>
                <w:sz w:val="20"/>
                <w:szCs w:val="20"/>
              </w:rPr>
              <w:t>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6E9FC" w14:textId="0DF5EB6B" w:rsidR="00E61389" w:rsidRPr="00E61389" w:rsidRDefault="73C5D9BC" w:rsidP="00D258D9">
            <w:pPr>
              <w:keepNext/>
              <w:keepLines/>
              <w:spacing w:after="0" w:line="240" w:lineRule="auto"/>
              <w:jc w:val="right"/>
              <w:rPr>
                <w:rFonts w:ascii="Times New Roman" w:eastAsia="Times New Roman" w:hAnsi="Times New Roman" w:cs="Times New Roman"/>
                <w:b/>
                <w:bCs/>
                <w:sz w:val="20"/>
                <w:szCs w:val="20"/>
                <w:lang w:eastAsia="hu-HU"/>
              </w:rPr>
            </w:pPr>
            <w:r w:rsidRPr="73C5D9BC">
              <w:rPr>
                <w:rFonts w:ascii="Times New Roman" w:hAnsi="Times New Roman" w:cs="Times New Roman"/>
                <w:b/>
                <w:bCs/>
                <w:sz w:val="20"/>
                <w:szCs w:val="20"/>
              </w:rPr>
              <w:t>0,</w:t>
            </w:r>
            <w:r w:rsidR="00D258D9">
              <w:rPr>
                <w:rFonts w:ascii="Times New Roman" w:hAnsi="Times New Roman" w:cs="Times New Roman"/>
                <w:b/>
                <w:bCs/>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B586A" w14:textId="1355DEF1" w:rsidR="00E61389" w:rsidRPr="00E61389" w:rsidRDefault="73C5D9BC" w:rsidP="00D258D9">
            <w:pPr>
              <w:keepNext/>
              <w:keepLines/>
              <w:spacing w:after="0" w:line="240" w:lineRule="auto"/>
              <w:jc w:val="right"/>
              <w:rPr>
                <w:rFonts w:ascii="Times New Roman" w:eastAsia="Times New Roman" w:hAnsi="Times New Roman" w:cs="Times New Roman"/>
                <w:b/>
                <w:bCs/>
                <w:sz w:val="20"/>
                <w:szCs w:val="20"/>
                <w:lang w:eastAsia="hu-HU"/>
              </w:rPr>
            </w:pPr>
            <w:r w:rsidRPr="73C5D9BC">
              <w:rPr>
                <w:rFonts w:ascii="Times New Roman" w:hAnsi="Times New Roman" w:cs="Times New Roman"/>
                <w:b/>
                <w:bCs/>
                <w:sz w:val="20"/>
                <w:szCs w:val="20"/>
              </w:rPr>
              <w:t>-1,</w:t>
            </w:r>
            <w:r w:rsidR="00D258D9">
              <w:rPr>
                <w:rFonts w:ascii="Times New Roman" w:hAnsi="Times New Roman" w:cs="Times New Roman"/>
                <w:b/>
                <w:bCs/>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BBBB0" w14:textId="7295CE10" w:rsidR="00E61389" w:rsidRPr="00E61389" w:rsidRDefault="00236BF8" w:rsidP="73C5D9BC">
            <w:pPr>
              <w:keepNext/>
              <w:keepLines/>
              <w:spacing w:after="0" w:line="240" w:lineRule="auto"/>
              <w:jc w:val="right"/>
              <w:rPr>
                <w:rFonts w:ascii="Times New Roman" w:eastAsia="Times New Roman" w:hAnsi="Times New Roman" w:cs="Times New Roman"/>
                <w:b/>
                <w:bCs/>
                <w:sz w:val="20"/>
                <w:szCs w:val="20"/>
                <w:lang w:eastAsia="hu-HU"/>
              </w:rPr>
            </w:pPr>
            <w:r>
              <w:rPr>
                <w:rFonts w:ascii="Times New Roman" w:hAnsi="Times New Roman" w:cs="Times New Roman"/>
                <w:b/>
                <w:bCs/>
                <w:sz w:val="20"/>
                <w:szCs w:val="20"/>
              </w:rPr>
              <w:t>10,5</w:t>
            </w:r>
          </w:p>
        </w:tc>
      </w:tr>
      <w:tr w:rsidR="00E61389" w:rsidRPr="00377D59" w14:paraId="60064293" w14:textId="77777777" w:rsidTr="73C5D9BC">
        <w:trPr>
          <w:trHeight w:val="340"/>
        </w:trPr>
        <w:tc>
          <w:tcPr>
            <w:tcW w:w="5382" w:type="dxa"/>
            <w:shd w:val="clear" w:color="auto" w:fill="auto"/>
            <w:noWrap/>
            <w:vAlign w:val="center"/>
            <w:hideMark/>
          </w:tcPr>
          <w:p w14:paraId="73666509" w14:textId="770E1DDA" w:rsidR="00E61389" w:rsidRPr="00976E1E" w:rsidRDefault="3782F5BA" w:rsidP="3782F5BA">
            <w:pPr>
              <w:widowControl w:val="0"/>
              <w:spacing w:after="0" w:line="240" w:lineRule="auto"/>
              <w:rPr>
                <w:rFonts w:ascii="Times New Roman" w:eastAsia="Times New Roman" w:hAnsi="Times New Roman" w:cs="Times New Roman"/>
                <w:b/>
                <w:bCs/>
                <w:sz w:val="20"/>
                <w:szCs w:val="20"/>
                <w:lang w:eastAsia="hu-HU"/>
              </w:rPr>
            </w:pPr>
            <w:r w:rsidRPr="3782F5BA">
              <w:rPr>
                <w:rFonts w:ascii="Times New Roman" w:eastAsia="Times New Roman" w:hAnsi="Times New Roman" w:cs="Times New Roman"/>
                <w:b/>
                <w:bCs/>
                <w:sz w:val="20"/>
                <w:szCs w:val="20"/>
                <w:lang w:eastAsia="hu-HU"/>
              </w:rPr>
              <w:t>Összesen</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3A3EFD36" w14:textId="2D48698A" w:rsidR="00E61389" w:rsidRPr="00E61389" w:rsidRDefault="73C5D9BC" w:rsidP="73C5D9BC">
            <w:pPr>
              <w:keepNext/>
              <w:keepLines/>
              <w:spacing w:after="0" w:line="240" w:lineRule="auto"/>
              <w:jc w:val="right"/>
              <w:rPr>
                <w:rFonts w:ascii="Times New Roman" w:eastAsia="Times New Roman" w:hAnsi="Times New Roman" w:cs="Times New Roman"/>
                <w:b/>
                <w:bCs/>
                <w:sz w:val="20"/>
                <w:szCs w:val="20"/>
                <w:lang w:eastAsia="hu-HU"/>
              </w:rPr>
            </w:pPr>
            <w:r w:rsidRPr="73C5D9BC">
              <w:rPr>
                <w:rFonts w:ascii="Times New Roman" w:hAnsi="Times New Roman" w:cs="Times New Roman"/>
                <w:b/>
                <w:bCs/>
                <w:sz w:val="20"/>
                <w:szCs w:val="20"/>
              </w:rPr>
              <w:t>236,3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4CCAC" w14:textId="46E9EABF" w:rsidR="00E61389" w:rsidRPr="00E61389" w:rsidRDefault="73C5D9BC" w:rsidP="73C5D9BC">
            <w:pPr>
              <w:keepNext/>
              <w:keepLines/>
              <w:spacing w:after="0" w:line="240" w:lineRule="auto"/>
              <w:jc w:val="right"/>
              <w:rPr>
                <w:rFonts w:ascii="Times New Roman" w:eastAsia="Times New Roman" w:hAnsi="Times New Roman" w:cs="Times New Roman"/>
                <w:b/>
                <w:bCs/>
                <w:sz w:val="20"/>
                <w:szCs w:val="20"/>
                <w:lang w:eastAsia="hu-HU"/>
              </w:rPr>
            </w:pPr>
            <w:r w:rsidRPr="73C5D9BC">
              <w:rPr>
                <w:rFonts w:ascii="Times New Roman" w:hAnsi="Times New Roman" w:cs="Times New Roman"/>
                <w:b/>
                <w:bCs/>
                <w:sz w:val="20"/>
                <w:szCs w:val="20"/>
              </w:rPr>
              <w:t>260,7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CA3FA" w14:textId="16CF0E83" w:rsidR="00E61389" w:rsidRPr="00E61389" w:rsidRDefault="73C5D9BC" w:rsidP="73C5D9BC">
            <w:pPr>
              <w:keepNext/>
              <w:keepLines/>
              <w:spacing w:after="0" w:line="240" w:lineRule="auto"/>
              <w:jc w:val="right"/>
              <w:rPr>
                <w:rFonts w:ascii="Times New Roman" w:eastAsia="Times New Roman" w:hAnsi="Times New Roman" w:cs="Times New Roman"/>
                <w:b/>
                <w:bCs/>
                <w:sz w:val="20"/>
                <w:szCs w:val="20"/>
                <w:lang w:eastAsia="hu-HU"/>
              </w:rPr>
            </w:pPr>
            <w:r w:rsidRPr="73C5D9BC">
              <w:rPr>
                <w:rFonts w:ascii="Times New Roman" w:hAnsi="Times New Roman" w:cs="Times New Roman"/>
                <w:b/>
                <w:bCs/>
                <w:sz w:val="20"/>
                <w:szCs w:val="20"/>
              </w:rPr>
              <w:t>24,4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B57DC" w14:textId="7C11C8CC" w:rsidR="00E61389" w:rsidRPr="00E61389" w:rsidRDefault="73C5D9BC" w:rsidP="73C5D9BC">
            <w:pPr>
              <w:keepNext/>
              <w:keepLines/>
              <w:spacing w:after="0" w:line="240" w:lineRule="auto"/>
              <w:jc w:val="right"/>
              <w:rPr>
                <w:rFonts w:ascii="Times New Roman" w:eastAsia="Times New Roman" w:hAnsi="Times New Roman" w:cs="Times New Roman"/>
                <w:b/>
                <w:bCs/>
                <w:sz w:val="20"/>
                <w:szCs w:val="20"/>
                <w:lang w:eastAsia="hu-HU"/>
              </w:rPr>
            </w:pPr>
            <w:r w:rsidRPr="73C5D9BC">
              <w:rPr>
                <w:rFonts w:ascii="Times New Roman" w:hAnsi="Times New Roman" w:cs="Times New Roman"/>
                <w:b/>
                <w:bCs/>
                <w:sz w:val="20"/>
                <w:szCs w:val="20"/>
              </w:rPr>
              <w:t>110,3</w:t>
            </w:r>
          </w:p>
        </w:tc>
      </w:tr>
    </w:tbl>
    <w:p w14:paraId="38664272" w14:textId="1D6E2BA7" w:rsidR="74B9DF17" w:rsidRDefault="3782F5BA" w:rsidP="00C224F5">
      <w:pPr>
        <w:spacing w:before="240"/>
        <w:jc w:val="both"/>
      </w:pPr>
      <w:r w:rsidRPr="3782F5BA">
        <w:rPr>
          <w:rFonts w:ascii="Times New Roman" w:eastAsia="Times New Roman" w:hAnsi="Times New Roman" w:cs="Times New Roman"/>
          <w:sz w:val="26"/>
          <w:szCs w:val="26"/>
        </w:rPr>
        <w:t xml:space="preserve">Az </w:t>
      </w:r>
      <w:r w:rsidRPr="3782F5BA">
        <w:rPr>
          <w:rFonts w:ascii="Times New Roman" w:eastAsia="Times New Roman" w:hAnsi="Times New Roman" w:cs="Times New Roman"/>
          <w:b/>
          <w:bCs/>
          <w:sz w:val="26"/>
          <w:szCs w:val="26"/>
        </w:rPr>
        <w:t>Uniós programok kiadásai</w:t>
      </w:r>
      <w:r w:rsidRPr="3782F5BA">
        <w:rPr>
          <w:rFonts w:ascii="Times New Roman" w:eastAsia="Times New Roman" w:hAnsi="Times New Roman" w:cs="Times New Roman"/>
          <w:i/>
          <w:iCs/>
          <w:sz w:val="26"/>
          <w:szCs w:val="26"/>
        </w:rPr>
        <w:t xml:space="preserve"> </w:t>
      </w:r>
      <w:r w:rsidRPr="3782F5BA">
        <w:rPr>
          <w:rFonts w:ascii="Times New Roman" w:eastAsia="Times New Roman" w:hAnsi="Times New Roman" w:cs="Times New Roman"/>
          <w:sz w:val="26"/>
          <w:szCs w:val="26"/>
        </w:rPr>
        <w:t>mérlegsoron 2025. február végéig 301,0</w:t>
      </w:r>
      <w:r w:rsidR="0055132B">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 összegű kifizetés történt, amel</w:t>
      </w:r>
      <w:r w:rsidR="00C224F5">
        <w:rPr>
          <w:rFonts w:ascii="Times New Roman" w:eastAsia="Times New Roman" w:hAnsi="Times New Roman" w:cs="Times New Roman"/>
          <w:sz w:val="26"/>
          <w:szCs w:val="26"/>
        </w:rPr>
        <w:t>y a törvényi előirányzat (3 023,8</w:t>
      </w:r>
      <w:r w:rsidR="0055132B">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 10,0%-os teljesítését jelenti. A felmerült kiadások több mint felét a 2021-2027-es Széchenyi Plusz programjai adták.</w:t>
      </w:r>
    </w:p>
    <w:p w14:paraId="6ABC464B" w14:textId="0DF721CE" w:rsidR="74B9DF17" w:rsidRDefault="3782F5BA" w:rsidP="00C224F5">
      <w:pPr>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A legnagyobb összegű kifizetéseket ezen időszakban a Széchenyi Terv Plusz operatív programok közül a Terület- és Településfejlesztési OP (TOP Plusz) és a Környezeti és Energiahatékonysági OP (KEHOP Plusz) teljesítette. Kiemelkedők továbbá a Helyreállítási és Ellenállóképességi Eszköz (RRF) kiadásai, valamint a Vidékfejlesztési Program és a KAP Stratégiai Terv Vidékfejlesztési Intézkedéseinek kifizetése.</w:t>
      </w:r>
    </w:p>
    <w:p w14:paraId="0EE0B389" w14:textId="5EB2AAF7" w:rsidR="029C2633" w:rsidRPr="00026266" w:rsidRDefault="3782F5BA" w:rsidP="00C224F5">
      <w:pPr>
        <w:keepLines/>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 xml:space="preserve">Az </w:t>
      </w:r>
      <w:r w:rsidRPr="3782F5BA">
        <w:rPr>
          <w:rFonts w:ascii="Times New Roman" w:eastAsia="Times New Roman" w:hAnsi="Times New Roman" w:cs="Times New Roman"/>
          <w:b/>
          <w:bCs/>
          <w:sz w:val="26"/>
          <w:szCs w:val="26"/>
        </w:rPr>
        <w:t>állami vagyonnal kapcsolatos kiadások</w:t>
      </w:r>
      <w:r w:rsidRPr="3782F5BA">
        <w:rPr>
          <w:rFonts w:ascii="Times New Roman" w:eastAsia="Times New Roman" w:hAnsi="Times New Roman" w:cs="Times New Roman"/>
          <w:sz w:val="26"/>
          <w:szCs w:val="26"/>
        </w:rPr>
        <w:t xml:space="preserve"> 2025 első </w:t>
      </w:r>
      <w:r w:rsidR="0055132B">
        <w:rPr>
          <w:rFonts w:ascii="Times New Roman" w:eastAsia="Times New Roman" w:hAnsi="Times New Roman" w:cs="Times New Roman"/>
          <w:sz w:val="26"/>
          <w:szCs w:val="26"/>
        </w:rPr>
        <w:t>két</w:t>
      </w:r>
      <w:r w:rsidR="00F632DF">
        <w:rPr>
          <w:rFonts w:ascii="Times New Roman" w:eastAsia="Times New Roman" w:hAnsi="Times New Roman" w:cs="Times New Roman"/>
          <w:sz w:val="26"/>
          <w:szCs w:val="26"/>
        </w:rPr>
        <w:t xml:space="preserve">havi összege </w:t>
      </w:r>
      <w:r w:rsidR="00F632DF" w:rsidRPr="00F632DF">
        <w:rPr>
          <w:rFonts w:ascii="Times New Roman" w:eastAsia="Times New Roman" w:hAnsi="Times New Roman" w:cs="Times New Roman"/>
          <w:sz w:val="26"/>
          <w:szCs w:val="26"/>
        </w:rPr>
        <w:t>16</w:t>
      </w:r>
      <w:r w:rsidR="00F632DF">
        <w:rPr>
          <w:rFonts w:ascii="Times New Roman" w:eastAsia="Times New Roman" w:hAnsi="Times New Roman" w:cs="Times New Roman"/>
          <w:sz w:val="26"/>
          <w:szCs w:val="26"/>
        </w:rPr>
        <w:t>0,6</w:t>
      </w:r>
      <w:r w:rsidR="00CF5F2A">
        <w:rPr>
          <w:rFonts w:ascii="Times New Roman" w:eastAsia="Times New Roman" w:hAnsi="Times New Roman" w:cs="Times New Roman"/>
          <w:sz w:val="26"/>
          <w:szCs w:val="26"/>
        </w:rPr>
        <w:t> </w:t>
      </w:r>
      <w:r w:rsidR="00F632DF" w:rsidRPr="00F632DF">
        <w:rPr>
          <w:rFonts w:ascii="Times New Roman" w:eastAsia="Times New Roman" w:hAnsi="Times New Roman" w:cs="Times New Roman"/>
          <w:sz w:val="26"/>
          <w:szCs w:val="26"/>
        </w:rPr>
        <w:t xml:space="preserve">milliárd forint volt, amelynek meghatározó része ingatlanokhoz </w:t>
      </w:r>
      <w:r w:rsidR="00C224F5">
        <w:rPr>
          <w:rFonts w:ascii="Times New Roman" w:eastAsia="Times New Roman" w:hAnsi="Times New Roman" w:cs="Times New Roman"/>
          <w:sz w:val="26"/>
          <w:szCs w:val="26"/>
        </w:rPr>
        <w:t>kapcsolódóan került kifizetésre.</w:t>
      </w:r>
    </w:p>
    <w:p w14:paraId="4D36018A" w14:textId="174E84FD" w:rsidR="000B49AE" w:rsidRPr="00377D59" w:rsidRDefault="00BE5712" w:rsidP="000B49AE">
      <w:pPr>
        <w:spacing w:before="240" w:after="120" w:line="240" w:lineRule="auto"/>
        <w:jc w:val="center"/>
        <w:rPr>
          <w:rFonts w:ascii="Times New Roman" w:eastAsia="Times New Roman" w:hAnsi="Times New Roman" w:cs="Times New Roman"/>
          <w:b/>
          <w:bCs/>
          <w:sz w:val="26"/>
          <w:szCs w:val="26"/>
        </w:rPr>
      </w:pPr>
      <w:r>
        <w:rPr>
          <w:noProof/>
          <w:lang w:eastAsia="hu-HU"/>
        </w:rPr>
        <w:drawing>
          <wp:inline distT="0" distB="0" distL="0" distR="0" wp14:anchorId="3A50A851" wp14:editId="77489F90">
            <wp:extent cx="5227043" cy="3253562"/>
            <wp:effectExtent l="0" t="0" r="0" b="444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03277" cy="3301014"/>
                    </a:xfrm>
                    <a:prstGeom prst="rect">
                      <a:avLst/>
                    </a:prstGeom>
                  </pic:spPr>
                </pic:pic>
              </a:graphicData>
            </a:graphic>
          </wp:inline>
        </w:drawing>
      </w:r>
    </w:p>
    <w:p w14:paraId="030326D3" w14:textId="4E56E095" w:rsidR="5B67C7D7" w:rsidRPr="00377D59" w:rsidRDefault="3782F5BA" w:rsidP="3782F5BA">
      <w:pPr>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lastRenderedPageBreak/>
        <w:t xml:space="preserve">Az </w:t>
      </w:r>
      <w:r w:rsidRPr="3782F5BA">
        <w:rPr>
          <w:rFonts w:ascii="Times New Roman" w:eastAsia="Times New Roman" w:hAnsi="Times New Roman" w:cs="Times New Roman"/>
          <w:b/>
          <w:bCs/>
          <w:sz w:val="26"/>
          <w:szCs w:val="26"/>
        </w:rPr>
        <w:t xml:space="preserve">állami beruházási fejezet kiadásait </w:t>
      </w:r>
      <w:r w:rsidRPr="3782F5BA">
        <w:rPr>
          <w:rFonts w:ascii="Times New Roman" w:eastAsia="Times New Roman" w:hAnsi="Times New Roman" w:cs="Times New Roman"/>
          <w:sz w:val="26"/>
          <w:szCs w:val="26"/>
        </w:rPr>
        <w:t>alapvetően az egyes projektek előrehaladása határozza meg. 2025 első k</w:t>
      </w:r>
      <w:r w:rsidR="00C224F5">
        <w:rPr>
          <w:rFonts w:ascii="Times New Roman" w:eastAsia="Times New Roman" w:hAnsi="Times New Roman" w:cs="Times New Roman"/>
          <w:sz w:val="26"/>
          <w:szCs w:val="26"/>
        </w:rPr>
        <w:t>ét</w:t>
      </w:r>
      <w:r w:rsidRPr="3782F5BA">
        <w:rPr>
          <w:rFonts w:ascii="Times New Roman" w:eastAsia="Times New Roman" w:hAnsi="Times New Roman" w:cs="Times New Roman"/>
          <w:sz w:val="26"/>
          <w:szCs w:val="26"/>
        </w:rPr>
        <w:t xml:space="preserve"> hónapjában 23,7 milliárd forint kiadás teljesült, amely alacsonyabb a 2024 azonos időszakában teljesültekhez képest. A kifizetések nagy része az állami közútfejlesztési beruházásokhoz (8,5 milliárd forint) és az európai uniós forrásokból megvalósuló beruházásokhoz (14,2 milliárd forint) kapcsolódtak</w:t>
      </w:r>
      <w:r w:rsidRPr="3782F5BA">
        <w:rPr>
          <w:rFonts w:ascii="Times New Roman" w:eastAsia="Times New Roman" w:hAnsi="Times New Roman" w:cs="Times New Roman"/>
          <w:sz w:val="24"/>
          <w:szCs w:val="24"/>
        </w:rPr>
        <w:t>.</w:t>
      </w:r>
    </w:p>
    <w:p w14:paraId="598CEA5E" w14:textId="017D4202" w:rsidR="00C224F5" w:rsidRDefault="00C224F5" w:rsidP="3782F5BA">
      <w:pPr>
        <w:jc w:val="both"/>
        <w:rPr>
          <w:rFonts w:ascii="Times New Roman" w:eastAsia="Times New Roman" w:hAnsi="Times New Roman" w:cs="Times New Roman"/>
          <w:sz w:val="26"/>
          <w:szCs w:val="26"/>
        </w:rPr>
      </w:pPr>
      <w:r w:rsidRPr="00C224F5">
        <w:rPr>
          <w:rFonts w:ascii="Times New Roman" w:eastAsia="Times New Roman" w:hAnsi="Times New Roman" w:cs="Times New Roman"/>
          <w:sz w:val="26"/>
          <w:szCs w:val="26"/>
        </w:rPr>
        <w:t xml:space="preserve">Az </w:t>
      </w:r>
      <w:r>
        <w:rPr>
          <w:rFonts w:ascii="Times New Roman" w:eastAsia="Times New Roman" w:hAnsi="Times New Roman" w:cs="Times New Roman"/>
          <w:b/>
          <w:sz w:val="26"/>
          <w:szCs w:val="26"/>
        </w:rPr>
        <w:t>e</w:t>
      </w:r>
      <w:r w:rsidRPr="00C224F5">
        <w:rPr>
          <w:rFonts w:ascii="Times New Roman" w:eastAsia="Times New Roman" w:hAnsi="Times New Roman" w:cs="Times New Roman"/>
          <w:b/>
          <w:sz w:val="26"/>
          <w:szCs w:val="26"/>
        </w:rPr>
        <w:t>gyéb kiadások</w:t>
      </w:r>
      <w:r w:rsidRPr="00C224F5">
        <w:rPr>
          <w:rFonts w:ascii="Times New Roman" w:eastAsia="Times New Roman" w:hAnsi="Times New Roman" w:cs="Times New Roman"/>
          <w:sz w:val="26"/>
          <w:szCs w:val="26"/>
        </w:rPr>
        <w:t xml:space="preserve"> 2025. évi </w:t>
      </w:r>
      <w:r>
        <w:rPr>
          <w:rFonts w:ascii="Times New Roman" w:eastAsia="Times New Roman" w:hAnsi="Times New Roman" w:cs="Times New Roman"/>
          <w:sz w:val="26"/>
          <w:szCs w:val="26"/>
        </w:rPr>
        <w:t>első két</w:t>
      </w:r>
      <w:r w:rsidRPr="00C224F5">
        <w:rPr>
          <w:rFonts w:ascii="Times New Roman" w:eastAsia="Times New Roman" w:hAnsi="Times New Roman" w:cs="Times New Roman"/>
          <w:sz w:val="26"/>
          <w:szCs w:val="26"/>
        </w:rPr>
        <w:t>havi teljesítése 67,9</w:t>
      </w:r>
      <w:r w:rsidR="0055132B">
        <w:rPr>
          <w:rFonts w:ascii="Times New Roman" w:eastAsia="Times New Roman" w:hAnsi="Times New Roman" w:cs="Times New Roman"/>
          <w:sz w:val="26"/>
          <w:szCs w:val="26"/>
        </w:rPr>
        <w:t> </w:t>
      </w:r>
      <w:r w:rsidRPr="00C224F5">
        <w:rPr>
          <w:rFonts w:ascii="Times New Roman" w:eastAsia="Times New Roman" w:hAnsi="Times New Roman" w:cs="Times New Roman"/>
          <w:sz w:val="26"/>
          <w:szCs w:val="26"/>
        </w:rPr>
        <w:t>milliárd forint lett, ami</w:t>
      </w:r>
      <w:r>
        <w:rPr>
          <w:rFonts w:ascii="Times New Roman" w:eastAsia="Times New Roman" w:hAnsi="Times New Roman" w:cs="Times New Roman"/>
          <w:sz w:val="26"/>
          <w:szCs w:val="26"/>
        </w:rPr>
        <w:t xml:space="preserve"> 72,2 </w:t>
      </w:r>
      <w:r w:rsidRPr="00C224F5">
        <w:rPr>
          <w:rFonts w:ascii="Times New Roman" w:eastAsia="Times New Roman" w:hAnsi="Times New Roman" w:cs="Times New Roman"/>
          <w:sz w:val="26"/>
          <w:szCs w:val="26"/>
        </w:rPr>
        <w:t xml:space="preserve">milliárd forinttal alacsonyabban alakult az előző év azonos időszakához képest. </w:t>
      </w:r>
    </w:p>
    <w:p w14:paraId="15F013A7" w14:textId="28B30B51" w:rsidR="74B9DF17" w:rsidRDefault="3782F5BA" w:rsidP="3782F5BA">
      <w:pPr>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 xml:space="preserve">A </w:t>
      </w:r>
      <w:r w:rsidRPr="3782F5BA">
        <w:rPr>
          <w:rFonts w:ascii="Times New Roman" w:eastAsia="Times New Roman" w:hAnsi="Times New Roman" w:cs="Times New Roman"/>
          <w:b/>
          <w:bCs/>
          <w:sz w:val="26"/>
          <w:szCs w:val="26"/>
        </w:rPr>
        <w:t>Hozzájárulás az EU költségvetéséhez</w:t>
      </w:r>
      <w:r w:rsidRPr="3782F5BA">
        <w:rPr>
          <w:rFonts w:ascii="Times New Roman" w:eastAsia="Times New Roman" w:hAnsi="Times New Roman" w:cs="Times New Roman"/>
          <w:sz w:val="26"/>
          <w:szCs w:val="26"/>
        </w:rPr>
        <w:t xml:space="preserve"> mérlegsoron 2025. február végéig 118,7</w:t>
      </w:r>
      <w:r w:rsidR="0055132B">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 kiadás teljesült, ami a törvényi előirán</w:t>
      </w:r>
      <w:r w:rsidR="000E5868">
        <w:rPr>
          <w:rFonts w:ascii="Times New Roman" w:eastAsia="Times New Roman" w:hAnsi="Times New Roman" w:cs="Times New Roman"/>
          <w:sz w:val="26"/>
          <w:szCs w:val="26"/>
        </w:rPr>
        <w:t>yzat 17,0%-a. E hozzájárulás 25,0</w:t>
      </w:r>
      <w:r w:rsidR="00306C97">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forinttal haladja meg a 2024. év azonos időszakában teljesített kiadásokat.</w:t>
      </w:r>
    </w:p>
    <w:p w14:paraId="0F5A0F03" w14:textId="44ACE676" w:rsidR="6462B5A6" w:rsidRPr="00920F4D" w:rsidRDefault="3782F5BA" w:rsidP="3782F5BA">
      <w:pPr>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 xml:space="preserve">A </w:t>
      </w:r>
      <w:r w:rsidRPr="3782F5BA">
        <w:rPr>
          <w:rFonts w:ascii="Times New Roman" w:eastAsia="Times New Roman" w:hAnsi="Times New Roman" w:cs="Times New Roman"/>
          <w:b/>
          <w:bCs/>
          <w:sz w:val="26"/>
          <w:szCs w:val="26"/>
        </w:rPr>
        <w:t>Nemzeti Kutatási, Fejlesztési és Innovációs Alapból</w:t>
      </w:r>
      <w:r w:rsidRPr="3782F5BA">
        <w:rPr>
          <w:rFonts w:ascii="Times New Roman" w:eastAsia="Times New Roman" w:hAnsi="Times New Roman" w:cs="Times New Roman"/>
          <w:sz w:val="26"/>
          <w:szCs w:val="26"/>
        </w:rPr>
        <w:t xml:space="preserve"> (NKFI Alap) 2025. február</w:t>
      </w:r>
      <w:r w:rsidR="000E5868">
        <w:rPr>
          <w:rFonts w:ascii="Times New Roman" w:eastAsia="Times New Roman" w:hAnsi="Times New Roman" w:cs="Times New Roman"/>
          <w:sz w:val="26"/>
          <w:szCs w:val="26"/>
        </w:rPr>
        <w:t xml:space="preserve"> végéig</w:t>
      </w:r>
      <w:r w:rsidRPr="3782F5BA">
        <w:rPr>
          <w:rFonts w:ascii="Times New Roman" w:eastAsia="Times New Roman" w:hAnsi="Times New Roman" w:cs="Times New Roman"/>
          <w:sz w:val="26"/>
          <w:szCs w:val="26"/>
        </w:rPr>
        <w:t xml:space="preserve"> 25,3 milliárd forint kiadás teljesült, ami 7,</w:t>
      </w:r>
      <w:r w:rsidR="00306C97">
        <w:rPr>
          <w:rFonts w:ascii="Times New Roman" w:eastAsia="Times New Roman" w:hAnsi="Times New Roman" w:cs="Times New Roman"/>
          <w:sz w:val="26"/>
          <w:szCs w:val="26"/>
        </w:rPr>
        <w:t>5</w:t>
      </w:r>
      <w:r w:rsidRPr="3782F5BA">
        <w:rPr>
          <w:rFonts w:ascii="Times New Roman" w:eastAsia="Times New Roman" w:hAnsi="Times New Roman" w:cs="Times New Roman"/>
          <w:sz w:val="26"/>
          <w:szCs w:val="26"/>
        </w:rPr>
        <w:t xml:space="preserve"> milliárd forinttal magasabb kifizetést jelent a 2024. évi azonos időszak teljesítéséhez képest. </w:t>
      </w:r>
    </w:p>
    <w:p w14:paraId="17605E21" w14:textId="0CC4D538" w:rsidR="6462B5A6" w:rsidRPr="00920F4D" w:rsidRDefault="3782F5BA" w:rsidP="3782F5BA">
      <w:pPr>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 xml:space="preserve">A </w:t>
      </w:r>
      <w:r w:rsidRPr="3782F5BA">
        <w:rPr>
          <w:rFonts w:ascii="Times New Roman" w:eastAsia="Times New Roman" w:hAnsi="Times New Roman" w:cs="Times New Roman"/>
          <w:b/>
          <w:bCs/>
          <w:sz w:val="26"/>
          <w:szCs w:val="26"/>
        </w:rPr>
        <w:t>Nemzeti Foglalkoztatási Alap</w:t>
      </w:r>
      <w:r w:rsidRPr="3782F5BA">
        <w:rPr>
          <w:rFonts w:ascii="Times New Roman" w:eastAsia="Times New Roman" w:hAnsi="Times New Roman" w:cs="Times New Roman"/>
          <w:sz w:val="26"/>
          <w:szCs w:val="26"/>
        </w:rPr>
        <w:t xml:space="preserve"> (NFA) kiadásai es</w:t>
      </w:r>
      <w:r w:rsidR="000E5868">
        <w:rPr>
          <w:rFonts w:ascii="Times New Roman" w:eastAsia="Times New Roman" w:hAnsi="Times New Roman" w:cs="Times New Roman"/>
          <w:sz w:val="26"/>
          <w:szCs w:val="26"/>
        </w:rPr>
        <w:t>e</w:t>
      </w:r>
      <w:r w:rsidRPr="3782F5BA">
        <w:rPr>
          <w:rFonts w:ascii="Times New Roman" w:eastAsia="Times New Roman" w:hAnsi="Times New Roman" w:cs="Times New Roman"/>
          <w:sz w:val="26"/>
          <w:szCs w:val="26"/>
        </w:rPr>
        <w:t>tében a Start-munkaprogramra összesen 14,3 milliárd forint teljesült. Az uniós elő- és társfinanszírozásra 7,4 milliárd forintot fordítottak.</w:t>
      </w:r>
    </w:p>
    <w:p w14:paraId="76B18BB1" w14:textId="15033DC7" w:rsidR="123EFD2F" w:rsidRPr="00377D59" w:rsidRDefault="3782F5BA" w:rsidP="3782F5BA">
      <w:pPr>
        <w:jc w:val="both"/>
        <w:rPr>
          <w:rFonts w:ascii="Times New Roman" w:hAnsi="Times New Roman" w:cs="Times New Roman"/>
        </w:rPr>
      </w:pPr>
      <w:r w:rsidRPr="3782F5BA">
        <w:rPr>
          <w:rFonts w:ascii="Times New Roman" w:eastAsia="Times New Roman" w:hAnsi="Times New Roman" w:cs="Times New Roman"/>
          <w:sz w:val="26"/>
          <w:szCs w:val="26"/>
        </w:rPr>
        <w:t>A</w:t>
      </w:r>
      <w:r w:rsidRPr="3782F5BA">
        <w:rPr>
          <w:rFonts w:ascii="Times New Roman" w:eastAsia="Times New Roman" w:hAnsi="Times New Roman" w:cs="Times New Roman"/>
          <w:b/>
          <w:bCs/>
          <w:sz w:val="26"/>
          <w:szCs w:val="26"/>
        </w:rPr>
        <w:t xml:space="preserve"> Bethlen Gábor Alapból</w:t>
      </w:r>
      <w:r w:rsidRPr="3782F5BA">
        <w:rPr>
          <w:rFonts w:ascii="Times New Roman" w:eastAsia="Times New Roman" w:hAnsi="Times New Roman" w:cs="Times New Roman"/>
          <w:sz w:val="26"/>
          <w:szCs w:val="26"/>
        </w:rPr>
        <w:t xml:space="preserve"> (BGA) az év első két hónapjában összesen 12,6 milliárd forint kiadás teljesült. Az alapból nyújtott támogatások a BGA irányítását ellátó Bizottság döntései alapján, ütemezetten kerültek kifizetésre.</w:t>
      </w:r>
    </w:p>
    <w:p w14:paraId="77A8F6F1" w14:textId="4542A959" w:rsidR="00D72777" w:rsidRPr="00D72777" w:rsidRDefault="73C5D9BC" w:rsidP="73C5D9BC">
      <w:pPr>
        <w:jc w:val="both"/>
        <w:rPr>
          <w:rFonts w:ascii="Times New Roman" w:eastAsia="Times New Roman" w:hAnsi="Times New Roman" w:cs="Times New Roman"/>
          <w:sz w:val="26"/>
          <w:szCs w:val="26"/>
        </w:rPr>
      </w:pPr>
      <w:r w:rsidRPr="73C5D9BC">
        <w:rPr>
          <w:rFonts w:ascii="Times New Roman" w:eastAsia="Times New Roman" w:hAnsi="Times New Roman" w:cs="Times New Roman"/>
          <w:sz w:val="26"/>
          <w:szCs w:val="26"/>
        </w:rPr>
        <w:t xml:space="preserve">A </w:t>
      </w:r>
      <w:r w:rsidRPr="73C5D9BC">
        <w:rPr>
          <w:rFonts w:ascii="Times New Roman" w:eastAsia="Times New Roman" w:hAnsi="Times New Roman" w:cs="Times New Roman"/>
          <w:b/>
          <w:bCs/>
          <w:sz w:val="26"/>
          <w:szCs w:val="26"/>
        </w:rPr>
        <w:t>Nyugdíjbiztosítási Alap</w:t>
      </w:r>
      <w:r w:rsidRPr="73C5D9BC">
        <w:rPr>
          <w:rFonts w:ascii="Times New Roman" w:eastAsia="Times New Roman" w:hAnsi="Times New Roman" w:cs="Times New Roman"/>
          <w:sz w:val="26"/>
          <w:szCs w:val="26"/>
        </w:rPr>
        <w:t xml:space="preserve"> nyugellátási kiadásai február végéig 1 491,2</w:t>
      </w:r>
      <w:r w:rsidR="00327378">
        <w:rPr>
          <w:rFonts w:ascii="Times New Roman" w:eastAsia="Times New Roman" w:hAnsi="Times New Roman" w:cs="Times New Roman"/>
          <w:sz w:val="26"/>
          <w:szCs w:val="26"/>
        </w:rPr>
        <w:t> </w:t>
      </w:r>
      <w:r w:rsidRPr="73C5D9BC">
        <w:rPr>
          <w:rFonts w:ascii="Times New Roman" w:eastAsia="Times New Roman" w:hAnsi="Times New Roman" w:cs="Times New Roman"/>
          <w:sz w:val="26"/>
          <w:szCs w:val="26"/>
        </w:rPr>
        <w:t>milliárd forintban teljesültek, ami 70,5</w:t>
      </w:r>
      <w:r w:rsidR="0093390F">
        <w:rPr>
          <w:rFonts w:ascii="Times New Roman" w:eastAsia="Times New Roman" w:hAnsi="Times New Roman" w:cs="Times New Roman"/>
          <w:sz w:val="26"/>
          <w:szCs w:val="26"/>
        </w:rPr>
        <w:t> </w:t>
      </w:r>
      <w:r w:rsidRPr="73C5D9BC">
        <w:rPr>
          <w:rFonts w:ascii="Times New Roman" w:eastAsia="Times New Roman" w:hAnsi="Times New Roman" w:cs="Times New Roman"/>
          <w:sz w:val="26"/>
          <w:szCs w:val="26"/>
        </w:rPr>
        <w:t>milliárd forinttal haladta meg az előző év azonos időszakának teljesítési adatait. Az 5%-os kiadásnövekedést a tárgyév január hónapban végrehajtott inflációkövető nyugdíjemelés hatása, valamint az eltelt időszakban bekövetkezett létszámváltozás és cserélődés együttes hatása eredményezte.</w:t>
      </w:r>
    </w:p>
    <w:p w14:paraId="342C7FC0" w14:textId="2E08E738" w:rsidR="73C5D9BC" w:rsidRDefault="73C5D9BC" w:rsidP="73C5D9BC">
      <w:pPr>
        <w:jc w:val="both"/>
        <w:rPr>
          <w:rFonts w:ascii="Times New Roman" w:eastAsia="Times New Roman" w:hAnsi="Times New Roman" w:cs="Times New Roman"/>
          <w:sz w:val="26"/>
          <w:szCs w:val="26"/>
        </w:rPr>
      </w:pPr>
      <w:r w:rsidRPr="73C5D9BC">
        <w:rPr>
          <w:rFonts w:ascii="Times New Roman" w:eastAsia="Times New Roman" w:hAnsi="Times New Roman" w:cs="Times New Roman"/>
          <w:sz w:val="26"/>
          <w:szCs w:val="26"/>
        </w:rPr>
        <w:t>Február hónapban több, mint 2 millió öregségi nyugdíjban és hozzátartozói nyugellátásban részesülő személy részére folyósítottak 13. havi nyugdíjat. A 13. havi nyugdíj Nyugdíjbiztosítási Alapot terhelő kiadása 491,7</w:t>
      </w:r>
      <w:r w:rsidR="0055132B">
        <w:rPr>
          <w:rFonts w:ascii="Times New Roman" w:eastAsia="Times New Roman" w:hAnsi="Times New Roman" w:cs="Times New Roman"/>
          <w:sz w:val="26"/>
          <w:szCs w:val="26"/>
        </w:rPr>
        <w:t> </w:t>
      </w:r>
      <w:r w:rsidRPr="73C5D9BC">
        <w:rPr>
          <w:rFonts w:ascii="Times New Roman" w:eastAsia="Times New Roman" w:hAnsi="Times New Roman" w:cs="Times New Roman"/>
          <w:sz w:val="26"/>
          <w:szCs w:val="26"/>
        </w:rPr>
        <w:t>milliárd forint volt, ami 23,4</w:t>
      </w:r>
      <w:r w:rsidR="0055132B">
        <w:rPr>
          <w:rFonts w:ascii="Times New Roman" w:eastAsia="Times New Roman" w:hAnsi="Times New Roman" w:cs="Times New Roman"/>
          <w:sz w:val="26"/>
          <w:szCs w:val="26"/>
        </w:rPr>
        <w:t> </w:t>
      </w:r>
      <w:r w:rsidRPr="73C5D9BC">
        <w:rPr>
          <w:rFonts w:ascii="Times New Roman" w:eastAsia="Times New Roman" w:hAnsi="Times New Roman" w:cs="Times New Roman"/>
          <w:sz w:val="26"/>
          <w:szCs w:val="26"/>
        </w:rPr>
        <w:t>milliárd forinttal haladta meg az előző év azonos időszakában ezen a jogcímen teljesített kiadások összegét.</w:t>
      </w:r>
    </w:p>
    <w:p w14:paraId="01429896" w14:textId="3DB1772C" w:rsidR="73C5D9BC" w:rsidRDefault="73C5D9BC" w:rsidP="73C5D9BC">
      <w:pPr>
        <w:jc w:val="both"/>
      </w:pPr>
      <w:r w:rsidRPr="73C5D9BC">
        <w:rPr>
          <w:rFonts w:ascii="Times New Roman" w:eastAsia="Times New Roman" w:hAnsi="Times New Roman" w:cs="Times New Roman"/>
          <w:sz w:val="26"/>
          <w:szCs w:val="26"/>
        </w:rPr>
        <w:t>Az első két hónap adatai alapján a nyugellátási kiadásokon belül a korbetöltött öregségi nyugellátások 5,5%-kal, a nők 40 év jogosultsági idővel igénybe vehető öregségi nyugdíja („nők 40”) pedig 2,6%-kal haladta meg az előző év azonos időszakának kiadásait.</w:t>
      </w:r>
    </w:p>
    <w:p w14:paraId="168226B1" w14:textId="632B73A6" w:rsidR="00D72777" w:rsidRDefault="73C5D9BC" w:rsidP="73C5D9BC">
      <w:pPr>
        <w:jc w:val="both"/>
        <w:rPr>
          <w:rFonts w:ascii="Times New Roman" w:eastAsia="Times New Roman" w:hAnsi="Times New Roman" w:cs="Times New Roman"/>
          <w:sz w:val="26"/>
          <w:szCs w:val="26"/>
        </w:rPr>
      </w:pPr>
      <w:r w:rsidRPr="73C5D9BC">
        <w:rPr>
          <w:rFonts w:ascii="Times New Roman" w:eastAsia="Times New Roman" w:hAnsi="Times New Roman" w:cs="Times New Roman"/>
          <w:sz w:val="26"/>
          <w:szCs w:val="26"/>
        </w:rPr>
        <w:t xml:space="preserve">Az öregségi nyugdíjban részesülők 2025. február havi </w:t>
      </w:r>
      <w:r w:rsidRPr="73C5D9BC">
        <w:rPr>
          <w:rFonts w:ascii="Times New Roman" w:eastAsia="Times New Roman" w:hAnsi="Times New Roman" w:cs="Times New Roman"/>
          <w:b/>
          <w:bCs/>
          <w:sz w:val="26"/>
          <w:szCs w:val="26"/>
        </w:rPr>
        <w:t>átlagos statisztikai állományi létszáma</w:t>
      </w:r>
      <w:r w:rsidRPr="73C5D9BC">
        <w:rPr>
          <w:rFonts w:ascii="Times New Roman" w:eastAsia="Times New Roman" w:hAnsi="Times New Roman" w:cs="Times New Roman"/>
          <w:sz w:val="26"/>
          <w:szCs w:val="26"/>
        </w:rPr>
        <w:t xml:space="preserve"> kis mértékben növekedett, 2 372 fővel haladta meg az előző év azonos időszakának létszámát, ez mintegy 2 millió főt jelent. Az öregségi nyugdíjban részesülők létszámán belül a nők kedvezményes nyugdíjában részesülők (korhatár alattiak) létszáma </w:t>
      </w:r>
      <w:r w:rsidR="00A76FE3" w:rsidRPr="00A76FE3">
        <w:rPr>
          <w:rFonts w:ascii="Times New Roman" w:eastAsia="Times New Roman" w:hAnsi="Times New Roman" w:cs="Times New Roman"/>
          <w:sz w:val="26"/>
          <w:szCs w:val="26"/>
        </w:rPr>
        <w:t xml:space="preserve">a korhatárbetöltés, az újonnan belépők és az elhalálozás </w:t>
      </w:r>
      <w:r w:rsidRPr="73C5D9BC">
        <w:rPr>
          <w:rFonts w:ascii="Times New Roman" w:eastAsia="Times New Roman" w:hAnsi="Times New Roman" w:cs="Times New Roman"/>
          <w:sz w:val="26"/>
          <w:szCs w:val="26"/>
        </w:rPr>
        <w:t>együttes hatásaként 5</w:t>
      </w:r>
      <w:r w:rsidR="00327378">
        <w:rPr>
          <w:rFonts w:ascii="Times New Roman" w:eastAsia="Times New Roman" w:hAnsi="Times New Roman" w:cs="Times New Roman"/>
          <w:sz w:val="26"/>
          <w:szCs w:val="26"/>
        </w:rPr>
        <w:t> </w:t>
      </w:r>
      <w:r w:rsidRPr="73C5D9BC">
        <w:rPr>
          <w:rFonts w:ascii="Times New Roman" w:eastAsia="Times New Roman" w:hAnsi="Times New Roman" w:cs="Times New Roman"/>
          <w:sz w:val="26"/>
          <w:szCs w:val="26"/>
        </w:rPr>
        <w:t>239</w:t>
      </w:r>
      <w:r w:rsidR="00327378">
        <w:rPr>
          <w:rFonts w:ascii="Times New Roman" w:eastAsia="Times New Roman" w:hAnsi="Times New Roman" w:cs="Times New Roman"/>
          <w:sz w:val="26"/>
          <w:szCs w:val="26"/>
        </w:rPr>
        <w:t> </w:t>
      </w:r>
      <w:r w:rsidRPr="73C5D9BC">
        <w:rPr>
          <w:rFonts w:ascii="Times New Roman" w:eastAsia="Times New Roman" w:hAnsi="Times New Roman" w:cs="Times New Roman"/>
          <w:sz w:val="26"/>
          <w:szCs w:val="26"/>
        </w:rPr>
        <w:t>fővel csökkent a 2024. februári adathoz képest, jelenleg 142</w:t>
      </w:r>
      <w:r w:rsidR="00327378">
        <w:rPr>
          <w:rFonts w:ascii="Times New Roman" w:eastAsia="Times New Roman" w:hAnsi="Times New Roman" w:cs="Times New Roman"/>
          <w:sz w:val="26"/>
          <w:szCs w:val="26"/>
        </w:rPr>
        <w:t> </w:t>
      </w:r>
      <w:r w:rsidRPr="73C5D9BC">
        <w:rPr>
          <w:rFonts w:ascii="Times New Roman" w:eastAsia="Times New Roman" w:hAnsi="Times New Roman" w:cs="Times New Roman"/>
          <w:sz w:val="26"/>
          <w:szCs w:val="26"/>
        </w:rPr>
        <w:t>027</w:t>
      </w:r>
      <w:r w:rsidR="00327378">
        <w:rPr>
          <w:rFonts w:ascii="Times New Roman" w:eastAsia="Times New Roman" w:hAnsi="Times New Roman" w:cs="Times New Roman"/>
          <w:sz w:val="26"/>
          <w:szCs w:val="26"/>
        </w:rPr>
        <w:t> </w:t>
      </w:r>
      <w:r w:rsidRPr="73C5D9BC">
        <w:rPr>
          <w:rFonts w:ascii="Times New Roman" w:eastAsia="Times New Roman" w:hAnsi="Times New Roman" w:cs="Times New Roman"/>
          <w:sz w:val="26"/>
          <w:szCs w:val="26"/>
        </w:rPr>
        <w:t>fő veszi igénybe a „nők 40” kedvezményes ellátást.</w:t>
      </w:r>
    </w:p>
    <w:p w14:paraId="0F073B32" w14:textId="663EB20C" w:rsidR="00C35E13" w:rsidRDefault="001B416B" w:rsidP="00C35E13">
      <w:pPr>
        <w:pStyle w:val="NormlWeb"/>
        <w:jc w:val="center"/>
      </w:pPr>
      <w:r>
        <w:rPr>
          <w:noProof/>
        </w:rPr>
        <w:lastRenderedPageBreak/>
        <w:drawing>
          <wp:inline distT="0" distB="0" distL="0" distR="0" wp14:anchorId="0E4175D1" wp14:editId="34F6C277">
            <wp:extent cx="5940425" cy="2644189"/>
            <wp:effectExtent l="0" t="0" r="3175" b="381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8796" cy="2647915"/>
                    </a:xfrm>
                    <a:prstGeom prst="rect">
                      <a:avLst/>
                    </a:prstGeom>
                  </pic:spPr>
                </pic:pic>
              </a:graphicData>
            </a:graphic>
          </wp:inline>
        </w:drawing>
      </w:r>
    </w:p>
    <w:p w14:paraId="6976437D" w14:textId="047EF416" w:rsidR="000E690A" w:rsidRPr="000E690A" w:rsidRDefault="000A2818" w:rsidP="73C5D9B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Az első két</w:t>
      </w:r>
      <w:r w:rsidR="73C5D9BC" w:rsidRPr="73C5D9BC">
        <w:rPr>
          <w:rFonts w:ascii="Times New Roman" w:eastAsia="Times New Roman" w:hAnsi="Times New Roman" w:cs="Times New Roman"/>
          <w:sz w:val="26"/>
          <w:szCs w:val="26"/>
        </w:rPr>
        <w:t>havi adatok alapján a nyugellátási kiadásokon belül a korbetöltött öregségi nyugellátások 5,5%-kal, a nők 40 év jogosultsági idővel igénybe vehető öregségi nyugdíja („nők 40”) pedig 2,6%-kal haladta meg az előző év azonos időszakának kiadásait.</w:t>
      </w:r>
    </w:p>
    <w:p w14:paraId="7908141C" w14:textId="5684EF74" w:rsidR="000E690A" w:rsidRPr="000E690A" w:rsidRDefault="73C5D9BC" w:rsidP="73C5D9BC">
      <w:pPr>
        <w:jc w:val="both"/>
        <w:rPr>
          <w:rFonts w:ascii="Times New Roman" w:eastAsia="Times New Roman" w:hAnsi="Times New Roman" w:cs="Times New Roman"/>
          <w:sz w:val="26"/>
          <w:szCs w:val="26"/>
        </w:rPr>
      </w:pPr>
      <w:r w:rsidRPr="73C5D9BC">
        <w:rPr>
          <w:rFonts w:ascii="Times New Roman" w:eastAsia="Times New Roman" w:hAnsi="Times New Roman" w:cs="Times New Roman"/>
          <w:sz w:val="26"/>
          <w:szCs w:val="26"/>
        </w:rPr>
        <w:t>Az öregségi nyugdíjak átlagos havi összege egy év alatt 11 </w:t>
      </w:r>
      <w:r w:rsidR="0093390F">
        <w:rPr>
          <w:rFonts w:ascii="Times New Roman" w:eastAsia="Times New Roman" w:hAnsi="Times New Roman" w:cs="Times New Roman"/>
          <w:sz w:val="26"/>
          <w:szCs w:val="26"/>
        </w:rPr>
        <w:t>415</w:t>
      </w:r>
      <w:r w:rsidRPr="73C5D9BC">
        <w:rPr>
          <w:rFonts w:ascii="Times New Roman" w:eastAsia="Times New Roman" w:hAnsi="Times New Roman" w:cs="Times New Roman"/>
          <w:sz w:val="26"/>
          <w:szCs w:val="26"/>
        </w:rPr>
        <w:t xml:space="preserve"> forinttal emelkedett, idén 2025. februárban 242 682 forint volt.</w:t>
      </w:r>
    </w:p>
    <w:p w14:paraId="33821262" w14:textId="52B0DEFD" w:rsidR="000E690A" w:rsidRDefault="3782F5BA" w:rsidP="3782F5BA">
      <w:pPr>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Az ellátások egy főre jutó havi átlagos összege az egyes ellátotti jogcímeken belül az előző év azonos időszakával összehasonlítva az alábbiak szerint növekedett.</w:t>
      </w:r>
    </w:p>
    <w:p w14:paraId="503DFEB7" w14:textId="2AED4961" w:rsidR="00EF1F5B" w:rsidRDefault="001B416B" w:rsidP="00EF1F5B">
      <w:pPr>
        <w:pStyle w:val="NormlWeb"/>
        <w:jc w:val="center"/>
      </w:pPr>
      <w:r>
        <w:rPr>
          <w:noProof/>
        </w:rPr>
        <w:drawing>
          <wp:inline distT="0" distB="0" distL="0" distR="0" wp14:anchorId="6C24C828" wp14:editId="68AB30FF">
            <wp:extent cx="5189103" cy="3188345"/>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11233" cy="3201942"/>
                    </a:xfrm>
                    <a:prstGeom prst="rect">
                      <a:avLst/>
                    </a:prstGeom>
                  </pic:spPr>
                </pic:pic>
              </a:graphicData>
            </a:graphic>
          </wp:inline>
        </w:drawing>
      </w:r>
    </w:p>
    <w:p w14:paraId="3779DB9C" w14:textId="522A5F6A" w:rsidR="0022104D" w:rsidRDefault="3782F5BA" w:rsidP="593AC637">
      <w:pPr>
        <w:jc w:val="both"/>
      </w:pPr>
      <w:r w:rsidRPr="3782F5BA">
        <w:rPr>
          <w:rFonts w:ascii="Times New Roman" w:eastAsia="Times New Roman" w:hAnsi="Times New Roman" w:cs="Times New Roman"/>
          <w:sz w:val="26"/>
          <w:szCs w:val="26"/>
        </w:rPr>
        <w:t xml:space="preserve">Az öregségi nyugdíjban, hozzátartozói nyugellátásban részesülők jogcím szerinti megoszlásának összehasonlítását a korábbi adatokkal az alábbi ábrák mutatják. </w:t>
      </w:r>
    </w:p>
    <w:p w14:paraId="6E229341" w14:textId="13B07CAE" w:rsidR="00EF1F5B" w:rsidRDefault="00115834" w:rsidP="00EF1F5B">
      <w:pPr>
        <w:pStyle w:val="NormlWeb"/>
        <w:jc w:val="center"/>
      </w:pPr>
      <w:r>
        <w:rPr>
          <w:noProof/>
        </w:rPr>
        <w:lastRenderedPageBreak/>
        <w:drawing>
          <wp:inline distT="0" distB="0" distL="0" distR="0" wp14:anchorId="74ABD036" wp14:editId="43EDA6F8">
            <wp:extent cx="5940425" cy="2475230"/>
            <wp:effectExtent l="0" t="0" r="3175" b="127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0425" cy="2475230"/>
                    </a:xfrm>
                    <a:prstGeom prst="rect">
                      <a:avLst/>
                    </a:prstGeom>
                  </pic:spPr>
                </pic:pic>
              </a:graphicData>
            </a:graphic>
          </wp:inline>
        </w:drawing>
      </w:r>
    </w:p>
    <w:p w14:paraId="2A4F88FB" w14:textId="77777777" w:rsidR="00D4148C" w:rsidRPr="002B492B" w:rsidRDefault="3782F5BA" w:rsidP="3782F5BA">
      <w:pPr>
        <w:keepLines/>
        <w:widowControl w:val="0"/>
        <w:jc w:val="center"/>
        <w:rPr>
          <w:rFonts w:ascii="Times New Roman" w:eastAsia="Times New Roman" w:hAnsi="Times New Roman" w:cs="Times New Roman"/>
          <w:b/>
          <w:bCs/>
          <w:sz w:val="26"/>
          <w:szCs w:val="26"/>
        </w:rPr>
      </w:pPr>
      <w:r w:rsidRPr="3782F5BA">
        <w:rPr>
          <w:rFonts w:ascii="Times New Roman" w:eastAsia="Times New Roman" w:hAnsi="Times New Roman" w:cs="Times New Roman"/>
          <w:sz w:val="26"/>
          <w:szCs w:val="26"/>
        </w:rPr>
        <w:t xml:space="preserve">Az </w:t>
      </w:r>
      <w:r w:rsidRPr="3782F5BA">
        <w:rPr>
          <w:rFonts w:ascii="Times New Roman" w:eastAsia="Times New Roman" w:hAnsi="Times New Roman" w:cs="Times New Roman"/>
          <w:b/>
          <w:bCs/>
          <w:sz w:val="26"/>
          <w:szCs w:val="26"/>
        </w:rPr>
        <w:t>Egészségbiztosítási Alap kiadásainak</w:t>
      </w:r>
      <w:r w:rsidRPr="3782F5BA">
        <w:rPr>
          <w:rFonts w:ascii="Times New Roman" w:eastAsia="Times New Roman" w:hAnsi="Times New Roman" w:cs="Times New Roman"/>
          <w:sz w:val="26"/>
          <w:szCs w:val="26"/>
        </w:rPr>
        <w:t xml:space="preserve"> összetételét a következő ábra mutatja be:</w:t>
      </w:r>
      <w:r w:rsidRPr="3782F5BA">
        <w:rPr>
          <w:rFonts w:ascii="Times New Roman" w:eastAsia="Times New Roman" w:hAnsi="Times New Roman" w:cs="Times New Roman"/>
          <w:b/>
          <w:bCs/>
          <w:sz w:val="26"/>
          <w:szCs w:val="26"/>
        </w:rPr>
        <w:t xml:space="preserve"> </w:t>
      </w:r>
    </w:p>
    <w:p w14:paraId="57C38B59" w14:textId="57D17872" w:rsidR="00D4148C" w:rsidRDefault="00591D8B" w:rsidP="00D4148C">
      <w:pPr>
        <w:widowControl w:val="0"/>
        <w:spacing w:after="240"/>
        <w:jc w:val="center"/>
        <w:rPr>
          <w:rFonts w:ascii="Times New Roman" w:eastAsia="Times New Roman" w:hAnsi="Times New Roman" w:cs="Times New Roman"/>
          <w:sz w:val="26"/>
          <w:szCs w:val="26"/>
        </w:rPr>
      </w:pPr>
      <w:r>
        <w:rPr>
          <w:noProof/>
          <w:lang w:eastAsia="hu-HU"/>
        </w:rPr>
        <w:drawing>
          <wp:inline distT="0" distB="0" distL="0" distR="0" wp14:anchorId="1A068EAC" wp14:editId="658603ED">
            <wp:extent cx="5939769" cy="2545177"/>
            <wp:effectExtent l="0" t="0" r="4445" b="762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57429" cy="2552744"/>
                    </a:xfrm>
                    <a:prstGeom prst="rect">
                      <a:avLst/>
                    </a:prstGeom>
                  </pic:spPr>
                </pic:pic>
              </a:graphicData>
            </a:graphic>
          </wp:inline>
        </w:drawing>
      </w:r>
    </w:p>
    <w:p w14:paraId="19FDF989" w14:textId="784B05A2" w:rsidR="00CA3468" w:rsidRDefault="3782F5BA" w:rsidP="3782F5BA">
      <w:pPr>
        <w:spacing w:before="240" w:after="240"/>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 xml:space="preserve">Az </w:t>
      </w:r>
      <w:r w:rsidRPr="3782F5BA">
        <w:rPr>
          <w:rFonts w:ascii="Times New Roman" w:eastAsia="Times New Roman" w:hAnsi="Times New Roman" w:cs="Times New Roman"/>
          <w:b/>
          <w:bCs/>
          <w:sz w:val="26"/>
          <w:szCs w:val="26"/>
        </w:rPr>
        <w:t>Egészségbiztosítási Alap</w:t>
      </w:r>
      <w:r w:rsidRPr="3782F5BA">
        <w:rPr>
          <w:rFonts w:ascii="Times New Roman" w:eastAsia="Times New Roman" w:hAnsi="Times New Roman" w:cs="Times New Roman"/>
          <w:sz w:val="26"/>
          <w:szCs w:val="26"/>
        </w:rPr>
        <w:t xml:space="preserve"> összes kiadásának 26,3%-át a </w:t>
      </w:r>
      <w:r w:rsidRPr="3782F5BA">
        <w:rPr>
          <w:rFonts w:ascii="Times New Roman" w:eastAsia="Times New Roman" w:hAnsi="Times New Roman" w:cs="Times New Roman"/>
          <w:b/>
          <w:bCs/>
          <w:sz w:val="26"/>
          <w:szCs w:val="26"/>
        </w:rPr>
        <w:t>pénzbeli ellátásokra</w:t>
      </w:r>
      <w:r w:rsidRPr="3782F5BA">
        <w:rPr>
          <w:rFonts w:ascii="Times New Roman" w:eastAsia="Times New Roman" w:hAnsi="Times New Roman" w:cs="Times New Roman"/>
          <w:sz w:val="26"/>
          <w:szCs w:val="26"/>
        </w:rPr>
        <w:t xml:space="preserve"> fordított összeg adta. Az ellátások részletes bemutatását a következő táblázat tartalmazza:</w:t>
      </w:r>
    </w:p>
    <w:p w14:paraId="1D31F2C8" w14:textId="3F5AAC59" w:rsidR="00DA4FBC" w:rsidRDefault="3782F5BA" w:rsidP="3782F5BA">
      <w:pPr>
        <w:spacing w:after="120"/>
        <w:jc w:val="center"/>
        <w:rPr>
          <w:rFonts w:ascii="Times New Roman" w:eastAsia="Times New Roman" w:hAnsi="Times New Roman" w:cs="Times New Roman"/>
          <w:b/>
          <w:bCs/>
          <w:sz w:val="26"/>
          <w:szCs w:val="26"/>
        </w:rPr>
      </w:pPr>
      <w:r w:rsidRPr="3782F5BA">
        <w:rPr>
          <w:rFonts w:ascii="Times New Roman" w:eastAsia="Times New Roman" w:hAnsi="Times New Roman" w:cs="Times New Roman"/>
          <w:b/>
          <w:bCs/>
          <w:sz w:val="26"/>
          <w:szCs w:val="26"/>
        </w:rPr>
        <w:t>Az Egészségbiztosítási Alap pénzbeli ellátásokra fordított kiadásainak alakulása (milliárd forint)</w:t>
      </w:r>
    </w:p>
    <w:tbl>
      <w:tblPr>
        <w:tblpPr w:leftFromText="141" w:rightFromText="141" w:vertAnchor="text" w:tblpXSpec="center" w:tblpY="1"/>
        <w:tblOverlap w:val="never"/>
        <w:tblW w:w="8718" w:type="dxa"/>
        <w:tblLayout w:type="fixed"/>
        <w:tblCellMar>
          <w:left w:w="70" w:type="dxa"/>
          <w:right w:w="70" w:type="dxa"/>
        </w:tblCellMar>
        <w:tblLook w:val="04A0" w:firstRow="1" w:lastRow="0" w:firstColumn="1" w:lastColumn="0" w:noHBand="0" w:noVBand="1"/>
      </w:tblPr>
      <w:tblGrid>
        <w:gridCol w:w="4248"/>
        <w:gridCol w:w="1276"/>
        <w:gridCol w:w="1209"/>
        <w:gridCol w:w="992"/>
        <w:gridCol w:w="993"/>
      </w:tblGrid>
      <w:tr w:rsidR="00E601EF" w:rsidRPr="00377D59" w14:paraId="06E6BC15" w14:textId="77777777" w:rsidTr="73C5D9BC">
        <w:trPr>
          <w:trHeight w:val="340"/>
        </w:trPr>
        <w:tc>
          <w:tcPr>
            <w:tcW w:w="4248" w:type="dxa"/>
            <w:vMerge w:val="restart"/>
            <w:tcBorders>
              <w:top w:val="single" w:sz="4" w:space="0" w:color="auto"/>
              <w:left w:val="single" w:sz="4" w:space="0" w:color="auto"/>
              <w:bottom w:val="single" w:sz="4" w:space="0" w:color="000000" w:themeColor="text1"/>
              <w:right w:val="single" w:sz="4" w:space="0" w:color="auto"/>
            </w:tcBorders>
            <w:shd w:val="clear" w:color="auto" w:fill="BDD6EE" w:themeFill="accent1" w:themeFillTint="66"/>
            <w:noWrap/>
            <w:vAlign w:val="center"/>
            <w:hideMark/>
          </w:tcPr>
          <w:p w14:paraId="510863DA" w14:textId="77777777" w:rsidR="00E601EF" w:rsidRPr="00377D59" w:rsidRDefault="3782F5BA" w:rsidP="3782F5BA">
            <w:pPr>
              <w:keepNext/>
              <w:keepLines/>
              <w:spacing w:after="0" w:line="240" w:lineRule="auto"/>
              <w:jc w:val="center"/>
              <w:rPr>
                <w:rFonts w:ascii="Times New Roman" w:eastAsia="Times New Roman" w:hAnsi="Times New Roman" w:cs="Times New Roman"/>
                <w:b/>
                <w:bCs/>
              </w:rPr>
            </w:pPr>
            <w:r w:rsidRPr="3782F5BA">
              <w:rPr>
                <w:rFonts w:ascii="Times New Roman" w:eastAsia="Times New Roman" w:hAnsi="Times New Roman" w:cs="Times New Roman"/>
                <w:b/>
                <w:bCs/>
              </w:rPr>
              <w:t>Megnevezés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B44369" w14:textId="3568ACF6" w:rsidR="00E601EF" w:rsidRPr="00377D59" w:rsidRDefault="3782F5BA" w:rsidP="3782F5BA">
            <w:pPr>
              <w:keepNext/>
              <w:keepLines/>
              <w:spacing w:after="0" w:line="240" w:lineRule="auto"/>
              <w:jc w:val="center"/>
              <w:rPr>
                <w:rFonts w:ascii="Times New Roman" w:eastAsia="Times New Roman" w:hAnsi="Times New Roman" w:cs="Times New Roman"/>
                <w:b/>
                <w:bCs/>
              </w:rPr>
            </w:pPr>
            <w:r w:rsidRPr="3782F5BA">
              <w:rPr>
                <w:rFonts w:ascii="Times New Roman" w:eastAsia="Times New Roman" w:hAnsi="Times New Roman" w:cs="Times New Roman"/>
                <w:b/>
                <w:bCs/>
              </w:rPr>
              <w:t xml:space="preserve">2024. </w:t>
            </w:r>
            <w:r w:rsidR="3569ECBC">
              <w:br/>
            </w:r>
            <w:r w:rsidRPr="3782F5BA">
              <w:rPr>
                <w:rFonts w:ascii="Times New Roman" w:eastAsia="Times New Roman" w:hAnsi="Times New Roman" w:cs="Times New Roman"/>
                <w:b/>
                <w:bCs/>
              </w:rPr>
              <w:t>I-II. hó</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A1BFE64" w14:textId="2E845EF8" w:rsidR="00E601EF" w:rsidRPr="00377D59" w:rsidRDefault="3782F5BA" w:rsidP="3782F5BA">
            <w:pPr>
              <w:keepNext/>
              <w:keepLines/>
              <w:spacing w:after="0" w:line="240" w:lineRule="auto"/>
              <w:jc w:val="center"/>
              <w:rPr>
                <w:rFonts w:ascii="Times New Roman" w:eastAsia="Times New Roman" w:hAnsi="Times New Roman" w:cs="Times New Roman"/>
                <w:b/>
                <w:bCs/>
              </w:rPr>
            </w:pPr>
            <w:r w:rsidRPr="3782F5BA">
              <w:rPr>
                <w:rFonts w:ascii="Times New Roman" w:eastAsia="Times New Roman" w:hAnsi="Times New Roman" w:cs="Times New Roman"/>
                <w:b/>
                <w:bCs/>
              </w:rPr>
              <w:t xml:space="preserve">2025. </w:t>
            </w:r>
            <w:r w:rsidR="3569ECBC">
              <w:br/>
            </w:r>
            <w:r w:rsidRPr="3782F5BA">
              <w:rPr>
                <w:rFonts w:ascii="Times New Roman" w:eastAsia="Times New Roman" w:hAnsi="Times New Roman" w:cs="Times New Roman"/>
                <w:b/>
                <w:bCs/>
              </w:rPr>
              <w:t>I-II. hó</w:t>
            </w:r>
          </w:p>
        </w:tc>
        <w:tc>
          <w:tcPr>
            <w:tcW w:w="1985"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EFB39D6" w14:textId="77777777" w:rsidR="00E601EF" w:rsidRPr="00377D59" w:rsidRDefault="3782F5BA" w:rsidP="3782F5BA">
            <w:pPr>
              <w:keepNext/>
              <w:keepLines/>
              <w:spacing w:after="0" w:line="240" w:lineRule="auto"/>
              <w:jc w:val="center"/>
              <w:rPr>
                <w:rFonts w:ascii="Times New Roman" w:eastAsia="Times New Roman" w:hAnsi="Times New Roman" w:cs="Times New Roman"/>
                <w:b/>
                <w:bCs/>
              </w:rPr>
            </w:pPr>
            <w:r w:rsidRPr="3782F5BA">
              <w:rPr>
                <w:rFonts w:ascii="Times New Roman" w:eastAsia="Times New Roman" w:hAnsi="Times New Roman" w:cs="Times New Roman"/>
                <w:b/>
                <w:bCs/>
              </w:rPr>
              <w:t>Eltérés</w:t>
            </w:r>
          </w:p>
        </w:tc>
      </w:tr>
      <w:tr w:rsidR="00E601EF" w:rsidRPr="00377D59" w14:paraId="67C6C54B" w14:textId="77777777" w:rsidTr="73C5D9BC">
        <w:trPr>
          <w:trHeight w:val="340"/>
        </w:trPr>
        <w:tc>
          <w:tcPr>
            <w:tcW w:w="4248" w:type="dxa"/>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5CCA367D" w14:textId="77777777" w:rsidR="00E601EF" w:rsidRPr="00377D59" w:rsidRDefault="00E601EF" w:rsidP="002678FB">
            <w:pPr>
              <w:keepNext/>
              <w:keepLines/>
              <w:spacing w:after="0" w:line="240" w:lineRule="auto"/>
              <w:rPr>
                <w:rFonts w:ascii="Times New Roman" w:eastAsia="Times New Roman" w:hAnsi="Times New Roman" w:cs="Times New Roman"/>
                <w:b/>
                <w:bCs/>
                <w:lang w:eastAsia="hu-HU"/>
              </w:rPr>
            </w:pPr>
          </w:p>
        </w:tc>
        <w:tc>
          <w:tcPr>
            <w:tcW w:w="127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99307A" w14:textId="77777777" w:rsidR="00E601EF" w:rsidRPr="00377D59" w:rsidRDefault="00E601EF" w:rsidP="002678FB">
            <w:pPr>
              <w:keepNext/>
              <w:keepLines/>
              <w:spacing w:after="0" w:line="240" w:lineRule="auto"/>
              <w:jc w:val="center"/>
              <w:rPr>
                <w:rFonts w:ascii="Times New Roman" w:eastAsia="Times New Roman" w:hAnsi="Times New Roman" w:cs="Times New Roman"/>
                <w:b/>
                <w:bCs/>
                <w:lang w:eastAsia="hu-HU"/>
              </w:rPr>
            </w:pPr>
          </w:p>
        </w:tc>
        <w:tc>
          <w:tcPr>
            <w:tcW w:w="120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E594B6" w14:textId="77777777" w:rsidR="00E601EF" w:rsidRPr="00377D59" w:rsidRDefault="00E601EF" w:rsidP="002678FB">
            <w:pPr>
              <w:keepNext/>
              <w:keepLines/>
              <w:spacing w:after="0" w:line="240" w:lineRule="auto"/>
              <w:jc w:val="center"/>
              <w:rPr>
                <w:rFonts w:ascii="Times New Roman" w:eastAsia="Times New Roman" w:hAnsi="Times New Roman" w:cs="Times New Roman"/>
                <w:b/>
                <w:bCs/>
                <w:lang w:eastAsia="hu-HU"/>
              </w:rPr>
            </w:pP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986BC2B" w14:textId="77777777" w:rsidR="00E601EF" w:rsidRPr="00377D59" w:rsidRDefault="3782F5BA" w:rsidP="3782F5BA">
            <w:pPr>
              <w:keepNext/>
              <w:keepLines/>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Mrd Ft</w:t>
            </w:r>
          </w:p>
        </w:tc>
        <w:tc>
          <w:tcPr>
            <w:tcW w:w="99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0EDA458" w14:textId="77777777" w:rsidR="00E601EF" w:rsidRPr="00377D59" w:rsidRDefault="3782F5BA" w:rsidP="3782F5BA">
            <w:pPr>
              <w:keepNext/>
              <w:keepLines/>
              <w:spacing w:after="0" w:line="240" w:lineRule="auto"/>
              <w:jc w:val="center"/>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w:t>
            </w:r>
          </w:p>
        </w:tc>
      </w:tr>
      <w:tr w:rsidR="00E601EF" w:rsidRPr="00377D59" w14:paraId="0F7FB8C0" w14:textId="77777777" w:rsidTr="73C5D9BC">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F8BBBDE" w14:textId="77777777" w:rsidR="00E601EF" w:rsidRPr="00377D59" w:rsidRDefault="3782F5BA" w:rsidP="3782F5BA">
            <w:pPr>
              <w:keepNext/>
              <w:keepLines/>
              <w:spacing w:after="0" w:line="240" w:lineRule="auto"/>
              <w:ind w:firstLine="67"/>
              <w:rPr>
                <w:rFonts w:ascii="Times New Roman" w:eastAsia="Times New Roman" w:hAnsi="Times New Roman" w:cs="Times New Roman"/>
                <w:b/>
                <w:bCs/>
                <w:lang w:eastAsia="hu-HU"/>
              </w:rPr>
            </w:pPr>
            <w:r w:rsidRPr="3782F5BA">
              <w:rPr>
                <w:rFonts w:ascii="Times New Roman" w:eastAsia="Times New Roman" w:hAnsi="Times New Roman" w:cs="Times New Roman"/>
                <w:b/>
                <w:bCs/>
                <w:lang w:eastAsia="hu-HU"/>
              </w:rPr>
              <w:t>Pénzbeli ellátások</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B30386" w14:textId="1DB5FC4A" w:rsidR="00E601EF" w:rsidRPr="00377D59" w:rsidRDefault="73C5D9BC" w:rsidP="73C5D9BC">
            <w:pPr>
              <w:keepNext/>
              <w:keepLines/>
              <w:spacing w:after="0"/>
              <w:jc w:val="right"/>
              <w:rPr>
                <w:rFonts w:ascii="Times New Roman" w:eastAsia="Times New Roman" w:hAnsi="Times New Roman" w:cs="Times New Roman"/>
                <w:b/>
                <w:bCs/>
                <w:lang w:eastAsia="hu-HU"/>
              </w:rPr>
            </w:pPr>
            <w:r w:rsidRPr="73C5D9BC">
              <w:rPr>
                <w:rFonts w:ascii="Times New Roman" w:eastAsia="Times New Roman" w:hAnsi="Times New Roman" w:cs="Times New Roman"/>
                <w:b/>
                <w:bCs/>
                <w:lang w:eastAsia="hu-HU"/>
              </w:rPr>
              <w:t>216,1</w:t>
            </w:r>
          </w:p>
        </w:tc>
        <w:tc>
          <w:tcPr>
            <w:tcW w:w="1209" w:type="dxa"/>
            <w:tcBorders>
              <w:top w:val="single" w:sz="4" w:space="0" w:color="auto"/>
              <w:left w:val="nil"/>
              <w:bottom w:val="single" w:sz="4" w:space="0" w:color="auto"/>
              <w:right w:val="single" w:sz="4" w:space="0" w:color="auto"/>
            </w:tcBorders>
            <w:shd w:val="clear" w:color="auto" w:fill="auto"/>
            <w:vAlign w:val="center"/>
          </w:tcPr>
          <w:p w14:paraId="749AF748" w14:textId="39173535" w:rsidR="00E601EF" w:rsidRPr="00377D59" w:rsidRDefault="73C5D9BC" w:rsidP="73C5D9BC">
            <w:pPr>
              <w:keepNext/>
              <w:keepLines/>
              <w:spacing w:after="0"/>
              <w:jc w:val="right"/>
              <w:rPr>
                <w:rFonts w:ascii="Times New Roman" w:eastAsia="Times New Roman" w:hAnsi="Times New Roman" w:cs="Times New Roman"/>
                <w:b/>
                <w:bCs/>
                <w:lang w:eastAsia="hu-HU"/>
              </w:rPr>
            </w:pPr>
            <w:r w:rsidRPr="73C5D9BC">
              <w:rPr>
                <w:rFonts w:ascii="Times New Roman" w:eastAsia="Times New Roman" w:hAnsi="Times New Roman" w:cs="Times New Roman"/>
                <w:b/>
                <w:bCs/>
                <w:lang w:eastAsia="hu-HU"/>
              </w:rPr>
              <w:t>232,9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0D698F" w14:textId="48A2A980" w:rsidR="00E601EF" w:rsidRPr="00377D59" w:rsidRDefault="73C5D9BC" w:rsidP="73C5D9BC">
            <w:pPr>
              <w:keepNext/>
              <w:keepLines/>
              <w:spacing w:after="0"/>
              <w:jc w:val="right"/>
              <w:rPr>
                <w:rFonts w:ascii="Times New Roman" w:eastAsia="Times New Roman" w:hAnsi="Times New Roman" w:cs="Times New Roman"/>
                <w:b/>
                <w:bCs/>
                <w:lang w:eastAsia="hu-HU"/>
              </w:rPr>
            </w:pPr>
            <w:r w:rsidRPr="73C5D9BC">
              <w:rPr>
                <w:rFonts w:ascii="Times New Roman" w:eastAsia="Times New Roman" w:hAnsi="Times New Roman" w:cs="Times New Roman"/>
                <w:b/>
                <w:bCs/>
                <w:lang w:eastAsia="hu-HU"/>
              </w:rPr>
              <w:t>16,8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5977C13" w14:textId="4D04DC0A" w:rsidR="00E601EF" w:rsidRPr="00377D59" w:rsidRDefault="73C5D9BC" w:rsidP="73C5D9BC">
            <w:pPr>
              <w:keepNext/>
              <w:keepLines/>
              <w:spacing w:after="0"/>
              <w:jc w:val="right"/>
              <w:rPr>
                <w:rFonts w:ascii="Times New Roman" w:eastAsia="Times New Roman" w:hAnsi="Times New Roman" w:cs="Times New Roman"/>
                <w:b/>
                <w:bCs/>
                <w:lang w:eastAsia="hu-HU"/>
              </w:rPr>
            </w:pPr>
            <w:r w:rsidRPr="73C5D9BC">
              <w:rPr>
                <w:rFonts w:ascii="Times New Roman" w:eastAsia="Times New Roman" w:hAnsi="Times New Roman" w:cs="Times New Roman"/>
                <w:b/>
                <w:bCs/>
                <w:lang w:eastAsia="hu-HU"/>
              </w:rPr>
              <w:t>107,8</w:t>
            </w:r>
          </w:p>
        </w:tc>
      </w:tr>
      <w:tr w:rsidR="00E601EF" w:rsidRPr="00377D59" w14:paraId="07715518" w14:textId="77777777" w:rsidTr="73C5D9BC">
        <w:trPr>
          <w:trHeight w:val="28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1DF5B0B" w14:textId="77777777" w:rsidR="00E601EF" w:rsidRPr="00377D59" w:rsidRDefault="3782F5BA" w:rsidP="3782F5BA">
            <w:pPr>
              <w:keepNext/>
              <w:keepLines/>
              <w:spacing w:after="0" w:line="240" w:lineRule="auto"/>
              <w:ind w:firstLine="285"/>
              <w:rPr>
                <w:rFonts w:ascii="Times New Roman" w:eastAsia="Times New Roman" w:hAnsi="Times New Roman" w:cs="Times New Roman"/>
                <w:i/>
                <w:iCs/>
                <w:lang w:eastAsia="hu-HU"/>
              </w:rPr>
            </w:pPr>
            <w:r w:rsidRPr="3782F5BA">
              <w:rPr>
                <w:rFonts w:ascii="Times New Roman" w:eastAsia="Times New Roman" w:hAnsi="Times New Roman" w:cs="Times New Roman"/>
                <w:i/>
                <w:iCs/>
                <w:lang w:eastAsia="hu-HU"/>
              </w:rPr>
              <w:t>Ebből:</w:t>
            </w:r>
          </w:p>
        </w:tc>
        <w:tc>
          <w:tcPr>
            <w:tcW w:w="4470" w:type="dxa"/>
            <w:gridSpan w:val="4"/>
            <w:tcBorders>
              <w:top w:val="single" w:sz="4" w:space="0" w:color="auto"/>
              <w:left w:val="nil"/>
              <w:bottom w:val="single" w:sz="4" w:space="0" w:color="auto"/>
              <w:right w:val="single" w:sz="4" w:space="0" w:color="auto"/>
            </w:tcBorders>
            <w:shd w:val="clear" w:color="auto" w:fill="auto"/>
            <w:vAlign w:val="center"/>
          </w:tcPr>
          <w:p w14:paraId="60B47ECC" w14:textId="77777777" w:rsidR="00E601EF" w:rsidRPr="00377D59" w:rsidRDefault="00E601EF" w:rsidP="002678FB">
            <w:pPr>
              <w:keepNext/>
              <w:keepLines/>
              <w:spacing w:after="0" w:line="240" w:lineRule="auto"/>
              <w:jc w:val="right"/>
              <w:rPr>
                <w:rFonts w:ascii="Times New Roman" w:eastAsia="Times New Roman" w:hAnsi="Times New Roman" w:cs="Times New Roman"/>
                <w:lang w:eastAsia="hu-HU"/>
              </w:rPr>
            </w:pPr>
          </w:p>
        </w:tc>
      </w:tr>
      <w:tr w:rsidR="00E601EF" w:rsidRPr="00377D59" w14:paraId="72B9616A" w14:textId="77777777" w:rsidTr="73C5D9BC">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1DA2C4C" w14:textId="77777777" w:rsidR="00E601EF" w:rsidRPr="00377D59" w:rsidRDefault="3782F5BA" w:rsidP="3782F5BA">
            <w:pPr>
              <w:keepNext/>
              <w:keepLines/>
              <w:spacing w:after="0" w:line="240" w:lineRule="auto"/>
              <w:ind w:firstLine="67"/>
              <w:rPr>
                <w:rFonts w:ascii="Times New Roman" w:eastAsia="Times New Roman" w:hAnsi="Times New Roman" w:cs="Times New Roman"/>
                <w:lang w:eastAsia="hu-HU"/>
              </w:rPr>
            </w:pPr>
            <w:r w:rsidRPr="3782F5BA">
              <w:rPr>
                <w:rFonts w:ascii="Times New Roman" w:eastAsia="Times New Roman" w:hAnsi="Times New Roman" w:cs="Times New Roman"/>
                <w:lang w:eastAsia="hu-HU"/>
              </w:rPr>
              <w:t>Rokkantsági, rehabilitációs ellátások</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E22A63" w14:textId="5C9B965D" w:rsidR="00E601EF" w:rsidRPr="00377D59" w:rsidRDefault="73C5D9BC" w:rsidP="73C5D9BC">
            <w:pPr>
              <w:keepNext/>
              <w:keepLines/>
              <w:spacing w:after="0"/>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91,4</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0480FC73" w14:textId="5DC0DFA6" w:rsidR="00E601EF" w:rsidRPr="00377D59" w:rsidRDefault="73C5D9BC" w:rsidP="73C5D9BC">
            <w:pPr>
              <w:keepNext/>
              <w:keepLines/>
              <w:spacing w:after="0"/>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94,5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616B24" w14:textId="75BF4468" w:rsidR="00E601EF" w:rsidRPr="00377D59" w:rsidRDefault="73C5D9BC" w:rsidP="73C5D9BC">
            <w:pPr>
              <w:keepNext/>
              <w:keepLines/>
              <w:spacing w:after="0"/>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3,1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B583A17" w14:textId="7F6CF0F0" w:rsidR="00E601EF" w:rsidRPr="00377D59" w:rsidRDefault="73C5D9BC" w:rsidP="73C5D9BC">
            <w:pPr>
              <w:keepNext/>
              <w:keepLines/>
              <w:spacing w:after="0"/>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103,4</w:t>
            </w:r>
          </w:p>
        </w:tc>
      </w:tr>
      <w:tr w:rsidR="00E601EF" w:rsidRPr="00377D59" w14:paraId="778FD915" w14:textId="77777777" w:rsidTr="73C5D9BC">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CDB1046" w14:textId="4891E4FD" w:rsidR="00E601EF" w:rsidRPr="00377D59" w:rsidRDefault="3782F5BA" w:rsidP="3782F5BA">
            <w:pPr>
              <w:keepNext/>
              <w:keepLines/>
              <w:spacing w:after="0" w:line="240" w:lineRule="auto"/>
              <w:ind w:firstLine="67"/>
              <w:rPr>
                <w:rFonts w:ascii="Times New Roman" w:eastAsia="Times New Roman" w:hAnsi="Times New Roman" w:cs="Times New Roman"/>
                <w:lang w:eastAsia="hu-HU"/>
              </w:rPr>
            </w:pPr>
            <w:r w:rsidRPr="3782F5BA">
              <w:rPr>
                <w:rFonts w:ascii="Times New Roman" w:eastAsia="Times New Roman" w:hAnsi="Times New Roman" w:cs="Times New Roman"/>
                <w:lang w:eastAsia="hu-HU"/>
              </w:rPr>
              <w:t>Gyermekgondozási díj és örökbefogadói díj</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0C3582" w14:textId="371FB8B9" w:rsidR="00E601EF" w:rsidRPr="00377D59" w:rsidRDefault="73C5D9BC" w:rsidP="73C5D9BC">
            <w:pPr>
              <w:keepNext/>
              <w:keepLines/>
              <w:spacing w:after="0"/>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60,8</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6E6D7B2A" w14:textId="2F8534C4" w:rsidR="00E601EF" w:rsidRPr="00377D59" w:rsidRDefault="73C5D9BC" w:rsidP="73C5D9BC">
            <w:pPr>
              <w:keepNext/>
              <w:keepLines/>
              <w:spacing w:after="0"/>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65,4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1AEA46" w14:textId="221A5FF7" w:rsidR="00E601EF" w:rsidRPr="00377D59" w:rsidRDefault="73C5D9BC" w:rsidP="73C5D9BC">
            <w:pPr>
              <w:keepNext/>
              <w:keepLines/>
              <w:spacing w:after="0"/>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4,6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89A6E8D" w14:textId="3F726CFF" w:rsidR="00E601EF" w:rsidRPr="00377D59" w:rsidRDefault="73C5D9BC" w:rsidP="73C5D9BC">
            <w:pPr>
              <w:keepNext/>
              <w:keepLines/>
              <w:spacing w:after="0"/>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107,6</w:t>
            </w:r>
          </w:p>
        </w:tc>
      </w:tr>
      <w:tr w:rsidR="00E601EF" w:rsidRPr="00377D59" w14:paraId="7D62EFFD" w14:textId="77777777" w:rsidTr="73C5D9B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7EDDE" w14:textId="77777777" w:rsidR="00E601EF" w:rsidRPr="00377D59" w:rsidRDefault="3782F5BA" w:rsidP="3782F5BA">
            <w:pPr>
              <w:keepNext/>
              <w:keepLines/>
              <w:spacing w:after="0" w:line="240" w:lineRule="auto"/>
              <w:ind w:firstLine="67"/>
              <w:rPr>
                <w:rFonts w:ascii="Times New Roman" w:eastAsia="Times New Roman" w:hAnsi="Times New Roman" w:cs="Times New Roman"/>
                <w:lang w:eastAsia="hu-HU"/>
              </w:rPr>
            </w:pPr>
            <w:r w:rsidRPr="3782F5BA">
              <w:rPr>
                <w:rFonts w:ascii="Times New Roman" w:eastAsia="Times New Roman" w:hAnsi="Times New Roman" w:cs="Times New Roman"/>
                <w:lang w:eastAsia="hu-HU"/>
              </w:rPr>
              <w:t>Táppénz</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BD4593" w14:textId="0EF241F4" w:rsidR="00E601EF" w:rsidRPr="00377D59" w:rsidRDefault="73C5D9BC" w:rsidP="73C5D9BC">
            <w:pPr>
              <w:keepNext/>
              <w:keepLines/>
              <w:spacing w:after="0"/>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35,0</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7122EFC4" w14:textId="0B0005E6" w:rsidR="00E601EF" w:rsidRPr="00377D59" w:rsidRDefault="73C5D9BC" w:rsidP="73C5D9BC">
            <w:pPr>
              <w:keepNext/>
              <w:keepLines/>
              <w:spacing w:after="0"/>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41,7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552A76" w14:textId="6E39D15B" w:rsidR="00E601EF" w:rsidRPr="00377D59" w:rsidRDefault="73C5D9BC" w:rsidP="73C5D9BC">
            <w:pPr>
              <w:keepNext/>
              <w:keepLines/>
              <w:spacing w:after="0"/>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6,7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24ADF3D" w14:textId="5BB7115E" w:rsidR="00E601EF" w:rsidRPr="00377D59" w:rsidRDefault="73C5D9BC" w:rsidP="73C5D9BC">
            <w:pPr>
              <w:keepNext/>
              <w:keepLines/>
              <w:spacing w:after="0"/>
              <w:jc w:val="right"/>
              <w:rPr>
                <w:rFonts w:ascii="Times New Roman" w:eastAsia="Times New Roman" w:hAnsi="Times New Roman" w:cs="Times New Roman"/>
                <w:lang w:eastAsia="hu-HU"/>
              </w:rPr>
            </w:pPr>
            <w:r w:rsidRPr="73C5D9BC">
              <w:rPr>
                <w:rFonts w:ascii="Times New Roman" w:eastAsia="Times New Roman" w:hAnsi="Times New Roman" w:cs="Times New Roman"/>
                <w:lang w:eastAsia="hu-HU"/>
              </w:rPr>
              <w:t>119,1</w:t>
            </w:r>
          </w:p>
        </w:tc>
      </w:tr>
    </w:tbl>
    <w:p w14:paraId="56AC791F" w14:textId="77777777" w:rsidR="005A29CC" w:rsidRDefault="00591D8B" w:rsidP="005A29C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br w:type="column"/>
      </w:r>
      <w:r w:rsidR="3782F5BA" w:rsidRPr="3782F5BA">
        <w:rPr>
          <w:rFonts w:ascii="Times New Roman" w:eastAsia="Times New Roman" w:hAnsi="Times New Roman" w:cs="Times New Roman"/>
          <w:sz w:val="26"/>
          <w:szCs w:val="26"/>
        </w:rPr>
        <w:lastRenderedPageBreak/>
        <w:t xml:space="preserve">A </w:t>
      </w:r>
      <w:r w:rsidR="3782F5BA" w:rsidRPr="3782F5BA">
        <w:rPr>
          <w:rFonts w:ascii="Times New Roman" w:eastAsia="Times New Roman" w:hAnsi="Times New Roman" w:cs="Times New Roman"/>
          <w:b/>
          <w:bCs/>
          <w:sz w:val="26"/>
          <w:szCs w:val="26"/>
        </w:rPr>
        <w:t>gyógyító-megelőző ellátásokra</w:t>
      </w:r>
      <w:r w:rsidR="3782F5BA" w:rsidRPr="3782F5BA">
        <w:rPr>
          <w:rFonts w:ascii="Times New Roman" w:eastAsia="Times New Roman" w:hAnsi="Times New Roman" w:cs="Times New Roman"/>
          <w:sz w:val="26"/>
          <w:szCs w:val="26"/>
        </w:rPr>
        <w:t xml:space="preserve"> fordított kiadás 2025 első két hónapjában 531</w:t>
      </w:r>
      <w:r w:rsidR="005A29CC">
        <w:rPr>
          <w:rFonts w:ascii="Times New Roman" w:eastAsia="Times New Roman" w:hAnsi="Times New Roman" w:cs="Times New Roman"/>
          <w:sz w:val="26"/>
          <w:szCs w:val="26"/>
        </w:rPr>
        <w:t>,</w:t>
      </w:r>
      <w:r w:rsidR="3782F5BA" w:rsidRPr="3782F5BA">
        <w:rPr>
          <w:rFonts w:ascii="Times New Roman" w:eastAsia="Times New Roman" w:hAnsi="Times New Roman" w:cs="Times New Roman"/>
          <w:sz w:val="26"/>
          <w:szCs w:val="26"/>
        </w:rPr>
        <w:t xml:space="preserve">5 milliárd forintot tett ki a 2024 azonos időszakában felmerülő 386,3 milliárd forint összegű kiadással szemben. Az előző évhez viszonyított magasabb összegű kiadás elsődlegesen az egészségügyi ágazati előmeneteli szabályok hatálya alá tartozó egészségügyi szakdolgozókat és egészségügyben dolgozókat 2024. március 1-jétől megillető, átlagosan 20%-os, valamint az alapellátásban dolgozó egészségügyi dolgozók azonos mértékű béremelésével kapcsolatosan jelentkezik. </w:t>
      </w:r>
    </w:p>
    <w:p w14:paraId="1411073C" w14:textId="0A30BD90" w:rsidR="46186346" w:rsidRDefault="3782F5BA" w:rsidP="005A29CC">
      <w:pPr>
        <w:jc w:val="both"/>
        <w:rPr>
          <w:rFonts w:ascii="Times New Roman" w:eastAsia="Times New Roman" w:hAnsi="Times New Roman" w:cs="Times New Roman"/>
          <w:sz w:val="26"/>
          <w:szCs w:val="26"/>
        </w:rPr>
      </w:pPr>
      <w:r w:rsidRPr="3782F5BA">
        <w:rPr>
          <w:rFonts w:ascii="Times New Roman" w:eastAsia="Times New Roman" w:hAnsi="Times New Roman" w:cs="Times New Roman"/>
          <w:sz w:val="26"/>
          <w:szCs w:val="26"/>
        </w:rPr>
        <w:t>Ezen túlmenően, az egészségügyi szolgáltatók pénzügyi helyzetének javítását biztosító intézkedésekről szóló előterjesztés alapján 96,4</w:t>
      </w:r>
      <w:r w:rsidR="005A29CC">
        <w:rPr>
          <w:rFonts w:ascii="Times New Roman" w:eastAsia="Times New Roman" w:hAnsi="Times New Roman" w:cs="Times New Roman"/>
          <w:sz w:val="26"/>
          <w:szCs w:val="26"/>
        </w:rPr>
        <w:t> </w:t>
      </w:r>
      <w:r w:rsidRPr="3782F5BA">
        <w:rPr>
          <w:rFonts w:ascii="Times New Roman" w:eastAsia="Times New Roman" w:hAnsi="Times New Roman" w:cs="Times New Roman"/>
          <w:sz w:val="26"/>
          <w:szCs w:val="26"/>
        </w:rPr>
        <w:t>milliárd forint működési támogatás biztosítása történt február hónapban a Célelőirányzatok jogcímcsoporton (az Egészségbiztosítási Alap Gyógyító-megelőző ellátás alcím Célelőirányzatok jogcímcsoport 2025. évi előirányzatának megemeléséről szóló 1016/2025. (II. 6.) Korm. határozattal)</w:t>
      </w:r>
      <w:r w:rsidR="00C539FB">
        <w:rPr>
          <w:rFonts w:ascii="Times New Roman" w:eastAsia="Times New Roman" w:hAnsi="Times New Roman" w:cs="Times New Roman"/>
          <w:sz w:val="26"/>
          <w:szCs w:val="26"/>
        </w:rPr>
        <w:t>.</w:t>
      </w:r>
    </w:p>
    <w:p w14:paraId="2ED08265" w14:textId="11098695" w:rsidR="46186346" w:rsidRDefault="73C5D9BC" w:rsidP="005A29CC">
      <w:pPr>
        <w:jc w:val="both"/>
        <w:rPr>
          <w:rFonts w:ascii="Times New Roman" w:eastAsia="Times New Roman" w:hAnsi="Times New Roman" w:cs="Times New Roman"/>
          <w:sz w:val="26"/>
          <w:szCs w:val="26"/>
        </w:rPr>
      </w:pPr>
      <w:r w:rsidRPr="73C5D9BC">
        <w:rPr>
          <w:rFonts w:ascii="Times New Roman" w:eastAsia="Times New Roman" w:hAnsi="Times New Roman" w:cs="Times New Roman"/>
          <w:b/>
          <w:bCs/>
          <w:sz w:val="26"/>
          <w:szCs w:val="26"/>
        </w:rPr>
        <w:t>Gyógyszertámogatásra</w:t>
      </w:r>
      <w:r w:rsidRPr="73C5D9BC">
        <w:rPr>
          <w:rFonts w:ascii="Times New Roman" w:eastAsia="Times New Roman" w:hAnsi="Times New Roman" w:cs="Times New Roman"/>
          <w:sz w:val="26"/>
          <w:szCs w:val="26"/>
        </w:rPr>
        <w:t xml:space="preserve"> 2025</w:t>
      </w:r>
      <w:r w:rsidR="005A29CC">
        <w:rPr>
          <w:rFonts w:ascii="Times New Roman" w:eastAsia="Times New Roman" w:hAnsi="Times New Roman" w:cs="Times New Roman"/>
          <w:sz w:val="26"/>
          <w:szCs w:val="26"/>
        </w:rPr>
        <w:t>.</w:t>
      </w:r>
      <w:r w:rsidRPr="73C5D9BC">
        <w:rPr>
          <w:rFonts w:ascii="Times New Roman" w:eastAsia="Times New Roman" w:hAnsi="Times New Roman" w:cs="Times New Roman"/>
          <w:sz w:val="26"/>
          <w:szCs w:val="26"/>
        </w:rPr>
        <w:t xml:space="preserve"> február végéig 95,0 milliárd forint került kifizetésre, amely 7,1 milliárd forinttal magasabb az előző év azonos időszakában</w:t>
      </w:r>
      <w:r w:rsidR="00D258D9">
        <w:rPr>
          <w:rFonts w:ascii="Times New Roman" w:eastAsia="Times New Roman" w:hAnsi="Times New Roman" w:cs="Times New Roman"/>
          <w:sz w:val="26"/>
          <w:szCs w:val="26"/>
        </w:rPr>
        <w:t xml:space="preserve"> </w:t>
      </w:r>
      <w:r w:rsidRPr="73C5D9BC">
        <w:rPr>
          <w:rFonts w:ascii="Times New Roman" w:eastAsia="Times New Roman" w:hAnsi="Times New Roman" w:cs="Times New Roman"/>
          <w:sz w:val="26"/>
          <w:szCs w:val="26"/>
        </w:rPr>
        <w:t>kifizetett összegnél.</w:t>
      </w:r>
    </w:p>
    <w:p w14:paraId="69E4940B" w14:textId="75597E01" w:rsidR="46186346" w:rsidRDefault="46186346" w:rsidP="46186346">
      <w:pPr>
        <w:spacing w:before="160"/>
        <w:jc w:val="both"/>
        <w:rPr>
          <w:rFonts w:ascii="Times New Roman" w:eastAsia="Times New Roman" w:hAnsi="Times New Roman" w:cs="Times New Roman"/>
          <w:sz w:val="26"/>
          <w:szCs w:val="26"/>
        </w:rPr>
      </w:pPr>
    </w:p>
    <w:p w14:paraId="7B768C24" w14:textId="77777777" w:rsidR="00B155FE" w:rsidRPr="00FB35A4" w:rsidRDefault="3782F5BA" w:rsidP="3782F5BA">
      <w:pPr>
        <w:keepNext/>
        <w:pageBreakBefore/>
        <w:numPr>
          <w:ilvl w:val="0"/>
          <w:numId w:val="3"/>
        </w:numPr>
        <w:spacing w:after="120" w:line="240" w:lineRule="auto"/>
        <w:ind w:left="714" w:hanging="357"/>
        <w:jc w:val="both"/>
        <w:outlineLvl w:val="2"/>
        <w:rPr>
          <w:rFonts w:ascii="Times New Roman" w:eastAsia="Times New Roman" w:hAnsi="Times New Roman" w:cs="Times New Roman"/>
          <w:b/>
          <w:bCs/>
          <w:smallCaps/>
          <w:sz w:val="28"/>
          <w:szCs w:val="28"/>
          <w:lang w:eastAsia="hu-HU"/>
        </w:rPr>
      </w:pPr>
      <w:r w:rsidRPr="3782F5BA">
        <w:rPr>
          <w:rFonts w:ascii="Times New Roman" w:eastAsia="Times New Roman" w:hAnsi="Times New Roman" w:cs="Times New Roman"/>
          <w:b/>
          <w:bCs/>
          <w:smallCaps/>
          <w:sz w:val="28"/>
          <w:szCs w:val="28"/>
          <w:lang w:eastAsia="hu-HU"/>
        </w:rPr>
        <w:lastRenderedPageBreak/>
        <w:t xml:space="preserve">A költségvetési szervek és fejezeti kezelésű előirányzatok alakulása </w:t>
      </w:r>
    </w:p>
    <w:p w14:paraId="33892978" w14:textId="04A7DC9F" w:rsidR="00B63DA3" w:rsidRPr="00496C75" w:rsidRDefault="3782F5BA" w:rsidP="3782F5BA">
      <w:pPr>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sz w:val="26"/>
          <w:szCs w:val="26"/>
          <w:lang w:eastAsia="hu-HU"/>
        </w:rPr>
        <w:t xml:space="preserve">A </w:t>
      </w:r>
      <w:r w:rsidRPr="3782F5BA">
        <w:rPr>
          <w:rFonts w:ascii="Times New Roman" w:eastAsia="Times New Roman" w:hAnsi="Times New Roman" w:cs="Times New Roman"/>
          <w:b/>
          <w:bCs/>
          <w:sz w:val="26"/>
          <w:szCs w:val="26"/>
          <w:lang w:eastAsia="hu-HU"/>
        </w:rPr>
        <w:t>költségvetési szervek bevételei</w:t>
      </w:r>
      <w:r w:rsidRPr="3782F5BA">
        <w:rPr>
          <w:rFonts w:ascii="Times New Roman" w:eastAsia="Times New Roman" w:hAnsi="Times New Roman" w:cs="Times New Roman"/>
          <w:sz w:val="26"/>
          <w:szCs w:val="26"/>
          <w:lang w:eastAsia="hu-HU"/>
        </w:rPr>
        <w:t xml:space="preserve"> 2025 első két hónapjában 449,7 milliárd forintot tettek ki, amely 17,5%-kal magasabb az előző év azonos időszakának bevételeihez képest. Az intézmények bevételei közül 291,2 milliárd forintot tett ki a Nemzeti Egészségbiztosítási Alapkezelő által az egészségügyi intézményeknek utalt támogatás.</w:t>
      </w:r>
    </w:p>
    <w:p w14:paraId="3008A395" w14:textId="4F7E7060" w:rsidR="00B63DA3" w:rsidRPr="00591D8B" w:rsidRDefault="3782F5BA" w:rsidP="3782F5BA">
      <w:pPr>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sz w:val="26"/>
          <w:szCs w:val="26"/>
          <w:lang w:eastAsia="hu-HU"/>
        </w:rPr>
        <w:t xml:space="preserve">A </w:t>
      </w:r>
      <w:r w:rsidRPr="3782F5BA">
        <w:rPr>
          <w:rFonts w:ascii="Times New Roman" w:eastAsia="Times New Roman" w:hAnsi="Times New Roman" w:cs="Times New Roman"/>
          <w:b/>
          <w:bCs/>
          <w:sz w:val="26"/>
          <w:szCs w:val="26"/>
          <w:lang w:eastAsia="hu-HU"/>
        </w:rPr>
        <w:t>szakmai fejezeti kezelésű előirányzatok bevételei</w:t>
      </w:r>
      <w:r w:rsidRPr="3782F5BA">
        <w:rPr>
          <w:rFonts w:ascii="Times New Roman" w:eastAsia="Times New Roman" w:hAnsi="Times New Roman" w:cs="Times New Roman"/>
          <w:sz w:val="26"/>
          <w:szCs w:val="26"/>
          <w:lang w:eastAsia="hu-HU"/>
        </w:rPr>
        <w:t xml:space="preserve"> 2025 első két hónapjában 67,2 milliárd forintot tettek ki, mely 29,5%-kal magasabb az előző év azonos időszakának bevételéhez képest. A bevételek jelentős részét az „Alapok alapja GINOP pénzügyi eszközök” törvényi sorra befolyt összegek teszik ki, melyek nem uniós bevételként jóváírt tételek.</w:t>
      </w:r>
    </w:p>
    <w:p w14:paraId="56786471" w14:textId="7B846C57" w:rsidR="00B63DA3" w:rsidRPr="00492CAB" w:rsidRDefault="3782F5BA" w:rsidP="3782F5BA">
      <w:pPr>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sz w:val="26"/>
          <w:szCs w:val="26"/>
          <w:lang w:eastAsia="hu-HU"/>
        </w:rPr>
        <w:t xml:space="preserve">A </w:t>
      </w:r>
      <w:r w:rsidRPr="3782F5BA">
        <w:rPr>
          <w:rFonts w:ascii="Times New Roman" w:hAnsi="Times New Roman" w:cs="Times New Roman"/>
          <w:sz w:val="26"/>
          <w:szCs w:val="26"/>
          <w:lang w:eastAsia="hu-HU"/>
        </w:rPr>
        <w:t>2025. év első kéthavi, 517,0 milliárd forint összegű bevételek megoszlását a következő grafikon szemlélteti</w:t>
      </w:r>
      <w:r w:rsidRPr="3782F5BA">
        <w:rPr>
          <w:rFonts w:ascii="Times New Roman" w:eastAsia="Times New Roman" w:hAnsi="Times New Roman" w:cs="Times New Roman"/>
          <w:sz w:val="26"/>
          <w:szCs w:val="26"/>
          <w:lang w:eastAsia="hu-HU"/>
        </w:rPr>
        <w:t>:</w:t>
      </w:r>
    </w:p>
    <w:p w14:paraId="576D18BB" w14:textId="7DC5F244" w:rsidR="00B056CC" w:rsidRPr="00377D59" w:rsidRDefault="00591D8B" w:rsidP="00C2238F">
      <w:pPr>
        <w:spacing w:before="240" w:after="120"/>
        <w:jc w:val="center"/>
        <w:rPr>
          <w:rFonts w:ascii="Times New Roman" w:eastAsia="Times New Roman" w:hAnsi="Times New Roman" w:cs="Times New Roman"/>
          <w:b/>
          <w:sz w:val="26"/>
          <w:szCs w:val="26"/>
        </w:rPr>
      </w:pPr>
      <w:r>
        <w:rPr>
          <w:noProof/>
          <w:lang w:eastAsia="hu-HU"/>
        </w:rPr>
        <w:drawing>
          <wp:inline distT="0" distB="0" distL="0" distR="0" wp14:anchorId="2DEC2300" wp14:editId="7D10CA28">
            <wp:extent cx="5940425" cy="3122295"/>
            <wp:effectExtent l="0" t="0" r="3175" b="190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0425" cy="3122295"/>
                    </a:xfrm>
                    <a:prstGeom prst="rect">
                      <a:avLst/>
                    </a:prstGeom>
                  </pic:spPr>
                </pic:pic>
              </a:graphicData>
            </a:graphic>
          </wp:inline>
        </w:drawing>
      </w:r>
    </w:p>
    <w:p w14:paraId="26E52363" w14:textId="54F185A9" w:rsidR="00B63DA3" w:rsidRPr="009E65F5" w:rsidRDefault="3782F5BA" w:rsidP="3782F5BA">
      <w:pPr>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sz w:val="26"/>
          <w:szCs w:val="26"/>
          <w:lang w:eastAsia="hu-HU"/>
        </w:rPr>
        <w:t xml:space="preserve">A </w:t>
      </w:r>
      <w:r w:rsidRPr="3782F5BA">
        <w:rPr>
          <w:rFonts w:ascii="Times New Roman" w:eastAsia="Times New Roman" w:hAnsi="Times New Roman" w:cs="Times New Roman"/>
          <w:b/>
          <w:bCs/>
          <w:sz w:val="26"/>
          <w:szCs w:val="26"/>
          <w:lang w:eastAsia="hu-HU"/>
        </w:rPr>
        <w:t>Költségvetési szervek kiadásai</w:t>
      </w:r>
      <w:r w:rsidRPr="3782F5BA">
        <w:rPr>
          <w:rFonts w:ascii="Times New Roman" w:eastAsia="Times New Roman" w:hAnsi="Times New Roman" w:cs="Times New Roman"/>
          <w:sz w:val="26"/>
          <w:szCs w:val="26"/>
          <w:lang w:eastAsia="hu-HU"/>
        </w:rPr>
        <w:t xml:space="preserve"> mérlegsoron 2025 első két hónapjában 1</w:t>
      </w:r>
      <w:r w:rsidR="00D6274C">
        <w:rPr>
          <w:rFonts w:ascii="Times New Roman" w:eastAsia="Times New Roman" w:hAnsi="Times New Roman" w:cs="Times New Roman"/>
          <w:sz w:val="26"/>
          <w:szCs w:val="26"/>
          <w:lang w:eastAsia="hu-HU"/>
        </w:rPr>
        <w:t> </w:t>
      </w:r>
      <w:r w:rsidRPr="3782F5BA">
        <w:rPr>
          <w:rFonts w:ascii="Times New Roman" w:eastAsia="Times New Roman" w:hAnsi="Times New Roman" w:cs="Times New Roman"/>
          <w:sz w:val="26"/>
          <w:szCs w:val="26"/>
          <w:lang w:eastAsia="hu-HU"/>
        </w:rPr>
        <w:t>361,2 milliárd forint kiadás teljesült, mely 17,8%-kal magasabb az előző év azonos időszakának kiadásaihoz képest. A kiadásból 821,2 milliárd forint a személyi juttatásokra és munkaadókat terhelő járulékokra kifizetett összeg.</w:t>
      </w:r>
    </w:p>
    <w:p w14:paraId="690E18FB" w14:textId="51AA4D0C" w:rsidR="0074788C" w:rsidRPr="009E65F5" w:rsidRDefault="3782F5BA" w:rsidP="3782F5BA">
      <w:pPr>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sz w:val="26"/>
          <w:szCs w:val="26"/>
          <w:lang w:eastAsia="hu-HU"/>
        </w:rPr>
        <w:t xml:space="preserve">A </w:t>
      </w:r>
      <w:r w:rsidRPr="3782F5BA">
        <w:rPr>
          <w:rFonts w:ascii="Times New Roman" w:eastAsia="Times New Roman" w:hAnsi="Times New Roman" w:cs="Times New Roman"/>
          <w:b/>
          <w:bCs/>
          <w:sz w:val="26"/>
          <w:szCs w:val="26"/>
          <w:lang w:eastAsia="hu-HU"/>
        </w:rPr>
        <w:t>Szakmai fejezeti kezelésű előirányzatok kiadásai</w:t>
      </w:r>
      <w:r w:rsidRPr="3782F5BA">
        <w:rPr>
          <w:rFonts w:ascii="Times New Roman" w:eastAsia="Times New Roman" w:hAnsi="Times New Roman" w:cs="Times New Roman"/>
          <w:sz w:val="26"/>
          <w:szCs w:val="26"/>
          <w:lang w:eastAsia="hu-HU"/>
        </w:rPr>
        <w:t xml:space="preserve"> mérlegsoron 2025 első két hónapjában 743,9 milliárd forint kiadás teljesült, mely 4,9%-kal alacsonyabb, mint az előző év azonos időszakának kiadása. Ezen időszak teljesítéséből az alábbi kiadások emelhetők ki:</w:t>
      </w:r>
    </w:p>
    <w:p w14:paraId="1F07A5C3" w14:textId="5CE13A09" w:rsidR="000E4F73" w:rsidRPr="005A1E0F" w:rsidRDefault="5DC4A04A" w:rsidP="0E6BB81D">
      <w:pPr>
        <w:jc w:val="both"/>
        <w:rPr>
          <w:rFonts w:ascii="Times New Roman" w:eastAsia="Times New Roman" w:hAnsi="Times New Roman" w:cs="Times New Roman"/>
          <w:sz w:val="26"/>
          <w:szCs w:val="26"/>
          <w:lang w:eastAsia="hu-HU"/>
        </w:rPr>
      </w:pPr>
      <w:r w:rsidRPr="00492CAB">
        <w:rPr>
          <w:rFonts w:ascii="Times New Roman" w:eastAsia="Times New Roman" w:hAnsi="Times New Roman" w:cs="Times New Roman"/>
          <w:color w:val="FF0000"/>
          <w:sz w:val="26"/>
          <w:szCs w:val="26"/>
          <w:lang w:eastAsia="hu-HU"/>
        </w:rPr>
        <w:br w:type="page"/>
      </w:r>
    </w:p>
    <w:p w14:paraId="036EE87C" w14:textId="77777777" w:rsidR="000E4F73" w:rsidRPr="009E65F5" w:rsidRDefault="3782F5BA" w:rsidP="3782F5BA">
      <w:pPr>
        <w:spacing w:after="120" w:line="240" w:lineRule="auto"/>
        <w:jc w:val="right"/>
        <w:rPr>
          <w:rFonts w:ascii="Times New Roman" w:eastAsia="Times New Roman" w:hAnsi="Times New Roman" w:cs="Times New Roman"/>
          <w:i/>
          <w:iCs/>
          <w:sz w:val="20"/>
          <w:szCs w:val="20"/>
          <w:lang w:eastAsia="hu-HU"/>
        </w:rPr>
      </w:pPr>
      <w:r w:rsidRPr="3782F5BA">
        <w:rPr>
          <w:rFonts w:ascii="Times New Roman" w:eastAsia="Times New Roman" w:hAnsi="Times New Roman" w:cs="Times New Roman"/>
          <w:i/>
          <w:iCs/>
          <w:sz w:val="20"/>
          <w:szCs w:val="20"/>
          <w:lang w:eastAsia="hu-HU"/>
        </w:rPr>
        <w:lastRenderedPageBreak/>
        <w:t>milliárd forint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51"/>
        <w:gridCol w:w="992"/>
      </w:tblGrid>
      <w:tr w:rsidR="009E65F5" w:rsidRPr="009E65F5" w14:paraId="26A524AC" w14:textId="77777777" w:rsidTr="73C5D9BC">
        <w:trPr>
          <w:trHeight w:val="340"/>
        </w:trPr>
        <w:tc>
          <w:tcPr>
            <w:tcW w:w="8251" w:type="dxa"/>
            <w:tcMar>
              <w:top w:w="0" w:type="dxa"/>
              <w:left w:w="108" w:type="dxa"/>
              <w:bottom w:w="0" w:type="dxa"/>
              <w:right w:w="108" w:type="dxa"/>
            </w:tcMar>
            <w:vAlign w:val="center"/>
            <w:hideMark/>
          </w:tcPr>
          <w:p w14:paraId="6ABFE3F3" w14:textId="77777777" w:rsidR="009E65F5" w:rsidRPr="009E65F5" w:rsidRDefault="3782F5BA" w:rsidP="3782F5BA">
            <w:pPr>
              <w:spacing w:after="0" w:line="240" w:lineRule="auto"/>
              <w:jc w:val="both"/>
              <w:rPr>
                <w:rFonts w:ascii="Times New Roman" w:hAnsi="Times New Roman" w:cs="Times New Roman"/>
                <w:lang w:eastAsia="hu-HU"/>
              </w:rPr>
            </w:pPr>
            <w:r w:rsidRPr="3782F5BA">
              <w:rPr>
                <w:rFonts w:ascii="Times New Roman" w:hAnsi="Times New Roman" w:cs="Times New Roman"/>
                <w:lang w:eastAsia="hu-HU"/>
              </w:rPr>
              <w:t>Normatív finanszírozás (köznevelési célú humánszolgáltatás és működési támogatás, hit- és erkölcstanoktatás és tankönyvtámogatás, illetve szociális, gyermekvédelmi, gyermekjóléti és fogyatékos személyek esélyegyenlőségét elősegítő célelőirányzatok)</w:t>
            </w:r>
          </w:p>
        </w:tc>
        <w:tc>
          <w:tcPr>
            <w:tcW w:w="992" w:type="dxa"/>
            <w:noWrap/>
            <w:tcMar>
              <w:top w:w="0" w:type="dxa"/>
              <w:left w:w="108" w:type="dxa"/>
              <w:bottom w:w="0" w:type="dxa"/>
              <w:right w:w="108" w:type="dxa"/>
            </w:tcMar>
            <w:vAlign w:val="center"/>
          </w:tcPr>
          <w:p w14:paraId="5E98CAB3" w14:textId="77777777" w:rsidR="009E65F5" w:rsidRPr="009E65F5" w:rsidRDefault="73C5D9BC" w:rsidP="73C5D9BC">
            <w:pPr>
              <w:spacing w:after="0" w:line="240" w:lineRule="auto"/>
              <w:jc w:val="right"/>
              <w:rPr>
                <w:rFonts w:ascii="Times New Roman" w:hAnsi="Times New Roman" w:cs="Times New Roman"/>
                <w:lang w:eastAsia="hu-HU"/>
              </w:rPr>
            </w:pPr>
            <w:r w:rsidRPr="73C5D9BC">
              <w:rPr>
                <w:rFonts w:ascii="Times New Roman" w:hAnsi="Times New Roman" w:cs="Times New Roman"/>
                <w:lang w:eastAsia="hu-HU"/>
              </w:rPr>
              <w:t>161,0</w:t>
            </w:r>
          </w:p>
        </w:tc>
      </w:tr>
      <w:tr w:rsidR="009E65F5" w:rsidRPr="009E65F5" w14:paraId="0AE5AE84" w14:textId="77777777" w:rsidTr="73C5D9BC">
        <w:trPr>
          <w:trHeight w:val="283"/>
        </w:trPr>
        <w:tc>
          <w:tcPr>
            <w:tcW w:w="8251" w:type="dxa"/>
            <w:tcMar>
              <w:top w:w="0" w:type="dxa"/>
              <w:left w:w="108" w:type="dxa"/>
              <w:bottom w:w="0" w:type="dxa"/>
              <w:right w:w="108" w:type="dxa"/>
            </w:tcMar>
            <w:vAlign w:val="center"/>
            <w:hideMark/>
          </w:tcPr>
          <w:p w14:paraId="788D5244" w14:textId="77777777" w:rsidR="004F3641" w:rsidRPr="009E65F5" w:rsidRDefault="3782F5BA" w:rsidP="3782F5BA">
            <w:pPr>
              <w:spacing w:after="0" w:line="240" w:lineRule="auto"/>
              <w:jc w:val="both"/>
              <w:rPr>
                <w:rFonts w:ascii="Times New Roman" w:hAnsi="Times New Roman" w:cs="Times New Roman"/>
                <w:lang w:eastAsia="hu-HU"/>
              </w:rPr>
            </w:pPr>
            <w:r w:rsidRPr="3782F5BA">
              <w:rPr>
                <w:rFonts w:ascii="Times New Roman" w:hAnsi="Times New Roman" w:cs="Times New Roman"/>
                <w:lang w:eastAsia="hu-HU"/>
              </w:rPr>
              <w:t>Nem állami felsőoktatási intézmények támogatása</w:t>
            </w:r>
          </w:p>
        </w:tc>
        <w:tc>
          <w:tcPr>
            <w:tcW w:w="992" w:type="dxa"/>
            <w:noWrap/>
            <w:tcMar>
              <w:top w:w="0" w:type="dxa"/>
              <w:left w:w="108" w:type="dxa"/>
              <w:bottom w:w="0" w:type="dxa"/>
              <w:right w:w="108" w:type="dxa"/>
            </w:tcMar>
            <w:vAlign w:val="center"/>
          </w:tcPr>
          <w:p w14:paraId="6099E4A6" w14:textId="656014AB" w:rsidR="004F3641" w:rsidRPr="009E65F5" w:rsidRDefault="73C5D9BC" w:rsidP="73C5D9BC">
            <w:pPr>
              <w:spacing w:after="0" w:line="240" w:lineRule="auto"/>
              <w:jc w:val="right"/>
              <w:rPr>
                <w:rFonts w:ascii="Times New Roman" w:hAnsi="Times New Roman" w:cs="Times New Roman"/>
                <w:lang w:eastAsia="hu-HU"/>
              </w:rPr>
            </w:pPr>
            <w:r w:rsidRPr="73C5D9BC">
              <w:rPr>
                <w:rFonts w:ascii="Times New Roman" w:hAnsi="Times New Roman" w:cs="Times New Roman"/>
                <w:lang w:eastAsia="hu-HU"/>
              </w:rPr>
              <w:t>149,7</w:t>
            </w:r>
          </w:p>
        </w:tc>
      </w:tr>
      <w:tr w:rsidR="009E65F5" w:rsidRPr="009E65F5" w14:paraId="3695AB0C" w14:textId="77777777" w:rsidTr="73C5D9BC">
        <w:trPr>
          <w:trHeight w:val="283"/>
        </w:trPr>
        <w:tc>
          <w:tcPr>
            <w:tcW w:w="8251" w:type="dxa"/>
            <w:tcMar>
              <w:top w:w="0" w:type="dxa"/>
              <w:left w:w="108" w:type="dxa"/>
              <w:bottom w:w="0" w:type="dxa"/>
              <w:right w:w="108" w:type="dxa"/>
            </w:tcMar>
            <w:vAlign w:val="center"/>
            <w:hideMark/>
          </w:tcPr>
          <w:p w14:paraId="5DD694C2" w14:textId="77777777" w:rsidR="003112A9" w:rsidRPr="009E65F5" w:rsidRDefault="3782F5BA" w:rsidP="3782F5BA">
            <w:pPr>
              <w:spacing w:after="0" w:line="240" w:lineRule="auto"/>
              <w:jc w:val="both"/>
              <w:rPr>
                <w:rFonts w:ascii="Times New Roman" w:hAnsi="Times New Roman" w:cs="Times New Roman"/>
                <w:lang w:eastAsia="hu-HU"/>
              </w:rPr>
            </w:pPr>
            <w:r w:rsidRPr="3782F5BA">
              <w:rPr>
                <w:rFonts w:ascii="Times New Roman" w:hAnsi="Times New Roman" w:cs="Times New Roman"/>
                <w:lang w:eastAsia="hu-HU"/>
              </w:rPr>
              <w:t>Turisztikai fejlesztési célelőirányzat</w:t>
            </w:r>
          </w:p>
        </w:tc>
        <w:tc>
          <w:tcPr>
            <w:tcW w:w="992" w:type="dxa"/>
            <w:noWrap/>
            <w:tcMar>
              <w:top w:w="0" w:type="dxa"/>
              <w:left w:w="108" w:type="dxa"/>
              <w:bottom w:w="0" w:type="dxa"/>
              <w:right w:w="108" w:type="dxa"/>
            </w:tcMar>
            <w:vAlign w:val="center"/>
          </w:tcPr>
          <w:p w14:paraId="0C15ACDF" w14:textId="78D61F29" w:rsidR="003112A9" w:rsidRPr="009E65F5" w:rsidRDefault="73C5D9BC" w:rsidP="73C5D9BC">
            <w:pPr>
              <w:spacing w:after="0" w:line="240" w:lineRule="auto"/>
              <w:jc w:val="right"/>
              <w:rPr>
                <w:rFonts w:ascii="Times New Roman" w:hAnsi="Times New Roman" w:cs="Times New Roman"/>
                <w:lang w:eastAsia="hu-HU"/>
              </w:rPr>
            </w:pPr>
            <w:r w:rsidRPr="73C5D9BC">
              <w:rPr>
                <w:rFonts w:ascii="Times New Roman" w:hAnsi="Times New Roman" w:cs="Times New Roman"/>
                <w:lang w:eastAsia="hu-HU"/>
              </w:rPr>
              <w:t>63,3</w:t>
            </w:r>
          </w:p>
        </w:tc>
      </w:tr>
      <w:tr w:rsidR="009E65F5" w:rsidRPr="009E65F5" w14:paraId="54E44312" w14:textId="77777777" w:rsidTr="73C5D9BC">
        <w:trPr>
          <w:trHeight w:val="283"/>
        </w:trPr>
        <w:tc>
          <w:tcPr>
            <w:tcW w:w="8251" w:type="dxa"/>
            <w:tcMar>
              <w:top w:w="0" w:type="dxa"/>
              <w:left w:w="108" w:type="dxa"/>
              <w:bottom w:w="0" w:type="dxa"/>
              <w:right w:w="108" w:type="dxa"/>
            </w:tcMar>
            <w:vAlign w:val="center"/>
          </w:tcPr>
          <w:p w14:paraId="15AF8429" w14:textId="4FA24CCF" w:rsidR="009E65F5" w:rsidRPr="009E65F5" w:rsidRDefault="3782F5BA" w:rsidP="3782F5BA">
            <w:pPr>
              <w:spacing w:after="0" w:line="240" w:lineRule="auto"/>
              <w:jc w:val="both"/>
              <w:rPr>
                <w:rFonts w:ascii="Times New Roman" w:hAnsi="Times New Roman" w:cs="Times New Roman"/>
                <w:lang w:eastAsia="hu-HU"/>
              </w:rPr>
            </w:pPr>
            <w:r w:rsidRPr="3782F5BA">
              <w:rPr>
                <w:rFonts w:ascii="Times New Roman" w:hAnsi="Times New Roman" w:cs="Times New Roman"/>
                <w:lang w:eastAsia="hu-HU"/>
              </w:rPr>
              <w:t>Víziközmű-fejlesztések</w:t>
            </w:r>
          </w:p>
        </w:tc>
        <w:tc>
          <w:tcPr>
            <w:tcW w:w="992" w:type="dxa"/>
            <w:noWrap/>
            <w:tcMar>
              <w:top w:w="0" w:type="dxa"/>
              <w:left w:w="108" w:type="dxa"/>
              <w:bottom w:w="0" w:type="dxa"/>
              <w:right w:w="108" w:type="dxa"/>
            </w:tcMar>
            <w:vAlign w:val="center"/>
          </w:tcPr>
          <w:p w14:paraId="096DD07F" w14:textId="20697605" w:rsidR="009E65F5" w:rsidRPr="009E65F5" w:rsidRDefault="73C5D9BC" w:rsidP="73C5D9BC">
            <w:pPr>
              <w:spacing w:after="0" w:line="240" w:lineRule="auto"/>
              <w:jc w:val="right"/>
              <w:rPr>
                <w:rFonts w:ascii="Times New Roman" w:hAnsi="Times New Roman" w:cs="Times New Roman"/>
                <w:lang w:eastAsia="hu-HU"/>
              </w:rPr>
            </w:pPr>
            <w:r w:rsidRPr="73C5D9BC">
              <w:rPr>
                <w:rFonts w:ascii="Times New Roman" w:hAnsi="Times New Roman" w:cs="Times New Roman"/>
                <w:lang w:eastAsia="hu-HU"/>
              </w:rPr>
              <w:t>39,0</w:t>
            </w:r>
          </w:p>
        </w:tc>
      </w:tr>
      <w:tr w:rsidR="009E65F5" w:rsidRPr="009E65F5" w14:paraId="43DAC21F" w14:textId="77777777" w:rsidTr="73C5D9BC">
        <w:trPr>
          <w:trHeight w:val="283"/>
        </w:trPr>
        <w:tc>
          <w:tcPr>
            <w:tcW w:w="8251" w:type="dxa"/>
            <w:tcMar>
              <w:top w:w="0" w:type="dxa"/>
              <w:left w:w="108" w:type="dxa"/>
              <w:bottom w:w="0" w:type="dxa"/>
              <w:right w:w="108" w:type="dxa"/>
            </w:tcMar>
            <w:vAlign w:val="center"/>
          </w:tcPr>
          <w:p w14:paraId="3F961039" w14:textId="3A115929" w:rsidR="004F3641" w:rsidRPr="009E65F5" w:rsidRDefault="3782F5BA" w:rsidP="3782F5BA">
            <w:pPr>
              <w:spacing w:after="0" w:line="240" w:lineRule="auto"/>
              <w:jc w:val="both"/>
              <w:rPr>
                <w:rFonts w:ascii="Times New Roman" w:hAnsi="Times New Roman" w:cs="Times New Roman"/>
                <w:lang w:eastAsia="hu-HU"/>
              </w:rPr>
            </w:pPr>
            <w:r w:rsidRPr="3782F5BA">
              <w:rPr>
                <w:rFonts w:ascii="Times New Roman" w:hAnsi="Times New Roman" w:cs="Times New Roman"/>
                <w:lang w:eastAsia="hu-HU"/>
              </w:rPr>
              <w:t>Egyházi alapilletmény működés, SZJA rendelkezés és kiegészítés</w:t>
            </w:r>
          </w:p>
        </w:tc>
        <w:tc>
          <w:tcPr>
            <w:tcW w:w="992" w:type="dxa"/>
            <w:noWrap/>
            <w:tcMar>
              <w:top w:w="0" w:type="dxa"/>
              <w:left w:w="108" w:type="dxa"/>
              <w:bottom w:w="0" w:type="dxa"/>
              <w:right w:w="108" w:type="dxa"/>
            </w:tcMar>
            <w:vAlign w:val="center"/>
          </w:tcPr>
          <w:p w14:paraId="7AF92A5A" w14:textId="46965C46" w:rsidR="004F3641" w:rsidRPr="009E65F5" w:rsidRDefault="73C5D9BC" w:rsidP="73C5D9BC">
            <w:pPr>
              <w:spacing w:after="0" w:line="240" w:lineRule="auto"/>
              <w:jc w:val="right"/>
              <w:rPr>
                <w:rFonts w:ascii="Times New Roman" w:hAnsi="Times New Roman" w:cs="Times New Roman"/>
                <w:lang w:eastAsia="hu-HU"/>
              </w:rPr>
            </w:pPr>
            <w:r w:rsidRPr="73C5D9BC">
              <w:rPr>
                <w:rFonts w:ascii="Times New Roman" w:hAnsi="Times New Roman" w:cs="Times New Roman"/>
                <w:lang w:eastAsia="hu-HU"/>
              </w:rPr>
              <w:t>27,7</w:t>
            </w:r>
          </w:p>
        </w:tc>
      </w:tr>
    </w:tbl>
    <w:p w14:paraId="130E1B4D" w14:textId="50A18F04" w:rsidR="0033462C" w:rsidRPr="009E65F5" w:rsidRDefault="3782F5BA" w:rsidP="3782F5BA">
      <w:pPr>
        <w:spacing w:before="160" w:after="0"/>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sz w:val="26"/>
          <w:szCs w:val="26"/>
          <w:lang w:eastAsia="hu-HU"/>
        </w:rPr>
        <w:t>A 2025. év első kéthavi, 2</w:t>
      </w:r>
      <w:r w:rsidR="00D6274C">
        <w:rPr>
          <w:rFonts w:ascii="Times New Roman" w:eastAsia="Times New Roman" w:hAnsi="Times New Roman" w:cs="Times New Roman"/>
          <w:sz w:val="26"/>
          <w:szCs w:val="26"/>
          <w:lang w:eastAsia="hu-HU"/>
        </w:rPr>
        <w:t> </w:t>
      </w:r>
      <w:r w:rsidRPr="3782F5BA">
        <w:rPr>
          <w:rFonts w:ascii="Times New Roman" w:eastAsia="Times New Roman" w:hAnsi="Times New Roman" w:cs="Times New Roman"/>
          <w:sz w:val="26"/>
          <w:szCs w:val="26"/>
          <w:lang w:eastAsia="hu-HU"/>
        </w:rPr>
        <w:t>105,1 milliárd forint összegű kiadásai megoszlását a következő grafikon szemlélteti:</w:t>
      </w:r>
    </w:p>
    <w:p w14:paraId="3599A16D" w14:textId="3E159613" w:rsidR="00B056CC" w:rsidRDefault="00591D8B" w:rsidP="009C33A4">
      <w:pPr>
        <w:spacing w:before="240"/>
        <w:jc w:val="center"/>
        <w:rPr>
          <w:rFonts w:ascii="Times New Roman" w:eastAsia="Times New Roman" w:hAnsi="Times New Roman" w:cs="Times New Roman"/>
          <w:b/>
          <w:sz w:val="26"/>
          <w:szCs w:val="26"/>
        </w:rPr>
      </w:pPr>
      <w:r>
        <w:rPr>
          <w:noProof/>
          <w:lang w:eastAsia="hu-HU"/>
        </w:rPr>
        <w:drawing>
          <wp:inline distT="0" distB="0" distL="0" distR="0" wp14:anchorId="5D2B2AF8" wp14:editId="5992C467">
            <wp:extent cx="5940425" cy="3432175"/>
            <wp:effectExtent l="0" t="0" r="3175"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0425" cy="3432175"/>
                    </a:xfrm>
                    <a:prstGeom prst="rect">
                      <a:avLst/>
                    </a:prstGeom>
                  </pic:spPr>
                </pic:pic>
              </a:graphicData>
            </a:graphic>
          </wp:inline>
        </w:drawing>
      </w:r>
    </w:p>
    <w:p w14:paraId="7B768C4E" w14:textId="3E063542" w:rsidR="00B155FE" w:rsidRPr="00377D59" w:rsidRDefault="3782F5BA" w:rsidP="3782F5BA">
      <w:pPr>
        <w:keepNext/>
        <w:numPr>
          <w:ilvl w:val="0"/>
          <w:numId w:val="3"/>
        </w:numPr>
        <w:ind w:left="714" w:hanging="357"/>
        <w:jc w:val="both"/>
        <w:outlineLvl w:val="2"/>
        <w:rPr>
          <w:rFonts w:ascii="Times New Roman" w:eastAsia="Times New Roman" w:hAnsi="Times New Roman" w:cs="Times New Roman"/>
          <w:b/>
          <w:bCs/>
          <w:smallCaps/>
          <w:sz w:val="28"/>
          <w:szCs w:val="28"/>
          <w:lang w:eastAsia="hu-HU"/>
        </w:rPr>
      </w:pPr>
      <w:r w:rsidRPr="3782F5BA">
        <w:rPr>
          <w:rFonts w:ascii="Times New Roman" w:eastAsia="Times New Roman" w:hAnsi="Times New Roman" w:cs="Times New Roman"/>
          <w:b/>
          <w:bCs/>
          <w:smallCaps/>
          <w:sz w:val="28"/>
          <w:szCs w:val="28"/>
          <w:lang w:eastAsia="hu-HU"/>
        </w:rPr>
        <w:t>Kamategyenleg</w:t>
      </w:r>
    </w:p>
    <w:p w14:paraId="0047F521" w14:textId="1C2B8711" w:rsidR="003F3151" w:rsidRDefault="3782F5BA" w:rsidP="3782F5BA">
      <w:pPr>
        <w:jc w:val="both"/>
        <w:rPr>
          <w:rFonts w:ascii="Times New Roman" w:hAnsi="Times New Roman" w:cs="Times New Roman"/>
          <w:sz w:val="26"/>
          <w:szCs w:val="26"/>
        </w:rPr>
      </w:pPr>
      <w:r w:rsidRPr="3782F5BA">
        <w:rPr>
          <w:rFonts w:ascii="Times New Roman" w:hAnsi="Times New Roman" w:cs="Times New Roman"/>
          <w:sz w:val="26"/>
          <w:szCs w:val="26"/>
          <w:lang w:eastAsia="hu-HU"/>
        </w:rPr>
        <w:t>A bevételek és kiadások egyenlegeként adódó 969,</w:t>
      </w:r>
      <w:r w:rsidR="002D4984">
        <w:rPr>
          <w:rFonts w:ascii="Times New Roman" w:hAnsi="Times New Roman" w:cs="Times New Roman"/>
          <w:sz w:val="26"/>
          <w:szCs w:val="26"/>
          <w:lang w:eastAsia="hu-HU"/>
        </w:rPr>
        <w:t>6</w:t>
      </w:r>
      <w:r w:rsidRPr="3782F5BA">
        <w:rPr>
          <w:rFonts w:ascii="Times New Roman" w:hAnsi="Times New Roman" w:cs="Times New Roman"/>
          <w:sz w:val="26"/>
          <w:szCs w:val="26"/>
          <w:lang w:eastAsia="hu-HU"/>
        </w:rPr>
        <w:t xml:space="preserve"> milliárd forint összegű </w:t>
      </w:r>
      <w:r w:rsidRPr="3782F5BA">
        <w:rPr>
          <w:rFonts w:ascii="Times New Roman" w:hAnsi="Times New Roman" w:cs="Times New Roman"/>
          <w:b/>
          <w:bCs/>
          <w:sz w:val="26"/>
          <w:szCs w:val="26"/>
          <w:lang w:eastAsia="hu-HU"/>
        </w:rPr>
        <w:t>nettó</w:t>
      </w:r>
      <w:r w:rsidRPr="3782F5BA">
        <w:rPr>
          <w:rFonts w:ascii="Times New Roman" w:hAnsi="Times New Roman" w:cs="Times New Roman"/>
          <w:b/>
          <w:bCs/>
          <w:sz w:val="26"/>
          <w:szCs w:val="26"/>
        </w:rPr>
        <w:t xml:space="preserve"> kamatkiadás</w:t>
      </w:r>
      <w:r w:rsidRPr="3782F5BA">
        <w:rPr>
          <w:rFonts w:ascii="Times New Roman" w:hAnsi="Times New Roman" w:cs="Times New Roman"/>
          <w:sz w:val="26"/>
          <w:szCs w:val="26"/>
        </w:rPr>
        <w:t xml:space="preserve"> február végéig 208,</w:t>
      </w:r>
      <w:r w:rsidR="002D4984">
        <w:rPr>
          <w:rFonts w:ascii="Times New Roman" w:hAnsi="Times New Roman" w:cs="Times New Roman"/>
          <w:sz w:val="26"/>
          <w:szCs w:val="26"/>
        </w:rPr>
        <w:t>7</w:t>
      </w:r>
      <w:r w:rsidRPr="3782F5BA">
        <w:rPr>
          <w:rFonts w:ascii="Times New Roman" w:hAnsi="Times New Roman" w:cs="Times New Roman"/>
          <w:sz w:val="26"/>
          <w:szCs w:val="26"/>
        </w:rPr>
        <w:t> milliárd forinttal lett magasabb az előző évhez képest, mely az előző évitől különböző hozamokkal és finanszírozási szerkezettel magyarázható.</w:t>
      </w:r>
    </w:p>
    <w:p w14:paraId="7B768C50" w14:textId="77777777" w:rsidR="00B155FE" w:rsidRPr="00377D59" w:rsidRDefault="00B155FE" w:rsidP="00B155FE">
      <w:pPr>
        <w:tabs>
          <w:tab w:val="left" w:pos="550"/>
        </w:tabs>
        <w:spacing w:before="120" w:after="120" w:line="240" w:lineRule="auto"/>
        <w:jc w:val="both"/>
        <w:rPr>
          <w:rFonts w:ascii="Times New Roman" w:eastAsia="Times New Roman" w:hAnsi="Times New Roman" w:cs="Times New Roman"/>
          <w:caps/>
          <w:sz w:val="26"/>
          <w:szCs w:val="20"/>
          <w:lang w:eastAsia="hu-HU"/>
        </w:rPr>
      </w:pPr>
      <w:r w:rsidRPr="00377D59">
        <w:rPr>
          <w:rFonts w:ascii="Times New Roman" w:eastAsia="Times New Roman" w:hAnsi="Times New Roman" w:cs="Times New Roman"/>
          <w:caps/>
          <w:sz w:val="26"/>
          <w:szCs w:val="20"/>
          <w:lang w:eastAsia="hu-HU"/>
        </w:rPr>
        <w:br w:type="page"/>
      </w:r>
    </w:p>
    <w:p w14:paraId="688B9DA7" w14:textId="77777777" w:rsidR="00C9408B" w:rsidRDefault="3782F5BA" w:rsidP="3782F5BA">
      <w:pPr>
        <w:keepNext/>
        <w:spacing w:after="120" w:line="240" w:lineRule="auto"/>
        <w:jc w:val="center"/>
        <w:outlineLvl w:val="3"/>
        <w:rPr>
          <w:rFonts w:ascii="Times New Roman" w:eastAsia="Times New Roman" w:hAnsi="Times New Roman" w:cs="Times New Roman"/>
          <w:b/>
          <w:bCs/>
          <w:caps/>
          <w:sz w:val="26"/>
          <w:szCs w:val="26"/>
          <w:lang w:eastAsia="hu-HU"/>
        </w:rPr>
      </w:pPr>
      <w:r w:rsidRPr="3782F5BA">
        <w:rPr>
          <w:rFonts w:ascii="Times New Roman" w:eastAsia="Times New Roman" w:hAnsi="Times New Roman" w:cs="Times New Roman"/>
          <w:b/>
          <w:bCs/>
          <w:caps/>
          <w:sz w:val="26"/>
          <w:szCs w:val="26"/>
          <w:lang w:eastAsia="hu-HU"/>
        </w:rPr>
        <w:lastRenderedPageBreak/>
        <w:t>II.</w:t>
      </w:r>
    </w:p>
    <w:p w14:paraId="7B768C51" w14:textId="63BB059C" w:rsidR="00B155FE" w:rsidRPr="00377D59" w:rsidRDefault="3782F5BA" w:rsidP="3782F5BA">
      <w:pPr>
        <w:keepNext/>
        <w:spacing w:after="240" w:line="240" w:lineRule="auto"/>
        <w:jc w:val="center"/>
        <w:outlineLvl w:val="3"/>
        <w:rPr>
          <w:rFonts w:ascii="Times New Roman" w:eastAsia="Times New Roman" w:hAnsi="Times New Roman" w:cs="Times New Roman"/>
          <w:b/>
          <w:bCs/>
          <w:caps/>
          <w:sz w:val="26"/>
          <w:szCs w:val="26"/>
          <w:lang w:eastAsia="hu-HU"/>
        </w:rPr>
      </w:pPr>
      <w:r w:rsidRPr="3782F5BA">
        <w:rPr>
          <w:rFonts w:ascii="Times New Roman" w:eastAsia="Times New Roman" w:hAnsi="Times New Roman" w:cs="Times New Roman"/>
          <w:b/>
          <w:bCs/>
          <w:caps/>
          <w:sz w:val="26"/>
          <w:szCs w:val="26"/>
          <w:lang w:eastAsia="hu-HU"/>
        </w:rPr>
        <w:t>Az államháztartás központi alrendszerének finanszírozása</w:t>
      </w:r>
    </w:p>
    <w:p w14:paraId="06C778E7" w14:textId="6E59EAE0" w:rsidR="00710A26" w:rsidRPr="008E6DF0" w:rsidRDefault="3782F5BA" w:rsidP="3782F5BA">
      <w:pPr>
        <w:ind w:right="23"/>
        <w:jc w:val="both"/>
        <w:rPr>
          <w:rFonts w:ascii="Times New Roman" w:eastAsia="Times New Roman" w:hAnsi="Times New Roman" w:cs="Times New Roman"/>
          <w:b/>
          <w:bCs/>
          <w:sz w:val="26"/>
          <w:szCs w:val="26"/>
          <w:lang w:eastAsia="hu-HU"/>
        </w:rPr>
      </w:pPr>
      <w:r w:rsidRPr="3782F5BA">
        <w:rPr>
          <w:rFonts w:ascii="Times New Roman" w:eastAsia="Times New Roman" w:hAnsi="Times New Roman" w:cs="Times New Roman"/>
          <w:sz w:val="26"/>
          <w:szCs w:val="26"/>
          <w:lang w:eastAsia="hu-HU"/>
        </w:rPr>
        <w:t>A központi költségvetés adóssága 2025. február végéig 2 101,8 milliárd forinttal növekedett a következő négy tényező eredményeképpen:</w:t>
      </w:r>
    </w:p>
    <w:p w14:paraId="3A91F46B" w14:textId="75C6F73D" w:rsidR="00757FD8" w:rsidRDefault="3782F5BA" w:rsidP="3782F5BA">
      <w:pPr>
        <w:pStyle w:val="Listaszerbekezds"/>
        <w:numPr>
          <w:ilvl w:val="0"/>
          <w:numId w:val="2"/>
        </w:numPr>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b/>
          <w:bCs/>
          <w:sz w:val="26"/>
          <w:szCs w:val="26"/>
          <w:lang w:eastAsia="hu-HU"/>
        </w:rPr>
        <w:t>Az első tényező, amely növelte az adósságot</w:t>
      </w:r>
      <w:r w:rsidRPr="3782F5BA">
        <w:rPr>
          <w:rFonts w:ascii="Times New Roman" w:eastAsia="Times New Roman" w:hAnsi="Times New Roman" w:cs="Times New Roman"/>
          <w:sz w:val="26"/>
          <w:szCs w:val="26"/>
          <w:lang w:eastAsia="hu-HU"/>
        </w:rPr>
        <w:t xml:space="preserve"> a nettó forintkibocsátás 1 454,5 milliárd forint összegben, ami a költségvetés hiányát finanszírozza és részben a KESZ állományát növeli.</w:t>
      </w:r>
    </w:p>
    <w:p w14:paraId="3151448F" w14:textId="70698C57" w:rsidR="00757FD8" w:rsidRPr="00757FD8" w:rsidRDefault="3782F5BA" w:rsidP="3782F5BA">
      <w:pPr>
        <w:pStyle w:val="Listaszerbekezds"/>
        <w:numPr>
          <w:ilvl w:val="0"/>
          <w:numId w:val="2"/>
        </w:numPr>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b/>
          <w:bCs/>
          <w:sz w:val="26"/>
          <w:szCs w:val="26"/>
          <w:lang w:eastAsia="hu-HU"/>
        </w:rPr>
        <w:t>A második – szintén növelő hatású – tényező</w:t>
      </w:r>
      <w:r w:rsidRPr="3782F5BA">
        <w:rPr>
          <w:rFonts w:ascii="Times New Roman" w:eastAsia="Times New Roman" w:hAnsi="Times New Roman" w:cs="Times New Roman"/>
          <w:sz w:val="26"/>
          <w:szCs w:val="26"/>
          <w:lang w:eastAsia="hu-HU"/>
        </w:rPr>
        <w:t xml:space="preserve"> a nettó devizakibocsátás, amely 1 051,6 milliárd forint összegben hozzájárul a hiány finanszír</w:t>
      </w:r>
      <w:r w:rsidR="00935683">
        <w:rPr>
          <w:rFonts w:ascii="Times New Roman" w:eastAsia="Times New Roman" w:hAnsi="Times New Roman" w:cs="Times New Roman"/>
          <w:sz w:val="26"/>
          <w:szCs w:val="26"/>
          <w:lang w:eastAsia="hu-HU"/>
        </w:rPr>
        <w:t>ozásához és a </w:t>
      </w:r>
      <w:r w:rsidRPr="3782F5BA">
        <w:rPr>
          <w:rFonts w:ascii="Times New Roman" w:eastAsia="Times New Roman" w:hAnsi="Times New Roman" w:cs="Times New Roman"/>
          <w:sz w:val="26"/>
          <w:szCs w:val="26"/>
          <w:lang w:eastAsia="hu-HU"/>
        </w:rPr>
        <w:t>devizabetétállomány növekedéséhez.</w:t>
      </w:r>
    </w:p>
    <w:p w14:paraId="58BD128B" w14:textId="56BD9871" w:rsidR="00757FD8" w:rsidRPr="00757FD8" w:rsidRDefault="73C5D9BC" w:rsidP="73C5D9BC">
      <w:pPr>
        <w:pStyle w:val="Listaszerbekezds"/>
        <w:numPr>
          <w:ilvl w:val="0"/>
          <w:numId w:val="2"/>
        </w:numPr>
        <w:jc w:val="both"/>
        <w:rPr>
          <w:rFonts w:ascii="Times New Roman" w:eastAsia="Times New Roman" w:hAnsi="Times New Roman" w:cs="Times New Roman"/>
          <w:sz w:val="26"/>
          <w:szCs w:val="26"/>
          <w:lang w:eastAsia="hu-HU"/>
        </w:rPr>
      </w:pPr>
      <w:r w:rsidRPr="73C5D9BC">
        <w:rPr>
          <w:rFonts w:ascii="Times New Roman" w:eastAsia="Times New Roman" w:hAnsi="Times New Roman" w:cs="Times New Roman"/>
          <w:b/>
          <w:bCs/>
          <w:sz w:val="26"/>
          <w:szCs w:val="26"/>
          <w:lang w:eastAsia="hu-HU"/>
        </w:rPr>
        <w:t>A harmadik – további növelő hatású – tényező</w:t>
      </w:r>
      <w:r w:rsidRPr="73C5D9BC">
        <w:rPr>
          <w:rFonts w:ascii="Times New Roman" w:eastAsia="Times New Roman" w:hAnsi="Times New Roman" w:cs="Times New Roman"/>
          <w:sz w:val="26"/>
          <w:szCs w:val="26"/>
          <w:lang w:eastAsia="hu-HU"/>
        </w:rPr>
        <w:t xml:space="preserve"> a deviza-keresztárfolyamok változása és egyéb tényezők miatt bekövetkezett mark-to-market betétállományok növekedése 18,0 milliárd forint összegben.</w:t>
      </w:r>
    </w:p>
    <w:p w14:paraId="319C3C1F" w14:textId="48FB2E13" w:rsidR="00BF5E09" w:rsidRPr="00BF5E09" w:rsidRDefault="3782F5BA" w:rsidP="3782F5BA">
      <w:pPr>
        <w:pStyle w:val="Listaszerbekezds"/>
        <w:numPr>
          <w:ilvl w:val="0"/>
          <w:numId w:val="2"/>
        </w:numPr>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b/>
          <w:bCs/>
          <w:sz w:val="26"/>
          <w:szCs w:val="26"/>
          <w:lang w:eastAsia="hu-HU"/>
        </w:rPr>
        <w:t>A negyedik – fentiekkel ellentétes, csökkentő hatású</w:t>
      </w:r>
      <w:r w:rsidRPr="3782F5BA">
        <w:rPr>
          <w:rFonts w:ascii="Times New Roman" w:eastAsia="Times New Roman" w:hAnsi="Times New Roman" w:cs="Times New Roman"/>
          <w:sz w:val="26"/>
          <w:szCs w:val="26"/>
          <w:lang w:eastAsia="hu-HU"/>
        </w:rPr>
        <w:t xml:space="preserve"> – tényező a forint árfolyamának az elmúlt év végéhez képest bekövetkezett erősödése, amely az adósság devizában fennálló részének forintban számított nyilvántartási értékét 422,4 milliárd forinttal csökkentette.</w:t>
      </w:r>
    </w:p>
    <w:p w14:paraId="157CBCF7" w14:textId="6409C8EE" w:rsidR="00E5484A" w:rsidRPr="00757FD8" w:rsidRDefault="00E5484A" w:rsidP="00757FD8">
      <w:pPr>
        <w:ind w:left="360"/>
        <w:jc w:val="both"/>
        <w:rPr>
          <w:rFonts w:ascii="Times New Roman" w:eastAsia="Times New Roman" w:hAnsi="Times New Roman" w:cs="Times New Roman"/>
          <w:sz w:val="26"/>
          <w:szCs w:val="26"/>
          <w:lang w:eastAsia="hu-HU"/>
        </w:rPr>
        <w:sectPr w:rsidR="00E5484A" w:rsidRPr="00757FD8" w:rsidSect="007449BF">
          <w:headerReference w:type="default" r:id="rId26"/>
          <w:footerReference w:type="default" r:id="rId27"/>
          <w:footnotePr>
            <w:numRestart w:val="eachPage"/>
          </w:footnotePr>
          <w:pgSz w:w="11907" w:h="16840" w:code="9"/>
          <w:pgMar w:top="1134" w:right="1134" w:bottom="1418" w:left="1418" w:header="709" w:footer="709" w:gutter="0"/>
          <w:cols w:space="708"/>
          <w:docGrid w:linePitch="354"/>
        </w:sectPr>
      </w:pPr>
    </w:p>
    <w:p w14:paraId="7B768C5C" w14:textId="3B4EAD50" w:rsidR="00B155FE" w:rsidRPr="00377D59" w:rsidRDefault="3782F5BA" w:rsidP="3782F5BA">
      <w:pPr>
        <w:spacing w:after="120" w:line="240" w:lineRule="auto"/>
        <w:ind w:right="23"/>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sz w:val="26"/>
          <w:szCs w:val="26"/>
          <w:lang w:eastAsia="hu-HU"/>
        </w:rPr>
        <w:lastRenderedPageBreak/>
        <w:t xml:space="preserve">Az előzetes adatok szerint 2025. február végén a </w:t>
      </w:r>
      <w:r w:rsidRPr="3782F5BA">
        <w:rPr>
          <w:rFonts w:ascii="Times New Roman" w:eastAsia="Times New Roman" w:hAnsi="Times New Roman" w:cs="Times New Roman"/>
          <w:b/>
          <w:bCs/>
          <w:sz w:val="26"/>
          <w:szCs w:val="26"/>
          <w:lang w:eastAsia="hu-HU"/>
        </w:rPr>
        <w:t xml:space="preserve">központi költségvetés forint- és devizaadóssága </w:t>
      </w:r>
      <w:r w:rsidRPr="3782F5BA">
        <w:rPr>
          <w:rFonts w:ascii="Times New Roman" w:eastAsia="Times New Roman" w:hAnsi="Times New Roman" w:cs="Times New Roman"/>
          <w:sz w:val="26"/>
          <w:szCs w:val="26"/>
          <w:lang w:eastAsia="hu-HU"/>
        </w:rPr>
        <w:t>az alábbiak szerint alakult:</w:t>
      </w:r>
    </w:p>
    <w:p w14:paraId="7B768C5D" w14:textId="252296E8" w:rsidR="00B155FE" w:rsidRDefault="3782F5BA" w:rsidP="3782F5BA">
      <w:pPr>
        <w:overflowPunct w:val="0"/>
        <w:autoSpaceDE w:val="0"/>
        <w:autoSpaceDN w:val="0"/>
        <w:adjustRightInd w:val="0"/>
        <w:spacing w:after="120" w:line="240" w:lineRule="auto"/>
        <w:ind w:right="23"/>
        <w:jc w:val="center"/>
        <w:textAlignment w:val="baseline"/>
        <w:rPr>
          <w:rFonts w:ascii="Times New Roman" w:eastAsia="Times New Roman" w:hAnsi="Times New Roman" w:cs="Times New Roman"/>
          <w:sz w:val="26"/>
          <w:szCs w:val="26"/>
          <w:lang w:eastAsia="hu-HU"/>
        </w:rPr>
      </w:pPr>
      <w:r w:rsidRPr="3782F5BA">
        <w:rPr>
          <w:rFonts w:ascii="Times New Roman" w:eastAsia="Times New Roman" w:hAnsi="Times New Roman" w:cs="Times New Roman"/>
          <w:sz w:val="26"/>
          <w:szCs w:val="26"/>
          <w:lang w:eastAsia="hu-HU"/>
        </w:rPr>
        <w:t>A központi költségvetés adósságának alakulása 2025-ben, milliárd forint</w:t>
      </w:r>
    </w:p>
    <w:p w14:paraId="31C86ED1" w14:textId="3673EBAA" w:rsidR="002F2521" w:rsidRDefault="003943D5" w:rsidP="166F4922">
      <w:pPr>
        <w:overflowPunct w:val="0"/>
        <w:autoSpaceDE w:val="0"/>
        <w:autoSpaceDN w:val="0"/>
        <w:adjustRightInd w:val="0"/>
        <w:spacing w:after="120" w:line="240" w:lineRule="auto"/>
        <w:ind w:right="23"/>
        <w:jc w:val="center"/>
        <w:textAlignment w:val="baseline"/>
        <w:rPr>
          <w:rFonts w:ascii="Times New Roman" w:eastAsia="Times New Roman" w:hAnsi="Times New Roman" w:cs="Times New Roman"/>
          <w:sz w:val="26"/>
          <w:szCs w:val="26"/>
          <w:lang w:eastAsia="hu-HU"/>
        </w:rPr>
      </w:pPr>
      <w:r w:rsidRPr="003943D5">
        <w:rPr>
          <w:noProof/>
          <w:lang w:eastAsia="hu-HU"/>
        </w:rPr>
        <w:drawing>
          <wp:inline distT="0" distB="0" distL="0" distR="0" wp14:anchorId="7E7E42B7" wp14:editId="1D8946F5">
            <wp:extent cx="8934450" cy="4229100"/>
            <wp:effectExtent l="0" t="0" r="0" b="0"/>
            <wp:docPr id="140192165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934450" cy="4229100"/>
                    </a:xfrm>
                    <a:prstGeom prst="rect">
                      <a:avLst/>
                    </a:prstGeom>
                    <a:noFill/>
                    <a:ln>
                      <a:noFill/>
                    </a:ln>
                  </pic:spPr>
                </pic:pic>
              </a:graphicData>
            </a:graphic>
          </wp:inline>
        </w:drawing>
      </w:r>
    </w:p>
    <w:p w14:paraId="7B768C5F" w14:textId="77777777" w:rsidR="00B155FE" w:rsidRPr="00377D59" w:rsidRDefault="3782F5BA" w:rsidP="3782F5BA">
      <w:pPr>
        <w:spacing w:after="120" w:line="240" w:lineRule="auto"/>
        <w:jc w:val="both"/>
        <w:rPr>
          <w:rFonts w:ascii="Times New Roman" w:eastAsia="Times New Roman" w:hAnsi="Times New Roman" w:cs="Times New Roman"/>
          <w:sz w:val="24"/>
          <w:szCs w:val="24"/>
          <w:lang w:eastAsia="hu-HU"/>
        </w:rPr>
      </w:pPr>
      <w:r w:rsidRPr="3782F5BA">
        <w:rPr>
          <w:rFonts w:ascii="Times New Roman" w:eastAsia="Times New Roman" w:hAnsi="Times New Roman" w:cs="Times New Roman"/>
          <w:i/>
          <w:iCs/>
          <w:sz w:val="24"/>
          <w:szCs w:val="24"/>
          <w:lang w:eastAsia="hu-HU"/>
        </w:rPr>
        <w:t>Megjegyzés: a táblában szereplő tizedes eltérések kerekítésből adódnak.</w:t>
      </w:r>
    </w:p>
    <w:p w14:paraId="67FEF71B" w14:textId="4352F928" w:rsidR="00617877" w:rsidRPr="00377D59" w:rsidRDefault="00617877" w:rsidP="00617877">
      <w:pPr>
        <w:jc w:val="center"/>
        <w:rPr>
          <w:rFonts w:ascii="Times New Roman" w:eastAsia="Times New Roman" w:hAnsi="Times New Roman" w:cs="Times New Roman"/>
          <w:sz w:val="26"/>
          <w:szCs w:val="26"/>
          <w:lang w:eastAsia="hu-HU"/>
        </w:rPr>
      </w:pPr>
    </w:p>
    <w:p w14:paraId="612D5E01" w14:textId="247C2A7A" w:rsidR="00617877" w:rsidRPr="00377D59" w:rsidRDefault="00617877" w:rsidP="00617877">
      <w:pPr>
        <w:rPr>
          <w:rFonts w:ascii="Times New Roman" w:eastAsia="Times New Roman" w:hAnsi="Times New Roman" w:cs="Times New Roman"/>
          <w:sz w:val="26"/>
          <w:szCs w:val="26"/>
          <w:lang w:eastAsia="hu-HU"/>
        </w:rPr>
      </w:pPr>
    </w:p>
    <w:p w14:paraId="4A764331" w14:textId="77777777" w:rsidR="00EA1F58" w:rsidRPr="00377D59" w:rsidRDefault="00EA1F58" w:rsidP="00617877">
      <w:pPr>
        <w:rPr>
          <w:rFonts w:ascii="Times New Roman" w:eastAsia="Times New Roman" w:hAnsi="Times New Roman" w:cs="Times New Roman"/>
          <w:sz w:val="26"/>
          <w:szCs w:val="26"/>
          <w:lang w:eastAsia="hu-HU"/>
        </w:rPr>
        <w:sectPr w:rsidR="00EA1F58" w:rsidRPr="00377D59" w:rsidSect="007449BF">
          <w:headerReference w:type="default" r:id="rId29"/>
          <w:headerReference w:type="first" r:id="rId30"/>
          <w:footnotePr>
            <w:numRestart w:val="eachPage"/>
          </w:footnotePr>
          <w:pgSz w:w="16840" w:h="11907" w:orient="landscape" w:code="9"/>
          <w:pgMar w:top="993" w:right="1134" w:bottom="1134" w:left="1418" w:header="709" w:footer="709" w:gutter="0"/>
          <w:pgNumType w:start="19"/>
          <w:cols w:space="708"/>
          <w:titlePg/>
          <w:docGrid w:linePitch="299"/>
        </w:sectPr>
      </w:pPr>
    </w:p>
    <w:p w14:paraId="0520CB74" w14:textId="6F187FB1" w:rsidR="00346073" w:rsidRPr="00346073" w:rsidRDefault="3782F5BA" w:rsidP="3782F5BA">
      <w:pPr>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b/>
          <w:bCs/>
          <w:sz w:val="26"/>
          <w:szCs w:val="26"/>
          <w:lang w:eastAsia="hu-HU"/>
        </w:rPr>
        <w:lastRenderedPageBreak/>
        <w:t>A központi költségvetés devizaadóssága</w:t>
      </w:r>
      <w:r w:rsidRPr="3782F5BA">
        <w:rPr>
          <w:rFonts w:ascii="Times New Roman" w:eastAsia="Times New Roman" w:hAnsi="Times New Roman" w:cs="Times New Roman"/>
          <w:sz w:val="26"/>
          <w:szCs w:val="26"/>
          <w:lang w:eastAsia="hu-HU"/>
        </w:rPr>
        <w:t xml:space="preserve"> 2025-ben 629,3 milliárd forinttal 17 187,1 milliárd forintra növekedett az elmúlt év végéhez képest. A devizaadósság részaránya a teljes adósságon belül 29,8% volt februárban, a 2024. év végi szinthez képest nem változott. </w:t>
      </w:r>
    </w:p>
    <w:p w14:paraId="5629D12B" w14:textId="474EB67F" w:rsidR="00346073" w:rsidRPr="00346073" w:rsidRDefault="3782F5BA" w:rsidP="3782F5BA">
      <w:pPr>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sz w:val="26"/>
          <w:szCs w:val="26"/>
          <w:lang w:eastAsia="hu-HU"/>
        </w:rPr>
        <w:t>A növekedés hátterében döntően a januárban végrehajtott devizakötvény-kibocsátások állnak. 2025. január 7-én került sor az idei év első nemzetközi eurókötvény-kibocsátására összesen 1 035,7 milliárd forint (2,5 milliárd euró) összegben. Két sorozat piacra vitele történt meg, egy 10 éves futamidejű hagyományos sorozat 621,4 milliárd forint (1,5 milliárd EUR) összegben és egy 15 éves futamidejű zöld sorozat 414,3 milliárd forint (1,0 milliárd EUR) összegben.</w:t>
      </w:r>
    </w:p>
    <w:p w14:paraId="1D4A4906" w14:textId="0CC08918" w:rsidR="00346073" w:rsidRPr="00346073" w:rsidRDefault="3782F5BA" w:rsidP="3782F5BA">
      <w:pPr>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b/>
          <w:bCs/>
          <w:sz w:val="26"/>
          <w:szCs w:val="26"/>
          <w:lang w:eastAsia="hu-HU"/>
        </w:rPr>
        <w:t>A költségvetés forintadóssága</w:t>
      </w:r>
      <w:r w:rsidRPr="3782F5BA">
        <w:rPr>
          <w:rFonts w:ascii="Times New Roman" w:eastAsia="Times New Roman" w:hAnsi="Times New Roman" w:cs="Times New Roman"/>
          <w:sz w:val="26"/>
          <w:szCs w:val="26"/>
          <w:lang w:eastAsia="hu-HU"/>
        </w:rPr>
        <w:t xml:space="preserve"> február végéig 1 454,5 milliárd forinttal növekedett és 40 156,1 milliárd forintot ért el, a forint adósság a teljes állama</w:t>
      </w:r>
      <w:r w:rsidR="00935683">
        <w:rPr>
          <w:rFonts w:ascii="Times New Roman" w:eastAsia="Times New Roman" w:hAnsi="Times New Roman" w:cs="Times New Roman"/>
          <w:sz w:val="26"/>
          <w:szCs w:val="26"/>
          <w:lang w:eastAsia="hu-HU"/>
        </w:rPr>
        <w:t>dósság 69,7%-át teszi ki. 2024.</w:t>
      </w:r>
      <w:r w:rsidR="000A2818">
        <w:rPr>
          <w:rFonts w:ascii="Times New Roman" w:eastAsia="Times New Roman" w:hAnsi="Times New Roman" w:cs="Times New Roman"/>
          <w:sz w:val="26"/>
          <w:szCs w:val="26"/>
          <w:lang w:eastAsia="hu-HU"/>
        </w:rPr>
        <w:t> </w:t>
      </w:r>
      <w:r w:rsidRPr="3782F5BA">
        <w:rPr>
          <w:rFonts w:ascii="Times New Roman" w:eastAsia="Times New Roman" w:hAnsi="Times New Roman" w:cs="Times New Roman"/>
          <w:sz w:val="26"/>
          <w:szCs w:val="26"/>
          <w:lang w:eastAsia="hu-HU"/>
        </w:rPr>
        <w:t>decemberében ez az arány 69,8% volt.</w:t>
      </w:r>
    </w:p>
    <w:p w14:paraId="45E01BF5" w14:textId="58EC8E10" w:rsidR="00346073" w:rsidRPr="00346073" w:rsidRDefault="3782F5BA" w:rsidP="3782F5BA">
      <w:pPr>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sz w:val="26"/>
          <w:szCs w:val="26"/>
          <w:lang w:eastAsia="hu-HU"/>
        </w:rPr>
        <w:t>2025. február végén a forint lakossági állampapírok állománya 11 393,7 milliárd forintot tett ki, ami 130,8 milliárd forint növekedést jelent 2024. december vége óta. A Prémium Magyar Állampapír állománya 2025. február végére 860,0 milliárd forinttal csökkent, amely így 6 101,0 milliárd forintot tett ki. A 3 éves futamidejű Fix Magyar Állampapír állománya 724,3 milliárd forinttal növekedett és elérte a 1 741,2 milliárd forintot hó végén. Szintén emelkedett a 3 és 5 éves Bónusz Magyar Állampapír állománya is, 315,4 milliárd forint növekedést követően a hó végén 1 524,3 milliárd forintot tett ki. Az 5 éves futamidejű Magyar Állampapír Plusz állománya, a nyomdai kibocsátású és a korábban értékesített papírokkal együtt, 71,4 milliárd forintot emelkedett az előző hónaphoz képest így hó végén 834,0 milliárd forintot tett ki. 2025. júniustól kivezetésre került az Egyéves Magyar Állampapír, amelynek állománya 191,6 milliárd forint volt február végén, 190,8 milliárd forinttal kisebb a 2024. év végi állománynál. A lakossági állampapírok közül a hosszú futamidejű Fix Magyar Állampapír értékesítése volt a legmagasabb februárban.</w:t>
      </w:r>
    </w:p>
    <w:p w14:paraId="65A61190" w14:textId="3608D320" w:rsidR="00C35CE2" w:rsidRDefault="3782F5BA" w:rsidP="3782F5BA">
      <w:pPr>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sz w:val="26"/>
          <w:szCs w:val="26"/>
          <w:lang w:eastAsia="hu-HU"/>
        </w:rPr>
        <w:t>Az ÁKK Zrt. február hó folyamán összesen 82,4 milliárd forint összegben vásárolt vissza lakossági állampapírokat a forgalmazó bankoktól.</w:t>
      </w:r>
    </w:p>
    <w:p w14:paraId="54C488A0" w14:textId="2B1FA09D" w:rsidR="00346073" w:rsidRPr="00346073" w:rsidRDefault="3782F5BA" w:rsidP="3782F5BA">
      <w:pPr>
        <w:jc w:val="both"/>
        <w:rPr>
          <w:rFonts w:ascii="Times New Roman" w:eastAsia="Times New Roman" w:hAnsi="Times New Roman" w:cs="Times New Roman"/>
          <w:sz w:val="26"/>
          <w:szCs w:val="26"/>
          <w:lang w:eastAsia="hu-HU"/>
        </w:rPr>
      </w:pPr>
      <w:r w:rsidRPr="3782F5BA">
        <w:rPr>
          <w:rFonts w:ascii="Times New Roman" w:eastAsia="Times New Roman" w:hAnsi="Times New Roman" w:cs="Times New Roman"/>
          <w:b/>
          <w:bCs/>
          <w:sz w:val="26"/>
          <w:szCs w:val="26"/>
          <w:lang w:eastAsia="hu-HU"/>
        </w:rPr>
        <w:t>A külföldi befektetők állampapír állománya</w:t>
      </w:r>
      <w:r w:rsidRPr="3782F5BA">
        <w:rPr>
          <w:rFonts w:ascii="Times New Roman" w:eastAsia="Times New Roman" w:hAnsi="Times New Roman" w:cs="Times New Roman"/>
          <w:sz w:val="26"/>
          <w:szCs w:val="26"/>
          <w:lang w:eastAsia="hu-HU"/>
        </w:rPr>
        <w:t xml:space="preserve"> februárban 236,8 milliárd forinttal 5 665,1 milliárd forintra növekedett az előző hónaphoz képest. A külföldi állomány 99,7%-a, 5 650,3 milliárd forint államkötvény, 0,3%-a, 14,8 milliárd</w:t>
      </w:r>
      <w:r w:rsidR="00935683">
        <w:rPr>
          <w:rFonts w:ascii="Times New Roman" w:eastAsia="Times New Roman" w:hAnsi="Times New Roman" w:cs="Times New Roman"/>
          <w:sz w:val="26"/>
          <w:szCs w:val="26"/>
          <w:lang w:eastAsia="hu-HU"/>
        </w:rPr>
        <w:t xml:space="preserve"> forint diszkontkincstárjegy. A </w:t>
      </w:r>
      <w:r w:rsidRPr="3782F5BA">
        <w:rPr>
          <w:rFonts w:ascii="Times New Roman" w:eastAsia="Times New Roman" w:hAnsi="Times New Roman" w:cs="Times New Roman"/>
          <w:sz w:val="26"/>
          <w:szCs w:val="26"/>
          <w:lang w:eastAsia="hu-HU"/>
        </w:rPr>
        <w:t>külföldi állomány átlagos hátralévő futamideje február végén 5,6 év volt.</w:t>
      </w:r>
    </w:p>
    <w:p w14:paraId="742A4DFA" w14:textId="5A9D436B" w:rsidR="00346073" w:rsidRPr="004603AD" w:rsidRDefault="73C5D9BC" w:rsidP="73C5D9BC">
      <w:pPr>
        <w:jc w:val="both"/>
        <w:rPr>
          <w:rFonts w:ascii="Times New Roman" w:eastAsia="Times New Roman" w:hAnsi="Times New Roman" w:cs="Times New Roman"/>
          <w:sz w:val="26"/>
          <w:szCs w:val="26"/>
          <w:lang w:eastAsia="hu-HU"/>
        </w:rPr>
      </w:pPr>
      <w:r w:rsidRPr="73C5D9BC">
        <w:rPr>
          <w:rFonts w:ascii="Times New Roman" w:eastAsia="Times New Roman" w:hAnsi="Times New Roman" w:cs="Times New Roman"/>
          <w:sz w:val="26"/>
          <w:szCs w:val="26"/>
          <w:lang w:eastAsia="hu-HU"/>
        </w:rPr>
        <w:t>A deviza-államadósság kockázatainak csökkentése érdekében az ÁKK Zrt. swap műveleteket köt, amiből az adósságállomány részét képezik az ezen ügyletek után az ÁKK Zrt-nél elhelyezésre kerülő fedezeti összegek (az ún. mark-to-market betétek) az egyéb kötelezettségek soron. A korábbi dollárkötvény kibocsátások óta eltelt időszakban az egyéb devizák (főként az USD) jelentősen felértékelődtek az euróhoz képest, az emiatt keletkező többletadósságot viszont a swapkötéssel sikerült kizárni. A vizsgált időszakban az egyéb kötelezettségek állománya 18,0 milliárd forinttal növekedett. Február végén az állomány 237,6 milliárd forintot tett ki, ami a teljes államadósság 0,4%-át jelenti.</w:t>
      </w:r>
    </w:p>
    <w:sectPr w:rsidR="00346073" w:rsidRPr="004603AD" w:rsidSect="007449BF">
      <w:headerReference w:type="even" r:id="rId31"/>
      <w:footerReference w:type="default" r:id="rId32"/>
      <w:footerReference w:type="first" r:id="rId33"/>
      <w:pgSz w:w="11906" w:h="16838"/>
      <w:pgMar w:top="1418" w:right="1134" w:bottom="1418" w:left="1134" w:header="708" w:footer="6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7FEF5" w14:textId="77777777" w:rsidR="008408B4" w:rsidRDefault="008408B4" w:rsidP="00B155FE">
      <w:pPr>
        <w:spacing w:after="0" w:line="240" w:lineRule="auto"/>
      </w:pPr>
      <w:r>
        <w:separator/>
      </w:r>
    </w:p>
  </w:endnote>
  <w:endnote w:type="continuationSeparator" w:id="0">
    <w:p w14:paraId="01C24421" w14:textId="77777777" w:rsidR="008408B4" w:rsidRDefault="008408B4" w:rsidP="00B155FE">
      <w:pPr>
        <w:spacing w:after="0" w:line="240" w:lineRule="auto"/>
      </w:pPr>
      <w:r>
        <w:continuationSeparator/>
      </w:r>
    </w:p>
  </w:endnote>
  <w:endnote w:type="continuationNotice" w:id="1">
    <w:p w14:paraId="1A30EB5B" w14:textId="77777777" w:rsidR="008408B4" w:rsidRDefault="00840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22D1F" w14:textId="4DE2DC1D" w:rsidR="006224FC" w:rsidRDefault="006224FC">
    <w:pPr>
      <w:pStyle w:val="llb"/>
      <w:jc w:val="center"/>
    </w:pPr>
  </w:p>
  <w:p w14:paraId="41773F2F" w14:textId="77777777" w:rsidR="006224FC" w:rsidRDefault="006224F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154505"/>
      <w:docPartObj>
        <w:docPartGallery w:val="Page Numbers (Bottom of Page)"/>
        <w:docPartUnique/>
      </w:docPartObj>
    </w:sdtPr>
    <w:sdtEndPr>
      <w:rPr>
        <w:rFonts w:ascii="Times New Roman" w:hAnsi="Times New Roman" w:cs="Times New Roman"/>
        <w:sz w:val="24"/>
      </w:rPr>
    </w:sdtEndPr>
    <w:sdtContent>
      <w:p w14:paraId="52C756D2" w14:textId="3800D4A3" w:rsidR="006224FC" w:rsidRPr="005A1E0F" w:rsidRDefault="006224FC">
        <w:pPr>
          <w:pStyle w:val="llb"/>
          <w:jc w:val="center"/>
          <w:rPr>
            <w:rFonts w:ascii="Times New Roman" w:hAnsi="Times New Roman" w:cs="Times New Roman"/>
            <w:sz w:val="24"/>
          </w:rPr>
        </w:pPr>
        <w:r w:rsidRPr="005A1E0F">
          <w:rPr>
            <w:rFonts w:ascii="Times New Roman" w:hAnsi="Times New Roman" w:cs="Times New Roman"/>
          </w:rPr>
          <w:t>20</w:t>
        </w:r>
      </w:p>
    </w:sdtContent>
  </w:sdt>
  <w:p w14:paraId="64304736" w14:textId="77777777" w:rsidR="006224FC" w:rsidRDefault="006224FC">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558895"/>
      <w:docPartObj>
        <w:docPartGallery w:val="Page Numbers (Bottom of Page)"/>
        <w:docPartUnique/>
      </w:docPartObj>
    </w:sdtPr>
    <w:sdtEndPr>
      <w:rPr>
        <w:rFonts w:ascii="Times New Roman" w:hAnsi="Times New Roman" w:cs="Times New Roman"/>
        <w:sz w:val="24"/>
      </w:rPr>
    </w:sdtEndPr>
    <w:sdtContent>
      <w:p w14:paraId="10FD5F29" w14:textId="7D80A60B" w:rsidR="006224FC" w:rsidRPr="00470868" w:rsidRDefault="006224FC">
        <w:pPr>
          <w:pStyle w:val="llb"/>
          <w:jc w:val="center"/>
          <w:rPr>
            <w:rFonts w:ascii="Times New Roman" w:hAnsi="Times New Roman" w:cs="Times New Roman"/>
            <w:sz w:val="24"/>
          </w:rPr>
        </w:pPr>
        <w:r w:rsidRPr="00470868">
          <w:rPr>
            <w:rFonts w:ascii="Times New Roman" w:hAnsi="Times New Roman" w:cs="Times New Roman"/>
            <w:sz w:val="24"/>
          </w:rPr>
          <w:fldChar w:fldCharType="begin"/>
        </w:r>
        <w:r w:rsidRPr="00470868">
          <w:rPr>
            <w:rFonts w:ascii="Times New Roman" w:hAnsi="Times New Roman" w:cs="Times New Roman"/>
            <w:sz w:val="24"/>
          </w:rPr>
          <w:instrText>PAGE   \* MERGEFORMAT</w:instrText>
        </w:r>
        <w:r w:rsidRPr="00470868">
          <w:rPr>
            <w:rFonts w:ascii="Times New Roman" w:hAnsi="Times New Roman" w:cs="Times New Roman"/>
            <w:sz w:val="24"/>
          </w:rPr>
          <w:fldChar w:fldCharType="separate"/>
        </w:r>
        <w:r w:rsidR="00595277">
          <w:rPr>
            <w:rFonts w:ascii="Times New Roman" w:hAnsi="Times New Roman" w:cs="Times New Roman"/>
            <w:noProof/>
            <w:sz w:val="24"/>
          </w:rPr>
          <w:t>9</w:t>
        </w:r>
        <w:r w:rsidRPr="00470868">
          <w:rPr>
            <w:rFonts w:ascii="Times New Roman" w:hAnsi="Times New Roman" w:cs="Times New Roman"/>
            <w:sz w:val="24"/>
          </w:rPr>
          <w:fldChar w:fldCharType="end"/>
        </w:r>
      </w:p>
    </w:sdtContent>
  </w:sdt>
  <w:p w14:paraId="17329691" w14:textId="773A5D5E" w:rsidR="006224FC" w:rsidRPr="00556984" w:rsidRDefault="006224FC" w:rsidP="00556984">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18299"/>
      <w:docPartObj>
        <w:docPartGallery w:val="Page Numbers (Bottom of Page)"/>
        <w:docPartUnique/>
      </w:docPartObj>
    </w:sdtPr>
    <w:sdtEndPr>
      <w:rPr>
        <w:rFonts w:ascii="Times New Roman" w:hAnsi="Times New Roman" w:cs="Times New Roman"/>
        <w:sz w:val="24"/>
      </w:rPr>
    </w:sdtEndPr>
    <w:sdtContent>
      <w:p w14:paraId="7ADCE6C8" w14:textId="77777777" w:rsidR="006224FC" w:rsidRPr="00D4148C" w:rsidRDefault="006224FC">
        <w:pPr>
          <w:pStyle w:val="llb"/>
          <w:jc w:val="center"/>
          <w:rPr>
            <w:rFonts w:ascii="Times New Roman" w:hAnsi="Times New Roman" w:cs="Times New Roman"/>
            <w:sz w:val="24"/>
          </w:rPr>
        </w:pPr>
        <w:r>
          <w:rPr>
            <w:rFonts w:ascii="Times New Roman" w:hAnsi="Times New Roman" w:cs="Times New Roman"/>
            <w:sz w:val="24"/>
          </w:rPr>
          <w:t>22</w:t>
        </w:r>
      </w:p>
    </w:sdtContent>
  </w:sdt>
  <w:p w14:paraId="078E8FA1" w14:textId="77777777" w:rsidR="006224FC" w:rsidRDefault="006224FC" w:rsidP="00C74E0F">
    <w:pPr>
      <w:pStyle w:val="llb"/>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40D1" w14:textId="0887EB6A" w:rsidR="006224FC" w:rsidRDefault="006224FC" w:rsidP="004A3001">
    <w:pPr>
      <w:pStyle w:val="llb"/>
      <w:jc w:val="center"/>
    </w:pPr>
    <w:r w:rsidRPr="73C5D9BC">
      <w:rPr>
        <w:rFonts w:ascii="Times New Roman" w:hAnsi="Times New Roman" w:cs="Times New Roman"/>
        <w:sz w:val="24"/>
        <w:szCs w:val="24"/>
      </w:rPr>
      <w:t>2</w:t>
    </w:r>
    <w:r>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CD938" w14:textId="77777777" w:rsidR="008408B4" w:rsidRDefault="008408B4" w:rsidP="00B155FE">
      <w:pPr>
        <w:spacing w:after="0" w:line="240" w:lineRule="auto"/>
      </w:pPr>
      <w:r>
        <w:separator/>
      </w:r>
    </w:p>
  </w:footnote>
  <w:footnote w:type="continuationSeparator" w:id="0">
    <w:p w14:paraId="201570C8" w14:textId="77777777" w:rsidR="008408B4" w:rsidRDefault="008408B4" w:rsidP="00B155FE">
      <w:pPr>
        <w:spacing w:after="0" w:line="240" w:lineRule="auto"/>
      </w:pPr>
      <w:r>
        <w:continuationSeparator/>
      </w:r>
    </w:p>
  </w:footnote>
  <w:footnote w:type="continuationNotice" w:id="1">
    <w:p w14:paraId="6718FDFF" w14:textId="77777777" w:rsidR="008408B4" w:rsidRDefault="008408B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18"/>
      <w:gridCol w:w="3118"/>
      <w:gridCol w:w="3118"/>
    </w:tblGrid>
    <w:tr w:rsidR="006224FC" w14:paraId="1027336C" w14:textId="77777777" w:rsidTr="75E7E8C2">
      <w:tc>
        <w:tcPr>
          <w:tcW w:w="3118" w:type="dxa"/>
        </w:tcPr>
        <w:p w14:paraId="4C837DDD" w14:textId="79A8EEFC" w:rsidR="006224FC" w:rsidRDefault="006224FC" w:rsidP="75E7E8C2">
          <w:pPr>
            <w:pStyle w:val="lfej"/>
            <w:ind w:left="-115"/>
          </w:pPr>
        </w:p>
      </w:tc>
      <w:tc>
        <w:tcPr>
          <w:tcW w:w="3118" w:type="dxa"/>
        </w:tcPr>
        <w:p w14:paraId="215A5B55" w14:textId="4B5EFC16" w:rsidR="006224FC" w:rsidRDefault="006224FC" w:rsidP="75E7E8C2">
          <w:pPr>
            <w:pStyle w:val="lfej"/>
            <w:jc w:val="center"/>
          </w:pPr>
        </w:p>
      </w:tc>
      <w:tc>
        <w:tcPr>
          <w:tcW w:w="3118" w:type="dxa"/>
        </w:tcPr>
        <w:p w14:paraId="08CD3A76" w14:textId="283AC16D" w:rsidR="006224FC" w:rsidRDefault="006224FC" w:rsidP="75E7E8C2">
          <w:pPr>
            <w:pStyle w:val="lfej"/>
            <w:ind w:right="-115"/>
            <w:jc w:val="right"/>
          </w:pPr>
        </w:p>
      </w:tc>
    </w:tr>
  </w:tbl>
  <w:p w14:paraId="4176297E" w14:textId="7CD13837" w:rsidR="006224FC" w:rsidRDefault="006224FC" w:rsidP="75E7E8C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F47D1" w14:textId="3D0DDD49" w:rsidR="006224FC" w:rsidRDefault="006224FC" w:rsidP="75E7E8C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8C96" w14:textId="77777777" w:rsidR="006224FC" w:rsidRPr="00881044" w:rsidRDefault="006224FC" w:rsidP="00C74E0F">
    <w:pPr>
      <w:pStyle w:val="lfej"/>
      <w:rPr>
        <w:rStyle w:val="Oldalszm"/>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8C97" w14:textId="77777777" w:rsidR="006224FC" w:rsidRPr="00FE4DD1" w:rsidRDefault="006224FC" w:rsidP="00C74E0F">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009518"/>
      <w:docPartObj>
        <w:docPartGallery w:val="Page Numbers (Top of Page)"/>
        <w:docPartUnique/>
      </w:docPartObj>
    </w:sdtPr>
    <w:sdtEndPr>
      <w:rPr>
        <w:noProof/>
      </w:rPr>
    </w:sdtEndPr>
    <w:sdtContent>
      <w:p w14:paraId="2CB15785" w14:textId="77777777" w:rsidR="006224FC" w:rsidRDefault="006224FC">
        <w:pPr>
          <w:pStyle w:val="lfej"/>
          <w:jc w:val="center"/>
        </w:pPr>
        <w:r>
          <w:fldChar w:fldCharType="begin"/>
        </w:r>
        <w:r>
          <w:instrText xml:space="preserve"> PAGE   \* MERGEFORMAT </w:instrText>
        </w:r>
        <w:r>
          <w:fldChar w:fldCharType="separate"/>
        </w:r>
        <w:r>
          <w:rPr>
            <w:noProof/>
          </w:rPr>
          <w:t>20</w:t>
        </w:r>
        <w:r>
          <w:rPr>
            <w:noProof/>
          </w:rPr>
          <w:fldChar w:fldCharType="end"/>
        </w:r>
      </w:p>
    </w:sdtContent>
  </w:sdt>
  <w:p w14:paraId="2A775F7D" w14:textId="77777777" w:rsidR="006224FC" w:rsidRDefault="006224F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298"/>
    <w:multiLevelType w:val="hybridMultilevel"/>
    <w:tmpl w:val="44CCC2AC"/>
    <w:lvl w:ilvl="0" w:tplc="08783BEC">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6602D43"/>
    <w:multiLevelType w:val="hybridMultilevel"/>
    <w:tmpl w:val="390E53F2"/>
    <w:lvl w:ilvl="0" w:tplc="F872D380">
      <w:start w:val="1"/>
      <w:numFmt w:val="bullet"/>
      <w:lvlText w:val=""/>
      <w:lvlJc w:val="left"/>
      <w:pPr>
        <w:ind w:left="720" w:hanging="360"/>
      </w:pPr>
      <w:rPr>
        <w:rFonts w:ascii="Symbol" w:hAnsi="Symbol" w:hint="default"/>
      </w:rPr>
    </w:lvl>
    <w:lvl w:ilvl="1" w:tplc="86BC4448">
      <w:start w:val="1"/>
      <w:numFmt w:val="bullet"/>
      <w:lvlText w:val="o"/>
      <w:lvlJc w:val="left"/>
      <w:pPr>
        <w:ind w:left="1440" w:hanging="360"/>
      </w:pPr>
      <w:rPr>
        <w:rFonts w:ascii="Courier New" w:hAnsi="Courier New" w:hint="default"/>
      </w:rPr>
    </w:lvl>
    <w:lvl w:ilvl="2" w:tplc="F05C9352">
      <w:start w:val="1"/>
      <w:numFmt w:val="bullet"/>
      <w:lvlText w:val=""/>
      <w:lvlJc w:val="left"/>
      <w:pPr>
        <w:ind w:left="2160" w:hanging="360"/>
      </w:pPr>
      <w:rPr>
        <w:rFonts w:ascii="Wingdings" w:hAnsi="Wingdings" w:hint="default"/>
      </w:rPr>
    </w:lvl>
    <w:lvl w:ilvl="3" w:tplc="232EF98C">
      <w:start w:val="1"/>
      <w:numFmt w:val="bullet"/>
      <w:lvlText w:val=""/>
      <w:lvlJc w:val="left"/>
      <w:pPr>
        <w:ind w:left="2880" w:hanging="360"/>
      </w:pPr>
      <w:rPr>
        <w:rFonts w:ascii="Symbol" w:hAnsi="Symbol" w:hint="default"/>
      </w:rPr>
    </w:lvl>
    <w:lvl w:ilvl="4" w:tplc="03066B72">
      <w:start w:val="1"/>
      <w:numFmt w:val="bullet"/>
      <w:lvlText w:val="o"/>
      <w:lvlJc w:val="left"/>
      <w:pPr>
        <w:ind w:left="3600" w:hanging="360"/>
      </w:pPr>
      <w:rPr>
        <w:rFonts w:ascii="Courier New" w:hAnsi="Courier New" w:hint="default"/>
      </w:rPr>
    </w:lvl>
    <w:lvl w:ilvl="5" w:tplc="7A906010">
      <w:start w:val="1"/>
      <w:numFmt w:val="bullet"/>
      <w:lvlText w:val=""/>
      <w:lvlJc w:val="left"/>
      <w:pPr>
        <w:ind w:left="4320" w:hanging="360"/>
      </w:pPr>
      <w:rPr>
        <w:rFonts w:ascii="Wingdings" w:hAnsi="Wingdings" w:hint="default"/>
      </w:rPr>
    </w:lvl>
    <w:lvl w:ilvl="6" w:tplc="9F6A3F04">
      <w:start w:val="1"/>
      <w:numFmt w:val="bullet"/>
      <w:lvlText w:val=""/>
      <w:lvlJc w:val="left"/>
      <w:pPr>
        <w:ind w:left="5040" w:hanging="360"/>
      </w:pPr>
      <w:rPr>
        <w:rFonts w:ascii="Symbol" w:hAnsi="Symbol" w:hint="default"/>
      </w:rPr>
    </w:lvl>
    <w:lvl w:ilvl="7" w:tplc="D5603E42">
      <w:start w:val="1"/>
      <w:numFmt w:val="bullet"/>
      <w:lvlText w:val="o"/>
      <w:lvlJc w:val="left"/>
      <w:pPr>
        <w:ind w:left="5760" w:hanging="360"/>
      </w:pPr>
      <w:rPr>
        <w:rFonts w:ascii="Courier New" w:hAnsi="Courier New" w:hint="default"/>
      </w:rPr>
    </w:lvl>
    <w:lvl w:ilvl="8" w:tplc="F1D4D0F8">
      <w:start w:val="1"/>
      <w:numFmt w:val="bullet"/>
      <w:lvlText w:val=""/>
      <w:lvlJc w:val="left"/>
      <w:pPr>
        <w:ind w:left="6480" w:hanging="360"/>
      </w:pPr>
      <w:rPr>
        <w:rFonts w:ascii="Wingdings" w:hAnsi="Wingdings" w:hint="default"/>
      </w:rPr>
    </w:lvl>
  </w:abstractNum>
  <w:abstractNum w:abstractNumId="2" w15:restartNumberingAfterBreak="0">
    <w:nsid w:val="3CC7670D"/>
    <w:multiLevelType w:val="hybridMultilevel"/>
    <w:tmpl w:val="FDDC7674"/>
    <w:lvl w:ilvl="0" w:tplc="9120DF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1033469"/>
    <w:multiLevelType w:val="hybridMultilevel"/>
    <w:tmpl w:val="D612FE54"/>
    <w:lvl w:ilvl="0" w:tplc="85BCE940">
      <w:start w:val="1"/>
      <w:numFmt w:val="bullet"/>
      <w:lvlText w:val=""/>
      <w:lvlJc w:val="left"/>
      <w:pPr>
        <w:ind w:left="720" w:hanging="360"/>
      </w:pPr>
      <w:rPr>
        <w:rFonts w:ascii="Symbol" w:hAnsi="Symbol" w:hint="default"/>
      </w:rPr>
    </w:lvl>
    <w:lvl w:ilvl="1" w:tplc="EDE89D4A">
      <w:start w:val="1"/>
      <w:numFmt w:val="bullet"/>
      <w:lvlText w:val="o"/>
      <w:lvlJc w:val="left"/>
      <w:pPr>
        <w:ind w:left="1440" w:hanging="360"/>
      </w:pPr>
      <w:rPr>
        <w:rFonts w:ascii="Courier New" w:hAnsi="Courier New" w:hint="default"/>
      </w:rPr>
    </w:lvl>
    <w:lvl w:ilvl="2" w:tplc="91061732">
      <w:start w:val="1"/>
      <w:numFmt w:val="bullet"/>
      <w:lvlText w:val=""/>
      <w:lvlJc w:val="left"/>
      <w:pPr>
        <w:ind w:left="2160" w:hanging="360"/>
      </w:pPr>
      <w:rPr>
        <w:rFonts w:ascii="Wingdings" w:hAnsi="Wingdings" w:hint="default"/>
      </w:rPr>
    </w:lvl>
    <w:lvl w:ilvl="3" w:tplc="5D04C974">
      <w:start w:val="1"/>
      <w:numFmt w:val="bullet"/>
      <w:lvlText w:val=""/>
      <w:lvlJc w:val="left"/>
      <w:pPr>
        <w:ind w:left="2880" w:hanging="360"/>
      </w:pPr>
      <w:rPr>
        <w:rFonts w:ascii="Symbol" w:hAnsi="Symbol" w:hint="default"/>
      </w:rPr>
    </w:lvl>
    <w:lvl w:ilvl="4" w:tplc="1C648E36">
      <w:start w:val="1"/>
      <w:numFmt w:val="bullet"/>
      <w:lvlText w:val="o"/>
      <w:lvlJc w:val="left"/>
      <w:pPr>
        <w:ind w:left="3600" w:hanging="360"/>
      </w:pPr>
      <w:rPr>
        <w:rFonts w:ascii="Courier New" w:hAnsi="Courier New" w:hint="default"/>
      </w:rPr>
    </w:lvl>
    <w:lvl w:ilvl="5" w:tplc="2DB00CB0">
      <w:start w:val="1"/>
      <w:numFmt w:val="bullet"/>
      <w:lvlText w:val=""/>
      <w:lvlJc w:val="left"/>
      <w:pPr>
        <w:ind w:left="4320" w:hanging="360"/>
      </w:pPr>
      <w:rPr>
        <w:rFonts w:ascii="Wingdings" w:hAnsi="Wingdings" w:hint="default"/>
      </w:rPr>
    </w:lvl>
    <w:lvl w:ilvl="6" w:tplc="3C9E0854">
      <w:start w:val="1"/>
      <w:numFmt w:val="bullet"/>
      <w:lvlText w:val=""/>
      <w:lvlJc w:val="left"/>
      <w:pPr>
        <w:ind w:left="5040" w:hanging="360"/>
      </w:pPr>
      <w:rPr>
        <w:rFonts w:ascii="Symbol" w:hAnsi="Symbol" w:hint="default"/>
      </w:rPr>
    </w:lvl>
    <w:lvl w:ilvl="7" w:tplc="EF2AE296">
      <w:start w:val="1"/>
      <w:numFmt w:val="bullet"/>
      <w:lvlText w:val="o"/>
      <w:lvlJc w:val="left"/>
      <w:pPr>
        <w:ind w:left="5760" w:hanging="360"/>
      </w:pPr>
      <w:rPr>
        <w:rFonts w:ascii="Courier New" w:hAnsi="Courier New" w:hint="default"/>
      </w:rPr>
    </w:lvl>
    <w:lvl w:ilvl="8" w:tplc="1B7CE0FC">
      <w:start w:val="1"/>
      <w:numFmt w:val="bullet"/>
      <w:lvlText w:val=""/>
      <w:lvlJc w:val="left"/>
      <w:pPr>
        <w:ind w:left="6480" w:hanging="360"/>
      </w:pPr>
      <w:rPr>
        <w:rFonts w:ascii="Wingdings" w:hAnsi="Wingdings" w:hint="default"/>
      </w:rPr>
    </w:lvl>
  </w:abstractNum>
  <w:abstractNum w:abstractNumId="4" w15:restartNumberingAfterBreak="0">
    <w:nsid w:val="5573523A"/>
    <w:multiLevelType w:val="hybridMultilevel"/>
    <w:tmpl w:val="92D45DA0"/>
    <w:lvl w:ilvl="0" w:tplc="5E4290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70F720B"/>
    <w:multiLevelType w:val="hybridMultilevel"/>
    <w:tmpl w:val="9D3469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trackRevisions/>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FE"/>
    <w:rsid w:val="00000517"/>
    <w:rsid w:val="0000169C"/>
    <w:rsid w:val="00001DDD"/>
    <w:rsid w:val="00007D4A"/>
    <w:rsid w:val="000103E9"/>
    <w:rsid w:val="00015945"/>
    <w:rsid w:val="00020D17"/>
    <w:rsid w:val="0002105A"/>
    <w:rsid w:val="00022205"/>
    <w:rsid w:val="00022974"/>
    <w:rsid w:val="0002586B"/>
    <w:rsid w:val="00025889"/>
    <w:rsid w:val="00026266"/>
    <w:rsid w:val="0002674A"/>
    <w:rsid w:val="000302F3"/>
    <w:rsid w:val="00031896"/>
    <w:rsid w:val="00031C82"/>
    <w:rsid w:val="000365DC"/>
    <w:rsid w:val="0003668B"/>
    <w:rsid w:val="0003701E"/>
    <w:rsid w:val="0004032B"/>
    <w:rsid w:val="000407DB"/>
    <w:rsid w:val="00044042"/>
    <w:rsid w:val="000458BD"/>
    <w:rsid w:val="000471E4"/>
    <w:rsid w:val="000512BB"/>
    <w:rsid w:val="00051E9B"/>
    <w:rsid w:val="0005236D"/>
    <w:rsid w:val="00052502"/>
    <w:rsid w:val="00052E4F"/>
    <w:rsid w:val="00054358"/>
    <w:rsid w:val="00054CDA"/>
    <w:rsid w:val="00057916"/>
    <w:rsid w:val="000611EC"/>
    <w:rsid w:val="000617B7"/>
    <w:rsid w:val="00064521"/>
    <w:rsid w:val="0006496D"/>
    <w:rsid w:val="00064D6A"/>
    <w:rsid w:val="00065E19"/>
    <w:rsid w:val="00067A57"/>
    <w:rsid w:val="00070EAC"/>
    <w:rsid w:val="00071FA3"/>
    <w:rsid w:val="00072A58"/>
    <w:rsid w:val="000770F3"/>
    <w:rsid w:val="0008062F"/>
    <w:rsid w:val="00081A0C"/>
    <w:rsid w:val="00081A16"/>
    <w:rsid w:val="00081FF0"/>
    <w:rsid w:val="00082ADE"/>
    <w:rsid w:val="000846A7"/>
    <w:rsid w:val="00085B09"/>
    <w:rsid w:val="00085C37"/>
    <w:rsid w:val="00085DCC"/>
    <w:rsid w:val="000874F4"/>
    <w:rsid w:val="00091F16"/>
    <w:rsid w:val="0009484D"/>
    <w:rsid w:val="00095C95"/>
    <w:rsid w:val="00096300"/>
    <w:rsid w:val="000A0A88"/>
    <w:rsid w:val="000A18F9"/>
    <w:rsid w:val="000A1F24"/>
    <w:rsid w:val="000A2818"/>
    <w:rsid w:val="000A296F"/>
    <w:rsid w:val="000A2EAB"/>
    <w:rsid w:val="000A531B"/>
    <w:rsid w:val="000A7964"/>
    <w:rsid w:val="000B1235"/>
    <w:rsid w:val="000B2569"/>
    <w:rsid w:val="000B49AE"/>
    <w:rsid w:val="000B6723"/>
    <w:rsid w:val="000B6BE0"/>
    <w:rsid w:val="000C1105"/>
    <w:rsid w:val="000C13F2"/>
    <w:rsid w:val="000C1781"/>
    <w:rsid w:val="000C2BFE"/>
    <w:rsid w:val="000C31E5"/>
    <w:rsid w:val="000C3D4C"/>
    <w:rsid w:val="000C46F3"/>
    <w:rsid w:val="000C7CC7"/>
    <w:rsid w:val="000D074C"/>
    <w:rsid w:val="000D1BA8"/>
    <w:rsid w:val="000D4A41"/>
    <w:rsid w:val="000D4E21"/>
    <w:rsid w:val="000D6C88"/>
    <w:rsid w:val="000D76F4"/>
    <w:rsid w:val="000D7836"/>
    <w:rsid w:val="000D7C83"/>
    <w:rsid w:val="000D7EFD"/>
    <w:rsid w:val="000E4745"/>
    <w:rsid w:val="000E4B01"/>
    <w:rsid w:val="000E4F73"/>
    <w:rsid w:val="000E5868"/>
    <w:rsid w:val="000E690A"/>
    <w:rsid w:val="000E78FE"/>
    <w:rsid w:val="000F046E"/>
    <w:rsid w:val="000F13BA"/>
    <w:rsid w:val="000F63B6"/>
    <w:rsid w:val="000F765C"/>
    <w:rsid w:val="00103FE9"/>
    <w:rsid w:val="00110C6D"/>
    <w:rsid w:val="001138B8"/>
    <w:rsid w:val="00115834"/>
    <w:rsid w:val="00115AF5"/>
    <w:rsid w:val="00117E64"/>
    <w:rsid w:val="001209E7"/>
    <w:rsid w:val="00120B53"/>
    <w:rsid w:val="001215DC"/>
    <w:rsid w:val="0012490F"/>
    <w:rsid w:val="00125040"/>
    <w:rsid w:val="001266D5"/>
    <w:rsid w:val="00126D53"/>
    <w:rsid w:val="00127579"/>
    <w:rsid w:val="00133EE6"/>
    <w:rsid w:val="0013421A"/>
    <w:rsid w:val="0013434A"/>
    <w:rsid w:val="00134BE6"/>
    <w:rsid w:val="0013596C"/>
    <w:rsid w:val="00135EA3"/>
    <w:rsid w:val="00136087"/>
    <w:rsid w:val="001366F9"/>
    <w:rsid w:val="001378AC"/>
    <w:rsid w:val="00142F01"/>
    <w:rsid w:val="00146517"/>
    <w:rsid w:val="00147C0E"/>
    <w:rsid w:val="00153722"/>
    <w:rsid w:val="0015385C"/>
    <w:rsid w:val="00153C19"/>
    <w:rsid w:val="00155283"/>
    <w:rsid w:val="001552F0"/>
    <w:rsid w:val="00155301"/>
    <w:rsid w:val="00156079"/>
    <w:rsid w:val="001615DE"/>
    <w:rsid w:val="00167874"/>
    <w:rsid w:val="00170E23"/>
    <w:rsid w:val="00174A9A"/>
    <w:rsid w:val="00180337"/>
    <w:rsid w:val="00183D4C"/>
    <w:rsid w:val="001849A2"/>
    <w:rsid w:val="00185268"/>
    <w:rsid w:val="001855C0"/>
    <w:rsid w:val="00186B09"/>
    <w:rsid w:val="00193514"/>
    <w:rsid w:val="00193DF7"/>
    <w:rsid w:val="00194065"/>
    <w:rsid w:val="00194E8F"/>
    <w:rsid w:val="001970FB"/>
    <w:rsid w:val="00197516"/>
    <w:rsid w:val="001A2835"/>
    <w:rsid w:val="001A4E5E"/>
    <w:rsid w:val="001A57FD"/>
    <w:rsid w:val="001A5B43"/>
    <w:rsid w:val="001A7E0B"/>
    <w:rsid w:val="001B0DB1"/>
    <w:rsid w:val="001B307C"/>
    <w:rsid w:val="001B416B"/>
    <w:rsid w:val="001B4DF1"/>
    <w:rsid w:val="001B50D2"/>
    <w:rsid w:val="001B6F61"/>
    <w:rsid w:val="001C1935"/>
    <w:rsid w:val="001C456C"/>
    <w:rsid w:val="001D04A8"/>
    <w:rsid w:val="001D04FF"/>
    <w:rsid w:val="001D17F4"/>
    <w:rsid w:val="001D22D6"/>
    <w:rsid w:val="001D4975"/>
    <w:rsid w:val="001D6BA0"/>
    <w:rsid w:val="001D709B"/>
    <w:rsid w:val="001D7FB5"/>
    <w:rsid w:val="001E0CF6"/>
    <w:rsid w:val="001E4B4D"/>
    <w:rsid w:val="001E4C57"/>
    <w:rsid w:val="001E6717"/>
    <w:rsid w:val="001E689B"/>
    <w:rsid w:val="001F10C2"/>
    <w:rsid w:val="001F14EB"/>
    <w:rsid w:val="001F4D95"/>
    <w:rsid w:val="001F7400"/>
    <w:rsid w:val="001F7BB0"/>
    <w:rsid w:val="001F7CA7"/>
    <w:rsid w:val="00201050"/>
    <w:rsid w:val="00201886"/>
    <w:rsid w:val="00204EA6"/>
    <w:rsid w:val="0020759E"/>
    <w:rsid w:val="00210593"/>
    <w:rsid w:val="002107FF"/>
    <w:rsid w:val="00213E49"/>
    <w:rsid w:val="002147CD"/>
    <w:rsid w:val="00215B35"/>
    <w:rsid w:val="00215F73"/>
    <w:rsid w:val="0022104D"/>
    <w:rsid w:val="0022196A"/>
    <w:rsid w:val="002223AF"/>
    <w:rsid w:val="0022447A"/>
    <w:rsid w:val="00224692"/>
    <w:rsid w:val="00224714"/>
    <w:rsid w:val="002247AD"/>
    <w:rsid w:val="002260BF"/>
    <w:rsid w:val="002267D0"/>
    <w:rsid w:val="00226A85"/>
    <w:rsid w:val="002276A7"/>
    <w:rsid w:val="0022DF0C"/>
    <w:rsid w:val="002310C9"/>
    <w:rsid w:val="00232288"/>
    <w:rsid w:val="00232FCD"/>
    <w:rsid w:val="00235F55"/>
    <w:rsid w:val="0023693F"/>
    <w:rsid w:val="00236BF8"/>
    <w:rsid w:val="0024009D"/>
    <w:rsid w:val="002409BB"/>
    <w:rsid w:val="00241A82"/>
    <w:rsid w:val="00241E69"/>
    <w:rsid w:val="0024586E"/>
    <w:rsid w:val="0025038B"/>
    <w:rsid w:val="0025229C"/>
    <w:rsid w:val="00257190"/>
    <w:rsid w:val="00262041"/>
    <w:rsid w:val="002655BB"/>
    <w:rsid w:val="00265E51"/>
    <w:rsid w:val="002678FB"/>
    <w:rsid w:val="00272765"/>
    <w:rsid w:val="00272CF0"/>
    <w:rsid w:val="002736E9"/>
    <w:rsid w:val="00275CF5"/>
    <w:rsid w:val="00280C09"/>
    <w:rsid w:val="00281CE8"/>
    <w:rsid w:val="00282A85"/>
    <w:rsid w:val="00290289"/>
    <w:rsid w:val="002910F0"/>
    <w:rsid w:val="0029176A"/>
    <w:rsid w:val="002921A1"/>
    <w:rsid w:val="0029251A"/>
    <w:rsid w:val="0029365F"/>
    <w:rsid w:val="00295391"/>
    <w:rsid w:val="002954AA"/>
    <w:rsid w:val="00295EBB"/>
    <w:rsid w:val="002975B9"/>
    <w:rsid w:val="002A11AD"/>
    <w:rsid w:val="002A1BCD"/>
    <w:rsid w:val="002A4B97"/>
    <w:rsid w:val="002B09F4"/>
    <w:rsid w:val="002B2B83"/>
    <w:rsid w:val="002B39F8"/>
    <w:rsid w:val="002B492B"/>
    <w:rsid w:val="002B7BB9"/>
    <w:rsid w:val="002B7C36"/>
    <w:rsid w:val="002C1531"/>
    <w:rsid w:val="002C34B8"/>
    <w:rsid w:val="002C4EE9"/>
    <w:rsid w:val="002C5F14"/>
    <w:rsid w:val="002D04D3"/>
    <w:rsid w:val="002D387C"/>
    <w:rsid w:val="002D4984"/>
    <w:rsid w:val="002D7D55"/>
    <w:rsid w:val="002E1C57"/>
    <w:rsid w:val="002E31EF"/>
    <w:rsid w:val="002E401D"/>
    <w:rsid w:val="002E4E83"/>
    <w:rsid w:val="002E502E"/>
    <w:rsid w:val="002E589F"/>
    <w:rsid w:val="002E5FBF"/>
    <w:rsid w:val="002E7744"/>
    <w:rsid w:val="002F0795"/>
    <w:rsid w:val="002F150D"/>
    <w:rsid w:val="002F2521"/>
    <w:rsid w:val="002F25C3"/>
    <w:rsid w:val="002F4E3B"/>
    <w:rsid w:val="002F5E69"/>
    <w:rsid w:val="002F6126"/>
    <w:rsid w:val="002F6DDD"/>
    <w:rsid w:val="002F7F1A"/>
    <w:rsid w:val="0030136A"/>
    <w:rsid w:val="003018B0"/>
    <w:rsid w:val="00303306"/>
    <w:rsid w:val="003050ED"/>
    <w:rsid w:val="00306C97"/>
    <w:rsid w:val="00306EFA"/>
    <w:rsid w:val="00307C4F"/>
    <w:rsid w:val="003112A9"/>
    <w:rsid w:val="00311E85"/>
    <w:rsid w:val="0031479F"/>
    <w:rsid w:val="00316788"/>
    <w:rsid w:val="003208C8"/>
    <w:rsid w:val="0032261D"/>
    <w:rsid w:val="00324B1E"/>
    <w:rsid w:val="0032514C"/>
    <w:rsid w:val="00326644"/>
    <w:rsid w:val="00327378"/>
    <w:rsid w:val="00327D30"/>
    <w:rsid w:val="003310E3"/>
    <w:rsid w:val="00333A2D"/>
    <w:rsid w:val="0033462C"/>
    <w:rsid w:val="00336E30"/>
    <w:rsid w:val="0034134A"/>
    <w:rsid w:val="0034232F"/>
    <w:rsid w:val="00343A3D"/>
    <w:rsid w:val="00343F69"/>
    <w:rsid w:val="00345686"/>
    <w:rsid w:val="00346073"/>
    <w:rsid w:val="00346908"/>
    <w:rsid w:val="00347F4F"/>
    <w:rsid w:val="00350F76"/>
    <w:rsid w:val="00351831"/>
    <w:rsid w:val="00351D59"/>
    <w:rsid w:val="003524B0"/>
    <w:rsid w:val="003550F2"/>
    <w:rsid w:val="003558B8"/>
    <w:rsid w:val="003559D3"/>
    <w:rsid w:val="00356959"/>
    <w:rsid w:val="0035701C"/>
    <w:rsid w:val="00360024"/>
    <w:rsid w:val="00362276"/>
    <w:rsid w:val="003632EE"/>
    <w:rsid w:val="00364745"/>
    <w:rsid w:val="0036497A"/>
    <w:rsid w:val="00370B57"/>
    <w:rsid w:val="00370CD6"/>
    <w:rsid w:val="003754BF"/>
    <w:rsid w:val="00375C19"/>
    <w:rsid w:val="00377D59"/>
    <w:rsid w:val="003804A3"/>
    <w:rsid w:val="00380D8A"/>
    <w:rsid w:val="003824FA"/>
    <w:rsid w:val="00382EE1"/>
    <w:rsid w:val="003847D8"/>
    <w:rsid w:val="00384AA3"/>
    <w:rsid w:val="003865FB"/>
    <w:rsid w:val="00387FF8"/>
    <w:rsid w:val="0039133A"/>
    <w:rsid w:val="003942C9"/>
    <w:rsid w:val="003943D5"/>
    <w:rsid w:val="00395832"/>
    <w:rsid w:val="00397C7F"/>
    <w:rsid w:val="003A0943"/>
    <w:rsid w:val="003A0BA1"/>
    <w:rsid w:val="003A4D97"/>
    <w:rsid w:val="003A5C78"/>
    <w:rsid w:val="003A6B84"/>
    <w:rsid w:val="003A7E2F"/>
    <w:rsid w:val="003B04CA"/>
    <w:rsid w:val="003B53B6"/>
    <w:rsid w:val="003B55AB"/>
    <w:rsid w:val="003B5A9A"/>
    <w:rsid w:val="003C09EA"/>
    <w:rsid w:val="003C1306"/>
    <w:rsid w:val="003C13C6"/>
    <w:rsid w:val="003C2D6B"/>
    <w:rsid w:val="003C501E"/>
    <w:rsid w:val="003C57BB"/>
    <w:rsid w:val="003D0602"/>
    <w:rsid w:val="003D16B4"/>
    <w:rsid w:val="003D5132"/>
    <w:rsid w:val="003D61A8"/>
    <w:rsid w:val="003E46ED"/>
    <w:rsid w:val="003E4A41"/>
    <w:rsid w:val="003E508C"/>
    <w:rsid w:val="003E622C"/>
    <w:rsid w:val="003F18A4"/>
    <w:rsid w:val="003F267F"/>
    <w:rsid w:val="003F3149"/>
    <w:rsid w:val="003F3151"/>
    <w:rsid w:val="003F417E"/>
    <w:rsid w:val="00400149"/>
    <w:rsid w:val="004003D1"/>
    <w:rsid w:val="00401229"/>
    <w:rsid w:val="00401B4D"/>
    <w:rsid w:val="00403D7E"/>
    <w:rsid w:val="0040704D"/>
    <w:rsid w:val="00411AC0"/>
    <w:rsid w:val="00411BDD"/>
    <w:rsid w:val="00414CDD"/>
    <w:rsid w:val="004163D7"/>
    <w:rsid w:val="004206D8"/>
    <w:rsid w:val="00421775"/>
    <w:rsid w:val="004220DE"/>
    <w:rsid w:val="0042380D"/>
    <w:rsid w:val="004269CF"/>
    <w:rsid w:val="00427F34"/>
    <w:rsid w:val="0043012E"/>
    <w:rsid w:val="0043393D"/>
    <w:rsid w:val="00436C3A"/>
    <w:rsid w:val="004412D5"/>
    <w:rsid w:val="0044233D"/>
    <w:rsid w:val="00442993"/>
    <w:rsid w:val="00444554"/>
    <w:rsid w:val="0044587B"/>
    <w:rsid w:val="004523FE"/>
    <w:rsid w:val="00453786"/>
    <w:rsid w:val="004561EE"/>
    <w:rsid w:val="0045694E"/>
    <w:rsid w:val="00457124"/>
    <w:rsid w:val="00457711"/>
    <w:rsid w:val="00457918"/>
    <w:rsid w:val="00457950"/>
    <w:rsid w:val="004603AD"/>
    <w:rsid w:val="004605F2"/>
    <w:rsid w:val="00464B6D"/>
    <w:rsid w:val="00464D42"/>
    <w:rsid w:val="00465074"/>
    <w:rsid w:val="00466390"/>
    <w:rsid w:val="00466A47"/>
    <w:rsid w:val="00466C80"/>
    <w:rsid w:val="00467A58"/>
    <w:rsid w:val="00470868"/>
    <w:rsid w:val="004727C2"/>
    <w:rsid w:val="00474AC8"/>
    <w:rsid w:val="00477B37"/>
    <w:rsid w:val="004816C1"/>
    <w:rsid w:val="0048361E"/>
    <w:rsid w:val="0048484D"/>
    <w:rsid w:val="00485019"/>
    <w:rsid w:val="00485E1E"/>
    <w:rsid w:val="004879B8"/>
    <w:rsid w:val="00490330"/>
    <w:rsid w:val="0049287F"/>
    <w:rsid w:val="00492CAB"/>
    <w:rsid w:val="00494B89"/>
    <w:rsid w:val="00496C75"/>
    <w:rsid w:val="00496EAA"/>
    <w:rsid w:val="004971F1"/>
    <w:rsid w:val="004A0A15"/>
    <w:rsid w:val="004A2974"/>
    <w:rsid w:val="004A3001"/>
    <w:rsid w:val="004A6DD1"/>
    <w:rsid w:val="004B0F31"/>
    <w:rsid w:val="004B1132"/>
    <w:rsid w:val="004B1AF1"/>
    <w:rsid w:val="004B2CAC"/>
    <w:rsid w:val="004B30A3"/>
    <w:rsid w:val="004B3704"/>
    <w:rsid w:val="004B391E"/>
    <w:rsid w:val="004B60A5"/>
    <w:rsid w:val="004B7931"/>
    <w:rsid w:val="004C0F47"/>
    <w:rsid w:val="004C1AE7"/>
    <w:rsid w:val="004C1B57"/>
    <w:rsid w:val="004C3A05"/>
    <w:rsid w:val="004C3E54"/>
    <w:rsid w:val="004C5E84"/>
    <w:rsid w:val="004C64E7"/>
    <w:rsid w:val="004C73AF"/>
    <w:rsid w:val="004D06BA"/>
    <w:rsid w:val="004D0EEC"/>
    <w:rsid w:val="004D32C3"/>
    <w:rsid w:val="004D3C6E"/>
    <w:rsid w:val="004D50F6"/>
    <w:rsid w:val="004D5146"/>
    <w:rsid w:val="004D549E"/>
    <w:rsid w:val="004D72BB"/>
    <w:rsid w:val="004D7623"/>
    <w:rsid w:val="004E12D4"/>
    <w:rsid w:val="004E13F6"/>
    <w:rsid w:val="004E1FF6"/>
    <w:rsid w:val="004E6FA2"/>
    <w:rsid w:val="004F2496"/>
    <w:rsid w:val="004F25F4"/>
    <w:rsid w:val="004F277F"/>
    <w:rsid w:val="004F3641"/>
    <w:rsid w:val="004F3F73"/>
    <w:rsid w:val="004F41FE"/>
    <w:rsid w:val="004F4571"/>
    <w:rsid w:val="004F63CD"/>
    <w:rsid w:val="00507BC3"/>
    <w:rsid w:val="00510390"/>
    <w:rsid w:val="00510655"/>
    <w:rsid w:val="00512F67"/>
    <w:rsid w:val="005171E0"/>
    <w:rsid w:val="005173AB"/>
    <w:rsid w:val="00521BEE"/>
    <w:rsid w:val="00523772"/>
    <w:rsid w:val="00523C26"/>
    <w:rsid w:val="005246B0"/>
    <w:rsid w:val="00526D67"/>
    <w:rsid w:val="005271DC"/>
    <w:rsid w:val="00527BF5"/>
    <w:rsid w:val="00530561"/>
    <w:rsid w:val="00530DB0"/>
    <w:rsid w:val="0053190B"/>
    <w:rsid w:val="00531A41"/>
    <w:rsid w:val="00533CAF"/>
    <w:rsid w:val="00541866"/>
    <w:rsid w:val="00541988"/>
    <w:rsid w:val="00543F6A"/>
    <w:rsid w:val="00545562"/>
    <w:rsid w:val="00545BAB"/>
    <w:rsid w:val="00547E18"/>
    <w:rsid w:val="0055132B"/>
    <w:rsid w:val="005518E4"/>
    <w:rsid w:val="005521BE"/>
    <w:rsid w:val="00553319"/>
    <w:rsid w:val="005535B5"/>
    <w:rsid w:val="00556984"/>
    <w:rsid w:val="0055711F"/>
    <w:rsid w:val="0056020F"/>
    <w:rsid w:val="00560E0A"/>
    <w:rsid w:val="0056202F"/>
    <w:rsid w:val="005635A9"/>
    <w:rsid w:val="005652EE"/>
    <w:rsid w:val="00565662"/>
    <w:rsid w:val="00567CCD"/>
    <w:rsid w:val="00570628"/>
    <w:rsid w:val="00572182"/>
    <w:rsid w:val="00577BC5"/>
    <w:rsid w:val="00584382"/>
    <w:rsid w:val="00584DFC"/>
    <w:rsid w:val="00587EF6"/>
    <w:rsid w:val="00590630"/>
    <w:rsid w:val="00590E73"/>
    <w:rsid w:val="00591D8B"/>
    <w:rsid w:val="00591E27"/>
    <w:rsid w:val="005920CB"/>
    <w:rsid w:val="005933D0"/>
    <w:rsid w:val="00595277"/>
    <w:rsid w:val="005961B9"/>
    <w:rsid w:val="00597117"/>
    <w:rsid w:val="005971AF"/>
    <w:rsid w:val="00597EA7"/>
    <w:rsid w:val="005A0706"/>
    <w:rsid w:val="005A0AFC"/>
    <w:rsid w:val="005A1631"/>
    <w:rsid w:val="005A1E0F"/>
    <w:rsid w:val="005A246F"/>
    <w:rsid w:val="005A29CC"/>
    <w:rsid w:val="005A2FAA"/>
    <w:rsid w:val="005A684D"/>
    <w:rsid w:val="005A799B"/>
    <w:rsid w:val="005B053D"/>
    <w:rsid w:val="005B0833"/>
    <w:rsid w:val="005B2320"/>
    <w:rsid w:val="005B2606"/>
    <w:rsid w:val="005B326D"/>
    <w:rsid w:val="005B3CDC"/>
    <w:rsid w:val="005B3D58"/>
    <w:rsid w:val="005B4611"/>
    <w:rsid w:val="005B5A7D"/>
    <w:rsid w:val="005C15F7"/>
    <w:rsid w:val="005C1AC5"/>
    <w:rsid w:val="005C32F3"/>
    <w:rsid w:val="005C34CA"/>
    <w:rsid w:val="005C3CF0"/>
    <w:rsid w:val="005C3ECD"/>
    <w:rsid w:val="005D02FC"/>
    <w:rsid w:val="005D2900"/>
    <w:rsid w:val="005D3512"/>
    <w:rsid w:val="005D42A9"/>
    <w:rsid w:val="005D513C"/>
    <w:rsid w:val="005D5304"/>
    <w:rsid w:val="005E0C48"/>
    <w:rsid w:val="005E31AC"/>
    <w:rsid w:val="005E34FD"/>
    <w:rsid w:val="005E58C2"/>
    <w:rsid w:val="005F0581"/>
    <w:rsid w:val="005F5EDA"/>
    <w:rsid w:val="005F7D0D"/>
    <w:rsid w:val="00601C5A"/>
    <w:rsid w:val="00602E3C"/>
    <w:rsid w:val="00603461"/>
    <w:rsid w:val="006068B4"/>
    <w:rsid w:val="00607B0F"/>
    <w:rsid w:val="00607C87"/>
    <w:rsid w:val="006106CD"/>
    <w:rsid w:val="006116FE"/>
    <w:rsid w:val="00611B90"/>
    <w:rsid w:val="00614FF0"/>
    <w:rsid w:val="00616AB4"/>
    <w:rsid w:val="00617877"/>
    <w:rsid w:val="00617ED1"/>
    <w:rsid w:val="006200F6"/>
    <w:rsid w:val="00621840"/>
    <w:rsid w:val="006222FA"/>
    <w:rsid w:val="006224FC"/>
    <w:rsid w:val="00625A7C"/>
    <w:rsid w:val="006260BC"/>
    <w:rsid w:val="00626577"/>
    <w:rsid w:val="006314BC"/>
    <w:rsid w:val="006320E9"/>
    <w:rsid w:val="00632B6F"/>
    <w:rsid w:val="00640595"/>
    <w:rsid w:val="00641968"/>
    <w:rsid w:val="006449C9"/>
    <w:rsid w:val="006461FB"/>
    <w:rsid w:val="00650D65"/>
    <w:rsid w:val="00650D9E"/>
    <w:rsid w:val="006569D7"/>
    <w:rsid w:val="00656DFE"/>
    <w:rsid w:val="00657D8D"/>
    <w:rsid w:val="00660576"/>
    <w:rsid w:val="0066185B"/>
    <w:rsid w:val="00667FF1"/>
    <w:rsid w:val="00670A50"/>
    <w:rsid w:val="0067190E"/>
    <w:rsid w:val="006737F6"/>
    <w:rsid w:val="00673E4A"/>
    <w:rsid w:val="00675784"/>
    <w:rsid w:val="006757CD"/>
    <w:rsid w:val="00676F5C"/>
    <w:rsid w:val="00677483"/>
    <w:rsid w:val="006777EF"/>
    <w:rsid w:val="006817A6"/>
    <w:rsid w:val="0068195E"/>
    <w:rsid w:val="00681D20"/>
    <w:rsid w:val="00681D46"/>
    <w:rsid w:val="00681D62"/>
    <w:rsid w:val="006821C2"/>
    <w:rsid w:val="006829CF"/>
    <w:rsid w:val="00684395"/>
    <w:rsid w:val="006843D1"/>
    <w:rsid w:val="00684D06"/>
    <w:rsid w:val="00685DCD"/>
    <w:rsid w:val="0068706A"/>
    <w:rsid w:val="006879C8"/>
    <w:rsid w:val="0068D30D"/>
    <w:rsid w:val="006909E9"/>
    <w:rsid w:val="0069214F"/>
    <w:rsid w:val="006921DD"/>
    <w:rsid w:val="0069385B"/>
    <w:rsid w:val="00695394"/>
    <w:rsid w:val="0069615E"/>
    <w:rsid w:val="00696F46"/>
    <w:rsid w:val="006A0D78"/>
    <w:rsid w:val="006A18B3"/>
    <w:rsid w:val="006A38AE"/>
    <w:rsid w:val="006A486D"/>
    <w:rsid w:val="006A4AFD"/>
    <w:rsid w:val="006A624D"/>
    <w:rsid w:val="006B0E36"/>
    <w:rsid w:val="006B0F2B"/>
    <w:rsid w:val="006B1170"/>
    <w:rsid w:val="006B2682"/>
    <w:rsid w:val="006B3F67"/>
    <w:rsid w:val="006B5076"/>
    <w:rsid w:val="006B50D4"/>
    <w:rsid w:val="006B7816"/>
    <w:rsid w:val="006C1AFA"/>
    <w:rsid w:val="006C240C"/>
    <w:rsid w:val="006C2DF5"/>
    <w:rsid w:val="006C3879"/>
    <w:rsid w:val="006C5291"/>
    <w:rsid w:val="006C5426"/>
    <w:rsid w:val="006C7960"/>
    <w:rsid w:val="006C7B4D"/>
    <w:rsid w:val="006D304F"/>
    <w:rsid w:val="006D363A"/>
    <w:rsid w:val="006D3BF5"/>
    <w:rsid w:val="006D5492"/>
    <w:rsid w:val="006D57FF"/>
    <w:rsid w:val="006D626D"/>
    <w:rsid w:val="006D67B9"/>
    <w:rsid w:val="006D7645"/>
    <w:rsid w:val="006D7D00"/>
    <w:rsid w:val="006E045D"/>
    <w:rsid w:val="006E12D4"/>
    <w:rsid w:val="006E1380"/>
    <w:rsid w:val="006E1E70"/>
    <w:rsid w:val="006E311E"/>
    <w:rsid w:val="006E3762"/>
    <w:rsid w:val="006E789B"/>
    <w:rsid w:val="006E7C4E"/>
    <w:rsid w:val="006F0DD1"/>
    <w:rsid w:val="006F2D56"/>
    <w:rsid w:val="006F6524"/>
    <w:rsid w:val="006F7D2B"/>
    <w:rsid w:val="0070016B"/>
    <w:rsid w:val="007007A3"/>
    <w:rsid w:val="00700FD8"/>
    <w:rsid w:val="007046C5"/>
    <w:rsid w:val="0070715D"/>
    <w:rsid w:val="00710A26"/>
    <w:rsid w:val="00711792"/>
    <w:rsid w:val="00712EB6"/>
    <w:rsid w:val="00713E95"/>
    <w:rsid w:val="00715220"/>
    <w:rsid w:val="00715222"/>
    <w:rsid w:val="0071549A"/>
    <w:rsid w:val="007173BC"/>
    <w:rsid w:val="007176FE"/>
    <w:rsid w:val="0072076F"/>
    <w:rsid w:val="007211BE"/>
    <w:rsid w:val="00721D27"/>
    <w:rsid w:val="007225C9"/>
    <w:rsid w:val="00726F02"/>
    <w:rsid w:val="00727AFB"/>
    <w:rsid w:val="00727FE7"/>
    <w:rsid w:val="007308FE"/>
    <w:rsid w:val="007310D9"/>
    <w:rsid w:val="00734D72"/>
    <w:rsid w:val="00736977"/>
    <w:rsid w:val="0073772C"/>
    <w:rsid w:val="00741A5C"/>
    <w:rsid w:val="00742B4A"/>
    <w:rsid w:val="007449BF"/>
    <w:rsid w:val="00745FE6"/>
    <w:rsid w:val="0074788C"/>
    <w:rsid w:val="00751A9D"/>
    <w:rsid w:val="007535E7"/>
    <w:rsid w:val="00753A39"/>
    <w:rsid w:val="00755595"/>
    <w:rsid w:val="007557AF"/>
    <w:rsid w:val="00756037"/>
    <w:rsid w:val="00757FD8"/>
    <w:rsid w:val="00763ED2"/>
    <w:rsid w:val="00763F5B"/>
    <w:rsid w:val="00766F20"/>
    <w:rsid w:val="00767472"/>
    <w:rsid w:val="00767D38"/>
    <w:rsid w:val="00770976"/>
    <w:rsid w:val="00775995"/>
    <w:rsid w:val="00776277"/>
    <w:rsid w:val="0077698F"/>
    <w:rsid w:val="007770BD"/>
    <w:rsid w:val="007804BF"/>
    <w:rsid w:val="00780E0D"/>
    <w:rsid w:val="0078168D"/>
    <w:rsid w:val="00781776"/>
    <w:rsid w:val="00783E66"/>
    <w:rsid w:val="007847A7"/>
    <w:rsid w:val="00785089"/>
    <w:rsid w:val="0078542D"/>
    <w:rsid w:val="00785DD9"/>
    <w:rsid w:val="0078755A"/>
    <w:rsid w:val="00787E89"/>
    <w:rsid w:val="0079570B"/>
    <w:rsid w:val="00796589"/>
    <w:rsid w:val="007A45B7"/>
    <w:rsid w:val="007A6D89"/>
    <w:rsid w:val="007B0346"/>
    <w:rsid w:val="007B2B9E"/>
    <w:rsid w:val="007B2E0D"/>
    <w:rsid w:val="007B3563"/>
    <w:rsid w:val="007C2B68"/>
    <w:rsid w:val="007C6787"/>
    <w:rsid w:val="007C7FEB"/>
    <w:rsid w:val="007D0565"/>
    <w:rsid w:val="007D7E03"/>
    <w:rsid w:val="007E123A"/>
    <w:rsid w:val="007E13DB"/>
    <w:rsid w:val="007E22F7"/>
    <w:rsid w:val="007E2E82"/>
    <w:rsid w:val="007E4009"/>
    <w:rsid w:val="007F08CB"/>
    <w:rsid w:val="007F131A"/>
    <w:rsid w:val="007F13C6"/>
    <w:rsid w:val="007F1E17"/>
    <w:rsid w:val="007F3648"/>
    <w:rsid w:val="007F3717"/>
    <w:rsid w:val="007F3D0C"/>
    <w:rsid w:val="007F5DD2"/>
    <w:rsid w:val="007F76C4"/>
    <w:rsid w:val="007F778F"/>
    <w:rsid w:val="00801AAF"/>
    <w:rsid w:val="00801B64"/>
    <w:rsid w:val="00802964"/>
    <w:rsid w:val="00803666"/>
    <w:rsid w:val="0080387B"/>
    <w:rsid w:val="00803A01"/>
    <w:rsid w:val="0080426C"/>
    <w:rsid w:val="0080731D"/>
    <w:rsid w:val="00812402"/>
    <w:rsid w:val="00812D11"/>
    <w:rsid w:val="00815AAA"/>
    <w:rsid w:val="00815E8F"/>
    <w:rsid w:val="008206F1"/>
    <w:rsid w:val="008275C6"/>
    <w:rsid w:val="00827E74"/>
    <w:rsid w:val="008303AC"/>
    <w:rsid w:val="00832955"/>
    <w:rsid w:val="008343F0"/>
    <w:rsid w:val="00835E74"/>
    <w:rsid w:val="0083681E"/>
    <w:rsid w:val="008408B4"/>
    <w:rsid w:val="00841ABD"/>
    <w:rsid w:val="0084330A"/>
    <w:rsid w:val="00843640"/>
    <w:rsid w:val="00844879"/>
    <w:rsid w:val="00847DD0"/>
    <w:rsid w:val="00852731"/>
    <w:rsid w:val="00856A6C"/>
    <w:rsid w:val="00856DEE"/>
    <w:rsid w:val="00861563"/>
    <w:rsid w:val="008618F5"/>
    <w:rsid w:val="00863CDD"/>
    <w:rsid w:val="008642C6"/>
    <w:rsid w:val="008647C5"/>
    <w:rsid w:val="00865224"/>
    <w:rsid w:val="008655FB"/>
    <w:rsid w:val="00865CA2"/>
    <w:rsid w:val="00867A22"/>
    <w:rsid w:val="00872377"/>
    <w:rsid w:val="00873BD8"/>
    <w:rsid w:val="00873F9F"/>
    <w:rsid w:val="00875487"/>
    <w:rsid w:val="00880C11"/>
    <w:rsid w:val="00880D1C"/>
    <w:rsid w:val="00885FCD"/>
    <w:rsid w:val="008877C7"/>
    <w:rsid w:val="00890C69"/>
    <w:rsid w:val="008916DB"/>
    <w:rsid w:val="0089371E"/>
    <w:rsid w:val="00897EAF"/>
    <w:rsid w:val="008A20E7"/>
    <w:rsid w:val="008A3B0D"/>
    <w:rsid w:val="008A3C12"/>
    <w:rsid w:val="008A4DB8"/>
    <w:rsid w:val="008A524B"/>
    <w:rsid w:val="008A66DB"/>
    <w:rsid w:val="008A6C91"/>
    <w:rsid w:val="008A7027"/>
    <w:rsid w:val="008A7D1D"/>
    <w:rsid w:val="008A7E51"/>
    <w:rsid w:val="008B0614"/>
    <w:rsid w:val="008B14E9"/>
    <w:rsid w:val="008B2A36"/>
    <w:rsid w:val="008B4734"/>
    <w:rsid w:val="008B5D03"/>
    <w:rsid w:val="008B685D"/>
    <w:rsid w:val="008B75B5"/>
    <w:rsid w:val="008C06B6"/>
    <w:rsid w:val="008C22A1"/>
    <w:rsid w:val="008C2CFF"/>
    <w:rsid w:val="008C3359"/>
    <w:rsid w:val="008C355E"/>
    <w:rsid w:val="008C3E79"/>
    <w:rsid w:val="008D01C3"/>
    <w:rsid w:val="008D17C3"/>
    <w:rsid w:val="008D26F8"/>
    <w:rsid w:val="008D2842"/>
    <w:rsid w:val="008D3E76"/>
    <w:rsid w:val="008D41C5"/>
    <w:rsid w:val="008D6609"/>
    <w:rsid w:val="008E0260"/>
    <w:rsid w:val="008E2BC7"/>
    <w:rsid w:val="008E322E"/>
    <w:rsid w:val="008E5197"/>
    <w:rsid w:val="008E5513"/>
    <w:rsid w:val="008E5FE2"/>
    <w:rsid w:val="008E6833"/>
    <w:rsid w:val="008E6DF0"/>
    <w:rsid w:val="008F0603"/>
    <w:rsid w:val="008F1384"/>
    <w:rsid w:val="008F2C57"/>
    <w:rsid w:val="008F511B"/>
    <w:rsid w:val="009009EC"/>
    <w:rsid w:val="00901531"/>
    <w:rsid w:val="00902688"/>
    <w:rsid w:val="00903806"/>
    <w:rsid w:val="00904BD8"/>
    <w:rsid w:val="00906285"/>
    <w:rsid w:val="00907735"/>
    <w:rsid w:val="00911D45"/>
    <w:rsid w:val="009120C5"/>
    <w:rsid w:val="00917632"/>
    <w:rsid w:val="00920F4D"/>
    <w:rsid w:val="009221A4"/>
    <w:rsid w:val="00922213"/>
    <w:rsid w:val="00924572"/>
    <w:rsid w:val="0092636F"/>
    <w:rsid w:val="009267C3"/>
    <w:rsid w:val="009278F9"/>
    <w:rsid w:val="00927CAB"/>
    <w:rsid w:val="00930092"/>
    <w:rsid w:val="0093390F"/>
    <w:rsid w:val="00933DA0"/>
    <w:rsid w:val="00935118"/>
    <w:rsid w:val="009353CC"/>
    <w:rsid w:val="00935683"/>
    <w:rsid w:val="00936F84"/>
    <w:rsid w:val="009422F9"/>
    <w:rsid w:val="00945147"/>
    <w:rsid w:val="00945CE5"/>
    <w:rsid w:val="00946E3A"/>
    <w:rsid w:val="00947C6B"/>
    <w:rsid w:val="00947DAB"/>
    <w:rsid w:val="0095149A"/>
    <w:rsid w:val="009521B4"/>
    <w:rsid w:val="009621AE"/>
    <w:rsid w:val="00964981"/>
    <w:rsid w:val="00964C0D"/>
    <w:rsid w:val="009704FA"/>
    <w:rsid w:val="00970EE4"/>
    <w:rsid w:val="00971B20"/>
    <w:rsid w:val="0097271E"/>
    <w:rsid w:val="0097327C"/>
    <w:rsid w:val="0097329F"/>
    <w:rsid w:val="0097449A"/>
    <w:rsid w:val="009756D7"/>
    <w:rsid w:val="00975C2C"/>
    <w:rsid w:val="00976E1E"/>
    <w:rsid w:val="00980084"/>
    <w:rsid w:val="00987B39"/>
    <w:rsid w:val="00990E75"/>
    <w:rsid w:val="00991169"/>
    <w:rsid w:val="00991946"/>
    <w:rsid w:val="009926FC"/>
    <w:rsid w:val="00993967"/>
    <w:rsid w:val="009946F7"/>
    <w:rsid w:val="00995845"/>
    <w:rsid w:val="00996A51"/>
    <w:rsid w:val="009A0101"/>
    <w:rsid w:val="009A1DD5"/>
    <w:rsid w:val="009A20F3"/>
    <w:rsid w:val="009A3D4A"/>
    <w:rsid w:val="009A65D0"/>
    <w:rsid w:val="009A7DCA"/>
    <w:rsid w:val="009A7F54"/>
    <w:rsid w:val="009B1108"/>
    <w:rsid w:val="009B5E74"/>
    <w:rsid w:val="009C33A4"/>
    <w:rsid w:val="009C40EA"/>
    <w:rsid w:val="009C49CC"/>
    <w:rsid w:val="009C7BDF"/>
    <w:rsid w:val="009D0F61"/>
    <w:rsid w:val="009D353C"/>
    <w:rsid w:val="009D533D"/>
    <w:rsid w:val="009D55B4"/>
    <w:rsid w:val="009D64CC"/>
    <w:rsid w:val="009D7D92"/>
    <w:rsid w:val="009E34AE"/>
    <w:rsid w:val="009E3E8D"/>
    <w:rsid w:val="009E4399"/>
    <w:rsid w:val="009E49CA"/>
    <w:rsid w:val="009E65F5"/>
    <w:rsid w:val="009E6FFE"/>
    <w:rsid w:val="009F019D"/>
    <w:rsid w:val="009F4052"/>
    <w:rsid w:val="009F66DB"/>
    <w:rsid w:val="009F7C5E"/>
    <w:rsid w:val="00A023F8"/>
    <w:rsid w:val="00A02DDD"/>
    <w:rsid w:val="00A0698F"/>
    <w:rsid w:val="00A07653"/>
    <w:rsid w:val="00A10571"/>
    <w:rsid w:val="00A1161C"/>
    <w:rsid w:val="00A12022"/>
    <w:rsid w:val="00A13316"/>
    <w:rsid w:val="00A136DD"/>
    <w:rsid w:val="00A14C8C"/>
    <w:rsid w:val="00A161A8"/>
    <w:rsid w:val="00A20692"/>
    <w:rsid w:val="00A24316"/>
    <w:rsid w:val="00A254CF"/>
    <w:rsid w:val="00A26E31"/>
    <w:rsid w:val="00A3350E"/>
    <w:rsid w:val="00A349BC"/>
    <w:rsid w:val="00A3501B"/>
    <w:rsid w:val="00A358EC"/>
    <w:rsid w:val="00A36ED5"/>
    <w:rsid w:val="00A37B00"/>
    <w:rsid w:val="00A40C03"/>
    <w:rsid w:val="00A40F40"/>
    <w:rsid w:val="00A41272"/>
    <w:rsid w:val="00A43A0F"/>
    <w:rsid w:val="00A47DF6"/>
    <w:rsid w:val="00A5012D"/>
    <w:rsid w:val="00A50271"/>
    <w:rsid w:val="00A5085A"/>
    <w:rsid w:val="00A54466"/>
    <w:rsid w:val="00A54ACF"/>
    <w:rsid w:val="00A601F9"/>
    <w:rsid w:val="00A60BB8"/>
    <w:rsid w:val="00A62128"/>
    <w:rsid w:val="00A623E0"/>
    <w:rsid w:val="00A62991"/>
    <w:rsid w:val="00A62B93"/>
    <w:rsid w:val="00A6446F"/>
    <w:rsid w:val="00A64CED"/>
    <w:rsid w:val="00A650E2"/>
    <w:rsid w:val="00A66196"/>
    <w:rsid w:val="00A67AF0"/>
    <w:rsid w:val="00A67F78"/>
    <w:rsid w:val="00A70976"/>
    <w:rsid w:val="00A71CD2"/>
    <w:rsid w:val="00A734E7"/>
    <w:rsid w:val="00A76FE3"/>
    <w:rsid w:val="00A80FCF"/>
    <w:rsid w:val="00A82F6B"/>
    <w:rsid w:val="00A8723E"/>
    <w:rsid w:val="00A8797E"/>
    <w:rsid w:val="00A90970"/>
    <w:rsid w:val="00A928FF"/>
    <w:rsid w:val="00A94005"/>
    <w:rsid w:val="00A95CB6"/>
    <w:rsid w:val="00A95D1D"/>
    <w:rsid w:val="00A96796"/>
    <w:rsid w:val="00A9789C"/>
    <w:rsid w:val="00AA1864"/>
    <w:rsid w:val="00AA21D3"/>
    <w:rsid w:val="00AA21F5"/>
    <w:rsid w:val="00AA2D82"/>
    <w:rsid w:val="00AA5008"/>
    <w:rsid w:val="00AA7C1B"/>
    <w:rsid w:val="00AB129C"/>
    <w:rsid w:val="00AB3613"/>
    <w:rsid w:val="00AB7A63"/>
    <w:rsid w:val="00AC0CBB"/>
    <w:rsid w:val="00AC2A80"/>
    <w:rsid w:val="00AC5231"/>
    <w:rsid w:val="00AC5E67"/>
    <w:rsid w:val="00AC64A0"/>
    <w:rsid w:val="00AD1243"/>
    <w:rsid w:val="00AD169C"/>
    <w:rsid w:val="00AD2450"/>
    <w:rsid w:val="00AD2E40"/>
    <w:rsid w:val="00AD65BE"/>
    <w:rsid w:val="00AD6A38"/>
    <w:rsid w:val="00AD72B4"/>
    <w:rsid w:val="00AD7AA1"/>
    <w:rsid w:val="00AE3104"/>
    <w:rsid w:val="00AE43AD"/>
    <w:rsid w:val="00AE43BB"/>
    <w:rsid w:val="00AE53A6"/>
    <w:rsid w:val="00AE6B64"/>
    <w:rsid w:val="00AE6BB5"/>
    <w:rsid w:val="00AE7710"/>
    <w:rsid w:val="00AF2CE8"/>
    <w:rsid w:val="00AF704D"/>
    <w:rsid w:val="00AF7CEE"/>
    <w:rsid w:val="00AF7F6F"/>
    <w:rsid w:val="00B0265A"/>
    <w:rsid w:val="00B056CC"/>
    <w:rsid w:val="00B058B6"/>
    <w:rsid w:val="00B075D7"/>
    <w:rsid w:val="00B13AB1"/>
    <w:rsid w:val="00B14AB5"/>
    <w:rsid w:val="00B14D9C"/>
    <w:rsid w:val="00B155FE"/>
    <w:rsid w:val="00B15A4C"/>
    <w:rsid w:val="00B17819"/>
    <w:rsid w:val="00B2202B"/>
    <w:rsid w:val="00B221B5"/>
    <w:rsid w:val="00B22BD9"/>
    <w:rsid w:val="00B2454C"/>
    <w:rsid w:val="00B2544B"/>
    <w:rsid w:val="00B32682"/>
    <w:rsid w:val="00B33638"/>
    <w:rsid w:val="00B33C05"/>
    <w:rsid w:val="00B34A94"/>
    <w:rsid w:val="00B35B95"/>
    <w:rsid w:val="00B36150"/>
    <w:rsid w:val="00B41B58"/>
    <w:rsid w:val="00B43A9F"/>
    <w:rsid w:val="00B44127"/>
    <w:rsid w:val="00B51261"/>
    <w:rsid w:val="00B54171"/>
    <w:rsid w:val="00B56CB1"/>
    <w:rsid w:val="00B60534"/>
    <w:rsid w:val="00B6124E"/>
    <w:rsid w:val="00B622E5"/>
    <w:rsid w:val="00B62D08"/>
    <w:rsid w:val="00B63DA3"/>
    <w:rsid w:val="00B63EBC"/>
    <w:rsid w:val="00B6763B"/>
    <w:rsid w:val="00B70AB8"/>
    <w:rsid w:val="00B72569"/>
    <w:rsid w:val="00B7456C"/>
    <w:rsid w:val="00B7458D"/>
    <w:rsid w:val="00B745F4"/>
    <w:rsid w:val="00B75545"/>
    <w:rsid w:val="00B762E2"/>
    <w:rsid w:val="00B771CD"/>
    <w:rsid w:val="00B8241D"/>
    <w:rsid w:val="00B8447F"/>
    <w:rsid w:val="00B84AD1"/>
    <w:rsid w:val="00B850B8"/>
    <w:rsid w:val="00B91ABD"/>
    <w:rsid w:val="00B94CCA"/>
    <w:rsid w:val="00B95AD8"/>
    <w:rsid w:val="00B9640C"/>
    <w:rsid w:val="00B9670A"/>
    <w:rsid w:val="00B9709B"/>
    <w:rsid w:val="00B9738E"/>
    <w:rsid w:val="00B97A62"/>
    <w:rsid w:val="00BA016E"/>
    <w:rsid w:val="00BA04EA"/>
    <w:rsid w:val="00BA35CC"/>
    <w:rsid w:val="00BA3B98"/>
    <w:rsid w:val="00BA415E"/>
    <w:rsid w:val="00BA5D1C"/>
    <w:rsid w:val="00BA60BB"/>
    <w:rsid w:val="00BA62C3"/>
    <w:rsid w:val="00BB0472"/>
    <w:rsid w:val="00BB10E1"/>
    <w:rsid w:val="00BB12FE"/>
    <w:rsid w:val="00BB259D"/>
    <w:rsid w:val="00BB4D90"/>
    <w:rsid w:val="00BB5D94"/>
    <w:rsid w:val="00BB79F6"/>
    <w:rsid w:val="00BC19CC"/>
    <w:rsid w:val="00BC2001"/>
    <w:rsid w:val="00BC24BF"/>
    <w:rsid w:val="00BC4B9F"/>
    <w:rsid w:val="00BC74C4"/>
    <w:rsid w:val="00BD2A9C"/>
    <w:rsid w:val="00BD2E25"/>
    <w:rsid w:val="00BD37C8"/>
    <w:rsid w:val="00BD3CEA"/>
    <w:rsid w:val="00BD4776"/>
    <w:rsid w:val="00BD6602"/>
    <w:rsid w:val="00BD7229"/>
    <w:rsid w:val="00BD7C49"/>
    <w:rsid w:val="00BD7F31"/>
    <w:rsid w:val="00BE00CC"/>
    <w:rsid w:val="00BE0DA4"/>
    <w:rsid w:val="00BE0F9D"/>
    <w:rsid w:val="00BE2602"/>
    <w:rsid w:val="00BE354F"/>
    <w:rsid w:val="00BE3FC6"/>
    <w:rsid w:val="00BE530F"/>
    <w:rsid w:val="00BE5712"/>
    <w:rsid w:val="00BE7750"/>
    <w:rsid w:val="00BE7819"/>
    <w:rsid w:val="00BF007B"/>
    <w:rsid w:val="00BF099A"/>
    <w:rsid w:val="00BF4035"/>
    <w:rsid w:val="00BF48C3"/>
    <w:rsid w:val="00BF5E09"/>
    <w:rsid w:val="00BF7707"/>
    <w:rsid w:val="00C00710"/>
    <w:rsid w:val="00C012D1"/>
    <w:rsid w:val="00C01545"/>
    <w:rsid w:val="00C0256F"/>
    <w:rsid w:val="00C02772"/>
    <w:rsid w:val="00C03BE7"/>
    <w:rsid w:val="00C063C3"/>
    <w:rsid w:val="00C11940"/>
    <w:rsid w:val="00C12BFF"/>
    <w:rsid w:val="00C13FAE"/>
    <w:rsid w:val="00C21016"/>
    <w:rsid w:val="00C21761"/>
    <w:rsid w:val="00C2238F"/>
    <w:rsid w:val="00C224F5"/>
    <w:rsid w:val="00C24948"/>
    <w:rsid w:val="00C261DC"/>
    <w:rsid w:val="00C268BB"/>
    <w:rsid w:val="00C268F4"/>
    <w:rsid w:val="00C27BFB"/>
    <w:rsid w:val="00C27DF5"/>
    <w:rsid w:val="00C326EB"/>
    <w:rsid w:val="00C32924"/>
    <w:rsid w:val="00C32D53"/>
    <w:rsid w:val="00C35CE2"/>
    <w:rsid w:val="00C35E13"/>
    <w:rsid w:val="00C36894"/>
    <w:rsid w:val="00C36A62"/>
    <w:rsid w:val="00C45E7A"/>
    <w:rsid w:val="00C46F63"/>
    <w:rsid w:val="00C50404"/>
    <w:rsid w:val="00C5054A"/>
    <w:rsid w:val="00C52FED"/>
    <w:rsid w:val="00C5351F"/>
    <w:rsid w:val="00C53734"/>
    <w:rsid w:val="00C539FB"/>
    <w:rsid w:val="00C53C2A"/>
    <w:rsid w:val="00C566FB"/>
    <w:rsid w:val="00C56FEF"/>
    <w:rsid w:val="00C56FF4"/>
    <w:rsid w:val="00C61227"/>
    <w:rsid w:val="00C6157D"/>
    <w:rsid w:val="00C62668"/>
    <w:rsid w:val="00C63C88"/>
    <w:rsid w:val="00C64C54"/>
    <w:rsid w:val="00C65238"/>
    <w:rsid w:val="00C72068"/>
    <w:rsid w:val="00C74E0F"/>
    <w:rsid w:val="00C75D5A"/>
    <w:rsid w:val="00C75E27"/>
    <w:rsid w:val="00C7666C"/>
    <w:rsid w:val="00C768D3"/>
    <w:rsid w:val="00C776A0"/>
    <w:rsid w:val="00C8266F"/>
    <w:rsid w:val="00C83548"/>
    <w:rsid w:val="00C86437"/>
    <w:rsid w:val="00C86618"/>
    <w:rsid w:val="00C86EA4"/>
    <w:rsid w:val="00C87225"/>
    <w:rsid w:val="00C872F4"/>
    <w:rsid w:val="00C87909"/>
    <w:rsid w:val="00C9408B"/>
    <w:rsid w:val="00C950DD"/>
    <w:rsid w:val="00C95900"/>
    <w:rsid w:val="00C97321"/>
    <w:rsid w:val="00CA0CEB"/>
    <w:rsid w:val="00CA1438"/>
    <w:rsid w:val="00CA1C2C"/>
    <w:rsid w:val="00CA3468"/>
    <w:rsid w:val="00CA629D"/>
    <w:rsid w:val="00CA7B88"/>
    <w:rsid w:val="00CB01DA"/>
    <w:rsid w:val="00CB09E7"/>
    <w:rsid w:val="00CB1A82"/>
    <w:rsid w:val="00CB3696"/>
    <w:rsid w:val="00CB4082"/>
    <w:rsid w:val="00CB459B"/>
    <w:rsid w:val="00CB571B"/>
    <w:rsid w:val="00CB6F27"/>
    <w:rsid w:val="00CB7E48"/>
    <w:rsid w:val="00CC075B"/>
    <w:rsid w:val="00CC0866"/>
    <w:rsid w:val="00CC0CAD"/>
    <w:rsid w:val="00CC18D6"/>
    <w:rsid w:val="00CC24D0"/>
    <w:rsid w:val="00CC4689"/>
    <w:rsid w:val="00CC703F"/>
    <w:rsid w:val="00CC706B"/>
    <w:rsid w:val="00CC7777"/>
    <w:rsid w:val="00CD0671"/>
    <w:rsid w:val="00CD0F03"/>
    <w:rsid w:val="00CD1AD4"/>
    <w:rsid w:val="00CD1BD7"/>
    <w:rsid w:val="00CD2095"/>
    <w:rsid w:val="00CD45B0"/>
    <w:rsid w:val="00CE01FC"/>
    <w:rsid w:val="00CE0F40"/>
    <w:rsid w:val="00CE1608"/>
    <w:rsid w:val="00CE4C8C"/>
    <w:rsid w:val="00CE5744"/>
    <w:rsid w:val="00CF0DB6"/>
    <w:rsid w:val="00CF15E7"/>
    <w:rsid w:val="00CF1732"/>
    <w:rsid w:val="00CF533D"/>
    <w:rsid w:val="00CF551C"/>
    <w:rsid w:val="00CF5F2A"/>
    <w:rsid w:val="00CF667E"/>
    <w:rsid w:val="00CF75FB"/>
    <w:rsid w:val="00CF7986"/>
    <w:rsid w:val="00D0533C"/>
    <w:rsid w:val="00D06976"/>
    <w:rsid w:val="00D07BD8"/>
    <w:rsid w:val="00D07EA5"/>
    <w:rsid w:val="00D11009"/>
    <w:rsid w:val="00D12DA6"/>
    <w:rsid w:val="00D14F38"/>
    <w:rsid w:val="00D1616F"/>
    <w:rsid w:val="00D16D89"/>
    <w:rsid w:val="00D226F1"/>
    <w:rsid w:val="00D23FED"/>
    <w:rsid w:val="00D258D9"/>
    <w:rsid w:val="00D3076A"/>
    <w:rsid w:val="00D30DEE"/>
    <w:rsid w:val="00D31737"/>
    <w:rsid w:val="00D33A8A"/>
    <w:rsid w:val="00D33B8F"/>
    <w:rsid w:val="00D34CD7"/>
    <w:rsid w:val="00D35813"/>
    <w:rsid w:val="00D36123"/>
    <w:rsid w:val="00D3672D"/>
    <w:rsid w:val="00D4148C"/>
    <w:rsid w:val="00D436B8"/>
    <w:rsid w:val="00D4434A"/>
    <w:rsid w:val="00D44A68"/>
    <w:rsid w:val="00D45ADC"/>
    <w:rsid w:val="00D479D4"/>
    <w:rsid w:val="00D503EA"/>
    <w:rsid w:val="00D5055E"/>
    <w:rsid w:val="00D50A39"/>
    <w:rsid w:val="00D50A45"/>
    <w:rsid w:val="00D511E9"/>
    <w:rsid w:val="00D51456"/>
    <w:rsid w:val="00D545F7"/>
    <w:rsid w:val="00D557C7"/>
    <w:rsid w:val="00D5594E"/>
    <w:rsid w:val="00D5677F"/>
    <w:rsid w:val="00D57B63"/>
    <w:rsid w:val="00D6008D"/>
    <w:rsid w:val="00D6274C"/>
    <w:rsid w:val="00D63A8A"/>
    <w:rsid w:val="00D65C55"/>
    <w:rsid w:val="00D661F0"/>
    <w:rsid w:val="00D6691A"/>
    <w:rsid w:val="00D72777"/>
    <w:rsid w:val="00D73002"/>
    <w:rsid w:val="00D7302C"/>
    <w:rsid w:val="00D77DDB"/>
    <w:rsid w:val="00D84846"/>
    <w:rsid w:val="00D86367"/>
    <w:rsid w:val="00D86A94"/>
    <w:rsid w:val="00D870CF"/>
    <w:rsid w:val="00D90B5A"/>
    <w:rsid w:val="00D916FA"/>
    <w:rsid w:val="00D91A99"/>
    <w:rsid w:val="00D92214"/>
    <w:rsid w:val="00D92384"/>
    <w:rsid w:val="00D925F7"/>
    <w:rsid w:val="00D9414C"/>
    <w:rsid w:val="00D96195"/>
    <w:rsid w:val="00DA143F"/>
    <w:rsid w:val="00DA15B5"/>
    <w:rsid w:val="00DA1682"/>
    <w:rsid w:val="00DA30F4"/>
    <w:rsid w:val="00DA363F"/>
    <w:rsid w:val="00DA4434"/>
    <w:rsid w:val="00DA488F"/>
    <w:rsid w:val="00DA4FBC"/>
    <w:rsid w:val="00DA547D"/>
    <w:rsid w:val="00DA6CEE"/>
    <w:rsid w:val="00DA72D2"/>
    <w:rsid w:val="00DB07FB"/>
    <w:rsid w:val="00DB12ED"/>
    <w:rsid w:val="00DB1326"/>
    <w:rsid w:val="00DB2547"/>
    <w:rsid w:val="00DB3DD8"/>
    <w:rsid w:val="00DB6953"/>
    <w:rsid w:val="00DC0B89"/>
    <w:rsid w:val="00DC15E6"/>
    <w:rsid w:val="00DC1F02"/>
    <w:rsid w:val="00DC22D9"/>
    <w:rsid w:val="00DC31DE"/>
    <w:rsid w:val="00DC46C9"/>
    <w:rsid w:val="00DC4E7F"/>
    <w:rsid w:val="00DD0EAE"/>
    <w:rsid w:val="00DD1EE7"/>
    <w:rsid w:val="00DD25C1"/>
    <w:rsid w:val="00DD30E6"/>
    <w:rsid w:val="00DD3916"/>
    <w:rsid w:val="00DD7C34"/>
    <w:rsid w:val="00DD7FD1"/>
    <w:rsid w:val="00DE084E"/>
    <w:rsid w:val="00DE1B2C"/>
    <w:rsid w:val="00DE7A5C"/>
    <w:rsid w:val="00DE7C03"/>
    <w:rsid w:val="00DF1268"/>
    <w:rsid w:val="00DF5E25"/>
    <w:rsid w:val="00DF63FB"/>
    <w:rsid w:val="00E012DF"/>
    <w:rsid w:val="00E02497"/>
    <w:rsid w:val="00E02EEE"/>
    <w:rsid w:val="00E0335A"/>
    <w:rsid w:val="00E039B7"/>
    <w:rsid w:val="00E03AA3"/>
    <w:rsid w:val="00E049D4"/>
    <w:rsid w:val="00E04BAA"/>
    <w:rsid w:val="00E055C2"/>
    <w:rsid w:val="00E07128"/>
    <w:rsid w:val="00E12802"/>
    <w:rsid w:val="00E14619"/>
    <w:rsid w:val="00E1527D"/>
    <w:rsid w:val="00E16566"/>
    <w:rsid w:val="00E167FF"/>
    <w:rsid w:val="00E2147C"/>
    <w:rsid w:val="00E23C29"/>
    <w:rsid w:val="00E23EA4"/>
    <w:rsid w:val="00E23FFC"/>
    <w:rsid w:val="00E27C2A"/>
    <w:rsid w:val="00E3367D"/>
    <w:rsid w:val="00E36984"/>
    <w:rsid w:val="00E373AC"/>
    <w:rsid w:val="00E37F8C"/>
    <w:rsid w:val="00E4062F"/>
    <w:rsid w:val="00E41BFB"/>
    <w:rsid w:val="00E42061"/>
    <w:rsid w:val="00E424F3"/>
    <w:rsid w:val="00E4406D"/>
    <w:rsid w:val="00E440AB"/>
    <w:rsid w:val="00E46055"/>
    <w:rsid w:val="00E46CB1"/>
    <w:rsid w:val="00E501C9"/>
    <w:rsid w:val="00E5484A"/>
    <w:rsid w:val="00E55CD7"/>
    <w:rsid w:val="00E561AD"/>
    <w:rsid w:val="00E56767"/>
    <w:rsid w:val="00E601EF"/>
    <w:rsid w:val="00E60670"/>
    <w:rsid w:val="00E61389"/>
    <w:rsid w:val="00E632CB"/>
    <w:rsid w:val="00E63B72"/>
    <w:rsid w:val="00E63B79"/>
    <w:rsid w:val="00E71F61"/>
    <w:rsid w:val="00E72811"/>
    <w:rsid w:val="00E72CB2"/>
    <w:rsid w:val="00E73AD4"/>
    <w:rsid w:val="00E81967"/>
    <w:rsid w:val="00E82306"/>
    <w:rsid w:val="00E823A7"/>
    <w:rsid w:val="00E832D7"/>
    <w:rsid w:val="00E8589D"/>
    <w:rsid w:val="00E86D49"/>
    <w:rsid w:val="00E92BE7"/>
    <w:rsid w:val="00E942CF"/>
    <w:rsid w:val="00E943EC"/>
    <w:rsid w:val="00E94D1D"/>
    <w:rsid w:val="00E97147"/>
    <w:rsid w:val="00E97430"/>
    <w:rsid w:val="00E97B76"/>
    <w:rsid w:val="00EA0D4A"/>
    <w:rsid w:val="00EA0EF7"/>
    <w:rsid w:val="00EA1037"/>
    <w:rsid w:val="00EA1F58"/>
    <w:rsid w:val="00EA29C4"/>
    <w:rsid w:val="00EA375F"/>
    <w:rsid w:val="00EA435E"/>
    <w:rsid w:val="00EA5289"/>
    <w:rsid w:val="00EA5C30"/>
    <w:rsid w:val="00EA626E"/>
    <w:rsid w:val="00EB26A0"/>
    <w:rsid w:val="00EB382B"/>
    <w:rsid w:val="00EC00A2"/>
    <w:rsid w:val="00EC0C4A"/>
    <w:rsid w:val="00EC2203"/>
    <w:rsid w:val="00EC3394"/>
    <w:rsid w:val="00EC3951"/>
    <w:rsid w:val="00EC3CCC"/>
    <w:rsid w:val="00EC421A"/>
    <w:rsid w:val="00EC589B"/>
    <w:rsid w:val="00ED0EA7"/>
    <w:rsid w:val="00ED1137"/>
    <w:rsid w:val="00ED17C4"/>
    <w:rsid w:val="00ED1AEF"/>
    <w:rsid w:val="00ED219E"/>
    <w:rsid w:val="00ED2D97"/>
    <w:rsid w:val="00ED40C7"/>
    <w:rsid w:val="00ED4A6F"/>
    <w:rsid w:val="00ED57BA"/>
    <w:rsid w:val="00ED6136"/>
    <w:rsid w:val="00EE1E12"/>
    <w:rsid w:val="00EE2213"/>
    <w:rsid w:val="00EE3EB9"/>
    <w:rsid w:val="00EE444B"/>
    <w:rsid w:val="00EE5EA4"/>
    <w:rsid w:val="00EF002E"/>
    <w:rsid w:val="00EF14BD"/>
    <w:rsid w:val="00EF1F5B"/>
    <w:rsid w:val="00EF22AA"/>
    <w:rsid w:val="00EF4EF8"/>
    <w:rsid w:val="00EF6820"/>
    <w:rsid w:val="00EF717B"/>
    <w:rsid w:val="00F01A63"/>
    <w:rsid w:val="00F01C3C"/>
    <w:rsid w:val="00F05220"/>
    <w:rsid w:val="00F05815"/>
    <w:rsid w:val="00F06549"/>
    <w:rsid w:val="00F1118B"/>
    <w:rsid w:val="00F11762"/>
    <w:rsid w:val="00F22077"/>
    <w:rsid w:val="00F224A0"/>
    <w:rsid w:val="00F249DA"/>
    <w:rsid w:val="00F26244"/>
    <w:rsid w:val="00F26645"/>
    <w:rsid w:val="00F314E1"/>
    <w:rsid w:val="00F33AE7"/>
    <w:rsid w:val="00F34521"/>
    <w:rsid w:val="00F3505B"/>
    <w:rsid w:val="00F35767"/>
    <w:rsid w:val="00F357B2"/>
    <w:rsid w:val="00F3632E"/>
    <w:rsid w:val="00F37865"/>
    <w:rsid w:val="00F40920"/>
    <w:rsid w:val="00F40BBC"/>
    <w:rsid w:val="00F4169D"/>
    <w:rsid w:val="00F47184"/>
    <w:rsid w:val="00F53DB5"/>
    <w:rsid w:val="00F57CC6"/>
    <w:rsid w:val="00F62EC5"/>
    <w:rsid w:val="00F632DF"/>
    <w:rsid w:val="00F71CAC"/>
    <w:rsid w:val="00F71FDE"/>
    <w:rsid w:val="00F72867"/>
    <w:rsid w:val="00F73CB9"/>
    <w:rsid w:val="00F7556A"/>
    <w:rsid w:val="00F75868"/>
    <w:rsid w:val="00F76EE9"/>
    <w:rsid w:val="00F805AE"/>
    <w:rsid w:val="00F8132B"/>
    <w:rsid w:val="00F90893"/>
    <w:rsid w:val="00F92C4C"/>
    <w:rsid w:val="00F9424C"/>
    <w:rsid w:val="00F946AB"/>
    <w:rsid w:val="00F95FB2"/>
    <w:rsid w:val="00F97910"/>
    <w:rsid w:val="00FA31A9"/>
    <w:rsid w:val="00FA3BFF"/>
    <w:rsid w:val="00FA5AA9"/>
    <w:rsid w:val="00FA7FDB"/>
    <w:rsid w:val="00FB114C"/>
    <w:rsid w:val="00FB1921"/>
    <w:rsid w:val="00FB23DF"/>
    <w:rsid w:val="00FB28BD"/>
    <w:rsid w:val="00FB35A4"/>
    <w:rsid w:val="00FB59DC"/>
    <w:rsid w:val="00FB7355"/>
    <w:rsid w:val="00FC0D58"/>
    <w:rsid w:val="00FC114E"/>
    <w:rsid w:val="00FC2081"/>
    <w:rsid w:val="00FC4076"/>
    <w:rsid w:val="00FC49F4"/>
    <w:rsid w:val="00FC4CD2"/>
    <w:rsid w:val="00FC4EDF"/>
    <w:rsid w:val="00FC4F7E"/>
    <w:rsid w:val="00FC6530"/>
    <w:rsid w:val="00FC7D15"/>
    <w:rsid w:val="00FC7DF0"/>
    <w:rsid w:val="00FD3C21"/>
    <w:rsid w:val="00FD3F05"/>
    <w:rsid w:val="00FD46EE"/>
    <w:rsid w:val="00FD65B4"/>
    <w:rsid w:val="00FD7247"/>
    <w:rsid w:val="00FE0ACB"/>
    <w:rsid w:val="00FE0CFB"/>
    <w:rsid w:val="00FE2CD2"/>
    <w:rsid w:val="00FE30F2"/>
    <w:rsid w:val="00FE32C3"/>
    <w:rsid w:val="00FE6C0F"/>
    <w:rsid w:val="00FE7686"/>
    <w:rsid w:val="00FF0720"/>
    <w:rsid w:val="00FF13AD"/>
    <w:rsid w:val="00FF17E5"/>
    <w:rsid w:val="00FF30FF"/>
    <w:rsid w:val="00FF3A69"/>
    <w:rsid w:val="00FF50AB"/>
    <w:rsid w:val="00FF603C"/>
    <w:rsid w:val="00FF6CB2"/>
    <w:rsid w:val="010C1112"/>
    <w:rsid w:val="029C2633"/>
    <w:rsid w:val="03532116"/>
    <w:rsid w:val="03F51677"/>
    <w:rsid w:val="03F69F1A"/>
    <w:rsid w:val="05919A2D"/>
    <w:rsid w:val="06379433"/>
    <w:rsid w:val="063D6843"/>
    <w:rsid w:val="066432AC"/>
    <w:rsid w:val="069B7ADC"/>
    <w:rsid w:val="06BE6BE2"/>
    <w:rsid w:val="06FE8B66"/>
    <w:rsid w:val="0763136A"/>
    <w:rsid w:val="07A6191C"/>
    <w:rsid w:val="07ABBEBB"/>
    <w:rsid w:val="07BA705A"/>
    <w:rsid w:val="0907052C"/>
    <w:rsid w:val="0A613950"/>
    <w:rsid w:val="0A700B55"/>
    <w:rsid w:val="0B0022D9"/>
    <w:rsid w:val="0B48D58A"/>
    <w:rsid w:val="0C5E71B7"/>
    <w:rsid w:val="0C689E27"/>
    <w:rsid w:val="0C6C4946"/>
    <w:rsid w:val="0C9FAC85"/>
    <w:rsid w:val="0CB1253A"/>
    <w:rsid w:val="0E6BB81D"/>
    <w:rsid w:val="0E967858"/>
    <w:rsid w:val="0F03D9E1"/>
    <w:rsid w:val="0F3B75E8"/>
    <w:rsid w:val="0F95990C"/>
    <w:rsid w:val="0FD4C9D7"/>
    <w:rsid w:val="10A4A11E"/>
    <w:rsid w:val="10FB2C97"/>
    <w:rsid w:val="1112F309"/>
    <w:rsid w:val="112C6B7A"/>
    <w:rsid w:val="11DD2B83"/>
    <w:rsid w:val="12008149"/>
    <w:rsid w:val="123EFD2F"/>
    <w:rsid w:val="1323E382"/>
    <w:rsid w:val="13A3A09E"/>
    <w:rsid w:val="13A79940"/>
    <w:rsid w:val="13F426FA"/>
    <w:rsid w:val="15270E72"/>
    <w:rsid w:val="15A58401"/>
    <w:rsid w:val="16287004"/>
    <w:rsid w:val="166F4922"/>
    <w:rsid w:val="17131A31"/>
    <w:rsid w:val="17C27382"/>
    <w:rsid w:val="17DC55AF"/>
    <w:rsid w:val="17FEF9E5"/>
    <w:rsid w:val="18B57E3D"/>
    <w:rsid w:val="19667954"/>
    <w:rsid w:val="19E6C14B"/>
    <w:rsid w:val="1AC17C3A"/>
    <w:rsid w:val="1ADA31FC"/>
    <w:rsid w:val="1B284C5D"/>
    <w:rsid w:val="1B597A7E"/>
    <w:rsid w:val="1BD611AD"/>
    <w:rsid w:val="1CE469A7"/>
    <w:rsid w:val="1D481232"/>
    <w:rsid w:val="1DD9EF3C"/>
    <w:rsid w:val="1DF69EC9"/>
    <w:rsid w:val="1E25FE9E"/>
    <w:rsid w:val="1EBF714E"/>
    <w:rsid w:val="1F152BF5"/>
    <w:rsid w:val="1F6DAFD8"/>
    <w:rsid w:val="20BD1B28"/>
    <w:rsid w:val="218F7423"/>
    <w:rsid w:val="21CD325D"/>
    <w:rsid w:val="22B2E273"/>
    <w:rsid w:val="244B8BA3"/>
    <w:rsid w:val="247593E9"/>
    <w:rsid w:val="2482AB30"/>
    <w:rsid w:val="24866881"/>
    <w:rsid w:val="24CA6B4B"/>
    <w:rsid w:val="25167A99"/>
    <w:rsid w:val="256E7D1F"/>
    <w:rsid w:val="266D0E36"/>
    <w:rsid w:val="2705F438"/>
    <w:rsid w:val="29E24B52"/>
    <w:rsid w:val="2AB2F450"/>
    <w:rsid w:val="2AB70C23"/>
    <w:rsid w:val="2AEB4A54"/>
    <w:rsid w:val="2B04FDB1"/>
    <w:rsid w:val="2B1AC7DC"/>
    <w:rsid w:val="2BEF2B23"/>
    <w:rsid w:val="2CE0FEC2"/>
    <w:rsid w:val="2CF1AE67"/>
    <w:rsid w:val="2D99E544"/>
    <w:rsid w:val="2DEB2C8A"/>
    <w:rsid w:val="2E2AB90F"/>
    <w:rsid w:val="2E3CCF42"/>
    <w:rsid w:val="2EE8C294"/>
    <w:rsid w:val="2F7661F3"/>
    <w:rsid w:val="2FA6F2C0"/>
    <w:rsid w:val="30B89212"/>
    <w:rsid w:val="30FC3356"/>
    <w:rsid w:val="3192DD79"/>
    <w:rsid w:val="320BC70F"/>
    <w:rsid w:val="32158470"/>
    <w:rsid w:val="32C1C859"/>
    <w:rsid w:val="33059570"/>
    <w:rsid w:val="33985B12"/>
    <w:rsid w:val="33E5B4FB"/>
    <w:rsid w:val="34E998B1"/>
    <w:rsid w:val="34F06E92"/>
    <w:rsid w:val="3518770D"/>
    <w:rsid w:val="351F2960"/>
    <w:rsid w:val="3569ECBC"/>
    <w:rsid w:val="35821FBB"/>
    <w:rsid w:val="358BCD3F"/>
    <w:rsid w:val="3630E3D9"/>
    <w:rsid w:val="36C1AD60"/>
    <w:rsid w:val="3782F5BA"/>
    <w:rsid w:val="381054FE"/>
    <w:rsid w:val="382BB0E4"/>
    <w:rsid w:val="38303276"/>
    <w:rsid w:val="38D94B9A"/>
    <w:rsid w:val="39728167"/>
    <w:rsid w:val="397FF86C"/>
    <w:rsid w:val="3A1863B5"/>
    <w:rsid w:val="3A252E23"/>
    <w:rsid w:val="3AC975C0"/>
    <w:rsid w:val="3AE1C658"/>
    <w:rsid w:val="3AE87F4D"/>
    <w:rsid w:val="3B3759A5"/>
    <w:rsid w:val="3B799BCC"/>
    <w:rsid w:val="3BBDEFDF"/>
    <w:rsid w:val="3C205190"/>
    <w:rsid w:val="3C415B41"/>
    <w:rsid w:val="3C637521"/>
    <w:rsid w:val="3D1B7E88"/>
    <w:rsid w:val="3D23032C"/>
    <w:rsid w:val="3E0BD2A6"/>
    <w:rsid w:val="3E587F8E"/>
    <w:rsid w:val="3EEBE81C"/>
    <w:rsid w:val="3F8285E0"/>
    <w:rsid w:val="3FC738EB"/>
    <w:rsid w:val="3FF7CE88"/>
    <w:rsid w:val="404A42F7"/>
    <w:rsid w:val="405C61C0"/>
    <w:rsid w:val="40CDF8D1"/>
    <w:rsid w:val="4131F494"/>
    <w:rsid w:val="41531929"/>
    <w:rsid w:val="41B4A28C"/>
    <w:rsid w:val="4254DCC1"/>
    <w:rsid w:val="42EDEF6D"/>
    <w:rsid w:val="43768F17"/>
    <w:rsid w:val="451C38B0"/>
    <w:rsid w:val="45866D16"/>
    <w:rsid w:val="46186346"/>
    <w:rsid w:val="464F45A7"/>
    <w:rsid w:val="4660B91A"/>
    <w:rsid w:val="47C26FF6"/>
    <w:rsid w:val="481A0B18"/>
    <w:rsid w:val="48375772"/>
    <w:rsid w:val="4909FF02"/>
    <w:rsid w:val="4936E5BF"/>
    <w:rsid w:val="4A1DDAEB"/>
    <w:rsid w:val="4A4DD050"/>
    <w:rsid w:val="4AA1AE5E"/>
    <w:rsid w:val="4C05280B"/>
    <w:rsid w:val="4C8918ED"/>
    <w:rsid w:val="4D0967CF"/>
    <w:rsid w:val="4D8EC441"/>
    <w:rsid w:val="4DBA415A"/>
    <w:rsid w:val="4DE0175B"/>
    <w:rsid w:val="4E12A658"/>
    <w:rsid w:val="4E2B0E51"/>
    <w:rsid w:val="4EF92727"/>
    <w:rsid w:val="4F9EA472"/>
    <w:rsid w:val="4FCC0AD1"/>
    <w:rsid w:val="5018C294"/>
    <w:rsid w:val="510D766F"/>
    <w:rsid w:val="51115786"/>
    <w:rsid w:val="526362D6"/>
    <w:rsid w:val="527DC273"/>
    <w:rsid w:val="52CC3B59"/>
    <w:rsid w:val="5369F3F4"/>
    <w:rsid w:val="537B7A8F"/>
    <w:rsid w:val="547A2D94"/>
    <w:rsid w:val="547CDDA0"/>
    <w:rsid w:val="54ACA371"/>
    <w:rsid w:val="550BC2F9"/>
    <w:rsid w:val="558BDF90"/>
    <w:rsid w:val="559D80A3"/>
    <w:rsid w:val="56F1BA1B"/>
    <w:rsid w:val="57CD894D"/>
    <w:rsid w:val="58532BE8"/>
    <w:rsid w:val="587E035A"/>
    <w:rsid w:val="58A84EEA"/>
    <w:rsid w:val="58E96E3A"/>
    <w:rsid w:val="593AC637"/>
    <w:rsid w:val="593E5738"/>
    <w:rsid w:val="594C7A0B"/>
    <w:rsid w:val="59C112C8"/>
    <w:rsid w:val="5AF03726"/>
    <w:rsid w:val="5B67C7D7"/>
    <w:rsid w:val="5C24D288"/>
    <w:rsid w:val="5C6F8BC2"/>
    <w:rsid w:val="5CE41D62"/>
    <w:rsid w:val="5CEFEC53"/>
    <w:rsid w:val="5DC4A04A"/>
    <w:rsid w:val="5E4023AB"/>
    <w:rsid w:val="5E7D70E4"/>
    <w:rsid w:val="5E97B0CB"/>
    <w:rsid w:val="5F62B1B6"/>
    <w:rsid w:val="5FAE97D8"/>
    <w:rsid w:val="5FD35E9D"/>
    <w:rsid w:val="6079877E"/>
    <w:rsid w:val="62C9B2EA"/>
    <w:rsid w:val="639E9B9B"/>
    <w:rsid w:val="63BEA325"/>
    <w:rsid w:val="6462B5A6"/>
    <w:rsid w:val="649087DC"/>
    <w:rsid w:val="649395FB"/>
    <w:rsid w:val="64A4B944"/>
    <w:rsid w:val="64F692D4"/>
    <w:rsid w:val="656A1E2D"/>
    <w:rsid w:val="65772A6C"/>
    <w:rsid w:val="65A72BA2"/>
    <w:rsid w:val="671C4404"/>
    <w:rsid w:val="67205E4B"/>
    <w:rsid w:val="67630FE3"/>
    <w:rsid w:val="67929FA3"/>
    <w:rsid w:val="67E5EF71"/>
    <w:rsid w:val="688EC8D6"/>
    <w:rsid w:val="68C2C5D5"/>
    <w:rsid w:val="68DB40FC"/>
    <w:rsid w:val="691A7037"/>
    <w:rsid w:val="6924D4D1"/>
    <w:rsid w:val="6987D822"/>
    <w:rsid w:val="6A66705C"/>
    <w:rsid w:val="6ABC4D12"/>
    <w:rsid w:val="6B3C2582"/>
    <w:rsid w:val="6B5B80CE"/>
    <w:rsid w:val="6BF9886D"/>
    <w:rsid w:val="6C7E551B"/>
    <w:rsid w:val="6D488CFE"/>
    <w:rsid w:val="6D92290A"/>
    <w:rsid w:val="6DC8581C"/>
    <w:rsid w:val="6DE954D4"/>
    <w:rsid w:val="702EE3C2"/>
    <w:rsid w:val="70481CF2"/>
    <w:rsid w:val="70A625F7"/>
    <w:rsid w:val="7193A06A"/>
    <w:rsid w:val="71C31FE3"/>
    <w:rsid w:val="724E9FAD"/>
    <w:rsid w:val="727A167A"/>
    <w:rsid w:val="72AFD5C4"/>
    <w:rsid w:val="72F6ECCE"/>
    <w:rsid w:val="730FCCFB"/>
    <w:rsid w:val="73BF3F6F"/>
    <w:rsid w:val="73C5D9BC"/>
    <w:rsid w:val="73F401F8"/>
    <w:rsid w:val="74B9DF17"/>
    <w:rsid w:val="75207B8F"/>
    <w:rsid w:val="75BE7B32"/>
    <w:rsid w:val="75E7E8C2"/>
    <w:rsid w:val="766E7AF6"/>
    <w:rsid w:val="76825172"/>
    <w:rsid w:val="76B67B90"/>
    <w:rsid w:val="77359BF2"/>
    <w:rsid w:val="77446A4A"/>
    <w:rsid w:val="777ECC86"/>
    <w:rsid w:val="77D2CA7A"/>
    <w:rsid w:val="784B72B7"/>
    <w:rsid w:val="7929D98B"/>
    <w:rsid w:val="79B17F01"/>
    <w:rsid w:val="79BEC7F1"/>
    <w:rsid w:val="79CB34D5"/>
    <w:rsid w:val="7A6AF975"/>
    <w:rsid w:val="7B254AC1"/>
    <w:rsid w:val="7B51F349"/>
    <w:rsid w:val="7BAD7C19"/>
    <w:rsid w:val="7BEE4526"/>
    <w:rsid w:val="7C297149"/>
    <w:rsid w:val="7C97CD75"/>
    <w:rsid w:val="7D073C85"/>
    <w:rsid w:val="7D0CF5E0"/>
    <w:rsid w:val="7DEED1A8"/>
    <w:rsid w:val="7FA29CDC"/>
    <w:rsid w:val="7FD379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689E2"/>
  <w15:docId w15:val="{38D6A328-5785-4CB2-BD85-E77B7552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B55A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155FE"/>
    <w:pPr>
      <w:tabs>
        <w:tab w:val="center" w:pos="4536"/>
        <w:tab w:val="right" w:pos="9072"/>
      </w:tabs>
      <w:spacing w:after="0" w:line="240" w:lineRule="auto"/>
    </w:pPr>
  </w:style>
  <w:style w:type="character" w:customStyle="1" w:styleId="lfejChar">
    <w:name w:val="Élőfej Char"/>
    <w:basedOn w:val="Bekezdsalapbettpusa"/>
    <w:link w:val="lfej"/>
    <w:uiPriority w:val="99"/>
    <w:rsid w:val="00B155FE"/>
  </w:style>
  <w:style w:type="paragraph" w:styleId="llb">
    <w:name w:val="footer"/>
    <w:basedOn w:val="Norml"/>
    <w:link w:val="llbChar"/>
    <w:uiPriority w:val="99"/>
    <w:unhideWhenUsed/>
    <w:rsid w:val="00B155FE"/>
    <w:pPr>
      <w:tabs>
        <w:tab w:val="center" w:pos="4536"/>
        <w:tab w:val="right" w:pos="9072"/>
      </w:tabs>
      <w:spacing w:after="0" w:line="240" w:lineRule="auto"/>
    </w:pPr>
  </w:style>
  <w:style w:type="character" w:customStyle="1" w:styleId="llbChar">
    <w:name w:val="Élőláb Char"/>
    <w:basedOn w:val="Bekezdsalapbettpusa"/>
    <w:link w:val="llb"/>
    <w:uiPriority w:val="99"/>
    <w:rsid w:val="00B155FE"/>
  </w:style>
  <w:style w:type="paragraph" w:styleId="Lbjegyzetszveg">
    <w:name w:val="footnote text"/>
    <w:basedOn w:val="Norml"/>
    <w:link w:val="LbjegyzetszvegChar"/>
    <w:uiPriority w:val="99"/>
    <w:semiHidden/>
    <w:unhideWhenUsed/>
    <w:rsid w:val="00B155F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155FE"/>
    <w:rPr>
      <w:sz w:val="20"/>
      <w:szCs w:val="20"/>
    </w:rPr>
  </w:style>
  <w:style w:type="character" w:styleId="Lbjegyzet-hivatkozs">
    <w:name w:val="footnote reference"/>
    <w:semiHidden/>
    <w:rsid w:val="00B155FE"/>
    <w:rPr>
      <w:vertAlign w:val="superscript"/>
    </w:rPr>
  </w:style>
  <w:style w:type="character" w:styleId="Oldalszm">
    <w:name w:val="page number"/>
    <w:basedOn w:val="Bekezdsalapbettpusa"/>
    <w:rsid w:val="00B155FE"/>
  </w:style>
  <w:style w:type="paragraph" w:styleId="Buborkszveg">
    <w:name w:val="Balloon Text"/>
    <w:basedOn w:val="Norml"/>
    <w:link w:val="BuborkszvegChar"/>
    <w:uiPriority w:val="99"/>
    <w:semiHidden/>
    <w:unhideWhenUsed/>
    <w:rsid w:val="0097327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7327C"/>
    <w:rPr>
      <w:rFonts w:ascii="Tahoma" w:hAnsi="Tahoma" w:cs="Tahoma"/>
      <w:sz w:val="16"/>
      <w:szCs w:val="16"/>
    </w:rPr>
  </w:style>
  <w:style w:type="paragraph" w:styleId="Listaszerbekezds">
    <w:name w:val="List Paragraph"/>
    <w:basedOn w:val="Norml"/>
    <w:uiPriority w:val="34"/>
    <w:qFormat/>
    <w:rsid w:val="00F71CAC"/>
    <w:pPr>
      <w:ind w:left="720"/>
      <w:contextualSpacing/>
    </w:pPr>
  </w:style>
  <w:style w:type="paragraph" w:styleId="Jegyzetszveg">
    <w:name w:val="annotation text"/>
    <w:basedOn w:val="Norml"/>
    <w:link w:val="JegyzetszvegChar"/>
    <w:uiPriority w:val="99"/>
    <w:semiHidden/>
    <w:unhideWhenUsed/>
    <w:pPr>
      <w:spacing w:line="240" w:lineRule="auto"/>
    </w:pPr>
    <w:rPr>
      <w:sz w:val="20"/>
      <w:szCs w:val="20"/>
    </w:rPr>
  </w:style>
  <w:style w:type="character" w:customStyle="1" w:styleId="JegyzetszvegChar">
    <w:name w:val="Jegyzetszöveg Char"/>
    <w:basedOn w:val="Bekezdsalapbettpusa"/>
    <w:link w:val="Jegyzetszveg"/>
    <w:uiPriority w:val="99"/>
    <w:semiHidden/>
    <w:rPr>
      <w:sz w:val="20"/>
      <w:szCs w:val="20"/>
    </w:rPr>
  </w:style>
  <w:style w:type="character" w:styleId="Jegyzethivatkozs">
    <w:name w:val="annotation reference"/>
    <w:basedOn w:val="Bekezdsalapbettpusa"/>
    <w:uiPriority w:val="99"/>
    <w:semiHidden/>
    <w:unhideWhenUsed/>
    <w:rPr>
      <w:sz w:val="16"/>
      <w:szCs w:val="16"/>
    </w:rPr>
  </w:style>
  <w:style w:type="table" w:styleId="Rcsostblzat">
    <w:name w:val="Table Grid"/>
    <w:basedOn w:val="Normltblzat"/>
    <w:uiPriority w:val="39"/>
    <w:rsid w:val="00D4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E1656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Pr>
      <w:color w:val="0563C1" w:themeColor="hyperlink"/>
      <w:u w:val="single"/>
    </w:rPr>
  </w:style>
  <w:style w:type="table" w:styleId="Tblzatrcsos1vilgos1jellszn">
    <w:name w:val="Grid Table 1 Light Accent 1"/>
    <w:basedOn w:val="Normltblzat"/>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Megjegyzstrgya">
    <w:name w:val="annotation subject"/>
    <w:basedOn w:val="Jegyzetszveg"/>
    <w:next w:val="Jegyzetszveg"/>
    <w:link w:val="MegjegyzstrgyaChar"/>
    <w:uiPriority w:val="99"/>
    <w:semiHidden/>
    <w:unhideWhenUsed/>
    <w:rsid w:val="00C75D5A"/>
    <w:rPr>
      <w:b/>
      <w:bCs/>
    </w:rPr>
  </w:style>
  <w:style w:type="character" w:customStyle="1" w:styleId="MegjegyzstrgyaChar">
    <w:name w:val="Megjegyzés tárgya Char"/>
    <w:basedOn w:val="JegyzetszvegChar"/>
    <w:link w:val="Megjegyzstrgya"/>
    <w:uiPriority w:val="99"/>
    <w:semiHidden/>
    <w:rsid w:val="00C75D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1892">
      <w:bodyDiv w:val="1"/>
      <w:marLeft w:val="0"/>
      <w:marRight w:val="0"/>
      <w:marTop w:val="0"/>
      <w:marBottom w:val="0"/>
      <w:divBdr>
        <w:top w:val="none" w:sz="0" w:space="0" w:color="auto"/>
        <w:left w:val="none" w:sz="0" w:space="0" w:color="auto"/>
        <w:bottom w:val="none" w:sz="0" w:space="0" w:color="auto"/>
        <w:right w:val="none" w:sz="0" w:space="0" w:color="auto"/>
      </w:divBdr>
    </w:div>
    <w:div w:id="240256079">
      <w:bodyDiv w:val="1"/>
      <w:marLeft w:val="0"/>
      <w:marRight w:val="0"/>
      <w:marTop w:val="0"/>
      <w:marBottom w:val="0"/>
      <w:divBdr>
        <w:top w:val="none" w:sz="0" w:space="0" w:color="auto"/>
        <w:left w:val="none" w:sz="0" w:space="0" w:color="auto"/>
        <w:bottom w:val="none" w:sz="0" w:space="0" w:color="auto"/>
        <w:right w:val="none" w:sz="0" w:space="0" w:color="auto"/>
      </w:divBdr>
    </w:div>
    <w:div w:id="248008608">
      <w:bodyDiv w:val="1"/>
      <w:marLeft w:val="0"/>
      <w:marRight w:val="0"/>
      <w:marTop w:val="0"/>
      <w:marBottom w:val="0"/>
      <w:divBdr>
        <w:top w:val="none" w:sz="0" w:space="0" w:color="auto"/>
        <w:left w:val="none" w:sz="0" w:space="0" w:color="auto"/>
        <w:bottom w:val="none" w:sz="0" w:space="0" w:color="auto"/>
        <w:right w:val="none" w:sz="0" w:space="0" w:color="auto"/>
      </w:divBdr>
    </w:div>
    <w:div w:id="251550484">
      <w:bodyDiv w:val="1"/>
      <w:marLeft w:val="0"/>
      <w:marRight w:val="0"/>
      <w:marTop w:val="0"/>
      <w:marBottom w:val="0"/>
      <w:divBdr>
        <w:top w:val="none" w:sz="0" w:space="0" w:color="auto"/>
        <w:left w:val="none" w:sz="0" w:space="0" w:color="auto"/>
        <w:bottom w:val="none" w:sz="0" w:space="0" w:color="auto"/>
        <w:right w:val="none" w:sz="0" w:space="0" w:color="auto"/>
      </w:divBdr>
    </w:div>
    <w:div w:id="263924984">
      <w:bodyDiv w:val="1"/>
      <w:marLeft w:val="0"/>
      <w:marRight w:val="0"/>
      <w:marTop w:val="0"/>
      <w:marBottom w:val="0"/>
      <w:divBdr>
        <w:top w:val="none" w:sz="0" w:space="0" w:color="auto"/>
        <w:left w:val="none" w:sz="0" w:space="0" w:color="auto"/>
        <w:bottom w:val="none" w:sz="0" w:space="0" w:color="auto"/>
        <w:right w:val="none" w:sz="0" w:space="0" w:color="auto"/>
      </w:divBdr>
    </w:div>
    <w:div w:id="414713825">
      <w:bodyDiv w:val="1"/>
      <w:marLeft w:val="0"/>
      <w:marRight w:val="0"/>
      <w:marTop w:val="0"/>
      <w:marBottom w:val="0"/>
      <w:divBdr>
        <w:top w:val="none" w:sz="0" w:space="0" w:color="auto"/>
        <w:left w:val="none" w:sz="0" w:space="0" w:color="auto"/>
        <w:bottom w:val="none" w:sz="0" w:space="0" w:color="auto"/>
        <w:right w:val="none" w:sz="0" w:space="0" w:color="auto"/>
      </w:divBdr>
    </w:div>
    <w:div w:id="419377097">
      <w:bodyDiv w:val="1"/>
      <w:marLeft w:val="0"/>
      <w:marRight w:val="0"/>
      <w:marTop w:val="0"/>
      <w:marBottom w:val="0"/>
      <w:divBdr>
        <w:top w:val="none" w:sz="0" w:space="0" w:color="auto"/>
        <w:left w:val="none" w:sz="0" w:space="0" w:color="auto"/>
        <w:bottom w:val="none" w:sz="0" w:space="0" w:color="auto"/>
        <w:right w:val="none" w:sz="0" w:space="0" w:color="auto"/>
      </w:divBdr>
    </w:div>
    <w:div w:id="422839085">
      <w:bodyDiv w:val="1"/>
      <w:marLeft w:val="0"/>
      <w:marRight w:val="0"/>
      <w:marTop w:val="0"/>
      <w:marBottom w:val="0"/>
      <w:divBdr>
        <w:top w:val="none" w:sz="0" w:space="0" w:color="auto"/>
        <w:left w:val="none" w:sz="0" w:space="0" w:color="auto"/>
        <w:bottom w:val="none" w:sz="0" w:space="0" w:color="auto"/>
        <w:right w:val="none" w:sz="0" w:space="0" w:color="auto"/>
      </w:divBdr>
    </w:div>
    <w:div w:id="425614567">
      <w:bodyDiv w:val="1"/>
      <w:marLeft w:val="0"/>
      <w:marRight w:val="0"/>
      <w:marTop w:val="0"/>
      <w:marBottom w:val="0"/>
      <w:divBdr>
        <w:top w:val="none" w:sz="0" w:space="0" w:color="auto"/>
        <w:left w:val="none" w:sz="0" w:space="0" w:color="auto"/>
        <w:bottom w:val="none" w:sz="0" w:space="0" w:color="auto"/>
        <w:right w:val="none" w:sz="0" w:space="0" w:color="auto"/>
      </w:divBdr>
    </w:div>
    <w:div w:id="750005642">
      <w:bodyDiv w:val="1"/>
      <w:marLeft w:val="0"/>
      <w:marRight w:val="0"/>
      <w:marTop w:val="0"/>
      <w:marBottom w:val="0"/>
      <w:divBdr>
        <w:top w:val="none" w:sz="0" w:space="0" w:color="auto"/>
        <w:left w:val="none" w:sz="0" w:space="0" w:color="auto"/>
        <w:bottom w:val="none" w:sz="0" w:space="0" w:color="auto"/>
        <w:right w:val="none" w:sz="0" w:space="0" w:color="auto"/>
      </w:divBdr>
    </w:div>
    <w:div w:id="825049051">
      <w:bodyDiv w:val="1"/>
      <w:marLeft w:val="0"/>
      <w:marRight w:val="0"/>
      <w:marTop w:val="0"/>
      <w:marBottom w:val="0"/>
      <w:divBdr>
        <w:top w:val="none" w:sz="0" w:space="0" w:color="auto"/>
        <w:left w:val="none" w:sz="0" w:space="0" w:color="auto"/>
        <w:bottom w:val="none" w:sz="0" w:space="0" w:color="auto"/>
        <w:right w:val="none" w:sz="0" w:space="0" w:color="auto"/>
      </w:divBdr>
    </w:div>
    <w:div w:id="831945513">
      <w:bodyDiv w:val="1"/>
      <w:marLeft w:val="0"/>
      <w:marRight w:val="0"/>
      <w:marTop w:val="0"/>
      <w:marBottom w:val="0"/>
      <w:divBdr>
        <w:top w:val="none" w:sz="0" w:space="0" w:color="auto"/>
        <w:left w:val="none" w:sz="0" w:space="0" w:color="auto"/>
        <w:bottom w:val="none" w:sz="0" w:space="0" w:color="auto"/>
        <w:right w:val="none" w:sz="0" w:space="0" w:color="auto"/>
      </w:divBdr>
    </w:div>
    <w:div w:id="955060427">
      <w:bodyDiv w:val="1"/>
      <w:marLeft w:val="0"/>
      <w:marRight w:val="0"/>
      <w:marTop w:val="0"/>
      <w:marBottom w:val="0"/>
      <w:divBdr>
        <w:top w:val="none" w:sz="0" w:space="0" w:color="auto"/>
        <w:left w:val="none" w:sz="0" w:space="0" w:color="auto"/>
        <w:bottom w:val="none" w:sz="0" w:space="0" w:color="auto"/>
        <w:right w:val="none" w:sz="0" w:space="0" w:color="auto"/>
      </w:divBdr>
    </w:div>
    <w:div w:id="1020281846">
      <w:bodyDiv w:val="1"/>
      <w:marLeft w:val="0"/>
      <w:marRight w:val="0"/>
      <w:marTop w:val="0"/>
      <w:marBottom w:val="0"/>
      <w:divBdr>
        <w:top w:val="none" w:sz="0" w:space="0" w:color="auto"/>
        <w:left w:val="none" w:sz="0" w:space="0" w:color="auto"/>
        <w:bottom w:val="none" w:sz="0" w:space="0" w:color="auto"/>
        <w:right w:val="none" w:sz="0" w:space="0" w:color="auto"/>
      </w:divBdr>
    </w:div>
    <w:div w:id="1137841753">
      <w:bodyDiv w:val="1"/>
      <w:marLeft w:val="0"/>
      <w:marRight w:val="0"/>
      <w:marTop w:val="0"/>
      <w:marBottom w:val="0"/>
      <w:divBdr>
        <w:top w:val="none" w:sz="0" w:space="0" w:color="auto"/>
        <w:left w:val="none" w:sz="0" w:space="0" w:color="auto"/>
        <w:bottom w:val="none" w:sz="0" w:space="0" w:color="auto"/>
        <w:right w:val="none" w:sz="0" w:space="0" w:color="auto"/>
      </w:divBdr>
    </w:div>
    <w:div w:id="1145925425">
      <w:bodyDiv w:val="1"/>
      <w:marLeft w:val="0"/>
      <w:marRight w:val="0"/>
      <w:marTop w:val="0"/>
      <w:marBottom w:val="0"/>
      <w:divBdr>
        <w:top w:val="none" w:sz="0" w:space="0" w:color="auto"/>
        <w:left w:val="none" w:sz="0" w:space="0" w:color="auto"/>
        <w:bottom w:val="none" w:sz="0" w:space="0" w:color="auto"/>
        <w:right w:val="none" w:sz="0" w:space="0" w:color="auto"/>
      </w:divBdr>
    </w:div>
    <w:div w:id="1154029676">
      <w:bodyDiv w:val="1"/>
      <w:marLeft w:val="0"/>
      <w:marRight w:val="0"/>
      <w:marTop w:val="0"/>
      <w:marBottom w:val="0"/>
      <w:divBdr>
        <w:top w:val="none" w:sz="0" w:space="0" w:color="auto"/>
        <w:left w:val="none" w:sz="0" w:space="0" w:color="auto"/>
        <w:bottom w:val="none" w:sz="0" w:space="0" w:color="auto"/>
        <w:right w:val="none" w:sz="0" w:space="0" w:color="auto"/>
      </w:divBdr>
    </w:div>
    <w:div w:id="1194074906">
      <w:bodyDiv w:val="1"/>
      <w:marLeft w:val="0"/>
      <w:marRight w:val="0"/>
      <w:marTop w:val="0"/>
      <w:marBottom w:val="0"/>
      <w:divBdr>
        <w:top w:val="none" w:sz="0" w:space="0" w:color="auto"/>
        <w:left w:val="none" w:sz="0" w:space="0" w:color="auto"/>
        <w:bottom w:val="none" w:sz="0" w:space="0" w:color="auto"/>
        <w:right w:val="none" w:sz="0" w:space="0" w:color="auto"/>
      </w:divBdr>
    </w:div>
    <w:div w:id="1262031817">
      <w:bodyDiv w:val="1"/>
      <w:marLeft w:val="0"/>
      <w:marRight w:val="0"/>
      <w:marTop w:val="0"/>
      <w:marBottom w:val="0"/>
      <w:divBdr>
        <w:top w:val="none" w:sz="0" w:space="0" w:color="auto"/>
        <w:left w:val="none" w:sz="0" w:space="0" w:color="auto"/>
        <w:bottom w:val="none" w:sz="0" w:space="0" w:color="auto"/>
        <w:right w:val="none" w:sz="0" w:space="0" w:color="auto"/>
      </w:divBdr>
    </w:div>
    <w:div w:id="1299650999">
      <w:bodyDiv w:val="1"/>
      <w:marLeft w:val="0"/>
      <w:marRight w:val="0"/>
      <w:marTop w:val="0"/>
      <w:marBottom w:val="0"/>
      <w:divBdr>
        <w:top w:val="none" w:sz="0" w:space="0" w:color="auto"/>
        <w:left w:val="none" w:sz="0" w:space="0" w:color="auto"/>
        <w:bottom w:val="none" w:sz="0" w:space="0" w:color="auto"/>
        <w:right w:val="none" w:sz="0" w:space="0" w:color="auto"/>
      </w:divBdr>
    </w:div>
    <w:div w:id="1332442699">
      <w:bodyDiv w:val="1"/>
      <w:marLeft w:val="0"/>
      <w:marRight w:val="0"/>
      <w:marTop w:val="0"/>
      <w:marBottom w:val="0"/>
      <w:divBdr>
        <w:top w:val="none" w:sz="0" w:space="0" w:color="auto"/>
        <w:left w:val="none" w:sz="0" w:space="0" w:color="auto"/>
        <w:bottom w:val="none" w:sz="0" w:space="0" w:color="auto"/>
        <w:right w:val="none" w:sz="0" w:space="0" w:color="auto"/>
      </w:divBdr>
    </w:div>
    <w:div w:id="1362433673">
      <w:bodyDiv w:val="1"/>
      <w:marLeft w:val="0"/>
      <w:marRight w:val="0"/>
      <w:marTop w:val="0"/>
      <w:marBottom w:val="0"/>
      <w:divBdr>
        <w:top w:val="none" w:sz="0" w:space="0" w:color="auto"/>
        <w:left w:val="none" w:sz="0" w:space="0" w:color="auto"/>
        <w:bottom w:val="none" w:sz="0" w:space="0" w:color="auto"/>
        <w:right w:val="none" w:sz="0" w:space="0" w:color="auto"/>
      </w:divBdr>
    </w:div>
    <w:div w:id="1369573113">
      <w:bodyDiv w:val="1"/>
      <w:marLeft w:val="0"/>
      <w:marRight w:val="0"/>
      <w:marTop w:val="0"/>
      <w:marBottom w:val="0"/>
      <w:divBdr>
        <w:top w:val="none" w:sz="0" w:space="0" w:color="auto"/>
        <w:left w:val="none" w:sz="0" w:space="0" w:color="auto"/>
        <w:bottom w:val="none" w:sz="0" w:space="0" w:color="auto"/>
        <w:right w:val="none" w:sz="0" w:space="0" w:color="auto"/>
      </w:divBdr>
    </w:div>
    <w:div w:id="1514765667">
      <w:bodyDiv w:val="1"/>
      <w:marLeft w:val="0"/>
      <w:marRight w:val="0"/>
      <w:marTop w:val="0"/>
      <w:marBottom w:val="0"/>
      <w:divBdr>
        <w:top w:val="none" w:sz="0" w:space="0" w:color="auto"/>
        <w:left w:val="none" w:sz="0" w:space="0" w:color="auto"/>
        <w:bottom w:val="none" w:sz="0" w:space="0" w:color="auto"/>
        <w:right w:val="none" w:sz="0" w:space="0" w:color="auto"/>
      </w:divBdr>
    </w:div>
    <w:div w:id="1527596982">
      <w:bodyDiv w:val="1"/>
      <w:marLeft w:val="0"/>
      <w:marRight w:val="0"/>
      <w:marTop w:val="0"/>
      <w:marBottom w:val="0"/>
      <w:divBdr>
        <w:top w:val="none" w:sz="0" w:space="0" w:color="auto"/>
        <w:left w:val="none" w:sz="0" w:space="0" w:color="auto"/>
        <w:bottom w:val="none" w:sz="0" w:space="0" w:color="auto"/>
        <w:right w:val="none" w:sz="0" w:space="0" w:color="auto"/>
      </w:divBdr>
    </w:div>
    <w:div w:id="1538201461">
      <w:bodyDiv w:val="1"/>
      <w:marLeft w:val="0"/>
      <w:marRight w:val="0"/>
      <w:marTop w:val="0"/>
      <w:marBottom w:val="0"/>
      <w:divBdr>
        <w:top w:val="none" w:sz="0" w:space="0" w:color="auto"/>
        <w:left w:val="none" w:sz="0" w:space="0" w:color="auto"/>
        <w:bottom w:val="none" w:sz="0" w:space="0" w:color="auto"/>
        <w:right w:val="none" w:sz="0" w:space="0" w:color="auto"/>
      </w:divBdr>
    </w:div>
    <w:div w:id="1587760903">
      <w:bodyDiv w:val="1"/>
      <w:marLeft w:val="0"/>
      <w:marRight w:val="0"/>
      <w:marTop w:val="0"/>
      <w:marBottom w:val="0"/>
      <w:divBdr>
        <w:top w:val="none" w:sz="0" w:space="0" w:color="auto"/>
        <w:left w:val="none" w:sz="0" w:space="0" w:color="auto"/>
        <w:bottom w:val="none" w:sz="0" w:space="0" w:color="auto"/>
        <w:right w:val="none" w:sz="0" w:space="0" w:color="auto"/>
      </w:divBdr>
    </w:div>
    <w:div w:id="1611275865">
      <w:bodyDiv w:val="1"/>
      <w:marLeft w:val="0"/>
      <w:marRight w:val="0"/>
      <w:marTop w:val="0"/>
      <w:marBottom w:val="0"/>
      <w:divBdr>
        <w:top w:val="none" w:sz="0" w:space="0" w:color="auto"/>
        <w:left w:val="none" w:sz="0" w:space="0" w:color="auto"/>
        <w:bottom w:val="none" w:sz="0" w:space="0" w:color="auto"/>
        <w:right w:val="none" w:sz="0" w:space="0" w:color="auto"/>
      </w:divBdr>
    </w:div>
    <w:div w:id="1633056647">
      <w:bodyDiv w:val="1"/>
      <w:marLeft w:val="0"/>
      <w:marRight w:val="0"/>
      <w:marTop w:val="0"/>
      <w:marBottom w:val="0"/>
      <w:divBdr>
        <w:top w:val="none" w:sz="0" w:space="0" w:color="auto"/>
        <w:left w:val="none" w:sz="0" w:space="0" w:color="auto"/>
        <w:bottom w:val="none" w:sz="0" w:space="0" w:color="auto"/>
        <w:right w:val="none" w:sz="0" w:space="0" w:color="auto"/>
      </w:divBdr>
    </w:div>
    <w:div w:id="1891844003">
      <w:bodyDiv w:val="1"/>
      <w:marLeft w:val="0"/>
      <w:marRight w:val="0"/>
      <w:marTop w:val="0"/>
      <w:marBottom w:val="0"/>
      <w:divBdr>
        <w:top w:val="none" w:sz="0" w:space="0" w:color="auto"/>
        <w:left w:val="none" w:sz="0" w:space="0" w:color="auto"/>
        <w:bottom w:val="none" w:sz="0" w:space="0" w:color="auto"/>
        <w:right w:val="none" w:sz="0" w:space="0" w:color="auto"/>
      </w:divBdr>
    </w:div>
    <w:div w:id="2032297061">
      <w:bodyDiv w:val="1"/>
      <w:marLeft w:val="0"/>
      <w:marRight w:val="0"/>
      <w:marTop w:val="0"/>
      <w:marBottom w:val="0"/>
      <w:divBdr>
        <w:top w:val="none" w:sz="0" w:space="0" w:color="auto"/>
        <w:left w:val="none" w:sz="0" w:space="0" w:color="auto"/>
        <w:bottom w:val="none" w:sz="0" w:space="0" w:color="auto"/>
        <w:right w:val="none" w:sz="0" w:space="0" w:color="auto"/>
      </w:divBdr>
    </w:div>
    <w:div w:id="2069765688">
      <w:bodyDiv w:val="1"/>
      <w:marLeft w:val="0"/>
      <w:marRight w:val="0"/>
      <w:marTop w:val="0"/>
      <w:marBottom w:val="0"/>
      <w:divBdr>
        <w:top w:val="none" w:sz="0" w:space="0" w:color="auto"/>
        <w:left w:val="none" w:sz="0" w:space="0" w:color="auto"/>
        <w:bottom w:val="none" w:sz="0" w:space="0" w:color="auto"/>
        <w:right w:val="none" w:sz="0" w:space="0" w:color="auto"/>
      </w:divBdr>
    </w:div>
    <w:div w:id="20827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DF1BD466E83E842902559549E0F08F2" ma:contentTypeVersion="5" ma:contentTypeDescription="Új dokumentum létrehozása." ma:contentTypeScope="" ma:versionID="4b44a68e156a5b79248640aeafc70798">
  <xsd:schema xmlns:xsd="http://www.w3.org/2001/XMLSchema" xmlns:xs="http://www.w3.org/2001/XMLSchema" xmlns:p="http://schemas.microsoft.com/office/2006/metadata/properties" xmlns:ns2="cb7eed14-1ed6-4f4f-9464-e9d73fc2f8e9" xmlns:ns3="9669010e-b829-4d86-87dd-cdce11b02043" targetNamespace="http://schemas.microsoft.com/office/2006/metadata/properties" ma:root="true" ma:fieldsID="bd0071a6f26b893e5271513f12c665f5" ns2:_="" ns3:_="">
    <xsd:import namespace="cb7eed14-1ed6-4f4f-9464-e9d73fc2f8e9"/>
    <xsd:import namespace="9669010e-b829-4d86-87dd-cdce11b02043"/>
    <xsd:element name="properties">
      <xsd:complexType>
        <xsd:sequence>
          <xsd:element name="documentManagement">
            <xsd:complexType>
              <xsd:all>
                <xsd:element ref="ns2:T_x00e9_ma" minOccurs="0"/>
                <xsd:element ref="ns2:_x00c9_v"/>
                <xsd:element ref="ns2:L_x00e1_that_x00f3_s_x00e1_g"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eed14-1ed6-4f4f-9464-e9d73fc2f8e9" elementFormDefault="qualified">
    <xsd:import namespace="http://schemas.microsoft.com/office/2006/documentManagement/types"/>
    <xsd:import namespace="http://schemas.microsoft.com/office/infopath/2007/PartnerControls"/>
    <xsd:element name="T_x00e9_ma" ma:index="2" nillable="true" ma:displayName="Téma" ma:format="Dropdown" ma:internalName="T_x00e9_ma">
      <xsd:simpleType>
        <xsd:restriction base="dms:Choice">
          <xsd:enumeration value="Tervezés"/>
          <xsd:enumeration value="Zárszámadás"/>
          <xsd:enumeration value="Törvénymódosítás"/>
          <xsd:enumeration value="ÁSZ ellenőrzés"/>
          <xsd:enumeration value="Gyorsjelentés"/>
          <xsd:enumeration value="Monitoring"/>
          <xsd:enumeration value="Tervezési tájékoztató"/>
          <xsd:enumeration value="Útmutató"/>
          <xsd:enumeration value="Munkaprogram"/>
          <xsd:enumeration value="Ütemterv"/>
          <xsd:enumeration value="Módosító"/>
          <xsd:enumeration value="Kormányülés"/>
          <xsd:enumeration value="Gazdasági kabinet"/>
          <xsd:enumeration value="Stratégiai kabinet"/>
          <xsd:enumeration value="IFMIS"/>
          <xsd:enumeration value="Fejezeten belüli átcsoportosítás"/>
          <xsd:enumeration value="Címlista"/>
          <xsd:enumeration value="BEÜ"/>
          <xsd:enumeration value="Koronavírus"/>
          <xsd:enumeration value="Tudásbázis"/>
          <xsd:enumeration value="Kiemelt fejlesztési igények"/>
          <xsd:enumeration value="Iktatás"/>
        </xsd:restriction>
      </xsd:simpleType>
    </xsd:element>
    <xsd:element name="_x00c9_v" ma:index="3" ma:displayName="Év" ma:default="2018" ma:format="Dropdown" ma:internalName="_x00c9_v">
      <xsd:simpleType>
        <xsd:restriction base="dms:Choic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restriction>
      </xsd:simpleType>
    </xsd:element>
    <xsd:element name="L_x00e1_that_x00f3_s_x00e1_g" ma:index="4" nillable="true" ma:displayName="Láthatóság" ma:default="Publikus" ma:format="Dropdown" ma:internalName="L_x00e1_that_x00f3_s_x00e1_g">
      <xsd:simpleType>
        <xsd:restriction base="dms:Choice">
          <xsd:enumeration value="Publikus"/>
          <xsd:enumeration value="Csak admin látja (verziókat tartalmaz)"/>
        </xsd:restriction>
      </xsd:simpleType>
    </xsd:element>
  </xsd:schema>
  <xsd:schema xmlns:xsd="http://www.w3.org/2001/XMLSchema" xmlns:xs="http://www.w3.org/2001/XMLSchema" xmlns:dms="http://schemas.microsoft.com/office/2006/documentManagement/types" xmlns:pc="http://schemas.microsoft.com/office/infopath/2007/PartnerControls" targetNamespace="9669010e-b829-4d86-87dd-cdce11b02043" elementFormDefault="qualified">
    <xsd:import namespace="http://schemas.microsoft.com/office/2006/documentManagement/types"/>
    <xsd:import namespace="http://schemas.microsoft.com/office/infopath/2007/PartnerControls"/>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artalomtípus"/>
        <xsd:element ref="dc:title" minOccurs="0"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c9_v xmlns="cb7eed14-1ed6-4f4f-9464-e9d73fc2f8e9">2025</_x00c9_v>
    <T_x00e9_ma xmlns="cb7eed14-1ed6-4f4f-9464-e9d73fc2f8e9">Monitoring</T_x00e9_ma>
    <L_x00e1_that_x00f3_s_x00e1_g xmlns="cb7eed14-1ed6-4f4f-9464-e9d73fc2f8e9">Publikus</L_x00e1_that_x00f3_s_x00e1_g>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FD48C-7926-4BF1-87F7-A322FB813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eed14-1ed6-4f4f-9464-e9d73fc2f8e9"/>
    <ds:schemaRef ds:uri="9669010e-b829-4d86-87dd-cdce11b02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0F6AD-19C0-4D6B-ABDF-2564A2CC5C1F}">
  <ds:schemaRefs>
    <ds:schemaRef ds:uri="http://schemas.microsoft.com/sharepoint/v3/contenttype/forms"/>
  </ds:schemaRefs>
</ds:datastoreItem>
</file>

<file path=customXml/itemProps3.xml><?xml version="1.0" encoding="utf-8"?>
<ds:datastoreItem xmlns:ds="http://schemas.openxmlformats.org/officeDocument/2006/customXml" ds:itemID="{C84C958D-48DC-4564-B24D-56E63215790F}">
  <ds:schemaRefs>
    <ds:schemaRef ds:uri="http://schemas.microsoft.com/office/2006/metadata/properties"/>
    <ds:schemaRef ds:uri="http://schemas.microsoft.com/office/infopath/2007/PartnerControls"/>
    <ds:schemaRef ds:uri="cb7eed14-1ed6-4f4f-9464-e9d73fc2f8e9"/>
  </ds:schemaRefs>
</ds:datastoreItem>
</file>

<file path=customXml/itemProps4.xml><?xml version="1.0" encoding="utf-8"?>
<ds:datastoreItem xmlns:ds="http://schemas.openxmlformats.org/officeDocument/2006/customXml" ds:itemID="{5A29BF4B-F5D3-4956-AF97-0CD8BCB0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4716</Words>
  <Characters>32548</Characters>
  <Application>Microsoft Office Word</Application>
  <DocSecurity>0</DocSecurity>
  <Lines>271</Lines>
  <Paragraphs>74</Paragraphs>
  <ScaleCrop>false</ScaleCrop>
  <HeadingPairs>
    <vt:vector size="2" baseType="variant">
      <vt:variant>
        <vt:lpstr>Cím</vt:lpstr>
      </vt:variant>
      <vt:variant>
        <vt:i4>1</vt:i4>
      </vt:variant>
    </vt:vector>
  </HeadingPairs>
  <TitlesOfParts>
    <vt:vector size="1" baseType="lpstr">
      <vt:lpstr>monitoring_2025_02</vt:lpstr>
    </vt:vector>
  </TitlesOfParts>
  <Company>Egységes InfraStruktúra</Company>
  <LinksUpToDate>false</LinksUpToDate>
  <CharactersWithSpaces>37190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monitoring_2025_02</dc:title>
  <dc:creator>Kovács Márta</dc:creator>
  <cp:lastModifiedBy>Bálint Ágnes</cp:lastModifiedBy>
  <cp:revision>2</cp:revision>
  <cp:lastPrinted>2025-01-15T11:42:00Z</cp:lastPrinted>
  <dcterms:created xsi:type="dcterms:W3CDTF">2025-03-20T10:25:00Z</dcterms:created>
  <dcterms:modified xsi:type="dcterms:W3CDTF">2025-03-20T10:25:00Z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0x010100CDF1BD466E83E842902559549E0F08F2</vt:lpwstr>
  </property>
</Properties>
</file>