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89E2" w14:textId="6B71AC8F" w:rsidR="00B155FE" w:rsidRPr="00377D59" w:rsidRDefault="6E235B12" w:rsidP="6E235B12">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6E235B12">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B" w14:textId="74BA5630" w:rsidR="00B155FE" w:rsidRDefault="00B155FE"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4EE6826E" w14:textId="77777777" w:rsidR="000A4839" w:rsidRPr="00377D59" w:rsidRDefault="000A4839"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6E235B12">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32E4094E" w:rsidR="00B94CCA" w:rsidRPr="00377D59" w:rsidRDefault="6E235B12" w:rsidP="6E235B12">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6E235B12">
        <w:rPr>
          <w:rFonts w:ascii="Times New Roman" w:eastAsia="Times New Roman" w:hAnsi="Times New Roman" w:cs="Times New Roman"/>
          <w:b/>
          <w:bCs/>
          <w:i/>
          <w:iCs/>
          <w:sz w:val="26"/>
          <w:szCs w:val="26"/>
          <w:lang w:eastAsia="hu-HU"/>
        </w:rPr>
        <w:t>az államháztartás központi alrendszerének</w:t>
      </w:r>
      <w:r w:rsidR="0C85BE5D">
        <w:br/>
      </w:r>
      <w:r w:rsidRPr="6E235B12">
        <w:rPr>
          <w:rFonts w:ascii="Times New Roman" w:eastAsia="Times New Roman" w:hAnsi="Times New Roman" w:cs="Times New Roman"/>
          <w:b/>
          <w:bCs/>
          <w:i/>
          <w:iCs/>
          <w:sz w:val="26"/>
          <w:szCs w:val="26"/>
          <w:lang w:eastAsia="hu-HU"/>
        </w:rPr>
        <w:t>2025. május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25E26473" w:rsidR="00E97147" w:rsidRPr="00377D59" w:rsidRDefault="00B155FE" w:rsidP="6E235B12">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6E3821">
        <w:rPr>
          <w:rFonts w:ascii="Times New Roman" w:eastAsia="Times New Roman" w:hAnsi="Times New Roman" w:cs="Times New Roman"/>
          <w:b/>
          <w:bCs/>
          <w:lang w:eastAsia="hu-HU"/>
        </w:rPr>
        <w:t>június</w:t>
      </w:r>
    </w:p>
    <w:p w14:paraId="7B7689FF" w14:textId="77777777" w:rsidR="00B155FE" w:rsidRPr="00377D59" w:rsidRDefault="6E235B12" w:rsidP="6E235B12">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6E235B12">
        <w:rPr>
          <w:rFonts w:ascii="Times New Roman" w:eastAsia="Times New Roman" w:hAnsi="Times New Roman" w:cs="Times New Roman"/>
          <w:b/>
          <w:bCs/>
          <w:caps/>
          <w:color w:val="000000" w:themeColor="text1"/>
          <w:sz w:val="26"/>
          <w:szCs w:val="26"/>
          <w:lang w:eastAsia="hu-HU"/>
        </w:rPr>
        <w:lastRenderedPageBreak/>
        <w:t>Összefoglalás</w:t>
      </w:r>
    </w:p>
    <w:p w14:paraId="2DFA7F10" w14:textId="14194FAD" w:rsidR="00A70976" w:rsidRDefault="000A4839" w:rsidP="6E235B12">
      <w:pPr>
        <w:widowControl w:val="0"/>
        <w:jc w:val="both"/>
        <w:rPr>
          <w:rFonts w:ascii="Times New Roman" w:eastAsia="Times New Roman" w:hAnsi="Times New Roman" w:cs="Times New Roman"/>
          <w:b/>
          <w:bCs/>
          <w:color w:val="000000" w:themeColor="text1"/>
          <w:sz w:val="26"/>
          <w:szCs w:val="26"/>
          <w:lang w:eastAsia="hu-HU"/>
        </w:rPr>
      </w:pPr>
      <w:r w:rsidRPr="000A4839">
        <w:rPr>
          <w:rFonts w:ascii="Times New Roman" w:eastAsia="Times New Roman" w:hAnsi="Times New Roman" w:cs="Times New Roman"/>
          <w:b/>
          <w:bCs/>
          <w:color w:val="000000" w:themeColor="text1"/>
          <w:sz w:val="26"/>
          <w:szCs w:val="26"/>
          <w:lang w:eastAsia="hu-HU"/>
        </w:rPr>
        <w:t>Májusban többlettel zárt a központi költségvetés: ebben a hónapban 213,5 milliárd forint összegű MVM osztalék-befizetés érkezett a költségvetésbe. S bár a társasági adó befizetésének határideje ezúttal június 2-ra esett, így is 238,4 milliárd forint adóbevétel érkezett be a hónap végéig</w:t>
      </w:r>
      <w:r w:rsidR="6E235B12" w:rsidRPr="6E235B12">
        <w:rPr>
          <w:rFonts w:ascii="Times New Roman" w:eastAsia="Times New Roman" w:hAnsi="Times New Roman" w:cs="Times New Roman"/>
          <w:b/>
          <w:bCs/>
          <w:color w:val="000000" w:themeColor="text1"/>
          <w:sz w:val="26"/>
          <w:szCs w:val="26"/>
          <w:lang w:eastAsia="hu-HU"/>
        </w:rPr>
        <w:t>.</w:t>
      </w:r>
    </w:p>
    <w:p w14:paraId="5AA45770" w14:textId="2BB8EB68" w:rsidR="000A4839" w:rsidRPr="000A4839" w:rsidRDefault="000A4839" w:rsidP="000A4839">
      <w:pPr>
        <w:widowControl w:val="0"/>
        <w:jc w:val="both"/>
        <w:rPr>
          <w:rFonts w:ascii="Times New Roman" w:hAnsi="Times New Roman" w:cs="Times New Roman"/>
          <w:sz w:val="26"/>
          <w:szCs w:val="26"/>
        </w:rPr>
      </w:pPr>
      <w:r w:rsidRPr="000A4839">
        <w:rPr>
          <w:rFonts w:ascii="Times New Roman" w:hAnsi="Times New Roman" w:cs="Times New Roman"/>
          <w:sz w:val="26"/>
          <w:szCs w:val="26"/>
        </w:rPr>
        <w:t>Május végéig az államháztartás központi alrendszere 2</w:t>
      </w:r>
      <w:r>
        <w:rPr>
          <w:rFonts w:ascii="Times New Roman" w:hAnsi="Times New Roman" w:cs="Times New Roman"/>
          <w:sz w:val="26"/>
          <w:szCs w:val="26"/>
        </w:rPr>
        <w:t> </w:t>
      </w:r>
      <w:r w:rsidRPr="000A4839">
        <w:rPr>
          <w:rFonts w:ascii="Times New Roman" w:hAnsi="Times New Roman" w:cs="Times New Roman"/>
          <w:sz w:val="26"/>
          <w:szCs w:val="26"/>
        </w:rPr>
        <w:t>800,9 milliárd forintos hiánnyal zárt. Ezen belül a központi költségvetés 2</w:t>
      </w:r>
      <w:r>
        <w:rPr>
          <w:rFonts w:ascii="Times New Roman" w:hAnsi="Times New Roman" w:cs="Times New Roman"/>
          <w:sz w:val="26"/>
          <w:szCs w:val="26"/>
        </w:rPr>
        <w:t> </w:t>
      </w:r>
      <w:r w:rsidRPr="000A4839">
        <w:rPr>
          <w:rFonts w:ascii="Times New Roman" w:hAnsi="Times New Roman" w:cs="Times New Roman"/>
          <w:sz w:val="26"/>
          <w:szCs w:val="26"/>
        </w:rPr>
        <w:t>747,2 milliárd forintos hiányt, az elkülönített állami pénzalapok 45,3 milliárd forintos többletet, a társadalombiztosítás pénzügyi alapjai pedig 99,0 milliárd forintos hiányt mutattak.</w:t>
      </w:r>
    </w:p>
    <w:p w14:paraId="6DBB4398" w14:textId="0D24DC3C" w:rsidR="000A4839" w:rsidRPr="000A4839" w:rsidRDefault="000A4839" w:rsidP="000A4839">
      <w:pPr>
        <w:widowControl w:val="0"/>
        <w:jc w:val="both"/>
        <w:rPr>
          <w:rFonts w:ascii="Times New Roman" w:hAnsi="Times New Roman" w:cs="Times New Roman"/>
          <w:sz w:val="26"/>
          <w:szCs w:val="26"/>
        </w:rPr>
      </w:pPr>
      <w:r w:rsidRPr="000A4839">
        <w:rPr>
          <w:rFonts w:ascii="Times New Roman" w:hAnsi="Times New Roman" w:cs="Times New Roman"/>
          <w:sz w:val="26"/>
          <w:szCs w:val="26"/>
        </w:rPr>
        <w:t>A kiadási oldalon május végéig 2</w:t>
      </w:r>
      <w:r>
        <w:rPr>
          <w:rFonts w:ascii="Times New Roman" w:hAnsi="Times New Roman" w:cs="Times New Roman"/>
          <w:sz w:val="26"/>
          <w:szCs w:val="26"/>
        </w:rPr>
        <w:t> </w:t>
      </w:r>
      <w:r w:rsidRPr="000A4839">
        <w:rPr>
          <w:rFonts w:ascii="Times New Roman" w:hAnsi="Times New Roman" w:cs="Times New Roman"/>
          <w:sz w:val="26"/>
          <w:szCs w:val="26"/>
        </w:rPr>
        <w:t>217,7 milliárd forint kamatkifizetés történt, ami 457,1</w:t>
      </w:r>
      <w:r>
        <w:rPr>
          <w:rFonts w:ascii="Times New Roman" w:hAnsi="Times New Roman" w:cs="Times New Roman"/>
          <w:sz w:val="26"/>
          <w:szCs w:val="26"/>
        </w:rPr>
        <w:t> </w:t>
      </w:r>
      <w:r w:rsidRPr="000A4839">
        <w:rPr>
          <w:rFonts w:ascii="Times New Roman" w:hAnsi="Times New Roman" w:cs="Times New Roman"/>
          <w:sz w:val="26"/>
          <w:szCs w:val="26"/>
        </w:rPr>
        <w:t>milliárd forinttal magasabb az előző év első öt hónapjában történt teljesítésnél. Ennek oka – az előző hónapokhoz hasonlóan – az egyes lejáratok eltérő kamatfizetési időpontja, valamint az államadósság eltérő szerkezete.</w:t>
      </w:r>
    </w:p>
    <w:p w14:paraId="441D0B3D" w14:textId="76680F5D" w:rsidR="000A4839" w:rsidRPr="000A4839" w:rsidRDefault="000A4839" w:rsidP="000A4839">
      <w:pPr>
        <w:widowControl w:val="0"/>
        <w:jc w:val="both"/>
        <w:rPr>
          <w:rFonts w:ascii="Times New Roman" w:hAnsi="Times New Roman" w:cs="Times New Roman"/>
          <w:sz w:val="26"/>
          <w:szCs w:val="26"/>
        </w:rPr>
      </w:pPr>
      <w:r w:rsidRPr="000A4839">
        <w:rPr>
          <w:rFonts w:ascii="Times New Roman" w:hAnsi="Times New Roman" w:cs="Times New Roman"/>
          <w:sz w:val="26"/>
          <w:szCs w:val="26"/>
        </w:rPr>
        <w:t xml:space="preserve">Magasabban teljesültek a nyugellátásokra fordított összegek is. Május végéig – a 13. havi nyugdíjjal és ellátással együtt – nyugellátásokra és nyugdíjszerű ellátásokra összesen </w:t>
      </w:r>
      <w:r>
        <w:rPr>
          <w:rFonts w:ascii="Times New Roman" w:hAnsi="Times New Roman" w:cs="Times New Roman"/>
          <w:sz w:val="26"/>
          <w:szCs w:val="26"/>
        </w:rPr>
        <w:br/>
      </w:r>
      <w:r w:rsidRPr="000A4839">
        <w:rPr>
          <w:rFonts w:ascii="Times New Roman" w:hAnsi="Times New Roman" w:cs="Times New Roman"/>
          <w:sz w:val="26"/>
          <w:szCs w:val="26"/>
        </w:rPr>
        <w:t>3</w:t>
      </w:r>
      <w:r>
        <w:rPr>
          <w:rFonts w:ascii="Times New Roman" w:hAnsi="Times New Roman" w:cs="Times New Roman"/>
          <w:sz w:val="26"/>
          <w:szCs w:val="26"/>
        </w:rPr>
        <w:t> </w:t>
      </w:r>
      <w:r w:rsidRPr="000A4839">
        <w:rPr>
          <w:rFonts w:ascii="Times New Roman" w:hAnsi="Times New Roman" w:cs="Times New Roman"/>
          <w:sz w:val="26"/>
          <w:szCs w:val="26"/>
        </w:rPr>
        <w:t>292,9 milliárd forintot, míg gyógyító-megelőző ellátásokra 1</w:t>
      </w:r>
      <w:r w:rsidR="0095423E">
        <w:rPr>
          <w:rFonts w:ascii="Times New Roman" w:hAnsi="Times New Roman" w:cs="Times New Roman"/>
          <w:sz w:val="26"/>
          <w:szCs w:val="26"/>
        </w:rPr>
        <w:t> </w:t>
      </w:r>
      <w:r w:rsidRPr="000A4839">
        <w:rPr>
          <w:rFonts w:ascii="Times New Roman" w:hAnsi="Times New Roman" w:cs="Times New Roman"/>
          <w:sz w:val="26"/>
          <w:szCs w:val="26"/>
        </w:rPr>
        <w:t>250,6 milliárd forintot fordítottunk.</w:t>
      </w:r>
    </w:p>
    <w:p w14:paraId="29450817" w14:textId="77777777" w:rsidR="000A4839" w:rsidRPr="000A4839" w:rsidRDefault="000A4839" w:rsidP="000A4839">
      <w:pPr>
        <w:widowControl w:val="0"/>
        <w:jc w:val="both"/>
        <w:rPr>
          <w:rFonts w:ascii="Times New Roman" w:hAnsi="Times New Roman" w:cs="Times New Roman"/>
          <w:sz w:val="26"/>
          <w:szCs w:val="26"/>
        </w:rPr>
      </w:pPr>
      <w:r w:rsidRPr="000A4839">
        <w:rPr>
          <w:rFonts w:ascii="Times New Roman" w:hAnsi="Times New Roman" w:cs="Times New Roman"/>
          <w:sz w:val="26"/>
          <w:szCs w:val="26"/>
        </w:rPr>
        <w:t>A központi alrendszer adó- és járulékbevételei az előző év azonos időszakához viszonyítva 7,8 százalékkal magasabban alakultak, ezen belül a fogyasztáshoz kapcsolódó adók esetében csaknem 12 százalékos növekedés figyelhető meg; mind az általános forgalmi adó, mind pedig a jövedelemadó-bevételek meghaladták az előző évi értéket.</w:t>
      </w:r>
    </w:p>
    <w:p w14:paraId="7D3CC063" w14:textId="2A12677B" w:rsidR="00EC00A2" w:rsidRPr="00EC00A2" w:rsidRDefault="000A4839" w:rsidP="000A4839">
      <w:pPr>
        <w:widowControl w:val="0"/>
        <w:jc w:val="both"/>
        <w:rPr>
          <w:rFonts w:ascii="Times New Roman" w:hAnsi="Times New Roman" w:cs="Times New Roman"/>
          <w:sz w:val="26"/>
          <w:szCs w:val="26"/>
        </w:rPr>
      </w:pPr>
      <w:r w:rsidRPr="000A4839">
        <w:rPr>
          <w:rFonts w:ascii="Times New Roman" w:hAnsi="Times New Roman" w:cs="Times New Roman"/>
          <w:sz w:val="26"/>
          <w:szCs w:val="26"/>
        </w:rPr>
        <w:t>Május hónapban a központi költségvetés 129,5 milliárd forint többlettel zárt, ami 80,5</w:t>
      </w:r>
      <w:r>
        <w:rPr>
          <w:rFonts w:ascii="Times New Roman" w:hAnsi="Times New Roman" w:cs="Times New Roman"/>
          <w:sz w:val="26"/>
          <w:szCs w:val="26"/>
        </w:rPr>
        <w:t> </w:t>
      </w:r>
      <w:r w:rsidRPr="000A4839">
        <w:rPr>
          <w:rFonts w:ascii="Times New Roman" w:hAnsi="Times New Roman" w:cs="Times New Roman"/>
          <w:sz w:val="26"/>
          <w:szCs w:val="26"/>
        </w:rPr>
        <w:t>milliárd forinttal haladja meg az előző évi, azonos időszaki értéket. A május havi egyenleg alakulásánál figyelembe kell venni, hogy ebben a hónapban 213,5 milliárd forint összegű MVM osztalék-befizetés érkezett a költségvetésbe. A társasági adó befizetések esetén az adóbefizetés határideje május 31</w:t>
      </w:r>
      <w:r w:rsidR="00800328">
        <w:rPr>
          <w:rFonts w:ascii="Times New Roman" w:hAnsi="Times New Roman" w:cs="Times New Roman"/>
          <w:sz w:val="26"/>
          <w:szCs w:val="26"/>
        </w:rPr>
        <w:t>.</w:t>
      </w:r>
      <w:r w:rsidRPr="000A4839">
        <w:rPr>
          <w:rFonts w:ascii="Times New Roman" w:hAnsi="Times New Roman" w:cs="Times New Roman"/>
          <w:sz w:val="26"/>
          <w:szCs w:val="26"/>
        </w:rPr>
        <w:t>, azonban a jogszabályok szerint hétvégi határnap esetén a következő munkanapon, ez esetben június 2-án, hétfőn volt a végleges adófizetési határidő. Ettől függetlenül a vállalkozások jelentős része május 31-ig megfizette a társasági adóját, 238,4 milliárd forint adóbevétel érkezett be a hónap végéig.</w:t>
      </w:r>
    </w:p>
    <w:p w14:paraId="686D9FB2" w14:textId="77777777" w:rsidR="00EC00A2" w:rsidRDefault="00EC00A2" w:rsidP="3782F5BA">
      <w:pPr>
        <w:widowControl w:val="0"/>
        <w:jc w:val="both"/>
        <w:rPr>
          <w:rFonts w:ascii="Times New Roman" w:hAnsi="Times New Roman" w:cs="Times New Roman"/>
          <w:sz w:val="26"/>
          <w:szCs w:val="26"/>
        </w:rPr>
      </w:pPr>
    </w:p>
    <w:p w14:paraId="7B768A0B" w14:textId="05AC349B" w:rsidR="005171E0" w:rsidRDefault="00920F4D" w:rsidP="6E235B12">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794A5E">
        <w:rPr>
          <w:rFonts w:ascii="Times New Roman" w:eastAsia="Times New Roman" w:hAnsi="Times New Roman" w:cs="Times New Roman"/>
          <w:sz w:val="26"/>
          <w:szCs w:val="26"/>
          <w:lang w:eastAsia="hu-HU"/>
        </w:rPr>
        <w:t>május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09"/>
        <w:gridCol w:w="1134"/>
        <w:gridCol w:w="1075"/>
        <w:gridCol w:w="1103"/>
        <w:gridCol w:w="1224"/>
        <w:gridCol w:w="1159"/>
        <w:gridCol w:w="1113"/>
      </w:tblGrid>
      <w:tr w:rsidR="00935118" w:rsidRPr="003D514A" w14:paraId="7C2CBF88" w14:textId="77777777" w:rsidTr="0A24B9C4">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0A24B9C4" w:rsidP="0A24B9C4">
            <w:pPr>
              <w:keepNext/>
              <w:keepLines/>
              <w:rPr>
                <w:rFonts w:ascii="Times New Roman" w:hAnsi="Times New Roman" w:cs="Times New Roman"/>
                <w:sz w:val="20"/>
                <w:szCs w:val="20"/>
              </w:rPr>
            </w:pPr>
            <w:r w:rsidRPr="0A24B9C4">
              <w:rPr>
                <w:rFonts w:ascii="Times New Roman" w:hAnsi="Times New Roman" w:cs="Times New Roman"/>
                <w:sz w:val="20"/>
                <w:szCs w:val="20"/>
              </w:rPr>
              <w:t> </w:t>
            </w:r>
          </w:p>
        </w:tc>
        <w:tc>
          <w:tcPr>
            <w:tcW w:w="120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b/>
                <w:bCs/>
                <w:sz w:val="20"/>
                <w:szCs w:val="20"/>
              </w:rPr>
              <w:t>2024. évi előzetes</w:t>
            </w:r>
            <w:r w:rsidR="0C85BE5D">
              <w:br/>
            </w:r>
            <w:r w:rsidRPr="6E235B12">
              <w:rPr>
                <w:rFonts w:ascii="Times New Roman" w:hAnsi="Times New Roman" w:cs="Times New Roman"/>
                <w:b/>
                <w:bCs/>
                <w:sz w:val="20"/>
                <w:szCs w:val="20"/>
              </w:rPr>
              <w:t>tény</w:t>
            </w:r>
            <w:r w:rsidR="0C85BE5D">
              <w:br/>
            </w:r>
            <w:r w:rsidRPr="6E235B12">
              <w:rPr>
                <w:rFonts w:ascii="Times New Roman" w:hAnsi="Times New Roman" w:cs="Times New Roman"/>
                <w:sz w:val="20"/>
                <w:szCs w:val="20"/>
              </w:rPr>
              <w:t>milliárd forintban</w:t>
            </w:r>
          </w:p>
          <w:p w14:paraId="36F5C342" w14:textId="76728DC5"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3B1E3A68"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b/>
                <w:bCs/>
                <w:sz w:val="20"/>
                <w:szCs w:val="20"/>
              </w:rPr>
              <w:t>2024. I-V hó tény</w:t>
            </w:r>
            <w:r w:rsidR="0C85BE5D">
              <w:br/>
            </w:r>
            <w:r w:rsidRPr="6E235B12">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éves előzetes tény=100%</w:t>
            </w:r>
            <w:r w:rsidR="0C85BE5D">
              <w:br/>
            </w:r>
            <w:r w:rsidRPr="6E235B12">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b/>
                <w:bCs/>
                <w:sz w:val="20"/>
                <w:szCs w:val="20"/>
              </w:rPr>
              <w:t>2025. évi előirányzat</w:t>
            </w:r>
            <w:r w:rsidR="0C85BE5D">
              <w:br/>
            </w:r>
            <w:r w:rsidRPr="6E235B12">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11B375A3" w:rsidR="00B6763B"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b/>
                <w:bCs/>
                <w:sz w:val="20"/>
                <w:szCs w:val="20"/>
              </w:rPr>
              <w:t>2025. I-V. hó tény</w:t>
            </w:r>
            <w:r w:rsidR="0C85BE5D">
              <w:br/>
            </w:r>
            <w:r w:rsidRPr="6E235B12">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előirányzat=</w:t>
            </w:r>
            <w:r w:rsidR="0C85BE5D">
              <w:br/>
            </w:r>
            <w:r w:rsidRPr="6E235B12">
              <w:rPr>
                <w:rFonts w:ascii="Times New Roman" w:hAnsi="Times New Roman" w:cs="Times New Roman"/>
                <w:sz w:val="20"/>
                <w:szCs w:val="20"/>
              </w:rPr>
              <w:t>100%</w:t>
            </w:r>
            <w:r w:rsidR="0C85BE5D">
              <w:br/>
            </w:r>
            <w:r w:rsidRPr="6E235B12">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6E235B12" w:rsidP="6E235B12">
            <w:pPr>
              <w:keepNext/>
              <w:keepLines/>
              <w:spacing w:after="0"/>
              <w:jc w:val="center"/>
              <w:rPr>
                <w:rFonts w:ascii="Times New Roman" w:hAnsi="Times New Roman" w:cs="Times New Roman"/>
                <w:sz w:val="20"/>
                <w:szCs w:val="20"/>
              </w:rPr>
            </w:pPr>
            <w:r w:rsidRPr="6E235B12">
              <w:rPr>
                <w:rFonts w:ascii="Times New Roman" w:hAnsi="Times New Roman" w:cs="Times New Roman"/>
                <w:sz w:val="20"/>
                <w:szCs w:val="20"/>
              </w:rPr>
              <w:t>előző év=</w:t>
            </w:r>
            <w:r w:rsidR="0C85BE5D">
              <w:br/>
            </w:r>
            <w:r w:rsidRPr="6E235B12">
              <w:rPr>
                <w:rFonts w:ascii="Times New Roman" w:hAnsi="Times New Roman" w:cs="Times New Roman"/>
                <w:sz w:val="20"/>
                <w:szCs w:val="20"/>
              </w:rPr>
              <w:t>100%</w:t>
            </w:r>
            <w:r w:rsidR="0C85BE5D">
              <w:br/>
            </w:r>
            <w:r w:rsidRPr="6E235B12">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6E235B12">
            <w:pPr>
              <w:keepNext/>
              <w:keepLines/>
              <w:spacing w:after="0"/>
              <w:jc w:val="center"/>
              <w:rPr>
                <w:rFonts w:ascii="Times New Roman" w:hAnsi="Times New Roman" w:cs="Times New Roman"/>
                <w:sz w:val="20"/>
                <w:szCs w:val="20"/>
              </w:rPr>
            </w:pPr>
            <w:r>
              <w:br/>
            </w:r>
            <w:r w:rsidR="6E235B12" w:rsidRPr="6E235B12">
              <w:rPr>
                <w:rFonts w:ascii="Times New Roman" w:hAnsi="Times New Roman" w:cs="Times New Roman"/>
                <w:sz w:val="20"/>
                <w:szCs w:val="20"/>
              </w:rPr>
              <w:t>(4/2)</w:t>
            </w:r>
          </w:p>
        </w:tc>
      </w:tr>
      <w:tr w:rsidR="00794A5E" w:rsidRPr="003D514A" w14:paraId="272C1797"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794A5E" w:rsidRPr="00602E3C" w:rsidRDefault="00794A5E" w:rsidP="00794A5E">
            <w:pPr>
              <w:keepNext/>
              <w:keepLines/>
              <w:spacing w:before="120" w:after="120"/>
              <w:rPr>
                <w:rFonts w:ascii="Times New Roman" w:hAnsi="Times New Roman" w:cs="Times New Roman"/>
                <w:b/>
                <w:bCs/>
                <w:sz w:val="20"/>
                <w:szCs w:val="20"/>
              </w:rPr>
            </w:pPr>
            <w:r w:rsidRPr="6E235B12">
              <w:rPr>
                <w:rFonts w:ascii="Times New Roman" w:hAnsi="Times New Roman" w:cs="Times New Roman"/>
                <w:b/>
                <w:bCs/>
                <w:sz w:val="20"/>
                <w:szCs w:val="20"/>
              </w:rPr>
              <w:t>Központi költségvetés egyenlege</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32474E5B" w:rsidR="00794A5E" w:rsidRPr="007007A3" w:rsidRDefault="00794A5E" w:rsidP="00794A5E">
            <w:pPr>
              <w:spacing w:before="120" w:after="120"/>
              <w:jc w:val="right"/>
              <w:rPr>
                <w:rFonts w:ascii="Times New Roman" w:hAnsi="Times New Roman" w:cs="Times New Roman"/>
                <w:b/>
                <w:bCs/>
                <w:sz w:val="20"/>
                <w:szCs w:val="20"/>
              </w:rPr>
            </w:pPr>
            <w:r w:rsidRPr="008A35B8">
              <w:rPr>
                <w:rFonts w:ascii="Garamond" w:hAnsi="Garamond"/>
                <w:b/>
                <w:bCs/>
                <w:szCs w:val="20"/>
              </w:rPr>
              <w:t>-4 003,9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A4960" w14:textId="3141A4D1"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rPr>
              <w:t>-2 559,7</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04EB2E4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63,9</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218A3111"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1FC81C8C"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-2 747,2</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0C3B982D"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65,2</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54896665"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107,3</w:t>
            </w:r>
          </w:p>
        </w:tc>
      </w:tr>
      <w:tr w:rsidR="00794A5E" w:rsidRPr="003D514A" w14:paraId="43DB1C6B"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013BE1E" w14:textId="06DA09F6"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26 655,6</w:t>
            </w:r>
          </w:p>
        </w:tc>
        <w:tc>
          <w:tcPr>
            <w:tcW w:w="1134" w:type="dxa"/>
            <w:tcBorders>
              <w:top w:val="nil"/>
              <w:left w:val="nil"/>
              <w:bottom w:val="single" w:sz="4" w:space="0" w:color="auto"/>
              <w:right w:val="single" w:sz="4" w:space="0" w:color="auto"/>
            </w:tcBorders>
            <w:shd w:val="clear" w:color="auto" w:fill="auto"/>
            <w:noWrap/>
            <w:vAlign w:val="center"/>
          </w:tcPr>
          <w:p w14:paraId="00714DA8" w14:textId="66F4A1B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10 374,0</w:t>
            </w:r>
          </w:p>
        </w:tc>
        <w:tc>
          <w:tcPr>
            <w:tcW w:w="1075" w:type="dxa"/>
            <w:tcBorders>
              <w:top w:val="nil"/>
              <w:left w:val="nil"/>
              <w:bottom w:val="single" w:sz="4" w:space="0" w:color="auto"/>
              <w:right w:val="single" w:sz="4" w:space="0" w:color="auto"/>
            </w:tcBorders>
            <w:shd w:val="clear" w:color="auto" w:fill="auto"/>
            <w:noWrap/>
            <w:vAlign w:val="center"/>
          </w:tcPr>
          <w:p w14:paraId="15BCE7D2" w14:textId="64D3CE9B"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38,9</w:t>
            </w:r>
          </w:p>
        </w:tc>
        <w:tc>
          <w:tcPr>
            <w:tcW w:w="1103" w:type="dxa"/>
            <w:tcBorders>
              <w:top w:val="nil"/>
              <w:left w:val="nil"/>
              <w:bottom w:val="single" w:sz="4" w:space="0" w:color="auto"/>
              <w:right w:val="single" w:sz="4" w:space="0" w:color="auto"/>
            </w:tcBorders>
            <w:shd w:val="clear" w:color="auto" w:fill="auto"/>
            <w:noWrap/>
            <w:vAlign w:val="center"/>
          </w:tcPr>
          <w:p w14:paraId="0B162934" w14:textId="0E7FBA5C"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55616FC7"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10 754,8</w:t>
            </w:r>
          </w:p>
        </w:tc>
        <w:tc>
          <w:tcPr>
            <w:tcW w:w="1159" w:type="dxa"/>
            <w:tcBorders>
              <w:top w:val="nil"/>
              <w:left w:val="nil"/>
              <w:bottom w:val="single" w:sz="4" w:space="0" w:color="auto"/>
              <w:right w:val="single" w:sz="4" w:space="0" w:color="auto"/>
            </w:tcBorders>
            <w:shd w:val="clear" w:color="auto" w:fill="auto"/>
            <w:noWrap/>
            <w:vAlign w:val="center"/>
          </w:tcPr>
          <w:p w14:paraId="229A1E05" w14:textId="1CCC1C2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40,4</w:t>
            </w:r>
          </w:p>
        </w:tc>
        <w:tc>
          <w:tcPr>
            <w:tcW w:w="1113" w:type="dxa"/>
            <w:tcBorders>
              <w:top w:val="nil"/>
              <w:left w:val="nil"/>
              <w:bottom w:val="single" w:sz="4" w:space="0" w:color="auto"/>
              <w:right w:val="single" w:sz="4" w:space="0" w:color="auto"/>
            </w:tcBorders>
            <w:shd w:val="clear" w:color="auto" w:fill="auto"/>
            <w:noWrap/>
            <w:vAlign w:val="center"/>
          </w:tcPr>
          <w:p w14:paraId="0D7E5DA4" w14:textId="536633E9"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103,7</w:t>
            </w:r>
          </w:p>
        </w:tc>
      </w:tr>
      <w:tr w:rsidR="00794A5E" w:rsidRPr="003D514A" w14:paraId="576245F4"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2B82BDD4" w14:textId="0E14EA1F"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30 659,5</w:t>
            </w:r>
          </w:p>
        </w:tc>
        <w:tc>
          <w:tcPr>
            <w:tcW w:w="1134" w:type="dxa"/>
            <w:tcBorders>
              <w:top w:val="nil"/>
              <w:left w:val="nil"/>
              <w:bottom w:val="single" w:sz="4" w:space="0" w:color="auto"/>
              <w:right w:val="single" w:sz="4" w:space="0" w:color="auto"/>
            </w:tcBorders>
            <w:shd w:val="clear" w:color="auto" w:fill="auto"/>
            <w:noWrap/>
            <w:vAlign w:val="center"/>
          </w:tcPr>
          <w:p w14:paraId="51B92D54" w14:textId="16A2EE2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12 933,7</w:t>
            </w:r>
          </w:p>
        </w:tc>
        <w:tc>
          <w:tcPr>
            <w:tcW w:w="1075" w:type="dxa"/>
            <w:tcBorders>
              <w:top w:val="nil"/>
              <w:left w:val="nil"/>
              <w:bottom w:val="single" w:sz="4" w:space="0" w:color="auto"/>
              <w:right w:val="single" w:sz="4" w:space="0" w:color="auto"/>
            </w:tcBorders>
            <w:shd w:val="clear" w:color="auto" w:fill="auto"/>
            <w:noWrap/>
            <w:vAlign w:val="center"/>
          </w:tcPr>
          <w:p w14:paraId="480CDC03" w14:textId="34FE03FC"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42,2</w:t>
            </w:r>
          </w:p>
        </w:tc>
        <w:tc>
          <w:tcPr>
            <w:tcW w:w="1103" w:type="dxa"/>
            <w:tcBorders>
              <w:top w:val="nil"/>
              <w:left w:val="nil"/>
              <w:bottom w:val="single" w:sz="4" w:space="0" w:color="auto"/>
              <w:right w:val="single" w:sz="4" w:space="0" w:color="auto"/>
            </w:tcBorders>
            <w:shd w:val="clear" w:color="auto" w:fill="auto"/>
            <w:noWrap/>
            <w:vAlign w:val="center"/>
          </w:tcPr>
          <w:p w14:paraId="30613988" w14:textId="5DB6AB3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7791A80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13 502,0</w:t>
            </w:r>
          </w:p>
        </w:tc>
        <w:tc>
          <w:tcPr>
            <w:tcW w:w="1159" w:type="dxa"/>
            <w:tcBorders>
              <w:top w:val="nil"/>
              <w:left w:val="nil"/>
              <w:bottom w:val="single" w:sz="4" w:space="0" w:color="auto"/>
              <w:right w:val="single" w:sz="4" w:space="0" w:color="auto"/>
            </w:tcBorders>
            <w:shd w:val="clear" w:color="auto" w:fill="auto"/>
            <w:noWrap/>
            <w:vAlign w:val="center"/>
          </w:tcPr>
          <w:p w14:paraId="2AF744DE" w14:textId="6FDCE38F"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43,8</w:t>
            </w:r>
          </w:p>
        </w:tc>
        <w:tc>
          <w:tcPr>
            <w:tcW w:w="1113" w:type="dxa"/>
            <w:tcBorders>
              <w:top w:val="nil"/>
              <w:left w:val="nil"/>
              <w:bottom w:val="single" w:sz="4" w:space="0" w:color="auto"/>
              <w:right w:val="single" w:sz="4" w:space="0" w:color="auto"/>
            </w:tcBorders>
            <w:shd w:val="clear" w:color="auto" w:fill="auto"/>
            <w:noWrap/>
            <w:vAlign w:val="center"/>
          </w:tcPr>
          <w:p w14:paraId="6B19C9DE" w14:textId="54C61F5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104,4</w:t>
            </w:r>
          </w:p>
        </w:tc>
      </w:tr>
      <w:tr w:rsidR="00794A5E" w:rsidRPr="003D514A" w14:paraId="5D1AF47D"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794A5E" w:rsidRPr="00602E3C" w:rsidRDefault="00794A5E" w:rsidP="00794A5E">
            <w:pPr>
              <w:keepNext/>
              <w:keepLines/>
              <w:spacing w:before="120" w:after="120"/>
              <w:rPr>
                <w:rFonts w:ascii="Times New Roman" w:hAnsi="Times New Roman" w:cs="Times New Roman"/>
                <w:b/>
                <w:bCs/>
                <w:sz w:val="20"/>
                <w:szCs w:val="20"/>
              </w:rPr>
            </w:pPr>
            <w:r w:rsidRPr="6E235B12">
              <w:rPr>
                <w:rFonts w:ascii="Times New Roman" w:hAnsi="Times New Roman" w:cs="Times New Roman"/>
                <w:b/>
                <w:bCs/>
                <w:sz w:val="20"/>
                <w:szCs w:val="20"/>
              </w:rPr>
              <w:t>Elkülönített állami pénzalapok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77E1D897" w14:textId="327FF82B" w:rsidR="00794A5E" w:rsidRPr="007007A3" w:rsidRDefault="00794A5E" w:rsidP="00794A5E">
            <w:pPr>
              <w:spacing w:before="120" w:after="120"/>
              <w:jc w:val="right"/>
              <w:rPr>
                <w:rFonts w:ascii="Times New Roman" w:hAnsi="Times New Roman" w:cs="Times New Roman"/>
                <w:b/>
                <w:bCs/>
                <w:sz w:val="20"/>
                <w:szCs w:val="20"/>
              </w:rPr>
            </w:pPr>
            <w:r w:rsidRPr="008A35B8">
              <w:rPr>
                <w:rFonts w:ascii="Garamond" w:hAnsi="Garamond"/>
                <w:b/>
                <w:bCs/>
                <w:szCs w:val="20"/>
              </w:rPr>
              <w:t>138,2</w:t>
            </w:r>
          </w:p>
        </w:tc>
        <w:tc>
          <w:tcPr>
            <w:tcW w:w="1134" w:type="dxa"/>
            <w:tcBorders>
              <w:top w:val="nil"/>
              <w:left w:val="nil"/>
              <w:bottom w:val="single" w:sz="4" w:space="0" w:color="auto"/>
              <w:right w:val="single" w:sz="4" w:space="0" w:color="auto"/>
            </w:tcBorders>
            <w:shd w:val="clear" w:color="auto" w:fill="auto"/>
            <w:noWrap/>
            <w:vAlign w:val="center"/>
          </w:tcPr>
          <w:p w14:paraId="2E3F1C5B" w14:textId="73A6FC23"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rPr>
              <w:t>115,</w:t>
            </w:r>
            <w:r>
              <w:rPr>
                <w:rFonts w:ascii="Garamond" w:hAnsi="Garamond"/>
                <w:b/>
                <w:bCs/>
              </w:rPr>
              <w:t>5</w:t>
            </w:r>
          </w:p>
        </w:tc>
        <w:tc>
          <w:tcPr>
            <w:tcW w:w="1075" w:type="dxa"/>
            <w:tcBorders>
              <w:top w:val="nil"/>
              <w:left w:val="nil"/>
              <w:bottom w:val="single" w:sz="4" w:space="0" w:color="auto"/>
              <w:right w:val="single" w:sz="4" w:space="0" w:color="auto"/>
            </w:tcBorders>
            <w:shd w:val="clear" w:color="auto" w:fill="auto"/>
            <w:noWrap/>
            <w:vAlign w:val="center"/>
          </w:tcPr>
          <w:p w14:paraId="462FA081" w14:textId="3CAB9378"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83,5</w:t>
            </w:r>
          </w:p>
        </w:tc>
        <w:tc>
          <w:tcPr>
            <w:tcW w:w="1103" w:type="dxa"/>
            <w:tcBorders>
              <w:top w:val="nil"/>
              <w:left w:val="nil"/>
              <w:bottom w:val="single" w:sz="4" w:space="0" w:color="auto"/>
              <w:right w:val="single" w:sz="4" w:space="0" w:color="auto"/>
            </w:tcBorders>
            <w:shd w:val="clear" w:color="auto" w:fill="auto"/>
            <w:noWrap/>
            <w:vAlign w:val="center"/>
          </w:tcPr>
          <w:p w14:paraId="2C2D5FB6" w14:textId="025D74D2"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703CB11F"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45,3</w:t>
            </w:r>
          </w:p>
        </w:tc>
        <w:tc>
          <w:tcPr>
            <w:tcW w:w="1159" w:type="dxa"/>
            <w:tcBorders>
              <w:top w:val="nil"/>
              <w:left w:val="nil"/>
              <w:bottom w:val="single" w:sz="4" w:space="0" w:color="auto"/>
              <w:right w:val="single" w:sz="4" w:space="0" w:color="auto"/>
            </w:tcBorders>
            <w:shd w:val="clear" w:color="auto" w:fill="auto"/>
            <w:noWrap/>
            <w:vAlign w:val="center"/>
          </w:tcPr>
          <w:p w14:paraId="7D3E2161" w14:textId="0C6AD03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51,1</w:t>
            </w:r>
          </w:p>
        </w:tc>
        <w:tc>
          <w:tcPr>
            <w:tcW w:w="1113" w:type="dxa"/>
            <w:tcBorders>
              <w:top w:val="nil"/>
              <w:left w:val="nil"/>
              <w:bottom w:val="single" w:sz="4" w:space="0" w:color="auto"/>
              <w:right w:val="single" w:sz="4" w:space="0" w:color="auto"/>
            </w:tcBorders>
            <w:shd w:val="clear" w:color="auto" w:fill="auto"/>
            <w:noWrap/>
            <w:vAlign w:val="center"/>
          </w:tcPr>
          <w:p w14:paraId="53938325" w14:textId="4AB33B08"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39,3</w:t>
            </w:r>
          </w:p>
        </w:tc>
      </w:tr>
      <w:tr w:rsidR="00794A5E" w:rsidRPr="003D514A" w14:paraId="28F7F28C"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162C4C7" w14:textId="03DE19DB"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856,5</w:t>
            </w:r>
          </w:p>
        </w:tc>
        <w:tc>
          <w:tcPr>
            <w:tcW w:w="1134" w:type="dxa"/>
            <w:tcBorders>
              <w:top w:val="nil"/>
              <w:left w:val="nil"/>
              <w:bottom w:val="single" w:sz="4" w:space="0" w:color="auto"/>
              <w:right w:val="single" w:sz="4" w:space="0" w:color="auto"/>
            </w:tcBorders>
            <w:shd w:val="clear" w:color="auto" w:fill="auto"/>
            <w:noWrap/>
            <w:vAlign w:val="center"/>
          </w:tcPr>
          <w:p w14:paraId="3523D3FF" w14:textId="6434E810"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366,</w:t>
            </w:r>
            <w:r>
              <w:rPr>
                <w:rFonts w:ascii="Garamond" w:hAnsi="Garamond"/>
              </w:rPr>
              <w:t>3</w:t>
            </w:r>
          </w:p>
        </w:tc>
        <w:tc>
          <w:tcPr>
            <w:tcW w:w="1075" w:type="dxa"/>
            <w:tcBorders>
              <w:top w:val="nil"/>
              <w:left w:val="nil"/>
              <w:bottom w:val="single" w:sz="4" w:space="0" w:color="auto"/>
              <w:right w:val="single" w:sz="4" w:space="0" w:color="auto"/>
            </w:tcBorders>
            <w:shd w:val="clear" w:color="auto" w:fill="auto"/>
            <w:noWrap/>
            <w:vAlign w:val="center"/>
          </w:tcPr>
          <w:p w14:paraId="3A889EFA" w14:textId="09295457"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42,8</w:t>
            </w:r>
          </w:p>
        </w:tc>
        <w:tc>
          <w:tcPr>
            <w:tcW w:w="1103" w:type="dxa"/>
            <w:tcBorders>
              <w:top w:val="nil"/>
              <w:left w:val="nil"/>
              <w:bottom w:val="single" w:sz="4" w:space="0" w:color="auto"/>
              <w:right w:val="single" w:sz="4" w:space="0" w:color="auto"/>
            </w:tcBorders>
            <w:shd w:val="clear" w:color="auto" w:fill="auto"/>
            <w:noWrap/>
            <w:vAlign w:val="center"/>
          </w:tcPr>
          <w:p w14:paraId="26479F49" w14:textId="28F6B162"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63BB7FC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340,4</w:t>
            </w:r>
          </w:p>
        </w:tc>
        <w:tc>
          <w:tcPr>
            <w:tcW w:w="1159" w:type="dxa"/>
            <w:tcBorders>
              <w:top w:val="nil"/>
              <w:left w:val="nil"/>
              <w:bottom w:val="single" w:sz="4" w:space="0" w:color="auto"/>
              <w:right w:val="single" w:sz="4" w:space="0" w:color="auto"/>
            </w:tcBorders>
            <w:shd w:val="clear" w:color="auto" w:fill="auto"/>
            <w:noWrap/>
            <w:vAlign w:val="center"/>
          </w:tcPr>
          <w:p w14:paraId="0543AEAF" w14:textId="2D753230"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40,3</w:t>
            </w:r>
          </w:p>
        </w:tc>
        <w:tc>
          <w:tcPr>
            <w:tcW w:w="1113" w:type="dxa"/>
            <w:tcBorders>
              <w:top w:val="nil"/>
              <w:left w:val="nil"/>
              <w:bottom w:val="single" w:sz="4" w:space="0" w:color="auto"/>
              <w:right w:val="single" w:sz="4" w:space="0" w:color="auto"/>
            </w:tcBorders>
            <w:shd w:val="clear" w:color="auto" w:fill="auto"/>
            <w:noWrap/>
            <w:vAlign w:val="center"/>
          </w:tcPr>
          <w:p w14:paraId="109115A4" w14:textId="6C4C605D"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93,0</w:t>
            </w:r>
          </w:p>
        </w:tc>
      </w:tr>
      <w:tr w:rsidR="00794A5E" w:rsidRPr="00190176" w14:paraId="1E40C612"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DBFFE8F" w14:textId="7D1C3C5D"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718,3</w:t>
            </w:r>
          </w:p>
        </w:tc>
        <w:tc>
          <w:tcPr>
            <w:tcW w:w="1134" w:type="dxa"/>
            <w:tcBorders>
              <w:top w:val="nil"/>
              <w:left w:val="nil"/>
              <w:bottom w:val="single" w:sz="4" w:space="0" w:color="auto"/>
              <w:right w:val="single" w:sz="4" w:space="0" w:color="auto"/>
            </w:tcBorders>
            <w:shd w:val="clear" w:color="auto" w:fill="auto"/>
            <w:noWrap/>
            <w:vAlign w:val="center"/>
          </w:tcPr>
          <w:p w14:paraId="09959044" w14:textId="486027F0"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250,8</w:t>
            </w:r>
          </w:p>
        </w:tc>
        <w:tc>
          <w:tcPr>
            <w:tcW w:w="1075" w:type="dxa"/>
            <w:tcBorders>
              <w:top w:val="nil"/>
              <w:left w:val="nil"/>
              <w:bottom w:val="single" w:sz="4" w:space="0" w:color="auto"/>
              <w:right w:val="single" w:sz="4" w:space="0" w:color="auto"/>
            </w:tcBorders>
            <w:shd w:val="clear" w:color="auto" w:fill="auto"/>
            <w:noWrap/>
            <w:vAlign w:val="center"/>
          </w:tcPr>
          <w:p w14:paraId="49CC2BC9" w14:textId="263E718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 xml:space="preserve">34,9 </w:t>
            </w:r>
          </w:p>
        </w:tc>
        <w:tc>
          <w:tcPr>
            <w:tcW w:w="1103" w:type="dxa"/>
            <w:tcBorders>
              <w:top w:val="nil"/>
              <w:left w:val="nil"/>
              <w:bottom w:val="single" w:sz="4" w:space="0" w:color="auto"/>
              <w:right w:val="single" w:sz="4" w:space="0" w:color="auto"/>
            </w:tcBorders>
            <w:shd w:val="clear" w:color="auto" w:fill="auto"/>
            <w:noWrap/>
            <w:vAlign w:val="center"/>
          </w:tcPr>
          <w:p w14:paraId="38B8A8DE" w14:textId="3A547677"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3530569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295,2</w:t>
            </w:r>
          </w:p>
        </w:tc>
        <w:tc>
          <w:tcPr>
            <w:tcW w:w="1159" w:type="dxa"/>
            <w:tcBorders>
              <w:top w:val="nil"/>
              <w:left w:val="nil"/>
              <w:bottom w:val="single" w:sz="4" w:space="0" w:color="auto"/>
              <w:right w:val="single" w:sz="4" w:space="0" w:color="auto"/>
            </w:tcBorders>
            <w:shd w:val="clear" w:color="auto" w:fill="auto"/>
            <w:noWrap/>
            <w:vAlign w:val="center"/>
          </w:tcPr>
          <w:p w14:paraId="087519CB" w14:textId="7D05074A"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39,0</w:t>
            </w:r>
          </w:p>
        </w:tc>
        <w:tc>
          <w:tcPr>
            <w:tcW w:w="1113" w:type="dxa"/>
            <w:tcBorders>
              <w:top w:val="nil"/>
              <w:left w:val="nil"/>
              <w:bottom w:val="single" w:sz="4" w:space="0" w:color="auto"/>
              <w:right w:val="single" w:sz="4" w:space="0" w:color="auto"/>
            </w:tcBorders>
            <w:shd w:val="clear" w:color="auto" w:fill="auto"/>
            <w:noWrap/>
            <w:vAlign w:val="center"/>
          </w:tcPr>
          <w:p w14:paraId="0F6B30EE" w14:textId="1E101B0D"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117,7</w:t>
            </w:r>
          </w:p>
        </w:tc>
      </w:tr>
      <w:tr w:rsidR="00794A5E" w:rsidRPr="003D514A" w14:paraId="76328518"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794A5E" w:rsidRPr="00602E3C" w:rsidRDefault="00794A5E" w:rsidP="00794A5E">
            <w:pPr>
              <w:keepNext/>
              <w:keepLines/>
              <w:spacing w:before="120" w:after="120"/>
              <w:rPr>
                <w:rFonts w:ascii="Times New Roman" w:hAnsi="Times New Roman" w:cs="Times New Roman"/>
                <w:b/>
                <w:bCs/>
                <w:sz w:val="20"/>
                <w:szCs w:val="20"/>
              </w:rPr>
            </w:pPr>
            <w:r w:rsidRPr="6E235B12">
              <w:rPr>
                <w:rFonts w:ascii="Times New Roman" w:hAnsi="Times New Roman" w:cs="Times New Roman"/>
                <w:b/>
                <w:bCs/>
                <w:sz w:val="20"/>
                <w:szCs w:val="20"/>
              </w:rPr>
              <w:t>Társadalombiztosítás pénzügyi alapjainak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09EEFFCC" w14:textId="3FD594BE" w:rsidR="00794A5E" w:rsidRPr="007007A3" w:rsidRDefault="00794A5E" w:rsidP="00794A5E">
            <w:pPr>
              <w:spacing w:before="120" w:after="120"/>
              <w:jc w:val="right"/>
              <w:rPr>
                <w:rFonts w:ascii="Times New Roman" w:hAnsi="Times New Roman" w:cs="Times New Roman"/>
                <w:b/>
                <w:bCs/>
                <w:sz w:val="20"/>
                <w:szCs w:val="20"/>
              </w:rPr>
            </w:pPr>
            <w:r w:rsidRPr="008A35B8">
              <w:rPr>
                <w:rFonts w:ascii="Garamond" w:hAnsi="Garamond"/>
                <w:b/>
                <w:bCs/>
                <w:szCs w:val="20"/>
              </w:rPr>
              <w:t>-230,1</w:t>
            </w:r>
          </w:p>
        </w:tc>
        <w:tc>
          <w:tcPr>
            <w:tcW w:w="1134" w:type="dxa"/>
            <w:tcBorders>
              <w:top w:val="nil"/>
              <w:left w:val="nil"/>
              <w:bottom w:val="single" w:sz="4" w:space="0" w:color="auto"/>
              <w:right w:val="single" w:sz="4" w:space="0" w:color="auto"/>
            </w:tcBorders>
            <w:shd w:val="clear" w:color="auto" w:fill="auto"/>
            <w:noWrap/>
            <w:vAlign w:val="center"/>
          </w:tcPr>
          <w:p w14:paraId="30D7DC00" w14:textId="54073152"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rPr>
              <w:t>-104,3</w:t>
            </w:r>
          </w:p>
        </w:tc>
        <w:tc>
          <w:tcPr>
            <w:tcW w:w="1075" w:type="dxa"/>
            <w:tcBorders>
              <w:top w:val="nil"/>
              <w:left w:val="nil"/>
              <w:bottom w:val="single" w:sz="4" w:space="0" w:color="auto"/>
              <w:right w:val="single" w:sz="4" w:space="0" w:color="auto"/>
            </w:tcBorders>
            <w:shd w:val="clear" w:color="auto" w:fill="auto"/>
            <w:noWrap/>
            <w:vAlign w:val="center"/>
          </w:tcPr>
          <w:p w14:paraId="641FA9E4" w14:textId="050930A6"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45,3</w:t>
            </w:r>
          </w:p>
        </w:tc>
        <w:tc>
          <w:tcPr>
            <w:tcW w:w="1103" w:type="dxa"/>
            <w:tcBorders>
              <w:top w:val="nil"/>
              <w:left w:val="nil"/>
              <w:bottom w:val="single" w:sz="4" w:space="0" w:color="auto"/>
              <w:right w:val="single" w:sz="4" w:space="0" w:color="auto"/>
            </w:tcBorders>
            <w:shd w:val="clear" w:color="auto" w:fill="auto"/>
            <w:noWrap/>
            <w:vAlign w:val="center"/>
          </w:tcPr>
          <w:p w14:paraId="2DC56B04" w14:textId="1866A00A"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0,0</w:t>
            </w:r>
          </w:p>
        </w:tc>
        <w:tc>
          <w:tcPr>
            <w:tcW w:w="1224" w:type="dxa"/>
            <w:tcBorders>
              <w:top w:val="nil"/>
              <w:left w:val="nil"/>
              <w:bottom w:val="single" w:sz="4" w:space="0" w:color="auto"/>
              <w:right w:val="single" w:sz="4" w:space="0" w:color="auto"/>
            </w:tcBorders>
            <w:shd w:val="clear" w:color="auto" w:fill="auto"/>
            <w:noWrap/>
            <w:vAlign w:val="center"/>
          </w:tcPr>
          <w:p w14:paraId="09A75478" w14:textId="5700B088"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-99,0</w:t>
            </w:r>
          </w:p>
        </w:tc>
        <w:tc>
          <w:tcPr>
            <w:tcW w:w="1159" w:type="dxa"/>
            <w:tcBorders>
              <w:top w:val="nil"/>
              <w:left w:val="nil"/>
              <w:bottom w:val="single" w:sz="4" w:space="0" w:color="auto"/>
              <w:right w:val="single" w:sz="4" w:space="0" w:color="auto"/>
            </w:tcBorders>
            <w:shd w:val="clear" w:color="auto" w:fill="auto"/>
            <w:noWrap/>
            <w:vAlign w:val="center"/>
          </w:tcPr>
          <w:p w14:paraId="7360352A" w14:textId="0A80F23B"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2283F60C"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94,9</w:t>
            </w:r>
          </w:p>
        </w:tc>
      </w:tr>
      <w:tr w:rsidR="00794A5E" w:rsidRPr="003D514A" w14:paraId="019242A3"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7CEA0A8" w14:textId="26B8EA17"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10 526,1</w:t>
            </w:r>
          </w:p>
        </w:tc>
        <w:tc>
          <w:tcPr>
            <w:tcW w:w="1134" w:type="dxa"/>
            <w:tcBorders>
              <w:top w:val="nil"/>
              <w:left w:val="nil"/>
              <w:bottom w:val="single" w:sz="4" w:space="0" w:color="auto"/>
              <w:right w:val="single" w:sz="4" w:space="0" w:color="auto"/>
            </w:tcBorders>
            <w:shd w:val="clear" w:color="auto" w:fill="auto"/>
            <w:noWrap/>
            <w:vAlign w:val="center"/>
          </w:tcPr>
          <w:p w14:paraId="0CF62633" w14:textId="57CA646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4</w:t>
            </w:r>
            <w:r>
              <w:rPr>
                <w:rFonts w:ascii="Garamond" w:hAnsi="Garamond"/>
              </w:rPr>
              <w:t> 608,9</w:t>
            </w:r>
          </w:p>
        </w:tc>
        <w:tc>
          <w:tcPr>
            <w:tcW w:w="1075" w:type="dxa"/>
            <w:tcBorders>
              <w:top w:val="nil"/>
              <w:left w:val="nil"/>
              <w:bottom w:val="single" w:sz="4" w:space="0" w:color="auto"/>
              <w:right w:val="single" w:sz="4" w:space="0" w:color="auto"/>
            </w:tcBorders>
            <w:shd w:val="clear" w:color="auto" w:fill="auto"/>
            <w:noWrap/>
            <w:vAlign w:val="center"/>
          </w:tcPr>
          <w:p w14:paraId="5A242BD9" w14:textId="45113070"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43,8</w:t>
            </w:r>
          </w:p>
        </w:tc>
        <w:tc>
          <w:tcPr>
            <w:tcW w:w="1103" w:type="dxa"/>
            <w:tcBorders>
              <w:top w:val="nil"/>
              <w:left w:val="nil"/>
              <w:bottom w:val="single" w:sz="4" w:space="0" w:color="auto"/>
              <w:right w:val="single" w:sz="4" w:space="0" w:color="auto"/>
            </w:tcBorders>
            <w:shd w:val="clear" w:color="auto" w:fill="auto"/>
            <w:noWrap/>
            <w:vAlign w:val="center"/>
          </w:tcPr>
          <w:p w14:paraId="38B2FBF3" w14:textId="163B929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04E216BB"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4 972,5</w:t>
            </w:r>
          </w:p>
        </w:tc>
        <w:tc>
          <w:tcPr>
            <w:tcW w:w="1159" w:type="dxa"/>
            <w:tcBorders>
              <w:top w:val="nil"/>
              <w:left w:val="nil"/>
              <w:bottom w:val="single" w:sz="4" w:space="0" w:color="auto"/>
              <w:right w:val="single" w:sz="4" w:space="0" w:color="auto"/>
            </w:tcBorders>
            <w:shd w:val="clear" w:color="auto" w:fill="auto"/>
            <w:noWrap/>
            <w:vAlign w:val="center"/>
          </w:tcPr>
          <w:p w14:paraId="36A63170" w14:textId="2C5E9CF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44,2</w:t>
            </w:r>
          </w:p>
        </w:tc>
        <w:tc>
          <w:tcPr>
            <w:tcW w:w="1113" w:type="dxa"/>
            <w:tcBorders>
              <w:top w:val="nil"/>
              <w:left w:val="nil"/>
              <w:bottom w:val="single" w:sz="4" w:space="0" w:color="auto"/>
              <w:right w:val="single" w:sz="4" w:space="0" w:color="auto"/>
            </w:tcBorders>
            <w:shd w:val="clear" w:color="auto" w:fill="auto"/>
            <w:noWrap/>
            <w:vAlign w:val="center"/>
          </w:tcPr>
          <w:p w14:paraId="20C35B4C" w14:textId="1D50B8C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107,9</w:t>
            </w:r>
          </w:p>
        </w:tc>
      </w:tr>
      <w:tr w:rsidR="00794A5E" w:rsidRPr="003D514A" w14:paraId="57754C66"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6EE84A7D" w14:textId="1AD2B837"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10 756,2</w:t>
            </w:r>
          </w:p>
        </w:tc>
        <w:tc>
          <w:tcPr>
            <w:tcW w:w="1134" w:type="dxa"/>
            <w:tcBorders>
              <w:top w:val="nil"/>
              <w:left w:val="nil"/>
              <w:bottom w:val="single" w:sz="4" w:space="0" w:color="auto"/>
              <w:right w:val="single" w:sz="4" w:space="0" w:color="auto"/>
            </w:tcBorders>
            <w:shd w:val="clear" w:color="auto" w:fill="auto"/>
            <w:noWrap/>
            <w:vAlign w:val="center"/>
          </w:tcPr>
          <w:p w14:paraId="607E92BF" w14:textId="78FDC5D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4 713,2</w:t>
            </w:r>
          </w:p>
        </w:tc>
        <w:tc>
          <w:tcPr>
            <w:tcW w:w="1075" w:type="dxa"/>
            <w:tcBorders>
              <w:top w:val="nil"/>
              <w:left w:val="nil"/>
              <w:bottom w:val="single" w:sz="4" w:space="0" w:color="auto"/>
              <w:right w:val="single" w:sz="4" w:space="0" w:color="auto"/>
            </w:tcBorders>
            <w:shd w:val="clear" w:color="auto" w:fill="auto"/>
            <w:noWrap/>
            <w:vAlign w:val="center"/>
          </w:tcPr>
          <w:p w14:paraId="72D0949B" w14:textId="6E25FAB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43,8</w:t>
            </w:r>
          </w:p>
        </w:tc>
        <w:tc>
          <w:tcPr>
            <w:tcW w:w="1103" w:type="dxa"/>
            <w:tcBorders>
              <w:top w:val="nil"/>
              <w:left w:val="nil"/>
              <w:bottom w:val="single" w:sz="4" w:space="0" w:color="auto"/>
              <w:right w:val="single" w:sz="4" w:space="0" w:color="auto"/>
            </w:tcBorders>
            <w:shd w:val="clear" w:color="auto" w:fill="auto"/>
            <w:noWrap/>
            <w:vAlign w:val="center"/>
          </w:tcPr>
          <w:p w14:paraId="46E1FBBD" w14:textId="6C3D05DF"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21120B74"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5 071,5</w:t>
            </w:r>
          </w:p>
        </w:tc>
        <w:tc>
          <w:tcPr>
            <w:tcW w:w="1159" w:type="dxa"/>
            <w:tcBorders>
              <w:top w:val="nil"/>
              <w:left w:val="nil"/>
              <w:bottom w:val="single" w:sz="4" w:space="0" w:color="auto"/>
              <w:right w:val="single" w:sz="4" w:space="0" w:color="auto"/>
            </w:tcBorders>
            <w:shd w:val="clear" w:color="auto" w:fill="auto"/>
            <w:noWrap/>
            <w:vAlign w:val="center"/>
          </w:tcPr>
          <w:p w14:paraId="58C18A84" w14:textId="6C7F2BCA"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45,0</w:t>
            </w:r>
          </w:p>
        </w:tc>
        <w:tc>
          <w:tcPr>
            <w:tcW w:w="1113" w:type="dxa"/>
            <w:tcBorders>
              <w:top w:val="nil"/>
              <w:left w:val="nil"/>
              <w:bottom w:val="single" w:sz="4" w:space="0" w:color="auto"/>
              <w:right w:val="single" w:sz="4" w:space="0" w:color="auto"/>
            </w:tcBorders>
            <w:shd w:val="clear" w:color="auto" w:fill="auto"/>
            <w:noWrap/>
            <w:vAlign w:val="center"/>
          </w:tcPr>
          <w:p w14:paraId="13EBC871" w14:textId="0BB1774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107,6</w:t>
            </w:r>
          </w:p>
        </w:tc>
      </w:tr>
      <w:tr w:rsidR="00794A5E" w:rsidRPr="003D514A" w14:paraId="0BB4AC6A"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794A5E" w:rsidRPr="00602E3C" w:rsidRDefault="00794A5E" w:rsidP="00794A5E">
            <w:pPr>
              <w:keepNext/>
              <w:keepLines/>
              <w:spacing w:before="120" w:after="120"/>
              <w:rPr>
                <w:rFonts w:ascii="Times New Roman" w:hAnsi="Times New Roman" w:cs="Times New Roman"/>
                <w:b/>
                <w:bCs/>
                <w:sz w:val="20"/>
                <w:szCs w:val="20"/>
              </w:rPr>
            </w:pPr>
            <w:r w:rsidRPr="6E235B12">
              <w:rPr>
                <w:rFonts w:ascii="Times New Roman" w:hAnsi="Times New Roman" w:cs="Times New Roman"/>
                <w:b/>
                <w:bCs/>
                <w:sz w:val="20"/>
                <w:szCs w:val="20"/>
              </w:rPr>
              <w:t>Egyenleg összesen</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B8B1324" w14:textId="505A8854" w:rsidR="00794A5E" w:rsidRPr="007007A3" w:rsidRDefault="00794A5E" w:rsidP="00794A5E">
            <w:pPr>
              <w:spacing w:before="120" w:after="120"/>
              <w:jc w:val="right"/>
              <w:rPr>
                <w:rFonts w:ascii="Times New Roman" w:hAnsi="Times New Roman" w:cs="Times New Roman"/>
                <w:b/>
                <w:bCs/>
                <w:sz w:val="20"/>
                <w:szCs w:val="20"/>
              </w:rPr>
            </w:pPr>
            <w:r w:rsidRPr="008A35B8">
              <w:rPr>
                <w:rFonts w:ascii="Garamond" w:hAnsi="Garamond"/>
                <w:b/>
                <w:bCs/>
                <w:szCs w:val="20"/>
              </w:rPr>
              <w:t>-4 095,8</w:t>
            </w:r>
          </w:p>
        </w:tc>
        <w:tc>
          <w:tcPr>
            <w:tcW w:w="1134" w:type="dxa"/>
            <w:tcBorders>
              <w:top w:val="nil"/>
              <w:left w:val="nil"/>
              <w:bottom w:val="single" w:sz="4" w:space="0" w:color="auto"/>
              <w:right w:val="single" w:sz="4" w:space="0" w:color="auto"/>
            </w:tcBorders>
            <w:shd w:val="clear" w:color="auto" w:fill="auto"/>
            <w:noWrap/>
            <w:vAlign w:val="center"/>
          </w:tcPr>
          <w:p w14:paraId="4169FD4E" w14:textId="1F5B0DE6"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rPr>
              <w:t>-2 548,5</w:t>
            </w:r>
          </w:p>
        </w:tc>
        <w:tc>
          <w:tcPr>
            <w:tcW w:w="1075" w:type="dxa"/>
            <w:tcBorders>
              <w:top w:val="nil"/>
              <w:left w:val="nil"/>
              <w:bottom w:val="single" w:sz="4" w:space="0" w:color="auto"/>
              <w:right w:val="single" w:sz="4" w:space="0" w:color="auto"/>
            </w:tcBorders>
            <w:shd w:val="clear" w:color="auto" w:fill="auto"/>
            <w:noWrap/>
            <w:vAlign w:val="center"/>
          </w:tcPr>
          <w:p w14:paraId="1A278024" w14:textId="0566BB8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62,2</w:t>
            </w:r>
          </w:p>
        </w:tc>
        <w:tc>
          <w:tcPr>
            <w:tcW w:w="1103" w:type="dxa"/>
            <w:tcBorders>
              <w:top w:val="nil"/>
              <w:left w:val="nil"/>
              <w:bottom w:val="single" w:sz="4" w:space="0" w:color="auto"/>
              <w:right w:val="single" w:sz="4" w:space="0" w:color="auto"/>
            </w:tcBorders>
            <w:shd w:val="clear" w:color="auto" w:fill="auto"/>
            <w:noWrap/>
            <w:vAlign w:val="center"/>
          </w:tcPr>
          <w:p w14:paraId="786BA0A5" w14:textId="1F04D217"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6DFC08CE" w:rsidR="00794A5E" w:rsidRPr="007007A3" w:rsidRDefault="00794A5E" w:rsidP="00794A5E">
            <w:pPr>
              <w:spacing w:before="120" w:after="120"/>
              <w:jc w:val="right"/>
              <w:rPr>
                <w:rFonts w:ascii="Times New Roman" w:hAnsi="Times New Roman" w:cs="Times New Roman"/>
                <w:b/>
                <w:bCs/>
                <w:sz w:val="20"/>
                <w:szCs w:val="20"/>
              </w:rPr>
            </w:pPr>
            <w:r w:rsidRPr="00DD3303">
              <w:rPr>
                <w:rFonts w:ascii="Garamond" w:hAnsi="Garamond"/>
                <w:b/>
                <w:bCs/>
                <w:szCs w:val="20"/>
              </w:rPr>
              <w:t>-2 800,9</w:t>
            </w:r>
          </w:p>
        </w:tc>
        <w:tc>
          <w:tcPr>
            <w:tcW w:w="1159" w:type="dxa"/>
            <w:tcBorders>
              <w:top w:val="nil"/>
              <w:left w:val="nil"/>
              <w:bottom w:val="single" w:sz="4" w:space="0" w:color="auto"/>
              <w:right w:val="single" w:sz="4" w:space="0" w:color="auto"/>
            </w:tcBorders>
            <w:shd w:val="clear" w:color="auto" w:fill="auto"/>
            <w:noWrap/>
            <w:vAlign w:val="center"/>
          </w:tcPr>
          <w:p w14:paraId="6F96D6B4" w14:textId="61BA5E30"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67,9</w:t>
            </w:r>
          </w:p>
        </w:tc>
        <w:tc>
          <w:tcPr>
            <w:tcW w:w="1113" w:type="dxa"/>
            <w:tcBorders>
              <w:top w:val="nil"/>
              <w:left w:val="nil"/>
              <w:bottom w:val="single" w:sz="4" w:space="0" w:color="auto"/>
              <w:right w:val="single" w:sz="4" w:space="0" w:color="auto"/>
            </w:tcBorders>
            <w:shd w:val="clear" w:color="auto" w:fill="auto"/>
            <w:noWrap/>
            <w:vAlign w:val="center"/>
          </w:tcPr>
          <w:p w14:paraId="08B7BC04" w14:textId="639DD5B7"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109,9</w:t>
            </w:r>
          </w:p>
        </w:tc>
      </w:tr>
      <w:tr w:rsidR="00794A5E" w:rsidRPr="003D514A" w14:paraId="54A89CE6"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A9DE151" w14:textId="20031025"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38 038,2</w:t>
            </w:r>
          </w:p>
        </w:tc>
        <w:tc>
          <w:tcPr>
            <w:tcW w:w="1134" w:type="dxa"/>
            <w:tcBorders>
              <w:top w:val="nil"/>
              <w:left w:val="nil"/>
              <w:bottom w:val="single" w:sz="4" w:space="0" w:color="auto"/>
              <w:right w:val="single" w:sz="4" w:space="0" w:color="auto"/>
            </w:tcBorders>
            <w:shd w:val="clear" w:color="auto" w:fill="auto"/>
            <w:noWrap/>
            <w:vAlign w:val="center"/>
          </w:tcPr>
          <w:p w14:paraId="35D99CF8" w14:textId="003E255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15 349,2</w:t>
            </w:r>
          </w:p>
        </w:tc>
        <w:tc>
          <w:tcPr>
            <w:tcW w:w="1075" w:type="dxa"/>
            <w:tcBorders>
              <w:top w:val="nil"/>
              <w:left w:val="nil"/>
              <w:bottom w:val="single" w:sz="4" w:space="0" w:color="auto"/>
              <w:right w:val="single" w:sz="4" w:space="0" w:color="auto"/>
            </w:tcBorders>
            <w:shd w:val="clear" w:color="auto" w:fill="auto"/>
            <w:noWrap/>
            <w:vAlign w:val="center"/>
          </w:tcPr>
          <w:p w14:paraId="7867A6F0" w14:textId="1B44D8A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40,4</w:t>
            </w:r>
          </w:p>
        </w:tc>
        <w:tc>
          <w:tcPr>
            <w:tcW w:w="1103" w:type="dxa"/>
            <w:tcBorders>
              <w:top w:val="nil"/>
              <w:left w:val="nil"/>
              <w:bottom w:val="single" w:sz="4" w:space="0" w:color="auto"/>
              <w:right w:val="single" w:sz="4" w:space="0" w:color="auto"/>
            </w:tcBorders>
            <w:shd w:val="clear" w:color="auto" w:fill="auto"/>
            <w:noWrap/>
            <w:vAlign w:val="center"/>
          </w:tcPr>
          <w:p w14:paraId="3B7C4504" w14:textId="53CBD00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52525651"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16 067,7</w:t>
            </w:r>
          </w:p>
        </w:tc>
        <w:tc>
          <w:tcPr>
            <w:tcW w:w="1159" w:type="dxa"/>
            <w:tcBorders>
              <w:top w:val="nil"/>
              <w:left w:val="nil"/>
              <w:bottom w:val="single" w:sz="4" w:space="0" w:color="auto"/>
              <w:right w:val="single" w:sz="4" w:space="0" w:color="auto"/>
            </w:tcBorders>
            <w:shd w:val="clear" w:color="auto" w:fill="auto"/>
            <w:noWrap/>
            <w:vAlign w:val="center"/>
          </w:tcPr>
          <w:p w14:paraId="5BE38AAD" w14:textId="41CD8F7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41,5</w:t>
            </w:r>
          </w:p>
        </w:tc>
        <w:tc>
          <w:tcPr>
            <w:tcW w:w="1113" w:type="dxa"/>
            <w:tcBorders>
              <w:top w:val="nil"/>
              <w:left w:val="nil"/>
              <w:bottom w:val="single" w:sz="4" w:space="0" w:color="auto"/>
              <w:right w:val="single" w:sz="4" w:space="0" w:color="auto"/>
            </w:tcBorders>
            <w:shd w:val="clear" w:color="auto" w:fill="auto"/>
            <w:noWrap/>
            <w:vAlign w:val="center"/>
          </w:tcPr>
          <w:p w14:paraId="434BF952" w14:textId="487F990E"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104,7</w:t>
            </w:r>
          </w:p>
        </w:tc>
      </w:tr>
      <w:tr w:rsidR="00794A5E" w:rsidRPr="0096527E" w14:paraId="7BAEDA41" w14:textId="77777777" w:rsidTr="0A24B9C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794A5E" w:rsidRPr="00602E3C" w:rsidRDefault="00794A5E" w:rsidP="00794A5E">
            <w:pPr>
              <w:keepNext/>
              <w:keepLines/>
              <w:spacing w:before="120" w:after="120"/>
              <w:jc w:val="right"/>
              <w:rPr>
                <w:rFonts w:ascii="Times New Roman" w:hAnsi="Times New Roman" w:cs="Times New Roman"/>
                <w:sz w:val="20"/>
                <w:szCs w:val="20"/>
              </w:rPr>
            </w:pPr>
            <w:r w:rsidRPr="6E235B12">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59AFD40D" w14:textId="6C473C71" w:rsidR="00794A5E" w:rsidRPr="007007A3" w:rsidRDefault="00794A5E" w:rsidP="00794A5E">
            <w:pPr>
              <w:spacing w:before="120" w:after="120"/>
              <w:jc w:val="right"/>
              <w:rPr>
                <w:rFonts w:ascii="Times New Roman" w:hAnsi="Times New Roman" w:cs="Times New Roman"/>
                <w:sz w:val="20"/>
                <w:szCs w:val="20"/>
              </w:rPr>
            </w:pPr>
            <w:r w:rsidRPr="008A35B8">
              <w:rPr>
                <w:rFonts w:ascii="Garamond" w:hAnsi="Garamond"/>
                <w:szCs w:val="20"/>
              </w:rPr>
              <w:t>42 134,0</w:t>
            </w:r>
          </w:p>
        </w:tc>
        <w:tc>
          <w:tcPr>
            <w:tcW w:w="1134" w:type="dxa"/>
            <w:tcBorders>
              <w:top w:val="nil"/>
              <w:left w:val="nil"/>
              <w:bottom w:val="single" w:sz="4" w:space="0" w:color="auto"/>
              <w:right w:val="single" w:sz="4" w:space="0" w:color="auto"/>
            </w:tcBorders>
            <w:shd w:val="clear" w:color="auto" w:fill="auto"/>
            <w:noWrap/>
            <w:vAlign w:val="center"/>
          </w:tcPr>
          <w:p w14:paraId="4966DA4D" w14:textId="4587FFE9"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rPr>
              <w:t>17 897,7</w:t>
            </w:r>
          </w:p>
        </w:tc>
        <w:tc>
          <w:tcPr>
            <w:tcW w:w="1075" w:type="dxa"/>
            <w:tcBorders>
              <w:top w:val="nil"/>
              <w:left w:val="nil"/>
              <w:bottom w:val="single" w:sz="4" w:space="0" w:color="auto"/>
              <w:right w:val="single" w:sz="4" w:space="0" w:color="auto"/>
            </w:tcBorders>
            <w:shd w:val="clear" w:color="auto" w:fill="auto"/>
            <w:noWrap/>
            <w:vAlign w:val="center"/>
          </w:tcPr>
          <w:p w14:paraId="09D1A52D" w14:textId="553F5353"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42,5</w:t>
            </w:r>
          </w:p>
        </w:tc>
        <w:tc>
          <w:tcPr>
            <w:tcW w:w="1103" w:type="dxa"/>
            <w:tcBorders>
              <w:top w:val="nil"/>
              <w:left w:val="nil"/>
              <w:bottom w:val="single" w:sz="4" w:space="0" w:color="auto"/>
              <w:right w:val="single" w:sz="4" w:space="0" w:color="auto"/>
            </w:tcBorders>
            <w:shd w:val="clear" w:color="auto" w:fill="auto"/>
            <w:noWrap/>
            <w:vAlign w:val="center"/>
          </w:tcPr>
          <w:p w14:paraId="4ABA63B9" w14:textId="547EC0AC"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5F821DAF"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18 868,7</w:t>
            </w:r>
          </w:p>
        </w:tc>
        <w:tc>
          <w:tcPr>
            <w:tcW w:w="1159" w:type="dxa"/>
            <w:tcBorders>
              <w:top w:val="nil"/>
              <w:left w:val="nil"/>
              <w:bottom w:val="single" w:sz="4" w:space="0" w:color="auto"/>
              <w:right w:val="single" w:sz="4" w:space="0" w:color="auto"/>
            </w:tcBorders>
            <w:shd w:val="clear" w:color="auto" w:fill="auto"/>
            <w:noWrap/>
            <w:vAlign w:val="center"/>
          </w:tcPr>
          <w:p w14:paraId="22DBE23B" w14:textId="77DCFBB5"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44,0</w:t>
            </w:r>
          </w:p>
        </w:tc>
        <w:tc>
          <w:tcPr>
            <w:tcW w:w="1113" w:type="dxa"/>
            <w:tcBorders>
              <w:top w:val="nil"/>
              <w:left w:val="nil"/>
              <w:bottom w:val="single" w:sz="4" w:space="0" w:color="auto"/>
              <w:right w:val="single" w:sz="4" w:space="0" w:color="auto"/>
            </w:tcBorders>
            <w:shd w:val="clear" w:color="auto" w:fill="auto"/>
            <w:noWrap/>
            <w:vAlign w:val="center"/>
          </w:tcPr>
          <w:p w14:paraId="6882C43A" w14:textId="726E72EC" w:rsidR="00794A5E" w:rsidRPr="007007A3" w:rsidRDefault="00794A5E" w:rsidP="00794A5E">
            <w:pPr>
              <w:spacing w:before="120" w:after="120"/>
              <w:jc w:val="right"/>
              <w:rPr>
                <w:rFonts w:ascii="Times New Roman" w:hAnsi="Times New Roman" w:cs="Times New Roman"/>
                <w:sz w:val="20"/>
                <w:szCs w:val="20"/>
              </w:rPr>
            </w:pPr>
            <w:r w:rsidRPr="00DD3303">
              <w:rPr>
                <w:rFonts w:ascii="Garamond" w:hAnsi="Garamond"/>
                <w:szCs w:val="20"/>
              </w:rPr>
              <w:t>105,4</w:t>
            </w:r>
          </w:p>
        </w:tc>
      </w:tr>
    </w:tbl>
    <w:p w14:paraId="651BA2DD" w14:textId="77777777" w:rsidR="005171E0" w:rsidRDefault="005171E0" w:rsidP="00794A5E">
      <w:pPr>
        <w:jc w:val="both"/>
        <w:rPr>
          <w:rFonts w:ascii="Times New Roman" w:eastAsia="Times New Roman" w:hAnsi="Times New Roman" w:cs="Times New Roman"/>
          <w:sz w:val="26"/>
          <w:szCs w:val="26"/>
          <w:lang w:eastAsia="hu-HU"/>
        </w:rPr>
      </w:pPr>
    </w:p>
    <w:p w14:paraId="6530C941" w14:textId="77777777" w:rsidR="00794A5E" w:rsidRDefault="00794A5E" w:rsidP="00794A5E">
      <w:pPr>
        <w:jc w:val="both"/>
        <w:rPr>
          <w:rFonts w:ascii="Times New Roman" w:eastAsia="Times New Roman" w:hAnsi="Times New Roman" w:cs="Times New Roman"/>
          <w:sz w:val="26"/>
          <w:szCs w:val="26"/>
          <w:lang w:eastAsia="hu-HU"/>
        </w:rPr>
      </w:pPr>
    </w:p>
    <w:p w14:paraId="47665E44" w14:textId="77777777" w:rsidR="00794A5E" w:rsidRPr="00377D59" w:rsidRDefault="00794A5E" w:rsidP="00794A5E">
      <w:pPr>
        <w:keepNext/>
        <w:spacing w:line="240" w:lineRule="auto"/>
        <w:ind w:left="425" w:hanging="425"/>
        <w:jc w:val="center"/>
        <w:outlineLvl w:val="3"/>
        <w:rPr>
          <w:rFonts w:ascii="Times New Roman" w:eastAsia="Times New Roman" w:hAnsi="Times New Roman" w:cs="Times New Roman"/>
          <w:b/>
          <w:bCs/>
          <w:caps/>
          <w:sz w:val="26"/>
          <w:szCs w:val="26"/>
          <w:lang w:eastAsia="hu-HU"/>
        </w:rPr>
      </w:pPr>
      <w:r w:rsidRPr="32158470">
        <w:rPr>
          <w:rFonts w:ascii="Times New Roman" w:eastAsia="Times New Roman" w:hAnsi="Times New Roman" w:cs="Times New Roman"/>
          <w:b/>
          <w:bCs/>
          <w:caps/>
          <w:sz w:val="26"/>
          <w:szCs w:val="26"/>
          <w:lang w:eastAsia="hu-HU"/>
        </w:rPr>
        <w:t>Az államháztartás központi alrendszerének HIÁNYA</w:t>
      </w:r>
    </w:p>
    <w:p w14:paraId="48257848" w14:textId="2A0206F2" w:rsidR="00794A5E" w:rsidRPr="00794A5E" w:rsidRDefault="00794A5E" w:rsidP="00794A5E">
      <w:pPr>
        <w:jc w:val="both"/>
        <w:rPr>
          <w:rFonts w:ascii="Times New Roman" w:eastAsia="Times New Roman" w:hAnsi="Times New Roman" w:cs="Times New Roman"/>
          <w:color w:val="000000" w:themeColor="text1"/>
          <w:sz w:val="26"/>
          <w:szCs w:val="26"/>
          <w:lang w:eastAsia="hu-HU"/>
        </w:rPr>
      </w:pPr>
      <w:r w:rsidRPr="00794A5E">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3,7%-os ESA-hiányhoz tartozó pénzforgalmi hiánya 4</w:t>
      </w:r>
      <w:r>
        <w:rPr>
          <w:rFonts w:ascii="Times New Roman" w:eastAsia="Times New Roman" w:hAnsi="Times New Roman" w:cs="Times New Roman"/>
          <w:color w:val="000000" w:themeColor="text1"/>
          <w:sz w:val="26"/>
          <w:szCs w:val="26"/>
          <w:lang w:eastAsia="hu-HU"/>
        </w:rPr>
        <w:t> </w:t>
      </w:r>
      <w:r w:rsidRPr="00794A5E">
        <w:rPr>
          <w:rFonts w:ascii="Times New Roman" w:eastAsia="Times New Roman" w:hAnsi="Times New Roman" w:cs="Times New Roman"/>
          <w:color w:val="000000" w:themeColor="text1"/>
          <w:sz w:val="26"/>
          <w:szCs w:val="26"/>
          <w:lang w:eastAsia="hu-HU"/>
        </w:rPr>
        <w:t>123,0 milliárd forint.</w:t>
      </w:r>
    </w:p>
    <w:p w14:paraId="60844057" w14:textId="379C5C15" w:rsidR="00794A5E" w:rsidRPr="00794A5E" w:rsidRDefault="00794A5E" w:rsidP="00794A5E">
      <w:pPr>
        <w:jc w:val="both"/>
        <w:rPr>
          <w:rFonts w:ascii="Times New Roman" w:eastAsia="Times New Roman" w:hAnsi="Times New Roman" w:cs="Times New Roman"/>
          <w:color w:val="000000" w:themeColor="text1"/>
          <w:sz w:val="26"/>
          <w:szCs w:val="26"/>
          <w:lang w:eastAsia="hu-HU"/>
        </w:rPr>
      </w:pPr>
      <w:r w:rsidRPr="00794A5E">
        <w:rPr>
          <w:rFonts w:ascii="Times New Roman" w:eastAsia="Times New Roman" w:hAnsi="Times New Roman" w:cs="Times New Roman"/>
          <w:color w:val="000000" w:themeColor="text1"/>
          <w:sz w:val="26"/>
          <w:szCs w:val="26"/>
          <w:lang w:eastAsia="hu-HU"/>
        </w:rPr>
        <w:t>A 4,1%-os módosított hiánycélhoz tartozó várható éves pénzforgalmi hiány ugyanakkor 4</w:t>
      </w:r>
      <w:r>
        <w:rPr>
          <w:rFonts w:ascii="Times New Roman" w:eastAsia="Times New Roman" w:hAnsi="Times New Roman" w:cs="Times New Roman"/>
          <w:color w:val="000000" w:themeColor="text1"/>
          <w:sz w:val="26"/>
          <w:szCs w:val="26"/>
          <w:lang w:eastAsia="hu-HU"/>
        </w:rPr>
        <w:t> </w:t>
      </w:r>
      <w:r w:rsidRPr="00794A5E">
        <w:rPr>
          <w:rFonts w:ascii="Times New Roman" w:eastAsia="Times New Roman" w:hAnsi="Times New Roman" w:cs="Times New Roman"/>
          <w:color w:val="000000" w:themeColor="text1"/>
          <w:sz w:val="26"/>
          <w:szCs w:val="26"/>
          <w:lang w:eastAsia="hu-HU"/>
        </w:rPr>
        <w:t>774,0 milliárd forint. A május végi központi alrendszer hiánya (2</w:t>
      </w:r>
      <w:r>
        <w:rPr>
          <w:rFonts w:ascii="Times New Roman" w:eastAsia="Times New Roman" w:hAnsi="Times New Roman" w:cs="Times New Roman"/>
          <w:color w:val="000000" w:themeColor="text1"/>
          <w:sz w:val="26"/>
          <w:szCs w:val="26"/>
          <w:lang w:eastAsia="hu-HU"/>
        </w:rPr>
        <w:t> </w:t>
      </w:r>
      <w:r w:rsidRPr="00794A5E">
        <w:rPr>
          <w:rFonts w:ascii="Times New Roman" w:eastAsia="Times New Roman" w:hAnsi="Times New Roman" w:cs="Times New Roman"/>
          <w:color w:val="000000" w:themeColor="text1"/>
          <w:sz w:val="26"/>
          <w:szCs w:val="26"/>
          <w:lang w:eastAsia="hu-HU"/>
        </w:rPr>
        <w:t>800,9 milliárd forint) ennek 58,7%-a.</w:t>
      </w:r>
    </w:p>
    <w:p w14:paraId="1A0A9898" w14:textId="77777777" w:rsidR="00794A5E" w:rsidRDefault="00794A5E" w:rsidP="00794A5E">
      <w:pPr>
        <w:jc w:val="both"/>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6E235B12" w:rsidP="6E235B12">
      <w:pPr>
        <w:spacing w:after="120" w:line="240" w:lineRule="auto"/>
        <w:jc w:val="center"/>
        <w:rPr>
          <w:rFonts w:ascii="Times New Roman" w:eastAsia="Times New Roman" w:hAnsi="Times New Roman" w:cs="Times New Roman"/>
          <w:b/>
          <w:bCs/>
          <w:sz w:val="26"/>
          <w:szCs w:val="26"/>
          <w:lang w:eastAsia="hu-HU"/>
        </w:rPr>
      </w:pPr>
      <w:r w:rsidRPr="6E235B12">
        <w:rPr>
          <w:rFonts w:ascii="Times New Roman" w:eastAsia="Times New Roman" w:hAnsi="Times New Roman" w:cs="Times New Roman"/>
          <w:b/>
          <w:bCs/>
          <w:sz w:val="26"/>
          <w:szCs w:val="26"/>
          <w:lang w:eastAsia="hu-HU"/>
        </w:rPr>
        <w:t>I.</w:t>
      </w:r>
    </w:p>
    <w:p w14:paraId="7B768A94" w14:textId="77777777" w:rsidR="00B155FE" w:rsidRPr="00377D59" w:rsidRDefault="6E235B12" w:rsidP="6E235B12">
      <w:pPr>
        <w:keepNext/>
        <w:spacing w:after="120" w:line="240" w:lineRule="auto"/>
        <w:jc w:val="center"/>
        <w:outlineLvl w:val="1"/>
        <w:rPr>
          <w:rFonts w:ascii="Times New Roman" w:eastAsia="Times New Roman" w:hAnsi="Times New Roman" w:cs="Times New Roman"/>
          <w:b/>
          <w:bCs/>
          <w:caps/>
          <w:sz w:val="26"/>
          <w:szCs w:val="26"/>
          <w:lang w:eastAsia="hu-HU"/>
        </w:rPr>
      </w:pPr>
      <w:r w:rsidRPr="6E235B12">
        <w:rPr>
          <w:rFonts w:ascii="Times New Roman" w:eastAsia="Times New Roman" w:hAnsi="Times New Roman" w:cs="Times New Roman"/>
          <w:b/>
          <w:bCs/>
          <w:caps/>
          <w:sz w:val="26"/>
          <w:szCs w:val="26"/>
          <w:lang w:eastAsia="hu-HU"/>
        </w:rPr>
        <w:t xml:space="preserve">A központi alrendszer pénzügyi folyamatainak </w:t>
      </w:r>
      <w:r w:rsidR="0C85BE5D">
        <w:br/>
      </w:r>
      <w:r w:rsidRPr="6E235B12">
        <w:rPr>
          <w:rFonts w:ascii="Times New Roman" w:eastAsia="Times New Roman" w:hAnsi="Times New Roman" w:cs="Times New Roman"/>
          <w:b/>
          <w:bCs/>
          <w:caps/>
          <w:sz w:val="26"/>
          <w:szCs w:val="26"/>
          <w:lang w:eastAsia="hu-HU"/>
        </w:rPr>
        <w:t>alakulása</w:t>
      </w:r>
    </w:p>
    <w:p w14:paraId="6D461365" w14:textId="08DC9FC2" w:rsidR="0004032B" w:rsidRPr="00377D59" w:rsidRDefault="6E235B12" w:rsidP="6E235B1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6E235B12">
        <w:rPr>
          <w:rFonts w:ascii="Times New Roman" w:eastAsia="Times New Roman" w:hAnsi="Times New Roman" w:cs="Times New Roman"/>
          <w:b/>
          <w:bCs/>
          <w:smallCaps/>
          <w:sz w:val="28"/>
          <w:szCs w:val="28"/>
          <w:lang w:eastAsia="hu-HU"/>
        </w:rPr>
        <w:t>A főbb bevételek</w:t>
      </w:r>
    </w:p>
    <w:p w14:paraId="7330A56D" w14:textId="10A8825D" w:rsidR="00731A13" w:rsidRDefault="6E235B12" w:rsidP="6E235B12">
      <w:pPr>
        <w:jc w:val="both"/>
        <w:rPr>
          <w:rFonts w:ascii="Times New Roman" w:eastAsia="Times New Roman" w:hAnsi="Times New Roman" w:cs="Times New Roman"/>
          <w:b/>
          <w:bCs/>
          <w:sz w:val="26"/>
          <w:szCs w:val="26"/>
        </w:rPr>
      </w:pPr>
      <w:r w:rsidRPr="6E235B12">
        <w:rPr>
          <w:rFonts w:ascii="Times New Roman" w:eastAsia="Times New Roman" w:hAnsi="Times New Roman" w:cs="Times New Roman"/>
          <w:b/>
          <w:bCs/>
          <w:sz w:val="26"/>
          <w:szCs w:val="26"/>
        </w:rPr>
        <w:t xml:space="preserve">A központi alrendszer </w:t>
      </w:r>
      <w:r w:rsidR="00433577" w:rsidRPr="00433577">
        <w:rPr>
          <w:rFonts w:ascii="Times New Roman" w:eastAsia="Times New Roman" w:hAnsi="Times New Roman" w:cs="Times New Roman"/>
          <w:b/>
          <w:bCs/>
          <w:sz w:val="26"/>
          <w:szCs w:val="26"/>
        </w:rPr>
        <w:t>május végi 16</w:t>
      </w:r>
      <w:r w:rsidR="00433577">
        <w:rPr>
          <w:rFonts w:ascii="Times New Roman" w:eastAsia="Times New Roman" w:hAnsi="Times New Roman" w:cs="Times New Roman"/>
          <w:b/>
          <w:bCs/>
          <w:sz w:val="26"/>
          <w:szCs w:val="26"/>
        </w:rPr>
        <w:t xml:space="preserve"> </w:t>
      </w:r>
      <w:r w:rsidR="00433577" w:rsidRPr="00433577">
        <w:rPr>
          <w:rFonts w:ascii="Times New Roman" w:eastAsia="Times New Roman" w:hAnsi="Times New Roman" w:cs="Times New Roman"/>
          <w:b/>
          <w:bCs/>
          <w:sz w:val="26"/>
          <w:szCs w:val="26"/>
        </w:rPr>
        <w:t>067,7 milliárd forint összegű bevételei az előző év azonos időszakához képest 718,5 milliárd forinttal, 4,7%-kal magasabb összegben alakultak.</w:t>
      </w:r>
    </w:p>
    <w:p w14:paraId="6BBE59DE" w14:textId="3AABF7B2" w:rsidR="00CF551C" w:rsidRDefault="004C0575" w:rsidP="00C11940">
      <w:pPr>
        <w:pStyle w:val="NormlWeb"/>
        <w:spacing w:before="0" w:beforeAutospacing="0" w:after="120" w:afterAutospacing="0"/>
        <w:jc w:val="center"/>
      </w:pPr>
      <w:r>
        <w:rPr>
          <w:noProof/>
        </w:rPr>
        <w:drawing>
          <wp:inline distT="0" distB="0" distL="0" distR="0" wp14:anchorId="724A48FE" wp14:editId="37950E2D">
            <wp:extent cx="5940425" cy="2437130"/>
            <wp:effectExtent l="0" t="0" r="3175" b="1270"/>
            <wp:docPr id="551759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599" name=""/>
                    <pic:cNvPicPr/>
                  </pic:nvPicPr>
                  <pic:blipFill>
                    <a:blip r:embed="rId14"/>
                    <a:stretch>
                      <a:fillRect/>
                    </a:stretch>
                  </pic:blipFill>
                  <pic:spPr>
                    <a:xfrm>
                      <a:off x="0" y="0"/>
                      <a:ext cx="5940425" cy="2437130"/>
                    </a:xfrm>
                    <a:prstGeom prst="rect">
                      <a:avLst/>
                    </a:prstGeom>
                  </pic:spPr>
                </pic:pic>
              </a:graphicData>
            </a:graphic>
          </wp:inline>
        </w:drawing>
      </w:r>
    </w:p>
    <w:p w14:paraId="73F0CF7A" w14:textId="26A89CC2" w:rsidR="006330AD" w:rsidRPr="006330AD" w:rsidRDefault="006330AD" w:rsidP="001D42E6">
      <w:pPr>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
          <w:bCs/>
          <w:sz w:val="26"/>
          <w:szCs w:val="20"/>
          <w:lang w:eastAsia="hu-HU"/>
        </w:rPr>
        <w:t xml:space="preserve">Társasági adó </w:t>
      </w:r>
      <w:r w:rsidRPr="006330AD">
        <w:rPr>
          <w:rFonts w:ascii="Times New Roman" w:eastAsia="Times New Roman" w:hAnsi="Times New Roman" w:cs="Times New Roman"/>
          <w:sz w:val="26"/>
          <w:szCs w:val="20"/>
          <w:lang w:eastAsia="hu-HU"/>
        </w:rPr>
        <w:t>jogcímen a 2025.</w:t>
      </w:r>
      <w:r w:rsidR="00E60EB9">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év első öt hónapjában 521,1 milliárd forint realizálódott, amely az előző év egyenlegétől 126,9 milliárd forinttal maradt el. A bázisévhez viszonyítva az eltérés egyik tényezője, hogy a bevallás benyújtási határideje technikailag áthúzódott a következő hónapra, másik tényezője pedig az egyedi és eltérő üzleti éves adózók elszámolásához köthető befizetések.</w:t>
      </w:r>
    </w:p>
    <w:p w14:paraId="78547E24" w14:textId="048C814F" w:rsidR="006330AD" w:rsidRPr="006330AD" w:rsidRDefault="006330AD" w:rsidP="001D42E6">
      <w:pPr>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Cs/>
          <w:sz w:val="26"/>
          <w:szCs w:val="20"/>
          <w:lang w:eastAsia="hu-HU"/>
        </w:rPr>
        <w:t>A</w:t>
      </w:r>
      <w:r w:rsidRPr="006330AD">
        <w:rPr>
          <w:rFonts w:ascii="Times New Roman" w:eastAsia="Times New Roman" w:hAnsi="Times New Roman" w:cs="Times New Roman"/>
          <w:b/>
          <w:bCs/>
          <w:sz w:val="26"/>
          <w:szCs w:val="20"/>
          <w:lang w:eastAsia="hu-HU"/>
        </w:rPr>
        <w:t xml:space="preserve"> pénzügyi szervezetek befizetései</w:t>
      </w:r>
      <w:r w:rsidRPr="006330AD">
        <w:rPr>
          <w:rFonts w:ascii="Times New Roman" w:eastAsia="Times New Roman" w:hAnsi="Times New Roman" w:cs="Times New Roman"/>
          <w:sz w:val="26"/>
          <w:szCs w:val="20"/>
          <w:lang w:eastAsia="hu-HU"/>
        </w:rPr>
        <w:t xml:space="preserve"> mérlegsoron a 2025.</w:t>
      </w:r>
      <w:r w:rsidR="00E60EB9">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év első öt hónapjában 35,1 milliárd forint teljesült, amely az előző év egyenlegét 4,6 milliárd forinttal haladja meg. Ennek oka az előírt magasabb előlegkötelezettségek.</w:t>
      </w:r>
    </w:p>
    <w:p w14:paraId="5C7830F9" w14:textId="77777777" w:rsidR="006330AD" w:rsidRPr="006330AD" w:rsidRDefault="006330AD" w:rsidP="001D42E6">
      <w:pPr>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Cs/>
          <w:sz w:val="26"/>
          <w:szCs w:val="20"/>
          <w:lang w:eastAsia="hu-HU"/>
        </w:rPr>
        <w:t>A</w:t>
      </w:r>
      <w:r w:rsidRPr="006330AD">
        <w:rPr>
          <w:rFonts w:ascii="Times New Roman" w:eastAsia="Times New Roman" w:hAnsi="Times New Roman" w:cs="Times New Roman"/>
          <w:b/>
          <w:bCs/>
          <w:sz w:val="26"/>
          <w:szCs w:val="20"/>
          <w:lang w:eastAsia="hu-HU"/>
        </w:rPr>
        <w:t xml:space="preserve"> kisadózók tételes adójából</w:t>
      </w:r>
      <w:r w:rsidRPr="006330AD">
        <w:rPr>
          <w:rFonts w:ascii="Times New Roman" w:eastAsia="Times New Roman" w:hAnsi="Times New Roman" w:cs="Times New Roman"/>
          <w:sz w:val="26"/>
          <w:szCs w:val="20"/>
          <w:lang w:eastAsia="hu-HU"/>
        </w:rPr>
        <w:t xml:space="preserve"> 2025 első öt hónapjában a költségvetésnek 29,0 milliárd forint bevétele keletkezett, amely 1,2 milliárd forinttal több az egy évvel korábbinál. Ennek oka az adónemet választók magasabb létszáma.</w:t>
      </w:r>
    </w:p>
    <w:p w14:paraId="0CB7A4DD" w14:textId="169693C0" w:rsidR="007342E3" w:rsidRPr="006330AD" w:rsidRDefault="006330AD" w:rsidP="001D42E6">
      <w:pPr>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Cs/>
          <w:sz w:val="26"/>
          <w:szCs w:val="20"/>
          <w:lang w:eastAsia="hu-HU"/>
        </w:rPr>
        <w:t>A</w:t>
      </w:r>
      <w:r w:rsidRPr="006330AD">
        <w:rPr>
          <w:rFonts w:ascii="Times New Roman" w:eastAsia="Times New Roman" w:hAnsi="Times New Roman" w:cs="Times New Roman"/>
          <w:b/>
          <w:bCs/>
          <w:sz w:val="26"/>
          <w:szCs w:val="20"/>
          <w:lang w:eastAsia="hu-HU"/>
        </w:rPr>
        <w:t xml:space="preserve"> kisvállalati adóból</w:t>
      </w:r>
      <w:r w:rsidRPr="006330AD">
        <w:rPr>
          <w:rFonts w:ascii="Times New Roman" w:eastAsia="Times New Roman" w:hAnsi="Times New Roman" w:cs="Times New Roman"/>
          <w:sz w:val="26"/>
          <w:szCs w:val="20"/>
          <w:lang w:eastAsia="hu-HU"/>
        </w:rPr>
        <w:t xml:space="preserve"> származó bevétel a 2025. év első öt hónapjában 100,5 milliárd forint volt, amely 8,3</w:t>
      </w:r>
      <w:r w:rsidR="005824F1">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milliárd forinttal magasabb az előző év egyenlegénél. Ennek oka az adóalanyok számának jelentős mértékű bővülése. 2025</w:t>
      </w:r>
      <w:r w:rsidR="005824F1">
        <w:rPr>
          <w:rFonts w:ascii="Times New Roman" w:eastAsia="Times New Roman" w:hAnsi="Times New Roman" w:cs="Times New Roman"/>
          <w:sz w:val="26"/>
          <w:szCs w:val="20"/>
          <w:lang w:eastAsia="hu-HU"/>
        </w:rPr>
        <w:t xml:space="preserve"> </w:t>
      </w:r>
      <w:r w:rsidRPr="006330AD">
        <w:rPr>
          <w:rFonts w:ascii="Times New Roman" w:eastAsia="Times New Roman" w:hAnsi="Times New Roman" w:cs="Times New Roman"/>
          <w:sz w:val="26"/>
          <w:szCs w:val="20"/>
          <w:lang w:eastAsia="hu-HU"/>
        </w:rPr>
        <w:t>május</w:t>
      </w:r>
      <w:r w:rsidR="005824F1">
        <w:rPr>
          <w:rFonts w:ascii="Times New Roman" w:eastAsia="Times New Roman" w:hAnsi="Times New Roman" w:cs="Times New Roman"/>
          <w:sz w:val="26"/>
          <w:szCs w:val="20"/>
          <w:lang w:eastAsia="hu-HU"/>
        </w:rPr>
        <w:t>á</w:t>
      </w:r>
      <w:r w:rsidRPr="006330AD">
        <w:rPr>
          <w:rFonts w:ascii="Times New Roman" w:eastAsia="Times New Roman" w:hAnsi="Times New Roman" w:cs="Times New Roman"/>
          <w:sz w:val="26"/>
          <w:szCs w:val="20"/>
          <w:lang w:eastAsia="hu-HU"/>
        </w:rPr>
        <w:t>ban a KIVA alanyok száma 98,4</w:t>
      </w:r>
      <w:r w:rsidR="005824F1">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ezer</w:t>
      </w:r>
      <w:r w:rsidR="005824F1">
        <w:rPr>
          <w:rFonts w:ascii="Times New Roman" w:eastAsia="Times New Roman" w:hAnsi="Times New Roman" w:cs="Times New Roman"/>
          <w:sz w:val="26"/>
          <w:szCs w:val="20"/>
          <w:lang w:eastAsia="hu-HU"/>
        </w:rPr>
        <w:t xml:space="preserve"> volt</w:t>
      </w:r>
      <w:r w:rsidRPr="006330AD">
        <w:rPr>
          <w:rFonts w:ascii="Times New Roman" w:eastAsia="Times New Roman" w:hAnsi="Times New Roman" w:cs="Times New Roman"/>
          <w:sz w:val="26"/>
          <w:szCs w:val="20"/>
          <w:lang w:eastAsia="hu-HU"/>
        </w:rPr>
        <w:t>.</w:t>
      </w:r>
    </w:p>
    <w:p w14:paraId="05A0FCFD" w14:textId="3A251439" w:rsidR="00640595" w:rsidRDefault="0A24B9C4" w:rsidP="001D42E6">
      <w:pPr>
        <w:jc w:val="both"/>
        <w:rPr>
          <w:rFonts w:ascii="Times New Roman" w:eastAsia="Times New Roman" w:hAnsi="Times New Roman" w:cs="Times New Roman"/>
          <w:sz w:val="26"/>
          <w:szCs w:val="26"/>
        </w:rPr>
      </w:pPr>
      <w:r w:rsidRPr="0A24B9C4">
        <w:rPr>
          <w:rFonts w:ascii="Times New Roman" w:eastAsia="Times New Roman" w:hAnsi="Times New Roman" w:cs="Times New Roman"/>
          <w:sz w:val="26"/>
          <w:szCs w:val="26"/>
        </w:rPr>
        <w:t xml:space="preserve">A </w:t>
      </w:r>
      <w:r w:rsidRPr="0A24B9C4">
        <w:rPr>
          <w:rFonts w:ascii="Times New Roman" w:eastAsia="Times New Roman" w:hAnsi="Times New Roman" w:cs="Times New Roman"/>
          <w:b/>
          <w:bCs/>
          <w:sz w:val="26"/>
          <w:szCs w:val="26"/>
        </w:rPr>
        <w:t>bányajáradék-bevétel</w:t>
      </w:r>
      <w:r w:rsidRPr="0A24B9C4">
        <w:rPr>
          <w:rFonts w:ascii="Times New Roman" w:eastAsia="Times New Roman" w:hAnsi="Times New Roman" w:cs="Times New Roman"/>
          <w:sz w:val="26"/>
          <w:szCs w:val="26"/>
        </w:rPr>
        <w:t xml:space="preserve"> 2025</w:t>
      </w:r>
      <w:r w:rsidR="00BE055D">
        <w:rPr>
          <w:rFonts w:ascii="Times New Roman" w:eastAsia="Times New Roman" w:hAnsi="Times New Roman" w:cs="Times New Roman"/>
          <w:sz w:val="26"/>
          <w:szCs w:val="26"/>
        </w:rPr>
        <w:t xml:space="preserve"> </w:t>
      </w:r>
      <w:r w:rsidRPr="0A24B9C4">
        <w:rPr>
          <w:rFonts w:ascii="Times New Roman" w:eastAsia="Times New Roman" w:hAnsi="Times New Roman" w:cs="Times New Roman"/>
          <w:sz w:val="26"/>
          <w:szCs w:val="26"/>
        </w:rPr>
        <w:t>első öt hónapjában 54,2</w:t>
      </w:r>
      <w:r w:rsidR="005824F1">
        <w:rPr>
          <w:rFonts w:ascii="Times New Roman" w:eastAsia="Times New Roman" w:hAnsi="Times New Roman" w:cs="Times New Roman"/>
          <w:sz w:val="26"/>
          <w:szCs w:val="26"/>
        </w:rPr>
        <w:t> </w:t>
      </w:r>
      <w:r w:rsidRPr="0A24B9C4">
        <w:rPr>
          <w:rFonts w:ascii="Times New Roman" w:eastAsia="Times New Roman" w:hAnsi="Times New Roman" w:cs="Times New Roman"/>
          <w:sz w:val="26"/>
          <w:szCs w:val="26"/>
        </w:rPr>
        <w:t>milliárd forint</w:t>
      </w:r>
      <w:r w:rsidR="005824F1">
        <w:rPr>
          <w:rFonts w:ascii="Times New Roman" w:eastAsia="Times New Roman" w:hAnsi="Times New Roman" w:cs="Times New Roman"/>
          <w:sz w:val="26"/>
          <w:szCs w:val="26"/>
        </w:rPr>
        <w:t> </w:t>
      </w:r>
      <w:r w:rsidRPr="0A24B9C4">
        <w:rPr>
          <w:rFonts w:ascii="Times New Roman" w:eastAsia="Times New Roman" w:hAnsi="Times New Roman" w:cs="Times New Roman"/>
          <w:sz w:val="26"/>
          <w:szCs w:val="26"/>
        </w:rPr>
        <w:t xml:space="preserve">volt, amely </w:t>
      </w:r>
      <w:r w:rsidRPr="00A36579">
        <w:rPr>
          <w:rFonts w:ascii="Times New Roman" w:eastAsia="Times New Roman" w:hAnsi="Times New Roman" w:cs="Times New Roman"/>
          <w:sz w:val="26"/>
          <w:szCs w:val="26"/>
        </w:rPr>
        <w:t>7,</w:t>
      </w:r>
      <w:r w:rsidR="00A36579" w:rsidRPr="00A36579">
        <w:rPr>
          <w:rFonts w:ascii="Times New Roman" w:eastAsia="Times New Roman" w:hAnsi="Times New Roman" w:cs="Times New Roman"/>
          <w:sz w:val="26"/>
          <w:szCs w:val="26"/>
        </w:rPr>
        <w:t>6</w:t>
      </w:r>
      <w:r w:rsidRPr="00A36579">
        <w:rPr>
          <w:rFonts w:ascii="Times New Roman" w:eastAsia="Times New Roman" w:hAnsi="Times New Roman" w:cs="Times New Roman"/>
          <w:sz w:val="26"/>
          <w:szCs w:val="26"/>
        </w:rPr>
        <w:t xml:space="preserve"> milliárd forinttal teljesült magasabban az előző év azonos időszakához képest, amelynek </w:t>
      </w:r>
      <w:r w:rsidRPr="0A24B9C4">
        <w:rPr>
          <w:rFonts w:ascii="Times New Roman" w:eastAsia="Times New Roman" w:hAnsi="Times New Roman" w:cs="Times New Roman"/>
          <w:sz w:val="26"/>
          <w:szCs w:val="26"/>
        </w:rPr>
        <w:t>fő oka a bányajáradék számításához kapcsolódó makroparaméterek (olajár, gázár, árfolyamok) változása.</w:t>
      </w:r>
    </w:p>
    <w:p w14:paraId="5322C39E" w14:textId="7A627198" w:rsidR="72AFD5C4" w:rsidRPr="00377D59" w:rsidRDefault="6E235B12" w:rsidP="001D42E6">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lastRenderedPageBreak/>
        <w:t xml:space="preserve">Az </w:t>
      </w:r>
      <w:r w:rsidRPr="6E235B12">
        <w:rPr>
          <w:rFonts w:ascii="Times New Roman" w:eastAsia="Times New Roman" w:hAnsi="Times New Roman" w:cs="Times New Roman"/>
          <w:b/>
          <w:bCs/>
          <w:sz w:val="26"/>
          <w:szCs w:val="26"/>
        </w:rPr>
        <w:t>útdíjakból származó bevétel</w:t>
      </w:r>
      <w:r w:rsidRPr="6E235B12">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májusáig 265,0 milliárd forint bevétel teljesült, amely 14,1 milliárd forinttal magasabb az előző év azonos időszakához viszonyítva. A magasabb teljesülést alapvetően a forgalmi viszonyok, valamint a díjrendszereket érintő jogszabályi keretek változása okozza.</w:t>
      </w:r>
    </w:p>
    <w:p w14:paraId="685BE235" w14:textId="2E54DB0F" w:rsidR="008A66DB" w:rsidRDefault="0A24B9C4" w:rsidP="001D42E6">
      <w:pPr>
        <w:jc w:val="both"/>
        <w:rPr>
          <w:rFonts w:ascii="Times New Roman" w:eastAsia="Times New Roman" w:hAnsi="Times New Roman" w:cs="Times New Roman"/>
          <w:sz w:val="26"/>
          <w:szCs w:val="26"/>
        </w:rPr>
      </w:pPr>
      <w:r w:rsidRPr="0A24B9C4">
        <w:rPr>
          <w:rFonts w:ascii="Times New Roman" w:eastAsia="Times New Roman" w:hAnsi="Times New Roman" w:cs="Times New Roman"/>
          <w:b/>
          <w:bCs/>
          <w:sz w:val="26"/>
          <w:szCs w:val="26"/>
        </w:rPr>
        <w:t xml:space="preserve">Egyéb központosított bevételekből </w:t>
      </w:r>
      <w:r w:rsidRPr="0A24B9C4">
        <w:rPr>
          <w:rFonts w:ascii="Times New Roman" w:eastAsia="Times New Roman" w:hAnsi="Times New Roman" w:cs="Times New Roman"/>
          <w:sz w:val="26"/>
          <w:szCs w:val="26"/>
        </w:rPr>
        <w:t>az év első öt hónapjában 73,2 milliárd forint bevétel teljesült, amely a törvényi előirányzat 40,3%-ának felel meg. Ezen belül kiemelkedő a bírságbevételekből befolyt 40,1 milliárd forint.</w:t>
      </w:r>
    </w:p>
    <w:p w14:paraId="67200E5E" w14:textId="62CDA95B" w:rsidR="006330AD" w:rsidRPr="006330AD" w:rsidRDefault="006330AD" w:rsidP="001D42E6">
      <w:pPr>
        <w:jc w:val="both"/>
        <w:rPr>
          <w:rFonts w:ascii="Times New Roman" w:eastAsia="Times New Roman" w:hAnsi="Times New Roman" w:cs="Times New Roman"/>
          <w:b/>
          <w:sz w:val="26"/>
          <w:szCs w:val="20"/>
          <w:lang w:eastAsia="hu-HU"/>
        </w:rPr>
      </w:pPr>
      <w:r w:rsidRPr="006330AD">
        <w:rPr>
          <w:rFonts w:ascii="Times New Roman" w:eastAsia="Times New Roman" w:hAnsi="Times New Roman" w:cs="Times New Roman"/>
          <w:sz w:val="26"/>
          <w:szCs w:val="20"/>
          <w:lang w:eastAsia="hu-HU"/>
        </w:rPr>
        <w:t>Az</w:t>
      </w:r>
      <w:r w:rsidRPr="006330AD">
        <w:rPr>
          <w:rFonts w:ascii="Times New Roman" w:eastAsia="Times New Roman" w:hAnsi="Times New Roman" w:cs="Times New Roman"/>
          <w:b/>
          <w:sz w:val="26"/>
          <w:szCs w:val="20"/>
          <w:lang w:eastAsia="hu-HU"/>
        </w:rPr>
        <w:t xml:space="preserve"> energia ágazat befizetései </w:t>
      </w:r>
      <w:r w:rsidRPr="006330AD">
        <w:rPr>
          <w:rFonts w:ascii="Times New Roman" w:eastAsia="Times New Roman" w:hAnsi="Times New Roman" w:cs="Times New Roman"/>
          <w:sz w:val="26"/>
          <w:szCs w:val="20"/>
          <w:lang w:eastAsia="hu-HU"/>
        </w:rPr>
        <w:t xml:space="preserve">jogcímen </w:t>
      </w:r>
      <w:r w:rsidR="00BC6D2B">
        <w:rPr>
          <w:rFonts w:ascii="Times New Roman" w:eastAsia="Times New Roman" w:hAnsi="Times New Roman" w:cs="Times New Roman"/>
          <w:sz w:val="26"/>
          <w:szCs w:val="20"/>
          <w:lang w:eastAsia="hu-HU"/>
        </w:rPr>
        <w:t xml:space="preserve">a </w:t>
      </w:r>
      <w:r w:rsidRPr="006330AD">
        <w:rPr>
          <w:rFonts w:ascii="Times New Roman" w:eastAsia="Times New Roman" w:hAnsi="Times New Roman" w:cs="Times New Roman"/>
          <w:sz w:val="26"/>
          <w:szCs w:val="20"/>
          <w:lang w:eastAsia="hu-HU"/>
        </w:rPr>
        <w:t>2025. év első öt hónapjában 90,4 milliárd forint pénzforgalom teljesült, amely az előző év egyenlegétől 85,3 milliárd forinttal maradt el. A bázisévhez viszonyított eltérés egyik oka a bevallás benyújtási határidejének a következő hónapra történő technikai áthúzódása, másrészt az Ural-Brent spread különadó al</w:t>
      </w:r>
      <w:r w:rsidR="00BC6D2B">
        <w:rPr>
          <w:rFonts w:ascii="Times New Roman" w:eastAsia="Times New Roman" w:hAnsi="Times New Roman" w:cs="Times New Roman"/>
          <w:sz w:val="26"/>
          <w:szCs w:val="20"/>
          <w:lang w:eastAsia="hu-HU"/>
        </w:rPr>
        <w:t>acsonyabb mértékű</w:t>
      </w:r>
      <w:r w:rsidRPr="006330AD">
        <w:rPr>
          <w:rFonts w:ascii="Times New Roman" w:eastAsia="Times New Roman" w:hAnsi="Times New Roman" w:cs="Times New Roman"/>
          <w:sz w:val="26"/>
          <w:szCs w:val="20"/>
          <w:lang w:eastAsia="hu-HU"/>
        </w:rPr>
        <w:t xml:space="preserve"> teljesüléséhez köthető.</w:t>
      </w:r>
    </w:p>
    <w:p w14:paraId="53D42A1A" w14:textId="63E216AA" w:rsidR="006330AD" w:rsidRPr="006330AD" w:rsidRDefault="006330AD" w:rsidP="001D42E6">
      <w:pPr>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
          <w:sz w:val="26"/>
          <w:szCs w:val="20"/>
          <w:lang w:eastAsia="hu-HU"/>
        </w:rPr>
        <w:t>K</w:t>
      </w:r>
      <w:r w:rsidRPr="006330AD">
        <w:rPr>
          <w:rFonts w:ascii="Times New Roman" w:eastAsia="Times New Roman" w:hAnsi="Times New Roman" w:cs="Times New Roman"/>
          <w:b/>
          <w:bCs/>
          <w:sz w:val="26"/>
          <w:szCs w:val="20"/>
          <w:lang w:eastAsia="hu-HU"/>
        </w:rPr>
        <w:t xml:space="preserve">iskereskedelmi adó </w:t>
      </w:r>
      <w:r w:rsidRPr="006330AD">
        <w:rPr>
          <w:rFonts w:ascii="Times New Roman" w:eastAsia="Times New Roman" w:hAnsi="Times New Roman" w:cs="Times New Roman"/>
          <w:sz w:val="26"/>
          <w:szCs w:val="20"/>
          <w:lang w:eastAsia="hu-HU"/>
        </w:rPr>
        <w:t>jogcímen a 2025. év első öt hónapjában 15,3 milliárd forint bevétel teljesült, amely a 2024. évi egyenlegénél 14,7 milliárd forinttal kevesebb. A bevételek alakulásának hátterében alapvetően a 2024. adóévi kiskereskedelmi adókötelezettség határidejének eltolódása áll</w:t>
      </w:r>
      <w:r w:rsidR="00B46352">
        <w:rPr>
          <w:rFonts w:ascii="Times New Roman" w:eastAsia="Times New Roman" w:hAnsi="Times New Roman" w:cs="Times New Roman"/>
          <w:sz w:val="26"/>
          <w:szCs w:val="20"/>
          <w:lang w:eastAsia="hu-HU"/>
        </w:rPr>
        <w:t>,</w:t>
      </w:r>
      <w:r w:rsidRPr="006330AD">
        <w:rPr>
          <w:rFonts w:ascii="Times New Roman" w:eastAsia="Times New Roman" w:hAnsi="Times New Roman" w:cs="Times New Roman"/>
          <w:sz w:val="26"/>
          <w:szCs w:val="20"/>
          <w:lang w:eastAsia="hu-HU"/>
        </w:rPr>
        <w:t xml:space="preserve"> a főszabály szerinti fizetési határidő munkaszüneti napra esett, így a fizetési kötelezettségnek a következő munkanapon kellett eleget tenni.</w:t>
      </w:r>
    </w:p>
    <w:p w14:paraId="0D601CA3" w14:textId="6AD82F99" w:rsidR="006330AD" w:rsidRPr="006330AD" w:rsidRDefault="006330AD" w:rsidP="001D42E6">
      <w:pPr>
        <w:jc w:val="both"/>
        <w:rPr>
          <w:rFonts w:ascii="Times New Roman" w:eastAsia="Times New Roman" w:hAnsi="Times New Roman" w:cs="Times New Roman"/>
          <w:b/>
          <w:sz w:val="26"/>
          <w:szCs w:val="20"/>
          <w:lang w:eastAsia="hu-HU"/>
        </w:rPr>
      </w:pPr>
      <w:r w:rsidRPr="006330AD">
        <w:rPr>
          <w:rFonts w:ascii="Times New Roman" w:eastAsia="Times New Roman" w:hAnsi="Times New Roman" w:cs="Times New Roman"/>
          <w:b/>
          <w:sz w:val="26"/>
          <w:szCs w:val="20"/>
          <w:lang w:eastAsia="hu-HU"/>
        </w:rPr>
        <w:t xml:space="preserve">Gyógyszergyártói adó </w:t>
      </w:r>
      <w:r w:rsidRPr="006330AD">
        <w:rPr>
          <w:rFonts w:ascii="Times New Roman" w:eastAsia="Times New Roman" w:hAnsi="Times New Roman" w:cs="Times New Roman"/>
          <w:sz w:val="26"/>
          <w:szCs w:val="20"/>
          <w:lang w:eastAsia="hu-HU"/>
        </w:rPr>
        <w:t xml:space="preserve">jogcímen </w:t>
      </w:r>
      <w:r w:rsidR="00B46352">
        <w:rPr>
          <w:rFonts w:ascii="Times New Roman" w:eastAsia="Times New Roman" w:hAnsi="Times New Roman" w:cs="Times New Roman"/>
          <w:sz w:val="26"/>
          <w:szCs w:val="20"/>
          <w:lang w:eastAsia="hu-HU"/>
        </w:rPr>
        <w:t xml:space="preserve">a </w:t>
      </w:r>
      <w:r w:rsidRPr="006330AD">
        <w:rPr>
          <w:rFonts w:ascii="Times New Roman" w:eastAsia="Times New Roman" w:hAnsi="Times New Roman" w:cs="Times New Roman"/>
          <w:sz w:val="26"/>
          <w:szCs w:val="20"/>
          <w:lang w:eastAsia="hu-HU"/>
        </w:rPr>
        <w:t xml:space="preserve">2025. év első öt hónapjában 0,5 milliárd forint pénzforgalom teljesült, amely 12,4 milliárd forinttal maradt el az előző év azonos időszakához képest. Ennek oka, hogy az eltérő üzleti éves adózói kör már az előző évben megfizette a 2024. évi adókötelezettségét. Az adónem </w:t>
      </w:r>
      <w:r w:rsidR="00BC6D2B">
        <w:rPr>
          <w:rFonts w:ascii="Times New Roman" w:eastAsia="Times New Roman" w:hAnsi="Times New Roman" w:cs="Times New Roman"/>
          <w:sz w:val="26"/>
          <w:szCs w:val="20"/>
          <w:lang w:eastAsia="hu-HU"/>
        </w:rPr>
        <w:t xml:space="preserve">a </w:t>
      </w:r>
      <w:r w:rsidRPr="006330AD">
        <w:rPr>
          <w:rFonts w:ascii="Times New Roman" w:eastAsia="Times New Roman" w:hAnsi="Times New Roman" w:cs="Times New Roman"/>
          <w:sz w:val="26"/>
          <w:szCs w:val="20"/>
          <w:lang w:eastAsia="hu-HU"/>
        </w:rPr>
        <w:t>2025. évben megszűnt.</w:t>
      </w:r>
    </w:p>
    <w:p w14:paraId="3B374FFD" w14:textId="77777777" w:rsidR="006330AD" w:rsidRPr="006330AD" w:rsidRDefault="006330AD" w:rsidP="001D42E6">
      <w:pPr>
        <w:widowControl w:val="0"/>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sz w:val="26"/>
          <w:szCs w:val="20"/>
          <w:lang w:eastAsia="hu-HU"/>
        </w:rPr>
        <w:t xml:space="preserve">A </w:t>
      </w:r>
      <w:r w:rsidRPr="006330AD">
        <w:rPr>
          <w:rFonts w:ascii="Times New Roman" w:eastAsia="Times New Roman" w:hAnsi="Times New Roman" w:cs="Times New Roman"/>
          <w:b/>
          <w:bCs/>
          <w:sz w:val="26"/>
          <w:szCs w:val="20"/>
          <w:lang w:eastAsia="hu-HU"/>
        </w:rPr>
        <w:t xml:space="preserve">rehabilitációs hozzájárulásból </w:t>
      </w:r>
      <w:r w:rsidRPr="006330AD">
        <w:rPr>
          <w:rFonts w:ascii="Times New Roman" w:eastAsia="Times New Roman" w:hAnsi="Times New Roman" w:cs="Times New Roman"/>
          <w:bCs/>
          <w:sz w:val="26"/>
          <w:szCs w:val="20"/>
          <w:lang w:eastAsia="hu-HU"/>
        </w:rPr>
        <w:t>származó bevétel az év első öt hónapjában</w:t>
      </w:r>
      <w:r w:rsidRPr="006330AD">
        <w:rPr>
          <w:rFonts w:ascii="Times New Roman" w:eastAsia="Times New Roman" w:hAnsi="Times New Roman" w:cs="Times New Roman"/>
          <w:sz w:val="26"/>
          <w:szCs w:val="20"/>
          <w:lang w:eastAsia="hu-HU"/>
        </w:rPr>
        <w:t xml:space="preserve"> 96,4 milliárd forint volt, amely 9,2 milliárd forinttal magasabb az egy évvel korábbi összegnél. Ennek oka a minimálbérnek, így az adó mértékének az emelkedése.</w:t>
      </w:r>
    </w:p>
    <w:p w14:paraId="54046E48" w14:textId="77777777" w:rsidR="006330AD" w:rsidRPr="006330AD" w:rsidRDefault="006330AD" w:rsidP="001D42E6">
      <w:pPr>
        <w:widowControl w:val="0"/>
        <w:tabs>
          <w:tab w:val="left" w:pos="3105"/>
        </w:tabs>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sz w:val="26"/>
          <w:szCs w:val="20"/>
          <w:lang w:eastAsia="hu-HU"/>
        </w:rPr>
        <w:t xml:space="preserve">Az év első öt hónapjában az </w:t>
      </w:r>
      <w:r w:rsidRPr="006330AD">
        <w:rPr>
          <w:rFonts w:ascii="Times New Roman" w:eastAsia="Times New Roman" w:hAnsi="Times New Roman" w:cs="Times New Roman"/>
          <w:b/>
          <w:bCs/>
          <w:sz w:val="26"/>
          <w:szCs w:val="20"/>
          <w:lang w:eastAsia="hu-HU"/>
        </w:rPr>
        <w:t>általános forgalmi adóból</w:t>
      </w:r>
      <w:r w:rsidRPr="006330AD">
        <w:rPr>
          <w:rFonts w:ascii="Times New Roman" w:eastAsia="Times New Roman" w:hAnsi="Times New Roman" w:cs="Times New Roman"/>
          <w:sz w:val="26"/>
          <w:szCs w:val="20"/>
          <w:lang w:eastAsia="hu-HU"/>
        </w:rPr>
        <w:t xml:space="preserve"> 3 311,0</w:t>
      </w:r>
      <w:r w:rsidRPr="006330AD">
        <w:rPr>
          <w:rFonts w:ascii="Times New Roman" w:eastAsia="Times New Roman" w:hAnsi="Times New Roman" w:cs="Times New Roman"/>
          <w:color w:val="000000"/>
          <w:sz w:val="26"/>
          <w:szCs w:val="20"/>
          <w:lang w:eastAsia="hu-HU"/>
        </w:rPr>
        <w:t> </w:t>
      </w:r>
      <w:r w:rsidRPr="006330AD">
        <w:rPr>
          <w:rFonts w:ascii="Times New Roman" w:eastAsia="Times New Roman" w:hAnsi="Times New Roman" w:cs="Times New Roman"/>
          <w:sz w:val="26"/>
          <w:szCs w:val="20"/>
          <w:lang w:eastAsia="hu-HU"/>
        </w:rPr>
        <w:t>milliárd forint bevétele keletkezett a költségvetésnek, ami az egy évvel korábbi bevételt 460,9</w:t>
      </w:r>
      <w:r w:rsidRPr="006330AD">
        <w:rPr>
          <w:rFonts w:ascii="Times New Roman" w:eastAsia="Times New Roman" w:hAnsi="Times New Roman" w:cs="Times New Roman"/>
          <w:color w:val="000000"/>
          <w:sz w:val="26"/>
          <w:szCs w:val="20"/>
          <w:lang w:eastAsia="hu-HU"/>
        </w:rPr>
        <w:t> </w:t>
      </w:r>
      <w:r w:rsidRPr="006330AD">
        <w:rPr>
          <w:rFonts w:ascii="Times New Roman" w:eastAsia="Times New Roman" w:hAnsi="Times New Roman" w:cs="Times New Roman"/>
          <w:sz w:val="26"/>
          <w:szCs w:val="20"/>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6330AD" w:rsidRPr="006330AD" w14:paraId="4A3B2433" w14:textId="77777777" w:rsidTr="006330AD">
        <w:trPr>
          <w:trHeight w:val="255"/>
          <w:jc w:val="center"/>
        </w:trPr>
        <w:tc>
          <w:tcPr>
            <w:tcW w:w="6905" w:type="dxa"/>
            <w:gridSpan w:val="5"/>
            <w:tcBorders>
              <w:top w:val="nil"/>
              <w:left w:val="nil"/>
              <w:bottom w:val="nil"/>
              <w:right w:val="nil"/>
            </w:tcBorders>
            <w:shd w:val="clear" w:color="auto" w:fill="auto"/>
            <w:noWrap/>
            <w:vAlign w:val="bottom"/>
            <w:hideMark/>
          </w:tcPr>
          <w:p w14:paraId="0A2F0E10" w14:textId="77777777" w:rsidR="006330AD" w:rsidRPr="006330AD" w:rsidRDefault="006330AD" w:rsidP="002A2FAB">
            <w:pPr>
              <w:widowControl w:val="0"/>
              <w:spacing w:before="120"/>
              <w:jc w:val="center"/>
              <w:rPr>
                <w:rFonts w:ascii="Times New Roman" w:eastAsia="Times New Roman" w:hAnsi="Times New Roman" w:cs="Times New Roman"/>
                <w:b/>
                <w:bCs/>
                <w:lang w:eastAsia="hu-HU"/>
              </w:rPr>
            </w:pPr>
            <w:r w:rsidRPr="006330AD">
              <w:rPr>
                <w:rFonts w:ascii="Times New Roman" w:eastAsia="Times New Roman" w:hAnsi="Times New Roman" w:cs="Times New Roman"/>
                <w:b/>
                <w:bCs/>
                <w:lang w:eastAsia="hu-HU"/>
              </w:rPr>
              <w:t xml:space="preserve">Általános forgalmi adó bevétel alakulása (milliárd forint) </w:t>
            </w:r>
          </w:p>
        </w:tc>
      </w:tr>
      <w:tr w:rsidR="006330AD" w:rsidRPr="006330AD" w14:paraId="4E52EBDB" w14:textId="77777777" w:rsidTr="00C91648">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9E88EB2"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B71828"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2024.</w:t>
            </w:r>
          </w:p>
          <w:p w14:paraId="10269A0A" w14:textId="06569045"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I-V.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F02D80"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2025.</w:t>
            </w:r>
          </w:p>
          <w:p w14:paraId="200E665D" w14:textId="79343062"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I-V.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79AF9C"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Eltérés</w:t>
            </w:r>
          </w:p>
        </w:tc>
      </w:tr>
      <w:tr w:rsidR="006330AD" w:rsidRPr="006330AD" w14:paraId="79C68897" w14:textId="77777777" w:rsidTr="00C91648">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2F17E2" w14:textId="77777777" w:rsidR="006330AD" w:rsidRPr="006330AD" w:rsidRDefault="006330AD" w:rsidP="002A2FAB">
            <w:pPr>
              <w:spacing w:after="0"/>
              <w:rPr>
                <w:rFonts w:ascii="Times New Roman" w:hAnsi="Times New Roman" w:cs="Times New Roman"/>
                <w:b/>
                <w:bCs/>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B42572" w14:textId="77777777" w:rsidR="006330AD" w:rsidRPr="006330AD" w:rsidRDefault="006330AD" w:rsidP="002A2FAB">
            <w:pPr>
              <w:spacing w:after="0"/>
              <w:rPr>
                <w:rFonts w:ascii="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0D7947" w14:textId="77777777" w:rsidR="006330AD" w:rsidRPr="006330AD" w:rsidRDefault="006330AD" w:rsidP="002A2FAB">
            <w:pPr>
              <w:spacing w:after="0"/>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8F28418"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AC24464"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w:t>
            </w:r>
          </w:p>
        </w:tc>
      </w:tr>
      <w:tr w:rsidR="006330AD" w:rsidRPr="006330AD" w14:paraId="5AC06A71" w14:textId="77777777" w:rsidTr="002A2FA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0802"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1801"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5 261,5</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D20D"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5 618,2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27F2"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356,7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4460E"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106,8</w:t>
            </w:r>
          </w:p>
        </w:tc>
      </w:tr>
      <w:tr w:rsidR="006330AD" w:rsidRPr="006330AD" w14:paraId="1DC96302" w14:textId="77777777" w:rsidTr="002A2FA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4559"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2812"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2 411,4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B11FC"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2 307,2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DA30D"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-104,2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ED89"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95,7</w:t>
            </w:r>
          </w:p>
        </w:tc>
      </w:tr>
      <w:tr w:rsidR="006330AD" w:rsidRPr="006330AD" w14:paraId="58A250D3" w14:textId="77777777" w:rsidTr="002A2FA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0D15" w14:textId="77777777" w:rsidR="006330AD" w:rsidRPr="006330AD" w:rsidRDefault="006330AD" w:rsidP="002A2FAB">
            <w:pPr>
              <w:spacing w:after="0"/>
              <w:rPr>
                <w:rFonts w:ascii="Times New Roman" w:hAnsi="Times New Roman" w:cs="Times New Roman"/>
                <w:b/>
                <w:bCs/>
              </w:rPr>
            </w:pPr>
            <w:r w:rsidRPr="006330AD">
              <w:rPr>
                <w:rFonts w:ascii="Times New Roman" w:hAnsi="Times New Roman" w:cs="Times New Roman"/>
                <w:b/>
                <w:bCs/>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AB1CC"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2 850,1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3D0C7"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3 311,0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D2AD3"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460,9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B3E6"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116,2</w:t>
            </w:r>
          </w:p>
        </w:tc>
      </w:tr>
    </w:tbl>
    <w:p w14:paraId="412B550A" w14:textId="2434C74A" w:rsidR="00C91648" w:rsidRDefault="006330AD" w:rsidP="0024232D">
      <w:pPr>
        <w:spacing w:before="240"/>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sz w:val="26"/>
          <w:szCs w:val="20"/>
          <w:lang w:eastAsia="hu-HU"/>
        </w:rPr>
        <w:t>A belföldi befizetések és az import utáni áfabevétel növeked</w:t>
      </w:r>
      <w:r w:rsidR="00C91648">
        <w:rPr>
          <w:rFonts w:ascii="Times New Roman" w:eastAsia="Times New Roman" w:hAnsi="Times New Roman" w:cs="Times New Roman"/>
          <w:sz w:val="26"/>
          <w:szCs w:val="20"/>
          <w:lang w:eastAsia="hu-HU"/>
        </w:rPr>
        <w:t>ett</w:t>
      </w:r>
      <w:r w:rsidRPr="006330AD">
        <w:rPr>
          <w:rFonts w:ascii="Times New Roman" w:eastAsia="Times New Roman" w:hAnsi="Times New Roman" w:cs="Times New Roman"/>
          <w:sz w:val="26"/>
          <w:szCs w:val="20"/>
          <w:lang w:eastAsia="hu-HU"/>
        </w:rPr>
        <w:t>, ugyanakkor a dohány</w:t>
      </w:r>
      <w:r w:rsidR="00C91648">
        <w:rPr>
          <w:rFonts w:ascii="Times New Roman" w:eastAsia="Times New Roman" w:hAnsi="Times New Roman" w:cs="Times New Roman"/>
          <w:sz w:val="26"/>
          <w:szCs w:val="20"/>
          <w:lang w:eastAsia="hu-HU"/>
        </w:rPr>
        <w:t>-</w:t>
      </w:r>
      <w:r w:rsidRPr="006330AD">
        <w:rPr>
          <w:rFonts w:ascii="Times New Roman" w:eastAsia="Times New Roman" w:hAnsi="Times New Roman" w:cs="Times New Roman"/>
          <w:sz w:val="26"/>
          <w:szCs w:val="20"/>
          <w:lang w:eastAsia="hu-HU"/>
        </w:rPr>
        <w:t xml:space="preserve">termékek utáni áfabevétel csökkent. A belföldi befizetések növekedése elsősorban a kereskedelem ágazathoz köthető. Az import utáni befizetések növekedése hátterében a </w:t>
      </w:r>
      <w:r w:rsidRPr="006330AD">
        <w:rPr>
          <w:rFonts w:ascii="Times New Roman" w:eastAsia="Times New Roman" w:hAnsi="Times New Roman" w:cs="Times New Roman"/>
          <w:sz w:val="26"/>
          <w:szCs w:val="20"/>
          <w:lang w:eastAsia="hu-HU"/>
        </w:rPr>
        <w:lastRenderedPageBreak/>
        <w:t>forgalom alakulása áll. A dohánytermékek utáni bevételek alacsonyabb teljesülését a 2025.</w:t>
      </w:r>
      <w:r w:rsidR="00C91648">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januári jövedéki adómérték-emelésre adott piaci reakció, a készletezési hatás magyarázza. A kiutalások alakulását a köztes ágazatok befizetése befolyásolja.</w:t>
      </w:r>
    </w:p>
    <w:p w14:paraId="6BE93CF3" w14:textId="77777777" w:rsidR="00024158" w:rsidRPr="006330AD" w:rsidRDefault="00024158" w:rsidP="00024158">
      <w:pPr>
        <w:spacing w:after="0"/>
        <w:jc w:val="both"/>
        <w:rPr>
          <w:rFonts w:ascii="Times New Roman" w:eastAsia="Times New Roman" w:hAnsi="Times New Roman" w:cs="Times New Roman"/>
          <w:sz w:val="26"/>
          <w:szCs w:val="20"/>
          <w:lang w:eastAsia="hu-HU"/>
        </w:rPr>
      </w:pPr>
    </w:p>
    <w:p w14:paraId="6A4419C7" w14:textId="30F31C32" w:rsidR="00CF551C" w:rsidRPr="00945E04" w:rsidRDefault="004C0575" w:rsidP="004C0575">
      <w:pPr>
        <w:pStyle w:val="NormlWeb"/>
        <w:spacing w:before="0" w:beforeAutospacing="0" w:after="0" w:afterAutospacing="0"/>
        <w:jc w:val="center"/>
        <w:rPr>
          <w:sz w:val="22"/>
        </w:rPr>
      </w:pPr>
      <w:r>
        <w:rPr>
          <w:noProof/>
        </w:rPr>
        <w:drawing>
          <wp:inline distT="0" distB="0" distL="0" distR="0" wp14:anchorId="798D7D7B" wp14:editId="79F281DB">
            <wp:extent cx="5052804" cy="3196425"/>
            <wp:effectExtent l="0" t="0" r="0" b="4445"/>
            <wp:docPr id="48168215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82151" name=""/>
                    <pic:cNvPicPr/>
                  </pic:nvPicPr>
                  <pic:blipFill rotWithShape="1">
                    <a:blip r:embed="rId15"/>
                    <a:srcRect b="7776"/>
                    <a:stretch/>
                  </pic:blipFill>
                  <pic:spPr bwMode="auto">
                    <a:xfrm>
                      <a:off x="0" y="0"/>
                      <a:ext cx="5077106" cy="3211798"/>
                    </a:xfrm>
                    <a:prstGeom prst="rect">
                      <a:avLst/>
                    </a:prstGeom>
                    <a:ln>
                      <a:noFill/>
                    </a:ln>
                    <a:extLst>
                      <a:ext uri="{53640926-AAD7-44D8-BBD7-CCE9431645EC}">
                        <a14:shadowObscured xmlns:a14="http://schemas.microsoft.com/office/drawing/2010/main"/>
                      </a:ext>
                    </a:extLst>
                  </pic:spPr>
                </pic:pic>
              </a:graphicData>
            </a:graphic>
          </wp:inline>
        </w:drawing>
      </w:r>
    </w:p>
    <w:p w14:paraId="61352CF0" w14:textId="63E2E808" w:rsidR="006330AD" w:rsidRPr="006330AD" w:rsidRDefault="006330AD" w:rsidP="0024232D">
      <w:pPr>
        <w:spacing w:before="240"/>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sz w:val="26"/>
          <w:szCs w:val="20"/>
          <w:lang w:eastAsia="hu-HU"/>
        </w:rPr>
        <w:t xml:space="preserve">A </w:t>
      </w:r>
      <w:r w:rsidRPr="006330AD">
        <w:rPr>
          <w:rFonts w:ascii="Times New Roman" w:eastAsia="Times New Roman" w:hAnsi="Times New Roman" w:cs="Times New Roman"/>
          <w:b/>
          <w:sz w:val="26"/>
          <w:szCs w:val="20"/>
          <w:lang w:eastAsia="hu-HU"/>
        </w:rPr>
        <w:t>jövedéki adóból</w:t>
      </w:r>
      <w:r w:rsidRPr="006330AD">
        <w:rPr>
          <w:rFonts w:ascii="Times New Roman" w:eastAsia="Times New Roman" w:hAnsi="Times New Roman" w:cs="Times New Roman"/>
          <w:sz w:val="26"/>
          <w:szCs w:val="20"/>
          <w:lang w:eastAsia="hu-HU"/>
        </w:rPr>
        <w:t xml:space="preserve"> származó bevétel a 2025. év első öt hónapjában 613,8</w:t>
      </w:r>
      <w:r w:rsidRPr="006330AD">
        <w:rPr>
          <w:rFonts w:ascii="Times New Roman" w:eastAsia="Times New Roman" w:hAnsi="Times New Roman" w:cs="Times New Roman"/>
          <w:color w:val="000000"/>
          <w:sz w:val="26"/>
          <w:szCs w:val="20"/>
          <w:lang w:eastAsia="hu-HU"/>
        </w:rPr>
        <w:t> </w:t>
      </w:r>
      <w:r w:rsidRPr="006330AD">
        <w:rPr>
          <w:rFonts w:ascii="Times New Roman" w:eastAsia="Times New Roman" w:hAnsi="Times New Roman" w:cs="Times New Roman"/>
          <w:sz w:val="26"/>
          <w:szCs w:val="20"/>
          <w:lang w:eastAsia="hu-HU"/>
        </w:rPr>
        <w:t>milliárd forintot tett ki, amely 7,8 milliárd forinttal magasabb az egy évvel korábbi bevételnél. Az</w:t>
      </w:r>
      <w:r w:rsidR="004C0575">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üzemanyagok utáni bevételek növekedését a 2025. január 1-</w:t>
      </w:r>
      <w:r w:rsidR="0024232D">
        <w:rPr>
          <w:rFonts w:ascii="Times New Roman" w:eastAsia="Times New Roman" w:hAnsi="Times New Roman" w:cs="Times New Roman"/>
          <w:sz w:val="26"/>
          <w:szCs w:val="20"/>
          <w:lang w:eastAsia="hu-HU"/>
        </w:rPr>
        <w:t>jé</w:t>
      </w:r>
      <w:r w:rsidRPr="006330AD">
        <w:rPr>
          <w:rFonts w:ascii="Times New Roman" w:eastAsia="Times New Roman" w:hAnsi="Times New Roman" w:cs="Times New Roman"/>
          <w:sz w:val="26"/>
          <w:szCs w:val="20"/>
          <w:lang w:eastAsia="hu-HU"/>
        </w:rPr>
        <w:t>től hatályos magasabb adómértékek magyarázzák. A dohánytermékek utáni bevételek csökkenésének hátterében a 2025. januári adómérték-emelésből fakadó készletezési hatás áll. A szeszesitalok és egyéb termékek esetében a bevételek csökkenését szintén a 2025. január 1-</w:t>
      </w:r>
      <w:r w:rsidR="0024232D">
        <w:rPr>
          <w:rFonts w:ascii="Times New Roman" w:eastAsia="Times New Roman" w:hAnsi="Times New Roman" w:cs="Times New Roman"/>
          <w:sz w:val="26"/>
          <w:szCs w:val="20"/>
          <w:lang w:eastAsia="hu-HU"/>
        </w:rPr>
        <w:t>je</w:t>
      </w:r>
      <w:r w:rsidRPr="006330AD">
        <w:rPr>
          <w:rFonts w:ascii="Times New Roman" w:eastAsia="Times New Roman" w:hAnsi="Times New Roman" w:cs="Times New Roman"/>
          <w:sz w:val="26"/>
          <w:szCs w:val="20"/>
          <w:lang w:eastAsia="hu-HU"/>
        </w:rPr>
        <w:t>i adómérték változásra adott piaci reakció, a készletezési hatás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6330AD" w:rsidRPr="006330AD" w14:paraId="6741392F" w14:textId="77777777" w:rsidTr="006330AD">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7457CC30" w14:textId="77777777" w:rsidR="006330AD" w:rsidRPr="006330AD" w:rsidRDefault="006330AD" w:rsidP="006330AD">
            <w:pPr>
              <w:spacing w:before="120" w:after="120" w:line="240" w:lineRule="auto"/>
              <w:jc w:val="center"/>
              <w:rPr>
                <w:rFonts w:ascii="Times New Roman" w:eastAsia="Times New Roman" w:hAnsi="Times New Roman" w:cs="Times New Roman"/>
                <w:b/>
                <w:bCs/>
                <w:lang w:eastAsia="hu-HU"/>
              </w:rPr>
            </w:pPr>
            <w:r w:rsidRPr="006330AD">
              <w:rPr>
                <w:rFonts w:ascii="Times New Roman" w:eastAsia="Times New Roman" w:hAnsi="Times New Roman" w:cs="Times New Roman"/>
                <w:b/>
                <w:bCs/>
                <w:lang w:eastAsia="hu-HU"/>
              </w:rPr>
              <w:t>Jövedéki adó bevétel alakulása (milliárd forint)</w:t>
            </w:r>
          </w:p>
        </w:tc>
      </w:tr>
      <w:tr w:rsidR="006330AD" w:rsidRPr="006330AD" w14:paraId="79B34028" w14:textId="77777777" w:rsidTr="0024232D">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C3BA1B5"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B76A3B"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2024.</w:t>
            </w:r>
          </w:p>
          <w:p w14:paraId="65732C3A" w14:textId="33712C44"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I-V.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74A243"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2025.</w:t>
            </w:r>
          </w:p>
          <w:p w14:paraId="2B819B1D" w14:textId="3341E784"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I-V.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62878E9"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Eltérés</w:t>
            </w:r>
          </w:p>
        </w:tc>
      </w:tr>
      <w:tr w:rsidR="006330AD" w:rsidRPr="006330AD" w14:paraId="6C907D2C" w14:textId="77777777" w:rsidTr="0024232D">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B1439A" w14:textId="77777777" w:rsidR="006330AD" w:rsidRPr="006330AD" w:rsidRDefault="006330AD" w:rsidP="002A2FAB">
            <w:pPr>
              <w:spacing w:after="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7B5B8F" w14:textId="77777777" w:rsidR="006330AD" w:rsidRPr="006330AD" w:rsidRDefault="006330AD" w:rsidP="002A2FAB">
            <w:pPr>
              <w:spacing w:after="0"/>
              <w:jc w:val="center"/>
              <w:rPr>
                <w:rFonts w:ascii="Times New Roman" w:hAnsi="Times New Roman" w:cs="Times New Roman"/>
                <w:b/>
                <w:bCs/>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747D75" w14:textId="77777777" w:rsidR="006330AD" w:rsidRPr="006330AD" w:rsidRDefault="006330AD" w:rsidP="002A2FAB">
            <w:pPr>
              <w:spacing w:after="0"/>
              <w:jc w:val="center"/>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9FD9252"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FE34310" w14:textId="77777777"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w:t>
            </w:r>
          </w:p>
        </w:tc>
      </w:tr>
      <w:tr w:rsidR="006330AD" w:rsidRPr="006330AD" w14:paraId="321B38FB" w14:textId="77777777" w:rsidTr="002A2FAB">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F024F"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87E53"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335,1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DFBE"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358,2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283B"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23,1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A3FB8"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106,9</w:t>
            </w:r>
          </w:p>
        </w:tc>
      </w:tr>
      <w:tr w:rsidR="006330AD" w:rsidRPr="006330AD" w14:paraId="6D979188" w14:textId="77777777" w:rsidTr="002A2FAB">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C56E"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3FB68"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206,1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9495"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191,3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DCC3"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0D5E"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92,8</w:t>
            </w:r>
          </w:p>
        </w:tc>
      </w:tr>
      <w:tr w:rsidR="006330AD" w:rsidRPr="006330AD" w14:paraId="0AA2FFFB" w14:textId="77777777" w:rsidTr="002A2FAB">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0C0F"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68CD2"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54,4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00F3"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53,0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27A5"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B5B7"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97,4</w:t>
            </w:r>
          </w:p>
        </w:tc>
      </w:tr>
      <w:tr w:rsidR="006330AD" w:rsidRPr="006330AD" w14:paraId="3359D01E" w14:textId="77777777" w:rsidTr="002A2FAB">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F323" w14:textId="77777777" w:rsidR="006330AD" w:rsidRPr="006330AD" w:rsidRDefault="006330AD" w:rsidP="002A2FAB">
            <w:pPr>
              <w:spacing w:after="0"/>
              <w:rPr>
                <w:rFonts w:ascii="Times New Roman" w:hAnsi="Times New Roman" w:cs="Times New Roman"/>
              </w:rPr>
            </w:pPr>
            <w:r w:rsidRPr="006330AD">
              <w:rPr>
                <w:rFonts w:ascii="Times New Roman" w:hAnsi="Times New Roman" w:cs="Times New Roman"/>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64CF8"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10,4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3BC56"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11,3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D47C"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05717" w14:textId="77777777" w:rsidR="006330AD" w:rsidRPr="006330AD" w:rsidRDefault="006330AD" w:rsidP="002A2FAB">
            <w:pPr>
              <w:spacing w:after="0"/>
              <w:jc w:val="right"/>
              <w:rPr>
                <w:rFonts w:ascii="Times New Roman" w:hAnsi="Times New Roman" w:cs="Times New Roman"/>
              </w:rPr>
            </w:pPr>
            <w:r w:rsidRPr="006330AD">
              <w:rPr>
                <w:rFonts w:ascii="Times New Roman" w:hAnsi="Times New Roman" w:cs="Times New Roman"/>
              </w:rPr>
              <w:t>108,7</w:t>
            </w:r>
          </w:p>
        </w:tc>
      </w:tr>
      <w:tr w:rsidR="006330AD" w:rsidRPr="006330AD" w14:paraId="1B7623A3" w14:textId="77777777" w:rsidTr="002A2FAB">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E2AC" w14:textId="77777777" w:rsidR="006330AD" w:rsidRPr="006330AD" w:rsidRDefault="006330AD" w:rsidP="002A2FAB">
            <w:pPr>
              <w:spacing w:after="0"/>
              <w:rPr>
                <w:rFonts w:ascii="Times New Roman" w:hAnsi="Times New Roman" w:cs="Times New Roman"/>
                <w:b/>
                <w:bCs/>
              </w:rPr>
            </w:pPr>
            <w:r w:rsidRPr="006330AD">
              <w:rPr>
                <w:rFonts w:ascii="Times New Roman" w:hAnsi="Times New Roman" w:cs="Times New Roman"/>
                <w:b/>
                <w:bCs/>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196CE"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606,0</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5121"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613,8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0EDD"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3371D" w14:textId="77777777" w:rsidR="006330AD" w:rsidRPr="006330AD" w:rsidRDefault="006330AD" w:rsidP="002A2FAB">
            <w:pPr>
              <w:spacing w:after="0"/>
              <w:jc w:val="right"/>
              <w:rPr>
                <w:rFonts w:ascii="Times New Roman" w:hAnsi="Times New Roman" w:cs="Times New Roman"/>
                <w:b/>
                <w:bCs/>
              </w:rPr>
            </w:pPr>
            <w:r w:rsidRPr="006330AD">
              <w:rPr>
                <w:rFonts w:ascii="Times New Roman" w:hAnsi="Times New Roman" w:cs="Times New Roman"/>
                <w:b/>
                <w:bCs/>
              </w:rPr>
              <w:t>101,3</w:t>
            </w:r>
          </w:p>
        </w:tc>
      </w:tr>
    </w:tbl>
    <w:p w14:paraId="1D0AEE5F" w14:textId="49456BAC" w:rsidR="006330AD" w:rsidRPr="006330AD" w:rsidRDefault="006330AD" w:rsidP="003100A2">
      <w:pPr>
        <w:spacing w:before="240"/>
        <w:jc w:val="both"/>
        <w:rPr>
          <w:rFonts w:ascii="Times New Roman" w:eastAsia="Times New Roman" w:hAnsi="Times New Roman" w:cs="Times New Roman"/>
          <w:sz w:val="26"/>
          <w:szCs w:val="20"/>
          <w:lang w:eastAsia="hu-HU"/>
        </w:rPr>
      </w:pPr>
      <w:r w:rsidRPr="006330AD">
        <w:rPr>
          <w:rFonts w:ascii="Times New Roman" w:eastAsia="Times New Roman" w:hAnsi="Times New Roman" w:cs="Times New Roman"/>
          <w:b/>
          <w:sz w:val="26"/>
          <w:szCs w:val="20"/>
          <w:lang w:eastAsia="hu-HU"/>
        </w:rPr>
        <w:t>Pénzügyi tranzakciós illetékből</w:t>
      </w:r>
      <w:r w:rsidRPr="006330AD">
        <w:rPr>
          <w:rFonts w:ascii="Times New Roman" w:eastAsia="Times New Roman" w:hAnsi="Times New Roman" w:cs="Times New Roman"/>
          <w:sz w:val="26"/>
          <w:szCs w:val="20"/>
          <w:lang w:eastAsia="hu-HU"/>
        </w:rPr>
        <w:t xml:space="preserve"> 2025 első öt hónapjában 244,6 milliárd forint bevétele keletkezett a költségvetésnek, ami 102,0 milliárd forinttal haladta meg az egy évvel korábbi összeget. A bevétel alakulásának hátterében a 2024. augusztus 1-</w:t>
      </w:r>
      <w:r w:rsidR="003100A2">
        <w:rPr>
          <w:rFonts w:ascii="Times New Roman" w:eastAsia="Times New Roman" w:hAnsi="Times New Roman" w:cs="Times New Roman"/>
          <w:sz w:val="26"/>
          <w:szCs w:val="20"/>
          <w:lang w:eastAsia="hu-HU"/>
        </w:rPr>
        <w:t>jé</w:t>
      </w:r>
      <w:r w:rsidRPr="006330AD">
        <w:rPr>
          <w:rFonts w:ascii="Times New Roman" w:eastAsia="Times New Roman" w:hAnsi="Times New Roman" w:cs="Times New Roman"/>
          <w:sz w:val="26"/>
          <w:szCs w:val="20"/>
          <w:lang w:eastAsia="hu-HU"/>
        </w:rPr>
        <w:t xml:space="preserve">től hatályos megemelt adómértékek állnak, illetve az, hogy 2024. október </w:t>
      </w:r>
      <w:r w:rsidR="00A36579">
        <w:rPr>
          <w:rFonts w:ascii="Times New Roman" w:eastAsia="Times New Roman" w:hAnsi="Times New Roman" w:cs="Times New Roman"/>
          <w:sz w:val="26"/>
          <w:szCs w:val="20"/>
          <w:lang w:eastAsia="hu-HU"/>
        </w:rPr>
        <w:t>1-</w:t>
      </w:r>
      <w:r w:rsidRPr="006330AD">
        <w:rPr>
          <w:rFonts w:ascii="Times New Roman" w:eastAsia="Times New Roman" w:hAnsi="Times New Roman" w:cs="Times New Roman"/>
          <w:sz w:val="26"/>
          <w:szCs w:val="20"/>
          <w:lang w:eastAsia="hu-HU"/>
        </w:rPr>
        <w:t>jétől az adó hatálya kiterjed a konverziót tartalmazó műveletekre is.</w:t>
      </w:r>
    </w:p>
    <w:p w14:paraId="476781DC" w14:textId="4B2C08B2" w:rsidR="006330AD" w:rsidRPr="006330AD" w:rsidRDefault="006330AD" w:rsidP="003100A2">
      <w:pPr>
        <w:spacing w:before="240"/>
        <w:jc w:val="both"/>
        <w:rPr>
          <w:rFonts w:ascii="Times New Roman" w:eastAsia="Times New Roman" w:hAnsi="Times New Roman" w:cs="Times New Roman"/>
          <w:sz w:val="26"/>
          <w:szCs w:val="20"/>
          <w:highlight w:val="yellow"/>
          <w:lang w:eastAsia="hu-HU"/>
        </w:rPr>
      </w:pPr>
      <w:r w:rsidRPr="006330AD">
        <w:rPr>
          <w:rFonts w:ascii="Times New Roman" w:eastAsia="Times New Roman" w:hAnsi="Times New Roman" w:cs="Times New Roman"/>
          <w:sz w:val="26"/>
          <w:szCs w:val="20"/>
          <w:lang w:eastAsia="hu-HU"/>
        </w:rPr>
        <w:lastRenderedPageBreak/>
        <w:t xml:space="preserve">A </w:t>
      </w:r>
      <w:r w:rsidRPr="006330AD">
        <w:rPr>
          <w:rFonts w:ascii="Times New Roman" w:eastAsia="Times New Roman" w:hAnsi="Times New Roman" w:cs="Times New Roman"/>
          <w:b/>
          <w:sz w:val="26"/>
          <w:szCs w:val="20"/>
          <w:lang w:eastAsia="hu-HU"/>
        </w:rPr>
        <w:t xml:space="preserve">biztosítási adóból </w:t>
      </w:r>
      <w:r w:rsidRPr="006330AD">
        <w:rPr>
          <w:rFonts w:ascii="Times New Roman" w:eastAsia="Times New Roman" w:hAnsi="Times New Roman" w:cs="Times New Roman"/>
          <w:sz w:val="26"/>
          <w:szCs w:val="20"/>
          <w:lang w:eastAsia="hu-HU"/>
        </w:rPr>
        <w:t>származó bevétel 2025. év első öt hónapjában 78,3</w:t>
      </w:r>
      <w:r w:rsidR="00A36579">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milliárd forintot tett ki, amely 54,9 milliárd forinttal alacsonyabb az egy évvel korábbi bevételnél. A bevételek előző évhez viszonyított alacsonyabb teljesülését egyrészt a 2023.</w:t>
      </w:r>
      <w:r w:rsidR="0059272E">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évi biztosítási pótadó-kötelezettség 2024.</w:t>
      </w:r>
      <w:r w:rsidR="0059272E">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januári elszámolásából fakadó többletbevétel</w:t>
      </w:r>
      <w:r w:rsidR="00A36579">
        <w:rPr>
          <w:rFonts w:ascii="Times New Roman" w:eastAsia="Times New Roman" w:hAnsi="Times New Roman" w:cs="Times New Roman"/>
          <w:sz w:val="26"/>
          <w:szCs w:val="20"/>
          <w:lang w:eastAsia="hu-HU"/>
        </w:rPr>
        <w:t>,</w:t>
      </w:r>
      <w:r w:rsidRPr="006330AD">
        <w:rPr>
          <w:rFonts w:ascii="Times New Roman" w:eastAsia="Times New Roman" w:hAnsi="Times New Roman" w:cs="Times New Roman"/>
          <w:sz w:val="26"/>
          <w:szCs w:val="20"/>
          <w:lang w:eastAsia="hu-HU"/>
        </w:rPr>
        <w:t xml:space="preserve"> másrészt a 2024.</w:t>
      </w:r>
      <w:r w:rsidR="00A36579">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0"/>
          <w:lang w:eastAsia="hu-HU"/>
        </w:rPr>
        <w:t>évi pótadóelőleg első, május havi befizetése befolyásolja.</w:t>
      </w:r>
    </w:p>
    <w:p w14:paraId="68EDBC78" w14:textId="2955F70A" w:rsidR="006330AD" w:rsidRPr="006330AD" w:rsidRDefault="006330AD" w:rsidP="003100A2">
      <w:pPr>
        <w:spacing w:before="240"/>
        <w:jc w:val="both"/>
        <w:rPr>
          <w:rFonts w:ascii="Times New Roman" w:eastAsia="Times New Roman" w:hAnsi="Times New Roman" w:cs="Times New Roman"/>
          <w:color w:val="000000"/>
          <w:sz w:val="26"/>
          <w:szCs w:val="20"/>
          <w:lang w:eastAsia="hu-HU"/>
        </w:rPr>
      </w:pPr>
      <w:r w:rsidRPr="006330AD">
        <w:rPr>
          <w:rFonts w:ascii="Times New Roman" w:eastAsia="Times New Roman" w:hAnsi="Times New Roman" w:cs="Times New Roman"/>
          <w:color w:val="000000"/>
          <w:sz w:val="26"/>
          <w:szCs w:val="20"/>
          <w:lang w:eastAsia="hu-HU"/>
        </w:rPr>
        <w:t xml:space="preserve">A </w:t>
      </w:r>
      <w:r w:rsidRPr="006330AD">
        <w:rPr>
          <w:rFonts w:ascii="Times New Roman" w:eastAsia="Times New Roman" w:hAnsi="Times New Roman" w:cs="Times New Roman"/>
          <w:b/>
          <w:bCs/>
          <w:color w:val="000000"/>
          <w:sz w:val="26"/>
          <w:szCs w:val="20"/>
          <w:lang w:eastAsia="hu-HU"/>
        </w:rPr>
        <w:t>személyi jövedelemadó</w:t>
      </w:r>
      <w:r w:rsidRPr="006330AD">
        <w:rPr>
          <w:rFonts w:ascii="Times New Roman" w:eastAsia="Times New Roman" w:hAnsi="Times New Roman" w:cs="Times New Roman"/>
          <w:color w:val="000000"/>
          <w:sz w:val="26"/>
          <w:szCs w:val="20"/>
          <w:lang w:eastAsia="hu-HU"/>
        </w:rPr>
        <w:t xml:space="preserve"> bevétele 2025 első öt hónapjában 2</w:t>
      </w:r>
      <w:r w:rsidRPr="006330AD">
        <w:rPr>
          <w:rFonts w:ascii="Times New Roman" w:eastAsia="Times New Roman" w:hAnsi="Times New Roman" w:cs="Times New Roman"/>
          <w:sz w:val="26"/>
          <w:szCs w:val="20"/>
          <w:lang w:eastAsia="hu-HU"/>
        </w:rPr>
        <w:t> 052,5 </w:t>
      </w:r>
      <w:r w:rsidRPr="006330AD">
        <w:rPr>
          <w:rFonts w:ascii="Times New Roman" w:eastAsia="Times New Roman" w:hAnsi="Times New Roman" w:cs="Times New Roman"/>
          <w:color w:val="000000"/>
          <w:sz w:val="26"/>
          <w:szCs w:val="20"/>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color w:val="000000"/>
          <w:sz w:val="26"/>
          <w:szCs w:val="20"/>
          <w:lang w:eastAsia="hu-HU"/>
        </w:rPr>
        <w:t>forint volt, amely 211,1</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color w:val="000000"/>
          <w:sz w:val="26"/>
          <w:szCs w:val="20"/>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color w:val="000000"/>
          <w:sz w:val="26"/>
          <w:szCs w:val="20"/>
          <w:lang w:eastAsia="hu-HU"/>
        </w:rPr>
        <w:t>forinttal magasabb az egy évvel korábbi összegnél. Ennek oka a bértömeg növekedése.</w:t>
      </w:r>
    </w:p>
    <w:p w14:paraId="4AD2F5D6" w14:textId="3FECE57E" w:rsidR="00085C37" w:rsidRDefault="6E235B12" w:rsidP="004C0575">
      <w:pPr>
        <w:spacing w:before="240"/>
        <w:jc w:val="center"/>
        <w:rPr>
          <w:rFonts w:ascii="Times New Roman" w:hAnsi="Times New Roman" w:cs="Times New Roman"/>
          <w:b/>
          <w:bCs/>
        </w:rPr>
      </w:pPr>
      <w:r w:rsidRPr="6E235B12">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6330AD" w:rsidRPr="006330AD" w14:paraId="2BF967F6" w14:textId="77777777" w:rsidTr="003100A2">
        <w:trPr>
          <w:trHeight w:val="283"/>
          <w:jc w:val="center"/>
        </w:trPr>
        <w:tc>
          <w:tcPr>
            <w:tcW w:w="1469" w:type="dxa"/>
            <w:vMerge w:val="restart"/>
            <w:shd w:val="clear" w:color="auto" w:fill="BDD6EE" w:themeFill="accent1" w:themeFillTint="66"/>
            <w:noWrap/>
            <w:vAlign w:val="center"/>
            <w:hideMark/>
          </w:tcPr>
          <w:p w14:paraId="72C5A45E" w14:textId="77777777" w:rsidR="006330AD" w:rsidRPr="006330AD" w:rsidRDefault="006330AD" w:rsidP="002A2FAB">
            <w:pPr>
              <w:keepNext/>
              <w:keepLines/>
              <w:spacing w:after="0"/>
              <w:jc w:val="center"/>
              <w:rPr>
                <w:rFonts w:ascii="Times New Roman" w:hAnsi="Times New Roman" w:cs="Times New Roman"/>
                <w:b/>
                <w:bCs/>
              </w:rPr>
            </w:pPr>
            <w:r w:rsidRPr="006330AD">
              <w:rPr>
                <w:rFonts w:ascii="Times New Roman" w:hAnsi="Times New Roman" w:cs="Times New Roman"/>
                <w:b/>
                <w:bCs/>
              </w:rPr>
              <w:t>Megnevezés</w:t>
            </w:r>
          </w:p>
        </w:tc>
        <w:tc>
          <w:tcPr>
            <w:tcW w:w="1645" w:type="dxa"/>
            <w:vMerge w:val="restart"/>
            <w:shd w:val="clear" w:color="auto" w:fill="BDD6EE" w:themeFill="accent1" w:themeFillTint="66"/>
            <w:vAlign w:val="center"/>
            <w:hideMark/>
          </w:tcPr>
          <w:p w14:paraId="233F923A" w14:textId="00163A7A"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 xml:space="preserve">2024. </w:t>
            </w:r>
            <w:r w:rsidRPr="006330AD">
              <w:rPr>
                <w:rFonts w:ascii="Times New Roman" w:hAnsi="Times New Roman" w:cs="Times New Roman"/>
                <w:b/>
                <w:bCs/>
              </w:rPr>
              <w:br/>
              <w:t>I-V. h</w:t>
            </w:r>
            <w:r w:rsidR="003100A2">
              <w:rPr>
                <w:rFonts w:ascii="Times New Roman" w:hAnsi="Times New Roman" w:cs="Times New Roman"/>
                <w:b/>
                <w:bCs/>
              </w:rPr>
              <w:t>ó</w:t>
            </w:r>
          </w:p>
        </w:tc>
        <w:tc>
          <w:tcPr>
            <w:tcW w:w="1701" w:type="dxa"/>
            <w:vMerge w:val="restart"/>
            <w:shd w:val="clear" w:color="auto" w:fill="BDD6EE" w:themeFill="accent1" w:themeFillTint="66"/>
            <w:vAlign w:val="center"/>
            <w:hideMark/>
          </w:tcPr>
          <w:p w14:paraId="58D97A15" w14:textId="6FCE064D" w:rsidR="006330AD" w:rsidRPr="006330AD" w:rsidRDefault="006330AD" w:rsidP="002A2FAB">
            <w:pPr>
              <w:spacing w:after="0"/>
              <w:jc w:val="center"/>
              <w:rPr>
                <w:rFonts w:ascii="Times New Roman" w:hAnsi="Times New Roman" w:cs="Times New Roman"/>
                <w:b/>
                <w:bCs/>
              </w:rPr>
            </w:pPr>
            <w:r w:rsidRPr="006330AD">
              <w:rPr>
                <w:rFonts w:ascii="Times New Roman" w:hAnsi="Times New Roman" w:cs="Times New Roman"/>
                <w:b/>
                <w:bCs/>
              </w:rPr>
              <w:t>2025.</w:t>
            </w:r>
            <w:r w:rsidRPr="006330AD">
              <w:rPr>
                <w:rFonts w:ascii="Times New Roman" w:hAnsi="Times New Roman" w:cs="Times New Roman"/>
                <w:b/>
                <w:bCs/>
              </w:rPr>
              <w:br/>
              <w:t>I-V. hó</w:t>
            </w:r>
          </w:p>
        </w:tc>
        <w:tc>
          <w:tcPr>
            <w:tcW w:w="1984" w:type="dxa"/>
            <w:gridSpan w:val="2"/>
            <w:shd w:val="clear" w:color="auto" w:fill="BDD6EE" w:themeFill="accent1" w:themeFillTint="66"/>
            <w:vAlign w:val="center"/>
            <w:hideMark/>
          </w:tcPr>
          <w:p w14:paraId="2A2D6E9E" w14:textId="77777777" w:rsidR="006330AD" w:rsidRPr="006330AD" w:rsidRDefault="006330AD" w:rsidP="002A2FAB">
            <w:pPr>
              <w:keepNext/>
              <w:keepLines/>
              <w:spacing w:after="0"/>
              <w:jc w:val="center"/>
              <w:rPr>
                <w:rFonts w:ascii="Times New Roman" w:hAnsi="Times New Roman" w:cs="Times New Roman"/>
                <w:b/>
                <w:bCs/>
              </w:rPr>
            </w:pPr>
            <w:r w:rsidRPr="006330AD">
              <w:rPr>
                <w:rFonts w:ascii="Times New Roman" w:hAnsi="Times New Roman" w:cs="Times New Roman"/>
                <w:b/>
                <w:bCs/>
              </w:rPr>
              <w:t>Eltérés</w:t>
            </w:r>
          </w:p>
        </w:tc>
      </w:tr>
      <w:tr w:rsidR="006330AD" w:rsidRPr="006330AD" w14:paraId="4E9DA756" w14:textId="77777777" w:rsidTr="003100A2">
        <w:trPr>
          <w:trHeight w:val="283"/>
          <w:jc w:val="center"/>
        </w:trPr>
        <w:tc>
          <w:tcPr>
            <w:tcW w:w="1469" w:type="dxa"/>
            <w:vMerge/>
            <w:shd w:val="clear" w:color="auto" w:fill="BDD6EE" w:themeFill="accent1" w:themeFillTint="66"/>
            <w:noWrap/>
            <w:vAlign w:val="center"/>
          </w:tcPr>
          <w:p w14:paraId="1A160390" w14:textId="77777777" w:rsidR="006330AD" w:rsidRPr="006330AD" w:rsidRDefault="006330AD" w:rsidP="002A2FAB">
            <w:pPr>
              <w:keepNext/>
              <w:keepLines/>
              <w:spacing w:after="0"/>
              <w:jc w:val="center"/>
              <w:rPr>
                <w:rFonts w:ascii="Times New Roman" w:hAnsi="Times New Roman" w:cs="Times New Roman"/>
                <w:b/>
                <w:bCs/>
              </w:rPr>
            </w:pPr>
          </w:p>
        </w:tc>
        <w:tc>
          <w:tcPr>
            <w:tcW w:w="1645" w:type="dxa"/>
            <w:vMerge/>
            <w:shd w:val="clear" w:color="auto" w:fill="BDD6EE" w:themeFill="accent1" w:themeFillTint="66"/>
            <w:vAlign w:val="center"/>
          </w:tcPr>
          <w:p w14:paraId="599371D2" w14:textId="77777777" w:rsidR="006330AD" w:rsidRPr="006330AD" w:rsidRDefault="006330AD" w:rsidP="002A2FAB">
            <w:pPr>
              <w:spacing w:after="0"/>
              <w:jc w:val="center"/>
              <w:rPr>
                <w:rFonts w:ascii="Times New Roman" w:hAnsi="Times New Roman" w:cs="Times New Roman"/>
                <w:b/>
                <w:bCs/>
              </w:rPr>
            </w:pPr>
          </w:p>
        </w:tc>
        <w:tc>
          <w:tcPr>
            <w:tcW w:w="1701" w:type="dxa"/>
            <w:vMerge/>
            <w:shd w:val="clear" w:color="auto" w:fill="BDD6EE" w:themeFill="accent1" w:themeFillTint="66"/>
            <w:vAlign w:val="center"/>
          </w:tcPr>
          <w:p w14:paraId="08825C36" w14:textId="77777777" w:rsidR="006330AD" w:rsidRPr="006330AD" w:rsidRDefault="006330AD" w:rsidP="002A2FAB">
            <w:pPr>
              <w:spacing w:after="0"/>
              <w:jc w:val="center"/>
              <w:rPr>
                <w:rFonts w:ascii="Times New Roman" w:hAnsi="Times New Roman" w:cs="Times New Roman"/>
                <w:b/>
                <w:bCs/>
              </w:rPr>
            </w:pPr>
          </w:p>
        </w:tc>
        <w:tc>
          <w:tcPr>
            <w:tcW w:w="992" w:type="dxa"/>
            <w:shd w:val="clear" w:color="auto" w:fill="BDD6EE" w:themeFill="accent1" w:themeFillTint="66"/>
            <w:vAlign w:val="center"/>
          </w:tcPr>
          <w:p w14:paraId="0C182BB5" w14:textId="77777777" w:rsidR="006330AD" w:rsidRPr="006330AD" w:rsidRDefault="006330AD" w:rsidP="002A2FAB">
            <w:pPr>
              <w:keepNext/>
              <w:keepLines/>
              <w:spacing w:after="0"/>
              <w:jc w:val="center"/>
              <w:rPr>
                <w:rFonts w:ascii="Times New Roman" w:hAnsi="Times New Roman" w:cs="Times New Roman"/>
                <w:b/>
                <w:bCs/>
              </w:rPr>
            </w:pPr>
            <w:r w:rsidRPr="006330AD">
              <w:rPr>
                <w:rFonts w:ascii="Times New Roman" w:hAnsi="Times New Roman" w:cs="Times New Roman"/>
                <w:b/>
                <w:bCs/>
              </w:rPr>
              <w:t>Mrd Ft</w:t>
            </w:r>
          </w:p>
        </w:tc>
        <w:tc>
          <w:tcPr>
            <w:tcW w:w="992" w:type="dxa"/>
            <w:shd w:val="clear" w:color="auto" w:fill="BDD6EE" w:themeFill="accent1" w:themeFillTint="66"/>
          </w:tcPr>
          <w:p w14:paraId="1651790D" w14:textId="77777777" w:rsidR="006330AD" w:rsidRPr="006330AD" w:rsidRDefault="006330AD" w:rsidP="002A2FAB">
            <w:pPr>
              <w:keepNext/>
              <w:keepLines/>
              <w:spacing w:after="0"/>
              <w:jc w:val="center"/>
              <w:rPr>
                <w:rFonts w:ascii="Times New Roman" w:hAnsi="Times New Roman" w:cs="Times New Roman"/>
                <w:b/>
                <w:bCs/>
              </w:rPr>
            </w:pPr>
            <w:r w:rsidRPr="006330AD">
              <w:rPr>
                <w:rFonts w:ascii="Times New Roman" w:hAnsi="Times New Roman" w:cs="Times New Roman"/>
                <w:b/>
                <w:bCs/>
              </w:rPr>
              <w:t>%</w:t>
            </w:r>
          </w:p>
        </w:tc>
      </w:tr>
      <w:tr w:rsidR="006330AD" w:rsidRPr="006330AD" w14:paraId="6C7E0D07" w14:textId="77777777" w:rsidTr="002A2FAB">
        <w:trPr>
          <w:trHeight w:val="340"/>
          <w:jc w:val="center"/>
        </w:trPr>
        <w:tc>
          <w:tcPr>
            <w:tcW w:w="1469" w:type="dxa"/>
            <w:shd w:val="clear" w:color="auto" w:fill="auto"/>
            <w:noWrap/>
            <w:vAlign w:val="center"/>
            <w:hideMark/>
          </w:tcPr>
          <w:p w14:paraId="11297040" w14:textId="77777777" w:rsidR="006330AD" w:rsidRPr="006330AD" w:rsidRDefault="006330AD" w:rsidP="002A2FAB">
            <w:pPr>
              <w:keepNext/>
              <w:keepLines/>
              <w:spacing w:after="0"/>
              <w:rPr>
                <w:rFonts w:ascii="Times New Roman" w:hAnsi="Times New Roman" w:cs="Times New Roman"/>
              </w:rPr>
            </w:pPr>
            <w:r w:rsidRPr="006330AD">
              <w:rPr>
                <w:rFonts w:ascii="Times New Roman" w:hAnsi="Times New Roman" w:cs="Times New Roman"/>
              </w:rPr>
              <w:t>Befizetés</w:t>
            </w:r>
          </w:p>
        </w:tc>
        <w:tc>
          <w:tcPr>
            <w:tcW w:w="1645" w:type="dxa"/>
            <w:shd w:val="clear" w:color="auto" w:fill="auto"/>
            <w:noWrap/>
            <w:vAlign w:val="center"/>
          </w:tcPr>
          <w:p w14:paraId="7DC41133"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1 982,7</w:t>
            </w:r>
          </w:p>
        </w:tc>
        <w:tc>
          <w:tcPr>
            <w:tcW w:w="1701" w:type="dxa"/>
            <w:shd w:val="clear" w:color="auto" w:fill="auto"/>
            <w:noWrap/>
            <w:vAlign w:val="center"/>
          </w:tcPr>
          <w:p w14:paraId="65D4DC71"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2 196,6</w:t>
            </w:r>
          </w:p>
        </w:tc>
        <w:tc>
          <w:tcPr>
            <w:tcW w:w="992" w:type="dxa"/>
            <w:shd w:val="clear" w:color="auto" w:fill="auto"/>
            <w:noWrap/>
            <w:vAlign w:val="center"/>
          </w:tcPr>
          <w:p w14:paraId="3219D243"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213,9</w:t>
            </w:r>
          </w:p>
        </w:tc>
        <w:tc>
          <w:tcPr>
            <w:tcW w:w="992" w:type="dxa"/>
            <w:shd w:val="clear" w:color="auto" w:fill="auto"/>
            <w:vAlign w:val="center"/>
          </w:tcPr>
          <w:p w14:paraId="23A42DCE"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110,8</w:t>
            </w:r>
          </w:p>
        </w:tc>
      </w:tr>
      <w:tr w:rsidR="006330AD" w:rsidRPr="006330AD" w14:paraId="4AE69C58" w14:textId="77777777" w:rsidTr="002A2FAB">
        <w:trPr>
          <w:trHeight w:val="340"/>
          <w:jc w:val="center"/>
        </w:trPr>
        <w:tc>
          <w:tcPr>
            <w:tcW w:w="1469" w:type="dxa"/>
            <w:shd w:val="clear" w:color="auto" w:fill="auto"/>
            <w:noWrap/>
            <w:vAlign w:val="center"/>
            <w:hideMark/>
          </w:tcPr>
          <w:p w14:paraId="3AC6B38A" w14:textId="77777777" w:rsidR="006330AD" w:rsidRPr="006330AD" w:rsidRDefault="006330AD" w:rsidP="002A2FAB">
            <w:pPr>
              <w:keepNext/>
              <w:keepLines/>
              <w:spacing w:after="0"/>
              <w:rPr>
                <w:rFonts w:ascii="Times New Roman" w:hAnsi="Times New Roman" w:cs="Times New Roman"/>
              </w:rPr>
            </w:pPr>
            <w:r w:rsidRPr="006330AD">
              <w:rPr>
                <w:rFonts w:ascii="Times New Roman" w:hAnsi="Times New Roman" w:cs="Times New Roman"/>
              </w:rPr>
              <w:t>Kiutalás</w:t>
            </w:r>
          </w:p>
        </w:tc>
        <w:tc>
          <w:tcPr>
            <w:tcW w:w="1645" w:type="dxa"/>
            <w:shd w:val="clear" w:color="auto" w:fill="auto"/>
            <w:noWrap/>
            <w:vAlign w:val="center"/>
          </w:tcPr>
          <w:p w14:paraId="73E2817B"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141,3</w:t>
            </w:r>
          </w:p>
        </w:tc>
        <w:tc>
          <w:tcPr>
            <w:tcW w:w="1701" w:type="dxa"/>
            <w:shd w:val="clear" w:color="auto" w:fill="auto"/>
            <w:noWrap/>
            <w:vAlign w:val="center"/>
          </w:tcPr>
          <w:p w14:paraId="538E4F68"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144,1</w:t>
            </w:r>
          </w:p>
        </w:tc>
        <w:tc>
          <w:tcPr>
            <w:tcW w:w="992" w:type="dxa"/>
            <w:shd w:val="clear" w:color="auto" w:fill="auto"/>
            <w:noWrap/>
            <w:vAlign w:val="center"/>
          </w:tcPr>
          <w:p w14:paraId="15892F36"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2,8</w:t>
            </w:r>
          </w:p>
        </w:tc>
        <w:tc>
          <w:tcPr>
            <w:tcW w:w="992" w:type="dxa"/>
            <w:shd w:val="clear" w:color="auto" w:fill="auto"/>
            <w:vAlign w:val="center"/>
          </w:tcPr>
          <w:p w14:paraId="4AE4E9B5" w14:textId="77777777" w:rsidR="006330AD" w:rsidRPr="006330AD" w:rsidRDefault="006330AD" w:rsidP="002A2FAB">
            <w:pPr>
              <w:keepNext/>
              <w:keepLines/>
              <w:spacing w:after="0"/>
              <w:jc w:val="right"/>
              <w:rPr>
                <w:rFonts w:ascii="Times New Roman" w:hAnsi="Times New Roman" w:cs="Times New Roman"/>
              </w:rPr>
            </w:pPr>
            <w:r w:rsidRPr="006330AD">
              <w:rPr>
                <w:rFonts w:ascii="Times New Roman" w:hAnsi="Times New Roman" w:cs="Times New Roman"/>
              </w:rPr>
              <w:t>102,0</w:t>
            </w:r>
          </w:p>
        </w:tc>
      </w:tr>
      <w:tr w:rsidR="006330AD" w:rsidRPr="006330AD" w14:paraId="75C06053" w14:textId="77777777" w:rsidTr="002A2FAB">
        <w:trPr>
          <w:trHeight w:val="340"/>
          <w:jc w:val="center"/>
        </w:trPr>
        <w:tc>
          <w:tcPr>
            <w:tcW w:w="1469" w:type="dxa"/>
            <w:shd w:val="clear" w:color="auto" w:fill="auto"/>
            <w:noWrap/>
            <w:vAlign w:val="center"/>
            <w:hideMark/>
          </w:tcPr>
          <w:p w14:paraId="0C08C2C6" w14:textId="77777777" w:rsidR="006330AD" w:rsidRPr="006330AD" w:rsidRDefault="006330AD" w:rsidP="002A2FAB">
            <w:pPr>
              <w:widowControl w:val="0"/>
              <w:spacing w:after="0"/>
              <w:rPr>
                <w:rFonts w:ascii="Times New Roman" w:hAnsi="Times New Roman" w:cs="Times New Roman"/>
                <w:b/>
                <w:bCs/>
              </w:rPr>
            </w:pPr>
            <w:r w:rsidRPr="006330AD">
              <w:rPr>
                <w:rFonts w:ascii="Times New Roman" w:hAnsi="Times New Roman" w:cs="Times New Roman"/>
                <w:b/>
                <w:bCs/>
              </w:rPr>
              <w:t>Egyenleg</w:t>
            </w:r>
          </w:p>
        </w:tc>
        <w:tc>
          <w:tcPr>
            <w:tcW w:w="1645" w:type="dxa"/>
            <w:shd w:val="clear" w:color="auto" w:fill="auto"/>
            <w:noWrap/>
            <w:vAlign w:val="center"/>
          </w:tcPr>
          <w:p w14:paraId="4724E17F" w14:textId="77777777" w:rsidR="006330AD" w:rsidRPr="006330AD" w:rsidRDefault="006330AD" w:rsidP="002A2FAB">
            <w:pPr>
              <w:widowControl w:val="0"/>
              <w:spacing w:after="0"/>
              <w:jc w:val="right"/>
              <w:rPr>
                <w:rFonts w:ascii="Times New Roman" w:hAnsi="Times New Roman" w:cs="Times New Roman"/>
                <w:b/>
                <w:bCs/>
              </w:rPr>
            </w:pPr>
            <w:r w:rsidRPr="006330AD">
              <w:rPr>
                <w:rFonts w:ascii="Times New Roman" w:hAnsi="Times New Roman" w:cs="Times New Roman"/>
                <w:b/>
                <w:bCs/>
              </w:rPr>
              <w:t>1 841,4</w:t>
            </w:r>
          </w:p>
        </w:tc>
        <w:tc>
          <w:tcPr>
            <w:tcW w:w="1701" w:type="dxa"/>
            <w:shd w:val="clear" w:color="auto" w:fill="auto"/>
            <w:noWrap/>
            <w:vAlign w:val="center"/>
          </w:tcPr>
          <w:p w14:paraId="6CEBAE7C" w14:textId="77777777" w:rsidR="006330AD" w:rsidRPr="006330AD" w:rsidRDefault="006330AD" w:rsidP="002A2FAB">
            <w:pPr>
              <w:widowControl w:val="0"/>
              <w:spacing w:after="0"/>
              <w:jc w:val="right"/>
              <w:rPr>
                <w:rFonts w:ascii="Times New Roman" w:hAnsi="Times New Roman" w:cs="Times New Roman"/>
                <w:b/>
                <w:bCs/>
              </w:rPr>
            </w:pPr>
            <w:r w:rsidRPr="006330AD">
              <w:rPr>
                <w:rFonts w:ascii="Times New Roman" w:hAnsi="Times New Roman" w:cs="Times New Roman"/>
                <w:b/>
                <w:bCs/>
              </w:rPr>
              <w:t>2 052,5</w:t>
            </w:r>
          </w:p>
        </w:tc>
        <w:tc>
          <w:tcPr>
            <w:tcW w:w="992" w:type="dxa"/>
            <w:shd w:val="clear" w:color="auto" w:fill="auto"/>
            <w:noWrap/>
            <w:vAlign w:val="center"/>
          </w:tcPr>
          <w:p w14:paraId="2891B3B9" w14:textId="77777777" w:rsidR="006330AD" w:rsidRPr="006330AD" w:rsidRDefault="006330AD" w:rsidP="002A2FAB">
            <w:pPr>
              <w:widowControl w:val="0"/>
              <w:spacing w:after="0"/>
              <w:jc w:val="right"/>
              <w:rPr>
                <w:rFonts w:ascii="Times New Roman" w:hAnsi="Times New Roman" w:cs="Times New Roman"/>
                <w:b/>
                <w:bCs/>
              </w:rPr>
            </w:pPr>
            <w:r w:rsidRPr="006330AD">
              <w:rPr>
                <w:rFonts w:ascii="Times New Roman" w:hAnsi="Times New Roman" w:cs="Times New Roman"/>
                <w:b/>
                <w:bCs/>
              </w:rPr>
              <w:t>211,1</w:t>
            </w:r>
          </w:p>
        </w:tc>
        <w:tc>
          <w:tcPr>
            <w:tcW w:w="992" w:type="dxa"/>
            <w:shd w:val="clear" w:color="auto" w:fill="auto"/>
            <w:vAlign w:val="center"/>
          </w:tcPr>
          <w:p w14:paraId="78A8909A" w14:textId="77777777" w:rsidR="006330AD" w:rsidRPr="006330AD" w:rsidRDefault="006330AD" w:rsidP="002A2FAB">
            <w:pPr>
              <w:widowControl w:val="0"/>
              <w:spacing w:after="0"/>
              <w:jc w:val="right"/>
              <w:rPr>
                <w:rFonts w:ascii="Times New Roman" w:hAnsi="Times New Roman" w:cs="Times New Roman"/>
                <w:b/>
                <w:bCs/>
              </w:rPr>
            </w:pPr>
            <w:r w:rsidRPr="006330AD">
              <w:rPr>
                <w:rFonts w:ascii="Times New Roman" w:hAnsi="Times New Roman" w:cs="Times New Roman"/>
                <w:b/>
                <w:bCs/>
              </w:rPr>
              <w:t>111,5</w:t>
            </w:r>
          </w:p>
        </w:tc>
      </w:tr>
    </w:tbl>
    <w:p w14:paraId="54234F12" w14:textId="73566296" w:rsidR="123EFD2F" w:rsidRPr="00381A54" w:rsidRDefault="6E235B12" w:rsidP="6E235B12">
      <w:pPr>
        <w:spacing w:before="240"/>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Központi Maradványelszámolási Alapba</w:t>
      </w:r>
      <w:r w:rsidRPr="6E235B12">
        <w:rPr>
          <w:rFonts w:ascii="Times New Roman" w:eastAsia="Times New Roman" w:hAnsi="Times New Roman" w:cs="Times New Roman"/>
          <w:sz w:val="26"/>
          <w:szCs w:val="26"/>
        </w:rPr>
        <w:t xml:space="preserve"> </w:t>
      </w:r>
      <w:r w:rsidRPr="6E235B12">
        <w:rPr>
          <w:rFonts w:ascii="Times New Roman" w:eastAsia="Times New Roman" w:hAnsi="Times New Roman" w:cs="Times New Roman"/>
          <w:b/>
          <w:bCs/>
          <w:sz w:val="26"/>
          <w:szCs w:val="26"/>
        </w:rPr>
        <w:t>történő befizetések</w:t>
      </w:r>
      <w:r w:rsidRPr="6E235B12">
        <w:rPr>
          <w:rFonts w:ascii="Times New Roman" w:eastAsia="Times New Roman" w:hAnsi="Times New Roman" w:cs="Times New Roman"/>
          <w:sz w:val="26"/>
          <w:szCs w:val="26"/>
        </w:rPr>
        <w:t xml:space="preserve"> mérlegsorra az év első öt</w:t>
      </w:r>
      <w:r w:rsidR="0059272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hónapjában 288,5 milliárd forint maradvány került befizetésre, szemben az előző év azonos időszakában befolyt 139,5 milliárd forintos összeggel.</w:t>
      </w:r>
    </w:p>
    <w:p w14:paraId="25C427CE" w14:textId="528BBD44" w:rsidR="029C2633" w:rsidRPr="00381A54" w:rsidRDefault="6E235B12" w:rsidP="6E235B12">
      <w:pPr>
        <w:spacing w:before="160"/>
        <w:jc w:val="both"/>
        <w:rPr>
          <w:rFonts w:ascii="Times New Roman" w:eastAsia="Times New Roman" w:hAnsi="Times New Roman" w:cs="Times New Roman"/>
          <w:b/>
          <w:bCs/>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 xml:space="preserve">állami vagyonnal kapcsolatos befizetések </w:t>
      </w:r>
      <w:r w:rsidRPr="6E235B12">
        <w:rPr>
          <w:rFonts w:ascii="Times New Roman" w:eastAsia="Times New Roman" w:hAnsi="Times New Roman" w:cs="Times New Roman"/>
          <w:sz w:val="26"/>
          <w:szCs w:val="26"/>
        </w:rPr>
        <w:t xml:space="preserve">2025 első </w:t>
      </w:r>
      <w:r w:rsidR="00A9433D">
        <w:rPr>
          <w:rFonts w:ascii="Times New Roman" w:eastAsia="Times New Roman" w:hAnsi="Times New Roman" w:cs="Times New Roman"/>
          <w:sz w:val="26"/>
          <w:szCs w:val="26"/>
        </w:rPr>
        <w:t>öt</w:t>
      </w:r>
      <w:r w:rsidRPr="6E235B12">
        <w:rPr>
          <w:rFonts w:ascii="Times New Roman" w:eastAsia="Times New Roman" w:hAnsi="Times New Roman" w:cs="Times New Roman"/>
          <w:sz w:val="26"/>
          <w:szCs w:val="26"/>
        </w:rPr>
        <w:t xml:space="preserve">havi összege közel </w:t>
      </w:r>
      <w:r w:rsidR="00A9433D">
        <w:rPr>
          <w:rFonts w:ascii="Times New Roman" w:eastAsia="Times New Roman" w:hAnsi="Times New Roman" w:cs="Times New Roman"/>
          <w:sz w:val="26"/>
          <w:szCs w:val="26"/>
        </w:rPr>
        <w:t>330,6</w:t>
      </w:r>
      <w:r w:rsidRPr="6E235B12">
        <w:rPr>
          <w:rFonts w:ascii="Times New Roman" w:eastAsia="Times New Roman" w:hAnsi="Times New Roman" w:cs="Times New Roman"/>
          <w:sz w:val="26"/>
          <w:szCs w:val="26"/>
        </w:rPr>
        <w:t> milliárd forint, amelynek meghatározó tétele a</w:t>
      </w:r>
      <w:r w:rsidR="00A9433D">
        <w:rPr>
          <w:rFonts w:ascii="Times New Roman" w:eastAsia="Times New Roman" w:hAnsi="Times New Roman" w:cs="Times New Roman"/>
          <w:sz w:val="26"/>
          <w:szCs w:val="26"/>
        </w:rPr>
        <w:t>z osztalékbefizetés</w:t>
      </w:r>
      <w:r w:rsidRPr="6E235B12">
        <w:rPr>
          <w:rFonts w:ascii="Times New Roman" w:eastAsia="Times New Roman" w:hAnsi="Times New Roman" w:cs="Times New Roman"/>
          <w:sz w:val="26"/>
          <w:szCs w:val="26"/>
        </w:rPr>
        <w:t xml:space="preserve"> volt.</w:t>
      </w:r>
      <w:r w:rsidRPr="6E235B12">
        <w:rPr>
          <w:rFonts w:ascii="Times New Roman" w:eastAsia="Times New Roman" w:hAnsi="Times New Roman" w:cs="Times New Roman"/>
          <w:b/>
          <w:bCs/>
          <w:sz w:val="26"/>
          <w:szCs w:val="26"/>
        </w:rPr>
        <w:t xml:space="preserve"> </w:t>
      </w:r>
    </w:p>
    <w:p w14:paraId="0D0F2783" w14:textId="62518F6B" w:rsidR="009D55B4" w:rsidRPr="00377D59" w:rsidRDefault="00AE73DC" w:rsidP="009D55B4">
      <w:pPr>
        <w:jc w:val="center"/>
        <w:rPr>
          <w:rFonts w:ascii="Times New Roman" w:eastAsia="Times New Roman" w:hAnsi="Times New Roman" w:cs="Times New Roman"/>
          <w:sz w:val="26"/>
          <w:szCs w:val="26"/>
        </w:rPr>
      </w:pPr>
      <w:r>
        <w:rPr>
          <w:noProof/>
        </w:rPr>
        <w:drawing>
          <wp:inline distT="0" distB="0" distL="0" distR="0" wp14:anchorId="6DF7F241" wp14:editId="40F6C642">
            <wp:extent cx="5940425" cy="3644900"/>
            <wp:effectExtent l="0" t="0" r="3175" b="0"/>
            <wp:docPr id="41055269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2698" name=""/>
                    <pic:cNvPicPr/>
                  </pic:nvPicPr>
                  <pic:blipFill>
                    <a:blip r:embed="rId16"/>
                    <a:stretch>
                      <a:fillRect/>
                    </a:stretch>
                  </pic:blipFill>
                  <pic:spPr>
                    <a:xfrm>
                      <a:off x="0" y="0"/>
                      <a:ext cx="5940425" cy="3644900"/>
                    </a:xfrm>
                    <a:prstGeom prst="rect">
                      <a:avLst/>
                    </a:prstGeom>
                  </pic:spPr>
                </pic:pic>
              </a:graphicData>
            </a:graphic>
          </wp:inline>
        </w:drawing>
      </w:r>
    </w:p>
    <w:p w14:paraId="23623F4E" w14:textId="38CC5F2B" w:rsidR="5B67C7D7" w:rsidRPr="00920F4D"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költségvetés XLV. </w:t>
      </w:r>
      <w:r w:rsidRPr="6E235B12">
        <w:rPr>
          <w:rFonts w:ascii="Times New Roman" w:eastAsia="Times New Roman" w:hAnsi="Times New Roman" w:cs="Times New Roman"/>
          <w:b/>
          <w:bCs/>
          <w:sz w:val="26"/>
          <w:szCs w:val="26"/>
        </w:rPr>
        <w:t>Állami beruházások</w:t>
      </w:r>
      <w:r w:rsidRPr="6E235B12">
        <w:rPr>
          <w:rFonts w:ascii="Times New Roman" w:eastAsia="Times New Roman" w:hAnsi="Times New Roman" w:cs="Times New Roman"/>
          <w:sz w:val="26"/>
          <w:szCs w:val="26"/>
        </w:rPr>
        <w:t xml:space="preserve"> fejezetének bevételei 2025. május végéig 98,6 milliárd forintot tettek ki.</w:t>
      </w:r>
    </w:p>
    <w:p w14:paraId="4BE4CA6A" w14:textId="7EF78DD2" w:rsidR="39728167" w:rsidRPr="00377D59" w:rsidRDefault="0A24B9C4" w:rsidP="00CC73DD">
      <w:pPr>
        <w:jc w:val="both"/>
        <w:rPr>
          <w:rFonts w:ascii="Times New Roman" w:hAnsi="Times New Roman" w:cs="Times New Roman"/>
        </w:rPr>
      </w:pPr>
      <w:r w:rsidRPr="0A24B9C4">
        <w:rPr>
          <w:rFonts w:ascii="Times New Roman" w:eastAsia="Times New Roman" w:hAnsi="Times New Roman" w:cs="Times New Roman"/>
          <w:sz w:val="26"/>
          <w:szCs w:val="26"/>
        </w:rPr>
        <w:lastRenderedPageBreak/>
        <w:t xml:space="preserve">Az uniós bevételek főszabály szerint a XLII. A költségvetés közvetlen bevételei és kiadásai fejezetbe érkeznek, ezek kimutatására szolgálnak az </w:t>
      </w:r>
      <w:r w:rsidRPr="0A24B9C4">
        <w:rPr>
          <w:rFonts w:ascii="Times New Roman" w:eastAsia="Times New Roman" w:hAnsi="Times New Roman" w:cs="Times New Roman"/>
          <w:b/>
          <w:bCs/>
          <w:sz w:val="26"/>
          <w:szCs w:val="26"/>
        </w:rPr>
        <w:t>Uniós programok bevételei</w:t>
      </w:r>
      <w:r w:rsidRPr="0A24B9C4">
        <w:rPr>
          <w:rFonts w:ascii="Times New Roman" w:eastAsia="Times New Roman" w:hAnsi="Times New Roman" w:cs="Times New Roman"/>
          <w:sz w:val="26"/>
          <w:szCs w:val="26"/>
        </w:rPr>
        <w:t xml:space="preserve">, valamint az </w:t>
      </w:r>
      <w:r w:rsidRPr="0A24B9C4">
        <w:rPr>
          <w:rFonts w:ascii="Times New Roman" w:eastAsia="Times New Roman" w:hAnsi="Times New Roman" w:cs="Times New Roman"/>
          <w:b/>
          <w:bCs/>
          <w:sz w:val="26"/>
          <w:szCs w:val="26"/>
        </w:rPr>
        <w:t>Egyéb uniós bevételek</w:t>
      </w:r>
      <w:r w:rsidRPr="0A24B9C4">
        <w:rPr>
          <w:rFonts w:ascii="Times New Roman" w:eastAsia="Times New Roman" w:hAnsi="Times New Roman" w:cs="Times New Roman"/>
          <w:sz w:val="26"/>
          <w:szCs w:val="26"/>
        </w:rPr>
        <w:t xml:space="preserve"> mérlegsorok.</w:t>
      </w:r>
    </w:p>
    <w:p w14:paraId="3C3A66C8" w14:textId="05FDC083" w:rsidR="74B9DF17"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Uniós programok bevételei</w:t>
      </w:r>
      <w:r w:rsidRPr="6E235B12">
        <w:rPr>
          <w:rFonts w:ascii="Times New Roman" w:eastAsia="Times New Roman" w:hAnsi="Times New Roman" w:cs="Times New Roman"/>
          <w:sz w:val="26"/>
          <w:szCs w:val="26"/>
        </w:rPr>
        <w:t xml:space="preserve"> mérlegsoron 2025. május végéig 168,3</w:t>
      </w:r>
      <w:r w:rsidR="0059272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bevétel keletkezett. Ez az összeg a törvényi előirányzat (2</w:t>
      </w:r>
      <w:r w:rsidR="0059272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235,9</w:t>
      </w:r>
      <w:r w:rsidR="0059272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7,5%-át teszi ki. A teljesült bevételből 123,0 milliárd forint az uniós és 45,3 milliárd forint az egyéb bevételekhez tartozik.</w:t>
      </w:r>
    </w:p>
    <w:p w14:paraId="040E2327" w14:textId="28FBE106" w:rsidR="74B9DF17" w:rsidRPr="00FE12D5" w:rsidRDefault="6E235B12" w:rsidP="00CC73DD">
      <w:pPr>
        <w:jc w:val="both"/>
        <w:rPr>
          <w:rFonts w:ascii="Times New Roman" w:hAnsi="Times New Roman" w:cs="Times New Roman"/>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 xml:space="preserve">Egyéb uniós bevételek </w:t>
      </w:r>
      <w:r w:rsidRPr="6E235B12">
        <w:rPr>
          <w:rFonts w:ascii="Times New Roman" w:eastAsia="Times New Roman" w:hAnsi="Times New Roman" w:cs="Times New Roman"/>
          <w:sz w:val="26"/>
          <w:szCs w:val="26"/>
        </w:rPr>
        <w:t>soron a vámbeszedési költség megtérítése jelenik meg, mely 13,9</w:t>
      </w:r>
      <w:r w:rsidR="00A66651">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forintot tett ki 2025 májusáig. Ez az összeg a törvényi előirányzat 44,0%-a</w:t>
      </w:r>
      <w:r w:rsidR="00CC73DD">
        <w:rPr>
          <w:rFonts w:ascii="Times New Roman" w:eastAsia="Times New Roman" w:hAnsi="Times New Roman" w:cs="Times New Roman"/>
          <w:sz w:val="26"/>
          <w:szCs w:val="26"/>
        </w:rPr>
        <w:t>,</w:t>
      </w:r>
      <w:r w:rsidRPr="6E235B12">
        <w:rPr>
          <w:rFonts w:ascii="Times New Roman" w:eastAsia="Times New Roman" w:hAnsi="Times New Roman" w:cs="Times New Roman"/>
          <w:sz w:val="26"/>
          <w:szCs w:val="26"/>
        </w:rPr>
        <w:t xml:space="preserve"> és 1,5</w:t>
      </w:r>
      <w:r w:rsidR="00A66651">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haladja meg a 2024. év azonos időszakában keletkezett bevételt.</w:t>
      </w:r>
    </w:p>
    <w:p w14:paraId="11D6C9D4" w14:textId="77777777" w:rsidR="006330AD" w:rsidRPr="006330AD" w:rsidRDefault="006330AD" w:rsidP="00CC73DD">
      <w:pPr>
        <w:jc w:val="both"/>
        <w:rPr>
          <w:rFonts w:ascii="Times New Roman" w:eastAsia="Calibri" w:hAnsi="Times New Roman" w:cs="Times New Roman"/>
          <w:sz w:val="26"/>
          <w:szCs w:val="26"/>
          <w:lang w:eastAsia="hu-HU"/>
        </w:rPr>
      </w:pPr>
      <w:r w:rsidRPr="006330AD">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május végéig a </w:t>
      </w:r>
      <w:r w:rsidRPr="006330AD">
        <w:rPr>
          <w:rFonts w:ascii="Times New Roman" w:eastAsia="Calibri" w:hAnsi="Times New Roman" w:cs="Times New Roman"/>
          <w:b/>
          <w:bCs/>
          <w:sz w:val="26"/>
          <w:szCs w:val="26"/>
          <w:lang w:eastAsia="hu-HU"/>
        </w:rPr>
        <w:t xml:space="preserve">társadalombiztosítási járulék </w:t>
      </w:r>
      <w:r w:rsidRPr="006330AD">
        <w:rPr>
          <w:rFonts w:ascii="Times New Roman" w:eastAsia="Times New Roman" w:hAnsi="Times New Roman" w:cs="Times New Roman"/>
          <w:b/>
          <w:bCs/>
          <w:sz w:val="26"/>
          <w:szCs w:val="26"/>
          <w:lang w:eastAsia="hu-HU"/>
        </w:rPr>
        <w:t xml:space="preserve">Nemzeti Foglalkoztatási </w:t>
      </w:r>
      <w:r w:rsidRPr="006330AD">
        <w:rPr>
          <w:rFonts w:ascii="Times New Roman" w:eastAsia="Calibri" w:hAnsi="Times New Roman" w:cs="Times New Roman"/>
          <w:b/>
          <w:bCs/>
          <w:sz w:val="26"/>
          <w:szCs w:val="26"/>
          <w:lang w:eastAsia="hu-HU"/>
        </w:rPr>
        <w:t xml:space="preserve">Alapot megillető része </w:t>
      </w:r>
      <w:r w:rsidRPr="006330AD">
        <w:rPr>
          <w:rFonts w:ascii="Times New Roman" w:eastAsia="Calibri" w:hAnsi="Times New Roman" w:cs="Times New Roman"/>
          <w:bCs/>
          <w:sz w:val="26"/>
          <w:szCs w:val="26"/>
          <w:lang w:eastAsia="hu-HU"/>
        </w:rPr>
        <w:t>179,8</w:t>
      </w:r>
      <w:r w:rsidRPr="006330AD">
        <w:rPr>
          <w:rFonts w:ascii="Times New Roman" w:eastAsia="Calibri" w:hAnsi="Times New Roman" w:cs="Times New Roman"/>
          <w:sz w:val="26"/>
          <w:szCs w:val="26"/>
          <w:lang w:eastAsia="hu-HU"/>
        </w:rPr>
        <w:t> 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forintban teljesült, amely az előző év azonos időszakában befolyt bevételt 15,3</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forinttal haladta meg. A bevételnövekedés oka a járulékköteles jövedelmek növekedése.</w:t>
      </w:r>
    </w:p>
    <w:p w14:paraId="78097ED6" w14:textId="77777777" w:rsidR="006330AD" w:rsidRPr="006330AD" w:rsidRDefault="006330AD" w:rsidP="00CC73DD">
      <w:pPr>
        <w:jc w:val="both"/>
        <w:rPr>
          <w:rFonts w:ascii="Times New Roman" w:eastAsia="Times New Roman" w:hAnsi="Times New Roman" w:cs="Times New Roman"/>
          <w:sz w:val="26"/>
          <w:szCs w:val="26"/>
          <w:lang w:eastAsia="hu-HU"/>
        </w:rPr>
      </w:pPr>
      <w:r w:rsidRPr="006330AD">
        <w:rPr>
          <w:rFonts w:ascii="Times New Roman" w:eastAsia="Times New Roman" w:hAnsi="Times New Roman" w:cs="Times New Roman"/>
          <w:sz w:val="26"/>
          <w:szCs w:val="26"/>
          <w:lang w:eastAsia="hu-HU"/>
        </w:rPr>
        <w:t xml:space="preserve">2025-ben a szociális hozzájárulási adó megfizetett összegének 86,96%-a a Nyugdíjbiztosítási Alapot illeti meg. A </w:t>
      </w:r>
      <w:r w:rsidRPr="006330AD">
        <w:rPr>
          <w:rFonts w:ascii="Times New Roman" w:eastAsia="Times New Roman" w:hAnsi="Times New Roman" w:cs="Times New Roman"/>
          <w:b/>
          <w:bCs/>
          <w:sz w:val="26"/>
          <w:szCs w:val="26"/>
          <w:lang w:eastAsia="hu-HU"/>
        </w:rPr>
        <w:t xml:space="preserve">szociális hozzájárulási adó Nyugdíjbiztosítási Alapot megillető része </w:t>
      </w:r>
      <w:r w:rsidRPr="006330AD">
        <w:rPr>
          <w:rFonts w:ascii="Times New Roman" w:eastAsia="Times New Roman" w:hAnsi="Times New Roman" w:cs="Times New Roman"/>
          <w:bCs/>
          <w:sz w:val="26"/>
          <w:szCs w:val="26"/>
          <w:lang w:eastAsia="hu-HU"/>
        </w:rPr>
        <w:t>2025 első öt hónapjában</w:t>
      </w:r>
      <w:r w:rsidRPr="006330AD">
        <w:rPr>
          <w:rFonts w:ascii="Times New Roman" w:eastAsia="Times New Roman" w:hAnsi="Times New Roman" w:cs="Times New Roman"/>
          <w:sz w:val="26"/>
          <w:szCs w:val="26"/>
          <w:lang w:eastAsia="hu-HU"/>
        </w:rPr>
        <w:t xml:space="preserve"> 1 218</w:t>
      </w:r>
      <w:r w:rsidRPr="006330AD">
        <w:rPr>
          <w:rFonts w:ascii="Times New Roman" w:eastAsia="Times New Roman" w:hAnsi="Times New Roman" w:cs="Times New Roman"/>
          <w:sz w:val="26"/>
          <w:szCs w:val="20"/>
          <w:lang w:eastAsia="hu-HU"/>
        </w:rPr>
        <w:t>,7 </w:t>
      </w:r>
      <w:r w:rsidRPr="006330AD">
        <w:rPr>
          <w:rFonts w:ascii="Times New Roman" w:eastAsia="Times New Roman"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forintban teljesült, amely 97,8</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forinttal haladta meg az előző év azonos időszakában befolyt bevételt. A bevétel változása az adóköteles jövedelmek növekedésével és az alapok közötti megoszlási arány változásával magyarázható.</w:t>
      </w:r>
    </w:p>
    <w:p w14:paraId="7495DAA7" w14:textId="5528557F" w:rsidR="006330AD" w:rsidRDefault="006330AD" w:rsidP="00CC73DD">
      <w:pPr>
        <w:jc w:val="both"/>
        <w:rPr>
          <w:rFonts w:ascii="Times New Roman" w:eastAsia="Calibri" w:hAnsi="Times New Roman" w:cs="Times New Roman"/>
          <w:sz w:val="26"/>
          <w:szCs w:val="26"/>
          <w:lang w:eastAsia="hu-HU"/>
        </w:rPr>
      </w:pPr>
      <w:r w:rsidRPr="006330AD">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május végéig a </w:t>
      </w:r>
      <w:r w:rsidRPr="006330AD">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6330AD">
        <w:rPr>
          <w:rFonts w:ascii="Times New Roman" w:eastAsia="Times New Roman" w:hAnsi="Times New Roman" w:cs="Times New Roman"/>
          <w:sz w:val="26"/>
          <w:szCs w:val="26"/>
          <w:lang w:eastAsia="hu-HU"/>
        </w:rPr>
        <w:t xml:space="preserve"> 1 224,7</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forintban teljesült, amely az előző év azonos időszakában befolyt bevételt 103,7</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Times New Roman" w:hAnsi="Times New Roman" w:cs="Times New Roman"/>
          <w:sz w:val="26"/>
          <w:szCs w:val="26"/>
          <w:lang w:eastAsia="hu-HU"/>
        </w:rPr>
        <w:t xml:space="preserve">forinttal haladta meg. </w:t>
      </w:r>
      <w:r w:rsidRPr="006330AD">
        <w:rPr>
          <w:rFonts w:ascii="Times New Roman" w:eastAsia="Calibri" w:hAnsi="Times New Roman" w:cs="Times New Roman"/>
          <w:sz w:val="26"/>
          <w:szCs w:val="26"/>
          <w:lang w:eastAsia="hu-HU"/>
        </w:rPr>
        <w:t>A bevételnövekedés oka a járulékköteles jövedelmek növekedése.</w:t>
      </w:r>
    </w:p>
    <w:p w14:paraId="6512C1A9" w14:textId="74C2E9F2" w:rsidR="00462EDD" w:rsidRPr="00462EDD"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Nyugdíjbiztosítási Alap</w:t>
      </w:r>
      <w:r w:rsidRPr="6E235B12">
        <w:rPr>
          <w:rFonts w:ascii="Times New Roman" w:eastAsia="Times New Roman" w:hAnsi="Times New Roman" w:cs="Times New Roman"/>
          <w:sz w:val="26"/>
          <w:szCs w:val="26"/>
        </w:rPr>
        <w:t xml:space="preserve"> 2025. évi költségvetése az ellátási kiadások támogatására 564,5 milliárd forint központi </w:t>
      </w:r>
      <w:r w:rsidRPr="6E235B12">
        <w:rPr>
          <w:rFonts w:ascii="Times New Roman" w:eastAsia="Times New Roman" w:hAnsi="Times New Roman" w:cs="Times New Roman"/>
          <w:b/>
          <w:bCs/>
          <w:sz w:val="26"/>
          <w:szCs w:val="26"/>
        </w:rPr>
        <w:t>költségvetési hozzájárulást</w:t>
      </w:r>
      <w:r w:rsidRPr="6E235B12">
        <w:rPr>
          <w:rFonts w:ascii="Times New Roman" w:eastAsia="Times New Roman" w:hAnsi="Times New Roman" w:cs="Times New Roman"/>
          <w:sz w:val="26"/>
          <w:szCs w:val="26"/>
        </w:rPr>
        <w:t xml:space="preserve"> tartalmaz, ami 33,1 milliárd forinttal haladja meg az előző évi előirányzatot.</w:t>
      </w:r>
    </w:p>
    <w:p w14:paraId="1B9C4A3C" w14:textId="19DB75C2" w:rsidR="00462EDD" w:rsidRPr="00462EDD"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2A581394" w:rsidR="19667954"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Magyar Államkincstár az ellátási kiadások támogatására a Nyugdíjbiztosítási Alap részére 2025. május végéig 32,3 milliárd forint központi támogatást utalt át </w:t>
      </w:r>
      <w:r w:rsidRPr="6E235B12">
        <w:rPr>
          <w:rFonts w:ascii="Times New Roman" w:eastAsia="Times New Roman" w:hAnsi="Times New Roman" w:cs="Times New Roman"/>
          <w:b/>
          <w:bCs/>
          <w:sz w:val="26"/>
          <w:szCs w:val="26"/>
        </w:rPr>
        <w:t>pénzeszköz-átadás</w:t>
      </w:r>
      <w:r w:rsidRPr="6E235B12">
        <w:rPr>
          <w:rFonts w:ascii="Times New Roman" w:eastAsia="Times New Roman" w:hAnsi="Times New Roman" w:cs="Times New Roman"/>
          <w:sz w:val="26"/>
          <w:szCs w:val="26"/>
        </w:rPr>
        <w:t xml:space="preserve"> jogcímen, ami </w:t>
      </w:r>
      <w:r w:rsidR="00996BA2">
        <w:rPr>
          <w:rFonts w:ascii="Times New Roman" w:eastAsia="Times New Roman" w:hAnsi="Times New Roman" w:cs="Times New Roman"/>
          <w:sz w:val="26"/>
          <w:szCs w:val="26"/>
        </w:rPr>
        <w:t>6,5</w:t>
      </w:r>
      <w:r w:rsidRPr="6E235B12">
        <w:rPr>
          <w:rFonts w:ascii="Times New Roman" w:eastAsia="Times New Roman" w:hAnsi="Times New Roman" w:cs="Times New Roman"/>
          <w:sz w:val="26"/>
          <w:szCs w:val="26"/>
        </w:rPr>
        <w:t> milliárd forinttal magasabb az előző év azonos időszakában nyújtott támogatás összegénél. A pénzeszköz-átadás a Nyugdíjbiztosítási Alap költségvetési egyensúlyának biztosítását szolgálja.</w:t>
      </w:r>
    </w:p>
    <w:p w14:paraId="6BF2F156" w14:textId="4BC83F57" w:rsidR="00A76FE3" w:rsidRDefault="6E235B12" w:rsidP="00CC73DD">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lastRenderedPageBreak/>
        <w:t xml:space="preserve">A </w:t>
      </w:r>
      <w:r w:rsidRPr="6E235B12">
        <w:rPr>
          <w:rFonts w:ascii="Times New Roman" w:eastAsia="Times New Roman" w:hAnsi="Times New Roman" w:cs="Times New Roman"/>
          <w:b/>
          <w:bCs/>
          <w:sz w:val="26"/>
          <w:szCs w:val="26"/>
        </w:rPr>
        <w:t>13. havi nyugdíj kifizetésének</w:t>
      </w:r>
      <w:r w:rsidRPr="6E235B12">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7D300127" w14:textId="55EE68C2" w:rsidR="00A76FE3" w:rsidRDefault="004C0575" w:rsidP="0082381D">
      <w:pPr>
        <w:jc w:val="center"/>
      </w:pPr>
      <w:r>
        <w:rPr>
          <w:noProof/>
        </w:rPr>
        <w:drawing>
          <wp:inline distT="0" distB="0" distL="0" distR="0" wp14:anchorId="3635C028" wp14:editId="4C13EA6F">
            <wp:extent cx="5940425" cy="2317750"/>
            <wp:effectExtent l="0" t="0" r="3175" b="6350"/>
            <wp:docPr id="8895655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6556" name=""/>
                    <pic:cNvPicPr/>
                  </pic:nvPicPr>
                  <pic:blipFill>
                    <a:blip r:embed="rId17"/>
                    <a:stretch>
                      <a:fillRect/>
                    </a:stretch>
                  </pic:blipFill>
                  <pic:spPr>
                    <a:xfrm>
                      <a:off x="0" y="0"/>
                      <a:ext cx="5940425" cy="2317750"/>
                    </a:xfrm>
                    <a:prstGeom prst="rect">
                      <a:avLst/>
                    </a:prstGeom>
                  </pic:spPr>
                </pic:pic>
              </a:graphicData>
            </a:graphic>
          </wp:inline>
        </w:drawing>
      </w:r>
    </w:p>
    <w:p w14:paraId="70A1A184" w14:textId="77777777" w:rsidR="006330AD" w:rsidRPr="006330AD" w:rsidRDefault="006330AD" w:rsidP="005865EE">
      <w:pPr>
        <w:jc w:val="both"/>
        <w:rPr>
          <w:rFonts w:ascii="Times New Roman" w:eastAsia="Times New Roman" w:hAnsi="Times New Roman" w:cs="Times New Roman"/>
          <w:sz w:val="26"/>
          <w:szCs w:val="26"/>
          <w:lang w:eastAsia="hu-HU"/>
        </w:rPr>
      </w:pPr>
      <w:r w:rsidRPr="006330AD">
        <w:rPr>
          <w:rFonts w:ascii="Times New Roman" w:eastAsia="Calibri" w:hAnsi="Times New Roman" w:cs="Times New Roman"/>
          <w:sz w:val="26"/>
          <w:szCs w:val="26"/>
          <w:lang w:eastAsia="hu-HU"/>
        </w:rPr>
        <w:t xml:space="preserve">2025-ben a szociális hozzájárulási adó megfizetett összegének 13,04%-a az Egészségbiztosítási Alapot illeti meg. 2025 első öt hónapjában a </w:t>
      </w:r>
      <w:r w:rsidRPr="006330AD">
        <w:rPr>
          <w:rFonts w:ascii="Times New Roman" w:eastAsia="Calibri" w:hAnsi="Times New Roman" w:cs="Times New Roman"/>
          <w:b/>
          <w:bCs/>
          <w:sz w:val="26"/>
          <w:szCs w:val="26"/>
          <w:lang w:eastAsia="hu-HU"/>
        </w:rPr>
        <w:t>szociális hozzájárulási adó Egészségbiztosítási Alapot megillető része</w:t>
      </w:r>
      <w:r w:rsidRPr="006330AD">
        <w:rPr>
          <w:rFonts w:ascii="Times New Roman" w:eastAsia="Calibri" w:hAnsi="Times New Roman" w:cs="Times New Roman"/>
          <w:sz w:val="26"/>
          <w:szCs w:val="26"/>
          <w:lang w:eastAsia="hu-HU"/>
        </w:rPr>
        <w:t xml:space="preserve"> 182,7</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forintban teljesült, amely 46,1</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 xml:space="preserve">forinttal </w:t>
      </w:r>
      <w:r w:rsidRPr="006330AD">
        <w:rPr>
          <w:rFonts w:ascii="Times New Roman" w:eastAsia="Times New Roman" w:hAnsi="Times New Roman" w:cs="Times New Roman"/>
          <w:sz w:val="26"/>
          <w:szCs w:val="26"/>
          <w:lang w:eastAsia="hu-HU"/>
        </w:rPr>
        <w:t>haladta meg az előző év azonos időszakában befolyt bevételt</w:t>
      </w:r>
      <w:r w:rsidRPr="006330AD">
        <w:rPr>
          <w:rFonts w:ascii="Times New Roman" w:eastAsia="Calibri" w:hAnsi="Times New Roman" w:cs="Times New Roman"/>
          <w:sz w:val="26"/>
          <w:szCs w:val="26"/>
          <w:lang w:eastAsia="hu-HU"/>
        </w:rPr>
        <w:t xml:space="preserve">. </w:t>
      </w:r>
      <w:r w:rsidRPr="006330AD">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381DF736" w14:textId="23186D0F" w:rsidR="006330AD" w:rsidRDefault="006330AD" w:rsidP="005865EE">
      <w:pPr>
        <w:jc w:val="both"/>
        <w:rPr>
          <w:rFonts w:ascii="Times New Roman" w:eastAsia="Calibri" w:hAnsi="Times New Roman" w:cs="Times New Roman"/>
          <w:sz w:val="26"/>
          <w:szCs w:val="26"/>
          <w:lang w:eastAsia="hu-HU"/>
        </w:rPr>
      </w:pPr>
      <w:r w:rsidRPr="006330AD">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május végéig a </w:t>
      </w:r>
      <w:r w:rsidRPr="006330AD">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06330AD">
        <w:rPr>
          <w:rFonts w:ascii="Times New Roman" w:eastAsia="Calibri" w:hAnsi="Times New Roman" w:cs="Times New Roman"/>
          <w:sz w:val="26"/>
          <w:szCs w:val="26"/>
          <w:lang w:eastAsia="hu-HU"/>
        </w:rPr>
        <w:t xml:space="preserve"> 834,9</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 xml:space="preserve">forintban teljesült, </w:t>
      </w:r>
      <w:r w:rsidRPr="006330AD">
        <w:rPr>
          <w:rFonts w:ascii="Times New Roman" w:eastAsia="Times New Roman" w:hAnsi="Times New Roman" w:cs="Times New Roman"/>
          <w:sz w:val="26"/>
          <w:szCs w:val="26"/>
          <w:lang w:eastAsia="hu-HU"/>
        </w:rPr>
        <w:t>amely az előző év azonos időszakában befolyt bevételt</w:t>
      </w:r>
      <w:r w:rsidRPr="006330AD">
        <w:rPr>
          <w:rFonts w:ascii="Times New Roman" w:eastAsia="Calibri" w:hAnsi="Times New Roman" w:cs="Times New Roman"/>
          <w:sz w:val="26"/>
          <w:szCs w:val="26"/>
          <w:lang w:eastAsia="hu-HU"/>
        </w:rPr>
        <w:t xml:space="preserve"> 70,4 milliárd</w:t>
      </w:r>
      <w:r w:rsidRPr="006330AD">
        <w:rPr>
          <w:rFonts w:ascii="Times New Roman" w:eastAsia="Times New Roman" w:hAnsi="Times New Roman" w:cs="Times New Roman"/>
          <w:sz w:val="26"/>
          <w:szCs w:val="20"/>
          <w:lang w:eastAsia="hu-HU"/>
        </w:rPr>
        <w:t> </w:t>
      </w:r>
      <w:r w:rsidRPr="006330AD">
        <w:rPr>
          <w:rFonts w:ascii="Times New Roman" w:eastAsia="Calibri" w:hAnsi="Times New Roman" w:cs="Times New Roman"/>
          <w:sz w:val="26"/>
          <w:szCs w:val="26"/>
          <w:lang w:eastAsia="hu-HU"/>
        </w:rPr>
        <w:t>forinttal haladta meg. A bevételnövekedés oka a járulékköteles jövedelmek növekedése.</w:t>
      </w:r>
    </w:p>
    <w:p w14:paraId="1E047965" w14:textId="1A813ABA" w:rsidR="005961B9" w:rsidRPr="00455A9C" w:rsidRDefault="0A24B9C4" w:rsidP="005865EE">
      <w:pPr>
        <w:jc w:val="both"/>
        <w:rPr>
          <w:rFonts w:ascii="Times New Roman" w:hAnsi="Times New Roman" w:cs="Times New Roman"/>
          <w:sz w:val="26"/>
          <w:szCs w:val="26"/>
        </w:rPr>
      </w:pPr>
      <w:r w:rsidRPr="0A24B9C4">
        <w:rPr>
          <w:rFonts w:ascii="Times New Roman" w:hAnsi="Times New Roman" w:cs="Times New Roman"/>
          <w:sz w:val="26"/>
          <w:szCs w:val="26"/>
        </w:rPr>
        <w:t xml:space="preserve">Az </w:t>
      </w:r>
      <w:r w:rsidRPr="0A24B9C4">
        <w:rPr>
          <w:rFonts w:ascii="Times New Roman" w:hAnsi="Times New Roman" w:cs="Times New Roman"/>
          <w:b/>
          <w:bCs/>
          <w:sz w:val="26"/>
          <w:szCs w:val="26"/>
        </w:rPr>
        <w:t>Egészségbiztosítási Alap költségvetési hozzájárulásai</w:t>
      </w:r>
      <w:r w:rsidRPr="0A24B9C4">
        <w:rPr>
          <w:rFonts w:ascii="Times New Roman" w:hAnsi="Times New Roman" w:cs="Times New Roman"/>
          <w:sz w:val="26"/>
          <w:szCs w:val="26"/>
        </w:rPr>
        <w:t xml:space="preserve"> 2025 első öt hónapjában összesen 787,2 milliárd forintot tettek ki, amely 0,7 milliárd forinttal alacsonyabb, mint az előző év azonos időszakában átutalt összeg. 2025 első öt hónapjában az Egészségbiztosítási Alap járulék címen átvett pénzeszközként 288,</w:t>
      </w:r>
      <w:r w:rsidR="00FA054E">
        <w:rPr>
          <w:rFonts w:ascii="Times New Roman" w:hAnsi="Times New Roman" w:cs="Times New Roman"/>
          <w:sz w:val="26"/>
          <w:szCs w:val="26"/>
        </w:rPr>
        <w:t>5</w:t>
      </w:r>
      <w:r w:rsidRPr="0A24B9C4">
        <w:rPr>
          <w:rFonts w:ascii="Times New Roman" w:hAnsi="Times New Roman" w:cs="Times New Roman"/>
          <w:sz w:val="26"/>
          <w:szCs w:val="26"/>
        </w:rPr>
        <w:t> milliárd forint támogatást kapott, szemben a tavalyi év azonos időszakában átutalt 272,0 milliárd forint összeggel. Az alap kiadásainak támogatására szolgáló tervezett pénzeszköz-átvétel és az egészségügyi feladatok ellátásával kapcsolatos hozzájárulás együttes összege 2025. május végéig 498,7 milliárd forintot tett ki, amely 17,2 milliárd forinttal elmarad a tavalyi év ugyanezen időszakában átutalt összegtől.</w:t>
      </w:r>
    </w:p>
    <w:p w14:paraId="754C440E" w14:textId="6FA8B559" w:rsidR="005961B9" w:rsidRDefault="005961B9" w:rsidP="21A055E4">
      <w:pPr>
        <w:rPr>
          <w:rFonts w:ascii="Times New Roman" w:hAnsi="Times New Roman" w:cs="Times New Roman"/>
          <w:sz w:val="26"/>
          <w:szCs w:val="26"/>
        </w:rPr>
      </w:pPr>
      <w:r w:rsidRPr="21A055E4">
        <w:rPr>
          <w:rFonts w:ascii="Times New Roman" w:hAnsi="Times New Roman" w:cs="Times New Roman"/>
          <w:sz w:val="26"/>
          <w:szCs w:val="26"/>
        </w:rPr>
        <w:br w:type="page"/>
      </w:r>
    </w:p>
    <w:p w14:paraId="51F08DF7" w14:textId="6FA8B559" w:rsidR="009E34AE" w:rsidRPr="00377D59" w:rsidRDefault="6E235B12" w:rsidP="6E235B1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6E235B12">
        <w:rPr>
          <w:rFonts w:ascii="Times New Roman" w:eastAsia="Times New Roman" w:hAnsi="Times New Roman" w:cs="Times New Roman"/>
          <w:b/>
          <w:bCs/>
          <w:smallCaps/>
          <w:sz w:val="28"/>
          <w:szCs w:val="28"/>
          <w:lang w:eastAsia="hu-HU"/>
        </w:rPr>
        <w:lastRenderedPageBreak/>
        <w:t xml:space="preserve">A főbb kiadások </w:t>
      </w:r>
    </w:p>
    <w:p w14:paraId="43E84AB1" w14:textId="72679721" w:rsidR="00433577" w:rsidRPr="00433577" w:rsidRDefault="00433577" w:rsidP="00433577">
      <w:pPr>
        <w:spacing w:after="120"/>
        <w:jc w:val="both"/>
        <w:rPr>
          <w:rFonts w:ascii="Times New Roman" w:eastAsia="Times New Roman" w:hAnsi="Times New Roman" w:cs="Times New Roman"/>
          <w:b/>
          <w:bCs/>
          <w:sz w:val="26"/>
          <w:szCs w:val="26"/>
          <w:lang w:eastAsia="hu-HU"/>
        </w:rPr>
      </w:pPr>
      <w:r w:rsidRPr="00433577">
        <w:rPr>
          <w:rFonts w:ascii="Times New Roman" w:eastAsia="Times New Roman" w:hAnsi="Times New Roman" w:cs="Times New Roman"/>
          <w:b/>
          <w:bCs/>
          <w:sz w:val="26"/>
          <w:szCs w:val="26"/>
          <w:lang w:eastAsia="hu-HU"/>
        </w:rPr>
        <w:t>A központi alrendszer május végi 18</w:t>
      </w:r>
      <w:r>
        <w:rPr>
          <w:rFonts w:ascii="Times New Roman" w:eastAsia="Times New Roman" w:hAnsi="Times New Roman" w:cs="Times New Roman"/>
          <w:b/>
          <w:bCs/>
          <w:sz w:val="26"/>
          <w:szCs w:val="26"/>
          <w:lang w:eastAsia="hu-HU"/>
        </w:rPr>
        <w:t> </w:t>
      </w:r>
      <w:r w:rsidRPr="00433577">
        <w:rPr>
          <w:rFonts w:ascii="Times New Roman" w:eastAsia="Times New Roman" w:hAnsi="Times New Roman" w:cs="Times New Roman"/>
          <w:b/>
          <w:bCs/>
          <w:sz w:val="26"/>
          <w:szCs w:val="26"/>
          <w:lang w:eastAsia="hu-HU"/>
        </w:rPr>
        <w:t>868,7 milliárd forint összegű kiadásai 971,0</w:t>
      </w:r>
      <w:r>
        <w:rPr>
          <w:rFonts w:ascii="Times New Roman" w:eastAsia="Times New Roman" w:hAnsi="Times New Roman" w:cs="Times New Roman"/>
          <w:b/>
          <w:bCs/>
          <w:sz w:val="26"/>
          <w:szCs w:val="26"/>
          <w:lang w:eastAsia="hu-HU"/>
        </w:rPr>
        <w:t> </w:t>
      </w:r>
      <w:r w:rsidRPr="00433577">
        <w:rPr>
          <w:rFonts w:ascii="Times New Roman" w:eastAsia="Times New Roman" w:hAnsi="Times New Roman" w:cs="Times New Roman"/>
          <w:b/>
          <w:bCs/>
          <w:sz w:val="26"/>
          <w:szCs w:val="26"/>
          <w:lang w:eastAsia="hu-HU"/>
        </w:rPr>
        <w:t xml:space="preserve">milliárd forinttal, 5,4%-kal haladták meg az előző év azonos időszaki adatát. </w:t>
      </w:r>
    </w:p>
    <w:p w14:paraId="4186521A" w14:textId="74C74B67" w:rsidR="00433577" w:rsidRPr="00433577" w:rsidRDefault="00433577" w:rsidP="00433577">
      <w:pPr>
        <w:spacing w:after="120"/>
        <w:jc w:val="both"/>
        <w:rPr>
          <w:rFonts w:ascii="Times New Roman" w:eastAsia="Times New Roman" w:hAnsi="Times New Roman" w:cs="Times New Roman"/>
          <w:b/>
          <w:bCs/>
          <w:sz w:val="26"/>
          <w:szCs w:val="26"/>
          <w:lang w:eastAsia="hu-HU"/>
        </w:rPr>
      </w:pPr>
      <w:r w:rsidRPr="00433577">
        <w:rPr>
          <w:rFonts w:ascii="Times New Roman" w:eastAsia="Times New Roman" w:hAnsi="Times New Roman" w:cs="Times New Roman"/>
          <w:b/>
          <w:bCs/>
          <w:sz w:val="26"/>
          <w:szCs w:val="26"/>
          <w:lang w:eastAsia="hu-HU"/>
        </w:rPr>
        <w:t>Magasabban teljesültek az egy évvel korábbihoz képest többek között a költségvetési szervek kiadásai, a szakmai fejezeti kezelésű előirányzatok kiadásai, a</w:t>
      </w:r>
      <w:r>
        <w:rPr>
          <w:rFonts w:ascii="Times New Roman" w:eastAsia="Times New Roman" w:hAnsi="Times New Roman" w:cs="Times New Roman"/>
          <w:b/>
          <w:bCs/>
          <w:sz w:val="26"/>
          <w:szCs w:val="26"/>
          <w:lang w:eastAsia="hu-HU"/>
        </w:rPr>
        <w:t> </w:t>
      </w:r>
      <w:r w:rsidRPr="00433577">
        <w:rPr>
          <w:rFonts w:ascii="Times New Roman" w:eastAsia="Times New Roman" w:hAnsi="Times New Roman" w:cs="Times New Roman"/>
          <w:b/>
          <w:bCs/>
          <w:sz w:val="26"/>
          <w:szCs w:val="26"/>
          <w:lang w:eastAsia="hu-HU"/>
        </w:rPr>
        <w:t>kamatkiadások és a helyi önkormányzatok támogatásai.</w:t>
      </w:r>
    </w:p>
    <w:p w14:paraId="6FE8DFF4" w14:textId="39CE2213" w:rsidR="00AC5231" w:rsidRPr="00377D59" w:rsidRDefault="00DE4C96" w:rsidP="00433577">
      <w:pPr>
        <w:spacing w:after="120"/>
        <w:jc w:val="both"/>
        <w:rPr>
          <w:rFonts w:ascii="Times New Roman" w:eastAsia="Times New Roman" w:hAnsi="Times New Roman" w:cs="Times New Roman"/>
          <w:b/>
          <w:bCs/>
          <w:sz w:val="26"/>
          <w:szCs w:val="26"/>
          <w:lang w:eastAsia="hu-HU"/>
        </w:rPr>
      </w:pPr>
      <w:r w:rsidRPr="00DE4C96">
        <w:rPr>
          <w:rFonts w:ascii="Times New Roman" w:eastAsia="Times New Roman" w:hAnsi="Times New Roman" w:cs="Times New Roman"/>
          <w:b/>
          <w:bCs/>
          <w:sz w:val="26"/>
          <w:szCs w:val="26"/>
          <w:lang w:eastAsia="hu-HU"/>
        </w:rPr>
        <w:t xml:space="preserve">Meghaladták az egy évvel korábbi kifizetést a nyugellátásokra, nyugdíjszerű ellátásokra és a gyógyító-megelőző ellátásra fordított összegek is. Nyugellátásokra és nyugdíjszerű ellátásokra </w:t>
      </w:r>
      <w:r>
        <w:rPr>
          <w:rFonts w:ascii="Times New Roman" w:eastAsia="Times New Roman" w:hAnsi="Times New Roman" w:cs="Times New Roman"/>
          <w:b/>
          <w:bCs/>
          <w:sz w:val="26"/>
          <w:szCs w:val="26"/>
          <w:lang w:eastAsia="hu-HU"/>
        </w:rPr>
        <w:t>3 292,9</w:t>
      </w:r>
      <w:r w:rsidRPr="00DE4C96">
        <w:rPr>
          <w:rFonts w:ascii="Times New Roman" w:eastAsia="Times New Roman" w:hAnsi="Times New Roman" w:cs="Times New Roman"/>
          <w:b/>
          <w:bCs/>
          <w:sz w:val="26"/>
          <w:szCs w:val="26"/>
          <w:lang w:eastAsia="hu-HU"/>
        </w:rPr>
        <w:t xml:space="preserve"> milliárd forint</w:t>
      </w:r>
      <w:r w:rsidR="00433577" w:rsidRPr="00433577">
        <w:rPr>
          <w:rFonts w:ascii="Times New Roman" w:eastAsia="Times New Roman" w:hAnsi="Times New Roman" w:cs="Times New Roman"/>
          <w:b/>
          <w:bCs/>
          <w:sz w:val="26"/>
          <w:szCs w:val="26"/>
          <w:lang w:eastAsia="hu-HU"/>
        </w:rPr>
        <w:t>, míg a gyógyító-megelőző ellátásra 1</w:t>
      </w:r>
      <w:r w:rsidR="00433577">
        <w:rPr>
          <w:rFonts w:ascii="Times New Roman" w:eastAsia="Times New Roman" w:hAnsi="Times New Roman" w:cs="Times New Roman"/>
          <w:b/>
          <w:bCs/>
          <w:sz w:val="26"/>
          <w:szCs w:val="26"/>
          <w:lang w:eastAsia="hu-HU"/>
        </w:rPr>
        <w:t> </w:t>
      </w:r>
      <w:r w:rsidR="00433577" w:rsidRPr="00433577">
        <w:rPr>
          <w:rFonts w:ascii="Times New Roman" w:eastAsia="Times New Roman" w:hAnsi="Times New Roman" w:cs="Times New Roman"/>
          <w:b/>
          <w:bCs/>
          <w:sz w:val="26"/>
          <w:szCs w:val="26"/>
          <w:lang w:eastAsia="hu-HU"/>
        </w:rPr>
        <w:t>250,6 milliárd forint került kifizetésre május végéig</w:t>
      </w:r>
      <w:r w:rsidR="0A24B9C4" w:rsidRPr="0A24B9C4">
        <w:rPr>
          <w:rFonts w:ascii="Times New Roman" w:eastAsia="Times New Roman" w:hAnsi="Times New Roman" w:cs="Times New Roman"/>
          <w:b/>
          <w:bCs/>
          <w:sz w:val="26"/>
          <w:szCs w:val="26"/>
          <w:lang w:eastAsia="hu-HU"/>
        </w:rPr>
        <w:t>.</w:t>
      </w:r>
    </w:p>
    <w:p w14:paraId="71AFDEF8" w14:textId="519004FB" w:rsidR="00C35E13" w:rsidRDefault="004C0575" w:rsidP="00591D8B">
      <w:pPr>
        <w:pStyle w:val="NormlWeb"/>
        <w:spacing w:after="0" w:afterAutospacing="0"/>
        <w:jc w:val="center"/>
      </w:pPr>
      <w:r>
        <w:rPr>
          <w:noProof/>
        </w:rPr>
        <w:drawing>
          <wp:inline distT="0" distB="0" distL="0" distR="0" wp14:anchorId="1D1BEBC6" wp14:editId="114396D8">
            <wp:extent cx="5940425" cy="2235787"/>
            <wp:effectExtent l="0" t="0" r="3175" b="0"/>
            <wp:docPr id="197962713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27131" name=""/>
                    <pic:cNvPicPr/>
                  </pic:nvPicPr>
                  <pic:blipFill>
                    <a:blip r:embed="rId18"/>
                    <a:stretch>
                      <a:fillRect/>
                    </a:stretch>
                  </pic:blipFill>
                  <pic:spPr>
                    <a:xfrm>
                      <a:off x="0" y="0"/>
                      <a:ext cx="5952066" cy="2240168"/>
                    </a:xfrm>
                    <a:prstGeom prst="rect">
                      <a:avLst/>
                    </a:prstGeom>
                  </pic:spPr>
                </pic:pic>
              </a:graphicData>
            </a:graphic>
          </wp:inline>
        </w:drawing>
      </w:r>
    </w:p>
    <w:p w14:paraId="1DD5AB97" w14:textId="0FF9DD7E" w:rsidR="0DE04A9F" w:rsidRDefault="6E235B12" w:rsidP="6E235B12">
      <w:pPr>
        <w:spacing w:before="160"/>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úthálózat rendelkezésre állási díjak</w:t>
      </w:r>
      <w:r w:rsidRPr="6E235B12">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május végéig 170,1</w:t>
      </w:r>
      <w:r w:rsidR="00446026">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volt, ami 13,5</w:t>
      </w:r>
      <w:r w:rsidR="00446026">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 xml:space="preserve">milliárd forinttal magasabban alakult a 2024. év azonos időszakához képest. Az eltérést alapvetően a gyorsforgalmi úthálózat rendelkezésre állási díjának szerződésből fakadó változása magyarázza. </w:t>
      </w:r>
    </w:p>
    <w:p w14:paraId="182A3A7A" w14:textId="4302344B" w:rsidR="1EBF714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közösségi közlekedés költségtérítés és támogatás</w:t>
      </w:r>
      <w:r w:rsidRPr="6E235B12">
        <w:rPr>
          <w:rFonts w:ascii="Times New Roman" w:eastAsia="Times New Roman" w:hAnsi="Times New Roman" w:cs="Times New Roman"/>
          <w:sz w:val="26"/>
          <w:szCs w:val="26"/>
        </w:rPr>
        <w:t xml:space="preserve"> mérlegsor kiadásai 2025.</w:t>
      </w:r>
      <w:r w:rsidR="00446026">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 xml:space="preserve">május végéig 293,4 milliárd forintot tettek ki, amelyből a szociálpolitikai menetdíj támogatás 66,0 milliárd forint. Az összes kiadás </w:t>
      </w:r>
      <w:r w:rsidR="00091B18">
        <w:rPr>
          <w:rFonts w:ascii="Times New Roman" w:eastAsia="Times New Roman" w:hAnsi="Times New Roman" w:cs="Times New Roman"/>
          <w:sz w:val="26"/>
          <w:szCs w:val="26"/>
        </w:rPr>
        <w:t>28,7</w:t>
      </w:r>
      <w:r w:rsidRPr="6E235B12">
        <w:rPr>
          <w:rFonts w:ascii="Times New Roman" w:eastAsia="Times New Roman" w:hAnsi="Times New Roman" w:cs="Times New Roman"/>
          <w:sz w:val="26"/>
          <w:szCs w:val="26"/>
        </w:rPr>
        <w:t xml:space="preserve"> milliárd forinttal kevesebb, mint a megelőző év azonos időszaki teljesítése, amit alapvetően az új autóbuszos személyszállítási közszolgáltatási rendszer 2025. április 1-jei indulásával összefüggő átállás okoz. </w:t>
      </w:r>
    </w:p>
    <w:p w14:paraId="3B52873E" w14:textId="1DD63D21" w:rsidR="008D3E76"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közüzemi szolgáltatások támogatása</w:t>
      </w:r>
      <w:r w:rsidRPr="6E235B12">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 május végéig 583,7 milliárd forintot tettek ki, amely magában foglalja a különleges földgázkészlet fenntartásának 2025. április 1-jéig történő finanszírozása érdekében februárban folyósított 3,0 milliárd forint támogatást. Továbbá tartalmazza a Víziközmű-fejlesztési és Ellentételezési Alapból a víziközmű-szolgáltatók részére a </w:t>
      </w:r>
      <w:r w:rsidRPr="6E235B12">
        <w:rPr>
          <w:rFonts w:ascii="Times New Roman" w:eastAsia="Times New Roman" w:hAnsi="Times New Roman" w:cs="Times New Roman"/>
          <w:sz w:val="26"/>
          <w:szCs w:val="26"/>
        </w:rPr>
        <w:lastRenderedPageBreak/>
        <w:t>2024. év IV. negyedévi és a 2025. év I. negyedévi működésük ellentételezésére nyújtott összesen 57,9 milliárd forintos kiadást is</w:t>
      </w:r>
      <w:r w:rsidR="00C70F04">
        <w:rPr>
          <w:rFonts w:ascii="Times New Roman" w:eastAsia="Times New Roman" w:hAnsi="Times New Roman" w:cs="Times New Roman"/>
          <w:sz w:val="26"/>
          <w:szCs w:val="26"/>
        </w:rPr>
        <w:t>.</w:t>
      </w:r>
      <w:r w:rsidRPr="6E235B12">
        <w:rPr>
          <w:rFonts w:ascii="Times New Roman" w:eastAsia="Times New Roman" w:hAnsi="Times New Roman" w:cs="Times New Roman"/>
          <w:sz w:val="26"/>
          <w:szCs w:val="26"/>
        </w:rPr>
        <w:t xml:space="preserve"> A 2024-ben létrehozott Alapból a – negyedévet követő hónapban esedékes – kifizetések 2024 áprilisában kezdődtek meg. A mérlegsor jelenlegi teljesítése 5,3 milliárd forinttal alacsonyabb, mint a 2024. év azonos időszakában a közüzemi szolgáltatások teljesítésére fordított 589,0 milliárd forint, ez részben a kifizetések eltérő ütemezéséből, részben az alacsonyabb támogatási igényekből fakadt.</w:t>
      </w:r>
    </w:p>
    <w:p w14:paraId="79E44A54" w14:textId="665EE9D3" w:rsidR="0F03D9E1"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b/>
          <w:bCs/>
          <w:sz w:val="26"/>
          <w:szCs w:val="26"/>
          <w:lang w:eastAsia="hu-HU"/>
        </w:rPr>
        <w:t xml:space="preserve">Lakástámogatásokra </w:t>
      </w:r>
      <w:r w:rsidRPr="6E235B12">
        <w:rPr>
          <w:rFonts w:ascii="Times New Roman" w:eastAsia="Times New Roman" w:hAnsi="Times New Roman" w:cs="Times New Roman"/>
          <w:sz w:val="26"/>
          <w:szCs w:val="26"/>
        </w:rPr>
        <w:t>fordított kiadások összege május végéig 60,9 milliárd forint volt, mely az előző év azonos időszakához viszonyítva 11,8 milliárd forinttal teljesült alacsonyabban.</w:t>
      </w:r>
    </w:p>
    <w:p w14:paraId="33223970" w14:textId="25DDB887" w:rsidR="0F03D9E1"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Nemzeti Család- és Szociálpolitikai Alap</w:t>
      </w:r>
      <w:r w:rsidRPr="6E235B12">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6E235B12" w:rsidP="6E235B12">
      <w:pPr>
        <w:spacing w:after="0"/>
        <w:jc w:val="center"/>
        <w:rPr>
          <w:rFonts w:ascii="Times New Roman" w:eastAsia="Times New Roman" w:hAnsi="Times New Roman" w:cs="Times New Roman"/>
        </w:rPr>
      </w:pPr>
      <w:r w:rsidRPr="6E235B12">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0A24B9C4">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0A24B9C4">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6E235B12" w:rsidP="6E235B12">
            <w:pPr>
              <w:spacing w:after="0" w:line="240" w:lineRule="auto"/>
              <w:jc w:val="center"/>
              <w:rPr>
                <w:rFonts w:ascii="Times New Roman" w:hAnsi="Times New Roman" w:cs="Times New Roman"/>
                <w:b/>
                <w:bCs/>
                <w:color w:val="000000" w:themeColor="text1"/>
              </w:rPr>
            </w:pPr>
            <w:r w:rsidRPr="6E235B12">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0A24B9C4" w:rsidP="0A24B9C4">
            <w:pPr>
              <w:spacing w:after="0" w:line="240" w:lineRule="auto"/>
              <w:jc w:val="center"/>
              <w:rPr>
                <w:rFonts w:ascii="Times New Roman" w:hAnsi="Times New Roman" w:cs="Times New Roman"/>
                <w:b/>
                <w:bCs/>
                <w:color w:val="000000" w:themeColor="text1"/>
              </w:rPr>
            </w:pPr>
            <w:r w:rsidRPr="0A24B9C4">
              <w:rPr>
                <w:rFonts w:ascii="Times New Roman" w:eastAsia="Times New Roman" w:hAnsi="Times New Roman" w:cs="Times New Roman"/>
                <w:b/>
                <w:bCs/>
                <w:lang w:eastAsia="hu-HU"/>
              </w:rPr>
              <w:t xml:space="preserve">2024. </w:t>
            </w:r>
          </w:p>
          <w:p w14:paraId="5E208842" w14:textId="56F6316A" w:rsidR="00081A16" w:rsidRPr="00DD7FD1" w:rsidRDefault="6E235B12" w:rsidP="6E235B12">
            <w:pPr>
              <w:spacing w:after="0" w:line="240" w:lineRule="auto"/>
              <w:jc w:val="center"/>
              <w:rPr>
                <w:rFonts w:ascii="Times New Roman" w:hAnsi="Times New Roman" w:cs="Times New Roman"/>
                <w:b/>
                <w:bCs/>
                <w:color w:val="000000" w:themeColor="text1"/>
              </w:rPr>
            </w:pPr>
            <w:r w:rsidRPr="6E235B12">
              <w:rPr>
                <w:rFonts w:ascii="Times New Roman" w:eastAsia="Times New Roman" w:hAnsi="Times New Roman" w:cs="Times New Roman"/>
                <w:b/>
                <w:bCs/>
                <w:lang w:eastAsia="hu-HU"/>
              </w:rPr>
              <w:t>I-V.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0A24B9C4" w:rsidP="0A24B9C4">
            <w:pPr>
              <w:spacing w:after="0" w:line="240" w:lineRule="auto"/>
              <w:jc w:val="center"/>
              <w:rPr>
                <w:rFonts w:ascii="Times New Roman" w:hAnsi="Times New Roman" w:cs="Times New Roman"/>
                <w:b/>
                <w:bCs/>
                <w:color w:val="000000" w:themeColor="text1"/>
              </w:rPr>
            </w:pPr>
            <w:r w:rsidRPr="0A24B9C4">
              <w:rPr>
                <w:rFonts w:ascii="Times New Roman" w:eastAsia="Times New Roman" w:hAnsi="Times New Roman" w:cs="Times New Roman"/>
                <w:b/>
                <w:bCs/>
                <w:lang w:eastAsia="hu-HU"/>
              </w:rPr>
              <w:t xml:space="preserve">2025. </w:t>
            </w:r>
          </w:p>
          <w:p w14:paraId="211822BF" w14:textId="547F90E5" w:rsidR="00081A16" w:rsidRPr="00DD7FD1" w:rsidRDefault="6E235B12" w:rsidP="6E235B12">
            <w:pPr>
              <w:spacing w:after="0" w:line="240" w:lineRule="auto"/>
              <w:jc w:val="center"/>
              <w:rPr>
                <w:rFonts w:ascii="Times New Roman" w:hAnsi="Times New Roman" w:cs="Times New Roman"/>
                <w:b/>
                <w:bCs/>
                <w:color w:val="000000" w:themeColor="text1"/>
              </w:rPr>
            </w:pPr>
            <w:r w:rsidRPr="6E235B12">
              <w:rPr>
                <w:rFonts w:ascii="Times New Roman" w:eastAsia="Times New Roman" w:hAnsi="Times New Roman" w:cs="Times New Roman"/>
                <w:b/>
                <w:bCs/>
                <w:lang w:eastAsia="hu-HU"/>
              </w:rPr>
              <w:t>I-V.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6E235B12" w:rsidP="6E235B12">
            <w:pPr>
              <w:jc w:val="center"/>
              <w:rPr>
                <w:rFonts w:ascii="Times New Roman" w:hAnsi="Times New Roman" w:cs="Times New Roman"/>
                <w:b/>
                <w:bCs/>
                <w:color w:val="000000" w:themeColor="text1"/>
              </w:rPr>
            </w:pPr>
            <w:r w:rsidRPr="6E235B12">
              <w:rPr>
                <w:rFonts w:ascii="Times New Roman" w:hAnsi="Times New Roman" w:cs="Times New Roman"/>
                <w:b/>
                <w:bCs/>
                <w:color w:val="000000" w:themeColor="text1"/>
              </w:rPr>
              <w:t>Eltérés</w:t>
            </w:r>
          </w:p>
        </w:tc>
      </w:tr>
      <w:tr w:rsidR="006068B4" w:rsidRPr="006068B4" w14:paraId="2BEB1728" w14:textId="77777777" w:rsidTr="0A24B9C4">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6E235B12" w:rsidP="6E235B12">
            <w:pPr>
              <w:jc w:val="center"/>
              <w:rPr>
                <w:rFonts w:ascii="Times New Roman" w:hAnsi="Times New Roman" w:cs="Times New Roman"/>
                <w:b/>
                <w:bCs/>
                <w:color w:val="000000" w:themeColor="text1"/>
              </w:rPr>
            </w:pPr>
            <w:r w:rsidRPr="6E235B12">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6E235B12" w:rsidP="6E235B12">
            <w:pPr>
              <w:jc w:val="center"/>
              <w:rPr>
                <w:rFonts w:ascii="Times New Roman" w:hAnsi="Times New Roman" w:cs="Times New Roman"/>
                <w:b/>
                <w:bCs/>
                <w:color w:val="000000" w:themeColor="text1"/>
              </w:rPr>
            </w:pPr>
            <w:r w:rsidRPr="6E235B12">
              <w:rPr>
                <w:rFonts w:ascii="Times New Roman" w:hAnsi="Times New Roman" w:cs="Times New Roman"/>
                <w:b/>
                <w:bCs/>
                <w:color w:val="000000" w:themeColor="text1"/>
              </w:rPr>
              <w:t>%</w:t>
            </w:r>
          </w:p>
        </w:tc>
      </w:tr>
      <w:tr w:rsidR="00DA488F" w:rsidRPr="006068B4" w14:paraId="49EB33A2"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6E235B12" w:rsidP="6E235B12">
            <w:pPr>
              <w:spacing w:line="240" w:lineRule="auto"/>
              <w:rPr>
                <w:rFonts w:ascii="Times New Roman" w:hAnsi="Times New Roman" w:cs="Times New Roman"/>
                <w:b/>
                <w:bCs/>
                <w:color w:val="000000" w:themeColor="text1"/>
                <w:sz w:val="20"/>
                <w:szCs w:val="20"/>
              </w:rPr>
            </w:pPr>
            <w:r w:rsidRPr="6E235B12">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65AC8C34"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181,2</w:t>
            </w:r>
          </w:p>
        </w:tc>
        <w:tc>
          <w:tcPr>
            <w:tcW w:w="992" w:type="dxa"/>
            <w:tcBorders>
              <w:top w:val="nil"/>
              <w:left w:val="nil"/>
              <w:bottom w:val="single" w:sz="4" w:space="0" w:color="auto"/>
              <w:right w:val="single" w:sz="4" w:space="0" w:color="auto"/>
            </w:tcBorders>
            <w:shd w:val="clear" w:color="auto" w:fill="auto"/>
            <w:noWrap/>
            <w:hideMark/>
          </w:tcPr>
          <w:p w14:paraId="2A54C0E6" w14:textId="321DE70C"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167,2</w:t>
            </w:r>
          </w:p>
        </w:tc>
        <w:tc>
          <w:tcPr>
            <w:tcW w:w="850" w:type="dxa"/>
            <w:tcBorders>
              <w:top w:val="nil"/>
              <w:left w:val="nil"/>
              <w:bottom w:val="single" w:sz="4" w:space="0" w:color="auto"/>
              <w:right w:val="single" w:sz="4" w:space="0" w:color="auto"/>
            </w:tcBorders>
            <w:shd w:val="clear" w:color="auto" w:fill="auto"/>
            <w:noWrap/>
            <w:hideMark/>
          </w:tcPr>
          <w:p w14:paraId="1078FA78" w14:textId="4EBFBBFF"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-14,0</w:t>
            </w:r>
          </w:p>
        </w:tc>
        <w:tc>
          <w:tcPr>
            <w:tcW w:w="851" w:type="dxa"/>
            <w:tcBorders>
              <w:top w:val="nil"/>
              <w:left w:val="nil"/>
              <w:bottom w:val="single" w:sz="4" w:space="0" w:color="auto"/>
              <w:right w:val="single" w:sz="4" w:space="0" w:color="auto"/>
            </w:tcBorders>
            <w:shd w:val="clear" w:color="auto" w:fill="auto"/>
            <w:noWrap/>
            <w:hideMark/>
          </w:tcPr>
          <w:p w14:paraId="0C2D88F1" w14:textId="06ED7546"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92,3</w:t>
            </w:r>
          </w:p>
        </w:tc>
      </w:tr>
      <w:tr w:rsidR="00DA488F" w:rsidRPr="006068B4" w14:paraId="18F11EAE"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6E235B12" w:rsidP="6E235B12">
            <w:pPr>
              <w:spacing w:line="240" w:lineRule="auto"/>
              <w:ind w:firstLineChars="100" w:firstLine="2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540C410F"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127,3</w:t>
            </w:r>
          </w:p>
        </w:tc>
        <w:tc>
          <w:tcPr>
            <w:tcW w:w="992" w:type="dxa"/>
            <w:tcBorders>
              <w:top w:val="nil"/>
              <w:left w:val="nil"/>
              <w:bottom w:val="single" w:sz="4" w:space="0" w:color="auto"/>
              <w:right w:val="single" w:sz="4" w:space="0" w:color="auto"/>
            </w:tcBorders>
            <w:shd w:val="clear" w:color="auto" w:fill="auto"/>
            <w:noWrap/>
            <w:hideMark/>
          </w:tcPr>
          <w:p w14:paraId="2831AA3C" w14:textId="4BA7D1A8"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126,3</w:t>
            </w:r>
          </w:p>
        </w:tc>
        <w:tc>
          <w:tcPr>
            <w:tcW w:w="850" w:type="dxa"/>
            <w:tcBorders>
              <w:top w:val="nil"/>
              <w:left w:val="nil"/>
              <w:bottom w:val="single" w:sz="4" w:space="0" w:color="auto"/>
              <w:right w:val="single" w:sz="4" w:space="0" w:color="auto"/>
            </w:tcBorders>
            <w:shd w:val="clear" w:color="auto" w:fill="auto"/>
            <w:noWrap/>
            <w:hideMark/>
          </w:tcPr>
          <w:p w14:paraId="145C8E2D" w14:textId="4552A3AA"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-1,0</w:t>
            </w:r>
          </w:p>
        </w:tc>
        <w:tc>
          <w:tcPr>
            <w:tcW w:w="851" w:type="dxa"/>
            <w:tcBorders>
              <w:top w:val="nil"/>
              <w:left w:val="nil"/>
              <w:bottom w:val="single" w:sz="4" w:space="0" w:color="auto"/>
              <w:right w:val="single" w:sz="4" w:space="0" w:color="auto"/>
            </w:tcBorders>
            <w:shd w:val="clear" w:color="auto" w:fill="auto"/>
            <w:noWrap/>
            <w:hideMark/>
          </w:tcPr>
          <w:p w14:paraId="3DC707AD" w14:textId="4DA63CAE"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99,2</w:t>
            </w:r>
          </w:p>
        </w:tc>
      </w:tr>
      <w:tr w:rsidR="00DA488F" w:rsidRPr="006068B4" w14:paraId="750E94DE"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39186402"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2,3</w:t>
            </w:r>
          </w:p>
        </w:tc>
        <w:tc>
          <w:tcPr>
            <w:tcW w:w="992" w:type="dxa"/>
            <w:tcBorders>
              <w:top w:val="nil"/>
              <w:left w:val="nil"/>
              <w:bottom w:val="single" w:sz="4" w:space="0" w:color="auto"/>
              <w:right w:val="single" w:sz="4" w:space="0" w:color="auto"/>
            </w:tcBorders>
            <w:shd w:val="clear" w:color="auto" w:fill="auto"/>
            <w:noWrap/>
            <w:hideMark/>
          </w:tcPr>
          <w:p w14:paraId="4295E839" w14:textId="3E381A4C"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2,1</w:t>
            </w:r>
          </w:p>
        </w:tc>
        <w:tc>
          <w:tcPr>
            <w:tcW w:w="850" w:type="dxa"/>
            <w:tcBorders>
              <w:top w:val="nil"/>
              <w:left w:val="nil"/>
              <w:bottom w:val="single" w:sz="4" w:space="0" w:color="auto"/>
              <w:right w:val="single" w:sz="4" w:space="0" w:color="auto"/>
            </w:tcBorders>
            <w:shd w:val="clear" w:color="auto" w:fill="auto"/>
            <w:noWrap/>
            <w:hideMark/>
          </w:tcPr>
          <w:p w14:paraId="0BFAA189" w14:textId="21CF3B83"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2913BB8B" w14:textId="617C76F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91,3</w:t>
            </w:r>
          </w:p>
        </w:tc>
      </w:tr>
      <w:tr w:rsidR="00DA488F" w:rsidRPr="006068B4" w14:paraId="723C4BB5"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122FF05D"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22,4</w:t>
            </w:r>
          </w:p>
        </w:tc>
        <w:tc>
          <w:tcPr>
            <w:tcW w:w="992" w:type="dxa"/>
            <w:tcBorders>
              <w:top w:val="nil"/>
              <w:left w:val="nil"/>
              <w:bottom w:val="single" w:sz="4" w:space="0" w:color="auto"/>
              <w:right w:val="single" w:sz="4" w:space="0" w:color="auto"/>
            </w:tcBorders>
            <w:shd w:val="clear" w:color="auto" w:fill="auto"/>
            <w:noWrap/>
            <w:hideMark/>
          </w:tcPr>
          <w:p w14:paraId="4B96F73D" w14:textId="44E9F235"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22,0</w:t>
            </w:r>
          </w:p>
        </w:tc>
        <w:tc>
          <w:tcPr>
            <w:tcW w:w="850" w:type="dxa"/>
            <w:tcBorders>
              <w:top w:val="nil"/>
              <w:left w:val="nil"/>
              <w:bottom w:val="single" w:sz="4" w:space="0" w:color="auto"/>
              <w:right w:val="single" w:sz="4" w:space="0" w:color="auto"/>
            </w:tcBorders>
            <w:shd w:val="clear" w:color="auto" w:fill="auto"/>
            <w:noWrap/>
            <w:hideMark/>
          </w:tcPr>
          <w:p w14:paraId="7997B51A" w14:textId="743148E4"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4C0B8D65" w14:textId="57142A19"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98,2</w:t>
            </w:r>
          </w:p>
        </w:tc>
      </w:tr>
      <w:tr w:rsidR="00DA488F" w:rsidRPr="006068B4" w14:paraId="4C1A9EFC"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1DA59651"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3,9</w:t>
            </w:r>
          </w:p>
        </w:tc>
        <w:tc>
          <w:tcPr>
            <w:tcW w:w="992" w:type="dxa"/>
            <w:tcBorders>
              <w:top w:val="nil"/>
              <w:left w:val="nil"/>
              <w:bottom w:val="single" w:sz="4" w:space="0" w:color="auto"/>
              <w:right w:val="single" w:sz="4" w:space="0" w:color="auto"/>
            </w:tcBorders>
            <w:shd w:val="clear" w:color="auto" w:fill="auto"/>
            <w:noWrap/>
            <w:hideMark/>
          </w:tcPr>
          <w:p w14:paraId="6A870304" w14:textId="64F29A51"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3,8</w:t>
            </w:r>
          </w:p>
        </w:tc>
        <w:tc>
          <w:tcPr>
            <w:tcW w:w="850" w:type="dxa"/>
            <w:tcBorders>
              <w:top w:val="nil"/>
              <w:left w:val="nil"/>
              <w:bottom w:val="single" w:sz="4" w:space="0" w:color="auto"/>
              <w:right w:val="single" w:sz="4" w:space="0" w:color="auto"/>
            </w:tcBorders>
            <w:shd w:val="clear" w:color="auto" w:fill="auto"/>
            <w:noWrap/>
            <w:hideMark/>
          </w:tcPr>
          <w:p w14:paraId="588B93BB" w14:textId="713F27A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7DAF609F" w14:textId="133072EE"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97,4</w:t>
            </w:r>
          </w:p>
        </w:tc>
      </w:tr>
      <w:tr w:rsidR="00DA488F" w:rsidRPr="006068B4" w14:paraId="49AE6306"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7EB0A2BA"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2,4</w:t>
            </w:r>
          </w:p>
        </w:tc>
        <w:tc>
          <w:tcPr>
            <w:tcW w:w="992" w:type="dxa"/>
            <w:tcBorders>
              <w:top w:val="nil"/>
              <w:left w:val="nil"/>
              <w:bottom w:val="single" w:sz="4" w:space="0" w:color="auto"/>
              <w:right w:val="single" w:sz="4" w:space="0" w:color="auto"/>
            </w:tcBorders>
            <w:shd w:val="clear" w:color="auto" w:fill="auto"/>
            <w:noWrap/>
            <w:hideMark/>
          </w:tcPr>
          <w:p w14:paraId="6AAF688A" w14:textId="1EF06D5B"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2,6</w:t>
            </w:r>
          </w:p>
        </w:tc>
        <w:tc>
          <w:tcPr>
            <w:tcW w:w="850" w:type="dxa"/>
            <w:tcBorders>
              <w:top w:val="nil"/>
              <w:left w:val="nil"/>
              <w:bottom w:val="single" w:sz="4" w:space="0" w:color="auto"/>
              <w:right w:val="single" w:sz="4" w:space="0" w:color="auto"/>
            </w:tcBorders>
            <w:shd w:val="clear" w:color="auto" w:fill="auto"/>
            <w:noWrap/>
            <w:hideMark/>
          </w:tcPr>
          <w:p w14:paraId="664A5D3B" w14:textId="0E1B8887"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4DE79E3D" w14:textId="379BFE57"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108,3</w:t>
            </w:r>
          </w:p>
        </w:tc>
      </w:tr>
      <w:tr w:rsidR="00DA488F" w:rsidRPr="006068B4" w14:paraId="31537421"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4B08E0A5"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22,0</w:t>
            </w:r>
          </w:p>
        </w:tc>
        <w:tc>
          <w:tcPr>
            <w:tcW w:w="992" w:type="dxa"/>
            <w:tcBorders>
              <w:top w:val="nil"/>
              <w:left w:val="nil"/>
              <w:bottom w:val="single" w:sz="4" w:space="0" w:color="auto"/>
              <w:right w:val="single" w:sz="4" w:space="0" w:color="auto"/>
            </w:tcBorders>
            <w:shd w:val="clear" w:color="auto" w:fill="auto"/>
            <w:noWrap/>
            <w:hideMark/>
          </w:tcPr>
          <w:p w14:paraId="45D51CF7" w14:textId="0E993BBC"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9,3</w:t>
            </w:r>
          </w:p>
        </w:tc>
        <w:tc>
          <w:tcPr>
            <w:tcW w:w="850" w:type="dxa"/>
            <w:tcBorders>
              <w:top w:val="nil"/>
              <w:left w:val="nil"/>
              <w:bottom w:val="single" w:sz="4" w:space="0" w:color="auto"/>
              <w:right w:val="single" w:sz="4" w:space="0" w:color="auto"/>
            </w:tcBorders>
            <w:shd w:val="clear" w:color="auto" w:fill="auto"/>
            <w:noWrap/>
            <w:hideMark/>
          </w:tcPr>
          <w:p w14:paraId="1BC502FA" w14:textId="2B90790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-12,7</w:t>
            </w:r>
          </w:p>
        </w:tc>
        <w:tc>
          <w:tcPr>
            <w:tcW w:w="851" w:type="dxa"/>
            <w:tcBorders>
              <w:top w:val="nil"/>
              <w:left w:val="nil"/>
              <w:bottom w:val="single" w:sz="4" w:space="0" w:color="auto"/>
              <w:right w:val="single" w:sz="4" w:space="0" w:color="auto"/>
            </w:tcBorders>
            <w:shd w:val="clear" w:color="auto" w:fill="auto"/>
            <w:noWrap/>
            <w:hideMark/>
          </w:tcPr>
          <w:p w14:paraId="70100317" w14:textId="5F7E5740"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42,3</w:t>
            </w:r>
          </w:p>
        </w:tc>
      </w:tr>
      <w:tr w:rsidR="00DA488F" w:rsidRPr="006068B4" w14:paraId="7D88A7FB"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6E235B12" w:rsidP="6E235B12">
            <w:pPr>
              <w:spacing w:line="240" w:lineRule="auto"/>
              <w:rPr>
                <w:rFonts w:ascii="Times New Roman" w:hAnsi="Times New Roman" w:cs="Times New Roman"/>
                <w:b/>
                <w:bCs/>
                <w:color w:val="000000" w:themeColor="text1"/>
                <w:sz w:val="20"/>
                <w:szCs w:val="20"/>
              </w:rPr>
            </w:pPr>
            <w:r w:rsidRPr="6E235B12">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6C85702A"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58,8</w:t>
            </w:r>
          </w:p>
        </w:tc>
        <w:tc>
          <w:tcPr>
            <w:tcW w:w="992" w:type="dxa"/>
            <w:tcBorders>
              <w:top w:val="nil"/>
              <w:left w:val="nil"/>
              <w:bottom w:val="single" w:sz="4" w:space="0" w:color="auto"/>
              <w:right w:val="single" w:sz="4" w:space="0" w:color="auto"/>
            </w:tcBorders>
            <w:shd w:val="clear" w:color="auto" w:fill="auto"/>
            <w:noWrap/>
            <w:hideMark/>
          </w:tcPr>
          <w:p w14:paraId="6428734A" w14:textId="025813B6"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56,4</w:t>
            </w:r>
          </w:p>
        </w:tc>
        <w:tc>
          <w:tcPr>
            <w:tcW w:w="850" w:type="dxa"/>
            <w:tcBorders>
              <w:top w:val="nil"/>
              <w:left w:val="nil"/>
              <w:bottom w:val="single" w:sz="4" w:space="0" w:color="auto"/>
              <w:right w:val="single" w:sz="4" w:space="0" w:color="auto"/>
            </w:tcBorders>
            <w:shd w:val="clear" w:color="auto" w:fill="auto"/>
            <w:noWrap/>
            <w:hideMark/>
          </w:tcPr>
          <w:p w14:paraId="7EDBDA2F" w14:textId="74355F49"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-2,4</w:t>
            </w:r>
          </w:p>
        </w:tc>
        <w:tc>
          <w:tcPr>
            <w:tcW w:w="851" w:type="dxa"/>
            <w:tcBorders>
              <w:top w:val="nil"/>
              <w:left w:val="nil"/>
              <w:bottom w:val="single" w:sz="4" w:space="0" w:color="auto"/>
              <w:right w:val="single" w:sz="4" w:space="0" w:color="auto"/>
            </w:tcBorders>
            <w:shd w:val="clear" w:color="auto" w:fill="auto"/>
            <w:noWrap/>
            <w:hideMark/>
          </w:tcPr>
          <w:p w14:paraId="534E4A63" w14:textId="01D25794"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95,9</w:t>
            </w:r>
          </w:p>
        </w:tc>
      </w:tr>
      <w:tr w:rsidR="00DA488F" w:rsidRPr="006068B4" w14:paraId="2D32D206"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6E235B12" w:rsidP="6E235B12">
            <w:pPr>
              <w:spacing w:line="240" w:lineRule="auto"/>
              <w:rPr>
                <w:rFonts w:ascii="Times New Roman" w:hAnsi="Times New Roman" w:cs="Times New Roman"/>
                <w:b/>
                <w:bCs/>
                <w:color w:val="000000" w:themeColor="text1"/>
                <w:sz w:val="20"/>
                <w:szCs w:val="20"/>
              </w:rPr>
            </w:pPr>
            <w:r w:rsidRPr="6E235B12">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42CA91C5"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86,0</w:t>
            </w:r>
          </w:p>
        </w:tc>
        <w:tc>
          <w:tcPr>
            <w:tcW w:w="992" w:type="dxa"/>
            <w:tcBorders>
              <w:top w:val="nil"/>
              <w:left w:val="nil"/>
              <w:bottom w:val="single" w:sz="4" w:space="0" w:color="auto"/>
              <w:right w:val="single" w:sz="4" w:space="0" w:color="auto"/>
            </w:tcBorders>
            <w:shd w:val="clear" w:color="auto" w:fill="auto"/>
            <w:noWrap/>
            <w:hideMark/>
          </w:tcPr>
          <w:p w14:paraId="20CD8076" w14:textId="53B33DE8"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93,6</w:t>
            </w:r>
          </w:p>
        </w:tc>
        <w:tc>
          <w:tcPr>
            <w:tcW w:w="850" w:type="dxa"/>
            <w:tcBorders>
              <w:top w:val="nil"/>
              <w:left w:val="nil"/>
              <w:bottom w:val="single" w:sz="4" w:space="0" w:color="auto"/>
              <w:right w:val="single" w:sz="4" w:space="0" w:color="auto"/>
            </w:tcBorders>
            <w:shd w:val="clear" w:color="auto" w:fill="auto"/>
            <w:noWrap/>
            <w:hideMark/>
          </w:tcPr>
          <w:p w14:paraId="06C5F2C2" w14:textId="3A3C9384"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7,6</w:t>
            </w:r>
          </w:p>
        </w:tc>
        <w:tc>
          <w:tcPr>
            <w:tcW w:w="851" w:type="dxa"/>
            <w:tcBorders>
              <w:top w:val="nil"/>
              <w:left w:val="nil"/>
              <w:bottom w:val="single" w:sz="4" w:space="0" w:color="auto"/>
              <w:right w:val="single" w:sz="4" w:space="0" w:color="auto"/>
            </w:tcBorders>
            <w:shd w:val="clear" w:color="auto" w:fill="auto"/>
            <w:noWrap/>
            <w:hideMark/>
          </w:tcPr>
          <w:p w14:paraId="72FE9F51" w14:textId="1A5C2E58"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108,8</w:t>
            </w:r>
          </w:p>
        </w:tc>
      </w:tr>
      <w:tr w:rsidR="00DA488F" w:rsidRPr="006068B4" w14:paraId="5788F37E"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6E235B12" w:rsidP="6E235B12">
            <w:pPr>
              <w:spacing w:line="240" w:lineRule="auto"/>
              <w:ind w:firstLineChars="100" w:firstLine="2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32FF507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34,4</w:t>
            </w:r>
          </w:p>
        </w:tc>
        <w:tc>
          <w:tcPr>
            <w:tcW w:w="992" w:type="dxa"/>
            <w:tcBorders>
              <w:top w:val="nil"/>
              <w:left w:val="nil"/>
              <w:bottom w:val="single" w:sz="4" w:space="0" w:color="auto"/>
              <w:right w:val="single" w:sz="4" w:space="0" w:color="auto"/>
            </w:tcBorders>
            <w:shd w:val="clear" w:color="auto" w:fill="auto"/>
            <w:noWrap/>
            <w:hideMark/>
          </w:tcPr>
          <w:p w14:paraId="0B03B656" w14:textId="447FAAD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34,7</w:t>
            </w:r>
          </w:p>
        </w:tc>
        <w:tc>
          <w:tcPr>
            <w:tcW w:w="850" w:type="dxa"/>
            <w:tcBorders>
              <w:top w:val="nil"/>
              <w:left w:val="nil"/>
              <w:bottom w:val="single" w:sz="4" w:space="0" w:color="auto"/>
              <w:right w:val="single" w:sz="4" w:space="0" w:color="auto"/>
            </w:tcBorders>
            <w:shd w:val="clear" w:color="auto" w:fill="auto"/>
            <w:noWrap/>
            <w:hideMark/>
          </w:tcPr>
          <w:p w14:paraId="2876B997" w14:textId="20A0480D"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6DBAA01B" w14:textId="167097B7"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100,9</w:t>
            </w:r>
          </w:p>
        </w:tc>
      </w:tr>
      <w:tr w:rsidR="00DA488F" w:rsidRPr="006068B4" w14:paraId="65888AD0"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09BEE185"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51,6</w:t>
            </w:r>
          </w:p>
        </w:tc>
        <w:tc>
          <w:tcPr>
            <w:tcW w:w="992" w:type="dxa"/>
            <w:tcBorders>
              <w:top w:val="nil"/>
              <w:left w:val="nil"/>
              <w:bottom w:val="single" w:sz="4" w:space="0" w:color="auto"/>
              <w:right w:val="single" w:sz="4" w:space="0" w:color="auto"/>
            </w:tcBorders>
            <w:shd w:val="clear" w:color="auto" w:fill="auto"/>
            <w:noWrap/>
            <w:hideMark/>
          </w:tcPr>
          <w:p w14:paraId="4B8C340C" w14:textId="33482B7D"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58,9</w:t>
            </w:r>
          </w:p>
        </w:tc>
        <w:tc>
          <w:tcPr>
            <w:tcW w:w="850" w:type="dxa"/>
            <w:tcBorders>
              <w:top w:val="nil"/>
              <w:left w:val="nil"/>
              <w:bottom w:val="single" w:sz="4" w:space="0" w:color="auto"/>
              <w:right w:val="single" w:sz="4" w:space="0" w:color="auto"/>
            </w:tcBorders>
            <w:shd w:val="clear" w:color="auto" w:fill="auto"/>
            <w:noWrap/>
            <w:hideMark/>
          </w:tcPr>
          <w:p w14:paraId="5CB598A8" w14:textId="0D4B8A69"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7,3</w:t>
            </w:r>
          </w:p>
        </w:tc>
        <w:tc>
          <w:tcPr>
            <w:tcW w:w="851" w:type="dxa"/>
            <w:tcBorders>
              <w:top w:val="nil"/>
              <w:left w:val="nil"/>
              <w:bottom w:val="single" w:sz="4" w:space="0" w:color="auto"/>
              <w:right w:val="single" w:sz="4" w:space="0" w:color="auto"/>
            </w:tcBorders>
            <w:shd w:val="clear" w:color="auto" w:fill="auto"/>
            <w:noWrap/>
            <w:hideMark/>
          </w:tcPr>
          <w:p w14:paraId="3DAE5F3D" w14:textId="76868EF0"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114,1</w:t>
            </w:r>
          </w:p>
        </w:tc>
      </w:tr>
      <w:tr w:rsidR="00DA488F" w:rsidRPr="006068B4" w14:paraId="030B4DBA"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6E235B12" w:rsidP="6E235B12">
            <w:pPr>
              <w:spacing w:line="240" w:lineRule="auto"/>
              <w:rPr>
                <w:rFonts w:ascii="Times New Roman" w:hAnsi="Times New Roman" w:cs="Times New Roman"/>
                <w:b/>
                <w:bCs/>
                <w:color w:val="000000" w:themeColor="text1"/>
                <w:sz w:val="20"/>
                <w:szCs w:val="20"/>
              </w:rPr>
            </w:pPr>
            <w:r w:rsidRPr="6E235B12">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47892F3B"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10,3</w:t>
            </w:r>
          </w:p>
        </w:tc>
        <w:tc>
          <w:tcPr>
            <w:tcW w:w="992" w:type="dxa"/>
            <w:tcBorders>
              <w:top w:val="nil"/>
              <w:left w:val="nil"/>
              <w:bottom w:val="single" w:sz="4" w:space="0" w:color="auto"/>
              <w:right w:val="single" w:sz="4" w:space="0" w:color="auto"/>
            </w:tcBorders>
            <w:shd w:val="clear" w:color="auto" w:fill="auto"/>
            <w:noWrap/>
            <w:hideMark/>
          </w:tcPr>
          <w:p w14:paraId="79ACCB29" w14:textId="5D755E81"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9,9</w:t>
            </w:r>
          </w:p>
        </w:tc>
        <w:tc>
          <w:tcPr>
            <w:tcW w:w="850" w:type="dxa"/>
            <w:tcBorders>
              <w:top w:val="nil"/>
              <w:left w:val="nil"/>
              <w:bottom w:val="single" w:sz="4" w:space="0" w:color="auto"/>
              <w:right w:val="single" w:sz="4" w:space="0" w:color="auto"/>
            </w:tcBorders>
            <w:shd w:val="clear" w:color="auto" w:fill="auto"/>
            <w:noWrap/>
            <w:hideMark/>
          </w:tcPr>
          <w:p w14:paraId="74FAD509" w14:textId="546BF25D"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55CBB5D3" w14:textId="5FF6080D"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96,1</w:t>
            </w:r>
          </w:p>
        </w:tc>
      </w:tr>
      <w:tr w:rsidR="00DA488F" w:rsidRPr="006068B4" w14:paraId="217EDD81"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6E235B12" w:rsidP="6E235B12">
            <w:pPr>
              <w:spacing w:line="240" w:lineRule="auto"/>
              <w:ind w:firstLineChars="100" w:firstLine="2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0A24B9C4">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6E235B12" w:rsidP="6E235B12">
            <w:pPr>
              <w:spacing w:line="240" w:lineRule="auto"/>
              <w:ind w:firstLineChars="400" w:firstLine="800"/>
              <w:rPr>
                <w:rFonts w:ascii="Times New Roman" w:hAnsi="Times New Roman" w:cs="Times New Roman"/>
                <w:i/>
                <w:iCs/>
                <w:color w:val="000000" w:themeColor="text1"/>
                <w:sz w:val="20"/>
                <w:szCs w:val="20"/>
              </w:rPr>
            </w:pPr>
            <w:r w:rsidRPr="6E235B12">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0390BC99"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7,1</w:t>
            </w:r>
          </w:p>
        </w:tc>
        <w:tc>
          <w:tcPr>
            <w:tcW w:w="992" w:type="dxa"/>
            <w:tcBorders>
              <w:top w:val="nil"/>
              <w:left w:val="nil"/>
              <w:bottom w:val="single" w:sz="4" w:space="0" w:color="auto"/>
              <w:right w:val="single" w:sz="4" w:space="0" w:color="auto"/>
            </w:tcBorders>
            <w:shd w:val="clear" w:color="auto" w:fill="auto"/>
            <w:noWrap/>
            <w:hideMark/>
          </w:tcPr>
          <w:p w14:paraId="655A4EFA" w14:textId="3FD59D1C"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6,6</w:t>
            </w:r>
          </w:p>
        </w:tc>
        <w:tc>
          <w:tcPr>
            <w:tcW w:w="850" w:type="dxa"/>
            <w:tcBorders>
              <w:top w:val="nil"/>
              <w:left w:val="nil"/>
              <w:bottom w:val="single" w:sz="4" w:space="0" w:color="auto"/>
              <w:right w:val="single" w:sz="4" w:space="0" w:color="auto"/>
            </w:tcBorders>
            <w:shd w:val="clear" w:color="auto" w:fill="auto"/>
            <w:noWrap/>
            <w:hideMark/>
          </w:tcPr>
          <w:p w14:paraId="5494B891" w14:textId="32B6AA04"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-0,5</w:t>
            </w:r>
          </w:p>
        </w:tc>
        <w:tc>
          <w:tcPr>
            <w:tcW w:w="851" w:type="dxa"/>
            <w:tcBorders>
              <w:top w:val="nil"/>
              <w:left w:val="nil"/>
              <w:bottom w:val="single" w:sz="4" w:space="0" w:color="auto"/>
              <w:right w:val="single" w:sz="4" w:space="0" w:color="auto"/>
            </w:tcBorders>
            <w:shd w:val="clear" w:color="auto" w:fill="auto"/>
            <w:noWrap/>
            <w:hideMark/>
          </w:tcPr>
          <w:p w14:paraId="68797428" w14:textId="4AE2AFF6" w:rsidR="00DA488F" w:rsidRPr="00DA488F" w:rsidRDefault="0A24B9C4" w:rsidP="0A24B9C4">
            <w:pPr>
              <w:spacing w:line="240" w:lineRule="auto"/>
              <w:jc w:val="right"/>
              <w:rPr>
                <w:rFonts w:ascii="Times New Roman" w:hAnsi="Times New Roman" w:cs="Times New Roman"/>
                <w:sz w:val="20"/>
                <w:szCs w:val="20"/>
              </w:rPr>
            </w:pPr>
            <w:r w:rsidRPr="0A24B9C4">
              <w:rPr>
                <w:rFonts w:ascii="Times New Roman" w:hAnsi="Times New Roman" w:cs="Times New Roman"/>
                <w:sz w:val="20"/>
                <w:szCs w:val="20"/>
              </w:rPr>
              <w:t>93,0</w:t>
            </w:r>
          </w:p>
        </w:tc>
      </w:tr>
      <w:tr w:rsidR="00DA488F" w:rsidRPr="006068B4" w14:paraId="393A56CC" w14:textId="77777777" w:rsidTr="0A24B9C4">
        <w:trPr>
          <w:trHeight w:hRule="exact" w:val="28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655C" w14:textId="25FA69F9" w:rsidR="00DA488F" w:rsidRPr="006068B4" w:rsidRDefault="6E235B12" w:rsidP="6E235B12">
            <w:pPr>
              <w:spacing w:line="240" w:lineRule="auto"/>
              <w:rPr>
                <w:rFonts w:ascii="Times New Roman" w:hAnsi="Times New Roman" w:cs="Times New Roman"/>
                <w:b/>
                <w:bCs/>
                <w:color w:val="000000" w:themeColor="text1"/>
                <w:sz w:val="20"/>
                <w:szCs w:val="20"/>
              </w:rPr>
            </w:pPr>
            <w:r w:rsidRPr="6E235B12">
              <w:rPr>
                <w:rFonts w:ascii="Times New Roman" w:hAnsi="Times New Roman" w:cs="Times New Roman"/>
                <w:b/>
                <w:bCs/>
                <w:color w:val="000000" w:themeColor="text1"/>
                <w:sz w:val="20"/>
                <w:szCs w:val="20"/>
              </w:rPr>
              <w:t>Összesen</w:t>
            </w:r>
          </w:p>
        </w:tc>
        <w:tc>
          <w:tcPr>
            <w:tcW w:w="993" w:type="dxa"/>
            <w:tcBorders>
              <w:top w:val="single" w:sz="4" w:space="0" w:color="auto"/>
              <w:left w:val="nil"/>
              <w:bottom w:val="single" w:sz="4" w:space="0" w:color="auto"/>
              <w:right w:val="single" w:sz="4" w:space="0" w:color="auto"/>
            </w:tcBorders>
            <w:shd w:val="clear" w:color="auto" w:fill="auto"/>
            <w:noWrap/>
            <w:hideMark/>
          </w:tcPr>
          <w:p w14:paraId="2E876EDD" w14:textId="04BE38A6"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336,3</w:t>
            </w:r>
          </w:p>
        </w:tc>
        <w:tc>
          <w:tcPr>
            <w:tcW w:w="992" w:type="dxa"/>
            <w:tcBorders>
              <w:top w:val="single" w:sz="4" w:space="0" w:color="auto"/>
              <w:left w:val="nil"/>
              <w:bottom w:val="single" w:sz="4" w:space="0" w:color="auto"/>
              <w:right w:val="single" w:sz="4" w:space="0" w:color="auto"/>
            </w:tcBorders>
            <w:shd w:val="clear" w:color="auto" w:fill="auto"/>
            <w:noWrap/>
            <w:hideMark/>
          </w:tcPr>
          <w:p w14:paraId="1CB4D241" w14:textId="74462CDB"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327,1</w:t>
            </w:r>
          </w:p>
        </w:tc>
        <w:tc>
          <w:tcPr>
            <w:tcW w:w="850" w:type="dxa"/>
            <w:tcBorders>
              <w:top w:val="single" w:sz="4" w:space="0" w:color="auto"/>
              <w:left w:val="nil"/>
              <w:bottom w:val="single" w:sz="4" w:space="0" w:color="auto"/>
              <w:right w:val="single" w:sz="4" w:space="0" w:color="auto"/>
            </w:tcBorders>
            <w:shd w:val="clear" w:color="auto" w:fill="auto"/>
            <w:noWrap/>
            <w:hideMark/>
          </w:tcPr>
          <w:p w14:paraId="5FF2C368" w14:textId="6D1B1F19"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-9,2</w:t>
            </w:r>
          </w:p>
        </w:tc>
        <w:tc>
          <w:tcPr>
            <w:tcW w:w="851" w:type="dxa"/>
            <w:tcBorders>
              <w:top w:val="single" w:sz="4" w:space="0" w:color="auto"/>
              <w:left w:val="nil"/>
              <w:bottom w:val="single" w:sz="4" w:space="0" w:color="auto"/>
              <w:right w:val="single" w:sz="4" w:space="0" w:color="auto"/>
            </w:tcBorders>
            <w:shd w:val="clear" w:color="auto" w:fill="auto"/>
            <w:noWrap/>
            <w:hideMark/>
          </w:tcPr>
          <w:p w14:paraId="7F3F44AB" w14:textId="5498A8B3" w:rsidR="00DA488F" w:rsidRPr="00DA488F" w:rsidRDefault="0A24B9C4" w:rsidP="0A24B9C4">
            <w:pPr>
              <w:spacing w:line="240" w:lineRule="auto"/>
              <w:jc w:val="right"/>
              <w:rPr>
                <w:rFonts w:ascii="Times New Roman" w:hAnsi="Times New Roman" w:cs="Times New Roman"/>
                <w:b/>
                <w:bCs/>
                <w:sz w:val="20"/>
                <w:szCs w:val="20"/>
              </w:rPr>
            </w:pPr>
            <w:r w:rsidRPr="0A24B9C4">
              <w:rPr>
                <w:rFonts w:ascii="Times New Roman" w:hAnsi="Times New Roman" w:cs="Times New Roman"/>
                <w:b/>
                <w:bCs/>
                <w:sz w:val="20"/>
                <w:szCs w:val="20"/>
              </w:rPr>
              <w:t>97,3</w:t>
            </w:r>
          </w:p>
        </w:tc>
      </w:tr>
    </w:tbl>
    <w:p w14:paraId="06B704C2" w14:textId="6D538942" w:rsidR="0C85BE5D" w:rsidRDefault="6E235B12" w:rsidP="004C0575">
      <w:pPr>
        <w:spacing w:before="240"/>
        <w:jc w:val="both"/>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családi támogatásokra</w:t>
      </w:r>
      <w:r w:rsidRPr="6E235B12">
        <w:rPr>
          <w:rFonts w:ascii="Times New Roman" w:eastAsia="Times New Roman" w:hAnsi="Times New Roman" w:cs="Times New Roman"/>
          <w:sz w:val="26"/>
          <w:szCs w:val="26"/>
        </w:rPr>
        <w:t xml:space="preserve"> 2025 első öt hónapjában összesen 167,2</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forintot fizettek ki, amely 14,0</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volt alacsonyabb az előző évi teljesítésnél. Az</w:t>
      </w:r>
      <w:r w:rsidR="004C0575">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eltérés elsősorban a Családi támogatások jogcím csoporthoz tartozó Életkezdési támogatás előirányzat kiadásai csökkenésének következménye, ami 12,7</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 xml:space="preserve">milliárd forinttal volt alacsonyabb </w:t>
      </w:r>
      <w:r w:rsidR="00091B18">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sz w:val="26"/>
          <w:szCs w:val="26"/>
        </w:rPr>
        <w:t>előző év azonos időszakához képest. Ennek oka, hogy 2025-ben az</w:t>
      </w:r>
      <w:r w:rsidR="004C0575">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életkezdési letéti számlákon nyilvántartott követelés összegére tekintettel fizetett kamat mértéke 3,7% volt (a 2024. évi infláció mértékének megfelelően), ami jelentősen alacsonyabb a 2024-ben fizetett kamat mértékénél (17,6%).</w:t>
      </w:r>
    </w:p>
    <w:p w14:paraId="61723877" w14:textId="1188006E" w:rsidR="0C85BE5D" w:rsidRDefault="6E235B12" w:rsidP="0C85BE5D">
      <w:pPr>
        <w:jc w:val="both"/>
      </w:pPr>
      <w:r w:rsidRPr="6E235B12">
        <w:rPr>
          <w:rFonts w:ascii="Times New Roman" w:eastAsia="Times New Roman" w:hAnsi="Times New Roman" w:cs="Times New Roman"/>
          <w:sz w:val="26"/>
          <w:szCs w:val="26"/>
        </w:rPr>
        <w:lastRenderedPageBreak/>
        <w:t xml:space="preserve">A </w:t>
      </w:r>
      <w:r w:rsidRPr="6E235B12">
        <w:rPr>
          <w:rFonts w:ascii="Times New Roman" w:eastAsia="Times New Roman" w:hAnsi="Times New Roman" w:cs="Times New Roman"/>
          <w:b/>
          <w:bCs/>
          <w:sz w:val="26"/>
          <w:szCs w:val="26"/>
        </w:rPr>
        <w:t>korhatár alatti ellátások</w:t>
      </w:r>
      <w:r w:rsidRPr="6E235B12">
        <w:rPr>
          <w:rFonts w:ascii="Times New Roman" w:eastAsia="Times New Roman" w:hAnsi="Times New Roman" w:cs="Times New Roman"/>
          <w:sz w:val="26"/>
          <w:szCs w:val="26"/>
        </w:rPr>
        <w:t xml:space="preserve"> esetében a kiadás 2,4</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 havi nyugdíjhoz hasonlóan februárban a korhatár előtti ellátásban részesülő személyek is részesültek 13. havi ellátásban.</w:t>
      </w:r>
    </w:p>
    <w:p w14:paraId="33127880" w14:textId="415300EC" w:rsidR="0C85BE5D" w:rsidRDefault="6E235B12" w:rsidP="0C85BE5D">
      <w:pPr>
        <w:jc w:val="both"/>
      </w:pPr>
      <w:r w:rsidRPr="6E235B12">
        <w:rPr>
          <w:rFonts w:ascii="Times New Roman" w:eastAsia="Times New Roman" w:hAnsi="Times New Roman" w:cs="Times New Roman"/>
          <w:sz w:val="26"/>
          <w:szCs w:val="26"/>
        </w:rPr>
        <w:t xml:space="preserve">2025 májusáig a </w:t>
      </w:r>
      <w:r w:rsidRPr="00091B18">
        <w:rPr>
          <w:rFonts w:ascii="Times New Roman" w:eastAsia="Times New Roman" w:hAnsi="Times New Roman" w:cs="Times New Roman"/>
          <w:b/>
          <w:bCs/>
          <w:sz w:val="26"/>
          <w:szCs w:val="26"/>
        </w:rPr>
        <w:t>jövedelempótló és jövedelemkiegészítő szociális támogatásokra biztosított kiadásokon</w:t>
      </w:r>
      <w:r w:rsidRPr="6E235B12">
        <w:rPr>
          <w:rFonts w:ascii="Times New Roman" w:eastAsia="Times New Roman" w:hAnsi="Times New Roman" w:cs="Times New Roman"/>
          <w:sz w:val="26"/>
          <w:szCs w:val="26"/>
        </w:rPr>
        <w:t xml:space="preserve"> belül a </w:t>
      </w:r>
      <w:r w:rsidRPr="00091B18">
        <w:rPr>
          <w:rFonts w:ascii="Times New Roman" w:eastAsia="Times New Roman" w:hAnsi="Times New Roman" w:cs="Times New Roman"/>
          <w:sz w:val="26"/>
          <w:szCs w:val="26"/>
        </w:rPr>
        <w:t>járási szociális feladatok</w:t>
      </w:r>
      <w:r w:rsidRPr="6E235B12">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58,9</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forintot fordítottak, mely 7,3</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magasabb az előző évi adatnál. A növekedést elsődlegesen az okozza, hogy 2025. januártól a gyermekek otthongondozási díjának összege a minimálbér emelkedése miatt (266</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800</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forintról 290</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800</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forintra) emelkedett, az ápolási díj összege pedig 3,2%-kal nőtt, és folyamatosan emelkedik a gyermekek otthongondozási díjára jogosultak létszáma is.</w:t>
      </w:r>
    </w:p>
    <w:p w14:paraId="794FA6D4" w14:textId="69C4B864" w:rsidR="0C85BE5D" w:rsidRDefault="6E235B12" w:rsidP="0C85BE5D">
      <w:pPr>
        <w:jc w:val="both"/>
      </w:pPr>
      <w:r w:rsidRPr="6E235B12">
        <w:rPr>
          <w:rFonts w:ascii="Times New Roman" w:eastAsia="Times New Roman" w:hAnsi="Times New Roman" w:cs="Times New Roman"/>
          <w:sz w:val="26"/>
          <w:szCs w:val="26"/>
        </w:rPr>
        <w:t xml:space="preserve">A </w:t>
      </w:r>
      <w:r w:rsidRPr="00091B18">
        <w:rPr>
          <w:rFonts w:ascii="Times New Roman" w:eastAsia="Times New Roman" w:hAnsi="Times New Roman" w:cs="Times New Roman"/>
          <w:sz w:val="26"/>
          <w:szCs w:val="26"/>
        </w:rPr>
        <w:t>Jövedelempótló és jövedelemkiegészítő ellátások</w:t>
      </w:r>
      <w:r w:rsidRPr="6E235B12">
        <w:rPr>
          <w:rFonts w:ascii="Times New Roman" w:eastAsia="Times New Roman" w:hAnsi="Times New Roman" w:cs="Times New Roman"/>
          <w:sz w:val="26"/>
          <w:szCs w:val="26"/>
        </w:rPr>
        <w:t xml:space="preserve">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34,7</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forintot fizettek ki, mely az előző évi kifizetésnél 0,3</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forinttal magasabb. A kiadások növekedését egyes ellátások januárban végrehajtott 3,2%-os emelésének, valamint a 2025</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februárjában kifizetett 13.</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havi ellátásnak a hatása okozza, amit a jogosultak létszámának csökkenése részben ellensúlyoz.</w:t>
      </w:r>
    </w:p>
    <w:p w14:paraId="0B1A9EEC" w14:textId="28E98F22" w:rsidR="0C85BE5D" w:rsidRDefault="6E235B12" w:rsidP="0C85BE5D">
      <w:pPr>
        <w:jc w:val="both"/>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különféle jogcímen adott térítések</w:t>
      </w:r>
      <w:r w:rsidRPr="6E235B12">
        <w:rPr>
          <w:rFonts w:ascii="Times New Roman" w:eastAsia="Times New Roman" w:hAnsi="Times New Roman" w:cs="Times New Roman"/>
          <w:sz w:val="26"/>
          <w:szCs w:val="26"/>
        </w:rPr>
        <w:t xml:space="preserve"> 2025 májusi összege 0,4</w:t>
      </w:r>
      <w:r w:rsidR="00091B18">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alacsonyabb volt, mint az előző év azonos időszakában. A térítéseken belül a legnagyobb összeget, 6,6</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forintot a közgyógyellátásra fizették ki.</w:t>
      </w:r>
    </w:p>
    <w:p w14:paraId="2BBDBEB3" w14:textId="1F52A058" w:rsidR="0032261D" w:rsidRPr="005C3ECD" w:rsidRDefault="0A24B9C4" w:rsidP="0A24B9C4">
      <w:pPr>
        <w:pStyle w:val="NormlWeb"/>
        <w:spacing w:before="0" w:beforeAutospacing="0" w:after="160" w:afterAutospacing="0" w:line="259" w:lineRule="auto"/>
        <w:jc w:val="both"/>
        <w:rPr>
          <w:sz w:val="26"/>
          <w:szCs w:val="26"/>
        </w:rPr>
      </w:pPr>
      <w:r w:rsidRPr="0A24B9C4">
        <w:rPr>
          <w:sz w:val="26"/>
          <w:szCs w:val="26"/>
        </w:rPr>
        <w:t xml:space="preserve">A </w:t>
      </w:r>
      <w:r w:rsidRPr="0A24B9C4">
        <w:rPr>
          <w:b/>
          <w:bCs/>
          <w:sz w:val="26"/>
          <w:szCs w:val="26"/>
        </w:rPr>
        <w:t>babaváró támogatásokra</w:t>
      </w:r>
      <w:r w:rsidRPr="0A24B9C4">
        <w:rPr>
          <w:sz w:val="26"/>
          <w:szCs w:val="26"/>
        </w:rPr>
        <w:t xml:space="preserve"> fordított kiadások összege május végéig 95,7 milliárd forintot tett ki, amely a törvényi előirányzat 38,1%-ának felel meg, és a</w:t>
      </w:r>
      <w:r w:rsidR="004C0575">
        <w:rPr>
          <w:sz w:val="26"/>
          <w:szCs w:val="26"/>
        </w:rPr>
        <w:t> </w:t>
      </w:r>
      <w:r w:rsidRPr="0A24B9C4">
        <w:rPr>
          <w:sz w:val="26"/>
          <w:szCs w:val="26"/>
        </w:rPr>
        <w:t>2024. év azonos időszakához viszonyítva 9,6 milliárd forinttal teljesült magasabban.</w:t>
      </w:r>
    </w:p>
    <w:p w14:paraId="1A25D4E0" w14:textId="78CBAE8A" w:rsidR="000C2BFE" w:rsidRPr="005C3ECD" w:rsidRDefault="6E235B12" w:rsidP="6E235B12">
      <w:pPr>
        <w:pStyle w:val="NormlWeb"/>
        <w:spacing w:before="0" w:beforeAutospacing="0" w:after="160" w:afterAutospacing="0" w:line="259" w:lineRule="auto"/>
        <w:jc w:val="both"/>
        <w:rPr>
          <w:sz w:val="26"/>
          <w:szCs w:val="26"/>
        </w:rPr>
      </w:pPr>
      <w:r w:rsidRPr="6E235B12">
        <w:rPr>
          <w:sz w:val="26"/>
          <w:szCs w:val="26"/>
        </w:rPr>
        <w:t xml:space="preserve">A </w:t>
      </w:r>
      <w:r w:rsidRPr="6E235B12">
        <w:rPr>
          <w:b/>
          <w:bCs/>
          <w:sz w:val="26"/>
          <w:szCs w:val="26"/>
        </w:rPr>
        <w:t>helyi önkormányzatok</w:t>
      </w:r>
      <w:r w:rsidRPr="6E235B12">
        <w:rPr>
          <w:sz w:val="26"/>
          <w:szCs w:val="26"/>
        </w:rPr>
        <w:t xml:space="preserve"> 2025. évi feladataihoz a hatályos költségvetési törvény alapján </w:t>
      </w:r>
      <w:r w:rsidR="0C85BE5D">
        <w:br/>
      </w:r>
      <w:r w:rsidRPr="6E235B12">
        <w:rPr>
          <w:sz w:val="26"/>
          <w:szCs w:val="26"/>
        </w:rPr>
        <w:t>1 305,7 milliárd forint állami támogatás került megállapításra. Május végéig 581,1 milliárd forint kifizetés történt. Az előző év azonos időszakához viszonyítva 52,0 milliárd forint (9,8%-os) növekedés történt. A jelentősebb tételek alakulását a következő táblázat mutatja:</w:t>
      </w:r>
    </w:p>
    <w:p w14:paraId="2723D8B3" w14:textId="621DAAE8" w:rsidR="00C24948" w:rsidRPr="00B32682" w:rsidRDefault="6E235B12" w:rsidP="6E235B12">
      <w:pPr>
        <w:pageBreakBefore/>
        <w:jc w:val="center"/>
        <w:rPr>
          <w:rFonts w:ascii="Times New Roman" w:eastAsia="Times New Roman" w:hAnsi="Times New Roman" w:cs="Times New Roman"/>
          <w:lang w:eastAsia="hu-HU"/>
        </w:rPr>
      </w:pPr>
      <w:r w:rsidRPr="6E235B12">
        <w:rPr>
          <w:rFonts w:ascii="Times New Roman" w:eastAsia="Times New Roman" w:hAnsi="Times New Roman" w:cs="Times New Roman"/>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0A24B9C4">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1C6C2CA9" w:rsidR="00081A16" w:rsidRPr="00DD7FD1" w:rsidRDefault="6E235B12" w:rsidP="6E235B12">
            <w:pPr>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 xml:space="preserve">2024. </w:t>
            </w:r>
            <w:r w:rsidR="0C85BE5D">
              <w:br/>
            </w:r>
            <w:r w:rsidRPr="6E235B12">
              <w:rPr>
                <w:rFonts w:ascii="Times New Roman" w:hAnsi="Times New Roman" w:cs="Times New Roman"/>
                <w:b/>
                <w:bCs/>
              </w:rPr>
              <w:t>I-V. hó</w:t>
            </w:r>
          </w:p>
        </w:tc>
        <w:tc>
          <w:tcPr>
            <w:tcW w:w="992" w:type="dxa"/>
            <w:vMerge w:val="restart"/>
            <w:shd w:val="clear" w:color="auto" w:fill="BDD6EE" w:themeFill="accent1" w:themeFillTint="66"/>
            <w:vAlign w:val="center"/>
            <w:hideMark/>
          </w:tcPr>
          <w:p w14:paraId="626AC8BC" w14:textId="7CFA0FE8" w:rsidR="00081A16" w:rsidRPr="00DD7FD1" w:rsidRDefault="6E235B12" w:rsidP="6E235B12">
            <w:pPr>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 xml:space="preserve">2025. </w:t>
            </w:r>
            <w:r w:rsidR="0C85BE5D">
              <w:br/>
            </w:r>
            <w:r w:rsidRPr="6E235B12">
              <w:rPr>
                <w:rFonts w:ascii="Times New Roman" w:hAnsi="Times New Roman" w:cs="Times New Roman"/>
                <w:b/>
                <w:bCs/>
              </w:rPr>
              <w:t>I-V. hó</w:t>
            </w:r>
          </w:p>
        </w:tc>
        <w:tc>
          <w:tcPr>
            <w:tcW w:w="1701" w:type="dxa"/>
            <w:gridSpan w:val="2"/>
            <w:shd w:val="clear" w:color="auto" w:fill="BDD6EE" w:themeFill="accent1" w:themeFillTint="66"/>
            <w:noWrap/>
            <w:vAlign w:val="center"/>
            <w:hideMark/>
          </w:tcPr>
          <w:p w14:paraId="35A3C823" w14:textId="77777777" w:rsidR="00081A16" w:rsidRPr="00DD7FD1"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Eltérés</w:t>
            </w:r>
          </w:p>
        </w:tc>
      </w:tr>
      <w:tr w:rsidR="00C24948" w:rsidRPr="00377D59" w14:paraId="2DD9A798" w14:textId="77777777" w:rsidTr="0A24B9C4">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shd w:val="clear" w:color="auto" w:fill="BDD6EE" w:themeFill="accent1" w:themeFillTint="66"/>
            <w:noWrap/>
            <w:vAlign w:val="center"/>
            <w:hideMark/>
          </w:tcPr>
          <w:p w14:paraId="1B2C8FF2" w14:textId="77777777" w:rsidR="00C24948" w:rsidRPr="00DD7FD1"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Mrd Ft</w:t>
            </w:r>
          </w:p>
        </w:tc>
        <w:tc>
          <w:tcPr>
            <w:tcW w:w="851" w:type="dxa"/>
            <w:shd w:val="clear" w:color="auto" w:fill="BDD6EE" w:themeFill="accent1" w:themeFillTint="66"/>
            <w:noWrap/>
            <w:vAlign w:val="center"/>
            <w:hideMark/>
          </w:tcPr>
          <w:p w14:paraId="179AEF43" w14:textId="77777777" w:rsidR="00C24948" w:rsidRPr="00DD7FD1"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w:t>
            </w:r>
          </w:p>
        </w:tc>
      </w:tr>
      <w:tr w:rsidR="009969A9" w:rsidRPr="00377D59" w14:paraId="5CF52B9C" w14:textId="77777777" w:rsidTr="004C0575">
        <w:trPr>
          <w:trHeight w:val="510"/>
        </w:trPr>
        <w:tc>
          <w:tcPr>
            <w:tcW w:w="5382" w:type="dxa"/>
            <w:shd w:val="clear" w:color="auto" w:fill="auto"/>
            <w:vAlign w:val="center"/>
            <w:hideMark/>
          </w:tcPr>
          <w:p w14:paraId="11FF4C49" w14:textId="77777777" w:rsidR="009969A9" w:rsidRPr="00976E1E" w:rsidRDefault="6E235B12" w:rsidP="6E235B12">
            <w:pPr>
              <w:keepNext/>
              <w:keepLines/>
              <w:spacing w:after="0" w:line="240" w:lineRule="auto"/>
              <w:rPr>
                <w:rFonts w:ascii="Times New Roman" w:eastAsia="Times New Roman" w:hAnsi="Times New Roman" w:cs="Times New Roman"/>
                <w:b/>
                <w:bCs/>
                <w:sz w:val="20"/>
                <w:szCs w:val="20"/>
                <w:lang w:eastAsia="hu-HU"/>
              </w:rPr>
            </w:pPr>
            <w:r w:rsidRPr="6E235B12">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shd w:val="clear" w:color="auto" w:fill="auto"/>
            <w:noWrap/>
            <w:vAlign w:val="center"/>
          </w:tcPr>
          <w:p w14:paraId="0A1E4CBD" w14:textId="61F1B1AB"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488,8</w:t>
            </w:r>
          </w:p>
        </w:tc>
        <w:tc>
          <w:tcPr>
            <w:tcW w:w="992" w:type="dxa"/>
            <w:shd w:val="clear" w:color="auto" w:fill="auto"/>
            <w:noWrap/>
            <w:vAlign w:val="center"/>
          </w:tcPr>
          <w:p w14:paraId="47729553" w14:textId="174CF21B"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524,0</w:t>
            </w:r>
          </w:p>
        </w:tc>
        <w:tc>
          <w:tcPr>
            <w:tcW w:w="850" w:type="dxa"/>
            <w:shd w:val="clear" w:color="auto" w:fill="auto"/>
            <w:noWrap/>
            <w:vAlign w:val="center"/>
          </w:tcPr>
          <w:p w14:paraId="11D76081" w14:textId="167851BA"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35,2</w:t>
            </w:r>
          </w:p>
        </w:tc>
        <w:tc>
          <w:tcPr>
            <w:tcW w:w="851" w:type="dxa"/>
            <w:shd w:val="clear" w:color="auto" w:fill="auto"/>
            <w:noWrap/>
            <w:vAlign w:val="center"/>
          </w:tcPr>
          <w:p w14:paraId="0E9DF60E" w14:textId="66C893AF"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107,2</w:t>
            </w:r>
          </w:p>
        </w:tc>
      </w:tr>
      <w:tr w:rsidR="009969A9" w:rsidRPr="00377D59" w14:paraId="66D88640" w14:textId="77777777" w:rsidTr="004C0575">
        <w:trPr>
          <w:trHeight w:val="340"/>
        </w:trPr>
        <w:tc>
          <w:tcPr>
            <w:tcW w:w="5382" w:type="dxa"/>
            <w:shd w:val="clear" w:color="auto" w:fill="auto"/>
            <w:vAlign w:val="center"/>
            <w:hideMark/>
          </w:tcPr>
          <w:p w14:paraId="4496E62C" w14:textId="77777777" w:rsidR="009969A9" w:rsidRPr="00976E1E" w:rsidRDefault="6E235B12" w:rsidP="6E235B12">
            <w:pPr>
              <w:keepNext/>
              <w:keepLines/>
              <w:spacing w:after="0" w:line="240" w:lineRule="auto"/>
              <w:rPr>
                <w:rFonts w:ascii="Times New Roman" w:eastAsia="Times New Roman" w:hAnsi="Times New Roman" w:cs="Times New Roman"/>
                <w:i/>
                <w:iCs/>
                <w:sz w:val="20"/>
                <w:szCs w:val="20"/>
                <w:lang w:eastAsia="hu-HU"/>
              </w:rPr>
            </w:pPr>
            <w:r w:rsidRPr="6E235B12">
              <w:rPr>
                <w:rFonts w:ascii="Times New Roman" w:eastAsia="Times New Roman" w:hAnsi="Times New Roman" w:cs="Times New Roman"/>
                <w:i/>
                <w:iCs/>
                <w:sz w:val="20"/>
                <w:szCs w:val="20"/>
                <w:lang w:eastAsia="hu-HU"/>
              </w:rPr>
              <w:t>A helyi önkormányzatok működésének általános támogatása</w:t>
            </w:r>
          </w:p>
        </w:tc>
        <w:tc>
          <w:tcPr>
            <w:tcW w:w="1196" w:type="dxa"/>
            <w:shd w:val="clear" w:color="auto" w:fill="auto"/>
            <w:noWrap/>
            <w:vAlign w:val="center"/>
          </w:tcPr>
          <w:p w14:paraId="6C091267" w14:textId="3C67AC0E"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137,6</w:t>
            </w:r>
          </w:p>
        </w:tc>
        <w:tc>
          <w:tcPr>
            <w:tcW w:w="992" w:type="dxa"/>
            <w:shd w:val="clear" w:color="auto" w:fill="auto"/>
            <w:noWrap/>
            <w:vAlign w:val="center"/>
          </w:tcPr>
          <w:p w14:paraId="3313F341" w14:textId="7495B8A0"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136,5</w:t>
            </w:r>
          </w:p>
        </w:tc>
        <w:tc>
          <w:tcPr>
            <w:tcW w:w="850" w:type="dxa"/>
            <w:shd w:val="clear" w:color="auto" w:fill="auto"/>
            <w:noWrap/>
            <w:vAlign w:val="center"/>
          </w:tcPr>
          <w:p w14:paraId="1F67C594" w14:textId="4F93AC0E"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-1,1</w:t>
            </w:r>
          </w:p>
        </w:tc>
        <w:tc>
          <w:tcPr>
            <w:tcW w:w="851" w:type="dxa"/>
            <w:shd w:val="clear" w:color="auto" w:fill="auto"/>
            <w:noWrap/>
            <w:vAlign w:val="center"/>
          </w:tcPr>
          <w:p w14:paraId="6B1384BF" w14:textId="7C8C6ADC"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99,2</w:t>
            </w:r>
          </w:p>
        </w:tc>
      </w:tr>
      <w:tr w:rsidR="009969A9" w:rsidRPr="00377D59" w14:paraId="644FC967" w14:textId="77777777" w:rsidTr="004C0575">
        <w:trPr>
          <w:trHeight w:val="510"/>
        </w:trPr>
        <w:tc>
          <w:tcPr>
            <w:tcW w:w="5382" w:type="dxa"/>
            <w:shd w:val="clear" w:color="auto" w:fill="auto"/>
            <w:vAlign w:val="center"/>
            <w:hideMark/>
          </w:tcPr>
          <w:p w14:paraId="1BA330A0" w14:textId="77777777" w:rsidR="009969A9" w:rsidRPr="00976E1E" w:rsidRDefault="6E235B12" w:rsidP="6E235B12">
            <w:pPr>
              <w:keepNext/>
              <w:keepLines/>
              <w:spacing w:after="0" w:line="240" w:lineRule="auto"/>
              <w:rPr>
                <w:rFonts w:ascii="Times New Roman" w:eastAsia="Times New Roman" w:hAnsi="Times New Roman" w:cs="Times New Roman"/>
                <w:i/>
                <w:iCs/>
                <w:sz w:val="20"/>
                <w:szCs w:val="20"/>
                <w:lang w:eastAsia="hu-HU"/>
              </w:rPr>
            </w:pPr>
            <w:r w:rsidRPr="6E235B12">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shd w:val="clear" w:color="auto" w:fill="auto"/>
            <w:noWrap/>
            <w:vAlign w:val="center"/>
          </w:tcPr>
          <w:p w14:paraId="5E8D28C3" w14:textId="59749F98"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155,5</w:t>
            </w:r>
          </w:p>
        </w:tc>
        <w:tc>
          <w:tcPr>
            <w:tcW w:w="992" w:type="dxa"/>
            <w:shd w:val="clear" w:color="auto" w:fill="auto"/>
            <w:noWrap/>
            <w:vAlign w:val="center"/>
          </w:tcPr>
          <w:p w14:paraId="6861BB58" w14:textId="383940DB"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176,0</w:t>
            </w:r>
          </w:p>
        </w:tc>
        <w:tc>
          <w:tcPr>
            <w:tcW w:w="850" w:type="dxa"/>
            <w:shd w:val="clear" w:color="auto" w:fill="auto"/>
            <w:noWrap/>
            <w:vAlign w:val="center"/>
          </w:tcPr>
          <w:p w14:paraId="085D1E80" w14:textId="68153E95"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20,5</w:t>
            </w:r>
          </w:p>
        </w:tc>
        <w:tc>
          <w:tcPr>
            <w:tcW w:w="851" w:type="dxa"/>
            <w:shd w:val="clear" w:color="auto" w:fill="auto"/>
            <w:noWrap/>
            <w:vAlign w:val="center"/>
          </w:tcPr>
          <w:p w14:paraId="7767CDD1" w14:textId="5C933ACD"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113,2</w:t>
            </w:r>
          </w:p>
        </w:tc>
      </w:tr>
      <w:tr w:rsidR="009969A9" w:rsidRPr="00377D59" w14:paraId="11F06AEB" w14:textId="77777777" w:rsidTr="004C0575">
        <w:trPr>
          <w:trHeight w:val="510"/>
        </w:trPr>
        <w:tc>
          <w:tcPr>
            <w:tcW w:w="5382" w:type="dxa"/>
            <w:shd w:val="clear" w:color="auto" w:fill="auto"/>
            <w:vAlign w:val="center"/>
            <w:hideMark/>
          </w:tcPr>
          <w:p w14:paraId="63EE65A2" w14:textId="77777777" w:rsidR="009969A9" w:rsidRPr="00976E1E" w:rsidRDefault="6E235B12" w:rsidP="6E235B12">
            <w:pPr>
              <w:keepNext/>
              <w:keepLines/>
              <w:spacing w:after="0" w:line="240" w:lineRule="auto"/>
              <w:rPr>
                <w:rFonts w:ascii="Times New Roman" w:eastAsia="Times New Roman" w:hAnsi="Times New Roman" w:cs="Times New Roman"/>
                <w:i/>
                <w:iCs/>
                <w:sz w:val="20"/>
                <w:szCs w:val="20"/>
                <w:lang w:eastAsia="hu-HU"/>
              </w:rPr>
            </w:pPr>
            <w:r w:rsidRPr="6E235B12">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shd w:val="clear" w:color="auto" w:fill="auto"/>
            <w:noWrap/>
            <w:vAlign w:val="center"/>
          </w:tcPr>
          <w:p w14:paraId="4BBDE34C" w14:textId="1D954E1A"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185,8</w:t>
            </w:r>
          </w:p>
        </w:tc>
        <w:tc>
          <w:tcPr>
            <w:tcW w:w="992" w:type="dxa"/>
            <w:shd w:val="clear" w:color="auto" w:fill="auto"/>
            <w:noWrap/>
            <w:vAlign w:val="center"/>
          </w:tcPr>
          <w:p w14:paraId="4EC5C695" w14:textId="0F2173B1"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201,6</w:t>
            </w:r>
          </w:p>
        </w:tc>
        <w:tc>
          <w:tcPr>
            <w:tcW w:w="850" w:type="dxa"/>
            <w:shd w:val="clear" w:color="auto" w:fill="auto"/>
            <w:noWrap/>
            <w:vAlign w:val="center"/>
          </w:tcPr>
          <w:p w14:paraId="14601228" w14:textId="2C9A31FD"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15,8</w:t>
            </w:r>
          </w:p>
        </w:tc>
        <w:tc>
          <w:tcPr>
            <w:tcW w:w="851" w:type="dxa"/>
            <w:shd w:val="clear" w:color="auto" w:fill="auto"/>
            <w:noWrap/>
            <w:vAlign w:val="center"/>
          </w:tcPr>
          <w:p w14:paraId="44A53BB5" w14:textId="701D43AB"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108,5</w:t>
            </w:r>
          </w:p>
        </w:tc>
      </w:tr>
      <w:tr w:rsidR="009969A9" w:rsidRPr="00377D59" w14:paraId="1FC403F4" w14:textId="77777777" w:rsidTr="004C0575">
        <w:trPr>
          <w:trHeight w:val="340"/>
        </w:trPr>
        <w:tc>
          <w:tcPr>
            <w:tcW w:w="5382" w:type="dxa"/>
            <w:shd w:val="clear" w:color="auto" w:fill="auto"/>
            <w:vAlign w:val="center"/>
            <w:hideMark/>
          </w:tcPr>
          <w:p w14:paraId="4F427CE2" w14:textId="77777777" w:rsidR="009969A9" w:rsidRPr="00976E1E" w:rsidRDefault="6E235B12" w:rsidP="6E235B12">
            <w:pPr>
              <w:keepNext/>
              <w:keepLines/>
              <w:spacing w:after="0" w:line="240" w:lineRule="auto"/>
              <w:rPr>
                <w:rFonts w:ascii="Times New Roman" w:eastAsia="Times New Roman" w:hAnsi="Times New Roman" w:cs="Times New Roman"/>
                <w:i/>
                <w:iCs/>
                <w:sz w:val="20"/>
                <w:szCs w:val="20"/>
                <w:lang w:eastAsia="hu-HU"/>
              </w:rPr>
            </w:pPr>
            <w:r w:rsidRPr="6E235B12">
              <w:rPr>
                <w:rFonts w:ascii="Times New Roman" w:eastAsia="Times New Roman" w:hAnsi="Times New Roman" w:cs="Times New Roman"/>
                <w:i/>
                <w:iCs/>
                <w:sz w:val="20"/>
                <w:szCs w:val="20"/>
                <w:lang w:eastAsia="hu-HU"/>
              </w:rPr>
              <w:t>A települési önkormányzatok kulturális feladatainak támogatása</w:t>
            </w:r>
          </w:p>
        </w:tc>
        <w:tc>
          <w:tcPr>
            <w:tcW w:w="1196" w:type="dxa"/>
            <w:shd w:val="clear" w:color="auto" w:fill="auto"/>
            <w:noWrap/>
            <w:vAlign w:val="center"/>
          </w:tcPr>
          <w:p w14:paraId="44BDB6D4" w14:textId="51972561"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9,9</w:t>
            </w:r>
          </w:p>
        </w:tc>
        <w:tc>
          <w:tcPr>
            <w:tcW w:w="992" w:type="dxa"/>
            <w:shd w:val="clear" w:color="auto" w:fill="auto"/>
            <w:noWrap/>
            <w:vAlign w:val="center"/>
          </w:tcPr>
          <w:p w14:paraId="3D1BBCDB" w14:textId="479D5ED3"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sz w:val="20"/>
                <w:szCs w:val="20"/>
              </w:rPr>
              <w:t>9,9</w:t>
            </w:r>
          </w:p>
        </w:tc>
        <w:tc>
          <w:tcPr>
            <w:tcW w:w="850" w:type="dxa"/>
            <w:shd w:val="clear" w:color="auto" w:fill="auto"/>
            <w:noWrap/>
            <w:vAlign w:val="center"/>
          </w:tcPr>
          <w:p w14:paraId="6C28EF3A" w14:textId="1CDB92AB"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0,0</w:t>
            </w:r>
          </w:p>
        </w:tc>
        <w:tc>
          <w:tcPr>
            <w:tcW w:w="851" w:type="dxa"/>
            <w:shd w:val="clear" w:color="auto" w:fill="auto"/>
            <w:noWrap/>
            <w:vAlign w:val="center"/>
          </w:tcPr>
          <w:p w14:paraId="796E83D2" w14:textId="59358C64" w:rsidR="009969A9" w:rsidRPr="009969A9" w:rsidRDefault="0A24B9C4" w:rsidP="0A24B9C4">
            <w:pPr>
              <w:keepNext/>
              <w:keepLines/>
              <w:spacing w:after="0" w:line="240" w:lineRule="auto"/>
              <w:jc w:val="right"/>
              <w:rPr>
                <w:rFonts w:ascii="Times New Roman" w:eastAsia="Times New Roman" w:hAnsi="Times New Roman" w:cs="Times New Roman"/>
                <w:i/>
                <w:iCs/>
                <w:sz w:val="20"/>
                <w:szCs w:val="20"/>
                <w:lang w:eastAsia="hu-HU"/>
              </w:rPr>
            </w:pPr>
            <w:r w:rsidRPr="0A24B9C4">
              <w:rPr>
                <w:rFonts w:ascii="Times New Roman" w:hAnsi="Times New Roman" w:cs="Times New Roman"/>
                <w:i/>
                <w:iCs/>
                <w:sz w:val="20"/>
                <w:szCs w:val="20"/>
              </w:rPr>
              <w:t>100,0</w:t>
            </w:r>
          </w:p>
        </w:tc>
      </w:tr>
      <w:tr w:rsidR="009969A9" w:rsidRPr="00377D59" w14:paraId="44EF96BF" w14:textId="77777777" w:rsidTr="004C0575">
        <w:trPr>
          <w:trHeight w:val="340"/>
        </w:trPr>
        <w:tc>
          <w:tcPr>
            <w:tcW w:w="5382" w:type="dxa"/>
            <w:shd w:val="clear" w:color="auto" w:fill="auto"/>
            <w:vAlign w:val="center"/>
            <w:hideMark/>
          </w:tcPr>
          <w:p w14:paraId="3DD87A70" w14:textId="766307B5" w:rsidR="009969A9" w:rsidRPr="00976E1E" w:rsidRDefault="6E235B12" w:rsidP="6E235B12">
            <w:pPr>
              <w:keepNext/>
              <w:keepLines/>
              <w:spacing w:after="0" w:line="240" w:lineRule="auto"/>
              <w:rPr>
                <w:rFonts w:ascii="Times New Roman" w:eastAsia="Times New Roman" w:hAnsi="Times New Roman" w:cs="Times New Roman"/>
                <w:b/>
                <w:bCs/>
                <w:sz w:val="20"/>
                <w:szCs w:val="20"/>
                <w:lang w:eastAsia="hu-HU"/>
              </w:rPr>
            </w:pPr>
            <w:r w:rsidRPr="6E235B12">
              <w:rPr>
                <w:rFonts w:ascii="Times New Roman" w:eastAsia="Times New Roman" w:hAnsi="Times New Roman" w:cs="Times New Roman"/>
                <w:b/>
                <w:bCs/>
                <w:sz w:val="20"/>
                <w:szCs w:val="20"/>
                <w:lang w:eastAsia="hu-HU"/>
              </w:rPr>
              <w:t>Helyi önkormányzatok kiegészítő támogatása</w:t>
            </w:r>
          </w:p>
        </w:tc>
        <w:tc>
          <w:tcPr>
            <w:tcW w:w="1196" w:type="dxa"/>
            <w:shd w:val="clear" w:color="auto" w:fill="auto"/>
            <w:noWrap/>
            <w:vAlign w:val="center"/>
          </w:tcPr>
          <w:p w14:paraId="34DDE983" w14:textId="1FCD911A"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33,5</w:t>
            </w:r>
          </w:p>
        </w:tc>
        <w:tc>
          <w:tcPr>
            <w:tcW w:w="992" w:type="dxa"/>
            <w:shd w:val="clear" w:color="auto" w:fill="auto"/>
            <w:noWrap/>
            <w:vAlign w:val="center"/>
          </w:tcPr>
          <w:p w14:paraId="405423BA" w14:textId="55829AA4"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56,3</w:t>
            </w:r>
          </w:p>
        </w:tc>
        <w:tc>
          <w:tcPr>
            <w:tcW w:w="850" w:type="dxa"/>
            <w:shd w:val="clear" w:color="auto" w:fill="auto"/>
            <w:noWrap/>
            <w:vAlign w:val="center"/>
          </w:tcPr>
          <w:p w14:paraId="76EB67F0" w14:textId="7EB2746A"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22,8</w:t>
            </w:r>
          </w:p>
        </w:tc>
        <w:tc>
          <w:tcPr>
            <w:tcW w:w="851" w:type="dxa"/>
            <w:shd w:val="clear" w:color="auto" w:fill="auto"/>
            <w:noWrap/>
            <w:vAlign w:val="center"/>
          </w:tcPr>
          <w:p w14:paraId="3FFF6C6E" w14:textId="02F65140"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168,1</w:t>
            </w:r>
          </w:p>
        </w:tc>
      </w:tr>
      <w:tr w:rsidR="009969A9" w:rsidRPr="00377D59" w14:paraId="648C3F54" w14:textId="77777777" w:rsidTr="004C0575">
        <w:trPr>
          <w:trHeight w:val="340"/>
        </w:trPr>
        <w:tc>
          <w:tcPr>
            <w:tcW w:w="5382" w:type="dxa"/>
            <w:shd w:val="clear" w:color="auto" w:fill="auto"/>
            <w:vAlign w:val="center"/>
            <w:hideMark/>
          </w:tcPr>
          <w:p w14:paraId="3676EE9C" w14:textId="4925EF27" w:rsidR="009969A9" w:rsidRPr="00976E1E" w:rsidRDefault="6E235B12" w:rsidP="6E235B12">
            <w:pPr>
              <w:keepNext/>
              <w:keepLines/>
              <w:spacing w:after="0" w:line="240" w:lineRule="auto"/>
              <w:rPr>
                <w:rFonts w:ascii="Times New Roman" w:eastAsia="Times New Roman" w:hAnsi="Times New Roman" w:cs="Times New Roman"/>
                <w:b/>
                <w:bCs/>
                <w:sz w:val="20"/>
                <w:szCs w:val="20"/>
                <w:lang w:eastAsia="hu-HU"/>
              </w:rPr>
            </w:pPr>
            <w:r w:rsidRPr="6E235B12">
              <w:rPr>
                <w:rFonts w:ascii="Times New Roman" w:eastAsia="Times New Roman" w:hAnsi="Times New Roman" w:cs="Times New Roman"/>
                <w:b/>
                <w:bCs/>
                <w:sz w:val="20"/>
                <w:szCs w:val="20"/>
                <w:lang w:eastAsia="hu-HU"/>
              </w:rPr>
              <w:t>Év közben létrejött új jogcímek kiadásai</w:t>
            </w:r>
          </w:p>
        </w:tc>
        <w:tc>
          <w:tcPr>
            <w:tcW w:w="1196" w:type="dxa"/>
            <w:shd w:val="clear" w:color="auto" w:fill="auto"/>
            <w:noWrap/>
            <w:vAlign w:val="center"/>
          </w:tcPr>
          <w:p w14:paraId="0BACAC9E" w14:textId="5B456534"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6,8</w:t>
            </w:r>
          </w:p>
        </w:tc>
        <w:tc>
          <w:tcPr>
            <w:tcW w:w="992" w:type="dxa"/>
            <w:shd w:val="clear" w:color="auto" w:fill="auto"/>
            <w:noWrap/>
            <w:vAlign w:val="center"/>
          </w:tcPr>
          <w:p w14:paraId="7A66E9FC" w14:textId="43E52365"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0,8</w:t>
            </w:r>
          </w:p>
        </w:tc>
        <w:tc>
          <w:tcPr>
            <w:tcW w:w="850" w:type="dxa"/>
            <w:shd w:val="clear" w:color="auto" w:fill="auto"/>
            <w:noWrap/>
            <w:vAlign w:val="center"/>
          </w:tcPr>
          <w:p w14:paraId="592B586A" w14:textId="34956182"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-6,0</w:t>
            </w:r>
          </w:p>
        </w:tc>
        <w:tc>
          <w:tcPr>
            <w:tcW w:w="851" w:type="dxa"/>
            <w:shd w:val="clear" w:color="auto" w:fill="auto"/>
            <w:noWrap/>
            <w:vAlign w:val="center"/>
          </w:tcPr>
          <w:p w14:paraId="6EEBBBB0" w14:textId="30E583C9"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11,8</w:t>
            </w:r>
          </w:p>
        </w:tc>
      </w:tr>
      <w:tr w:rsidR="009969A9" w:rsidRPr="00377D59" w14:paraId="60064293" w14:textId="77777777" w:rsidTr="004C0575">
        <w:trPr>
          <w:trHeight w:val="340"/>
        </w:trPr>
        <w:tc>
          <w:tcPr>
            <w:tcW w:w="5382" w:type="dxa"/>
            <w:shd w:val="clear" w:color="auto" w:fill="auto"/>
            <w:noWrap/>
            <w:vAlign w:val="center"/>
            <w:hideMark/>
          </w:tcPr>
          <w:p w14:paraId="73666509" w14:textId="770E1DDA" w:rsidR="009969A9" w:rsidRPr="00976E1E" w:rsidRDefault="6E235B12" w:rsidP="6E235B12">
            <w:pPr>
              <w:widowControl w:val="0"/>
              <w:spacing w:after="0" w:line="240" w:lineRule="auto"/>
              <w:rPr>
                <w:rFonts w:ascii="Times New Roman" w:eastAsia="Times New Roman" w:hAnsi="Times New Roman" w:cs="Times New Roman"/>
                <w:b/>
                <w:bCs/>
                <w:sz w:val="20"/>
                <w:szCs w:val="20"/>
                <w:lang w:eastAsia="hu-HU"/>
              </w:rPr>
            </w:pPr>
            <w:r w:rsidRPr="6E235B12">
              <w:rPr>
                <w:rFonts w:ascii="Times New Roman" w:eastAsia="Times New Roman" w:hAnsi="Times New Roman" w:cs="Times New Roman"/>
                <w:b/>
                <w:bCs/>
                <w:sz w:val="20"/>
                <w:szCs w:val="20"/>
                <w:lang w:eastAsia="hu-HU"/>
              </w:rPr>
              <w:t>Összesen</w:t>
            </w:r>
          </w:p>
        </w:tc>
        <w:tc>
          <w:tcPr>
            <w:tcW w:w="1196" w:type="dxa"/>
            <w:shd w:val="clear" w:color="auto" w:fill="auto"/>
            <w:noWrap/>
            <w:vAlign w:val="center"/>
          </w:tcPr>
          <w:p w14:paraId="3A3EFD36" w14:textId="68DEB222"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529,1</w:t>
            </w:r>
          </w:p>
        </w:tc>
        <w:tc>
          <w:tcPr>
            <w:tcW w:w="992" w:type="dxa"/>
            <w:shd w:val="clear" w:color="auto" w:fill="auto"/>
            <w:noWrap/>
            <w:vAlign w:val="center"/>
          </w:tcPr>
          <w:p w14:paraId="1D84CCAC" w14:textId="2B6F36F4"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581,1</w:t>
            </w:r>
          </w:p>
        </w:tc>
        <w:tc>
          <w:tcPr>
            <w:tcW w:w="850" w:type="dxa"/>
            <w:shd w:val="clear" w:color="auto" w:fill="auto"/>
            <w:noWrap/>
            <w:vAlign w:val="center"/>
          </w:tcPr>
          <w:p w14:paraId="0AACA3FA" w14:textId="4EE78069"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52,0</w:t>
            </w:r>
          </w:p>
        </w:tc>
        <w:tc>
          <w:tcPr>
            <w:tcW w:w="851" w:type="dxa"/>
            <w:shd w:val="clear" w:color="auto" w:fill="auto"/>
            <w:noWrap/>
            <w:vAlign w:val="center"/>
          </w:tcPr>
          <w:p w14:paraId="1C1B57DC" w14:textId="0FC8384B" w:rsidR="009969A9" w:rsidRPr="009969A9" w:rsidRDefault="0A24B9C4" w:rsidP="0A24B9C4">
            <w:pPr>
              <w:keepNext/>
              <w:keepLines/>
              <w:spacing w:after="0" w:line="240" w:lineRule="auto"/>
              <w:jc w:val="right"/>
              <w:rPr>
                <w:rFonts w:ascii="Times New Roman" w:eastAsia="Times New Roman" w:hAnsi="Times New Roman" w:cs="Times New Roman"/>
                <w:b/>
                <w:bCs/>
                <w:sz w:val="20"/>
                <w:szCs w:val="20"/>
                <w:lang w:eastAsia="hu-HU"/>
              </w:rPr>
            </w:pPr>
            <w:r w:rsidRPr="0A24B9C4">
              <w:rPr>
                <w:rFonts w:ascii="Times New Roman" w:hAnsi="Times New Roman" w:cs="Times New Roman"/>
                <w:b/>
                <w:bCs/>
                <w:sz w:val="20"/>
                <w:szCs w:val="20"/>
              </w:rPr>
              <w:t>109,8</w:t>
            </w:r>
          </w:p>
        </w:tc>
      </w:tr>
    </w:tbl>
    <w:p w14:paraId="294CBB33" w14:textId="1D3945D3" w:rsidR="74B9DF17" w:rsidRPr="00CD1AC2" w:rsidRDefault="6E235B12" w:rsidP="70C006E6">
      <w:pPr>
        <w:spacing w:before="160"/>
        <w:jc w:val="both"/>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Uniós programok kiadásai</w:t>
      </w:r>
      <w:r w:rsidRPr="6E235B12">
        <w:rPr>
          <w:rFonts w:ascii="Times New Roman" w:eastAsia="Times New Roman" w:hAnsi="Times New Roman" w:cs="Times New Roman"/>
          <w:i/>
          <w:iCs/>
          <w:sz w:val="26"/>
          <w:szCs w:val="26"/>
        </w:rPr>
        <w:t xml:space="preserve"> </w:t>
      </w:r>
      <w:r w:rsidRPr="6E235B12">
        <w:rPr>
          <w:rFonts w:ascii="Times New Roman" w:eastAsia="Times New Roman" w:hAnsi="Times New Roman" w:cs="Times New Roman"/>
          <w:sz w:val="26"/>
          <w:szCs w:val="26"/>
        </w:rPr>
        <w:t>mérlegsoron 2025.</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május</w:t>
      </w:r>
      <w:r w:rsidR="00B40D0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végéig 824,6</w:t>
      </w:r>
      <w:r w:rsidR="00B40D0E">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összegű kifizetés történt, amely a törvényi előirányzat (3</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023,</w:t>
      </w:r>
      <w:r w:rsidR="00331DCD">
        <w:rPr>
          <w:rFonts w:ascii="Times New Roman" w:eastAsia="Times New Roman" w:hAnsi="Times New Roman" w:cs="Times New Roman"/>
          <w:sz w:val="26"/>
          <w:szCs w:val="26"/>
        </w:rPr>
        <w:t>8</w:t>
      </w:r>
      <w:r w:rsidRPr="6E235B12">
        <w:rPr>
          <w:rFonts w:ascii="Times New Roman" w:eastAsia="Times New Roman" w:hAnsi="Times New Roman" w:cs="Times New Roman"/>
          <w:sz w:val="26"/>
          <w:szCs w:val="26"/>
        </w:rPr>
        <w:t xml:space="preserve"> milliárd forint) 27,3%-os teljesítését jelenti. A felmerült kiadások több mint felét a 2021-2027-es Széchenyi </w:t>
      </w:r>
      <w:r w:rsidR="00C70F04">
        <w:rPr>
          <w:rFonts w:ascii="Times New Roman" w:eastAsia="Times New Roman" w:hAnsi="Times New Roman" w:cs="Times New Roman"/>
          <w:sz w:val="26"/>
          <w:szCs w:val="26"/>
        </w:rPr>
        <w:t xml:space="preserve">Terv </w:t>
      </w:r>
      <w:r w:rsidRPr="6E235B12">
        <w:rPr>
          <w:rFonts w:ascii="Times New Roman" w:eastAsia="Times New Roman" w:hAnsi="Times New Roman" w:cs="Times New Roman"/>
          <w:sz w:val="26"/>
          <w:szCs w:val="26"/>
        </w:rPr>
        <w:t>Plusz programjai adták.</w:t>
      </w:r>
    </w:p>
    <w:p w14:paraId="6ABC464B" w14:textId="63AE01CE" w:rsidR="74B9DF17" w:rsidRPr="00CD1AC2" w:rsidRDefault="6E235B12" w:rsidP="6E235B12">
      <w:pPr>
        <w:spacing w:before="160"/>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 legnagyobb összegű kifizetéseket ezen időszakban a Széchenyi Terv Plusz operatív programok közül a Terület- és Településfejlesztési OP (TOP Plusz) és az Emberi Erőforrás Fejlesztési OP Plusz (EFOP Plusz) teljesítette. Kiemelkedők továbbá a Vidékfejlesztési Program és a KAP Stratégiai Terv Vidékfejlesztési Intézkedéseinek kifizetése.</w:t>
      </w:r>
    </w:p>
    <w:p w14:paraId="0EE0B389" w14:textId="6F708B83" w:rsidR="029C2633" w:rsidRPr="00CD1AC2" w:rsidRDefault="6E235B12" w:rsidP="6E235B12">
      <w:pPr>
        <w:keepLines/>
        <w:spacing w:before="160"/>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állami vagyonnal kapcsolatos kiadások</w:t>
      </w:r>
      <w:r w:rsidRPr="6E235B12">
        <w:rPr>
          <w:rFonts w:ascii="Times New Roman" w:eastAsia="Times New Roman" w:hAnsi="Times New Roman" w:cs="Times New Roman"/>
          <w:sz w:val="26"/>
          <w:szCs w:val="26"/>
        </w:rPr>
        <w:t xml:space="preserve"> 2025 első </w:t>
      </w:r>
      <w:r w:rsidR="00A9433D">
        <w:rPr>
          <w:rFonts w:ascii="Times New Roman" w:eastAsia="Times New Roman" w:hAnsi="Times New Roman" w:cs="Times New Roman"/>
          <w:sz w:val="26"/>
          <w:szCs w:val="26"/>
        </w:rPr>
        <w:t>öt</w:t>
      </w:r>
      <w:r w:rsidRPr="6E235B12">
        <w:rPr>
          <w:rFonts w:ascii="Times New Roman" w:eastAsia="Times New Roman" w:hAnsi="Times New Roman" w:cs="Times New Roman"/>
          <w:sz w:val="26"/>
          <w:szCs w:val="26"/>
        </w:rPr>
        <w:t>havi összege 2</w:t>
      </w:r>
      <w:r w:rsidR="00A9433D">
        <w:rPr>
          <w:rFonts w:ascii="Times New Roman" w:eastAsia="Times New Roman" w:hAnsi="Times New Roman" w:cs="Times New Roman"/>
          <w:sz w:val="26"/>
          <w:szCs w:val="26"/>
        </w:rPr>
        <w:t>71,0</w:t>
      </w:r>
      <w:r w:rsidR="00331DCD">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volt, amelynek meghatározó része ingatlanokhoz kapcsolódóan került kifizetésre.</w:t>
      </w:r>
    </w:p>
    <w:p w14:paraId="4D36018A" w14:textId="216189F3" w:rsidR="000B49AE" w:rsidRPr="00377D59" w:rsidRDefault="00CD06BE" w:rsidP="000B49AE">
      <w:pPr>
        <w:spacing w:before="240" w:after="120" w:line="240" w:lineRule="auto"/>
        <w:jc w:val="center"/>
        <w:rPr>
          <w:rFonts w:ascii="Times New Roman" w:eastAsia="Times New Roman" w:hAnsi="Times New Roman" w:cs="Times New Roman"/>
          <w:b/>
          <w:bCs/>
          <w:sz w:val="26"/>
          <w:szCs w:val="26"/>
        </w:rPr>
      </w:pPr>
      <w:r>
        <w:rPr>
          <w:noProof/>
        </w:rPr>
        <w:drawing>
          <wp:inline distT="0" distB="0" distL="0" distR="0" wp14:anchorId="35F5F782" wp14:editId="62138620">
            <wp:extent cx="5480582" cy="3497496"/>
            <wp:effectExtent l="0" t="0" r="6350" b="8255"/>
            <wp:docPr id="182976697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66971" name=""/>
                    <pic:cNvPicPr/>
                  </pic:nvPicPr>
                  <pic:blipFill>
                    <a:blip r:embed="rId19"/>
                    <a:stretch>
                      <a:fillRect/>
                    </a:stretch>
                  </pic:blipFill>
                  <pic:spPr>
                    <a:xfrm>
                      <a:off x="0" y="0"/>
                      <a:ext cx="5488305" cy="3502425"/>
                    </a:xfrm>
                    <a:prstGeom prst="rect">
                      <a:avLst/>
                    </a:prstGeom>
                  </pic:spPr>
                </pic:pic>
              </a:graphicData>
            </a:graphic>
          </wp:inline>
        </w:drawing>
      </w:r>
    </w:p>
    <w:p w14:paraId="030326D3" w14:textId="300A251E" w:rsidR="5B67C7D7"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lastRenderedPageBreak/>
        <w:t xml:space="preserve">Az </w:t>
      </w:r>
      <w:r w:rsidRPr="6E235B12">
        <w:rPr>
          <w:rFonts w:ascii="Times New Roman" w:eastAsia="Times New Roman" w:hAnsi="Times New Roman" w:cs="Times New Roman"/>
          <w:b/>
          <w:bCs/>
          <w:sz w:val="26"/>
          <w:szCs w:val="26"/>
        </w:rPr>
        <w:t xml:space="preserve">állami beruházási fejezet kiadásait </w:t>
      </w:r>
      <w:r w:rsidRPr="6E235B12">
        <w:rPr>
          <w:rFonts w:ascii="Times New Roman" w:eastAsia="Times New Roman" w:hAnsi="Times New Roman" w:cs="Times New Roman"/>
          <w:sz w:val="26"/>
          <w:szCs w:val="26"/>
        </w:rPr>
        <w:t>alapvetően az egyes projektek előrehaladása határozza meg. 2025 első öt hónapjában 234,0 milliárd forint kiadás teljesült, amely magasabb a 2024 azonos időszakában teljesültekhez képest. A kifizetések nagy része az állami közútfejlesztési beruházásokhoz (159,7 milliárd forint), az európai uniós forrásokból megvalósuló beruházásokhoz (54,1 milliárd forint) és az egyedi magasépítési beruházásokhoz (13,6 milliárd forint) kapcsolódtak</w:t>
      </w:r>
      <w:r w:rsidRPr="6E235B12">
        <w:rPr>
          <w:rFonts w:ascii="Times New Roman" w:eastAsia="Times New Roman" w:hAnsi="Times New Roman" w:cs="Times New Roman"/>
          <w:sz w:val="24"/>
          <w:szCs w:val="24"/>
        </w:rPr>
        <w:t>.</w:t>
      </w:r>
    </w:p>
    <w:p w14:paraId="598CEA5E" w14:textId="66A9F114" w:rsidR="00C224F5"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egyéb kiadások</w:t>
      </w:r>
      <w:r w:rsidRPr="6E235B12">
        <w:rPr>
          <w:rFonts w:ascii="Times New Roman" w:eastAsia="Times New Roman" w:hAnsi="Times New Roman" w:cs="Times New Roman"/>
          <w:sz w:val="26"/>
          <w:szCs w:val="26"/>
        </w:rPr>
        <w:t xml:space="preserve"> 2025. évi első </w:t>
      </w:r>
      <w:r w:rsidR="00F01437">
        <w:rPr>
          <w:rFonts w:ascii="Times New Roman" w:eastAsia="Times New Roman" w:hAnsi="Times New Roman" w:cs="Times New Roman"/>
          <w:sz w:val="26"/>
          <w:szCs w:val="26"/>
        </w:rPr>
        <w:t>öt</w:t>
      </w:r>
      <w:r w:rsidRPr="6E235B12">
        <w:rPr>
          <w:rFonts w:ascii="Times New Roman" w:eastAsia="Times New Roman" w:hAnsi="Times New Roman" w:cs="Times New Roman"/>
          <w:sz w:val="26"/>
          <w:szCs w:val="26"/>
        </w:rPr>
        <w:t>havi teljesítése 2</w:t>
      </w:r>
      <w:r w:rsidR="00F01437">
        <w:rPr>
          <w:rFonts w:ascii="Times New Roman" w:eastAsia="Times New Roman" w:hAnsi="Times New Roman" w:cs="Times New Roman"/>
          <w:sz w:val="26"/>
          <w:szCs w:val="26"/>
        </w:rPr>
        <w:t>26,</w:t>
      </w:r>
      <w:r w:rsidRPr="6E235B12">
        <w:rPr>
          <w:rFonts w:ascii="Times New Roman" w:eastAsia="Times New Roman" w:hAnsi="Times New Roman" w:cs="Times New Roman"/>
          <w:sz w:val="26"/>
          <w:szCs w:val="26"/>
        </w:rPr>
        <w:t>6 milliárd forint lett, ami 4,</w:t>
      </w:r>
      <w:r w:rsidR="00F01437">
        <w:rPr>
          <w:rFonts w:ascii="Times New Roman" w:eastAsia="Times New Roman" w:hAnsi="Times New Roman" w:cs="Times New Roman"/>
          <w:sz w:val="26"/>
          <w:szCs w:val="26"/>
        </w:rPr>
        <w:t>9</w:t>
      </w:r>
      <w:r w:rsidRPr="6E235B12">
        <w:rPr>
          <w:rFonts w:ascii="Times New Roman" w:eastAsia="Times New Roman" w:hAnsi="Times New Roman" w:cs="Times New Roman"/>
          <w:sz w:val="26"/>
          <w:szCs w:val="26"/>
        </w:rPr>
        <w:t xml:space="preserve"> milliárd forinttal magasabban alakult az előző év azonos időszakához képest. </w:t>
      </w:r>
    </w:p>
    <w:p w14:paraId="15F013A7" w14:textId="2D91529E" w:rsidR="74B9DF17"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Hozzájárulás az EU költségvetéséhez</w:t>
      </w:r>
      <w:r w:rsidRPr="6E235B12">
        <w:rPr>
          <w:rFonts w:ascii="Times New Roman" w:eastAsia="Times New Roman" w:hAnsi="Times New Roman" w:cs="Times New Roman"/>
          <w:sz w:val="26"/>
          <w:szCs w:val="26"/>
        </w:rPr>
        <w:t xml:space="preserve"> mérlegsoron 2025.</w:t>
      </w:r>
      <w:r w:rsidR="00F01437">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május végéig 314,1</w:t>
      </w:r>
      <w:r w:rsidR="00F01437">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 kiadás teljesült, ami a törvényi előirányzat 45,0%-a. E hozzájárulás 66,2</w:t>
      </w:r>
      <w:r w:rsidR="00F01437">
        <w:rPr>
          <w:rFonts w:ascii="Times New Roman" w:eastAsia="Times New Roman" w:hAnsi="Times New Roman" w:cs="Times New Roman"/>
          <w:sz w:val="26"/>
          <w:szCs w:val="26"/>
        </w:rPr>
        <w:t> </w:t>
      </w:r>
      <w:r w:rsidRPr="6E235B12">
        <w:rPr>
          <w:rFonts w:ascii="Times New Roman" w:eastAsia="Times New Roman" w:hAnsi="Times New Roman" w:cs="Times New Roman"/>
          <w:sz w:val="26"/>
          <w:szCs w:val="26"/>
        </w:rPr>
        <w:t>milliárd forinttal haladja meg a 2024. év azonos időszakában teljesített kiadásokat.</w:t>
      </w:r>
    </w:p>
    <w:p w14:paraId="0F5A0F03" w14:textId="54A02EFD" w:rsidR="6462B5A6" w:rsidRPr="00920F4D"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Nemzeti Kutatási, Fejlesztési és Innovációs Alapból</w:t>
      </w:r>
      <w:r w:rsidRPr="6E235B12">
        <w:rPr>
          <w:rFonts w:ascii="Times New Roman" w:eastAsia="Times New Roman" w:hAnsi="Times New Roman" w:cs="Times New Roman"/>
          <w:sz w:val="26"/>
          <w:szCs w:val="26"/>
        </w:rPr>
        <w:t xml:space="preserve"> (NKFI Alap) 2025. május végéig 50,9 milliárd forint kiadás teljesült, ami 1,7 milliárd forinttal magasabb kifizetést jelent a 2024. évi azonos időszak teljesítéséhez képest. </w:t>
      </w:r>
    </w:p>
    <w:p w14:paraId="17605E21" w14:textId="1B59F347" w:rsidR="6462B5A6"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Nemzeti Foglalkoztatási Alap</w:t>
      </w:r>
      <w:r w:rsidRPr="6E235B12">
        <w:rPr>
          <w:rFonts w:ascii="Times New Roman" w:eastAsia="Times New Roman" w:hAnsi="Times New Roman" w:cs="Times New Roman"/>
          <w:sz w:val="26"/>
          <w:szCs w:val="26"/>
        </w:rPr>
        <w:t xml:space="preserve"> (NFA) kiadásai esetében a Start-munkaprogramra összesen 61,1 milliárd forint teljesült. Az uniós elő- és társfinanszírozásra 22,1 milliárd forintot fordítottak.</w:t>
      </w:r>
    </w:p>
    <w:p w14:paraId="76B18BB1" w14:textId="30148419" w:rsidR="123EFD2F"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w:t>
      </w:r>
      <w:r w:rsidRPr="6E235B12">
        <w:rPr>
          <w:rFonts w:ascii="Times New Roman" w:eastAsia="Times New Roman" w:hAnsi="Times New Roman" w:cs="Times New Roman"/>
          <w:b/>
          <w:bCs/>
          <w:sz w:val="26"/>
          <w:szCs w:val="26"/>
        </w:rPr>
        <w:t xml:space="preserve"> Bethlen Gábor Alapból</w:t>
      </w:r>
      <w:r w:rsidRPr="6E235B12">
        <w:rPr>
          <w:rFonts w:ascii="Times New Roman" w:eastAsia="Times New Roman" w:hAnsi="Times New Roman" w:cs="Times New Roman"/>
          <w:sz w:val="26"/>
          <w:szCs w:val="26"/>
        </w:rPr>
        <w:t xml:space="preserve"> (BGA) az év első öt hónapjában összesen 41,1 milliárd forint kiadás teljesült. Az alapból nyújtott támogatások a BGA irányítását ellátó Bizottság döntései alapján, ütemezetten kerültek kifizetésre.</w:t>
      </w:r>
    </w:p>
    <w:p w14:paraId="51683CC2" w14:textId="70ADE878" w:rsidR="00043E49"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 </w:t>
      </w:r>
      <w:r w:rsidRPr="6E235B12">
        <w:rPr>
          <w:rFonts w:ascii="Times New Roman" w:eastAsia="Times New Roman" w:hAnsi="Times New Roman" w:cs="Times New Roman"/>
          <w:b/>
          <w:bCs/>
          <w:sz w:val="26"/>
          <w:szCs w:val="26"/>
        </w:rPr>
        <w:t>Nyugdíjbiztosítási Alap</w:t>
      </w:r>
      <w:r w:rsidRPr="6E235B12">
        <w:rPr>
          <w:rFonts w:ascii="Times New Roman" w:eastAsia="Times New Roman" w:hAnsi="Times New Roman" w:cs="Times New Roman"/>
          <w:sz w:val="26"/>
          <w:szCs w:val="26"/>
        </w:rPr>
        <w:t xml:space="preserve"> nyugellátási kiadásai </w:t>
      </w:r>
      <w:r w:rsidR="00F01437">
        <w:rPr>
          <w:rFonts w:ascii="Times New Roman" w:eastAsia="Times New Roman" w:hAnsi="Times New Roman" w:cs="Times New Roman"/>
          <w:sz w:val="26"/>
          <w:szCs w:val="26"/>
        </w:rPr>
        <w:t>május</w:t>
      </w:r>
      <w:r w:rsidRPr="6E235B12">
        <w:rPr>
          <w:rFonts w:ascii="Times New Roman" w:eastAsia="Times New Roman" w:hAnsi="Times New Roman" w:cs="Times New Roman"/>
          <w:sz w:val="26"/>
          <w:szCs w:val="26"/>
        </w:rPr>
        <w:t xml:space="preserve"> végéig 2 991,1 milliárd forintban teljesültek, ami 142,7 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7C0E2D1B" w:rsidR="00043E49"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Február hónapban több, mint 2 millió öregségi nyugdíjban és hozzátartozói nyugellátásban részesülő személy részére folyósítottak 13. havi nyugdíjat. A 13. havi nyugdíj Nyugdíjbiztosítási Alapot terhelő kiadása május végéig 493,3 milliárd forint volt, ami 22,3 milliárd forinttal haladta meg az előző év azonos időszakában ezen a jogcímen teljesített kiadások összegét.</w:t>
      </w:r>
    </w:p>
    <w:p w14:paraId="168226B1" w14:textId="01ED059E" w:rsidR="00D72777"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Az első öt hónap adatai alapján a nyugellátási kiadásokon belül a korbetöltött öregségi nyugellátások 5,6%-kal, a nők 40 év jogosultsági idővel igénybe vehető öregségi nyugdíja („nők 40”) pedig 3,0%-kal haladta meg az előző év azonos időszakának kiadásait.</w:t>
      </w:r>
    </w:p>
    <w:p w14:paraId="0F073B32" w14:textId="20F04BA4" w:rsidR="00C35E13" w:rsidRDefault="00C10ED3" w:rsidP="00C35E13">
      <w:pPr>
        <w:pStyle w:val="NormlWeb"/>
        <w:jc w:val="center"/>
      </w:pPr>
      <w:r>
        <w:rPr>
          <w:noProof/>
        </w:rPr>
        <w:lastRenderedPageBreak/>
        <w:drawing>
          <wp:inline distT="0" distB="0" distL="0" distR="0" wp14:anchorId="3D928D79" wp14:editId="422C0B2D">
            <wp:extent cx="5940425" cy="2386330"/>
            <wp:effectExtent l="0" t="0" r="3175" b="0"/>
            <wp:docPr id="97134860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48608" name=""/>
                    <pic:cNvPicPr/>
                  </pic:nvPicPr>
                  <pic:blipFill>
                    <a:blip r:embed="rId20"/>
                    <a:stretch>
                      <a:fillRect/>
                    </a:stretch>
                  </pic:blipFill>
                  <pic:spPr>
                    <a:xfrm>
                      <a:off x="0" y="0"/>
                      <a:ext cx="5940425" cy="2386330"/>
                    </a:xfrm>
                    <a:prstGeom prst="rect">
                      <a:avLst/>
                    </a:prstGeom>
                  </pic:spPr>
                </pic:pic>
              </a:graphicData>
            </a:graphic>
          </wp:inline>
        </w:drawing>
      </w:r>
    </w:p>
    <w:p w14:paraId="1E774D45" w14:textId="26FF5C69" w:rsidR="00884EDC"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öregségi nyugdíjban részesülők 2025. május havi </w:t>
      </w:r>
      <w:r w:rsidRPr="6E235B12">
        <w:rPr>
          <w:rFonts w:ascii="Times New Roman" w:eastAsia="Times New Roman" w:hAnsi="Times New Roman" w:cs="Times New Roman"/>
          <w:b/>
          <w:bCs/>
          <w:sz w:val="26"/>
          <w:szCs w:val="26"/>
        </w:rPr>
        <w:t>átlagos statisztikai állományi létszáma</w:t>
      </w:r>
      <w:r w:rsidRPr="6E235B12">
        <w:rPr>
          <w:rFonts w:ascii="Times New Roman" w:eastAsia="Times New Roman" w:hAnsi="Times New Roman" w:cs="Times New Roman"/>
          <w:sz w:val="26"/>
          <w:szCs w:val="26"/>
        </w:rPr>
        <w:t xml:space="preserve"> kis mértékben növekedett, 2 830 fővel haladta meg az előző év azonos időszakának létszámát. Az öregségi nyugdíjban részesülők létszámán belül a nők kedvezményes nyugdíjában részesülők (korhatár alattiak) létszáma a korhatárbetöltés, az újonnan belépők és az elhalálozás együttes hatásaként 4 756 fővel csökkent a 2024. májusi adathoz képest, jelenleg 139 455 fő veszi igénybe a „nők 40” kedvezményes ellátást.</w:t>
      </w:r>
    </w:p>
    <w:p w14:paraId="61DC0A5C" w14:textId="1657F304" w:rsidR="00884EDC"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Az öregségi nyugdíjak átlagos havi összege egy év alatt 11 808 forinttal emelkedett, idén 2025. májusában 244 076 forint volt.</w:t>
      </w:r>
    </w:p>
    <w:p w14:paraId="33821262" w14:textId="51865166" w:rsidR="000E690A" w:rsidRPr="00CB07DE" w:rsidRDefault="6E235B12" w:rsidP="6E235B12">
      <w:pPr>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0345DA3B" w:rsidR="00EF1F5B" w:rsidRDefault="00C10ED3" w:rsidP="00EF1F5B">
      <w:pPr>
        <w:pStyle w:val="NormlWeb"/>
        <w:jc w:val="center"/>
      </w:pPr>
      <w:r>
        <w:rPr>
          <w:noProof/>
        </w:rPr>
        <w:drawing>
          <wp:inline distT="0" distB="0" distL="0" distR="0" wp14:anchorId="29D1CC7F" wp14:editId="0276DB00">
            <wp:extent cx="4804565" cy="3322365"/>
            <wp:effectExtent l="0" t="0" r="0" b="0"/>
            <wp:docPr id="171792451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24518" name=""/>
                    <pic:cNvPicPr/>
                  </pic:nvPicPr>
                  <pic:blipFill>
                    <a:blip r:embed="rId21"/>
                    <a:stretch>
                      <a:fillRect/>
                    </a:stretch>
                  </pic:blipFill>
                  <pic:spPr>
                    <a:xfrm>
                      <a:off x="0" y="0"/>
                      <a:ext cx="4823314" cy="3335330"/>
                    </a:xfrm>
                    <a:prstGeom prst="rect">
                      <a:avLst/>
                    </a:prstGeom>
                  </pic:spPr>
                </pic:pic>
              </a:graphicData>
            </a:graphic>
          </wp:inline>
        </w:drawing>
      </w:r>
    </w:p>
    <w:p w14:paraId="3779DB9C" w14:textId="522A5F6A" w:rsidR="0022104D" w:rsidRDefault="6E235B12" w:rsidP="593AC637">
      <w:pPr>
        <w:jc w:val="both"/>
      </w:pPr>
      <w:r w:rsidRPr="6E235B12">
        <w:rPr>
          <w:rFonts w:ascii="Times New Roman" w:eastAsia="Times New Roman" w:hAnsi="Times New Roman" w:cs="Times New Roman"/>
          <w:sz w:val="26"/>
          <w:szCs w:val="26"/>
        </w:rPr>
        <w:t xml:space="preserve">Az öregségi nyugdíjban, hozzátartozói nyugellátásban részesülők jogcím szerinti megoszlásának összehasonlítását a korábbi adatokkal az alábbi ábrák mutatják. </w:t>
      </w:r>
    </w:p>
    <w:p w14:paraId="6E229341" w14:textId="485FF093" w:rsidR="00EF1F5B" w:rsidRDefault="00C10ED3" w:rsidP="00EF1F5B">
      <w:pPr>
        <w:pStyle w:val="NormlWeb"/>
        <w:jc w:val="center"/>
      </w:pPr>
      <w:r>
        <w:rPr>
          <w:noProof/>
        </w:rPr>
        <w:lastRenderedPageBreak/>
        <w:drawing>
          <wp:inline distT="0" distB="0" distL="0" distR="0" wp14:anchorId="239D1BBC" wp14:editId="1F37FB6D">
            <wp:extent cx="5940425" cy="2459355"/>
            <wp:effectExtent l="0" t="0" r="3175" b="0"/>
            <wp:docPr id="111318831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88313" name=""/>
                    <pic:cNvPicPr/>
                  </pic:nvPicPr>
                  <pic:blipFill>
                    <a:blip r:embed="rId22"/>
                    <a:stretch>
                      <a:fillRect/>
                    </a:stretch>
                  </pic:blipFill>
                  <pic:spPr>
                    <a:xfrm>
                      <a:off x="0" y="0"/>
                      <a:ext cx="5940425" cy="2459355"/>
                    </a:xfrm>
                    <a:prstGeom prst="rect">
                      <a:avLst/>
                    </a:prstGeom>
                  </pic:spPr>
                </pic:pic>
              </a:graphicData>
            </a:graphic>
          </wp:inline>
        </w:drawing>
      </w:r>
    </w:p>
    <w:p w14:paraId="2A4F88FB" w14:textId="77777777" w:rsidR="00D4148C" w:rsidRPr="002B492B" w:rsidRDefault="6E235B12" w:rsidP="6E235B12">
      <w:pPr>
        <w:keepLines/>
        <w:widowControl w:val="0"/>
        <w:jc w:val="center"/>
        <w:rPr>
          <w:rFonts w:ascii="Times New Roman" w:eastAsia="Times New Roman" w:hAnsi="Times New Roman" w:cs="Times New Roman"/>
          <w:b/>
          <w:bCs/>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Egészségbiztosítási Alap kiadásainak</w:t>
      </w:r>
      <w:r w:rsidRPr="6E235B12">
        <w:rPr>
          <w:rFonts w:ascii="Times New Roman" w:eastAsia="Times New Roman" w:hAnsi="Times New Roman" w:cs="Times New Roman"/>
          <w:sz w:val="26"/>
          <w:szCs w:val="26"/>
        </w:rPr>
        <w:t xml:space="preserve"> összetételét a következő ábra mutatja be:</w:t>
      </w:r>
      <w:r w:rsidRPr="6E235B12">
        <w:rPr>
          <w:rFonts w:ascii="Times New Roman" w:eastAsia="Times New Roman" w:hAnsi="Times New Roman" w:cs="Times New Roman"/>
          <w:b/>
          <w:bCs/>
          <w:sz w:val="26"/>
          <w:szCs w:val="26"/>
        </w:rPr>
        <w:t xml:space="preserve"> </w:t>
      </w:r>
    </w:p>
    <w:p w14:paraId="57C38B59" w14:textId="230BDEB6" w:rsidR="00D4148C" w:rsidRDefault="00C10ED3" w:rsidP="00D4148C">
      <w:pPr>
        <w:widowControl w:val="0"/>
        <w:spacing w:after="240"/>
        <w:jc w:val="center"/>
        <w:rPr>
          <w:rFonts w:ascii="Times New Roman" w:eastAsia="Times New Roman" w:hAnsi="Times New Roman" w:cs="Times New Roman"/>
          <w:sz w:val="26"/>
          <w:szCs w:val="26"/>
        </w:rPr>
      </w:pPr>
      <w:r>
        <w:rPr>
          <w:noProof/>
        </w:rPr>
        <w:drawing>
          <wp:inline distT="0" distB="0" distL="0" distR="0" wp14:anchorId="196BA331" wp14:editId="45D7CC0B">
            <wp:extent cx="5940425" cy="2562225"/>
            <wp:effectExtent l="0" t="0" r="3175" b="9525"/>
            <wp:docPr id="213106876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68761" name=""/>
                    <pic:cNvPicPr/>
                  </pic:nvPicPr>
                  <pic:blipFill>
                    <a:blip r:embed="rId23"/>
                    <a:stretch>
                      <a:fillRect/>
                    </a:stretch>
                  </pic:blipFill>
                  <pic:spPr>
                    <a:xfrm>
                      <a:off x="0" y="0"/>
                      <a:ext cx="5940425" cy="2562225"/>
                    </a:xfrm>
                    <a:prstGeom prst="rect">
                      <a:avLst/>
                    </a:prstGeom>
                  </pic:spPr>
                </pic:pic>
              </a:graphicData>
            </a:graphic>
          </wp:inline>
        </w:drawing>
      </w:r>
    </w:p>
    <w:p w14:paraId="19FDF989" w14:textId="2AA03F66" w:rsidR="00CA3468" w:rsidRDefault="6E235B12" w:rsidP="00C10ED3">
      <w:pPr>
        <w:spacing w:after="240"/>
        <w:jc w:val="both"/>
        <w:rPr>
          <w:rFonts w:ascii="Times New Roman" w:eastAsia="Times New Roman" w:hAnsi="Times New Roman" w:cs="Times New Roman"/>
          <w:sz w:val="26"/>
          <w:szCs w:val="26"/>
        </w:rPr>
      </w:pPr>
      <w:r w:rsidRPr="6E235B12">
        <w:rPr>
          <w:rFonts w:ascii="Times New Roman" w:eastAsia="Times New Roman" w:hAnsi="Times New Roman" w:cs="Times New Roman"/>
          <w:sz w:val="26"/>
          <w:szCs w:val="26"/>
        </w:rPr>
        <w:t xml:space="preserve">Az </w:t>
      </w:r>
      <w:r w:rsidRPr="6E235B12">
        <w:rPr>
          <w:rFonts w:ascii="Times New Roman" w:eastAsia="Times New Roman" w:hAnsi="Times New Roman" w:cs="Times New Roman"/>
          <w:b/>
          <w:bCs/>
          <w:sz w:val="26"/>
          <w:szCs w:val="26"/>
        </w:rPr>
        <w:t>Egészségbiztosítási Alap</w:t>
      </w:r>
      <w:r w:rsidRPr="6E235B12">
        <w:rPr>
          <w:rFonts w:ascii="Times New Roman" w:eastAsia="Times New Roman" w:hAnsi="Times New Roman" w:cs="Times New Roman"/>
          <w:sz w:val="26"/>
          <w:szCs w:val="26"/>
        </w:rPr>
        <w:t xml:space="preserve"> összes kiadásának 25,4%-át a </w:t>
      </w:r>
      <w:r w:rsidRPr="6E235B12">
        <w:rPr>
          <w:rFonts w:ascii="Times New Roman" w:eastAsia="Times New Roman" w:hAnsi="Times New Roman" w:cs="Times New Roman"/>
          <w:b/>
          <w:bCs/>
          <w:sz w:val="26"/>
          <w:szCs w:val="26"/>
        </w:rPr>
        <w:t>pénzbeli ellátásokra</w:t>
      </w:r>
      <w:r w:rsidRPr="6E235B12">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6E235B12" w:rsidP="6E235B12">
      <w:pPr>
        <w:spacing w:after="120"/>
        <w:jc w:val="center"/>
        <w:rPr>
          <w:rFonts w:ascii="Times New Roman" w:eastAsia="Times New Roman" w:hAnsi="Times New Roman" w:cs="Times New Roman"/>
          <w:b/>
          <w:bCs/>
        </w:rPr>
      </w:pPr>
      <w:r w:rsidRPr="6E235B12">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0A24B9C4">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6E235B12" w:rsidP="6E235B12">
            <w:pPr>
              <w:keepNext/>
              <w:keepLines/>
              <w:spacing w:after="0" w:line="240" w:lineRule="auto"/>
              <w:jc w:val="center"/>
              <w:rPr>
                <w:rFonts w:ascii="Times New Roman" w:eastAsia="Times New Roman" w:hAnsi="Times New Roman" w:cs="Times New Roman"/>
                <w:b/>
                <w:bCs/>
              </w:rPr>
            </w:pPr>
            <w:r w:rsidRPr="6E235B12">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28C127D0" w:rsidR="00E601EF" w:rsidRPr="00377D59" w:rsidRDefault="0A24B9C4" w:rsidP="0A24B9C4">
            <w:pPr>
              <w:keepNext/>
              <w:keepLines/>
              <w:spacing w:after="0" w:line="240" w:lineRule="auto"/>
              <w:jc w:val="center"/>
              <w:rPr>
                <w:rFonts w:ascii="Times New Roman" w:eastAsia="Times New Roman" w:hAnsi="Times New Roman" w:cs="Times New Roman"/>
                <w:b/>
                <w:bCs/>
              </w:rPr>
            </w:pPr>
            <w:r w:rsidRPr="0A24B9C4">
              <w:rPr>
                <w:rFonts w:ascii="Times New Roman" w:eastAsia="Times New Roman" w:hAnsi="Times New Roman" w:cs="Times New Roman"/>
                <w:b/>
                <w:bCs/>
              </w:rPr>
              <w:t xml:space="preserve">2024. </w:t>
            </w:r>
            <w:r w:rsidR="0C85BE5D">
              <w:br/>
            </w:r>
            <w:r w:rsidRPr="0A24B9C4">
              <w:rPr>
                <w:rFonts w:ascii="Times New Roman" w:eastAsia="Times New Roman" w:hAnsi="Times New Roman" w:cs="Times New Roman"/>
                <w:b/>
                <w:bCs/>
              </w:rPr>
              <w:t>I-V.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664BA05B" w:rsidR="00E601EF" w:rsidRPr="00377D59" w:rsidRDefault="0A24B9C4" w:rsidP="0A24B9C4">
            <w:pPr>
              <w:keepNext/>
              <w:keepLines/>
              <w:spacing w:after="0" w:line="240" w:lineRule="auto"/>
              <w:jc w:val="center"/>
              <w:rPr>
                <w:rFonts w:ascii="Times New Roman" w:eastAsia="Times New Roman" w:hAnsi="Times New Roman" w:cs="Times New Roman"/>
                <w:b/>
                <w:bCs/>
              </w:rPr>
            </w:pPr>
            <w:r w:rsidRPr="0A24B9C4">
              <w:rPr>
                <w:rFonts w:ascii="Times New Roman" w:eastAsia="Times New Roman" w:hAnsi="Times New Roman" w:cs="Times New Roman"/>
                <w:b/>
                <w:bCs/>
              </w:rPr>
              <w:t xml:space="preserve">2025. </w:t>
            </w:r>
            <w:r w:rsidR="0C85BE5D">
              <w:br/>
            </w:r>
            <w:r w:rsidRPr="0A24B9C4">
              <w:rPr>
                <w:rFonts w:ascii="Times New Roman" w:eastAsia="Times New Roman" w:hAnsi="Times New Roman" w:cs="Times New Roman"/>
                <w:b/>
                <w:bCs/>
              </w:rPr>
              <w:t>I-V.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6E235B12" w:rsidP="6E235B12">
            <w:pPr>
              <w:keepNext/>
              <w:keepLines/>
              <w:spacing w:after="0" w:line="240" w:lineRule="auto"/>
              <w:jc w:val="center"/>
              <w:rPr>
                <w:rFonts w:ascii="Times New Roman" w:eastAsia="Times New Roman" w:hAnsi="Times New Roman" w:cs="Times New Roman"/>
                <w:b/>
                <w:bCs/>
              </w:rPr>
            </w:pPr>
            <w:r w:rsidRPr="6E235B12">
              <w:rPr>
                <w:rFonts w:ascii="Times New Roman" w:eastAsia="Times New Roman" w:hAnsi="Times New Roman" w:cs="Times New Roman"/>
                <w:b/>
                <w:bCs/>
              </w:rPr>
              <w:t>Eltérés</w:t>
            </w:r>
          </w:p>
        </w:tc>
      </w:tr>
      <w:tr w:rsidR="00E601EF" w:rsidRPr="00377D59" w14:paraId="67C6C54B" w14:textId="77777777" w:rsidTr="0A24B9C4">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6E235B12" w:rsidP="6E235B12">
            <w:pPr>
              <w:keepNext/>
              <w:keepLines/>
              <w:spacing w:after="0" w:line="240" w:lineRule="auto"/>
              <w:jc w:val="center"/>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w:t>
            </w:r>
          </w:p>
        </w:tc>
      </w:tr>
      <w:tr w:rsidR="00494D4B" w:rsidRPr="00377D59" w14:paraId="0F7FB8C0" w14:textId="77777777" w:rsidTr="0A24B9C4">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494D4B" w:rsidRPr="00377D59" w:rsidRDefault="6E235B12" w:rsidP="6E235B12">
            <w:pPr>
              <w:keepNext/>
              <w:keepLines/>
              <w:spacing w:after="0" w:line="240" w:lineRule="auto"/>
              <w:ind w:firstLine="67"/>
              <w:rPr>
                <w:rFonts w:ascii="Times New Roman" w:eastAsia="Times New Roman" w:hAnsi="Times New Roman" w:cs="Times New Roman"/>
                <w:b/>
                <w:bCs/>
                <w:lang w:eastAsia="hu-HU"/>
              </w:rPr>
            </w:pPr>
            <w:r w:rsidRPr="6E235B12">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23F2DBB3" w:rsidR="00494D4B" w:rsidRPr="001074A1" w:rsidRDefault="0A24B9C4" w:rsidP="0A24B9C4">
            <w:pPr>
              <w:keepNext/>
              <w:keepLines/>
              <w:spacing w:after="0"/>
              <w:jc w:val="right"/>
              <w:rPr>
                <w:rFonts w:ascii="Times New Roman" w:eastAsia="Times New Roman" w:hAnsi="Times New Roman" w:cs="Times New Roman"/>
                <w:b/>
                <w:bCs/>
                <w:lang w:eastAsia="hu-HU"/>
              </w:rPr>
            </w:pPr>
            <w:r w:rsidRPr="0A24B9C4">
              <w:rPr>
                <w:rFonts w:ascii="Times New Roman" w:eastAsia="Times New Roman" w:hAnsi="Times New Roman" w:cs="Times New Roman"/>
                <w:b/>
                <w:bCs/>
                <w:lang w:eastAsia="hu-HU"/>
              </w:rPr>
              <w:t>491,8</w:t>
            </w:r>
            <w:r w:rsidRPr="0A24B9C4">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6A595332" w:rsidR="00494D4B" w:rsidRPr="001074A1" w:rsidRDefault="0A24B9C4" w:rsidP="0A24B9C4">
            <w:pPr>
              <w:keepNext/>
              <w:keepLines/>
              <w:spacing w:after="0"/>
              <w:jc w:val="right"/>
              <w:rPr>
                <w:rFonts w:ascii="Times New Roman" w:eastAsia="Times New Roman" w:hAnsi="Times New Roman" w:cs="Times New Roman"/>
                <w:b/>
                <w:bCs/>
                <w:lang w:eastAsia="hu-HU"/>
              </w:rPr>
            </w:pPr>
            <w:r w:rsidRPr="0A24B9C4">
              <w:rPr>
                <w:rFonts w:ascii="Times New Roman" w:eastAsia="Times New Roman" w:hAnsi="Times New Roman" w:cs="Times New Roman"/>
                <w:b/>
                <w:bCs/>
                <w:lang w:eastAsia="hu-HU"/>
              </w:rPr>
              <w:t>527,6</w:t>
            </w:r>
            <w:r w:rsidRPr="0A24B9C4">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3E5A7D34" w:rsidR="00494D4B" w:rsidRPr="001074A1" w:rsidRDefault="0A24B9C4" w:rsidP="0A24B9C4">
            <w:pPr>
              <w:keepNext/>
              <w:keepLines/>
              <w:spacing w:after="0"/>
              <w:jc w:val="right"/>
              <w:rPr>
                <w:rFonts w:ascii="Times New Roman" w:eastAsia="Times New Roman" w:hAnsi="Times New Roman" w:cs="Times New Roman"/>
                <w:b/>
                <w:bCs/>
                <w:lang w:eastAsia="hu-HU"/>
              </w:rPr>
            </w:pPr>
            <w:r w:rsidRPr="0A24B9C4">
              <w:rPr>
                <w:rFonts w:ascii="Times New Roman" w:eastAsia="Times New Roman" w:hAnsi="Times New Roman" w:cs="Times New Roman"/>
                <w:b/>
                <w:bCs/>
                <w:lang w:eastAsia="hu-HU"/>
              </w:rPr>
              <w:t>35,8</w:t>
            </w:r>
            <w:r w:rsidRPr="0A24B9C4">
              <w:rPr>
                <w:rFonts w:ascii="Times New Roman" w:eastAsia="Times New Roman" w:hAnsi="Times New Roman" w:cs="Times New Roman"/>
                <w:lang w:eastAsia="hu-H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1B9BD51E" w:rsidR="00494D4B" w:rsidRPr="001074A1" w:rsidRDefault="0A24B9C4" w:rsidP="0A24B9C4">
            <w:pPr>
              <w:keepNext/>
              <w:keepLines/>
              <w:spacing w:after="0"/>
              <w:jc w:val="right"/>
              <w:rPr>
                <w:rFonts w:ascii="Times New Roman" w:eastAsia="Times New Roman" w:hAnsi="Times New Roman" w:cs="Times New Roman"/>
                <w:b/>
                <w:bCs/>
                <w:lang w:eastAsia="hu-HU"/>
              </w:rPr>
            </w:pPr>
            <w:r w:rsidRPr="0A24B9C4">
              <w:rPr>
                <w:rFonts w:ascii="Times New Roman" w:eastAsia="Times New Roman" w:hAnsi="Times New Roman" w:cs="Times New Roman"/>
                <w:b/>
                <w:bCs/>
                <w:lang w:eastAsia="hu-HU"/>
              </w:rPr>
              <w:t>107,3</w:t>
            </w:r>
            <w:r w:rsidRPr="0A24B9C4">
              <w:rPr>
                <w:rFonts w:ascii="Times New Roman" w:eastAsia="Times New Roman" w:hAnsi="Times New Roman" w:cs="Times New Roman"/>
                <w:lang w:eastAsia="hu-HU"/>
              </w:rPr>
              <w:t> </w:t>
            </w:r>
          </w:p>
        </w:tc>
      </w:tr>
      <w:tr w:rsidR="00494D4B" w:rsidRPr="00377D59" w14:paraId="07715518" w14:textId="77777777" w:rsidTr="0A24B9C4">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494D4B" w:rsidRPr="00377D59" w:rsidRDefault="6E235B12" w:rsidP="6E235B12">
            <w:pPr>
              <w:keepNext/>
              <w:keepLines/>
              <w:spacing w:after="0" w:line="240" w:lineRule="auto"/>
              <w:ind w:firstLine="285"/>
              <w:rPr>
                <w:rFonts w:ascii="Times New Roman" w:eastAsia="Times New Roman" w:hAnsi="Times New Roman" w:cs="Times New Roman"/>
                <w:i/>
                <w:iCs/>
                <w:lang w:eastAsia="hu-HU"/>
              </w:rPr>
            </w:pPr>
            <w:r w:rsidRPr="6E235B12">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007D4839" w:rsidR="00494D4B" w:rsidRPr="001074A1" w:rsidRDefault="0A24B9C4" w:rsidP="0A24B9C4">
            <w:pPr>
              <w:keepNext/>
              <w:keepLines/>
              <w:spacing w:after="0" w:line="240" w:lineRule="auto"/>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 </w:t>
            </w:r>
          </w:p>
        </w:tc>
      </w:tr>
      <w:tr w:rsidR="00494D4B" w:rsidRPr="00377D59" w14:paraId="72B9616A" w14:textId="77777777" w:rsidTr="0A24B9C4">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494D4B" w:rsidRPr="00377D59" w:rsidRDefault="6E235B12" w:rsidP="6E235B12">
            <w:pPr>
              <w:keepNext/>
              <w:keepLines/>
              <w:spacing w:after="0" w:line="240" w:lineRule="auto"/>
              <w:ind w:firstLine="67"/>
              <w:rPr>
                <w:rFonts w:ascii="Times New Roman" w:eastAsia="Times New Roman" w:hAnsi="Times New Roman" w:cs="Times New Roman"/>
                <w:lang w:eastAsia="hu-HU"/>
              </w:rPr>
            </w:pPr>
            <w:r w:rsidRPr="6E235B12">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6AC16F72"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183,8 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74D4F725"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191,7 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00F2BF04"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7,9 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0DEB9C40"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104,3 </w:t>
            </w:r>
          </w:p>
        </w:tc>
      </w:tr>
      <w:tr w:rsidR="00494D4B" w:rsidRPr="00377D59" w14:paraId="778FD915" w14:textId="77777777" w:rsidTr="0A24B9C4">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494D4B" w:rsidRPr="00377D59" w:rsidRDefault="6E235B12" w:rsidP="6E235B12">
            <w:pPr>
              <w:keepNext/>
              <w:keepLines/>
              <w:spacing w:after="0" w:line="240" w:lineRule="auto"/>
              <w:ind w:firstLine="67"/>
              <w:rPr>
                <w:rFonts w:ascii="Times New Roman" w:eastAsia="Times New Roman" w:hAnsi="Times New Roman" w:cs="Times New Roman"/>
                <w:lang w:eastAsia="hu-HU"/>
              </w:rPr>
            </w:pPr>
            <w:r w:rsidRPr="6E235B12">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09772308"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154,4 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32B38006"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163,8 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24DFF734"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9,4 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4F670A0A"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106,1 </w:t>
            </w:r>
          </w:p>
        </w:tc>
      </w:tr>
      <w:tr w:rsidR="00494D4B" w:rsidRPr="00377D59" w14:paraId="7D62EFFD" w14:textId="77777777" w:rsidTr="0A24B9C4">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494D4B" w:rsidRPr="00377D59" w:rsidRDefault="6E235B12" w:rsidP="6E235B12">
            <w:pPr>
              <w:keepNext/>
              <w:keepLines/>
              <w:spacing w:after="0" w:line="240" w:lineRule="auto"/>
              <w:ind w:firstLine="67"/>
              <w:rPr>
                <w:rFonts w:ascii="Times New Roman" w:eastAsia="Times New Roman" w:hAnsi="Times New Roman" w:cs="Times New Roman"/>
                <w:lang w:eastAsia="hu-HU"/>
              </w:rPr>
            </w:pPr>
            <w:r w:rsidRPr="6E235B12">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5DD79768"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83,6 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3DE55265"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97,9 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799634F6"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14,3 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52D0257C" w:rsidR="00494D4B" w:rsidRPr="001074A1" w:rsidRDefault="0A24B9C4" w:rsidP="0A24B9C4">
            <w:pPr>
              <w:keepNext/>
              <w:keepLines/>
              <w:spacing w:after="0"/>
              <w:jc w:val="right"/>
              <w:rPr>
                <w:rFonts w:ascii="Times New Roman" w:eastAsia="Times New Roman" w:hAnsi="Times New Roman" w:cs="Times New Roman"/>
                <w:lang w:eastAsia="hu-HU"/>
              </w:rPr>
            </w:pPr>
            <w:r w:rsidRPr="0A24B9C4">
              <w:rPr>
                <w:rFonts w:ascii="Times New Roman" w:eastAsia="Times New Roman" w:hAnsi="Times New Roman" w:cs="Times New Roman"/>
                <w:lang w:eastAsia="hu-HU"/>
              </w:rPr>
              <w:t>117,1 </w:t>
            </w:r>
          </w:p>
        </w:tc>
      </w:tr>
    </w:tbl>
    <w:p w14:paraId="47F689BE" w14:textId="77777777" w:rsidR="00C10ED3" w:rsidRDefault="00C10ED3" w:rsidP="0A24B9C4">
      <w:pPr>
        <w:jc w:val="both"/>
        <w:rPr>
          <w:rFonts w:ascii="Times New Roman" w:eastAsia="Times New Roman" w:hAnsi="Times New Roman" w:cs="Times New Roman"/>
          <w:sz w:val="26"/>
          <w:szCs w:val="26"/>
        </w:rPr>
      </w:pPr>
    </w:p>
    <w:p w14:paraId="57A5B8DA" w14:textId="77777777" w:rsidR="00C10ED3" w:rsidRDefault="00C10ED3">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F2895FE" w14:textId="503CEA3E" w:rsidR="001074A1" w:rsidRDefault="3782F5BA" w:rsidP="0A24B9C4">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lastRenderedPageBreak/>
        <w:t xml:space="preserve">A </w:t>
      </w:r>
      <w:r w:rsidRPr="3782F5BA">
        <w:rPr>
          <w:rFonts w:ascii="Times New Roman" w:eastAsia="Times New Roman" w:hAnsi="Times New Roman" w:cs="Times New Roman"/>
          <w:b/>
          <w:bCs/>
          <w:sz w:val="26"/>
          <w:szCs w:val="26"/>
        </w:rPr>
        <w:t>gyógyító-megelőző ellátásokra</w:t>
      </w:r>
      <w:r w:rsidRPr="3782F5BA">
        <w:rPr>
          <w:rFonts w:ascii="Times New Roman" w:eastAsia="Times New Roman" w:hAnsi="Times New Roman" w:cs="Times New Roman"/>
          <w:sz w:val="26"/>
          <w:szCs w:val="26"/>
        </w:rPr>
        <w:t xml:space="preserve"> </w:t>
      </w:r>
      <w:r w:rsidR="00494D4B" w:rsidRPr="00494D4B">
        <w:rPr>
          <w:rFonts w:ascii="Times New Roman" w:eastAsia="Times New Roman" w:hAnsi="Times New Roman" w:cs="Times New Roman"/>
          <w:sz w:val="26"/>
          <w:szCs w:val="26"/>
        </w:rPr>
        <w:t xml:space="preserve">fordított kiadás 2025 első öt </w:t>
      </w:r>
      <w:r w:rsidR="001074A1">
        <w:rPr>
          <w:rFonts w:ascii="Times New Roman" w:eastAsia="Times New Roman" w:hAnsi="Times New Roman" w:cs="Times New Roman"/>
          <w:sz w:val="26"/>
          <w:szCs w:val="26"/>
        </w:rPr>
        <w:t>hónapjában 1</w:t>
      </w:r>
      <w:r w:rsidR="005C0096">
        <w:rPr>
          <w:rFonts w:ascii="Times New Roman" w:eastAsia="Times New Roman" w:hAnsi="Times New Roman" w:cs="Times New Roman"/>
          <w:sz w:val="26"/>
          <w:szCs w:val="26"/>
        </w:rPr>
        <w:t> 250,6</w:t>
      </w:r>
      <w:r w:rsidR="001074A1">
        <w:rPr>
          <w:rFonts w:ascii="Times New Roman" w:eastAsia="Times New Roman" w:hAnsi="Times New Roman" w:cs="Times New Roman"/>
          <w:sz w:val="26"/>
          <w:szCs w:val="26"/>
        </w:rPr>
        <w:t> milliárd</w:t>
      </w:r>
      <w:r w:rsidR="00494D4B" w:rsidRPr="00494D4B">
        <w:rPr>
          <w:rFonts w:ascii="Times New Roman" w:eastAsia="Times New Roman" w:hAnsi="Times New Roman" w:cs="Times New Roman"/>
          <w:sz w:val="26"/>
          <w:szCs w:val="26"/>
        </w:rPr>
        <w:t xml:space="preserve"> forintot tett ki a 2024 azonos időszakában felmerülő 1</w:t>
      </w:r>
      <w:r w:rsidR="009C73F5">
        <w:rPr>
          <w:rFonts w:ascii="Times New Roman" w:eastAsia="Times New Roman" w:hAnsi="Times New Roman" w:cs="Times New Roman"/>
          <w:sz w:val="26"/>
          <w:szCs w:val="26"/>
        </w:rPr>
        <w:t> </w:t>
      </w:r>
      <w:r w:rsidR="00494D4B" w:rsidRPr="00494D4B">
        <w:rPr>
          <w:rFonts w:ascii="Times New Roman" w:eastAsia="Times New Roman" w:hAnsi="Times New Roman" w:cs="Times New Roman"/>
          <w:sz w:val="26"/>
          <w:szCs w:val="26"/>
        </w:rPr>
        <w:t>090,8</w:t>
      </w:r>
      <w:r w:rsidR="001074A1">
        <w:rPr>
          <w:rFonts w:ascii="Times New Roman" w:eastAsia="Times New Roman" w:hAnsi="Times New Roman" w:cs="Times New Roman"/>
          <w:sz w:val="26"/>
          <w:szCs w:val="26"/>
        </w:rPr>
        <w:t> </w:t>
      </w:r>
      <w:r w:rsidR="00494D4B" w:rsidRPr="00494D4B">
        <w:rPr>
          <w:rFonts w:ascii="Times New Roman" w:eastAsia="Times New Roman" w:hAnsi="Times New Roman" w:cs="Times New Roman"/>
          <w:sz w:val="26"/>
          <w:szCs w:val="26"/>
        </w:rPr>
        <w:t xml:space="preserve">milliárd forint összegű kiadással szemben. </w:t>
      </w:r>
    </w:p>
    <w:p w14:paraId="236F1858" w14:textId="72B4FE77" w:rsidR="001074A1" w:rsidRDefault="6E235B12" w:rsidP="34DFCB06">
      <w:pPr>
        <w:jc w:val="both"/>
      </w:pPr>
      <w:r w:rsidRPr="6E235B12">
        <w:rPr>
          <w:rFonts w:ascii="Times New Roman" w:eastAsia="Times New Roman" w:hAnsi="Times New Roman" w:cs="Times New Roman"/>
          <w:sz w:val="26"/>
          <w:szCs w:val="26"/>
        </w:rPr>
        <w:t>Az előző évhez viszonyított magasabb összegű kiadás – többek között –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jelentkező, 2025. évre áthúzódó hatásból ered.</w:t>
      </w:r>
    </w:p>
    <w:p w14:paraId="33C9DAF6" w14:textId="23990942" w:rsidR="001074A1" w:rsidRDefault="0A24B9C4" w:rsidP="34DFCB06">
      <w:pPr>
        <w:jc w:val="both"/>
      </w:pPr>
      <w:r w:rsidRPr="0A24B9C4">
        <w:rPr>
          <w:rFonts w:ascii="Times New Roman" w:eastAsia="Times New Roman" w:hAnsi="Times New Roman" w:cs="Times New Roman"/>
          <w:sz w:val="26"/>
          <w:szCs w:val="26"/>
        </w:rPr>
        <w:t>Ezen túlmenően, a járóbeteg- és fekvőbeteg-szakellátást nyújtó állami, önkormányzati, egyházi tulajdonban álló egészségügyi szolgáltatók, továbbá a felsőoktatási intézmények részeként működő klinikai központok – a járóbeteg- és fekvőbeteg-szakellátást nyújtó közfinanszírozott egészségügyi szolgáltatók gazdálkodását segítő intézkedésekről szóló 8/2025. (II. 6.) Korm. rendelet alapján – az idei évben (február hónapban) is működési támogatásban részesültek, amelynek nagyságrendje meghaladta a tavalyi évben május végéig konszolidációra kifizetett összeget.</w:t>
      </w:r>
    </w:p>
    <w:p w14:paraId="54F48910" w14:textId="7A13611C" w:rsidR="001074A1" w:rsidRDefault="6E235B12" w:rsidP="34DFCB06">
      <w:pPr>
        <w:jc w:val="both"/>
      </w:pPr>
      <w:r w:rsidRPr="6E235B12">
        <w:rPr>
          <w:rFonts w:ascii="Times New Roman" w:eastAsia="Times New Roman" w:hAnsi="Times New Roman" w:cs="Times New Roman"/>
          <w:sz w:val="26"/>
          <w:szCs w:val="26"/>
        </w:rPr>
        <w:t xml:space="preserve"> Az előző évhez viszonyított növekedést az is magyarázza, hogy a fekvő- és járóbeteg-szakellátás és laboratóriumi ellátás teljesítményegységeinek forintértékéről szóló új BM-NGM együttes közlemény, illetve a Nemzeti Dialízis Központ létrehozásával kapcsolatos feladatokról és egyéb, az egészségügyi szolgáltatókat segítő finanszírozási intézkedésekről szóló 66/2025. (IV. 4.) Korm. rendelet, valamint az egészségügyi ágazati szakmai képzésekkel és az egészségügyi szolgáltatók finanszírozásával összefüggő miniszteri rendeletek módosításáról szóló 10/2025. (IV. 4.) BM rendelet alapján az Egészségbiztosítási Alap Gyógyító-megelőző ellátás alcímének 150,0 milliárd </w:t>
      </w:r>
      <w:r w:rsidR="000E4202">
        <w:rPr>
          <w:rFonts w:ascii="Times New Roman" w:eastAsia="Times New Roman" w:hAnsi="Times New Roman" w:cs="Times New Roman"/>
          <w:sz w:val="26"/>
          <w:szCs w:val="26"/>
        </w:rPr>
        <w:t>forint</w:t>
      </w:r>
      <w:r w:rsidRPr="6E235B12">
        <w:rPr>
          <w:rFonts w:ascii="Times New Roman" w:eastAsia="Times New Roman" w:hAnsi="Times New Roman" w:cs="Times New Roman"/>
          <w:sz w:val="26"/>
          <w:szCs w:val="26"/>
        </w:rPr>
        <w:t xml:space="preserve"> összegű, Egészségügyi szolgáltatók kiegészítő finanszírozása megnevezésű jogcímcsoport felhasználásával a 2025. januártól áprilisig terjedő időszakra megtörtént a közfinanszírozásban részesülő egészségügyi szolgáltatók visszamenőleges kifizetése.</w:t>
      </w:r>
    </w:p>
    <w:p w14:paraId="69E4940B" w14:textId="46376D3C" w:rsidR="001074A1" w:rsidRDefault="0A24B9C4" w:rsidP="0A24B9C4">
      <w:pPr>
        <w:jc w:val="both"/>
        <w:rPr>
          <w:rFonts w:ascii="Times New Roman" w:eastAsia="Times New Roman" w:hAnsi="Times New Roman" w:cs="Times New Roman"/>
          <w:sz w:val="26"/>
          <w:szCs w:val="26"/>
        </w:rPr>
      </w:pPr>
      <w:r w:rsidRPr="0A24B9C4">
        <w:rPr>
          <w:rFonts w:ascii="Times New Roman" w:eastAsia="Times New Roman" w:hAnsi="Times New Roman" w:cs="Times New Roman"/>
          <w:b/>
          <w:bCs/>
          <w:sz w:val="26"/>
          <w:szCs w:val="26"/>
        </w:rPr>
        <w:t>Gyógyszertámogatásra</w:t>
      </w:r>
      <w:r w:rsidRPr="0A24B9C4">
        <w:rPr>
          <w:rFonts w:ascii="Times New Roman" w:eastAsia="Times New Roman" w:hAnsi="Times New Roman" w:cs="Times New Roman"/>
          <w:sz w:val="26"/>
          <w:szCs w:val="26"/>
        </w:rPr>
        <w:t xml:space="preserve"> 2025. május végéig 238,5 milliárd forint került kifizetésre, amely 15,9 milliárd forinttal magasabb az előző év azonos időszakában kifizetett összegnél.</w:t>
      </w:r>
    </w:p>
    <w:p w14:paraId="7B768C24" w14:textId="77777777" w:rsidR="00B155FE" w:rsidRPr="004966FE" w:rsidRDefault="6E235B12" w:rsidP="6E235B12">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6E235B12">
        <w:rPr>
          <w:rFonts w:ascii="Times New Roman" w:eastAsia="Times New Roman" w:hAnsi="Times New Roman" w:cs="Times New Roman"/>
          <w:b/>
          <w:bCs/>
          <w:smallCaps/>
          <w:sz w:val="28"/>
          <w:szCs w:val="28"/>
          <w:lang w:eastAsia="hu-HU"/>
        </w:rPr>
        <w:lastRenderedPageBreak/>
        <w:t xml:space="preserve">A költségvetési szervek és fejezeti kezelésű előirányzatok alakulása </w:t>
      </w:r>
    </w:p>
    <w:p w14:paraId="0CFDE309" w14:textId="280AC34A" w:rsidR="00266768" w:rsidRPr="007B6DF2" w:rsidRDefault="6E235B12" w:rsidP="6E235B12">
      <w:pPr>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 xml:space="preserve">A </w:t>
      </w:r>
      <w:r w:rsidRPr="6E235B12">
        <w:rPr>
          <w:rFonts w:ascii="Times New Roman" w:eastAsia="Times New Roman" w:hAnsi="Times New Roman" w:cs="Times New Roman"/>
          <w:b/>
          <w:bCs/>
          <w:sz w:val="26"/>
          <w:szCs w:val="26"/>
          <w:lang w:eastAsia="hu-HU"/>
        </w:rPr>
        <w:t>költségvetési szervek bevételei</w:t>
      </w:r>
      <w:r w:rsidRPr="6E235B12">
        <w:rPr>
          <w:rFonts w:ascii="Times New Roman" w:eastAsia="Times New Roman" w:hAnsi="Times New Roman" w:cs="Times New Roman"/>
          <w:sz w:val="26"/>
          <w:szCs w:val="26"/>
          <w:lang w:eastAsia="hu-HU"/>
        </w:rPr>
        <w:t xml:space="preserve"> 2025 első öt hónapjában 1 206,5 milliárd forintot tettek ki, amely 1,8%-kal alacsonyabb az előző év azonos időszakának bevételeihez képest. Az intézmények bevételei közül 682,4 milliárd forintot tett ki a Nemzeti Egészségbiztosítási Alapkezelő által az egészségügyi intézményeknek utalt támogatás.</w:t>
      </w:r>
    </w:p>
    <w:p w14:paraId="02FB9B34" w14:textId="70016F0B" w:rsidR="00266768" w:rsidRPr="007B6DF2" w:rsidRDefault="6E235B12" w:rsidP="6E235B12">
      <w:pPr>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 xml:space="preserve">A </w:t>
      </w:r>
      <w:r w:rsidRPr="6E235B12">
        <w:rPr>
          <w:rFonts w:ascii="Times New Roman" w:eastAsia="Times New Roman" w:hAnsi="Times New Roman" w:cs="Times New Roman"/>
          <w:b/>
          <w:bCs/>
          <w:sz w:val="26"/>
          <w:szCs w:val="26"/>
          <w:lang w:eastAsia="hu-HU"/>
        </w:rPr>
        <w:t>szakmai fejezeti kezelésű előirányzatok bevételei</w:t>
      </w:r>
      <w:r w:rsidRPr="6E235B12">
        <w:rPr>
          <w:rFonts w:ascii="Times New Roman" w:eastAsia="Times New Roman" w:hAnsi="Times New Roman" w:cs="Times New Roman"/>
          <w:sz w:val="26"/>
          <w:szCs w:val="26"/>
          <w:lang w:eastAsia="hu-HU"/>
        </w:rPr>
        <w:t xml:space="preserve"> 2025 első öt hónapjában 168,2 milliárd forintot tettek ki, mely 22,8%-kal magasabb az előző év azonos időszakának bevételéhez képest. A bevételek jelentős részét az „Alapok alapja GINOP pénzügyi eszközök” törvényi sorra befolyt összegek teszik ki, melyek nem uniós bevételként jóváírt tételek.</w:t>
      </w:r>
    </w:p>
    <w:p w14:paraId="56786471" w14:textId="746D5B67" w:rsidR="00B63DA3" w:rsidRPr="004966FE" w:rsidRDefault="6E235B12" w:rsidP="6E235B12">
      <w:pPr>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 xml:space="preserve">A </w:t>
      </w:r>
      <w:r w:rsidRPr="6E235B12">
        <w:rPr>
          <w:rFonts w:ascii="Times New Roman" w:hAnsi="Times New Roman" w:cs="Times New Roman"/>
          <w:sz w:val="26"/>
          <w:szCs w:val="26"/>
          <w:lang w:eastAsia="hu-HU"/>
        </w:rPr>
        <w:t>2025. év első öthavi, 1 374,7 milliárd forint összegű bevételek megoszlását a következő grafikon szemlélteti</w:t>
      </w:r>
      <w:r w:rsidRPr="6E235B12">
        <w:rPr>
          <w:rFonts w:ascii="Times New Roman" w:eastAsia="Times New Roman" w:hAnsi="Times New Roman" w:cs="Times New Roman"/>
          <w:sz w:val="26"/>
          <w:szCs w:val="26"/>
          <w:lang w:eastAsia="hu-HU"/>
        </w:rPr>
        <w:t>:</w:t>
      </w:r>
    </w:p>
    <w:p w14:paraId="576D18BB" w14:textId="55CC1573" w:rsidR="00B056CC" w:rsidRPr="00377D59" w:rsidRDefault="00C10ED3" w:rsidP="00C2238F">
      <w:pPr>
        <w:spacing w:before="240" w:after="120"/>
        <w:jc w:val="center"/>
        <w:rPr>
          <w:rFonts w:ascii="Times New Roman" w:eastAsia="Times New Roman" w:hAnsi="Times New Roman" w:cs="Times New Roman"/>
          <w:b/>
          <w:sz w:val="26"/>
          <w:szCs w:val="26"/>
        </w:rPr>
      </w:pPr>
      <w:r>
        <w:rPr>
          <w:noProof/>
        </w:rPr>
        <w:drawing>
          <wp:inline distT="0" distB="0" distL="0" distR="0" wp14:anchorId="115FC827" wp14:editId="42A95ACF">
            <wp:extent cx="5940425" cy="3284855"/>
            <wp:effectExtent l="0" t="0" r="3175" b="0"/>
            <wp:docPr id="112276386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63864" name=""/>
                    <pic:cNvPicPr/>
                  </pic:nvPicPr>
                  <pic:blipFill>
                    <a:blip r:embed="rId24"/>
                    <a:stretch>
                      <a:fillRect/>
                    </a:stretch>
                  </pic:blipFill>
                  <pic:spPr>
                    <a:xfrm>
                      <a:off x="0" y="0"/>
                      <a:ext cx="5940425" cy="3284855"/>
                    </a:xfrm>
                    <a:prstGeom prst="rect">
                      <a:avLst/>
                    </a:prstGeom>
                  </pic:spPr>
                </pic:pic>
              </a:graphicData>
            </a:graphic>
          </wp:inline>
        </w:drawing>
      </w:r>
    </w:p>
    <w:p w14:paraId="47C331B2" w14:textId="49848806" w:rsidR="00266768" w:rsidRPr="009B7BB9" w:rsidRDefault="6E235B12" w:rsidP="6E235B12">
      <w:pPr>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 xml:space="preserve">A </w:t>
      </w:r>
      <w:r w:rsidRPr="6E235B12">
        <w:rPr>
          <w:rFonts w:ascii="Times New Roman" w:eastAsia="Times New Roman" w:hAnsi="Times New Roman" w:cs="Times New Roman"/>
          <w:b/>
          <w:bCs/>
          <w:sz w:val="26"/>
          <w:szCs w:val="26"/>
          <w:lang w:eastAsia="hu-HU"/>
        </w:rPr>
        <w:t>Költségvetési szervek kiadásai</w:t>
      </w:r>
      <w:r w:rsidRPr="6E235B12">
        <w:rPr>
          <w:rFonts w:ascii="Times New Roman" w:eastAsia="Times New Roman" w:hAnsi="Times New Roman" w:cs="Times New Roman"/>
          <w:sz w:val="26"/>
          <w:szCs w:val="26"/>
          <w:lang w:eastAsia="hu-HU"/>
        </w:rPr>
        <w:t xml:space="preserve"> mérlegsoron 2025 első öt hónapjában 3 678,4 milliárd forint kiadás teljesült, mely 5,8%-kal magasabb az előző év azonos időszakának kiadásaihoz képest. A kiadásból 2 138,4 milliárd forint a személyi juttatásokra és munkaadókat terhelő járulékokra kifizetett összeg.</w:t>
      </w:r>
    </w:p>
    <w:p w14:paraId="690E18FB" w14:textId="5510EEA6" w:rsidR="0074788C" w:rsidRPr="004966FE" w:rsidRDefault="6E235B12" w:rsidP="6E235B12">
      <w:pPr>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 xml:space="preserve">A </w:t>
      </w:r>
      <w:r w:rsidRPr="6E235B12">
        <w:rPr>
          <w:rFonts w:ascii="Times New Roman" w:eastAsia="Times New Roman" w:hAnsi="Times New Roman" w:cs="Times New Roman"/>
          <w:b/>
          <w:bCs/>
          <w:sz w:val="26"/>
          <w:szCs w:val="26"/>
          <w:lang w:eastAsia="hu-HU"/>
        </w:rPr>
        <w:t>Szakmai fejezeti kezelésű előirányzatok kiadásai</w:t>
      </w:r>
      <w:r w:rsidRPr="6E235B12">
        <w:rPr>
          <w:rFonts w:ascii="Times New Roman" w:eastAsia="Times New Roman" w:hAnsi="Times New Roman" w:cs="Times New Roman"/>
          <w:sz w:val="26"/>
          <w:szCs w:val="26"/>
          <w:lang w:eastAsia="hu-HU"/>
        </w:rPr>
        <w:t xml:space="preserve"> mérlegsoron 2025 első öt hónapjában 2 193,2 milliárd forint kiadás teljesült, mely 5,4%-kal magasabb, mint az előző év azonos időszakának kiadása. Ezen időszak teljesítéséből az alábbi kiadások emelhetők ki:</w:t>
      </w:r>
    </w:p>
    <w:p w14:paraId="1F07A5C3" w14:textId="5CE13A09" w:rsidR="000E4F73" w:rsidRPr="00BE4BAC" w:rsidRDefault="5DC4A04A" w:rsidP="0E6BB81D">
      <w:pPr>
        <w:jc w:val="both"/>
        <w:rPr>
          <w:rFonts w:ascii="Times New Roman" w:eastAsia="Times New Roman" w:hAnsi="Times New Roman" w:cs="Times New Roman"/>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6E235B12" w:rsidP="6E235B12">
      <w:pPr>
        <w:spacing w:after="120" w:line="240" w:lineRule="auto"/>
        <w:jc w:val="right"/>
        <w:rPr>
          <w:rFonts w:ascii="Times New Roman" w:eastAsia="Times New Roman" w:hAnsi="Times New Roman" w:cs="Times New Roman"/>
          <w:i/>
          <w:iCs/>
          <w:sz w:val="20"/>
          <w:szCs w:val="20"/>
          <w:lang w:eastAsia="hu-HU"/>
        </w:rPr>
      </w:pPr>
      <w:r w:rsidRPr="6E235B12">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2"/>
        <w:gridCol w:w="851"/>
      </w:tblGrid>
      <w:tr w:rsidR="00D33705" w:rsidRPr="00D33705" w14:paraId="26A524AC" w14:textId="77777777" w:rsidTr="0050611B">
        <w:trPr>
          <w:trHeight w:val="340"/>
        </w:trPr>
        <w:tc>
          <w:tcPr>
            <w:tcW w:w="8392" w:type="dxa"/>
            <w:tcMar>
              <w:top w:w="0" w:type="dxa"/>
              <w:left w:w="108" w:type="dxa"/>
              <w:bottom w:w="0" w:type="dxa"/>
              <w:right w:w="108" w:type="dxa"/>
            </w:tcMar>
            <w:vAlign w:val="center"/>
            <w:hideMark/>
          </w:tcPr>
          <w:p w14:paraId="6ABFE3F3" w14:textId="77777777" w:rsidR="009E65F5"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851" w:type="dxa"/>
            <w:noWrap/>
            <w:tcMar>
              <w:top w:w="0" w:type="dxa"/>
              <w:left w:w="108" w:type="dxa"/>
              <w:bottom w:w="0" w:type="dxa"/>
              <w:right w:w="108" w:type="dxa"/>
            </w:tcMar>
            <w:vAlign w:val="center"/>
          </w:tcPr>
          <w:p w14:paraId="5E98CAB3" w14:textId="6C7440DF" w:rsidR="009E65F5"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419,8</w:t>
            </w:r>
          </w:p>
        </w:tc>
      </w:tr>
      <w:tr w:rsidR="00D33705" w:rsidRPr="00D33705" w14:paraId="0AE5AE84" w14:textId="77777777" w:rsidTr="0050611B">
        <w:trPr>
          <w:trHeight w:val="283"/>
        </w:trPr>
        <w:tc>
          <w:tcPr>
            <w:tcW w:w="8392" w:type="dxa"/>
            <w:tcMar>
              <w:top w:w="0" w:type="dxa"/>
              <w:left w:w="108" w:type="dxa"/>
              <w:bottom w:w="0" w:type="dxa"/>
              <w:right w:w="108" w:type="dxa"/>
            </w:tcMar>
            <w:vAlign w:val="center"/>
            <w:hideMark/>
          </w:tcPr>
          <w:p w14:paraId="788D5244" w14:textId="77777777" w:rsidR="004F3641"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Nem állami felsőoktatási intézmények támogatása</w:t>
            </w:r>
          </w:p>
        </w:tc>
        <w:tc>
          <w:tcPr>
            <w:tcW w:w="851" w:type="dxa"/>
            <w:noWrap/>
            <w:tcMar>
              <w:top w:w="0" w:type="dxa"/>
              <w:left w:w="108" w:type="dxa"/>
              <w:bottom w:w="0" w:type="dxa"/>
              <w:right w:w="108" w:type="dxa"/>
            </w:tcMar>
            <w:vAlign w:val="center"/>
          </w:tcPr>
          <w:p w14:paraId="6099E4A6" w14:textId="74D79E33" w:rsidR="004F3641"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302,2</w:t>
            </w:r>
          </w:p>
        </w:tc>
      </w:tr>
      <w:tr w:rsidR="00D33705" w:rsidRPr="00D33705" w14:paraId="7FA8470F" w14:textId="77777777" w:rsidTr="0050611B">
        <w:trPr>
          <w:trHeight w:val="283"/>
        </w:trPr>
        <w:tc>
          <w:tcPr>
            <w:tcW w:w="8392" w:type="dxa"/>
            <w:tcMar>
              <w:top w:w="0" w:type="dxa"/>
              <w:left w:w="108" w:type="dxa"/>
              <w:bottom w:w="0" w:type="dxa"/>
              <w:right w:w="108" w:type="dxa"/>
            </w:tcMar>
            <w:vAlign w:val="center"/>
          </w:tcPr>
          <w:p w14:paraId="72345CFD" w14:textId="77777777" w:rsidR="00D33705"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Közlekedési ágazati programok</w:t>
            </w:r>
          </w:p>
        </w:tc>
        <w:tc>
          <w:tcPr>
            <w:tcW w:w="851" w:type="dxa"/>
            <w:noWrap/>
            <w:tcMar>
              <w:top w:w="0" w:type="dxa"/>
              <w:left w:w="108" w:type="dxa"/>
              <w:bottom w:w="0" w:type="dxa"/>
              <w:right w:w="108" w:type="dxa"/>
            </w:tcMar>
            <w:vAlign w:val="center"/>
          </w:tcPr>
          <w:p w14:paraId="5DE04447" w14:textId="6A7D9FF4" w:rsidR="00D33705"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84,8</w:t>
            </w:r>
          </w:p>
        </w:tc>
      </w:tr>
      <w:tr w:rsidR="00D33705" w:rsidRPr="00D33705" w14:paraId="3695AB0C" w14:textId="77777777" w:rsidTr="0050611B">
        <w:trPr>
          <w:trHeight w:val="278"/>
        </w:trPr>
        <w:tc>
          <w:tcPr>
            <w:tcW w:w="8392" w:type="dxa"/>
            <w:tcMar>
              <w:top w:w="0" w:type="dxa"/>
              <w:left w:w="108" w:type="dxa"/>
              <w:bottom w:w="0" w:type="dxa"/>
              <w:right w:w="108" w:type="dxa"/>
            </w:tcMar>
            <w:vAlign w:val="center"/>
            <w:hideMark/>
          </w:tcPr>
          <w:p w14:paraId="5DD694C2" w14:textId="77777777" w:rsidR="003112A9"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Turisztikai fejlesztési célelőirányzat</w:t>
            </w:r>
          </w:p>
        </w:tc>
        <w:tc>
          <w:tcPr>
            <w:tcW w:w="851" w:type="dxa"/>
            <w:noWrap/>
            <w:tcMar>
              <w:top w:w="0" w:type="dxa"/>
              <w:left w:w="108" w:type="dxa"/>
              <w:bottom w:w="0" w:type="dxa"/>
              <w:right w:w="108" w:type="dxa"/>
            </w:tcMar>
            <w:vAlign w:val="center"/>
          </w:tcPr>
          <w:p w14:paraId="0C15ACDF" w14:textId="581A2F81" w:rsidR="003112A9"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80,0</w:t>
            </w:r>
          </w:p>
        </w:tc>
      </w:tr>
      <w:tr w:rsidR="00D33705" w:rsidRPr="00D33705" w14:paraId="42DCA3C3" w14:textId="77777777" w:rsidTr="0050611B">
        <w:trPr>
          <w:trHeight w:val="283"/>
        </w:trPr>
        <w:tc>
          <w:tcPr>
            <w:tcW w:w="8392" w:type="dxa"/>
            <w:tcMar>
              <w:top w:w="0" w:type="dxa"/>
              <w:left w:w="108" w:type="dxa"/>
              <w:bottom w:w="0" w:type="dxa"/>
              <w:right w:w="108" w:type="dxa"/>
            </w:tcMar>
            <w:vAlign w:val="center"/>
          </w:tcPr>
          <w:p w14:paraId="7FA3B2CA" w14:textId="7C75A97E" w:rsidR="00A61DE1"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Térségi fejlesztési feladatok</w:t>
            </w:r>
          </w:p>
        </w:tc>
        <w:tc>
          <w:tcPr>
            <w:tcW w:w="851" w:type="dxa"/>
            <w:noWrap/>
            <w:tcMar>
              <w:top w:w="0" w:type="dxa"/>
              <w:left w:w="108" w:type="dxa"/>
              <w:bottom w:w="0" w:type="dxa"/>
              <w:right w:w="108" w:type="dxa"/>
            </w:tcMar>
            <w:vAlign w:val="center"/>
          </w:tcPr>
          <w:p w14:paraId="460EDA61" w14:textId="70F40B73" w:rsidR="00A61DE1"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64,8</w:t>
            </w:r>
          </w:p>
        </w:tc>
      </w:tr>
      <w:tr w:rsidR="00D33705" w:rsidRPr="00D33705" w14:paraId="54E44312" w14:textId="77777777" w:rsidTr="0050611B">
        <w:trPr>
          <w:trHeight w:val="283"/>
        </w:trPr>
        <w:tc>
          <w:tcPr>
            <w:tcW w:w="8392" w:type="dxa"/>
            <w:tcMar>
              <w:top w:w="0" w:type="dxa"/>
              <w:left w:w="108" w:type="dxa"/>
              <w:bottom w:w="0" w:type="dxa"/>
              <w:right w:w="108" w:type="dxa"/>
            </w:tcMar>
            <w:vAlign w:val="center"/>
          </w:tcPr>
          <w:p w14:paraId="15AF8429" w14:textId="4FA24CCF" w:rsidR="009E65F5" w:rsidRPr="00D33705" w:rsidRDefault="6E235B12" w:rsidP="6E235B12">
            <w:pPr>
              <w:spacing w:after="0" w:line="240" w:lineRule="auto"/>
              <w:jc w:val="both"/>
              <w:rPr>
                <w:rFonts w:ascii="Times New Roman" w:hAnsi="Times New Roman" w:cs="Times New Roman"/>
                <w:sz w:val="24"/>
                <w:szCs w:val="24"/>
                <w:lang w:eastAsia="hu-HU"/>
              </w:rPr>
            </w:pPr>
            <w:r w:rsidRPr="6E235B12">
              <w:rPr>
                <w:rFonts w:ascii="Times New Roman" w:hAnsi="Times New Roman" w:cs="Times New Roman"/>
                <w:sz w:val="24"/>
                <w:szCs w:val="24"/>
                <w:lang w:eastAsia="hu-HU"/>
              </w:rPr>
              <w:t>Víziközmű-fejlesztések</w:t>
            </w:r>
          </w:p>
        </w:tc>
        <w:tc>
          <w:tcPr>
            <w:tcW w:w="851" w:type="dxa"/>
            <w:noWrap/>
            <w:tcMar>
              <w:top w:w="0" w:type="dxa"/>
              <w:left w:w="108" w:type="dxa"/>
              <w:bottom w:w="0" w:type="dxa"/>
              <w:right w:w="108" w:type="dxa"/>
            </w:tcMar>
            <w:vAlign w:val="center"/>
          </w:tcPr>
          <w:p w14:paraId="096DD07F" w14:textId="20697605" w:rsidR="009E65F5" w:rsidRPr="00D33705" w:rsidRDefault="0A24B9C4" w:rsidP="0A24B9C4">
            <w:pPr>
              <w:spacing w:after="0" w:line="240" w:lineRule="auto"/>
              <w:jc w:val="right"/>
              <w:rPr>
                <w:rFonts w:ascii="Times New Roman" w:hAnsi="Times New Roman" w:cs="Times New Roman"/>
                <w:sz w:val="24"/>
                <w:szCs w:val="24"/>
                <w:lang w:eastAsia="hu-HU"/>
              </w:rPr>
            </w:pPr>
            <w:r w:rsidRPr="0A24B9C4">
              <w:rPr>
                <w:rFonts w:ascii="Times New Roman" w:hAnsi="Times New Roman" w:cs="Times New Roman"/>
                <w:sz w:val="24"/>
                <w:szCs w:val="24"/>
                <w:lang w:eastAsia="hu-HU"/>
              </w:rPr>
              <w:t>39,0</w:t>
            </w:r>
          </w:p>
        </w:tc>
      </w:tr>
    </w:tbl>
    <w:p w14:paraId="130E1B4D" w14:textId="725A671B" w:rsidR="0033462C" w:rsidRPr="00A61DE1" w:rsidRDefault="6E235B12" w:rsidP="6E235B12">
      <w:pPr>
        <w:spacing w:before="160" w:after="0"/>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A 2025. év első öthavi, 5 871,7 milliárd forint összegű kiadásai megoszlását a következő grafikon szemlélteti:</w:t>
      </w:r>
    </w:p>
    <w:p w14:paraId="3599A16D" w14:textId="69E7E7E0" w:rsidR="00B056CC" w:rsidRDefault="00C10ED3" w:rsidP="009C33A4">
      <w:pPr>
        <w:spacing w:before="240"/>
        <w:jc w:val="center"/>
        <w:rPr>
          <w:rFonts w:ascii="Times New Roman" w:eastAsia="Times New Roman" w:hAnsi="Times New Roman" w:cs="Times New Roman"/>
          <w:b/>
          <w:sz w:val="26"/>
          <w:szCs w:val="26"/>
        </w:rPr>
      </w:pPr>
      <w:r>
        <w:rPr>
          <w:noProof/>
        </w:rPr>
        <w:drawing>
          <wp:inline distT="0" distB="0" distL="0" distR="0" wp14:anchorId="00B779E2" wp14:editId="7B1C46F0">
            <wp:extent cx="5940425" cy="3554730"/>
            <wp:effectExtent l="0" t="0" r="3175" b="7620"/>
            <wp:docPr id="91870062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0620" name=""/>
                    <pic:cNvPicPr/>
                  </pic:nvPicPr>
                  <pic:blipFill>
                    <a:blip r:embed="rId25"/>
                    <a:stretch>
                      <a:fillRect/>
                    </a:stretch>
                  </pic:blipFill>
                  <pic:spPr>
                    <a:xfrm>
                      <a:off x="0" y="0"/>
                      <a:ext cx="5940425" cy="3554730"/>
                    </a:xfrm>
                    <a:prstGeom prst="rect">
                      <a:avLst/>
                    </a:prstGeom>
                  </pic:spPr>
                </pic:pic>
              </a:graphicData>
            </a:graphic>
          </wp:inline>
        </w:drawing>
      </w:r>
    </w:p>
    <w:p w14:paraId="7B768C4E" w14:textId="3E063542" w:rsidR="00B155FE" w:rsidRPr="00377D59" w:rsidRDefault="6E235B12" w:rsidP="6E235B12">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6E235B12">
        <w:rPr>
          <w:rFonts w:ascii="Times New Roman" w:eastAsia="Times New Roman" w:hAnsi="Times New Roman" w:cs="Times New Roman"/>
          <w:b/>
          <w:bCs/>
          <w:smallCaps/>
          <w:sz w:val="28"/>
          <w:szCs w:val="28"/>
          <w:lang w:eastAsia="hu-HU"/>
        </w:rPr>
        <w:t>Kamategyenleg</w:t>
      </w:r>
    </w:p>
    <w:p w14:paraId="0047F521" w14:textId="3FA1732F" w:rsidR="003F3151" w:rsidRDefault="6E235B12" w:rsidP="6E235B12">
      <w:pPr>
        <w:jc w:val="both"/>
        <w:rPr>
          <w:rFonts w:ascii="Times New Roman" w:hAnsi="Times New Roman" w:cs="Times New Roman"/>
          <w:sz w:val="26"/>
          <w:szCs w:val="26"/>
        </w:rPr>
      </w:pPr>
      <w:r w:rsidRPr="6E235B12">
        <w:rPr>
          <w:rFonts w:ascii="Times New Roman" w:hAnsi="Times New Roman" w:cs="Times New Roman"/>
          <w:sz w:val="26"/>
          <w:szCs w:val="26"/>
          <w:lang w:eastAsia="hu-HU"/>
        </w:rPr>
        <w:t xml:space="preserve">A bevételek és kiadások egyenlegeként adódó </w:t>
      </w:r>
      <w:r w:rsidR="004F6040">
        <w:rPr>
          <w:rFonts w:ascii="Times New Roman" w:hAnsi="Times New Roman" w:cs="Times New Roman"/>
          <w:sz w:val="26"/>
          <w:szCs w:val="26"/>
          <w:lang w:eastAsia="hu-HU"/>
        </w:rPr>
        <w:t>2 </w:t>
      </w:r>
      <w:r w:rsidR="004F6040" w:rsidRPr="004F6040">
        <w:rPr>
          <w:rFonts w:ascii="Times New Roman" w:hAnsi="Times New Roman" w:cs="Times New Roman"/>
          <w:sz w:val="26"/>
          <w:szCs w:val="26"/>
          <w:lang w:eastAsia="hu-HU"/>
        </w:rPr>
        <w:t>071,4</w:t>
      </w:r>
      <w:r w:rsidRPr="6E235B12">
        <w:rPr>
          <w:rFonts w:ascii="Times New Roman" w:hAnsi="Times New Roman" w:cs="Times New Roman"/>
          <w:sz w:val="26"/>
          <w:szCs w:val="26"/>
          <w:lang w:eastAsia="hu-HU"/>
        </w:rPr>
        <w:t xml:space="preserve"> milliárd forint összegű </w:t>
      </w:r>
      <w:r w:rsidRPr="6E235B12">
        <w:rPr>
          <w:rFonts w:ascii="Times New Roman" w:hAnsi="Times New Roman" w:cs="Times New Roman"/>
          <w:b/>
          <w:bCs/>
          <w:sz w:val="26"/>
          <w:szCs w:val="26"/>
          <w:lang w:eastAsia="hu-HU"/>
        </w:rPr>
        <w:t>nettó</w:t>
      </w:r>
      <w:r w:rsidRPr="6E235B12">
        <w:rPr>
          <w:rFonts w:ascii="Times New Roman" w:hAnsi="Times New Roman" w:cs="Times New Roman"/>
          <w:b/>
          <w:bCs/>
          <w:sz w:val="26"/>
          <w:szCs w:val="26"/>
        </w:rPr>
        <w:t xml:space="preserve"> kamatkiadás</w:t>
      </w:r>
      <w:r w:rsidRPr="6E235B12">
        <w:rPr>
          <w:rFonts w:ascii="Times New Roman" w:hAnsi="Times New Roman" w:cs="Times New Roman"/>
          <w:sz w:val="26"/>
          <w:szCs w:val="26"/>
        </w:rPr>
        <w:t xml:space="preserve"> </w:t>
      </w:r>
      <w:r w:rsidR="004F6040">
        <w:rPr>
          <w:rFonts w:ascii="Times New Roman" w:hAnsi="Times New Roman" w:cs="Times New Roman"/>
          <w:sz w:val="26"/>
          <w:szCs w:val="26"/>
        </w:rPr>
        <w:t>május</w:t>
      </w:r>
      <w:r w:rsidRPr="6E235B12">
        <w:rPr>
          <w:rFonts w:ascii="Times New Roman" w:hAnsi="Times New Roman" w:cs="Times New Roman"/>
          <w:sz w:val="26"/>
          <w:szCs w:val="26"/>
        </w:rPr>
        <w:t xml:space="preserve"> végéig </w:t>
      </w:r>
      <w:r w:rsidR="004F6040">
        <w:rPr>
          <w:rFonts w:ascii="Times New Roman" w:hAnsi="Times New Roman" w:cs="Times New Roman"/>
          <w:sz w:val="26"/>
          <w:szCs w:val="26"/>
        </w:rPr>
        <w:t>512,2</w:t>
      </w:r>
      <w:r w:rsidRPr="6E235B12">
        <w:rPr>
          <w:rFonts w:ascii="Times New Roman" w:hAnsi="Times New Roman" w:cs="Times New Roman"/>
          <w:sz w:val="26"/>
          <w:szCs w:val="26"/>
        </w:rPr>
        <w:t>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6E235B12" w:rsidP="6E235B12">
      <w:pPr>
        <w:keepNext/>
        <w:spacing w:after="120" w:line="240" w:lineRule="auto"/>
        <w:jc w:val="center"/>
        <w:outlineLvl w:val="3"/>
        <w:rPr>
          <w:rFonts w:ascii="Times New Roman" w:eastAsia="Times New Roman" w:hAnsi="Times New Roman" w:cs="Times New Roman"/>
          <w:b/>
          <w:bCs/>
          <w:caps/>
          <w:sz w:val="26"/>
          <w:szCs w:val="26"/>
          <w:lang w:eastAsia="hu-HU"/>
        </w:rPr>
      </w:pPr>
      <w:r w:rsidRPr="6E235B12">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6E235B12" w:rsidP="6E235B12">
      <w:pPr>
        <w:keepNext/>
        <w:spacing w:after="240" w:line="240" w:lineRule="auto"/>
        <w:jc w:val="center"/>
        <w:outlineLvl w:val="3"/>
        <w:rPr>
          <w:rFonts w:ascii="Times New Roman" w:eastAsia="Times New Roman" w:hAnsi="Times New Roman" w:cs="Times New Roman"/>
          <w:b/>
          <w:bCs/>
          <w:caps/>
          <w:sz w:val="26"/>
          <w:szCs w:val="26"/>
          <w:lang w:eastAsia="hu-HU"/>
        </w:rPr>
      </w:pPr>
      <w:r w:rsidRPr="6E235B12">
        <w:rPr>
          <w:rFonts w:ascii="Times New Roman" w:eastAsia="Times New Roman" w:hAnsi="Times New Roman" w:cs="Times New Roman"/>
          <w:b/>
          <w:bCs/>
          <w:caps/>
          <w:sz w:val="26"/>
          <w:szCs w:val="26"/>
          <w:lang w:eastAsia="hu-HU"/>
        </w:rPr>
        <w:t>Az államháztartás központi alrendszerének finanszírozása</w:t>
      </w:r>
    </w:p>
    <w:p w14:paraId="06C778E7" w14:textId="25C866B7" w:rsidR="00710A26" w:rsidRPr="008E6DF0" w:rsidRDefault="6E235B12" w:rsidP="6E235B12">
      <w:pPr>
        <w:ind w:right="23"/>
        <w:jc w:val="both"/>
        <w:rPr>
          <w:rFonts w:ascii="Times New Roman" w:eastAsia="Times New Roman" w:hAnsi="Times New Roman" w:cs="Times New Roman"/>
          <w:b/>
          <w:bCs/>
          <w:sz w:val="26"/>
          <w:szCs w:val="26"/>
          <w:lang w:eastAsia="hu-HU"/>
        </w:rPr>
      </w:pPr>
      <w:r w:rsidRPr="6E235B12">
        <w:rPr>
          <w:rFonts w:ascii="Times New Roman" w:eastAsia="Times New Roman" w:hAnsi="Times New Roman" w:cs="Times New Roman"/>
          <w:sz w:val="26"/>
          <w:szCs w:val="26"/>
          <w:lang w:eastAsia="hu-HU"/>
        </w:rPr>
        <w:t xml:space="preserve">A központi költségvetés adóssága 2025. </w:t>
      </w:r>
      <w:r w:rsidR="004F6040">
        <w:rPr>
          <w:rFonts w:ascii="Times New Roman" w:eastAsia="Times New Roman" w:hAnsi="Times New Roman" w:cs="Times New Roman"/>
          <w:sz w:val="26"/>
          <w:szCs w:val="26"/>
          <w:lang w:eastAsia="hu-HU"/>
        </w:rPr>
        <w:t>május</w:t>
      </w:r>
      <w:r w:rsidRPr="6E235B12">
        <w:rPr>
          <w:rFonts w:ascii="Times New Roman" w:eastAsia="Times New Roman" w:hAnsi="Times New Roman" w:cs="Times New Roman"/>
          <w:sz w:val="26"/>
          <w:szCs w:val="26"/>
          <w:lang w:eastAsia="hu-HU"/>
        </w:rPr>
        <w:t xml:space="preserve"> végéig </w:t>
      </w:r>
      <w:r w:rsidR="004F6040" w:rsidRPr="004F6040">
        <w:rPr>
          <w:rFonts w:ascii="Times New Roman" w:eastAsia="Times New Roman" w:hAnsi="Times New Roman" w:cs="Times New Roman"/>
          <w:sz w:val="26"/>
          <w:szCs w:val="26"/>
          <w:lang w:eastAsia="hu-HU"/>
        </w:rPr>
        <w:t>3</w:t>
      </w:r>
      <w:r w:rsidR="004F6040">
        <w:rPr>
          <w:rFonts w:ascii="Times New Roman" w:eastAsia="Times New Roman" w:hAnsi="Times New Roman" w:cs="Times New Roman"/>
          <w:sz w:val="26"/>
          <w:szCs w:val="26"/>
          <w:lang w:eastAsia="hu-HU"/>
        </w:rPr>
        <w:t> </w:t>
      </w:r>
      <w:r w:rsidR="004F6040" w:rsidRPr="004F6040">
        <w:rPr>
          <w:rFonts w:ascii="Times New Roman" w:eastAsia="Times New Roman" w:hAnsi="Times New Roman" w:cs="Times New Roman"/>
          <w:sz w:val="26"/>
          <w:szCs w:val="26"/>
          <w:lang w:eastAsia="hu-HU"/>
        </w:rPr>
        <w:t>819,5</w:t>
      </w:r>
      <w:r w:rsidRPr="6E235B12">
        <w:rPr>
          <w:rFonts w:ascii="Times New Roman" w:eastAsia="Times New Roman" w:hAnsi="Times New Roman" w:cs="Times New Roman"/>
          <w:sz w:val="26"/>
          <w:szCs w:val="26"/>
          <w:lang w:eastAsia="hu-HU"/>
        </w:rPr>
        <w:t> milliárd</w:t>
      </w:r>
      <w:r w:rsidR="00800328">
        <w:rPr>
          <w:rFonts w:ascii="Times New Roman" w:eastAsia="Times New Roman" w:hAnsi="Times New Roman" w:cs="Times New Roman"/>
          <w:sz w:val="26"/>
          <w:szCs w:val="26"/>
          <w:lang w:eastAsia="hu-HU"/>
        </w:rPr>
        <w:t xml:space="preserve"> </w:t>
      </w:r>
      <w:r w:rsidRPr="6E235B12">
        <w:rPr>
          <w:rFonts w:ascii="Times New Roman" w:eastAsia="Times New Roman" w:hAnsi="Times New Roman" w:cs="Times New Roman"/>
          <w:sz w:val="26"/>
          <w:szCs w:val="26"/>
          <w:lang w:eastAsia="hu-HU"/>
        </w:rPr>
        <w:t>forinttal növekedett a következő négy tényező eredményeképpen:</w:t>
      </w:r>
    </w:p>
    <w:p w14:paraId="6A5D9D6B" w14:textId="676FEA6D" w:rsidR="004F6040" w:rsidRDefault="004F6040" w:rsidP="004F6040">
      <w:pPr>
        <w:pStyle w:val="Listaszerbekezds"/>
        <w:numPr>
          <w:ilvl w:val="0"/>
          <w:numId w:val="2"/>
        </w:num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b/>
          <w:bCs/>
          <w:sz w:val="26"/>
          <w:szCs w:val="26"/>
          <w:lang w:eastAsia="hu-HU"/>
        </w:rPr>
        <w:t>Az első tényező, amely növelte az adósságot</w:t>
      </w:r>
      <w:r w:rsidRPr="004F6040">
        <w:rPr>
          <w:rFonts w:ascii="Times New Roman" w:eastAsia="Times New Roman" w:hAnsi="Times New Roman" w:cs="Times New Roman"/>
          <w:sz w:val="26"/>
          <w:szCs w:val="26"/>
          <w:lang w:eastAsia="hu-HU"/>
        </w:rPr>
        <w:t xml:space="preserve"> a nettó forintkibocsátás 2</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502,7</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milliárd forint összegben, ami a költségvetés hiányát finanszírozza.</w:t>
      </w:r>
    </w:p>
    <w:p w14:paraId="1E02E679" w14:textId="7A827594" w:rsidR="004F6040" w:rsidRPr="004F6040" w:rsidRDefault="004F6040" w:rsidP="004F6040">
      <w:pPr>
        <w:pStyle w:val="Listaszerbekezds"/>
        <w:numPr>
          <w:ilvl w:val="0"/>
          <w:numId w:val="2"/>
        </w:num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b/>
          <w:bCs/>
          <w:sz w:val="26"/>
          <w:szCs w:val="26"/>
          <w:lang w:eastAsia="hu-HU"/>
        </w:rPr>
        <w:t>A második – szintén növelő hatású – tényező</w:t>
      </w:r>
      <w:r w:rsidRPr="004F6040">
        <w:rPr>
          <w:rFonts w:ascii="Times New Roman" w:eastAsia="Times New Roman" w:hAnsi="Times New Roman" w:cs="Times New Roman"/>
          <w:sz w:val="26"/>
          <w:szCs w:val="26"/>
          <w:lang w:eastAsia="hu-HU"/>
        </w:rPr>
        <w:t xml:space="preserve"> a nettó devizakibocsátás, amely 1</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697,4</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milliárd forint összegben járul</w:t>
      </w:r>
      <w:r>
        <w:rPr>
          <w:rFonts w:ascii="Times New Roman" w:eastAsia="Times New Roman" w:hAnsi="Times New Roman" w:cs="Times New Roman"/>
          <w:sz w:val="26"/>
          <w:szCs w:val="26"/>
          <w:lang w:eastAsia="hu-HU"/>
        </w:rPr>
        <w:t>t hozzá</w:t>
      </w:r>
      <w:r w:rsidRPr="004F6040">
        <w:rPr>
          <w:rFonts w:ascii="Times New Roman" w:eastAsia="Times New Roman" w:hAnsi="Times New Roman" w:cs="Times New Roman"/>
          <w:sz w:val="26"/>
          <w:szCs w:val="26"/>
          <w:lang w:eastAsia="hu-HU"/>
        </w:rPr>
        <w:t xml:space="preserve"> a hiány finanszírozásához és a devizabetétállomány növekedéséhez.</w:t>
      </w:r>
    </w:p>
    <w:p w14:paraId="29AAC97D" w14:textId="61866DB7" w:rsidR="004F6040" w:rsidRPr="004F6040" w:rsidRDefault="004F6040" w:rsidP="004F6040">
      <w:pPr>
        <w:pStyle w:val="Listaszerbekezds"/>
        <w:numPr>
          <w:ilvl w:val="0"/>
          <w:numId w:val="2"/>
        </w:num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b/>
          <w:bCs/>
          <w:sz w:val="26"/>
          <w:szCs w:val="26"/>
          <w:lang w:eastAsia="hu-HU"/>
        </w:rPr>
        <w:t>A harmadik – fentiekkel ellentétes, csökkentő hatású – tényező</w:t>
      </w:r>
      <w:r w:rsidRPr="004F6040">
        <w:rPr>
          <w:rFonts w:ascii="Times New Roman" w:eastAsia="Times New Roman" w:hAnsi="Times New Roman" w:cs="Times New Roman"/>
          <w:sz w:val="26"/>
          <w:szCs w:val="26"/>
          <w:lang w:eastAsia="hu-HU"/>
        </w:rPr>
        <w:t xml:space="preserve"> a forint árfolyamának az elmúlt év végéhez képest bekövetkezett erősödése, amely az adósság devizában fennálló részének forintban számított nyilvántartási értékét 283,7</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milliárd forinttal csökkentette.</w:t>
      </w:r>
    </w:p>
    <w:p w14:paraId="157CBCF7" w14:textId="76E78F1C" w:rsidR="00E5484A" w:rsidRPr="00757FD8" w:rsidRDefault="004F6040" w:rsidP="004F6040">
      <w:pPr>
        <w:pStyle w:val="Listaszerbekezds"/>
        <w:numPr>
          <w:ilvl w:val="0"/>
          <w:numId w:val="2"/>
        </w:numPr>
        <w:jc w:val="both"/>
        <w:rPr>
          <w:rFonts w:ascii="Times New Roman" w:eastAsia="Times New Roman" w:hAnsi="Times New Roman" w:cs="Times New Roman"/>
          <w:sz w:val="26"/>
          <w:szCs w:val="26"/>
          <w:lang w:eastAsia="hu-HU"/>
        </w:rPr>
        <w:sectPr w:rsidR="00E5484A" w:rsidRPr="00757FD8"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r w:rsidRPr="004F6040">
        <w:rPr>
          <w:rFonts w:ascii="Times New Roman" w:eastAsia="Times New Roman" w:hAnsi="Times New Roman" w:cs="Times New Roman"/>
          <w:b/>
          <w:bCs/>
          <w:sz w:val="26"/>
          <w:szCs w:val="26"/>
          <w:lang w:eastAsia="hu-HU"/>
        </w:rPr>
        <w:t>A negyedik – további csökkentő hatású – tényező</w:t>
      </w:r>
      <w:r w:rsidRPr="004F6040">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csökkenése 96,9</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milliárd forint összegben.</w:t>
      </w:r>
    </w:p>
    <w:p w14:paraId="7B768C5C" w14:textId="6D8DBABE" w:rsidR="00B155FE" w:rsidRPr="00377D59" w:rsidRDefault="6E235B12" w:rsidP="6E235B12">
      <w:pPr>
        <w:spacing w:after="120" w:line="240" w:lineRule="auto"/>
        <w:ind w:right="23"/>
        <w:jc w:val="both"/>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lastRenderedPageBreak/>
        <w:t xml:space="preserve">Az előzetes adatok szerint 2025. </w:t>
      </w:r>
      <w:r w:rsidR="004F6040">
        <w:rPr>
          <w:rFonts w:ascii="Times New Roman" w:eastAsia="Times New Roman" w:hAnsi="Times New Roman" w:cs="Times New Roman"/>
          <w:sz w:val="26"/>
          <w:szCs w:val="26"/>
          <w:lang w:eastAsia="hu-HU"/>
        </w:rPr>
        <w:t>május</w:t>
      </w:r>
      <w:r w:rsidRPr="6E235B12">
        <w:rPr>
          <w:rFonts w:ascii="Times New Roman" w:eastAsia="Times New Roman" w:hAnsi="Times New Roman" w:cs="Times New Roman"/>
          <w:sz w:val="26"/>
          <w:szCs w:val="26"/>
          <w:lang w:eastAsia="hu-HU"/>
        </w:rPr>
        <w:t xml:space="preserve"> végén a </w:t>
      </w:r>
      <w:r w:rsidRPr="6E235B12">
        <w:rPr>
          <w:rFonts w:ascii="Times New Roman" w:eastAsia="Times New Roman" w:hAnsi="Times New Roman" w:cs="Times New Roman"/>
          <w:b/>
          <w:bCs/>
          <w:sz w:val="26"/>
          <w:szCs w:val="26"/>
          <w:lang w:eastAsia="hu-HU"/>
        </w:rPr>
        <w:t xml:space="preserve">központi költségvetés forint- és devizaadóssága </w:t>
      </w:r>
      <w:r w:rsidRPr="6E235B12">
        <w:rPr>
          <w:rFonts w:ascii="Times New Roman" w:eastAsia="Times New Roman" w:hAnsi="Times New Roman" w:cs="Times New Roman"/>
          <w:sz w:val="26"/>
          <w:szCs w:val="26"/>
          <w:lang w:eastAsia="hu-HU"/>
        </w:rPr>
        <w:t>az alábbiak szerint alakult:</w:t>
      </w:r>
    </w:p>
    <w:p w14:paraId="7B768C5D" w14:textId="252296E8" w:rsidR="00B155FE" w:rsidRDefault="6E235B12" w:rsidP="6E235B1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6E235B12">
        <w:rPr>
          <w:rFonts w:ascii="Times New Roman" w:eastAsia="Times New Roman" w:hAnsi="Times New Roman" w:cs="Times New Roman"/>
          <w:sz w:val="26"/>
          <w:szCs w:val="26"/>
          <w:lang w:eastAsia="hu-HU"/>
        </w:rPr>
        <w:t>A központi költségvetés adósságának alakulása 2025-ben, milliárd forint</w:t>
      </w:r>
    </w:p>
    <w:p w14:paraId="31C86ED1" w14:textId="04B56B63" w:rsidR="002F2521" w:rsidRDefault="00031C9D"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Pr>
          <w:noProof/>
        </w:rPr>
        <w:drawing>
          <wp:inline distT="0" distB="0" distL="0" distR="0" wp14:anchorId="3EE57075" wp14:editId="03181AE4">
            <wp:extent cx="8951312" cy="4270167"/>
            <wp:effectExtent l="0" t="0" r="2540" b="0"/>
            <wp:docPr id="88429708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7083" name=""/>
                    <pic:cNvPicPr/>
                  </pic:nvPicPr>
                  <pic:blipFill>
                    <a:blip r:embed="rId28"/>
                    <a:stretch>
                      <a:fillRect/>
                    </a:stretch>
                  </pic:blipFill>
                  <pic:spPr>
                    <a:xfrm>
                      <a:off x="0" y="0"/>
                      <a:ext cx="8958924" cy="4273798"/>
                    </a:xfrm>
                    <a:prstGeom prst="rect">
                      <a:avLst/>
                    </a:prstGeom>
                  </pic:spPr>
                </pic:pic>
              </a:graphicData>
            </a:graphic>
          </wp:inline>
        </w:drawing>
      </w:r>
    </w:p>
    <w:p w14:paraId="7B768C5F" w14:textId="77777777" w:rsidR="00B155FE" w:rsidRPr="00377D59" w:rsidRDefault="6E235B12" w:rsidP="6E235B12">
      <w:pPr>
        <w:spacing w:after="120" w:line="240" w:lineRule="auto"/>
        <w:jc w:val="both"/>
        <w:rPr>
          <w:rFonts w:ascii="Times New Roman" w:eastAsia="Times New Roman" w:hAnsi="Times New Roman" w:cs="Times New Roman"/>
          <w:sz w:val="24"/>
          <w:szCs w:val="24"/>
          <w:lang w:eastAsia="hu-HU"/>
        </w:rPr>
      </w:pPr>
      <w:r w:rsidRPr="6E235B12">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679A32E2" w14:textId="28D641EC" w:rsidR="004F6040" w:rsidRPr="004F6040" w:rsidRDefault="004F6040" w:rsidP="004F6040">
      <w:p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b/>
          <w:bCs/>
          <w:sz w:val="26"/>
          <w:szCs w:val="26"/>
          <w:lang w:eastAsia="hu-HU"/>
        </w:rPr>
        <w:lastRenderedPageBreak/>
        <w:t>A központi költségvetés devizaadóssága</w:t>
      </w:r>
      <w:r w:rsidRPr="004F6040">
        <w:rPr>
          <w:rFonts w:ascii="Times New Roman" w:eastAsia="Times New Roman" w:hAnsi="Times New Roman" w:cs="Times New Roman"/>
          <w:sz w:val="26"/>
          <w:szCs w:val="26"/>
          <w:lang w:eastAsia="hu-HU"/>
        </w:rPr>
        <w:t xml:space="preserve"> 2025-ben 1</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413,7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17</w:t>
      </w:r>
      <w:r>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971,5</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forintra növekedett az elmúlt év végéhez képest. A devizaadósság részaránya a 2024. év végi 29,8%-os szintről 30,3%-os szintre emelkedett a teljes adósságon belül.</w:t>
      </w:r>
    </w:p>
    <w:p w14:paraId="219F0113" w14:textId="6CFF9CFD" w:rsidR="004F6040" w:rsidRPr="004F6040" w:rsidRDefault="004F6040" w:rsidP="004F6040">
      <w:p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sz w:val="26"/>
          <w:szCs w:val="26"/>
          <w:lang w:eastAsia="hu-HU"/>
        </w:rPr>
        <w:t>A növekedés hátterében döntően a januárban végrehajtott devizakötvény-kibocsátások állnak. 2025. január 7-én került sor az idei év első nemzetközi eurókötvény-kibocsátására összesen 1</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035,7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(2,5</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euró) összegben. Két sorozat piacra vitele történt meg, egy 10 éves futamidejű hagyományos sorozat 621,4</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(1,5</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EUR) összegben és egy 15 éves futamidejű zöld sorozat 414,3</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(1,0</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EUR) összegben. Az ECP (Euro Commercial Paper) program keretében áprilisban kibocsátott devizaértékpapírok összege 180,1</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(500</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millió USD) volt. A további devizahitel lehívások összege szintén emelte, míg az árfolyamerősödés ugyanakkor csökkentette a devizaadósság részarányát.</w:t>
      </w:r>
    </w:p>
    <w:p w14:paraId="6BF90686" w14:textId="17B17A5E" w:rsidR="004F6040" w:rsidRPr="004F6040" w:rsidRDefault="004F6040" w:rsidP="004F6040">
      <w:pPr>
        <w:jc w:val="both"/>
        <w:rPr>
          <w:rFonts w:ascii="Times New Roman" w:eastAsia="Times New Roman" w:hAnsi="Times New Roman" w:cs="Times New Roman"/>
          <w:sz w:val="26"/>
          <w:szCs w:val="26"/>
          <w:lang w:eastAsia="hu-HU"/>
        </w:rPr>
      </w:pPr>
      <w:r w:rsidRPr="004E141D">
        <w:rPr>
          <w:rFonts w:ascii="Times New Roman" w:eastAsia="Times New Roman" w:hAnsi="Times New Roman" w:cs="Times New Roman"/>
          <w:b/>
          <w:bCs/>
          <w:sz w:val="26"/>
          <w:szCs w:val="26"/>
          <w:lang w:eastAsia="hu-HU"/>
        </w:rPr>
        <w:t>A költségvetés forintadóssága</w:t>
      </w:r>
      <w:r w:rsidRPr="004F6040">
        <w:rPr>
          <w:rFonts w:ascii="Times New Roman" w:eastAsia="Times New Roman" w:hAnsi="Times New Roman" w:cs="Times New Roman"/>
          <w:sz w:val="26"/>
          <w:szCs w:val="26"/>
          <w:lang w:eastAsia="hu-HU"/>
        </w:rPr>
        <w:t xml:space="preserve"> május végéig 2</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502,7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növekedett és 41</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204,4</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ért el, a forint adósság a teljes államadósság 69,5%-át teszi ki. 2024. decemberében ez az arány 69,8% volt.</w:t>
      </w:r>
    </w:p>
    <w:p w14:paraId="4B7C2D9A" w14:textId="3B9E9079" w:rsidR="004F6040" w:rsidRPr="004F6040" w:rsidRDefault="004F6040" w:rsidP="004F6040">
      <w:p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sz w:val="26"/>
          <w:szCs w:val="26"/>
          <w:lang w:eastAsia="hu-HU"/>
        </w:rPr>
        <w:t>2025. május végén a forint lakossági állampapírok állománya 11</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243,9</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tett ki, ami 19,0</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csökkenést jelent 2024. december vége óta. A Prémium Magyar Állampapír állománya 2025. május végére 2</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375,7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csökkent, amely így 4</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585,3</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tett ki. A Fix Magyar Állampapír állománya 1</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514,0</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növekedett és elérte a 2</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530,9</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hó végén. Szintén emelkedett a Bónusz Magyar Állampapír állománya is, 953,3</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növekedést követően a hó végén 2</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162,2</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tett ki. Az 5 éves futamidejű Magyar Állampapír Plusz állománya, a nyomdai kibocsátású és a korábban értékesített papírokkal együtt, 159,2</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emelkedett az előző hónaphoz képest így hó végén 921,7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tett ki. 2024. júniustól kivezetésre került az Egyéves Magyar Állampapír, amelynek állománya 8,2</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volt május végén, 374,3</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kisebb a 2024. év végi állománynál. A lakossági állampapírok közül a Fix Magyar Állampapír értékesítése volt a legmagasabb májusban.</w:t>
      </w:r>
    </w:p>
    <w:p w14:paraId="5249513E" w14:textId="4D1950AA" w:rsidR="004F6040" w:rsidRPr="004F6040" w:rsidRDefault="004F6040" w:rsidP="004F6040">
      <w:p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sz w:val="26"/>
          <w:szCs w:val="26"/>
          <w:lang w:eastAsia="hu-HU"/>
        </w:rPr>
        <w:t>Az ÁKK Zrt. május hó folyamán összesen 9,0</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összegben vásárolt vissza lakossági állampapírokat a forgalmazó bankoktól. 2025 áprilisától a forgalmazóknak lehetőség nyílt saját számlájukra került lakossági állampapírok cseréjére. Ennek keretében májusban 43,9</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összegben cserélték be a saját számlájukra került lakossági állampapírokat az épp értékesítés alatt álló sorozatokra, amit a másodpiacon tovább értékesíthetnek a lakosság számára.</w:t>
      </w:r>
    </w:p>
    <w:p w14:paraId="61BE8A78" w14:textId="6DD0F33A" w:rsidR="004F6040" w:rsidRPr="004F6040" w:rsidRDefault="004F6040" w:rsidP="004F6040">
      <w:pPr>
        <w:jc w:val="both"/>
        <w:rPr>
          <w:rFonts w:ascii="Times New Roman" w:eastAsia="Times New Roman" w:hAnsi="Times New Roman" w:cs="Times New Roman"/>
          <w:sz w:val="26"/>
          <w:szCs w:val="26"/>
          <w:lang w:eastAsia="hu-HU"/>
        </w:rPr>
      </w:pPr>
      <w:r w:rsidRPr="004E141D">
        <w:rPr>
          <w:rFonts w:ascii="Times New Roman" w:eastAsia="Times New Roman" w:hAnsi="Times New Roman" w:cs="Times New Roman"/>
          <w:b/>
          <w:bCs/>
          <w:sz w:val="26"/>
          <w:szCs w:val="26"/>
          <w:lang w:eastAsia="hu-HU"/>
        </w:rPr>
        <w:t>A külföldi befektetők állampapír állománya</w:t>
      </w:r>
      <w:r w:rsidRPr="004F6040">
        <w:rPr>
          <w:rFonts w:ascii="Times New Roman" w:eastAsia="Times New Roman" w:hAnsi="Times New Roman" w:cs="Times New Roman"/>
          <w:sz w:val="26"/>
          <w:szCs w:val="26"/>
          <w:lang w:eastAsia="hu-HU"/>
        </w:rPr>
        <w:t xml:space="preserve"> májusban 196,5</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6</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072,6</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forintra emelkedett az előző hónaphoz képest. A külföldi állomány 99,7%-a, 6</w:t>
      </w:r>
      <w:r w:rsidR="004E141D">
        <w:rPr>
          <w:rFonts w:ascii="Times New Roman" w:eastAsia="Times New Roman" w:hAnsi="Times New Roman" w:cs="Times New Roman"/>
          <w:sz w:val="26"/>
          <w:szCs w:val="26"/>
          <w:lang w:eastAsia="hu-HU"/>
        </w:rPr>
        <w:t> </w:t>
      </w:r>
      <w:r w:rsidRPr="004F6040">
        <w:rPr>
          <w:rFonts w:ascii="Times New Roman" w:eastAsia="Times New Roman" w:hAnsi="Times New Roman" w:cs="Times New Roman"/>
          <w:sz w:val="26"/>
          <w:szCs w:val="26"/>
          <w:lang w:eastAsia="hu-HU"/>
        </w:rPr>
        <w:t>054,9</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államkötvény, 0,3%-a, 17,7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 diszkontkincstárjegy. A külföldi állomány átlagos hátralévő futamideje május végén 5,5 év volt.</w:t>
      </w:r>
    </w:p>
    <w:p w14:paraId="742A4DFA" w14:textId="416EA8A6" w:rsidR="00346073" w:rsidRPr="00404793" w:rsidRDefault="004F6040" w:rsidP="004F6040">
      <w:pPr>
        <w:jc w:val="both"/>
        <w:rPr>
          <w:rFonts w:ascii="Times New Roman" w:eastAsia="Times New Roman" w:hAnsi="Times New Roman" w:cs="Times New Roman"/>
          <w:sz w:val="26"/>
          <w:szCs w:val="26"/>
          <w:lang w:eastAsia="hu-HU"/>
        </w:rPr>
      </w:pPr>
      <w:r w:rsidRPr="004F6040">
        <w:rPr>
          <w:rFonts w:ascii="Times New Roman" w:eastAsia="Times New Roman" w:hAnsi="Times New Roman" w:cs="Times New Roman"/>
          <w:sz w:val="26"/>
          <w:szCs w:val="26"/>
          <w:lang w:eastAsia="hu-HU"/>
        </w:rPr>
        <w:lastRenderedPageBreak/>
        <w:t>A deviza-államadósság kockázatainak csökkentése érdekében az ÁKK Zrt. swap műveleteket köt, amiből az adósságállomány részét képezik az ezen ügyletek után az ÁKK Zrt-nél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swapkötéssel sikerült kizárni. A vizsgált időszakban az egyéb kötelezettségek állománya 96,9</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forinttal csökkent. Május végén az állomány 122,7</w:t>
      </w:r>
      <w:r>
        <w:rPr>
          <w:rFonts w:ascii="Times New Roman" w:eastAsia="Times New Roman" w:hAnsi="Times New Roman" w:cs="Times New Roman"/>
          <w:sz w:val="26"/>
          <w:szCs w:val="26"/>
          <w:lang w:eastAsia="hu-HU"/>
        </w:rPr>
        <w:t> milliárd</w:t>
      </w:r>
      <w:r w:rsidRPr="004F6040">
        <w:rPr>
          <w:rFonts w:ascii="Times New Roman" w:eastAsia="Times New Roman" w:hAnsi="Times New Roman" w:cs="Times New Roman"/>
          <w:sz w:val="26"/>
          <w:szCs w:val="26"/>
          <w:lang w:eastAsia="hu-HU"/>
        </w:rPr>
        <w:t xml:space="preserve"> forintot tett ki, ami a teljes államadósság 0,2%-át jelenti.</w:t>
      </w:r>
    </w:p>
    <w:sectPr w:rsidR="00346073" w:rsidRPr="00404793"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42F6" w14:textId="77777777" w:rsidR="000D59E2" w:rsidRDefault="000D59E2" w:rsidP="00B155FE">
      <w:pPr>
        <w:spacing w:after="0" w:line="240" w:lineRule="auto"/>
      </w:pPr>
      <w:r>
        <w:separator/>
      </w:r>
    </w:p>
  </w:endnote>
  <w:endnote w:type="continuationSeparator" w:id="0">
    <w:p w14:paraId="73DE08A0" w14:textId="77777777" w:rsidR="000D59E2" w:rsidRDefault="000D59E2" w:rsidP="00B155FE">
      <w:pPr>
        <w:spacing w:after="0" w:line="240" w:lineRule="auto"/>
      </w:pPr>
      <w:r>
        <w:continuationSeparator/>
      </w:r>
    </w:p>
  </w:endnote>
  <w:endnote w:type="continuationNotice" w:id="1">
    <w:p w14:paraId="4F0C22DA" w14:textId="77777777" w:rsidR="000D59E2" w:rsidRDefault="000D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D1F" w14:textId="4DE2DC1D" w:rsidR="00473AC1" w:rsidRDefault="00473AC1">
    <w:pPr>
      <w:pStyle w:val="llb"/>
      <w:jc w:val="center"/>
    </w:pPr>
  </w:p>
  <w:p w14:paraId="41773F2F" w14:textId="77777777" w:rsidR="00473AC1" w:rsidRDefault="00473A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473AC1" w:rsidRPr="005A1E0F" w:rsidRDefault="00473AC1">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473AC1" w:rsidRDefault="00473AC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473AC1" w:rsidRPr="00470868" w:rsidRDefault="00473AC1">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7B6DF2">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473AC1" w:rsidRPr="00556984" w:rsidRDefault="00473AC1" w:rsidP="00556984">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473AC1" w:rsidRPr="00D4148C" w:rsidRDefault="00473AC1">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473AC1" w:rsidRDefault="00473AC1" w:rsidP="00C74E0F">
    <w:pPr>
      <w:pStyle w:val="ll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40D1" w14:textId="0EBE225F" w:rsidR="00473AC1" w:rsidRDefault="0A24B9C4" w:rsidP="004A3001">
    <w:pPr>
      <w:pStyle w:val="llb"/>
      <w:jc w:val="center"/>
    </w:pPr>
    <w:r w:rsidRPr="0A24B9C4">
      <w:rPr>
        <w:rFonts w:ascii="Times New Roman" w:hAnsi="Times New Roman" w:cs="Times New Roman"/>
        <w:sz w:val="24"/>
        <w:szCs w:val="2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EA76" w14:textId="77777777" w:rsidR="000D59E2" w:rsidRDefault="000D59E2" w:rsidP="00B155FE">
      <w:pPr>
        <w:spacing w:after="0" w:line="240" w:lineRule="auto"/>
      </w:pPr>
      <w:r>
        <w:separator/>
      </w:r>
    </w:p>
  </w:footnote>
  <w:footnote w:type="continuationSeparator" w:id="0">
    <w:p w14:paraId="51D7E9DF" w14:textId="77777777" w:rsidR="000D59E2" w:rsidRDefault="000D59E2" w:rsidP="00B155FE">
      <w:pPr>
        <w:spacing w:after="0" w:line="240" w:lineRule="auto"/>
      </w:pPr>
      <w:r>
        <w:continuationSeparator/>
      </w:r>
    </w:p>
  </w:footnote>
  <w:footnote w:type="continuationNotice" w:id="1">
    <w:p w14:paraId="5AD873C5" w14:textId="77777777" w:rsidR="000D59E2" w:rsidRDefault="000D5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00473AC1" w14:paraId="1027336C" w14:textId="77777777" w:rsidTr="75E7E8C2">
      <w:tc>
        <w:tcPr>
          <w:tcW w:w="3118" w:type="dxa"/>
        </w:tcPr>
        <w:p w14:paraId="4C837DDD" w14:textId="79A8EEFC" w:rsidR="00473AC1" w:rsidRDefault="00473AC1" w:rsidP="75E7E8C2">
          <w:pPr>
            <w:pStyle w:val="lfej"/>
            <w:ind w:left="-115"/>
          </w:pPr>
        </w:p>
      </w:tc>
      <w:tc>
        <w:tcPr>
          <w:tcW w:w="3118" w:type="dxa"/>
        </w:tcPr>
        <w:p w14:paraId="215A5B55" w14:textId="4B5EFC16" w:rsidR="00473AC1" w:rsidRDefault="00473AC1" w:rsidP="75E7E8C2">
          <w:pPr>
            <w:pStyle w:val="lfej"/>
            <w:jc w:val="center"/>
          </w:pPr>
        </w:p>
      </w:tc>
      <w:tc>
        <w:tcPr>
          <w:tcW w:w="3118" w:type="dxa"/>
        </w:tcPr>
        <w:p w14:paraId="08CD3A76" w14:textId="283AC16D" w:rsidR="00473AC1" w:rsidRDefault="00473AC1" w:rsidP="75E7E8C2">
          <w:pPr>
            <w:pStyle w:val="lfej"/>
            <w:ind w:right="-115"/>
            <w:jc w:val="right"/>
          </w:pPr>
        </w:p>
      </w:tc>
    </w:tr>
  </w:tbl>
  <w:p w14:paraId="4176297E" w14:textId="7CD13837" w:rsidR="00473AC1" w:rsidRDefault="00473AC1" w:rsidP="75E7E8C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7D1" w14:textId="3D0DDD49" w:rsidR="00473AC1" w:rsidRDefault="00473AC1" w:rsidP="75E7E8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6" w14:textId="77777777" w:rsidR="00473AC1" w:rsidRPr="00881044" w:rsidRDefault="00473AC1" w:rsidP="00C74E0F">
    <w:pPr>
      <w:pStyle w:val="lfej"/>
      <w:rPr>
        <w:rStyle w:val="Oldalszm"/>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7" w14:textId="77777777" w:rsidR="00473AC1" w:rsidRPr="00FE4DD1" w:rsidRDefault="00473AC1" w:rsidP="00C74E0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09518"/>
      <w:docPartObj>
        <w:docPartGallery w:val="Page Numbers (Top of Page)"/>
        <w:docPartUnique/>
      </w:docPartObj>
    </w:sdtPr>
    <w:sdtEndPr>
      <w:rPr>
        <w:noProof/>
      </w:rPr>
    </w:sdtEndPr>
    <w:sdtContent>
      <w:p w14:paraId="2CB15785" w14:textId="77777777" w:rsidR="00473AC1" w:rsidRDefault="00473AC1">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473AC1" w:rsidRDefault="00473A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47603289">
    <w:abstractNumId w:val="3"/>
  </w:num>
  <w:num w:numId="2" w16cid:durableId="1171026080">
    <w:abstractNumId w:val="4"/>
  </w:num>
  <w:num w:numId="3" w16cid:durableId="1245341741">
    <w:abstractNumId w:val="0"/>
  </w:num>
  <w:num w:numId="4" w16cid:durableId="1549414595">
    <w:abstractNumId w:val="5"/>
  </w:num>
  <w:num w:numId="5" w16cid:durableId="993993450">
    <w:abstractNumId w:val="2"/>
  </w:num>
  <w:num w:numId="6" w16cid:durableId="89535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hdrShapeDefaults>
    <o:shapedefaults v:ext="edit" spidmax="3072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FE"/>
    <w:rsid w:val="00000517"/>
    <w:rsid w:val="0000169C"/>
    <w:rsid w:val="00001DDD"/>
    <w:rsid w:val="00007D4A"/>
    <w:rsid w:val="000103E9"/>
    <w:rsid w:val="00015558"/>
    <w:rsid w:val="00015945"/>
    <w:rsid w:val="00020D17"/>
    <w:rsid w:val="0002105A"/>
    <w:rsid w:val="00022205"/>
    <w:rsid w:val="00022974"/>
    <w:rsid w:val="00024158"/>
    <w:rsid w:val="0002586B"/>
    <w:rsid w:val="00025889"/>
    <w:rsid w:val="00026266"/>
    <w:rsid w:val="0002674A"/>
    <w:rsid w:val="000302F3"/>
    <w:rsid w:val="00031896"/>
    <w:rsid w:val="00031C82"/>
    <w:rsid w:val="00031C9D"/>
    <w:rsid w:val="000365DC"/>
    <w:rsid w:val="0003668B"/>
    <w:rsid w:val="0003701E"/>
    <w:rsid w:val="0004032B"/>
    <w:rsid w:val="000407DB"/>
    <w:rsid w:val="00043E49"/>
    <w:rsid w:val="00044042"/>
    <w:rsid w:val="000458BD"/>
    <w:rsid w:val="000471E4"/>
    <w:rsid w:val="000512BB"/>
    <w:rsid w:val="00051E9B"/>
    <w:rsid w:val="0005236D"/>
    <w:rsid w:val="00052502"/>
    <w:rsid w:val="00052554"/>
    <w:rsid w:val="00052E4F"/>
    <w:rsid w:val="00054358"/>
    <w:rsid w:val="00054CDA"/>
    <w:rsid w:val="00055632"/>
    <w:rsid w:val="00057916"/>
    <w:rsid w:val="000611EC"/>
    <w:rsid w:val="000617B7"/>
    <w:rsid w:val="00064521"/>
    <w:rsid w:val="0006496D"/>
    <w:rsid w:val="00064D6A"/>
    <w:rsid w:val="00065E19"/>
    <w:rsid w:val="00067A57"/>
    <w:rsid w:val="00070EAC"/>
    <w:rsid w:val="00071FA3"/>
    <w:rsid w:val="00072A58"/>
    <w:rsid w:val="0007336F"/>
    <w:rsid w:val="000770F3"/>
    <w:rsid w:val="00077440"/>
    <w:rsid w:val="0008062F"/>
    <w:rsid w:val="00081A0C"/>
    <w:rsid w:val="00081A16"/>
    <w:rsid w:val="00081FF0"/>
    <w:rsid w:val="00082ADE"/>
    <w:rsid w:val="000846A7"/>
    <w:rsid w:val="00085B09"/>
    <w:rsid w:val="00085C37"/>
    <w:rsid w:val="00085DCC"/>
    <w:rsid w:val="000874F4"/>
    <w:rsid w:val="00087C75"/>
    <w:rsid w:val="00091B18"/>
    <w:rsid w:val="00091F16"/>
    <w:rsid w:val="0009484D"/>
    <w:rsid w:val="00095C95"/>
    <w:rsid w:val="00096300"/>
    <w:rsid w:val="000A0A88"/>
    <w:rsid w:val="000A18F9"/>
    <w:rsid w:val="000A1F24"/>
    <w:rsid w:val="000A2818"/>
    <w:rsid w:val="000A296F"/>
    <w:rsid w:val="000A2EAB"/>
    <w:rsid w:val="000A4669"/>
    <w:rsid w:val="000A4839"/>
    <w:rsid w:val="000A531B"/>
    <w:rsid w:val="000A7964"/>
    <w:rsid w:val="000B1235"/>
    <w:rsid w:val="000B2569"/>
    <w:rsid w:val="000B49AE"/>
    <w:rsid w:val="000B6723"/>
    <w:rsid w:val="000B6BE0"/>
    <w:rsid w:val="000C1105"/>
    <w:rsid w:val="000C13F2"/>
    <w:rsid w:val="000C1781"/>
    <w:rsid w:val="000C1B6F"/>
    <w:rsid w:val="000C20F7"/>
    <w:rsid w:val="000C2BFE"/>
    <w:rsid w:val="000C31E5"/>
    <w:rsid w:val="000C3D4C"/>
    <w:rsid w:val="000C46F3"/>
    <w:rsid w:val="000C7CC7"/>
    <w:rsid w:val="000D074C"/>
    <w:rsid w:val="000D1BA8"/>
    <w:rsid w:val="000D4A41"/>
    <w:rsid w:val="000D4E21"/>
    <w:rsid w:val="000D59E2"/>
    <w:rsid w:val="000D5A5C"/>
    <w:rsid w:val="000D6C88"/>
    <w:rsid w:val="000D76F4"/>
    <w:rsid w:val="000D7836"/>
    <w:rsid w:val="000D7C83"/>
    <w:rsid w:val="000D7EFD"/>
    <w:rsid w:val="000E3639"/>
    <w:rsid w:val="000E4202"/>
    <w:rsid w:val="000E4745"/>
    <w:rsid w:val="000E4B01"/>
    <w:rsid w:val="000E4F73"/>
    <w:rsid w:val="000E5868"/>
    <w:rsid w:val="000E690A"/>
    <w:rsid w:val="000E78FE"/>
    <w:rsid w:val="000F046E"/>
    <w:rsid w:val="000F13BA"/>
    <w:rsid w:val="000F63B6"/>
    <w:rsid w:val="000F765C"/>
    <w:rsid w:val="00103FE9"/>
    <w:rsid w:val="00104A6A"/>
    <w:rsid w:val="001074A1"/>
    <w:rsid w:val="00110C6D"/>
    <w:rsid w:val="001138B8"/>
    <w:rsid w:val="00115834"/>
    <w:rsid w:val="00115AF5"/>
    <w:rsid w:val="00117E64"/>
    <w:rsid w:val="001209E7"/>
    <w:rsid w:val="00120B53"/>
    <w:rsid w:val="001215DC"/>
    <w:rsid w:val="0012490F"/>
    <w:rsid w:val="00125040"/>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62178"/>
    <w:rsid w:val="00167874"/>
    <w:rsid w:val="00170E23"/>
    <w:rsid w:val="00174A9A"/>
    <w:rsid w:val="00180316"/>
    <w:rsid w:val="00180337"/>
    <w:rsid w:val="00183D4C"/>
    <w:rsid w:val="001849A2"/>
    <w:rsid w:val="00185268"/>
    <w:rsid w:val="001855C0"/>
    <w:rsid w:val="00186B09"/>
    <w:rsid w:val="00193514"/>
    <w:rsid w:val="00193DF7"/>
    <w:rsid w:val="00194065"/>
    <w:rsid w:val="00194E8F"/>
    <w:rsid w:val="001967FC"/>
    <w:rsid w:val="001970FB"/>
    <w:rsid w:val="00197516"/>
    <w:rsid w:val="001A025E"/>
    <w:rsid w:val="001A2835"/>
    <w:rsid w:val="001A4175"/>
    <w:rsid w:val="001A4E5E"/>
    <w:rsid w:val="001A57FD"/>
    <w:rsid w:val="001A5B43"/>
    <w:rsid w:val="001A7E0B"/>
    <w:rsid w:val="001B0DB1"/>
    <w:rsid w:val="001B307C"/>
    <w:rsid w:val="001B416B"/>
    <w:rsid w:val="001B4DF1"/>
    <w:rsid w:val="001B50D2"/>
    <w:rsid w:val="001B6F61"/>
    <w:rsid w:val="001C1935"/>
    <w:rsid w:val="001C456C"/>
    <w:rsid w:val="001D04A8"/>
    <w:rsid w:val="001D04FF"/>
    <w:rsid w:val="001D17F4"/>
    <w:rsid w:val="001D22D6"/>
    <w:rsid w:val="001D42E6"/>
    <w:rsid w:val="001D4975"/>
    <w:rsid w:val="001D6BA0"/>
    <w:rsid w:val="001D701F"/>
    <w:rsid w:val="001D709B"/>
    <w:rsid w:val="001D7FB5"/>
    <w:rsid w:val="001E0CF6"/>
    <w:rsid w:val="001E2D1E"/>
    <w:rsid w:val="001E4B4D"/>
    <w:rsid w:val="001E4C57"/>
    <w:rsid w:val="001E6717"/>
    <w:rsid w:val="001E6750"/>
    <w:rsid w:val="001E689B"/>
    <w:rsid w:val="001F10C2"/>
    <w:rsid w:val="001F14EB"/>
    <w:rsid w:val="001F4D95"/>
    <w:rsid w:val="001F7400"/>
    <w:rsid w:val="001F7BB0"/>
    <w:rsid w:val="001F7CA7"/>
    <w:rsid w:val="00201050"/>
    <w:rsid w:val="00201886"/>
    <w:rsid w:val="00202A40"/>
    <w:rsid w:val="0020367E"/>
    <w:rsid w:val="0020471C"/>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9BB"/>
    <w:rsid w:val="00241A82"/>
    <w:rsid w:val="00241E69"/>
    <w:rsid w:val="0024232D"/>
    <w:rsid w:val="0024586E"/>
    <w:rsid w:val="0025038B"/>
    <w:rsid w:val="0025229C"/>
    <w:rsid w:val="00257190"/>
    <w:rsid w:val="00262041"/>
    <w:rsid w:val="002655BB"/>
    <w:rsid w:val="00265E51"/>
    <w:rsid w:val="00266768"/>
    <w:rsid w:val="002678FB"/>
    <w:rsid w:val="00272765"/>
    <w:rsid w:val="00272CF0"/>
    <w:rsid w:val="002736E9"/>
    <w:rsid w:val="00275CF5"/>
    <w:rsid w:val="00280C09"/>
    <w:rsid w:val="00281CE8"/>
    <w:rsid w:val="00282A85"/>
    <w:rsid w:val="00290289"/>
    <w:rsid w:val="002910F0"/>
    <w:rsid w:val="0029176A"/>
    <w:rsid w:val="002921A1"/>
    <w:rsid w:val="0029251A"/>
    <w:rsid w:val="0029365F"/>
    <w:rsid w:val="00295391"/>
    <w:rsid w:val="002954AA"/>
    <w:rsid w:val="00295EBB"/>
    <w:rsid w:val="002975B9"/>
    <w:rsid w:val="002A11AD"/>
    <w:rsid w:val="002A1BCD"/>
    <w:rsid w:val="002A4B97"/>
    <w:rsid w:val="002B0545"/>
    <w:rsid w:val="002B09F4"/>
    <w:rsid w:val="002B2B83"/>
    <w:rsid w:val="002B39F8"/>
    <w:rsid w:val="002B492B"/>
    <w:rsid w:val="002B7BB9"/>
    <w:rsid w:val="002B7C36"/>
    <w:rsid w:val="002C1531"/>
    <w:rsid w:val="002C34B8"/>
    <w:rsid w:val="002C4EE9"/>
    <w:rsid w:val="002C5F14"/>
    <w:rsid w:val="002C688F"/>
    <w:rsid w:val="002D04D3"/>
    <w:rsid w:val="002D0677"/>
    <w:rsid w:val="002D387C"/>
    <w:rsid w:val="002D4984"/>
    <w:rsid w:val="002D56EC"/>
    <w:rsid w:val="002D7D55"/>
    <w:rsid w:val="002E1C57"/>
    <w:rsid w:val="002E2022"/>
    <w:rsid w:val="002E31EF"/>
    <w:rsid w:val="002E401D"/>
    <w:rsid w:val="002E4E83"/>
    <w:rsid w:val="002E502E"/>
    <w:rsid w:val="002E589F"/>
    <w:rsid w:val="002E5FBF"/>
    <w:rsid w:val="002E7744"/>
    <w:rsid w:val="002F0795"/>
    <w:rsid w:val="002F0E70"/>
    <w:rsid w:val="002F150D"/>
    <w:rsid w:val="002F2521"/>
    <w:rsid w:val="002F25C3"/>
    <w:rsid w:val="002F4854"/>
    <w:rsid w:val="002F4E3B"/>
    <w:rsid w:val="002F5E69"/>
    <w:rsid w:val="002F6126"/>
    <w:rsid w:val="002F6DDD"/>
    <w:rsid w:val="002F7F1A"/>
    <w:rsid w:val="0030136A"/>
    <w:rsid w:val="003016AA"/>
    <w:rsid w:val="003018B0"/>
    <w:rsid w:val="00303306"/>
    <w:rsid w:val="003050ED"/>
    <w:rsid w:val="00306C97"/>
    <w:rsid w:val="00306EFA"/>
    <w:rsid w:val="00307C4F"/>
    <w:rsid w:val="003100A2"/>
    <w:rsid w:val="003112A9"/>
    <w:rsid w:val="00311E85"/>
    <w:rsid w:val="00314245"/>
    <w:rsid w:val="0031479F"/>
    <w:rsid w:val="00315E40"/>
    <w:rsid w:val="00316788"/>
    <w:rsid w:val="003208C8"/>
    <w:rsid w:val="0032261D"/>
    <w:rsid w:val="00324B1E"/>
    <w:rsid w:val="0032514C"/>
    <w:rsid w:val="00326644"/>
    <w:rsid w:val="00327378"/>
    <w:rsid w:val="00327D30"/>
    <w:rsid w:val="003310E3"/>
    <w:rsid w:val="00331938"/>
    <w:rsid w:val="00331DCD"/>
    <w:rsid w:val="00333A2D"/>
    <w:rsid w:val="0033462C"/>
    <w:rsid w:val="00334DE1"/>
    <w:rsid w:val="00336E30"/>
    <w:rsid w:val="0034134A"/>
    <w:rsid w:val="0034232F"/>
    <w:rsid w:val="00343A3D"/>
    <w:rsid w:val="00343F69"/>
    <w:rsid w:val="00345686"/>
    <w:rsid w:val="00346073"/>
    <w:rsid w:val="00346908"/>
    <w:rsid w:val="00347F4F"/>
    <w:rsid w:val="00350F76"/>
    <w:rsid w:val="00351831"/>
    <w:rsid w:val="00351D59"/>
    <w:rsid w:val="003524B0"/>
    <w:rsid w:val="003526BB"/>
    <w:rsid w:val="003550F2"/>
    <w:rsid w:val="003558B8"/>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1A54"/>
    <w:rsid w:val="003824FA"/>
    <w:rsid w:val="00382EE1"/>
    <w:rsid w:val="003847D8"/>
    <w:rsid w:val="00384AA3"/>
    <w:rsid w:val="003865FB"/>
    <w:rsid w:val="00387FF8"/>
    <w:rsid w:val="0039133A"/>
    <w:rsid w:val="003942C9"/>
    <w:rsid w:val="003943D5"/>
    <w:rsid w:val="00395832"/>
    <w:rsid w:val="00397C7F"/>
    <w:rsid w:val="003A0943"/>
    <w:rsid w:val="003A0BA1"/>
    <w:rsid w:val="003A4B83"/>
    <w:rsid w:val="003A4D97"/>
    <w:rsid w:val="003A5C78"/>
    <w:rsid w:val="003A6B84"/>
    <w:rsid w:val="003A7E2F"/>
    <w:rsid w:val="003B04CA"/>
    <w:rsid w:val="003B2E1F"/>
    <w:rsid w:val="003B356C"/>
    <w:rsid w:val="003B53B6"/>
    <w:rsid w:val="003B55AB"/>
    <w:rsid w:val="003B5A9A"/>
    <w:rsid w:val="003C09EA"/>
    <w:rsid w:val="003C1306"/>
    <w:rsid w:val="003C13C6"/>
    <w:rsid w:val="003C1F7C"/>
    <w:rsid w:val="003C2D6B"/>
    <w:rsid w:val="003C391B"/>
    <w:rsid w:val="003C501E"/>
    <w:rsid w:val="003C57BB"/>
    <w:rsid w:val="003D0602"/>
    <w:rsid w:val="003D16B4"/>
    <w:rsid w:val="003D5132"/>
    <w:rsid w:val="003D61A8"/>
    <w:rsid w:val="003E2A67"/>
    <w:rsid w:val="003E46ED"/>
    <w:rsid w:val="003E4A11"/>
    <w:rsid w:val="003E4A41"/>
    <w:rsid w:val="003E508C"/>
    <w:rsid w:val="003E622C"/>
    <w:rsid w:val="003E7547"/>
    <w:rsid w:val="003F18A4"/>
    <w:rsid w:val="003F267F"/>
    <w:rsid w:val="003F3149"/>
    <w:rsid w:val="003F3151"/>
    <w:rsid w:val="003F417E"/>
    <w:rsid w:val="00400149"/>
    <w:rsid w:val="004003D1"/>
    <w:rsid w:val="00401229"/>
    <w:rsid w:val="00401B4D"/>
    <w:rsid w:val="00403D7E"/>
    <w:rsid w:val="00404793"/>
    <w:rsid w:val="0040704D"/>
    <w:rsid w:val="00411AC0"/>
    <w:rsid w:val="00411BDD"/>
    <w:rsid w:val="00414CDD"/>
    <w:rsid w:val="004163D7"/>
    <w:rsid w:val="004206D8"/>
    <w:rsid w:val="00421775"/>
    <w:rsid w:val="004220DE"/>
    <w:rsid w:val="0042380D"/>
    <w:rsid w:val="004269CF"/>
    <w:rsid w:val="00427F34"/>
    <w:rsid w:val="0043012E"/>
    <w:rsid w:val="00433577"/>
    <w:rsid w:val="0043393D"/>
    <w:rsid w:val="00436C3A"/>
    <w:rsid w:val="004412D5"/>
    <w:rsid w:val="0044233D"/>
    <w:rsid w:val="00442993"/>
    <w:rsid w:val="00444554"/>
    <w:rsid w:val="0044587B"/>
    <w:rsid w:val="00446026"/>
    <w:rsid w:val="004523FE"/>
    <w:rsid w:val="00453786"/>
    <w:rsid w:val="00455A9C"/>
    <w:rsid w:val="004561EE"/>
    <w:rsid w:val="0045694E"/>
    <w:rsid w:val="00457124"/>
    <w:rsid w:val="00457711"/>
    <w:rsid w:val="00457918"/>
    <w:rsid w:val="00457950"/>
    <w:rsid w:val="004603AD"/>
    <w:rsid w:val="004605F2"/>
    <w:rsid w:val="00461216"/>
    <w:rsid w:val="00462EDD"/>
    <w:rsid w:val="00464B6D"/>
    <w:rsid w:val="00464D42"/>
    <w:rsid w:val="00465074"/>
    <w:rsid w:val="00466390"/>
    <w:rsid w:val="00466A47"/>
    <w:rsid w:val="00466C80"/>
    <w:rsid w:val="00467A58"/>
    <w:rsid w:val="00467BD6"/>
    <w:rsid w:val="00470868"/>
    <w:rsid w:val="004727C2"/>
    <w:rsid w:val="00473AC1"/>
    <w:rsid w:val="00474AC8"/>
    <w:rsid w:val="00477B37"/>
    <w:rsid w:val="004816C1"/>
    <w:rsid w:val="0048361E"/>
    <w:rsid w:val="004837DC"/>
    <w:rsid w:val="0048484D"/>
    <w:rsid w:val="00485019"/>
    <w:rsid w:val="004854D3"/>
    <w:rsid w:val="00485E1E"/>
    <w:rsid w:val="004879B8"/>
    <w:rsid w:val="00490330"/>
    <w:rsid w:val="0049287F"/>
    <w:rsid w:val="00492CAB"/>
    <w:rsid w:val="00494B89"/>
    <w:rsid w:val="00494D4B"/>
    <w:rsid w:val="004966FE"/>
    <w:rsid w:val="00496C75"/>
    <w:rsid w:val="00496EAA"/>
    <w:rsid w:val="004971F1"/>
    <w:rsid w:val="004A0A15"/>
    <w:rsid w:val="004A2974"/>
    <w:rsid w:val="004A3001"/>
    <w:rsid w:val="004A6DD1"/>
    <w:rsid w:val="004B0F31"/>
    <w:rsid w:val="004B1132"/>
    <w:rsid w:val="004B1AF1"/>
    <w:rsid w:val="004B2CAC"/>
    <w:rsid w:val="004B30A3"/>
    <w:rsid w:val="004B3704"/>
    <w:rsid w:val="004B391E"/>
    <w:rsid w:val="004B60A5"/>
    <w:rsid w:val="004B7931"/>
    <w:rsid w:val="004C0575"/>
    <w:rsid w:val="004C0F47"/>
    <w:rsid w:val="004C1AE7"/>
    <w:rsid w:val="004C1B57"/>
    <w:rsid w:val="004C3A05"/>
    <w:rsid w:val="004C3E54"/>
    <w:rsid w:val="004C5206"/>
    <w:rsid w:val="004C5E84"/>
    <w:rsid w:val="004C64E7"/>
    <w:rsid w:val="004C73AF"/>
    <w:rsid w:val="004D06BA"/>
    <w:rsid w:val="004D0EEC"/>
    <w:rsid w:val="004D32C3"/>
    <w:rsid w:val="004D3C6E"/>
    <w:rsid w:val="004D50F6"/>
    <w:rsid w:val="004D5146"/>
    <w:rsid w:val="004D549E"/>
    <w:rsid w:val="004D72BB"/>
    <w:rsid w:val="004D7623"/>
    <w:rsid w:val="004E12D4"/>
    <w:rsid w:val="004E13F6"/>
    <w:rsid w:val="004E141D"/>
    <w:rsid w:val="004E1FF6"/>
    <w:rsid w:val="004E504E"/>
    <w:rsid w:val="004E6FA2"/>
    <w:rsid w:val="004F2496"/>
    <w:rsid w:val="004F25F4"/>
    <w:rsid w:val="004F277F"/>
    <w:rsid w:val="004F3641"/>
    <w:rsid w:val="004F3AFD"/>
    <w:rsid w:val="004F3B57"/>
    <w:rsid w:val="004F3F73"/>
    <w:rsid w:val="004F41FE"/>
    <w:rsid w:val="004F4571"/>
    <w:rsid w:val="004F6040"/>
    <w:rsid w:val="004F63CD"/>
    <w:rsid w:val="00502998"/>
    <w:rsid w:val="00504F0B"/>
    <w:rsid w:val="0050611B"/>
    <w:rsid w:val="00507BC3"/>
    <w:rsid w:val="00510390"/>
    <w:rsid w:val="00510655"/>
    <w:rsid w:val="005106CA"/>
    <w:rsid w:val="00512F67"/>
    <w:rsid w:val="00515112"/>
    <w:rsid w:val="005171E0"/>
    <w:rsid w:val="005173AB"/>
    <w:rsid w:val="00520DE7"/>
    <w:rsid w:val="00521BEE"/>
    <w:rsid w:val="00523772"/>
    <w:rsid w:val="00523C26"/>
    <w:rsid w:val="005246B0"/>
    <w:rsid w:val="00526D67"/>
    <w:rsid w:val="005271DC"/>
    <w:rsid w:val="00527BF5"/>
    <w:rsid w:val="00530561"/>
    <w:rsid w:val="00530DB0"/>
    <w:rsid w:val="0053190B"/>
    <w:rsid w:val="00531A41"/>
    <w:rsid w:val="00533CAF"/>
    <w:rsid w:val="005349A5"/>
    <w:rsid w:val="00540FF8"/>
    <w:rsid w:val="00541866"/>
    <w:rsid w:val="00541988"/>
    <w:rsid w:val="00543F6A"/>
    <w:rsid w:val="00545562"/>
    <w:rsid w:val="00545BAB"/>
    <w:rsid w:val="00546DC0"/>
    <w:rsid w:val="00547E18"/>
    <w:rsid w:val="0055132B"/>
    <w:rsid w:val="005518E4"/>
    <w:rsid w:val="005521BE"/>
    <w:rsid w:val="00553319"/>
    <w:rsid w:val="005535B5"/>
    <w:rsid w:val="00556984"/>
    <w:rsid w:val="0055711F"/>
    <w:rsid w:val="0056020F"/>
    <w:rsid w:val="00560E0A"/>
    <w:rsid w:val="0056202F"/>
    <w:rsid w:val="005635A9"/>
    <w:rsid w:val="005652EE"/>
    <w:rsid w:val="00565662"/>
    <w:rsid w:val="00567CCD"/>
    <w:rsid w:val="00570628"/>
    <w:rsid w:val="00572182"/>
    <w:rsid w:val="00577BC5"/>
    <w:rsid w:val="005824F1"/>
    <w:rsid w:val="00584382"/>
    <w:rsid w:val="00584DFC"/>
    <w:rsid w:val="00585F22"/>
    <w:rsid w:val="005865EE"/>
    <w:rsid w:val="00587EF6"/>
    <w:rsid w:val="00590630"/>
    <w:rsid w:val="00590E73"/>
    <w:rsid w:val="005916AF"/>
    <w:rsid w:val="00591D8B"/>
    <w:rsid w:val="00591E27"/>
    <w:rsid w:val="005920CB"/>
    <w:rsid w:val="0059272E"/>
    <w:rsid w:val="005933D0"/>
    <w:rsid w:val="00595277"/>
    <w:rsid w:val="005961B9"/>
    <w:rsid w:val="00597117"/>
    <w:rsid w:val="005971AF"/>
    <w:rsid w:val="00597EA7"/>
    <w:rsid w:val="005A0706"/>
    <w:rsid w:val="005A0AFC"/>
    <w:rsid w:val="005A1631"/>
    <w:rsid w:val="005A1E0F"/>
    <w:rsid w:val="005A246F"/>
    <w:rsid w:val="005A29CC"/>
    <w:rsid w:val="005A2FAA"/>
    <w:rsid w:val="005A684D"/>
    <w:rsid w:val="005A799B"/>
    <w:rsid w:val="005B053D"/>
    <w:rsid w:val="005B0833"/>
    <w:rsid w:val="005B2320"/>
    <w:rsid w:val="005B2606"/>
    <w:rsid w:val="005B326D"/>
    <w:rsid w:val="005B3CDC"/>
    <w:rsid w:val="005B3D58"/>
    <w:rsid w:val="005B4611"/>
    <w:rsid w:val="005B5A7D"/>
    <w:rsid w:val="005C0096"/>
    <w:rsid w:val="005C15F7"/>
    <w:rsid w:val="005C1AC5"/>
    <w:rsid w:val="005C32F3"/>
    <w:rsid w:val="005C34CA"/>
    <w:rsid w:val="005C3CF0"/>
    <w:rsid w:val="005C3E1F"/>
    <w:rsid w:val="005C3ECD"/>
    <w:rsid w:val="005C4E5A"/>
    <w:rsid w:val="005D02FC"/>
    <w:rsid w:val="005D119B"/>
    <w:rsid w:val="005D2900"/>
    <w:rsid w:val="005D3512"/>
    <w:rsid w:val="005D3B78"/>
    <w:rsid w:val="005D42A9"/>
    <w:rsid w:val="005D513C"/>
    <w:rsid w:val="005D5304"/>
    <w:rsid w:val="005E0C48"/>
    <w:rsid w:val="005E31AC"/>
    <w:rsid w:val="005E34FD"/>
    <w:rsid w:val="005E58C2"/>
    <w:rsid w:val="005F0581"/>
    <w:rsid w:val="005F1EEB"/>
    <w:rsid w:val="005F5EDA"/>
    <w:rsid w:val="005F608E"/>
    <w:rsid w:val="005F7D0D"/>
    <w:rsid w:val="00601C5A"/>
    <w:rsid w:val="00602E3C"/>
    <w:rsid w:val="00603461"/>
    <w:rsid w:val="006068B4"/>
    <w:rsid w:val="00607B0F"/>
    <w:rsid w:val="00607C87"/>
    <w:rsid w:val="006106CD"/>
    <w:rsid w:val="006116FE"/>
    <w:rsid w:val="00611B90"/>
    <w:rsid w:val="00614293"/>
    <w:rsid w:val="00614FF0"/>
    <w:rsid w:val="00616AB4"/>
    <w:rsid w:val="00617877"/>
    <w:rsid w:val="00617ED1"/>
    <w:rsid w:val="006200F6"/>
    <w:rsid w:val="00620CC0"/>
    <w:rsid w:val="00621840"/>
    <w:rsid w:val="006222FA"/>
    <w:rsid w:val="006224FC"/>
    <w:rsid w:val="00625A7C"/>
    <w:rsid w:val="006260BC"/>
    <w:rsid w:val="00626339"/>
    <w:rsid w:val="00626577"/>
    <w:rsid w:val="0063002E"/>
    <w:rsid w:val="006314BC"/>
    <w:rsid w:val="00631F76"/>
    <w:rsid w:val="006320E9"/>
    <w:rsid w:val="00632B6F"/>
    <w:rsid w:val="006330AD"/>
    <w:rsid w:val="0063782C"/>
    <w:rsid w:val="00637F9C"/>
    <w:rsid w:val="00640595"/>
    <w:rsid w:val="00641968"/>
    <w:rsid w:val="006449C9"/>
    <w:rsid w:val="006461FB"/>
    <w:rsid w:val="00650D65"/>
    <w:rsid w:val="00650D9E"/>
    <w:rsid w:val="006569D7"/>
    <w:rsid w:val="00656DFE"/>
    <w:rsid w:val="00657D8D"/>
    <w:rsid w:val="00660576"/>
    <w:rsid w:val="0066185B"/>
    <w:rsid w:val="00667FF1"/>
    <w:rsid w:val="00670A50"/>
    <w:rsid w:val="0067190E"/>
    <w:rsid w:val="006737F6"/>
    <w:rsid w:val="00673E4A"/>
    <w:rsid w:val="00675784"/>
    <w:rsid w:val="006757CD"/>
    <w:rsid w:val="00676F5C"/>
    <w:rsid w:val="00677483"/>
    <w:rsid w:val="006777EF"/>
    <w:rsid w:val="006817A6"/>
    <w:rsid w:val="0068195E"/>
    <w:rsid w:val="00681D20"/>
    <w:rsid w:val="00681D46"/>
    <w:rsid w:val="00681D62"/>
    <w:rsid w:val="00681ED2"/>
    <w:rsid w:val="006821C2"/>
    <w:rsid w:val="006829CF"/>
    <w:rsid w:val="00684395"/>
    <w:rsid w:val="006843D1"/>
    <w:rsid w:val="00684D06"/>
    <w:rsid w:val="00685DCD"/>
    <w:rsid w:val="0068706A"/>
    <w:rsid w:val="006879C8"/>
    <w:rsid w:val="0068D30D"/>
    <w:rsid w:val="006909E9"/>
    <w:rsid w:val="0069214F"/>
    <w:rsid w:val="006921DD"/>
    <w:rsid w:val="00692C42"/>
    <w:rsid w:val="0069385B"/>
    <w:rsid w:val="00695394"/>
    <w:rsid w:val="0069615E"/>
    <w:rsid w:val="00696F46"/>
    <w:rsid w:val="006A0D78"/>
    <w:rsid w:val="006A18B3"/>
    <w:rsid w:val="006A38AE"/>
    <w:rsid w:val="006A486D"/>
    <w:rsid w:val="006A4AFD"/>
    <w:rsid w:val="006A624D"/>
    <w:rsid w:val="006B0D06"/>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25BB"/>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3821"/>
    <w:rsid w:val="006E789B"/>
    <w:rsid w:val="006E7C4E"/>
    <w:rsid w:val="006F0DD1"/>
    <w:rsid w:val="006F2528"/>
    <w:rsid w:val="006F2D56"/>
    <w:rsid w:val="006F6524"/>
    <w:rsid w:val="006F7D2B"/>
    <w:rsid w:val="0070016B"/>
    <w:rsid w:val="007007A3"/>
    <w:rsid w:val="00700FD8"/>
    <w:rsid w:val="007046C5"/>
    <w:rsid w:val="0070715D"/>
    <w:rsid w:val="00710A26"/>
    <w:rsid w:val="00711792"/>
    <w:rsid w:val="00712EB6"/>
    <w:rsid w:val="00713E95"/>
    <w:rsid w:val="00715220"/>
    <w:rsid w:val="00715222"/>
    <w:rsid w:val="0071549A"/>
    <w:rsid w:val="007173BC"/>
    <w:rsid w:val="007176FE"/>
    <w:rsid w:val="0072076F"/>
    <w:rsid w:val="007211BE"/>
    <w:rsid w:val="00721D27"/>
    <w:rsid w:val="007225C9"/>
    <w:rsid w:val="00725531"/>
    <w:rsid w:val="00726F02"/>
    <w:rsid w:val="00727AFB"/>
    <w:rsid w:val="00727FE7"/>
    <w:rsid w:val="007308FE"/>
    <w:rsid w:val="007310D9"/>
    <w:rsid w:val="00731A13"/>
    <w:rsid w:val="007342E3"/>
    <w:rsid w:val="00734D72"/>
    <w:rsid w:val="007359C7"/>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27B9"/>
    <w:rsid w:val="00762DDE"/>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3E66"/>
    <w:rsid w:val="007847A7"/>
    <w:rsid w:val="00785089"/>
    <w:rsid w:val="0078542D"/>
    <w:rsid w:val="00785DD9"/>
    <w:rsid w:val="0078755A"/>
    <w:rsid w:val="00787E89"/>
    <w:rsid w:val="00794A5E"/>
    <w:rsid w:val="0079570B"/>
    <w:rsid w:val="00796589"/>
    <w:rsid w:val="007A45B7"/>
    <w:rsid w:val="007A6AE5"/>
    <w:rsid w:val="007A6D89"/>
    <w:rsid w:val="007B0346"/>
    <w:rsid w:val="007B2A80"/>
    <w:rsid w:val="007B2B9E"/>
    <w:rsid w:val="007B2E0D"/>
    <w:rsid w:val="007B3563"/>
    <w:rsid w:val="007B6DF2"/>
    <w:rsid w:val="007B6E5B"/>
    <w:rsid w:val="007C2B68"/>
    <w:rsid w:val="007C6787"/>
    <w:rsid w:val="007C7FEB"/>
    <w:rsid w:val="007D0565"/>
    <w:rsid w:val="007D310A"/>
    <w:rsid w:val="007D7E03"/>
    <w:rsid w:val="007E123A"/>
    <w:rsid w:val="007E13DB"/>
    <w:rsid w:val="007E22F7"/>
    <w:rsid w:val="007E2E82"/>
    <w:rsid w:val="007E4009"/>
    <w:rsid w:val="007F08CB"/>
    <w:rsid w:val="007F131A"/>
    <w:rsid w:val="007F13C6"/>
    <w:rsid w:val="007F1E17"/>
    <w:rsid w:val="007F3648"/>
    <w:rsid w:val="007F3717"/>
    <w:rsid w:val="007F3D0C"/>
    <w:rsid w:val="007F45B4"/>
    <w:rsid w:val="007F5DD2"/>
    <w:rsid w:val="007F76C4"/>
    <w:rsid w:val="007F778F"/>
    <w:rsid w:val="00800328"/>
    <w:rsid w:val="00801AAF"/>
    <w:rsid w:val="00801B64"/>
    <w:rsid w:val="00802964"/>
    <w:rsid w:val="00803666"/>
    <w:rsid w:val="0080387B"/>
    <w:rsid w:val="00803A01"/>
    <w:rsid w:val="0080426C"/>
    <w:rsid w:val="0080528F"/>
    <w:rsid w:val="0080731D"/>
    <w:rsid w:val="00812402"/>
    <w:rsid w:val="00812D11"/>
    <w:rsid w:val="00815AAA"/>
    <w:rsid w:val="00815E8F"/>
    <w:rsid w:val="008206F1"/>
    <w:rsid w:val="0082381D"/>
    <w:rsid w:val="008275C6"/>
    <w:rsid w:val="00827E74"/>
    <w:rsid w:val="008303AC"/>
    <w:rsid w:val="008317C5"/>
    <w:rsid w:val="00832955"/>
    <w:rsid w:val="008343F0"/>
    <w:rsid w:val="00835E74"/>
    <w:rsid w:val="00836208"/>
    <w:rsid w:val="0083681E"/>
    <w:rsid w:val="008408B4"/>
    <w:rsid w:val="00841ABD"/>
    <w:rsid w:val="0084253B"/>
    <w:rsid w:val="0084330A"/>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28FD"/>
    <w:rsid w:val="00873BD8"/>
    <w:rsid w:val="00873F9F"/>
    <w:rsid w:val="00875487"/>
    <w:rsid w:val="00880C11"/>
    <w:rsid w:val="00880D1C"/>
    <w:rsid w:val="00884EDC"/>
    <w:rsid w:val="00885FCD"/>
    <w:rsid w:val="008877C7"/>
    <w:rsid w:val="00890C69"/>
    <w:rsid w:val="008916DB"/>
    <w:rsid w:val="0089371E"/>
    <w:rsid w:val="00893728"/>
    <w:rsid w:val="00897EAF"/>
    <w:rsid w:val="008A20E7"/>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17C3"/>
    <w:rsid w:val="008D1FFF"/>
    <w:rsid w:val="008D26F8"/>
    <w:rsid w:val="008D2842"/>
    <w:rsid w:val="008D3E76"/>
    <w:rsid w:val="008D41C5"/>
    <w:rsid w:val="008D6609"/>
    <w:rsid w:val="008E0260"/>
    <w:rsid w:val="008E1BBA"/>
    <w:rsid w:val="008E2BC7"/>
    <w:rsid w:val="008E322E"/>
    <w:rsid w:val="008E5197"/>
    <w:rsid w:val="008E5513"/>
    <w:rsid w:val="008E5FE2"/>
    <w:rsid w:val="008E6833"/>
    <w:rsid w:val="008E6DF0"/>
    <w:rsid w:val="008F0603"/>
    <w:rsid w:val="008F1384"/>
    <w:rsid w:val="008F2C57"/>
    <w:rsid w:val="008F4B41"/>
    <w:rsid w:val="008F511B"/>
    <w:rsid w:val="008F7D2C"/>
    <w:rsid w:val="009009EC"/>
    <w:rsid w:val="00901531"/>
    <w:rsid w:val="00902688"/>
    <w:rsid w:val="00903806"/>
    <w:rsid w:val="00904BD8"/>
    <w:rsid w:val="00906285"/>
    <w:rsid w:val="0090700E"/>
    <w:rsid w:val="00907735"/>
    <w:rsid w:val="00911ADC"/>
    <w:rsid w:val="00911D45"/>
    <w:rsid w:val="009120C5"/>
    <w:rsid w:val="00917632"/>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30F8"/>
    <w:rsid w:val="00943165"/>
    <w:rsid w:val="009440B1"/>
    <w:rsid w:val="00945147"/>
    <w:rsid w:val="009454E1"/>
    <w:rsid w:val="00945CE5"/>
    <w:rsid w:val="00945E04"/>
    <w:rsid w:val="00946E3A"/>
    <w:rsid w:val="00947C6B"/>
    <w:rsid w:val="00947DAB"/>
    <w:rsid w:val="0095149A"/>
    <w:rsid w:val="009521B4"/>
    <w:rsid w:val="0095423E"/>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169"/>
    <w:rsid w:val="00991946"/>
    <w:rsid w:val="009926FC"/>
    <w:rsid w:val="00993967"/>
    <w:rsid w:val="009946F7"/>
    <w:rsid w:val="00995845"/>
    <w:rsid w:val="009969A9"/>
    <w:rsid w:val="00996A51"/>
    <w:rsid w:val="00996BA2"/>
    <w:rsid w:val="009A0101"/>
    <w:rsid w:val="009A1DD5"/>
    <w:rsid w:val="009A20F3"/>
    <w:rsid w:val="009A3D4A"/>
    <w:rsid w:val="009A65D0"/>
    <w:rsid w:val="009A7DCA"/>
    <w:rsid w:val="009A7F54"/>
    <w:rsid w:val="009B1108"/>
    <w:rsid w:val="009B5E5D"/>
    <w:rsid w:val="009B5E74"/>
    <w:rsid w:val="009B7BB9"/>
    <w:rsid w:val="009C33A4"/>
    <w:rsid w:val="009C40EA"/>
    <w:rsid w:val="009C49CC"/>
    <w:rsid w:val="009C73F5"/>
    <w:rsid w:val="009C7BDF"/>
    <w:rsid w:val="009D0583"/>
    <w:rsid w:val="009D0F61"/>
    <w:rsid w:val="009D353C"/>
    <w:rsid w:val="009D533D"/>
    <w:rsid w:val="009D55B4"/>
    <w:rsid w:val="009D64CC"/>
    <w:rsid w:val="009D7D92"/>
    <w:rsid w:val="009E34AE"/>
    <w:rsid w:val="009E3E8D"/>
    <w:rsid w:val="009E4399"/>
    <w:rsid w:val="009E49CA"/>
    <w:rsid w:val="009E60E7"/>
    <w:rsid w:val="009E65F5"/>
    <w:rsid w:val="009E6FFE"/>
    <w:rsid w:val="009F019D"/>
    <w:rsid w:val="009F4052"/>
    <w:rsid w:val="009F66DB"/>
    <w:rsid w:val="009F7C5E"/>
    <w:rsid w:val="00A023F8"/>
    <w:rsid w:val="00A02DDD"/>
    <w:rsid w:val="00A0423B"/>
    <w:rsid w:val="00A0698F"/>
    <w:rsid w:val="00A07653"/>
    <w:rsid w:val="00A10571"/>
    <w:rsid w:val="00A1161C"/>
    <w:rsid w:val="00A12022"/>
    <w:rsid w:val="00A13316"/>
    <w:rsid w:val="00A136DD"/>
    <w:rsid w:val="00A14C8C"/>
    <w:rsid w:val="00A161A8"/>
    <w:rsid w:val="00A20692"/>
    <w:rsid w:val="00A24316"/>
    <w:rsid w:val="00A254CF"/>
    <w:rsid w:val="00A26E31"/>
    <w:rsid w:val="00A3167F"/>
    <w:rsid w:val="00A3350E"/>
    <w:rsid w:val="00A349BC"/>
    <w:rsid w:val="00A3501B"/>
    <w:rsid w:val="00A358EC"/>
    <w:rsid w:val="00A36579"/>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1551"/>
    <w:rsid w:val="00A61DE1"/>
    <w:rsid w:val="00A62128"/>
    <w:rsid w:val="00A623E0"/>
    <w:rsid w:val="00A62991"/>
    <w:rsid w:val="00A62B93"/>
    <w:rsid w:val="00A6446F"/>
    <w:rsid w:val="00A64CED"/>
    <w:rsid w:val="00A650E2"/>
    <w:rsid w:val="00A66196"/>
    <w:rsid w:val="00A66651"/>
    <w:rsid w:val="00A67AF0"/>
    <w:rsid w:val="00A67F78"/>
    <w:rsid w:val="00A70976"/>
    <w:rsid w:val="00A71CD2"/>
    <w:rsid w:val="00A734E7"/>
    <w:rsid w:val="00A76FE3"/>
    <w:rsid w:val="00A80FCF"/>
    <w:rsid w:val="00A813D3"/>
    <w:rsid w:val="00A82F6B"/>
    <w:rsid w:val="00A8723E"/>
    <w:rsid w:val="00A8797E"/>
    <w:rsid w:val="00A90970"/>
    <w:rsid w:val="00A928FF"/>
    <w:rsid w:val="00A94005"/>
    <w:rsid w:val="00A9433D"/>
    <w:rsid w:val="00A95CB6"/>
    <w:rsid w:val="00A95D1D"/>
    <w:rsid w:val="00A96796"/>
    <w:rsid w:val="00A9789C"/>
    <w:rsid w:val="00AA038F"/>
    <w:rsid w:val="00AA1864"/>
    <w:rsid w:val="00AA21D3"/>
    <w:rsid w:val="00AA21F5"/>
    <w:rsid w:val="00AA2D82"/>
    <w:rsid w:val="00AA5008"/>
    <w:rsid w:val="00AA7C1B"/>
    <w:rsid w:val="00AB129C"/>
    <w:rsid w:val="00AB3613"/>
    <w:rsid w:val="00AB7A63"/>
    <w:rsid w:val="00AC0CBB"/>
    <w:rsid w:val="00AC2A80"/>
    <w:rsid w:val="00AC5231"/>
    <w:rsid w:val="00AC5E67"/>
    <w:rsid w:val="00AC64A0"/>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3DC"/>
    <w:rsid w:val="00AE7710"/>
    <w:rsid w:val="00AF2CE8"/>
    <w:rsid w:val="00AF704D"/>
    <w:rsid w:val="00AF7CEE"/>
    <w:rsid w:val="00AF7F6F"/>
    <w:rsid w:val="00B0265A"/>
    <w:rsid w:val="00B04A14"/>
    <w:rsid w:val="00B05053"/>
    <w:rsid w:val="00B056CC"/>
    <w:rsid w:val="00B058B6"/>
    <w:rsid w:val="00B075D7"/>
    <w:rsid w:val="00B13AB1"/>
    <w:rsid w:val="00B14AB5"/>
    <w:rsid w:val="00B14D9C"/>
    <w:rsid w:val="00B155FE"/>
    <w:rsid w:val="00B15A4C"/>
    <w:rsid w:val="00B17819"/>
    <w:rsid w:val="00B2202B"/>
    <w:rsid w:val="00B221B5"/>
    <w:rsid w:val="00B22BD9"/>
    <w:rsid w:val="00B2454C"/>
    <w:rsid w:val="00B2544B"/>
    <w:rsid w:val="00B32682"/>
    <w:rsid w:val="00B33638"/>
    <w:rsid w:val="00B33C05"/>
    <w:rsid w:val="00B34A94"/>
    <w:rsid w:val="00B35B95"/>
    <w:rsid w:val="00B36150"/>
    <w:rsid w:val="00B40D0E"/>
    <w:rsid w:val="00B41B58"/>
    <w:rsid w:val="00B43A9F"/>
    <w:rsid w:val="00B44127"/>
    <w:rsid w:val="00B46352"/>
    <w:rsid w:val="00B51261"/>
    <w:rsid w:val="00B54171"/>
    <w:rsid w:val="00B56CB1"/>
    <w:rsid w:val="00B60534"/>
    <w:rsid w:val="00B6124E"/>
    <w:rsid w:val="00B622E5"/>
    <w:rsid w:val="00B62D08"/>
    <w:rsid w:val="00B63DA3"/>
    <w:rsid w:val="00B63EBC"/>
    <w:rsid w:val="00B6763B"/>
    <w:rsid w:val="00B70AB8"/>
    <w:rsid w:val="00B70FE4"/>
    <w:rsid w:val="00B72569"/>
    <w:rsid w:val="00B7456C"/>
    <w:rsid w:val="00B7458D"/>
    <w:rsid w:val="00B745F4"/>
    <w:rsid w:val="00B75545"/>
    <w:rsid w:val="00B762E2"/>
    <w:rsid w:val="00B771CD"/>
    <w:rsid w:val="00B8241D"/>
    <w:rsid w:val="00B843B9"/>
    <w:rsid w:val="00B8447F"/>
    <w:rsid w:val="00B84AD1"/>
    <w:rsid w:val="00B850B8"/>
    <w:rsid w:val="00B85AD1"/>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2A34"/>
    <w:rsid w:val="00BB4D90"/>
    <w:rsid w:val="00BB5D94"/>
    <w:rsid w:val="00BB79F6"/>
    <w:rsid w:val="00BC03B1"/>
    <w:rsid w:val="00BC19CC"/>
    <w:rsid w:val="00BC2001"/>
    <w:rsid w:val="00BC24BF"/>
    <w:rsid w:val="00BC4B9F"/>
    <w:rsid w:val="00BC6D2B"/>
    <w:rsid w:val="00BC74C4"/>
    <w:rsid w:val="00BD2A9C"/>
    <w:rsid w:val="00BD2E25"/>
    <w:rsid w:val="00BD37C8"/>
    <w:rsid w:val="00BD3CEA"/>
    <w:rsid w:val="00BD4776"/>
    <w:rsid w:val="00BD63FF"/>
    <w:rsid w:val="00BD6602"/>
    <w:rsid w:val="00BD6AF3"/>
    <w:rsid w:val="00BD7229"/>
    <w:rsid w:val="00BD7C49"/>
    <w:rsid w:val="00BD7F31"/>
    <w:rsid w:val="00BE00CC"/>
    <w:rsid w:val="00BE055D"/>
    <w:rsid w:val="00BE0A4E"/>
    <w:rsid w:val="00BE0DA4"/>
    <w:rsid w:val="00BE0F9D"/>
    <w:rsid w:val="00BE2602"/>
    <w:rsid w:val="00BE354F"/>
    <w:rsid w:val="00BE3FC6"/>
    <w:rsid w:val="00BE4BAC"/>
    <w:rsid w:val="00BE530F"/>
    <w:rsid w:val="00BE5712"/>
    <w:rsid w:val="00BE7750"/>
    <w:rsid w:val="00BE7819"/>
    <w:rsid w:val="00BF007B"/>
    <w:rsid w:val="00BF099A"/>
    <w:rsid w:val="00BF4035"/>
    <w:rsid w:val="00BF48C3"/>
    <w:rsid w:val="00BF5E09"/>
    <w:rsid w:val="00BF7707"/>
    <w:rsid w:val="00C00710"/>
    <w:rsid w:val="00C012D1"/>
    <w:rsid w:val="00C01545"/>
    <w:rsid w:val="00C0256F"/>
    <w:rsid w:val="00C02772"/>
    <w:rsid w:val="00C03BE7"/>
    <w:rsid w:val="00C063C3"/>
    <w:rsid w:val="00C10ED3"/>
    <w:rsid w:val="00C1143E"/>
    <w:rsid w:val="00C11940"/>
    <w:rsid w:val="00C12BFF"/>
    <w:rsid w:val="00C13291"/>
    <w:rsid w:val="00C13FAE"/>
    <w:rsid w:val="00C16149"/>
    <w:rsid w:val="00C21016"/>
    <w:rsid w:val="00C21761"/>
    <w:rsid w:val="00C2238F"/>
    <w:rsid w:val="00C224F5"/>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4762E"/>
    <w:rsid w:val="00C50404"/>
    <w:rsid w:val="00C5054A"/>
    <w:rsid w:val="00C52FED"/>
    <w:rsid w:val="00C5351F"/>
    <w:rsid w:val="00C53734"/>
    <w:rsid w:val="00C539FB"/>
    <w:rsid w:val="00C53C2A"/>
    <w:rsid w:val="00C566FB"/>
    <w:rsid w:val="00C56FEF"/>
    <w:rsid w:val="00C56FF4"/>
    <w:rsid w:val="00C61227"/>
    <w:rsid w:val="00C6157D"/>
    <w:rsid w:val="00C61D07"/>
    <w:rsid w:val="00C62668"/>
    <w:rsid w:val="00C63C88"/>
    <w:rsid w:val="00C64C54"/>
    <w:rsid w:val="00C65238"/>
    <w:rsid w:val="00C70F04"/>
    <w:rsid w:val="00C72068"/>
    <w:rsid w:val="00C74E0F"/>
    <w:rsid w:val="00C75D5A"/>
    <w:rsid w:val="00C75E27"/>
    <w:rsid w:val="00C7666C"/>
    <w:rsid w:val="00C768D3"/>
    <w:rsid w:val="00C770F2"/>
    <w:rsid w:val="00C776A0"/>
    <w:rsid w:val="00C8266F"/>
    <w:rsid w:val="00C83548"/>
    <w:rsid w:val="00C86437"/>
    <w:rsid w:val="00C86618"/>
    <w:rsid w:val="00C86EA4"/>
    <w:rsid w:val="00C87225"/>
    <w:rsid w:val="00C872F4"/>
    <w:rsid w:val="00C87909"/>
    <w:rsid w:val="00C91648"/>
    <w:rsid w:val="00C9408B"/>
    <w:rsid w:val="00C950DD"/>
    <w:rsid w:val="00C95900"/>
    <w:rsid w:val="00C97321"/>
    <w:rsid w:val="00CA0692"/>
    <w:rsid w:val="00CA0CEB"/>
    <w:rsid w:val="00CA1438"/>
    <w:rsid w:val="00CA1C2C"/>
    <w:rsid w:val="00CA3468"/>
    <w:rsid w:val="00CA629D"/>
    <w:rsid w:val="00CA6D70"/>
    <w:rsid w:val="00CA7B88"/>
    <w:rsid w:val="00CB01DA"/>
    <w:rsid w:val="00CB07DE"/>
    <w:rsid w:val="00CB09E7"/>
    <w:rsid w:val="00CB1A82"/>
    <w:rsid w:val="00CB3696"/>
    <w:rsid w:val="00CB4082"/>
    <w:rsid w:val="00CB459B"/>
    <w:rsid w:val="00CB571B"/>
    <w:rsid w:val="00CB6F27"/>
    <w:rsid w:val="00CB7E48"/>
    <w:rsid w:val="00CB7FE1"/>
    <w:rsid w:val="00CC075B"/>
    <w:rsid w:val="00CC0866"/>
    <w:rsid w:val="00CC0CAD"/>
    <w:rsid w:val="00CC18D6"/>
    <w:rsid w:val="00CC24D0"/>
    <w:rsid w:val="00CC4689"/>
    <w:rsid w:val="00CC54EB"/>
    <w:rsid w:val="00CC703F"/>
    <w:rsid w:val="00CC706B"/>
    <w:rsid w:val="00CC73DD"/>
    <w:rsid w:val="00CC7777"/>
    <w:rsid w:val="00CD0671"/>
    <w:rsid w:val="00CD06BE"/>
    <w:rsid w:val="00CD0F03"/>
    <w:rsid w:val="00CD1AC2"/>
    <w:rsid w:val="00CD1AD4"/>
    <w:rsid w:val="00CD1BD7"/>
    <w:rsid w:val="00CD1DE1"/>
    <w:rsid w:val="00CD2095"/>
    <w:rsid w:val="00CD45B0"/>
    <w:rsid w:val="00CE01FC"/>
    <w:rsid w:val="00CE0F40"/>
    <w:rsid w:val="00CE1608"/>
    <w:rsid w:val="00CE4C8C"/>
    <w:rsid w:val="00CE5744"/>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1009"/>
    <w:rsid w:val="00D12DA6"/>
    <w:rsid w:val="00D14F38"/>
    <w:rsid w:val="00D1616F"/>
    <w:rsid w:val="00D16D89"/>
    <w:rsid w:val="00D226F1"/>
    <w:rsid w:val="00D23D8F"/>
    <w:rsid w:val="00D23FED"/>
    <w:rsid w:val="00D258D9"/>
    <w:rsid w:val="00D3076A"/>
    <w:rsid w:val="00D30DEE"/>
    <w:rsid w:val="00D31737"/>
    <w:rsid w:val="00D33705"/>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A8A"/>
    <w:rsid w:val="00D65C55"/>
    <w:rsid w:val="00D661F0"/>
    <w:rsid w:val="00D6691A"/>
    <w:rsid w:val="00D72777"/>
    <w:rsid w:val="00D7299C"/>
    <w:rsid w:val="00D73002"/>
    <w:rsid w:val="00D7302C"/>
    <w:rsid w:val="00D77DDB"/>
    <w:rsid w:val="00D8222A"/>
    <w:rsid w:val="00D843D9"/>
    <w:rsid w:val="00D84846"/>
    <w:rsid w:val="00D86367"/>
    <w:rsid w:val="00D86A94"/>
    <w:rsid w:val="00D870CF"/>
    <w:rsid w:val="00D90B5A"/>
    <w:rsid w:val="00D916FA"/>
    <w:rsid w:val="00D91A99"/>
    <w:rsid w:val="00D92214"/>
    <w:rsid w:val="00D92384"/>
    <w:rsid w:val="00D925F7"/>
    <w:rsid w:val="00D9414C"/>
    <w:rsid w:val="00D96195"/>
    <w:rsid w:val="00D968BE"/>
    <w:rsid w:val="00DA143F"/>
    <w:rsid w:val="00DA15B5"/>
    <w:rsid w:val="00DA1682"/>
    <w:rsid w:val="00DA30F4"/>
    <w:rsid w:val="00DA363F"/>
    <w:rsid w:val="00DA4434"/>
    <w:rsid w:val="00DA488F"/>
    <w:rsid w:val="00DA4FBC"/>
    <w:rsid w:val="00DA547D"/>
    <w:rsid w:val="00DA6CEE"/>
    <w:rsid w:val="00DA72D2"/>
    <w:rsid w:val="00DB02A9"/>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D0EAE"/>
    <w:rsid w:val="00DD1BB1"/>
    <w:rsid w:val="00DD1EE7"/>
    <w:rsid w:val="00DD25C1"/>
    <w:rsid w:val="00DD30E6"/>
    <w:rsid w:val="00DD3916"/>
    <w:rsid w:val="00DD7C34"/>
    <w:rsid w:val="00DD7FD1"/>
    <w:rsid w:val="00DE084E"/>
    <w:rsid w:val="00DE1B2C"/>
    <w:rsid w:val="00DE4C96"/>
    <w:rsid w:val="00DE7A5C"/>
    <w:rsid w:val="00DE7C03"/>
    <w:rsid w:val="00DF1268"/>
    <w:rsid w:val="00DF1E55"/>
    <w:rsid w:val="00DF5E25"/>
    <w:rsid w:val="00DF63FB"/>
    <w:rsid w:val="00DF7F4C"/>
    <w:rsid w:val="00E012DF"/>
    <w:rsid w:val="00E02497"/>
    <w:rsid w:val="00E02EEE"/>
    <w:rsid w:val="00E0335A"/>
    <w:rsid w:val="00E039B7"/>
    <w:rsid w:val="00E03AA3"/>
    <w:rsid w:val="00E049D4"/>
    <w:rsid w:val="00E04BAA"/>
    <w:rsid w:val="00E055C2"/>
    <w:rsid w:val="00E07128"/>
    <w:rsid w:val="00E12802"/>
    <w:rsid w:val="00E13207"/>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31E"/>
    <w:rsid w:val="00E41BFB"/>
    <w:rsid w:val="00E42061"/>
    <w:rsid w:val="00E424F3"/>
    <w:rsid w:val="00E4406D"/>
    <w:rsid w:val="00E440AB"/>
    <w:rsid w:val="00E449FD"/>
    <w:rsid w:val="00E46055"/>
    <w:rsid w:val="00E46CB1"/>
    <w:rsid w:val="00E501C9"/>
    <w:rsid w:val="00E5484A"/>
    <w:rsid w:val="00E55CD7"/>
    <w:rsid w:val="00E561AD"/>
    <w:rsid w:val="00E56767"/>
    <w:rsid w:val="00E601EF"/>
    <w:rsid w:val="00E60670"/>
    <w:rsid w:val="00E60EB9"/>
    <w:rsid w:val="00E61389"/>
    <w:rsid w:val="00E632CB"/>
    <w:rsid w:val="00E63B72"/>
    <w:rsid w:val="00E63B79"/>
    <w:rsid w:val="00E71F61"/>
    <w:rsid w:val="00E72811"/>
    <w:rsid w:val="00E72CB2"/>
    <w:rsid w:val="00E73AD4"/>
    <w:rsid w:val="00E81967"/>
    <w:rsid w:val="00E82306"/>
    <w:rsid w:val="00E823A7"/>
    <w:rsid w:val="00E832D7"/>
    <w:rsid w:val="00E83D72"/>
    <w:rsid w:val="00E8589D"/>
    <w:rsid w:val="00E86D49"/>
    <w:rsid w:val="00E8721F"/>
    <w:rsid w:val="00E92BE7"/>
    <w:rsid w:val="00E942CF"/>
    <w:rsid w:val="00E943EC"/>
    <w:rsid w:val="00E94D1D"/>
    <w:rsid w:val="00E97147"/>
    <w:rsid w:val="00E97430"/>
    <w:rsid w:val="00E978B6"/>
    <w:rsid w:val="00E97B76"/>
    <w:rsid w:val="00EA0D4A"/>
    <w:rsid w:val="00EA0EF7"/>
    <w:rsid w:val="00EA1037"/>
    <w:rsid w:val="00EA1F58"/>
    <w:rsid w:val="00EA29C4"/>
    <w:rsid w:val="00EA2DF8"/>
    <w:rsid w:val="00EA375F"/>
    <w:rsid w:val="00EA435E"/>
    <w:rsid w:val="00EA5289"/>
    <w:rsid w:val="00EA5C30"/>
    <w:rsid w:val="00EA626E"/>
    <w:rsid w:val="00EB26A0"/>
    <w:rsid w:val="00EB382B"/>
    <w:rsid w:val="00EB5F9F"/>
    <w:rsid w:val="00EC00A2"/>
    <w:rsid w:val="00EC0376"/>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DAE"/>
    <w:rsid w:val="00EE1E12"/>
    <w:rsid w:val="00EE2213"/>
    <w:rsid w:val="00EE34BB"/>
    <w:rsid w:val="00EE3EB9"/>
    <w:rsid w:val="00EE444B"/>
    <w:rsid w:val="00EE5EA4"/>
    <w:rsid w:val="00EF002E"/>
    <w:rsid w:val="00EF14BD"/>
    <w:rsid w:val="00EF1F5B"/>
    <w:rsid w:val="00EF22AA"/>
    <w:rsid w:val="00EF4EF8"/>
    <w:rsid w:val="00EF5F48"/>
    <w:rsid w:val="00EF6820"/>
    <w:rsid w:val="00EF717B"/>
    <w:rsid w:val="00F01437"/>
    <w:rsid w:val="00F01A63"/>
    <w:rsid w:val="00F01C3C"/>
    <w:rsid w:val="00F05220"/>
    <w:rsid w:val="00F05815"/>
    <w:rsid w:val="00F06549"/>
    <w:rsid w:val="00F1118B"/>
    <w:rsid w:val="00F11762"/>
    <w:rsid w:val="00F153EF"/>
    <w:rsid w:val="00F22077"/>
    <w:rsid w:val="00F224A0"/>
    <w:rsid w:val="00F249DA"/>
    <w:rsid w:val="00F26244"/>
    <w:rsid w:val="00F26645"/>
    <w:rsid w:val="00F314E1"/>
    <w:rsid w:val="00F33AE7"/>
    <w:rsid w:val="00F34521"/>
    <w:rsid w:val="00F3505B"/>
    <w:rsid w:val="00F35767"/>
    <w:rsid w:val="00F357B2"/>
    <w:rsid w:val="00F3632E"/>
    <w:rsid w:val="00F37865"/>
    <w:rsid w:val="00F40920"/>
    <w:rsid w:val="00F40BBC"/>
    <w:rsid w:val="00F4169D"/>
    <w:rsid w:val="00F47184"/>
    <w:rsid w:val="00F53DB5"/>
    <w:rsid w:val="00F56068"/>
    <w:rsid w:val="00F57CC6"/>
    <w:rsid w:val="00F6044E"/>
    <w:rsid w:val="00F62EC5"/>
    <w:rsid w:val="00F632DF"/>
    <w:rsid w:val="00F6478D"/>
    <w:rsid w:val="00F71CAC"/>
    <w:rsid w:val="00F71FDE"/>
    <w:rsid w:val="00F72867"/>
    <w:rsid w:val="00F73CB9"/>
    <w:rsid w:val="00F7556A"/>
    <w:rsid w:val="00F75868"/>
    <w:rsid w:val="00F76EE9"/>
    <w:rsid w:val="00F805AE"/>
    <w:rsid w:val="00F8132B"/>
    <w:rsid w:val="00F90893"/>
    <w:rsid w:val="00F92C4C"/>
    <w:rsid w:val="00F93A93"/>
    <w:rsid w:val="00F9424C"/>
    <w:rsid w:val="00F946AB"/>
    <w:rsid w:val="00F95FB2"/>
    <w:rsid w:val="00F97910"/>
    <w:rsid w:val="00FA054E"/>
    <w:rsid w:val="00FA31A9"/>
    <w:rsid w:val="00FA3BFF"/>
    <w:rsid w:val="00FA4634"/>
    <w:rsid w:val="00FA5AA9"/>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D15"/>
    <w:rsid w:val="00FC7DF0"/>
    <w:rsid w:val="00FD3C21"/>
    <w:rsid w:val="00FD3F05"/>
    <w:rsid w:val="00FD46EE"/>
    <w:rsid w:val="00FD65B4"/>
    <w:rsid w:val="00FD7247"/>
    <w:rsid w:val="00FE0ACB"/>
    <w:rsid w:val="00FE0CFB"/>
    <w:rsid w:val="00FE12D5"/>
    <w:rsid w:val="00FE2CD2"/>
    <w:rsid w:val="00FE30F2"/>
    <w:rsid w:val="00FE32C3"/>
    <w:rsid w:val="00FE5F63"/>
    <w:rsid w:val="00FE6C0F"/>
    <w:rsid w:val="00FE7686"/>
    <w:rsid w:val="00FF0720"/>
    <w:rsid w:val="00FF13AD"/>
    <w:rsid w:val="00FF17E5"/>
    <w:rsid w:val="00FF30FF"/>
    <w:rsid w:val="00FF3A69"/>
    <w:rsid w:val="00FF50AB"/>
    <w:rsid w:val="00FF603C"/>
    <w:rsid w:val="00FF6CB2"/>
    <w:rsid w:val="010C1112"/>
    <w:rsid w:val="029C2633"/>
    <w:rsid w:val="03532116"/>
    <w:rsid w:val="03F51677"/>
    <w:rsid w:val="03F69F1A"/>
    <w:rsid w:val="05919A2D"/>
    <w:rsid w:val="05E9152B"/>
    <w:rsid w:val="06379433"/>
    <w:rsid w:val="063D6843"/>
    <w:rsid w:val="066432AC"/>
    <w:rsid w:val="069B7ADC"/>
    <w:rsid w:val="06BE6BE2"/>
    <w:rsid w:val="06FE8B66"/>
    <w:rsid w:val="0739E6C6"/>
    <w:rsid w:val="0763136A"/>
    <w:rsid w:val="07A6191C"/>
    <w:rsid w:val="07ABBEBB"/>
    <w:rsid w:val="07BA705A"/>
    <w:rsid w:val="0907052C"/>
    <w:rsid w:val="098051AA"/>
    <w:rsid w:val="0A24B9C4"/>
    <w:rsid w:val="0A613950"/>
    <w:rsid w:val="0A700B55"/>
    <w:rsid w:val="0B0022D9"/>
    <w:rsid w:val="0B48D58A"/>
    <w:rsid w:val="0C5E71B7"/>
    <w:rsid w:val="0C689E27"/>
    <w:rsid w:val="0C6C4946"/>
    <w:rsid w:val="0C85BE5D"/>
    <w:rsid w:val="0C9FAC85"/>
    <w:rsid w:val="0CB1253A"/>
    <w:rsid w:val="0DE04A9F"/>
    <w:rsid w:val="0E6BB81D"/>
    <w:rsid w:val="0E967858"/>
    <w:rsid w:val="0F03D9E1"/>
    <w:rsid w:val="0F3B75E8"/>
    <w:rsid w:val="0F95990C"/>
    <w:rsid w:val="0FD4C9D7"/>
    <w:rsid w:val="10A4A11E"/>
    <w:rsid w:val="10FB2C97"/>
    <w:rsid w:val="1112F309"/>
    <w:rsid w:val="1114BA4E"/>
    <w:rsid w:val="112C6B7A"/>
    <w:rsid w:val="11DD2B83"/>
    <w:rsid w:val="12008149"/>
    <w:rsid w:val="123EFD2F"/>
    <w:rsid w:val="1323E382"/>
    <w:rsid w:val="13A3A09E"/>
    <w:rsid w:val="13A79940"/>
    <w:rsid w:val="13F426FA"/>
    <w:rsid w:val="142D8494"/>
    <w:rsid w:val="1486A01F"/>
    <w:rsid w:val="15270E72"/>
    <w:rsid w:val="15A58401"/>
    <w:rsid w:val="16287004"/>
    <w:rsid w:val="166F4922"/>
    <w:rsid w:val="17131A31"/>
    <w:rsid w:val="17C27382"/>
    <w:rsid w:val="17DC55AF"/>
    <w:rsid w:val="17FEF9E5"/>
    <w:rsid w:val="18B57E3D"/>
    <w:rsid w:val="19667954"/>
    <w:rsid w:val="19E6C14B"/>
    <w:rsid w:val="1AC17C3A"/>
    <w:rsid w:val="1ADA31FC"/>
    <w:rsid w:val="1B284C5D"/>
    <w:rsid w:val="1B597A7E"/>
    <w:rsid w:val="1BB71A66"/>
    <w:rsid w:val="1BD611AD"/>
    <w:rsid w:val="1CE469A7"/>
    <w:rsid w:val="1D481232"/>
    <w:rsid w:val="1DD9EF3C"/>
    <w:rsid w:val="1DF69EC9"/>
    <w:rsid w:val="1E25FE9E"/>
    <w:rsid w:val="1EBF714E"/>
    <w:rsid w:val="1F152BF5"/>
    <w:rsid w:val="1F6DAFD8"/>
    <w:rsid w:val="1F84CC11"/>
    <w:rsid w:val="20BD1B28"/>
    <w:rsid w:val="218F7423"/>
    <w:rsid w:val="21A055E4"/>
    <w:rsid w:val="21CD325D"/>
    <w:rsid w:val="21F176C3"/>
    <w:rsid w:val="22B2E273"/>
    <w:rsid w:val="244B8BA3"/>
    <w:rsid w:val="247593E9"/>
    <w:rsid w:val="2482AB30"/>
    <w:rsid w:val="24866881"/>
    <w:rsid w:val="24CA6B4B"/>
    <w:rsid w:val="25167A99"/>
    <w:rsid w:val="256E7D1F"/>
    <w:rsid w:val="266D0E36"/>
    <w:rsid w:val="2705F438"/>
    <w:rsid w:val="29171280"/>
    <w:rsid w:val="291EB04C"/>
    <w:rsid w:val="29AF17E1"/>
    <w:rsid w:val="29E24B52"/>
    <w:rsid w:val="2AB2F450"/>
    <w:rsid w:val="2AB70C23"/>
    <w:rsid w:val="2AEB4A54"/>
    <w:rsid w:val="2B04FDB1"/>
    <w:rsid w:val="2B1AC7DC"/>
    <w:rsid w:val="2BEF2B23"/>
    <w:rsid w:val="2CC507A0"/>
    <w:rsid w:val="2CE0FEC2"/>
    <w:rsid w:val="2CF1AE67"/>
    <w:rsid w:val="2D99E544"/>
    <w:rsid w:val="2DEB2C8A"/>
    <w:rsid w:val="2E2AB90F"/>
    <w:rsid w:val="2E3CCF42"/>
    <w:rsid w:val="2E8E4643"/>
    <w:rsid w:val="2EE8C294"/>
    <w:rsid w:val="2F7661F3"/>
    <w:rsid w:val="2FA6F2C0"/>
    <w:rsid w:val="30B89212"/>
    <w:rsid w:val="30FC3356"/>
    <w:rsid w:val="3192DD79"/>
    <w:rsid w:val="3205A40E"/>
    <w:rsid w:val="320BC70F"/>
    <w:rsid w:val="32158470"/>
    <w:rsid w:val="32C1C859"/>
    <w:rsid w:val="33059570"/>
    <w:rsid w:val="33985B12"/>
    <w:rsid w:val="33E5B4FB"/>
    <w:rsid w:val="34DFCB06"/>
    <w:rsid w:val="34E998B1"/>
    <w:rsid w:val="34F06E92"/>
    <w:rsid w:val="3518770D"/>
    <w:rsid w:val="351F2960"/>
    <w:rsid w:val="3569ECBC"/>
    <w:rsid w:val="35821FBB"/>
    <w:rsid w:val="358BCD3F"/>
    <w:rsid w:val="3630E3D9"/>
    <w:rsid w:val="36C1AD60"/>
    <w:rsid w:val="36E718BD"/>
    <w:rsid w:val="3782F5BA"/>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87623C5"/>
    <w:rsid w:val="4909FF02"/>
    <w:rsid w:val="4936E5BF"/>
    <w:rsid w:val="4A1DDAEB"/>
    <w:rsid w:val="4A4DD050"/>
    <w:rsid w:val="4AA1AE5E"/>
    <w:rsid w:val="4B71E956"/>
    <w:rsid w:val="4C05280B"/>
    <w:rsid w:val="4C2A1218"/>
    <w:rsid w:val="4C8918ED"/>
    <w:rsid w:val="4D05D725"/>
    <w:rsid w:val="4D0967CF"/>
    <w:rsid w:val="4D65BC3A"/>
    <w:rsid w:val="4D8EC441"/>
    <w:rsid w:val="4DBA415A"/>
    <w:rsid w:val="4DE0175B"/>
    <w:rsid w:val="4E12A658"/>
    <w:rsid w:val="4E2B0E51"/>
    <w:rsid w:val="4EDF1A41"/>
    <w:rsid w:val="4EF92727"/>
    <w:rsid w:val="4F9EA472"/>
    <w:rsid w:val="4FCC0AD1"/>
    <w:rsid w:val="5018C294"/>
    <w:rsid w:val="510D766F"/>
    <w:rsid w:val="51115786"/>
    <w:rsid w:val="526362D6"/>
    <w:rsid w:val="527DC273"/>
    <w:rsid w:val="52CC3B59"/>
    <w:rsid w:val="5369F3F4"/>
    <w:rsid w:val="537A5530"/>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F03726"/>
    <w:rsid w:val="5B67C7D7"/>
    <w:rsid w:val="5C24D288"/>
    <w:rsid w:val="5C6F8BC2"/>
    <w:rsid w:val="5CE41D62"/>
    <w:rsid w:val="5CEFEC53"/>
    <w:rsid w:val="5DC4A04A"/>
    <w:rsid w:val="5E4023AB"/>
    <w:rsid w:val="5E7D70E4"/>
    <w:rsid w:val="5E97B0CB"/>
    <w:rsid w:val="5F62B1B6"/>
    <w:rsid w:val="5FAE97D8"/>
    <w:rsid w:val="5FD35E9D"/>
    <w:rsid w:val="600DB829"/>
    <w:rsid w:val="6079877E"/>
    <w:rsid w:val="62456E77"/>
    <w:rsid w:val="62BE2085"/>
    <w:rsid w:val="62C9B2EA"/>
    <w:rsid w:val="631FEBC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8DB40FC"/>
    <w:rsid w:val="691A7037"/>
    <w:rsid w:val="6924D4D1"/>
    <w:rsid w:val="6987D822"/>
    <w:rsid w:val="6A66705C"/>
    <w:rsid w:val="6AB03904"/>
    <w:rsid w:val="6ABC4D12"/>
    <w:rsid w:val="6B3C2582"/>
    <w:rsid w:val="6B5B80CE"/>
    <w:rsid w:val="6BF9886D"/>
    <w:rsid w:val="6C7E551B"/>
    <w:rsid w:val="6D488CFE"/>
    <w:rsid w:val="6D92290A"/>
    <w:rsid w:val="6DC8581C"/>
    <w:rsid w:val="6DE954D4"/>
    <w:rsid w:val="6E235B12"/>
    <w:rsid w:val="702EE3C2"/>
    <w:rsid w:val="70481CF2"/>
    <w:rsid w:val="70A625F7"/>
    <w:rsid w:val="70C006E6"/>
    <w:rsid w:val="7193A06A"/>
    <w:rsid w:val="71C31FE3"/>
    <w:rsid w:val="724E9FAD"/>
    <w:rsid w:val="727A167A"/>
    <w:rsid w:val="72AFD5C4"/>
    <w:rsid w:val="72F6ECCE"/>
    <w:rsid w:val="730FCCFB"/>
    <w:rsid w:val="73BF3F6F"/>
    <w:rsid w:val="73C5D9BC"/>
    <w:rsid w:val="73F401F8"/>
    <w:rsid w:val="74B9DF17"/>
    <w:rsid w:val="75207B8F"/>
    <w:rsid w:val="75BE7B32"/>
    <w:rsid w:val="75E7E8C2"/>
    <w:rsid w:val="766E7AF6"/>
    <w:rsid w:val="76825172"/>
    <w:rsid w:val="76B67B90"/>
    <w:rsid w:val="77316144"/>
    <w:rsid w:val="77359BF2"/>
    <w:rsid w:val="77446A4A"/>
    <w:rsid w:val="777ECC86"/>
    <w:rsid w:val="77D2CA7A"/>
    <w:rsid w:val="78206F1E"/>
    <w:rsid w:val="784B72B7"/>
    <w:rsid w:val="7929D98B"/>
    <w:rsid w:val="79B17F01"/>
    <w:rsid w:val="79BEC7F1"/>
    <w:rsid w:val="79CB34D5"/>
    <w:rsid w:val="7A6AF975"/>
    <w:rsid w:val="7B254AC1"/>
    <w:rsid w:val="7B51F349"/>
    <w:rsid w:val="7BAD7C19"/>
    <w:rsid w:val="7BEE4526"/>
    <w:rsid w:val="7C297149"/>
    <w:rsid w:val="7C97CD75"/>
    <w:rsid w:val="7D073C85"/>
    <w:rsid w:val="7D0CF5E0"/>
    <w:rsid w:val="7DA9163B"/>
    <w:rsid w:val="7DEED1A8"/>
    <w:rsid w:val="7E030E9E"/>
    <w:rsid w:val="7E1955CF"/>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 w:type="paragraph" w:styleId="Vltozat">
    <w:name w:val="Revision"/>
    <w:hidden/>
    <w:uiPriority w:val="99"/>
    <w:semiHidden/>
    <w:rsid w:val="0016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457265896">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774401931">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50AF-6A38-4D56-A55D-D65BA869B7B4}">
  <ds:schemaRefs>
    <ds:schemaRef ds:uri="http://schemas.openxmlformats.org/officeDocument/2006/bibliography"/>
  </ds:schemaRefs>
</ds:datastoreItem>
</file>

<file path=customXml/itemProps2.xml><?xml version="1.0" encoding="utf-8"?>
<ds:datastoreItem xmlns:ds="http://schemas.openxmlformats.org/officeDocument/2006/customXml" ds:itemID="{C84C958D-48DC-4564-B24D-56E63215790F}">
  <ds:schemaRefs>
    <ds:schemaRef ds:uri="http://purl.org/dc/elements/1.1/"/>
    <ds:schemaRef ds:uri="http://schemas.microsoft.com/office/2006/metadata/properties"/>
    <ds:schemaRef ds:uri="http://schemas.microsoft.com/office/2006/documentManagement/types"/>
    <ds:schemaRef ds:uri="http://purl.org/dc/terms/"/>
    <ds:schemaRef ds:uri="cb7eed14-1ed6-4f4f-9464-e9d73fc2f8e9"/>
    <ds:schemaRef ds:uri="http://purl.org/dc/dcmitype/"/>
    <ds:schemaRef ds:uri="9669010e-b829-4d86-87dd-cdce11b0204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4.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4944</Words>
  <Characters>34114</Characters>
  <Application>Microsoft Office Word</Application>
  <DocSecurity>0</DocSecurity>
  <Lines>284</Lines>
  <Paragraphs>77</Paragraphs>
  <ScaleCrop>false</ScaleCrop>
  <HeadingPairs>
    <vt:vector size="2" baseType="variant">
      <vt:variant>
        <vt:lpstr>Cím</vt:lpstr>
      </vt:variant>
      <vt:variant>
        <vt:i4>1</vt:i4>
      </vt:variant>
    </vt:vector>
  </HeadingPairs>
  <TitlesOfParts>
    <vt:vector size="1" baseType="lpstr">
      <vt:lpstr>monitoring_2025_05</vt:lpstr>
    </vt:vector>
  </TitlesOfParts>
  <Company>Egységes InfraStruktúra</Company>
  <LinksUpToDate>false</LinksUpToDate>
  <CharactersWithSpaces>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monitoring_2025_05</dc:title>
  <dc:creator>Kovács Márta</dc:creator>
  <cp:lastModifiedBy>Ivók Aurél Csaba</cp:lastModifiedBy>
  <cp:revision>3</cp:revision>
  <cp:lastPrinted>2025-05-16T09:07:00Z</cp:lastPrinted>
  <dcterms:created xsi:type="dcterms:W3CDTF">2025-06-17T12:56:00Z</dcterms:created>
  <dcterms:modified xsi:type="dcterms:W3CDTF">2025-06-18T07:01:00Z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