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689E2" w14:textId="6B71AC8F" w:rsidR="00B155FE" w:rsidRPr="00377D59" w:rsidRDefault="62456E77" w:rsidP="62456E77">
      <w:pPr>
        <w:tabs>
          <w:tab w:val="center" w:pos="4536"/>
        </w:tabs>
        <w:bidi/>
        <w:spacing w:after="120" w:line="240" w:lineRule="auto"/>
        <w:ind w:left="-142" w:right="-1" w:firstLine="142"/>
        <w:rPr>
          <w:rFonts w:ascii="Times New Roman" w:eastAsia="Times New Roman" w:hAnsi="Times New Roman" w:cs="Times New Roman"/>
          <w:b/>
          <w:bCs/>
          <w:smallCaps/>
          <w:sz w:val="32"/>
          <w:szCs w:val="32"/>
          <w:lang w:eastAsia="hu-HU"/>
        </w:rPr>
      </w:pPr>
      <w:r w:rsidRPr="62456E77">
        <w:rPr>
          <w:rFonts w:ascii="Times New Roman" w:eastAsia="Times New Roman" w:hAnsi="Times New Roman" w:cs="Times New Roman"/>
          <w:b/>
          <w:bCs/>
          <w:smallCaps/>
          <w:sz w:val="32"/>
          <w:szCs w:val="32"/>
          <w:lang w:eastAsia="hu-HU"/>
        </w:rPr>
        <w:t>Nemzetgazdasági Minisztérium</w:t>
      </w:r>
    </w:p>
    <w:p w14:paraId="7B7689E4"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36F33C9C" w14:textId="77777777" w:rsidR="001E689B" w:rsidRPr="00377D59" w:rsidRDefault="001E689B"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5"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6"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7"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8"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9"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26"/>
          <w:szCs w:val="26"/>
          <w:lang w:eastAsia="hu-HU"/>
        </w:rPr>
      </w:pPr>
    </w:p>
    <w:p w14:paraId="7B7689EA"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B"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C"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D"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E" w14:textId="77777777" w:rsidR="00B155FE" w:rsidRPr="00377D59" w:rsidRDefault="00B155FE" w:rsidP="00B155FE">
      <w:pPr>
        <w:keepNext/>
        <w:widowControl w:val="0"/>
        <w:spacing w:after="120" w:line="240" w:lineRule="auto"/>
        <w:jc w:val="center"/>
        <w:rPr>
          <w:rFonts w:ascii="Times New Roman" w:eastAsia="Times New Roman" w:hAnsi="Times New Roman" w:cs="Times New Roman"/>
          <w:caps/>
          <w:spacing w:val="60"/>
          <w:sz w:val="32"/>
          <w:szCs w:val="20"/>
          <w:lang w:eastAsia="hu-HU"/>
        </w:rPr>
      </w:pPr>
    </w:p>
    <w:p w14:paraId="7B7689EF" w14:textId="77777777" w:rsidR="00B155FE" w:rsidRPr="00377D59" w:rsidRDefault="00B155FE" w:rsidP="62456E77">
      <w:pPr>
        <w:keepNext/>
        <w:widowControl w:val="0"/>
        <w:spacing w:after="120" w:line="240" w:lineRule="auto"/>
        <w:jc w:val="center"/>
        <w:rPr>
          <w:rFonts w:ascii="Times New Roman" w:eastAsia="Times New Roman" w:hAnsi="Times New Roman" w:cs="Times New Roman"/>
          <w:b/>
          <w:bCs/>
          <w:caps/>
          <w:sz w:val="32"/>
          <w:szCs w:val="32"/>
          <w:lang w:eastAsia="hu-HU"/>
        </w:rPr>
      </w:pPr>
      <w:r w:rsidRPr="00377D59">
        <w:rPr>
          <w:rFonts w:ascii="Times New Roman" w:eastAsia="Times New Roman" w:hAnsi="Times New Roman" w:cs="Times New Roman"/>
          <w:b/>
          <w:bCs/>
          <w:caps/>
          <w:spacing w:val="60"/>
          <w:sz w:val="32"/>
          <w:szCs w:val="32"/>
          <w:lang w:eastAsia="hu-HU"/>
        </w:rPr>
        <w:t>Tájékoztató</w:t>
      </w:r>
    </w:p>
    <w:p w14:paraId="5AE02B14" w14:textId="0024B9A3" w:rsidR="00B94CCA" w:rsidRPr="00377D59" w:rsidRDefault="62456E77" w:rsidP="62456E77">
      <w:pPr>
        <w:keepNext/>
        <w:tabs>
          <w:tab w:val="left" w:pos="2694"/>
        </w:tabs>
        <w:spacing w:after="120" w:line="240" w:lineRule="auto"/>
        <w:ind w:right="-1"/>
        <w:jc w:val="center"/>
        <w:outlineLvl w:val="1"/>
        <w:rPr>
          <w:rFonts w:ascii="Times New Roman" w:eastAsia="Times New Roman" w:hAnsi="Times New Roman" w:cs="Times New Roman"/>
          <w:b/>
          <w:bCs/>
          <w:i/>
          <w:iCs/>
          <w:sz w:val="26"/>
          <w:szCs w:val="26"/>
          <w:lang w:eastAsia="hu-HU"/>
        </w:rPr>
      </w:pPr>
      <w:proofErr w:type="gramStart"/>
      <w:r w:rsidRPr="62456E77">
        <w:rPr>
          <w:rFonts w:ascii="Times New Roman" w:eastAsia="Times New Roman" w:hAnsi="Times New Roman" w:cs="Times New Roman"/>
          <w:b/>
          <w:bCs/>
          <w:i/>
          <w:iCs/>
          <w:sz w:val="26"/>
          <w:szCs w:val="26"/>
          <w:lang w:eastAsia="hu-HU"/>
        </w:rPr>
        <w:t>az</w:t>
      </w:r>
      <w:proofErr w:type="gramEnd"/>
      <w:r w:rsidRPr="62456E77">
        <w:rPr>
          <w:rFonts w:ascii="Times New Roman" w:eastAsia="Times New Roman" w:hAnsi="Times New Roman" w:cs="Times New Roman"/>
          <w:b/>
          <w:bCs/>
          <w:i/>
          <w:iCs/>
          <w:sz w:val="26"/>
          <w:szCs w:val="26"/>
          <w:lang w:eastAsia="hu-HU"/>
        </w:rPr>
        <w:t xml:space="preserve"> államháztartás központi alrendszerének</w:t>
      </w:r>
      <w:r w:rsidR="142D8494">
        <w:br/>
      </w:r>
      <w:r w:rsidRPr="62456E77">
        <w:rPr>
          <w:rFonts w:ascii="Times New Roman" w:eastAsia="Times New Roman" w:hAnsi="Times New Roman" w:cs="Times New Roman"/>
          <w:b/>
          <w:bCs/>
          <w:i/>
          <w:iCs/>
          <w:sz w:val="26"/>
          <w:szCs w:val="26"/>
          <w:lang w:eastAsia="hu-HU"/>
        </w:rPr>
        <w:t>2025. március végi helyzetéről</w:t>
      </w:r>
    </w:p>
    <w:p w14:paraId="7B7689F2" w14:textId="2D4563EC" w:rsidR="00B155FE" w:rsidRPr="00377D59" w:rsidRDefault="00B155FE"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4A2F8C9F"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D327E5D"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35267E04"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20BD3D31"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16E13D32"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59F56A13" w14:textId="77777777" w:rsidR="001E689B" w:rsidRPr="00377D59" w:rsidRDefault="001E689B" w:rsidP="3F8285E0">
      <w:pPr>
        <w:tabs>
          <w:tab w:val="left" w:pos="2694"/>
        </w:tabs>
        <w:spacing w:after="120" w:line="240" w:lineRule="auto"/>
        <w:jc w:val="both"/>
        <w:rPr>
          <w:rFonts w:ascii="Times New Roman" w:eastAsia="Times New Roman" w:hAnsi="Times New Roman" w:cs="Times New Roman"/>
          <w:sz w:val="26"/>
          <w:szCs w:val="26"/>
          <w:lang w:eastAsia="hu-HU"/>
        </w:rPr>
      </w:pPr>
    </w:p>
    <w:p w14:paraId="7B7689F4"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6" w14:textId="77777777" w:rsidR="00B155FE" w:rsidRPr="00377D59" w:rsidRDefault="00B155FE" w:rsidP="00B155FE">
      <w:pPr>
        <w:tabs>
          <w:tab w:val="left" w:pos="2694"/>
        </w:tabs>
        <w:spacing w:after="120" w:line="240" w:lineRule="auto"/>
        <w:jc w:val="both"/>
        <w:rPr>
          <w:rFonts w:ascii="Times New Roman" w:eastAsia="Times New Roman" w:hAnsi="Times New Roman" w:cs="Times New Roman"/>
          <w:sz w:val="26"/>
          <w:szCs w:val="20"/>
          <w:lang w:eastAsia="hu-HU"/>
        </w:rPr>
      </w:pPr>
    </w:p>
    <w:p w14:paraId="7B7689F7"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8" w14:textId="7C3BEFF0" w:rsidR="00B155FE" w:rsidRPr="00377D59" w:rsidRDefault="00B155FE" w:rsidP="00EA1F58">
      <w:pPr>
        <w:tabs>
          <w:tab w:val="left" w:pos="5685"/>
        </w:tabs>
        <w:spacing w:after="120" w:line="240" w:lineRule="auto"/>
        <w:jc w:val="both"/>
        <w:rPr>
          <w:rFonts w:ascii="Times New Roman" w:eastAsia="Times New Roman" w:hAnsi="Times New Roman" w:cs="Times New Roman"/>
          <w:sz w:val="26"/>
          <w:szCs w:val="20"/>
          <w:lang w:eastAsia="hu-HU"/>
        </w:rPr>
      </w:pPr>
    </w:p>
    <w:p w14:paraId="7B7689F9"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A"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7B7689FB" w14:textId="77777777" w:rsidR="00B155FE" w:rsidRPr="00377D59" w:rsidRDefault="00B155FE" w:rsidP="00B155FE">
      <w:pPr>
        <w:spacing w:after="120" w:line="240" w:lineRule="auto"/>
        <w:jc w:val="both"/>
        <w:rPr>
          <w:rFonts w:ascii="Times New Roman" w:eastAsia="Times New Roman" w:hAnsi="Times New Roman" w:cs="Times New Roman"/>
          <w:sz w:val="26"/>
          <w:szCs w:val="20"/>
          <w:lang w:eastAsia="hu-HU"/>
        </w:rPr>
      </w:pPr>
    </w:p>
    <w:p w14:paraId="1CF999E6" w14:textId="13E866D2" w:rsidR="00E97147" w:rsidRPr="00377D59" w:rsidRDefault="00B155FE" w:rsidP="62456E77">
      <w:pPr>
        <w:tabs>
          <w:tab w:val="left" w:pos="2694"/>
        </w:tabs>
        <w:spacing w:after="120" w:line="240" w:lineRule="auto"/>
        <w:jc w:val="center"/>
        <w:rPr>
          <w:rFonts w:ascii="Times New Roman" w:eastAsia="Times New Roman" w:hAnsi="Times New Roman" w:cs="Times New Roman"/>
          <w:b/>
          <w:bCs/>
          <w:lang w:eastAsia="hu-HU"/>
        </w:rPr>
        <w:sectPr w:rsidR="00E97147" w:rsidRPr="00377D59" w:rsidSect="007449BF">
          <w:headerReference w:type="default" r:id="rId11"/>
          <w:footerReference w:type="default" r:id="rId12"/>
          <w:footerReference w:type="first" r:id="rId13"/>
          <w:footnotePr>
            <w:numRestart w:val="eachPage"/>
          </w:footnotePr>
          <w:pgSz w:w="11907" w:h="16840" w:code="9"/>
          <w:pgMar w:top="1134" w:right="1134" w:bottom="1418" w:left="1418" w:header="709" w:footer="709" w:gutter="0"/>
          <w:pgNumType w:fmt="numberInDash" w:start="0"/>
          <w:cols w:space="708"/>
          <w:docGrid w:linePitch="354"/>
        </w:sectPr>
      </w:pPr>
      <w:r w:rsidRPr="00377D59">
        <w:rPr>
          <w:rFonts w:ascii="Times New Roman" w:eastAsia="Times New Roman" w:hAnsi="Times New Roman" w:cs="Times New Roman"/>
          <w:b/>
          <w:bCs/>
          <w:noProof/>
          <w:lang w:eastAsia="hu-HU"/>
        </w:rPr>
        <mc:AlternateContent>
          <mc:Choice Requires="wps">
            <w:drawing>
              <wp:anchor distT="0" distB="0" distL="114300" distR="114300" simplePos="0" relativeHeight="251658240" behindDoc="0" locked="0" layoutInCell="1" allowOverlap="1" wp14:anchorId="7B768C6C" wp14:editId="7B768C6D">
                <wp:simplePos x="0" y="0"/>
                <wp:positionH relativeFrom="column">
                  <wp:posOffset>2336732</wp:posOffset>
                </wp:positionH>
                <wp:positionV relativeFrom="paragraph">
                  <wp:posOffset>980217</wp:posOffset>
                </wp:positionV>
                <wp:extent cx="971550" cy="393065"/>
                <wp:effectExtent l="0" t="0" r="0" b="698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D87395B">
              <v:rect id="Rectangle 2" style="position:absolute;margin-left:184pt;margin-top:77.2pt;width:76.5pt;height:3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7986F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"/>
            </w:pict>
          </mc:Fallback>
        </mc:AlternateContent>
      </w:r>
      <w:r w:rsidRPr="00377D59">
        <w:rPr>
          <w:rFonts w:ascii="Times New Roman" w:eastAsia="Times New Roman" w:hAnsi="Times New Roman" w:cs="Times New Roman"/>
          <w:b/>
          <w:bCs/>
          <w:lang w:eastAsia="hu-HU"/>
        </w:rPr>
        <w:t>202</w:t>
      </w:r>
      <w:r w:rsidR="002107FF">
        <w:rPr>
          <w:rFonts w:ascii="Times New Roman" w:eastAsia="Times New Roman" w:hAnsi="Times New Roman" w:cs="Times New Roman"/>
          <w:b/>
          <w:bCs/>
          <w:lang w:eastAsia="hu-HU"/>
        </w:rPr>
        <w:t>5</w:t>
      </w:r>
      <w:r w:rsidRPr="00377D59">
        <w:rPr>
          <w:rFonts w:ascii="Times New Roman" w:eastAsia="Times New Roman" w:hAnsi="Times New Roman" w:cs="Times New Roman"/>
          <w:b/>
          <w:bCs/>
          <w:lang w:eastAsia="hu-HU"/>
        </w:rPr>
        <w:t xml:space="preserve">. </w:t>
      </w:r>
      <w:r w:rsidR="001A025E">
        <w:rPr>
          <w:rFonts w:ascii="Times New Roman" w:eastAsia="Times New Roman" w:hAnsi="Times New Roman" w:cs="Times New Roman"/>
          <w:b/>
          <w:bCs/>
          <w:lang w:eastAsia="hu-HU"/>
        </w:rPr>
        <w:t>április</w:t>
      </w:r>
    </w:p>
    <w:p w14:paraId="7B7689FF" w14:textId="77777777" w:rsidR="00B155FE" w:rsidRPr="00377D59" w:rsidRDefault="62456E77" w:rsidP="62456E77">
      <w:pPr>
        <w:keepNext/>
        <w:spacing w:before="240" w:after="480" w:line="480" w:lineRule="auto"/>
        <w:ind w:left="425" w:hanging="425"/>
        <w:jc w:val="center"/>
        <w:outlineLvl w:val="3"/>
        <w:rPr>
          <w:rFonts w:ascii="Times New Roman" w:eastAsia="Times New Roman" w:hAnsi="Times New Roman" w:cs="Times New Roman"/>
          <w:b/>
          <w:bCs/>
          <w:caps/>
          <w:color w:val="000000" w:themeColor="text1"/>
          <w:sz w:val="26"/>
          <w:szCs w:val="26"/>
          <w:lang w:eastAsia="hu-HU"/>
        </w:rPr>
      </w:pPr>
      <w:r w:rsidRPr="62456E77">
        <w:rPr>
          <w:rFonts w:ascii="Times New Roman" w:eastAsia="Times New Roman" w:hAnsi="Times New Roman" w:cs="Times New Roman"/>
          <w:b/>
          <w:bCs/>
          <w:caps/>
          <w:color w:val="000000" w:themeColor="text1"/>
          <w:sz w:val="26"/>
          <w:szCs w:val="26"/>
          <w:lang w:eastAsia="hu-HU"/>
        </w:rPr>
        <w:lastRenderedPageBreak/>
        <w:t>Összefoglalás</w:t>
      </w:r>
    </w:p>
    <w:p w14:paraId="2DFA7F10" w14:textId="26CE6392" w:rsidR="00A70976" w:rsidRDefault="00A3167F" w:rsidP="62456E77">
      <w:pPr>
        <w:widowControl w:val="0"/>
        <w:jc w:val="both"/>
        <w:rPr>
          <w:rFonts w:ascii="Times New Roman" w:eastAsia="Times New Roman" w:hAnsi="Times New Roman" w:cs="Times New Roman"/>
          <w:b/>
          <w:bCs/>
          <w:color w:val="000000" w:themeColor="text1"/>
          <w:sz w:val="26"/>
          <w:szCs w:val="26"/>
          <w:lang w:eastAsia="hu-HU"/>
        </w:rPr>
      </w:pPr>
      <w:r w:rsidRPr="00A3167F">
        <w:rPr>
          <w:rFonts w:ascii="Times New Roman" w:eastAsia="Times New Roman" w:hAnsi="Times New Roman" w:cs="Times New Roman"/>
          <w:b/>
          <w:bCs/>
          <w:color w:val="000000" w:themeColor="text1"/>
          <w:sz w:val="26"/>
          <w:szCs w:val="26"/>
          <w:lang w:eastAsia="hu-HU"/>
        </w:rPr>
        <w:t>Márciusban ismét jelentős kifizetésekre került sor egyes Prémium Magyar Állampapír sorozatoknál; emiatt és a dollárkötvények kamatfizetése miatt, többet fordított a kormány a kamatkiadásokra. Jelentős ö</w:t>
      </w:r>
      <w:r>
        <w:rPr>
          <w:rFonts w:ascii="Times New Roman" w:eastAsia="Times New Roman" w:hAnsi="Times New Roman" w:cs="Times New Roman"/>
          <w:b/>
          <w:bCs/>
          <w:color w:val="000000" w:themeColor="text1"/>
          <w:sz w:val="26"/>
          <w:szCs w:val="26"/>
          <w:lang w:eastAsia="hu-HU"/>
        </w:rPr>
        <w:t>sszegű kifizetésre került sor a </w:t>
      </w:r>
      <w:r w:rsidRPr="00A3167F">
        <w:rPr>
          <w:rFonts w:ascii="Times New Roman" w:eastAsia="Times New Roman" w:hAnsi="Times New Roman" w:cs="Times New Roman"/>
          <w:b/>
          <w:bCs/>
          <w:color w:val="000000" w:themeColor="text1"/>
          <w:sz w:val="26"/>
          <w:szCs w:val="26"/>
          <w:lang w:eastAsia="hu-HU"/>
        </w:rPr>
        <w:t>közüzemi szolgáltatásoknál a rezsivédelmi támogatásokra. Ugyanakkor magasabban teljesültek központi alrendszer adó- és járulékbevételei, különösen az áfából</w:t>
      </w:r>
      <w:r>
        <w:rPr>
          <w:rFonts w:ascii="Times New Roman" w:eastAsia="Times New Roman" w:hAnsi="Times New Roman" w:cs="Times New Roman"/>
          <w:b/>
          <w:bCs/>
          <w:color w:val="000000" w:themeColor="text1"/>
          <w:sz w:val="26"/>
          <w:szCs w:val="26"/>
          <w:lang w:eastAsia="hu-HU"/>
        </w:rPr>
        <w:t>.</w:t>
      </w:r>
    </w:p>
    <w:p w14:paraId="5796FD7B" w14:textId="56CE95A1" w:rsidR="00A3167F" w:rsidRPr="00A3167F" w:rsidRDefault="00A3167F" w:rsidP="00A3167F">
      <w:pPr>
        <w:widowControl w:val="0"/>
        <w:jc w:val="both"/>
        <w:rPr>
          <w:rFonts w:ascii="Times New Roman" w:hAnsi="Times New Roman" w:cs="Times New Roman"/>
          <w:sz w:val="26"/>
          <w:szCs w:val="26"/>
        </w:rPr>
      </w:pPr>
      <w:r w:rsidRPr="00A3167F">
        <w:rPr>
          <w:rFonts w:ascii="Times New Roman" w:hAnsi="Times New Roman" w:cs="Times New Roman"/>
          <w:sz w:val="26"/>
          <w:szCs w:val="26"/>
        </w:rPr>
        <w:t>Március végéig az államháztartás központi alrendszere 2 554,1 milliárd forintos hiánnyal zárt. Ezen belül a központi költségvetés 2 458</w:t>
      </w:r>
      <w:r>
        <w:rPr>
          <w:rFonts w:ascii="Times New Roman" w:hAnsi="Times New Roman" w:cs="Times New Roman"/>
          <w:sz w:val="26"/>
          <w:szCs w:val="26"/>
        </w:rPr>
        <w:t>,4 milliárd forintos hiányt, az </w:t>
      </w:r>
      <w:r w:rsidRPr="00A3167F">
        <w:rPr>
          <w:rFonts w:ascii="Times New Roman" w:hAnsi="Times New Roman" w:cs="Times New Roman"/>
          <w:sz w:val="26"/>
          <w:szCs w:val="26"/>
        </w:rPr>
        <w:t>elkülönített állami pénzalapok 19,3 milliárd forintos többletet, a társadalombiztosítás pénzügyi alapjai pedig 115,0 milliárd forintos hiányt mutattak.</w:t>
      </w:r>
    </w:p>
    <w:p w14:paraId="56873C16" w14:textId="014590DB" w:rsidR="00A3167F" w:rsidRPr="00A3167F" w:rsidRDefault="00A3167F" w:rsidP="00A3167F">
      <w:pPr>
        <w:widowControl w:val="0"/>
        <w:jc w:val="both"/>
        <w:rPr>
          <w:rFonts w:ascii="Times New Roman" w:hAnsi="Times New Roman" w:cs="Times New Roman"/>
          <w:sz w:val="26"/>
          <w:szCs w:val="26"/>
        </w:rPr>
      </w:pPr>
      <w:r w:rsidRPr="00A3167F">
        <w:rPr>
          <w:rFonts w:ascii="Times New Roman" w:hAnsi="Times New Roman" w:cs="Times New Roman"/>
          <w:sz w:val="26"/>
          <w:szCs w:val="26"/>
        </w:rPr>
        <w:t xml:space="preserve">Márciusban – egy hónap alatt – a központi alrendszer 831,2 milliárd forintos hiánnyal zárt, ami meghaladja az időarányos teljesítést. Ez egyrészt egyes adóbevételek időarányosnál alacsonyabb teljesülésének köszönhető, ami az adónemekre vonatkozó befizetési határidőkkel függ össze. Másrészt a kiadási oldalon jelentős összegű kifizetésre került sor – az elmúlt évekhez hasonlóan – az állami közösségi szolgáltatásoknál, </w:t>
      </w:r>
      <w:r>
        <w:rPr>
          <w:rFonts w:ascii="Times New Roman" w:hAnsi="Times New Roman" w:cs="Times New Roman"/>
          <w:sz w:val="26"/>
          <w:szCs w:val="26"/>
        </w:rPr>
        <w:t>valamint a </w:t>
      </w:r>
      <w:r w:rsidRPr="00A3167F">
        <w:rPr>
          <w:rFonts w:ascii="Times New Roman" w:hAnsi="Times New Roman" w:cs="Times New Roman"/>
          <w:sz w:val="26"/>
          <w:szCs w:val="26"/>
        </w:rPr>
        <w:t>közüzemi szolgáltatásoknál. Ez utóbbi a rezsivédelmi támogatások, téli hónapokhoz köthető, kifizetésével hozható összefüggésbe.</w:t>
      </w:r>
    </w:p>
    <w:p w14:paraId="1D19011E" w14:textId="3F4A7DE4" w:rsidR="00A3167F" w:rsidRPr="00A3167F" w:rsidRDefault="00A3167F" w:rsidP="00A3167F">
      <w:pPr>
        <w:widowControl w:val="0"/>
        <w:jc w:val="both"/>
        <w:rPr>
          <w:rFonts w:ascii="Times New Roman" w:hAnsi="Times New Roman" w:cs="Times New Roman"/>
          <w:sz w:val="26"/>
          <w:szCs w:val="26"/>
        </w:rPr>
      </w:pPr>
      <w:r w:rsidRPr="00A3167F">
        <w:rPr>
          <w:rFonts w:ascii="Times New Roman" w:hAnsi="Times New Roman" w:cs="Times New Roman"/>
          <w:sz w:val="26"/>
          <w:szCs w:val="26"/>
        </w:rPr>
        <w:t>Ugyanakkor az előző év azonos időszakához viszonyítva a központi alrendszer adó- és járulékbevételei 11,6 százalékkal magasabban teljesü</w:t>
      </w:r>
      <w:r>
        <w:rPr>
          <w:rFonts w:ascii="Times New Roman" w:hAnsi="Times New Roman" w:cs="Times New Roman"/>
          <w:sz w:val="26"/>
          <w:szCs w:val="26"/>
        </w:rPr>
        <w:t xml:space="preserve">ltek. Ezek közül kiemelkedik az </w:t>
      </w:r>
      <w:r w:rsidRPr="00A3167F">
        <w:rPr>
          <w:rFonts w:ascii="Times New Roman" w:hAnsi="Times New Roman" w:cs="Times New Roman"/>
          <w:sz w:val="26"/>
          <w:szCs w:val="26"/>
        </w:rPr>
        <w:t>általános forgalmi adóból származó jelentős bevételtöbblet (265,6 milliárd forint).</w:t>
      </w:r>
    </w:p>
    <w:p w14:paraId="634CAFAB" w14:textId="299BDA1B" w:rsidR="00A3167F" w:rsidRPr="00A3167F" w:rsidRDefault="00A3167F" w:rsidP="00A3167F">
      <w:pPr>
        <w:widowControl w:val="0"/>
        <w:jc w:val="both"/>
        <w:rPr>
          <w:rFonts w:ascii="Times New Roman" w:hAnsi="Times New Roman" w:cs="Times New Roman"/>
          <w:sz w:val="26"/>
          <w:szCs w:val="26"/>
        </w:rPr>
      </w:pPr>
      <w:r w:rsidRPr="00A3167F">
        <w:rPr>
          <w:rFonts w:ascii="Times New Roman" w:hAnsi="Times New Roman" w:cs="Times New Roman"/>
          <w:sz w:val="26"/>
          <w:szCs w:val="26"/>
        </w:rPr>
        <w:t>A kamatkiadásokra fordított kifizetések összege március végéig 1</w:t>
      </w:r>
      <w:r w:rsidR="003E2A67">
        <w:rPr>
          <w:rFonts w:ascii="Times New Roman" w:hAnsi="Times New Roman" w:cs="Times New Roman"/>
          <w:sz w:val="26"/>
          <w:szCs w:val="26"/>
        </w:rPr>
        <w:t> </w:t>
      </w:r>
      <w:r w:rsidRPr="00A3167F">
        <w:rPr>
          <w:rFonts w:ascii="Times New Roman" w:hAnsi="Times New Roman" w:cs="Times New Roman"/>
          <w:sz w:val="26"/>
          <w:szCs w:val="26"/>
        </w:rPr>
        <w:t>553,7 milliárd forint volt, amely 312,4 milliárd forinttal magasabb az előző évi azonos időszaki teljesítésnél, elsősorban egyes Prémium Magyar Állampapír (PMÁP) sorozatok és dollárkötvények kamatfizetési időpontjai miatt.</w:t>
      </w:r>
    </w:p>
    <w:p w14:paraId="7D3CC063" w14:textId="5ED5A15A" w:rsidR="00EC00A2" w:rsidRPr="00EC00A2" w:rsidRDefault="00A3167F" w:rsidP="00A3167F">
      <w:pPr>
        <w:widowControl w:val="0"/>
        <w:jc w:val="both"/>
        <w:rPr>
          <w:rFonts w:ascii="Times New Roman" w:hAnsi="Times New Roman" w:cs="Times New Roman"/>
          <w:sz w:val="26"/>
          <w:szCs w:val="26"/>
        </w:rPr>
      </w:pPr>
      <w:r w:rsidRPr="00A3167F">
        <w:rPr>
          <w:rFonts w:ascii="Times New Roman" w:hAnsi="Times New Roman" w:cs="Times New Roman"/>
          <w:sz w:val="26"/>
          <w:szCs w:val="26"/>
        </w:rPr>
        <w:t>Meghaladják az egy évvel korábbi kifizetést a nyugellát</w:t>
      </w:r>
      <w:r>
        <w:rPr>
          <w:rFonts w:ascii="Times New Roman" w:hAnsi="Times New Roman" w:cs="Times New Roman"/>
          <w:sz w:val="26"/>
          <w:szCs w:val="26"/>
        </w:rPr>
        <w:t xml:space="preserve">ásokra fordított összegek is. </w:t>
      </w:r>
      <w:r w:rsidR="003E2A67">
        <w:rPr>
          <w:rFonts w:ascii="Times New Roman" w:hAnsi="Times New Roman" w:cs="Times New Roman"/>
          <w:sz w:val="26"/>
          <w:szCs w:val="26"/>
        </w:rPr>
        <w:br/>
      </w:r>
      <w:r w:rsidRPr="003E2A67">
        <w:rPr>
          <w:rFonts w:ascii="Times New Roman" w:hAnsi="Times New Roman" w:cs="Times New Roman"/>
          <w:sz w:val="26"/>
          <w:szCs w:val="26"/>
        </w:rPr>
        <w:t>A</w:t>
      </w:r>
      <w:r w:rsidR="003E2A67">
        <w:rPr>
          <w:rFonts w:ascii="Times New Roman" w:hAnsi="Times New Roman" w:cs="Times New Roman"/>
          <w:sz w:val="26"/>
          <w:szCs w:val="26"/>
        </w:rPr>
        <w:t xml:space="preserve"> k</w:t>
      </w:r>
      <w:r w:rsidRPr="003E2A67">
        <w:rPr>
          <w:rFonts w:ascii="Times New Roman" w:hAnsi="Times New Roman" w:cs="Times New Roman"/>
          <w:sz w:val="26"/>
          <w:szCs w:val="26"/>
        </w:rPr>
        <w:t>ormány – ahogy</w:t>
      </w:r>
      <w:r w:rsidRPr="00A3167F">
        <w:rPr>
          <w:rFonts w:ascii="Times New Roman" w:hAnsi="Times New Roman" w:cs="Times New Roman"/>
          <w:sz w:val="26"/>
          <w:szCs w:val="26"/>
        </w:rPr>
        <w:t xml:space="preserve"> eddig – a jövőben is tartja magát ahhoz a 2010-ben tett ígéretéhez, hogy megőrzi a nyugdíjak vásárlóértékét. Március végéig – a 13. havi nyugdíjjal és ellátással együtt – nyugellátásokra és nyugdíjszerű ellátá</w:t>
      </w:r>
      <w:r w:rsidR="003E2A67">
        <w:rPr>
          <w:rFonts w:ascii="Times New Roman" w:hAnsi="Times New Roman" w:cs="Times New Roman"/>
          <w:sz w:val="26"/>
          <w:szCs w:val="26"/>
        </w:rPr>
        <w:t>sokra három hónap alatt 2 189,5 </w:t>
      </w:r>
      <w:r w:rsidRPr="00A3167F">
        <w:rPr>
          <w:rFonts w:ascii="Times New Roman" w:hAnsi="Times New Roman" w:cs="Times New Roman"/>
          <w:sz w:val="26"/>
          <w:szCs w:val="26"/>
        </w:rPr>
        <w:t>milliárd forintot fizettek</w:t>
      </w:r>
      <w:r>
        <w:rPr>
          <w:rFonts w:ascii="Times New Roman" w:hAnsi="Times New Roman" w:cs="Times New Roman"/>
          <w:sz w:val="26"/>
          <w:szCs w:val="26"/>
        </w:rPr>
        <w:t xml:space="preserve"> ki</w:t>
      </w:r>
      <w:r w:rsidR="62456E77" w:rsidRPr="62456E77">
        <w:rPr>
          <w:rFonts w:ascii="Times New Roman" w:hAnsi="Times New Roman" w:cs="Times New Roman"/>
          <w:sz w:val="26"/>
          <w:szCs w:val="26"/>
        </w:rPr>
        <w:t>.</w:t>
      </w:r>
    </w:p>
    <w:p w14:paraId="686D9FB2" w14:textId="77777777" w:rsidR="00EC00A2" w:rsidRDefault="00EC00A2" w:rsidP="3782F5BA">
      <w:pPr>
        <w:widowControl w:val="0"/>
        <w:jc w:val="both"/>
        <w:rPr>
          <w:rFonts w:ascii="Times New Roman" w:hAnsi="Times New Roman" w:cs="Times New Roman"/>
          <w:sz w:val="26"/>
          <w:szCs w:val="26"/>
        </w:rPr>
      </w:pPr>
    </w:p>
    <w:p w14:paraId="7B768A0B" w14:textId="755C2B04" w:rsidR="005171E0" w:rsidRDefault="00920F4D" w:rsidP="62456E77">
      <w:pPr>
        <w:widowControl w:val="0"/>
        <w:jc w:val="both"/>
        <w:rPr>
          <w:rFonts w:ascii="Times New Roman" w:eastAsia="Times New Roman" w:hAnsi="Times New Roman" w:cs="Times New Roman"/>
          <w:sz w:val="26"/>
          <w:szCs w:val="26"/>
          <w:lang w:eastAsia="hu-HU"/>
        </w:rPr>
      </w:pPr>
      <w:r>
        <w:rPr>
          <w:rFonts w:ascii="Times New Roman" w:eastAsia="Times New Roman" w:hAnsi="Times New Roman" w:cs="Times New Roman"/>
          <w:sz w:val="26"/>
          <w:szCs w:val="26"/>
          <w:lang w:eastAsia="hu-HU"/>
        </w:rPr>
        <w:br w:type="column"/>
      </w:r>
      <w:r w:rsidR="639E9B9B" w:rsidRPr="639E9B9B">
        <w:rPr>
          <w:rFonts w:ascii="Times New Roman" w:eastAsia="Times New Roman" w:hAnsi="Times New Roman" w:cs="Times New Roman"/>
          <w:sz w:val="26"/>
          <w:szCs w:val="26"/>
          <w:lang w:eastAsia="hu-HU"/>
        </w:rPr>
        <w:lastRenderedPageBreak/>
        <w:t>Az államháztartás központi alrendszerének 202</w:t>
      </w:r>
      <w:r w:rsidR="005171E0">
        <w:rPr>
          <w:rFonts w:ascii="Times New Roman" w:eastAsia="Times New Roman" w:hAnsi="Times New Roman" w:cs="Times New Roman"/>
          <w:sz w:val="26"/>
          <w:szCs w:val="26"/>
          <w:lang w:eastAsia="hu-HU"/>
        </w:rPr>
        <w:t>5</w:t>
      </w:r>
      <w:r w:rsidR="639E9B9B" w:rsidRPr="639E9B9B">
        <w:rPr>
          <w:rFonts w:ascii="Times New Roman" w:eastAsia="Times New Roman" w:hAnsi="Times New Roman" w:cs="Times New Roman"/>
          <w:sz w:val="26"/>
          <w:szCs w:val="26"/>
          <w:lang w:eastAsia="hu-HU"/>
        </w:rPr>
        <w:t xml:space="preserve">. </w:t>
      </w:r>
      <w:r w:rsidR="00A3167F">
        <w:rPr>
          <w:rFonts w:ascii="Times New Roman" w:eastAsia="Times New Roman" w:hAnsi="Times New Roman" w:cs="Times New Roman"/>
          <w:sz w:val="26"/>
          <w:szCs w:val="26"/>
          <w:lang w:eastAsia="hu-HU"/>
        </w:rPr>
        <w:t>március</w:t>
      </w:r>
      <w:r w:rsidR="639E9B9B" w:rsidRPr="639E9B9B">
        <w:rPr>
          <w:rFonts w:ascii="Times New Roman" w:eastAsia="Times New Roman" w:hAnsi="Times New Roman" w:cs="Times New Roman"/>
          <w:sz w:val="26"/>
          <w:szCs w:val="26"/>
          <w:lang w:eastAsia="hu-HU"/>
        </w:rPr>
        <w:t xml:space="preserve"> végi főbb pé</w:t>
      </w:r>
      <w:r w:rsidR="006D5492">
        <w:rPr>
          <w:rFonts w:ascii="Times New Roman" w:eastAsia="Times New Roman" w:hAnsi="Times New Roman" w:cs="Times New Roman"/>
          <w:sz w:val="26"/>
          <w:szCs w:val="26"/>
          <w:lang w:eastAsia="hu-HU"/>
        </w:rPr>
        <w:t>nzforgalmi adatai a következők:</w:t>
      </w:r>
    </w:p>
    <w:tbl>
      <w:tblPr>
        <w:tblW w:w="10064" w:type="dxa"/>
        <w:jc w:val="center"/>
        <w:tblLayout w:type="fixed"/>
        <w:tblCellMar>
          <w:left w:w="70" w:type="dxa"/>
          <w:right w:w="70" w:type="dxa"/>
        </w:tblCellMar>
        <w:tblLook w:val="04A0" w:firstRow="1" w:lastRow="0" w:firstColumn="1" w:lastColumn="0" w:noHBand="0" w:noVBand="1"/>
      </w:tblPr>
      <w:tblGrid>
        <w:gridCol w:w="2047"/>
        <w:gridCol w:w="1209"/>
        <w:gridCol w:w="1134"/>
        <w:gridCol w:w="1075"/>
        <w:gridCol w:w="1103"/>
        <w:gridCol w:w="1224"/>
        <w:gridCol w:w="1159"/>
        <w:gridCol w:w="1113"/>
      </w:tblGrid>
      <w:tr w:rsidR="00935118" w:rsidRPr="003D514A" w14:paraId="7C2CBF88" w14:textId="77777777" w:rsidTr="00945E04">
        <w:trPr>
          <w:trHeight w:val="1440"/>
          <w:jc w:val="center"/>
        </w:trPr>
        <w:tc>
          <w:tcPr>
            <w:tcW w:w="204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hideMark/>
          </w:tcPr>
          <w:p w14:paraId="66847C39" w14:textId="77777777" w:rsidR="00935118" w:rsidRPr="00602E3C" w:rsidRDefault="62456E77" w:rsidP="62456E77">
            <w:pPr>
              <w:keepNext/>
              <w:keepLines/>
              <w:rPr>
                <w:rFonts w:ascii="Times New Roman" w:hAnsi="Times New Roman" w:cs="Times New Roman"/>
                <w:sz w:val="20"/>
                <w:szCs w:val="20"/>
              </w:rPr>
            </w:pPr>
            <w:r w:rsidRPr="62456E77">
              <w:rPr>
                <w:rFonts w:ascii="Times New Roman" w:hAnsi="Times New Roman" w:cs="Times New Roman"/>
                <w:sz w:val="20"/>
                <w:szCs w:val="20"/>
              </w:rPr>
              <w:t> </w:t>
            </w:r>
          </w:p>
        </w:tc>
        <w:tc>
          <w:tcPr>
            <w:tcW w:w="120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6A30138" w14:textId="77777777" w:rsidR="00B6763B"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b/>
                <w:bCs/>
                <w:sz w:val="20"/>
                <w:szCs w:val="20"/>
              </w:rPr>
              <w:t>2024. évi előzetes</w:t>
            </w:r>
            <w:r w:rsidR="142D8494">
              <w:br/>
            </w:r>
            <w:r w:rsidRPr="62456E77">
              <w:rPr>
                <w:rFonts w:ascii="Times New Roman" w:hAnsi="Times New Roman" w:cs="Times New Roman"/>
                <w:b/>
                <w:bCs/>
                <w:sz w:val="20"/>
                <w:szCs w:val="20"/>
              </w:rPr>
              <w:t>tény</w:t>
            </w:r>
            <w:r w:rsidR="142D8494">
              <w:br/>
            </w:r>
            <w:r w:rsidRPr="62456E77">
              <w:rPr>
                <w:rFonts w:ascii="Times New Roman" w:hAnsi="Times New Roman" w:cs="Times New Roman"/>
                <w:sz w:val="20"/>
                <w:szCs w:val="20"/>
              </w:rPr>
              <w:t>milliárd forintban</w:t>
            </w:r>
          </w:p>
          <w:p w14:paraId="36F5C342" w14:textId="76728DC5" w:rsidR="00935118"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sz w:val="20"/>
                <w:szCs w:val="20"/>
              </w:rPr>
              <w:t>(1)</w:t>
            </w:r>
          </w:p>
        </w:tc>
        <w:tc>
          <w:tcPr>
            <w:tcW w:w="113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FDF4E03" w14:textId="4C7A8654" w:rsidR="00935118"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b/>
                <w:bCs/>
                <w:sz w:val="20"/>
                <w:szCs w:val="20"/>
              </w:rPr>
              <w:t>2024. I-I</w:t>
            </w:r>
            <w:r w:rsidR="00945E04">
              <w:rPr>
                <w:rFonts w:ascii="Times New Roman" w:hAnsi="Times New Roman" w:cs="Times New Roman"/>
                <w:b/>
                <w:bCs/>
                <w:sz w:val="20"/>
                <w:szCs w:val="20"/>
              </w:rPr>
              <w:t>I</w:t>
            </w:r>
            <w:r w:rsidRPr="62456E77">
              <w:rPr>
                <w:rFonts w:ascii="Times New Roman" w:hAnsi="Times New Roman" w:cs="Times New Roman"/>
                <w:b/>
                <w:bCs/>
                <w:sz w:val="20"/>
                <w:szCs w:val="20"/>
              </w:rPr>
              <w:t>I. hó tény</w:t>
            </w:r>
            <w:r w:rsidR="142D8494">
              <w:br/>
            </w:r>
            <w:r w:rsidRPr="62456E77">
              <w:rPr>
                <w:rFonts w:ascii="Times New Roman" w:hAnsi="Times New Roman" w:cs="Times New Roman"/>
                <w:sz w:val="20"/>
                <w:szCs w:val="20"/>
              </w:rPr>
              <w:t>milliárd forintban</w:t>
            </w:r>
          </w:p>
          <w:p w14:paraId="547D8DD1" w14:textId="77777777" w:rsidR="00B6763B" w:rsidRPr="00602E3C" w:rsidRDefault="00B6763B" w:rsidP="00B6763B">
            <w:pPr>
              <w:keepNext/>
              <w:keepLines/>
              <w:spacing w:after="0"/>
              <w:jc w:val="center"/>
              <w:rPr>
                <w:rFonts w:ascii="Times New Roman" w:hAnsi="Times New Roman" w:cs="Times New Roman"/>
                <w:sz w:val="20"/>
                <w:szCs w:val="20"/>
              </w:rPr>
            </w:pPr>
          </w:p>
          <w:p w14:paraId="080A44C1" w14:textId="4CBA2534" w:rsidR="00935118"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sz w:val="20"/>
                <w:szCs w:val="20"/>
              </w:rPr>
              <w:t>(2)</w:t>
            </w:r>
          </w:p>
        </w:tc>
        <w:tc>
          <w:tcPr>
            <w:tcW w:w="107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9E2A84F" w14:textId="77777777" w:rsidR="00935118"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sz w:val="20"/>
                <w:szCs w:val="20"/>
              </w:rPr>
              <w:t>éves előzetes tény=100%</w:t>
            </w:r>
            <w:r w:rsidR="142D8494">
              <w:br/>
            </w:r>
            <w:r w:rsidRPr="62456E77">
              <w:rPr>
                <w:rFonts w:ascii="Times New Roman" w:hAnsi="Times New Roman" w:cs="Times New Roman"/>
                <w:sz w:val="20"/>
                <w:szCs w:val="20"/>
              </w:rPr>
              <w:t>Index (%)</w:t>
            </w:r>
          </w:p>
          <w:p w14:paraId="03379603" w14:textId="77777777" w:rsidR="00CD1AD4" w:rsidRPr="00602E3C" w:rsidRDefault="00CD1AD4" w:rsidP="00B6763B">
            <w:pPr>
              <w:keepNext/>
              <w:keepLines/>
              <w:spacing w:after="0"/>
              <w:jc w:val="center"/>
              <w:rPr>
                <w:rFonts w:ascii="Times New Roman" w:hAnsi="Times New Roman" w:cs="Times New Roman"/>
                <w:sz w:val="20"/>
                <w:szCs w:val="20"/>
              </w:rPr>
            </w:pPr>
          </w:p>
          <w:p w14:paraId="7EA042FF" w14:textId="50D239CD" w:rsidR="00935118"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sz w:val="20"/>
                <w:szCs w:val="20"/>
              </w:rPr>
              <w:t>(2/1)</w:t>
            </w:r>
          </w:p>
        </w:tc>
        <w:tc>
          <w:tcPr>
            <w:tcW w:w="110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221E5557" w14:textId="77777777" w:rsidR="00935118"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b/>
                <w:bCs/>
                <w:sz w:val="20"/>
                <w:szCs w:val="20"/>
              </w:rPr>
              <w:t>2025. évi előirányzat</w:t>
            </w:r>
            <w:r w:rsidR="142D8494">
              <w:br/>
            </w:r>
            <w:r w:rsidRPr="62456E77">
              <w:rPr>
                <w:rFonts w:ascii="Times New Roman" w:hAnsi="Times New Roman" w:cs="Times New Roman"/>
                <w:sz w:val="20"/>
                <w:szCs w:val="20"/>
              </w:rPr>
              <w:t>milliárd forintban</w:t>
            </w:r>
          </w:p>
          <w:p w14:paraId="6FB67AB7" w14:textId="77777777" w:rsidR="00B6763B" w:rsidRPr="00602E3C" w:rsidRDefault="00B6763B" w:rsidP="00B6763B">
            <w:pPr>
              <w:keepNext/>
              <w:keepLines/>
              <w:spacing w:after="0"/>
              <w:jc w:val="center"/>
              <w:rPr>
                <w:rFonts w:ascii="Times New Roman" w:hAnsi="Times New Roman" w:cs="Times New Roman"/>
                <w:sz w:val="20"/>
                <w:szCs w:val="20"/>
              </w:rPr>
            </w:pPr>
          </w:p>
          <w:p w14:paraId="2C87F662" w14:textId="5B799A38" w:rsidR="00935118"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sz w:val="20"/>
                <w:szCs w:val="20"/>
              </w:rPr>
              <w:t>(3)</w:t>
            </w:r>
          </w:p>
        </w:tc>
        <w:tc>
          <w:tcPr>
            <w:tcW w:w="122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D4190CD" w14:textId="09B6EDD7" w:rsidR="00B6763B"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b/>
                <w:bCs/>
                <w:sz w:val="20"/>
                <w:szCs w:val="20"/>
              </w:rPr>
              <w:t>2025. I-I</w:t>
            </w:r>
            <w:r w:rsidR="00945E04">
              <w:rPr>
                <w:rFonts w:ascii="Times New Roman" w:hAnsi="Times New Roman" w:cs="Times New Roman"/>
                <w:b/>
                <w:bCs/>
                <w:sz w:val="20"/>
                <w:szCs w:val="20"/>
              </w:rPr>
              <w:t>I</w:t>
            </w:r>
            <w:r w:rsidRPr="62456E77">
              <w:rPr>
                <w:rFonts w:ascii="Times New Roman" w:hAnsi="Times New Roman" w:cs="Times New Roman"/>
                <w:b/>
                <w:bCs/>
                <w:sz w:val="20"/>
                <w:szCs w:val="20"/>
              </w:rPr>
              <w:t>I. hó tény</w:t>
            </w:r>
            <w:r w:rsidR="142D8494">
              <w:br/>
            </w:r>
            <w:r w:rsidRPr="62456E77">
              <w:rPr>
                <w:rFonts w:ascii="Times New Roman" w:hAnsi="Times New Roman" w:cs="Times New Roman"/>
                <w:sz w:val="20"/>
                <w:szCs w:val="20"/>
              </w:rPr>
              <w:t>milliárd forintban</w:t>
            </w:r>
          </w:p>
          <w:p w14:paraId="15A457DF" w14:textId="77777777" w:rsidR="00B6763B" w:rsidRPr="00602E3C" w:rsidRDefault="00B6763B" w:rsidP="00B6763B">
            <w:pPr>
              <w:keepNext/>
              <w:keepLines/>
              <w:spacing w:after="0"/>
              <w:jc w:val="center"/>
              <w:rPr>
                <w:rFonts w:ascii="Times New Roman" w:hAnsi="Times New Roman" w:cs="Times New Roman"/>
                <w:sz w:val="20"/>
                <w:szCs w:val="20"/>
              </w:rPr>
            </w:pPr>
          </w:p>
          <w:p w14:paraId="3C073C3C" w14:textId="075CFEB7" w:rsidR="00935118"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sz w:val="20"/>
                <w:szCs w:val="20"/>
              </w:rPr>
              <w:t>(4)</w:t>
            </w:r>
          </w:p>
        </w:tc>
        <w:tc>
          <w:tcPr>
            <w:tcW w:w="115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5CCBD1FD" w14:textId="77777777" w:rsidR="00B6763B"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sz w:val="20"/>
                <w:szCs w:val="20"/>
              </w:rPr>
              <w:t>előirányzat=</w:t>
            </w:r>
            <w:r w:rsidR="142D8494">
              <w:br/>
            </w:r>
            <w:r w:rsidRPr="62456E77">
              <w:rPr>
                <w:rFonts w:ascii="Times New Roman" w:hAnsi="Times New Roman" w:cs="Times New Roman"/>
                <w:sz w:val="20"/>
                <w:szCs w:val="20"/>
              </w:rPr>
              <w:t>100%</w:t>
            </w:r>
            <w:r w:rsidR="142D8494">
              <w:br/>
            </w:r>
            <w:r w:rsidRPr="62456E77">
              <w:rPr>
                <w:rFonts w:ascii="Times New Roman" w:hAnsi="Times New Roman" w:cs="Times New Roman"/>
                <w:sz w:val="20"/>
                <w:szCs w:val="20"/>
              </w:rPr>
              <w:t>Index (%)</w:t>
            </w:r>
          </w:p>
          <w:p w14:paraId="4AEEBB44" w14:textId="77777777" w:rsidR="00B6763B" w:rsidRDefault="00B6763B" w:rsidP="00B6763B">
            <w:pPr>
              <w:keepNext/>
              <w:keepLines/>
              <w:spacing w:after="0"/>
              <w:jc w:val="center"/>
              <w:rPr>
                <w:rFonts w:ascii="Times New Roman" w:hAnsi="Times New Roman" w:cs="Times New Roman"/>
                <w:sz w:val="20"/>
                <w:szCs w:val="20"/>
              </w:rPr>
            </w:pPr>
          </w:p>
          <w:p w14:paraId="594C63D7" w14:textId="77777777" w:rsidR="00602E3C" w:rsidRPr="00602E3C" w:rsidRDefault="00602E3C" w:rsidP="00B6763B">
            <w:pPr>
              <w:keepNext/>
              <w:keepLines/>
              <w:spacing w:after="0"/>
              <w:jc w:val="center"/>
              <w:rPr>
                <w:rFonts w:ascii="Times New Roman" w:hAnsi="Times New Roman" w:cs="Times New Roman"/>
                <w:sz w:val="20"/>
                <w:szCs w:val="20"/>
              </w:rPr>
            </w:pPr>
          </w:p>
          <w:p w14:paraId="6886B04A" w14:textId="0682B2A8" w:rsidR="00935118"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sz w:val="20"/>
                <w:szCs w:val="20"/>
              </w:rPr>
              <w:t>(4/3)</w:t>
            </w:r>
          </w:p>
        </w:tc>
        <w:tc>
          <w:tcPr>
            <w:tcW w:w="111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392F559" w14:textId="77777777" w:rsidR="00B6763B" w:rsidRPr="00602E3C" w:rsidRDefault="62456E77" w:rsidP="62456E77">
            <w:pPr>
              <w:keepNext/>
              <w:keepLines/>
              <w:spacing w:after="0"/>
              <w:jc w:val="center"/>
              <w:rPr>
                <w:rFonts w:ascii="Times New Roman" w:hAnsi="Times New Roman" w:cs="Times New Roman"/>
                <w:sz w:val="20"/>
                <w:szCs w:val="20"/>
              </w:rPr>
            </w:pPr>
            <w:r w:rsidRPr="62456E77">
              <w:rPr>
                <w:rFonts w:ascii="Times New Roman" w:hAnsi="Times New Roman" w:cs="Times New Roman"/>
                <w:sz w:val="20"/>
                <w:szCs w:val="20"/>
              </w:rPr>
              <w:t>előző év=</w:t>
            </w:r>
            <w:r w:rsidR="142D8494">
              <w:br/>
            </w:r>
            <w:r w:rsidRPr="62456E77">
              <w:rPr>
                <w:rFonts w:ascii="Times New Roman" w:hAnsi="Times New Roman" w:cs="Times New Roman"/>
                <w:sz w:val="20"/>
                <w:szCs w:val="20"/>
              </w:rPr>
              <w:t>100%</w:t>
            </w:r>
            <w:r w:rsidR="142D8494">
              <w:br/>
            </w:r>
            <w:r w:rsidRPr="62456E77">
              <w:rPr>
                <w:rFonts w:ascii="Times New Roman" w:hAnsi="Times New Roman" w:cs="Times New Roman"/>
                <w:sz w:val="20"/>
                <w:szCs w:val="20"/>
              </w:rPr>
              <w:t>Index (%)</w:t>
            </w:r>
          </w:p>
          <w:p w14:paraId="2CC3F023" w14:textId="77777777" w:rsidR="00B6763B" w:rsidRPr="00602E3C" w:rsidRDefault="00B6763B" w:rsidP="00B6763B">
            <w:pPr>
              <w:keepNext/>
              <w:keepLines/>
              <w:spacing w:after="0"/>
              <w:jc w:val="center"/>
              <w:rPr>
                <w:rFonts w:ascii="Times New Roman" w:hAnsi="Times New Roman" w:cs="Times New Roman"/>
                <w:sz w:val="20"/>
                <w:szCs w:val="20"/>
              </w:rPr>
            </w:pPr>
          </w:p>
          <w:p w14:paraId="1414C741" w14:textId="77DB2268" w:rsidR="00935118" w:rsidRPr="00602E3C" w:rsidRDefault="00935118" w:rsidP="62456E77">
            <w:pPr>
              <w:keepNext/>
              <w:keepLines/>
              <w:spacing w:after="0"/>
              <w:jc w:val="center"/>
              <w:rPr>
                <w:rFonts w:ascii="Times New Roman" w:hAnsi="Times New Roman" w:cs="Times New Roman"/>
                <w:sz w:val="20"/>
                <w:szCs w:val="20"/>
              </w:rPr>
            </w:pPr>
            <w:r>
              <w:br/>
            </w:r>
            <w:r w:rsidR="62456E77" w:rsidRPr="62456E77">
              <w:rPr>
                <w:rFonts w:ascii="Times New Roman" w:hAnsi="Times New Roman" w:cs="Times New Roman"/>
                <w:sz w:val="20"/>
                <w:szCs w:val="20"/>
              </w:rPr>
              <w:t>(4/2)</w:t>
            </w:r>
          </w:p>
        </w:tc>
      </w:tr>
      <w:tr w:rsidR="00945E04" w:rsidRPr="003D514A" w14:paraId="272C1797"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5BBCCA14" w14:textId="77777777" w:rsidR="00945E04" w:rsidRPr="00602E3C" w:rsidRDefault="00945E04" w:rsidP="00945E04">
            <w:pPr>
              <w:keepNext/>
              <w:keepLines/>
              <w:spacing w:before="120" w:after="120"/>
              <w:rPr>
                <w:rFonts w:ascii="Times New Roman" w:hAnsi="Times New Roman" w:cs="Times New Roman"/>
                <w:b/>
                <w:bCs/>
                <w:sz w:val="20"/>
                <w:szCs w:val="20"/>
              </w:rPr>
            </w:pPr>
            <w:r w:rsidRPr="62456E77">
              <w:rPr>
                <w:rFonts w:ascii="Times New Roman" w:hAnsi="Times New Roman" w:cs="Times New Roman"/>
                <w:b/>
                <w:bCs/>
                <w:sz w:val="20"/>
                <w:szCs w:val="20"/>
              </w:rPr>
              <w:t>Központi költségvetés egyenlege</w:t>
            </w:r>
          </w:p>
        </w:tc>
        <w:tc>
          <w:tcPr>
            <w:tcW w:w="12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13CE6" w14:textId="410DCC9D"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-4 003,9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8AA4960" w14:textId="53BD7E91"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rPr>
              <w:t>-2 338,3</w:t>
            </w:r>
          </w:p>
        </w:tc>
        <w:tc>
          <w:tcPr>
            <w:tcW w:w="1075" w:type="dxa"/>
            <w:tcBorders>
              <w:top w:val="single" w:sz="4" w:space="0" w:color="auto"/>
              <w:left w:val="nil"/>
              <w:bottom w:val="single" w:sz="4" w:space="0" w:color="auto"/>
              <w:right w:val="single" w:sz="4" w:space="0" w:color="auto"/>
            </w:tcBorders>
            <w:shd w:val="clear" w:color="auto" w:fill="auto"/>
            <w:noWrap/>
            <w:vAlign w:val="center"/>
          </w:tcPr>
          <w:p w14:paraId="67CDD199" w14:textId="3FC413A5"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58,4</w:t>
            </w: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5DEEBFBC" w14:textId="0997B39C"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-4 211,6</w:t>
            </w:r>
          </w:p>
        </w:tc>
        <w:tc>
          <w:tcPr>
            <w:tcW w:w="1224" w:type="dxa"/>
            <w:tcBorders>
              <w:top w:val="single" w:sz="4" w:space="0" w:color="auto"/>
              <w:left w:val="nil"/>
              <w:bottom w:val="single" w:sz="4" w:space="0" w:color="auto"/>
              <w:right w:val="single" w:sz="4" w:space="0" w:color="auto"/>
            </w:tcBorders>
            <w:shd w:val="clear" w:color="auto" w:fill="auto"/>
            <w:noWrap/>
            <w:vAlign w:val="center"/>
          </w:tcPr>
          <w:p w14:paraId="2B3E7161" w14:textId="68457D02"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-2 458,4</w:t>
            </w:r>
          </w:p>
        </w:tc>
        <w:tc>
          <w:tcPr>
            <w:tcW w:w="1159" w:type="dxa"/>
            <w:tcBorders>
              <w:top w:val="single" w:sz="4" w:space="0" w:color="auto"/>
              <w:left w:val="nil"/>
              <w:bottom w:val="single" w:sz="4" w:space="0" w:color="auto"/>
              <w:right w:val="single" w:sz="4" w:space="0" w:color="auto"/>
            </w:tcBorders>
            <w:shd w:val="clear" w:color="auto" w:fill="auto"/>
            <w:noWrap/>
            <w:vAlign w:val="center"/>
          </w:tcPr>
          <w:p w14:paraId="1590672A" w14:textId="524B7500"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58,4</w:t>
            </w:r>
          </w:p>
        </w:tc>
        <w:tc>
          <w:tcPr>
            <w:tcW w:w="1113" w:type="dxa"/>
            <w:tcBorders>
              <w:top w:val="single" w:sz="4" w:space="0" w:color="auto"/>
              <w:left w:val="nil"/>
              <w:bottom w:val="single" w:sz="4" w:space="0" w:color="auto"/>
              <w:right w:val="single" w:sz="4" w:space="0" w:color="auto"/>
            </w:tcBorders>
            <w:shd w:val="clear" w:color="auto" w:fill="auto"/>
            <w:noWrap/>
            <w:vAlign w:val="center"/>
          </w:tcPr>
          <w:p w14:paraId="5FD27053" w14:textId="76F261A7"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105,1</w:t>
            </w:r>
          </w:p>
        </w:tc>
      </w:tr>
      <w:tr w:rsidR="00945E04" w:rsidRPr="003D514A" w14:paraId="43DB1C6B"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191C3DC" w14:textId="77777777" w:rsidR="00945E04" w:rsidRPr="00602E3C" w:rsidRDefault="00945E04" w:rsidP="00945E04">
            <w:pPr>
              <w:keepNext/>
              <w:keepLines/>
              <w:spacing w:before="120" w:after="120"/>
              <w:jc w:val="right"/>
              <w:rPr>
                <w:rFonts w:ascii="Times New Roman" w:hAnsi="Times New Roman" w:cs="Times New Roman"/>
                <w:sz w:val="20"/>
                <w:szCs w:val="20"/>
              </w:rPr>
            </w:pPr>
            <w:r w:rsidRPr="62456E77">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013BE1E" w14:textId="4DB742D5"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26 655,6</w:t>
            </w:r>
          </w:p>
        </w:tc>
        <w:tc>
          <w:tcPr>
            <w:tcW w:w="1134" w:type="dxa"/>
            <w:tcBorders>
              <w:top w:val="nil"/>
              <w:left w:val="nil"/>
              <w:bottom w:val="single" w:sz="4" w:space="0" w:color="auto"/>
              <w:right w:val="single" w:sz="4" w:space="0" w:color="auto"/>
            </w:tcBorders>
            <w:shd w:val="clear" w:color="auto" w:fill="auto"/>
            <w:noWrap/>
            <w:vAlign w:val="center"/>
          </w:tcPr>
          <w:p w14:paraId="00714DA8" w14:textId="2FC3270A"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rPr>
              <w:t>5 909,0</w:t>
            </w:r>
          </w:p>
        </w:tc>
        <w:tc>
          <w:tcPr>
            <w:tcW w:w="1075" w:type="dxa"/>
            <w:tcBorders>
              <w:top w:val="nil"/>
              <w:left w:val="nil"/>
              <w:bottom w:val="single" w:sz="4" w:space="0" w:color="auto"/>
              <w:right w:val="single" w:sz="4" w:space="0" w:color="auto"/>
            </w:tcBorders>
            <w:shd w:val="clear" w:color="auto" w:fill="auto"/>
            <w:noWrap/>
            <w:vAlign w:val="center"/>
          </w:tcPr>
          <w:p w14:paraId="15BCE7D2" w14:textId="3DE343E1"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22,2</w:t>
            </w:r>
          </w:p>
        </w:tc>
        <w:tc>
          <w:tcPr>
            <w:tcW w:w="1103" w:type="dxa"/>
            <w:tcBorders>
              <w:top w:val="nil"/>
              <w:left w:val="nil"/>
              <w:bottom w:val="single" w:sz="4" w:space="0" w:color="auto"/>
              <w:right w:val="single" w:sz="4" w:space="0" w:color="auto"/>
            </w:tcBorders>
            <w:shd w:val="clear" w:color="auto" w:fill="auto"/>
            <w:noWrap/>
            <w:vAlign w:val="center"/>
          </w:tcPr>
          <w:p w14:paraId="0B162934" w14:textId="40C24FB7"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26 622,0</w:t>
            </w:r>
          </w:p>
        </w:tc>
        <w:tc>
          <w:tcPr>
            <w:tcW w:w="1224" w:type="dxa"/>
            <w:tcBorders>
              <w:top w:val="nil"/>
              <w:left w:val="nil"/>
              <w:bottom w:val="single" w:sz="4" w:space="0" w:color="auto"/>
              <w:right w:val="single" w:sz="4" w:space="0" w:color="auto"/>
            </w:tcBorders>
            <w:shd w:val="clear" w:color="auto" w:fill="auto"/>
            <w:noWrap/>
            <w:vAlign w:val="center"/>
          </w:tcPr>
          <w:p w14:paraId="6C375A8F" w14:textId="30385984"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5 865,8</w:t>
            </w:r>
          </w:p>
        </w:tc>
        <w:tc>
          <w:tcPr>
            <w:tcW w:w="1159" w:type="dxa"/>
            <w:tcBorders>
              <w:top w:val="nil"/>
              <w:left w:val="nil"/>
              <w:bottom w:val="single" w:sz="4" w:space="0" w:color="auto"/>
              <w:right w:val="single" w:sz="4" w:space="0" w:color="auto"/>
            </w:tcBorders>
            <w:shd w:val="clear" w:color="auto" w:fill="auto"/>
            <w:noWrap/>
            <w:vAlign w:val="center"/>
          </w:tcPr>
          <w:p w14:paraId="229A1E05" w14:textId="280A3C03"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22,0</w:t>
            </w:r>
          </w:p>
        </w:tc>
        <w:tc>
          <w:tcPr>
            <w:tcW w:w="1113" w:type="dxa"/>
            <w:tcBorders>
              <w:top w:val="nil"/>
              <w:left w:val="nil"/>
              <w:bottom w:val="single" w:sz="4" w:space="0" w:color="auto"/>
              <w:right w:val="single" w:sz="4" w:space="0" w:color="auto"/>
            </w:tcBorders>
            <w:shd w:val="clear" w:color="auto" w:fill="auto"/>
            <w:noWrap/>
            <w:vAlign w:val="center"/>
          </w:tcPr>
          <w:p w14:paraId="0D7E5DA4" w14:textId="253E7236"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99,3</w:t>
            </w:r>
          </w:p>
        </w:tc>
      </w:tr>
      <w:tr w:rsidR="00945E04" w:rsidRPr="003D514A" w14:paraId="576245F4"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7DE056B" w14:textId="77777777" w:rsidR="00945E04" w:rsidRPr="00602E3C" w:rsidRDefault="00945E04" w:rsidP="00945E04">
            <w:pPr>
              <w:keepNext/>
              <w:keepLines/>
              <w:spacing w:before="120" w:after="120"/>
              <w:jc w:val="right"/>
              <w:rPr>
                <w:rFonts w:ascii="Times New Roman" w:hAnsi="Times New Roman" w:cs="Times New Roman"/>
                <w:sz w:val="20"/>
                <w:szCs w:val="20"/>
              </w:rPr>
            </w:pPr>
            <w:r w:rsidRPr="62456E77">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2B82BDD4" w14:textId="711C46EB"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30 659,5</w:t>
            </w:r>
          </w:p>
        </w:tc>
        <w:tc>
          <w:tcPr>
            <w:tcW w:w="1134" w:type="dxa"/>
            <w:tcBorders>
              <w:top w:val="nil"/>
              <w:left w:val="nil"/>
              <w:bottom w:val="single" w:sz="4" w:space="0" w:color="auto"/>
              <w:right w:val="single" w:sz="4" w:space="0" w:color="auto"/>
            </w:tcBorders>
            <w:shd w:val="clear" w:color="auto" w:fill="auto"/>
            <w:noWrap/>
            <w:vAlign w:val="center"/>
          </w:tcPr>
          <w:p w14:paraId="51B92D54" w14:textId="0AF15E54"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rPr>
              <w:t>8 247,3</w:t>
            </w:r>
          </w:p>
        </w:tc>
        <w:tc>
          <w:tcPr>
            <w:tcW w:w="1075" w:type="dxa"/>
            <w:tcBorders>
              <w:top w:val="nil"/>
              <w:left w:val="nil"/>
              <w:bottom w:val="single" w:sz="4" w:space="0" w:color="auto"/>
              <w:right w:val="single" w:sz="4" w:space="0" w:color="auto"/>
            </w:tcBorders>
            <w:shd w:val="clear" w:color="auto" w:fill="auto"/>
            <w:noWrap/>
            <w:vAlign w:val="center"/>
          </w:tcPr>
          <w:p w14:paraId="480CDC03" w14:textId="1FB6D9BC"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26,9</w:t>
            </w:r>
          </w:p>
        </w:tc>
        <w:tc>
          <w:tcPr>
            <w:tcW w:w="1103" w:type="dxa"/>
            <w:tcBorders>
              <w:top w:val="nil"/>
              <w:left w:val="nil"/>
              <w:bottom w:val="single" w:sz="4" w:space="0" w:color="auto"/>
              <w:right w:val="single" w:sz="4" w:space="0" w:color="auto"/>
            </w:tcBorders>
            <w:shd w:val="clear" w:color="auto" w:fill="auto"/>
            <w:noWrap/>
            <w:vAlign w:val="center"/>
          </w:tcPr>
          <w:p w14:paraId="30613988" w14:textId="55AC440F"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30 833,5</w:t>
            </w:r>
          </w:p>
        </w:tc>
        <w:tc>
          <w:tcPr>
            <w:tcW w:w="1224" w:type="dxa"/>
            <w:tcBorders>
              <w:top w:val="nil"/>
              <w:left w:val="nil"/>
              <w:bottom w:val="single" w:sz="4" w:space="0" w:color="auto"/>
              <w:right w:val="single" w:sz="4" w:space="0" w:color="auto"/>
            </w:tcBorders>
            <w:shd w:val="clear" w:color="auto" w:fill="auto"/>
            <w:noWrap/>
            <w:vAlign w:val="center"/>
          </w:tcPr>
          <w:p w14:paraId="1CE8D31A" w14:textId="5BEA7F9D"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8 324,2</w:t>
            </w:r>
          </w:p>
        </w:tc>
        <w:tc>
          <w:tcPr>
            <w:tcW w:w="1159" w:type="dxa"/>
            <w:tcBorders>
              <w:top w:val="nil"/>
              <w:left w:val="nil"/>
              <w:bottom w:val="single" w:sz="4" w:space="0" w:color="auto"/>
              <w:right w:val="single" w:sz="4" w:space="0" w:color="auto"/>
            </w:tcBorders>
            <w:shd w:val="clear" w:color="auto" w:fill="auto"/>
            <w:noWrap/>
            <w:vAlign w:val="center"/>
          </w:tcPr>
          <w:p w14:paraId="2AF744DE" w14:textId="6BB0C116"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27,0</w:t>
            </w:r>
          </w:p>
        </w:tc>
        <w:tc>
          <w:tcPr>
            <w:tcW w:w="1113" w:type="dxa"/>
            <w:tcBorders>
              <w:top w:val="nil"/>
              <w:left w:val="nil"/>
              <w:bottom w:val="single" w:sz="4" w:space="0" w:color="auto"/>
              <w:right w:val="single" w:sz="4" w:space="0" w:color="auto"/>
            </w:tcBorders>
            <w:shd w:val="clear" w:color="auto" w:fill="auto"/>
            <w:noWrap/>
            <w:vAlign w:val="center"/>
          </w:tcPr>
          <w:p w14:paraId="6B19C9DE" w14:textId="62454642"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100,9</w:t>
            </w:r>
          </w:p>
        </w:tc>
      </w:tr>
      <w:tr w:rsidR="00945E04" w:rsidRPr="003D514A" w14:paraId="5D1AF47D"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702288AA" w14:textId="77777777" w:rsidR="00945E04" w:rsidRPr="00602E3C" w:rsidRDefault="00945E04" w:rsidP="00945E04">
            <w:pPr>
              <w:keepNext/>
              <w:keepLines/>
              <w:spacing w:before="120" w:after="120"/>
              <w:rPr>
                <w:rFonts w:ascii="Times New Roman" w:hAnsi="Times New Roman" w:cs="Times New Roman"/>
                <w:b/>
                <w:bCs/>
                <w:sz w:val="20"/>
                <w:szCs w:val="20"/>
              </w:rPr>
            </w:pPr>
            <w:r w:rsidRPr="62456E77">
              <w:rPr>
                <w:rFonts w:ascii="Times New Roman" w:hAnsi="Times New Roman" w:cs="Times New Roman"/>
                <w:b/>
                <w:bCs/>
                <w:sz w:val="20"/>
                <w:szCs w:val="20"/>
              </w:rPr>
              <w:t>Elkülönített állami pénzalapok egyenlege</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77E1D897" w14:textId="5B2CAFF9"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138,2</w:t>
            </w:r>
          </w:p>
        </w:tc>
        <w:tc>
          <w:tcPr>
            <w:tcW w:w="1134" w:type="dxa"/>
            <w:tcBorders>
              <w:top w:val="nil"/>
              <w:left w:val="nil"/>
              <w:bottom w:val="single" w:sz="4" w:space="0" w:color="auto"/>
              <w:right w:val="single" w:sz="4" w:space="0" w:color="auto"/>
            </w:tcBorders>
            <w:shd w:val="clear" w:color="auto" w:fill="auto"/>
            <w:noWrap/>
            <w:vAlign w:val="center"/>
          </w:tcPr>
          <w:p w14:paraId="2E3F1C5B" w14:textId="15D27BE2"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rPr>
              <w:t>78,6</w:t>
            </w:r>
          </w:p>
        </w:tc>
        <w:tc>
          <w:tcPr>
            <w:tcW w:w="1075" w:type="dxa"/>
            <w:tcBorders>
              <w:top w:val="nil"/>
              <w:left w:val="nil"/>
              <w:bottom w:val="single" w:sz="4" w:space="0" w:color="auto"/>
              <w:right w:val="single" w:sz="4" w:space="0" w:color="auto"/>
            </w:tcBorders>
            <w:shd w:val="clear" w:color="auto" w:fill="auto"/>
            <w:noWrap/>
            <w:vAlign w:val="center"/>
          </w:tcPr>
          <w:p w14:paraId="462FA081" w14:textId="3306A406"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56,9</w:t>
            </w:r>
          </w:p>
        </w:tc>
        <w:tc>
          <w:tcPr>
            <w:tcW w:w="1103" w:type="dxa"/>
            <w:tcBorders>
              <w:top w:val="nil"/>
              <w:left w:val="nil"/>
              <w:bottom w:val="single" w:sz="4" w:space="0" w:color="auto"/>
              <w:right w:val="single" w:sz="4" w:space="0" w:color="auto"/>
            </w:tcBorders>
            <w:shd w:val="clear" w:color="auto" w:fill="auto"/>
            <w:noWrap/>
            <w:vAlign w:val="center"/>
          </w:tcPr>
          <w:p w14:paraId="2C2D5FB6" w14:textId="4853897A"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88,6</w:t>
            </w:r>
          </w:p>
        </w:tc>
        <w:tc>
          <w:tcPr>
            <w:tcW w:w="1224" w:type="dxa"/>
            <w:tcBorders>
              <w:top w:val="nil"/>
              <w:left w:val="nil"/>
              <w:bottom w:val="single" w:sz="4" w:space="0" w:color="auto"/>
              <w:right w:val="single" w:sz="4" w:space="0" w:color="auto"/>
            </w:tcBorders>
            <w:shd w:val="clear" w:color="auto" w:fill="auto"/>
            <w:noWrap/>
            <w:vAlign w:val="center"/>
          </w:tcPr>
          <w:p w14:paraId="63BDA3B4" w14:textId="4226D630"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19,3</w:t>
            </w:r>
          </w:p>
        </w:tc>
        <w:tc>
          <w:tcPr>
            <w:tcW w:w="1159" w:type="dxa"/>
            <w:tcBorders>
              <w:top w:val="nil"/>
              <w:left w:val="nil"/>
              <w:bottom w:val="single" w:sz="4" w:space="0" w:color="auto"/>
              <w:right w:val="single" w:sz="4" w:space="0" w:color="auto"/>
            </w:tcBorders>
            <w:shd w:val="clear" w:color="auto" w:fill="auto"/>
            <w:noWrap/>
            <w:vAlign w:val="center"/>
          </w:tcPr>
          <w:p w14:paraId="7D3E2161" w14:textId="2ED1593F"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21,8</w:t>
            </w:r>
          </w:p>
        </w:tc>
        <w:tc>
          <w:tcPr>
            <w:tcW w:w="1113" w:type="dxa"/>
            <w:tcBorders>
              <w:top w:val="nil"/>
              <w:left w:val="nil"/>
              <w:bottom w:val="single" w:sz="4" w:space="0" w:color="auto"/>
              <w:right w:val="single" w:sz="4" w:space="0" w:color="auto"/>
            </w:tcBorders>
            <w:shd w:val="clear" w:color="auto" w:fill="auto"/>
            <w:noWrap/>
            <w:vAlign w:val="center"/>
          </w:tcPr>
          <w:p w14:paraId="53938325" w14:textId="76C211BA"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24,5</w:t>
            </w:r>
          </w:p>
        </w:tc>
      </w:tr>
      <w:tr w:rsidR="00945E04" w:rsidRPr="003D514A" w14:paraId="28F7F28C"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E223547" w14:textId="77777777" w:rsidR="00945E04" w:rsidRPr="00602E3C" w:rsidRDefault="00945E04" w:rsidP="00945E04">
            <w:pPr>
              <w:keepNext/>
              <w:keepLines/>
              <w:spacing w:before="120" w:after="120"/>
              <w:jc w:val="right"/>
              <w:rPr>
                <w:rFonts w:ascii="Times New Roman" w:hAnsi="Times New Roman" w:cs="Times New Roman"/>
                <w:sz w:val="20"/>
                <w:szCs w:val="20"/>
              </w:rPr>
            </w:pPr>
            <w:r w:rsidRPr="62456E77">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162C4C7" w14:textId="3B0D3C14"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856,5</w:t>
            </w:r>
          </w:p>
        </w:tc>
        <w:tc>
          <w:tcPr>
            <w:tcW w:w="1134" w:type="dxa"/>
            <w:tcBorders>
              <w:top w:val="nil"/>
              <w:left w:val="nil"/>
              <w:bottom w:val="single" w:sz="4" w:space="0" w:color="auto"/>
              <w:right w:val="single" w:sz="4" w:space="0" w:color="auto"/>
            </w:tcBorders>
            <w:shd w:val="clear" w:color="auto" w:fill="auto"/>
            <w:noWrap/>
            <w:vAlign w:val="center"/>
          </w:tcPr>
          <w:p w14:paraId="3523D3FF" w14:textId="2F403F6C"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rPr>
              <w:t>211,0</w:t>
            </w:r>
          </w:p>
        </w:tc>
        <w:tc>
          <w:tcPr>
            <w:tcW w:w="1075" w:type="dxa"/>
            <w:tcBorders>
              <w:top w:val="nil"/>
              <w:left w:val="nil"/>
              <w:bottom w:val="single" w:sz="4" w:space="0" w:color="auto"/>
              <w:right w:val="single" w:sz="4" w:space="0" w:color="auto"/>
            </w:tcBorders>
            <w:shd w:val="clear" w:color="auto" w:fill="auto"/>
            <w:noWrap/>
            <w:vAlign w:val="center"/>
          </w:tcPr>
          <w:p w14:paraId="3A889EFA" w14:textId="4D3F8291"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24,6</w:t>
            </w:r>
          </w:p>
        </w:tc>
        <w:tc>
          <w:tcPr>
            <w:tcW w:w="1103" w:type="dxa"/>
            <w:tcBorders>
              <w:top w:val="nil"/>
              <w:left w:val="nil"/>
              <w:bottom w:val="single" w:sz="4" w:space="0" w:color="auto"/>
              <w:right w:val="single" w:sz="4" w:space="0" w:color="auto"/>
            </w:tcBorders>
            <w:shd w:val="clear" w:color="auto" w:fill="auto"/>
            <w:noWrap/>
            <w:vAlign w:val="center"/>
          </w:tcPr>
          <w:p w14:paraId="26479F49" w14:textId="1E886642"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845,7</w:t>
            </w:r>
          </w:p>
        </w:tc>
        <w:tc>
          <w:tcPr>
            <w:tcW w:w="1224" w:type="dxa"/>
            <w:tcBorders>
              <w:top w:val="nil"/>
              <w:left w:val="nil"/>
              <w:bottom w:val="single" w:sz="4" w:space="0" w:color="auto"/>
              <w:right w:val="single" w:sz="4" w:space="0" w:color="auto"/>
            </w:tcBorders>
            <w:shd w:val="clear" w:color="auto" w:fill="auto"/>
            <w:noWrap/>
            <w:vAlign w:val="center"/>
          </w:tcPr>
          <w:p w14:paraId="24B66B6B" w14:textId="17A990B2"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190,9</w:t>
            </w:r>
          </w:p>
        </w:tc>
        <w:tc>
          <w:tcPr>
            <w:tcW w:w="1159" w:type="dxa"/>
            <w:tcBorders>
              <w:top w:val="nil"/>
              <w:left w:val="nil"/>
              <w:bottom w:val="single" w:sz="4" w:space="0" w:color="auto"/>
              <w:right w:val="single" w:sz="4" w:space="0" w:color="auto"/>
            </w:tcBorders>
            <w:shd w:val="clear" w:color="auto" w:fill="auto"/>
            <w:noWrap/>
            <w:vAlign w:val="center"/>
          </w:tcPr>
          <w:p w14:paraId="0543AEAF" w14:textId="08173874"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22,6</w:t>
            </w:r>
          </w:p>
        </w:tc>
        <w:tc>
          <w:tcPr>
            <w:tcW w:w="1113" w:type="dxa"/>
            <w:tcBorders>
              <w:top w:val="nil"/>
              <w:left w:val="nil"/>
              <w:bottom w:val="single" w:sz="4" w:space="0" w:color="auto"/>
              <w:right w:val="single" w:sz="4" w:space="0" w:color="auto"/>
            </w:tcBorders>
            <w:shd w:val="clear" w:color="auto" w:fill="auto"/>
            <w:noWrap/>
            <w:vAlign w:val="center"/>
          </w:tcPr>
          <w:p w14:paraId="109115A4" w14:textId="35D0F4E5"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90,5</w:t>
            </w:r>
          </w:p>
        </w:tc>
      </w:tr>
      <w:tr w:rsidR="00945E04" w:rsidRPr="00190176" w14:paraId="1E40C612"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B20A0A7" w14:textId="77777777" w:rsidR="00945E04" w:rsidRPr="00602E3C" w:rsidRDefault="00945E04" w:rsidP="00945E04">
            <w:pPr>
              <w:keepNext/>
              <w:keepLines/>
              <w:spacing w:before="120" w:after="120"/>
              <w:jc w:val="right"/>
              <w:rPr>
                <w:rFonts w:ascii="Times New Roman" w:hAnsi="Times New Roman" w:cs="Times New Roman"/>
                <w:sz w:val="20"/>
                <w:szCs w:val="20"/>
              </w:rPr>
            </w:pPr>
            <w:r w:rsidRPr="62456E77">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DBFFE8F" w14:textId="0B78C695"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718,3</w:t>
            </w:r>
          </w:p>
        </w:tc>
        <w:tc>
          <w:tcPr>
            <w:tcW w:w="1134" w:type="dxa"/>
            <w:tcBorders>
              <w:top w:val="nil"/>
              <w:left w:val="nil"/>
              <w:bottom w:val="single" w:sz="4" w:space="0" w:color="auto"/>
              <w:right w:val="single" w:sz="4" w:space="0" w:color="auto"/>
            </w:tcBorders>
            <w:shd w:val="clear" w:color="auto" w:fill="auto"/>
            <w:noWrap/>
            <w:vAlign w:val="center"/>
          </w:tcPr>
          <w:p w14:paraId="09959044" w14:textId="127E2F3D"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rPr>
              <w:t>132,4</w:t>
            </w:r>
          </w:p>
        </w:tc>
        <w:tc>
          <w:tcPr>
            <w:tcW w:w="1075" w:type="dxa"/>
            <w:tcBorders>
              <w:top w:val="nil"/>
              <w:left w:val="nil"/>
              <w:bottom w:val="single" w:sz="4" w:space="0" w:color="auto"/>
              <w:right w:val="single" w:sz="4" w:space="0" w:color="auto"/>
            </w:tcBorders>
            <w:shd w:val="clear" w:color="auto" w:fill="auto"/>
            <w:noWrap/>
            <w:vAlign w:val="center"/>
          </w:tcPr>
          <w:p w14:paraId="49CC2BC9" w14:textId="70622E43"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 xml:space="preserve">18,4 </w:t>
            </w:r>
          </w:p>
        </w:tc>
        <w:tc>
          <w:tcPr>
            <w:tcW w:w="1103" w:type="dxa"/>
            <w:tcBorders>
              <w:top w:val="nil"/>
              <w:left w:val="nil"/>
              <w:bottom w:val="single" w:sz="4" w:space="0" w:color="auto"/>
              <w:right w:val="single" w:sz="4" w:space="0" w:color="auto"/>
            </w:tcBorders>
            <w:shd w:val="clear" w:color="auto" w:fill="auto"/>
            <w:noWrap/>
            <w:vAlign w:val="center"/>
          </w:tcPr>
          <w:p w14:paraId="38B8A8DE" w14:textId="6645460E"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757,2</w:t>
            </w:r>
          </w:p>
        </w:tc>
        <w:tc>
          <w:tcPr>
            <w:tcW w:w="1224" w:type="dxa"/>
            <w:tcBorders>
              <w:top w:val="nil"/>
              <w:left w:val="nil"/>
              <w:bottom w:val="single" w:sz="4" w:space="0" w:color="auto"/>
              <w:right w:val="single" w:sz="4" w:space="0" w:color="auto"/>
            </w:tcBorders>
            <w:shd w:val="clear" w:color="auto" w:fill="auto"/>
            <w:noWrap/>
            <w:vAlign w:val="center"/>
          </w:tcPr>
          <w:p w14:paraId="1F33273D" w14:textId="5608F9CA"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171,6</w:t>
            </w:r>
          </w:p>
        </w:tc>
        <w:tc>
          <w:tcPr>
            <w:tcW w:w="1159" w:type="dxa"/>
            <w:tcBorders>
              <w:top w:val="nil"/>
              <w:left w:val="nil"/>
              <w:bottom w:val="single" w:sz="4" w:space="0" w:color="auto"/>
              <w:right w:val="single" w:sz="4" w:space="0" w:color="auto"/>
            </w:tcBorders>
            <w:shd w:val="clear" w:color="auto" w:fill="auto"/>
            <w:noWrap/>
            <w:vAlign w:val="center"/>
          </w:tcPr>
          <w:p w14:paraId="087519CB" w14:textId="54511F58"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22,7</w:t>
            </w:r>
          </w:p>
        </w:tc>
        <w:tc>
          <w:tcPr>
            <w:tcW w:w="1113" w:type="dxa"/>
            <w:tcBorders>
              <w:top w:val="nil"/>
              <w:left w:val="nil"/>
              <w:bottom w:val="single" w:sz="4" w:space="0" w:color="auto"/>
              <w:right w:val="single" w:sz="4" w:space="0" w:color="auto"/>
            </w:tcBorders>
            <w:shd w:val="clear" w:color="auto" w:fill="auto"/>
            <w:noWrap/>
            <w:vAlign w:val="center"/>
          </w:tcPr>
          <w:p w14:paraId="0F6B30EE" w14:textId="0A492A57"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129,6</w:t>
            </w:r>
          </w:p>
        </w:tc>
      </w:tr>
      <w:tr w:rsidR="00945E04" w:rsidRPr="003D514A" w14:paraId="76328518"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35FB6F71" w14:textId="77777777" w:rsidR="00945E04" w:rsidRPr="00602E3C" w:rsidRDefault="00945E04" w:rsidP="00945E04">
            <w:pPr>
              <w:keepNext/>
              <w:keepLines/>
              <w:spacing w:before="120" w:after="120"/>
              <w:rPr>
                <w:rFonts w:ascii="Times New Roman" w:hAnsi="Times New Roman" w:cs="Times New Roman"/>
                <w:b/>
                <w:bCs/>
                <w:sz w:val="20"/>
                <w:szCs w:val="20"/>
              </w:rPr>
            </w:pPr>
            <w:r w:rsidRPr="62456E77">
              <w:rPr>
                <w:rFonts w:ascii="Times New Roman" w:hAnsi="Times New Roman" w:cs="Times New Roman"/>
                <w:b/>
                <w:bCs/>
                <w:sz w:val="20"/>
                <w:szCs w:val="20"/>
              </w:rPr>
              <w:t>Társadalombiztosítás pénzügyi alapjainak egyenlege</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09EEFFCC" w14:textId="32562107"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-230,1</w:t>
            </w:r>
          </w:p>
        </w:tc>
        <w:tc>
          <w:tcPr>
            <w:tcW w:w="1134" w:type="dxa"/>
            <w:tcBorders>
              <w:top w:val="nil"/>
              <w:left w:val="nil"/>
              <w:bottom w:val="single" w:sz="4" w:space="0" w:color="auto"/>
              <w:right w:val="single" w:sz="4" w:space="0" w:color="auto"/>
            </w:tcBorders>
            <w:shd w:val="clear" w:color="auto" w:fill="auto"/>
            <w:noWrap/>
            <w:vAlign w:val="center"/>
          </w:tcPr>
          <w:p w14:paraId="30D7DC00" w14:textId="37D65478"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rPr>
              <w:t>-61,7</w:t>
            </w:r>
          </w:p>
        </w:tc>
        <w:tc>
          <w:tcPr>
            <w:tcW w:w="1075" w:type="dxa"/>
            <w:tcBorders>
              <w:top w:val="nil"/>
              <w:left w:val="nil"/>
              <w:bottom w:val="single" w:sz="4" w:space="0" w:color="auto"/>
              <w:right w:val="single" w:sz="4" w:space="0" w:color="auto"/>
            </w:tcBorders>
            <w:shd w:val="clear" w:color="auto" w:fill="auto"/>
            <w:noWrap/>
            <w:vAlign w:val="center"/>
          </w:tcPr>
          <w:p w14:paraId="641FA9E4" w14:textId="44D0F050"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26,8</w:t>
            </w:r>
          </w:p>
        </w:tc>
        <w:tc>
          <w:tcPr>
            <w:tcW w:w="1103" w:type="dxa"/>
            <w:tcBorders>
              <w:top w:val="nil"/>
              <w:left w:val="nil"/>
              <w:bottom w:val="single" w:sz="4" w:space="0" w:color="auto"/>
              <w:right w:val="single" w:sz="4" w:space="0" w:color="auto"/>
            </w:tcBorders>
            <w:shd w:val="clear" w:color="auto" w:fill="auto"/>
            <w:noWrap/>
            <w:vAlign w:val="center"/>
          </w:tcPr>
          <w:p w14:paraId="2DC56B04" w14:textId="7A2A7520"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0,</w:t>
            </w:r>
            <w:proofErr w:type="spellStart"/>
            <w:r w:rsidRPr="009B11C4">
              <w:rPr>
                <w:rFonts w:ascii="Garamond" w:hAnsi="Garamond"/>
                <w:b/>
                <w:bCs/>
                <w:szCs w:val="20"/>
              </w:rPr>
              <w:t>0</w:t>
            </w:r>
            <w:proofErr w:type="spellEnd"/>
          </w:p>
        </w:tc>
        <w:tc>
          <w:tcPr>
            <w:tcW w:w="1224" w:type="dxa"/>
            <w:tcBorders>
              <w:top w:val="nil"/>
              <w:left w:val="nil"/>
              <w:bottom w:val="single" w:sz="4" w:space="0" w:color="auto"/>
              <w:right w:val="single" w:sz="4" w:space="0" w:color="auto"/>
            </w:tcBorders>
            <w:shd w:val="clear" w:color="auto" w:fill="auto"/>
            <w:noWrap/>
            <w:vAlign w:val="center"/>
          </w:tcPr>
          <w:p w14:paraId="09A75478" w14:textId="20D5D149"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-115,0</w:t>
            </w:r>
          </w:p>
        </w:tc>
        <w:tc>
          <w:tcPr>
            <w:tcW w:w="1159" w:type="dxa"/>
            <w:tcBorders>
              <w:top w:val="nil"/>
              <w:left w:val="nil"/>
              <w:bottom w:val="single" w:sz="4" w:space="0" w:color="auto"/>
              <w:right w:val="single" w:sz="4" w:space="0" w:color="auto"/>
            </w:tcBorders>
            <w:shd w:val="clear" w:color="auto" w:fill="auto"/>
            <w:noWrap/>
            <w:vAlign w:val="center"/>
          </w:tcPr>
          <w:p w14:paraId="7360352A" w14:textId="0A28D5C8"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 </w:t>
            </w:r>
          </w:p>
        </w:tc>
        <w:tc>
          <w:tcPr>
            <w:tcW w:w="1113" w:type="dxa"/>
            <w:tcBorders>
              <w:top w:val="nil"/>
              <w:left w:val="nil"/>
              <w:bottom w:val="single" w:sz="4" w:space="0" w:color="auto"/>
              <w:right w:val="single" w:sz="4" w:space="0" w:color="auto"/>
            </w:tcBorders>
            <w:shd w:val="clear" w:color="auto" w:fill="auto"/>
            <w:noWrap/>
            <w:vAlign w:val="center"/>
          </w:tcPr>
          <w:p w14:paraId="4CE48797" w14:textId="5B2DEEB8"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186,4</w:t>
            </w:r>
          </w:p>
        </w:tc>
      </w:tr>
      <w:tr w:rsidR="00945E04" w:rsidRPr="003D514A" w14:paraId="019242A3"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0B28D060" w14:textId="77777777" w:rsidR="00945E04" w:rsidRPr="00602E3C" w:rsidRDefault="00945E04" w:rsidP="00945E04">
            <w:pPr>
              <w:keepNext/>
              <w:keepLines/>
              <w:spacing w:before="120" w:after="120"/>
              <w:jc w:val="right"/>
              <w:rPr>
                <w:rFonts w:ascii="Times New Roman" w:hAnsi="Times New Roman" w:cs="Times New Roman"/>
                <w:sz w:val="20"/>
                <w:szCs w:val="20"/>
              </w:rPr>
            </w:pPr>
            <w:r w:rsidRPr="62456E77">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37CEA0A8" w14:textId="0B593D1A"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10 526,1</w:t>
            </w:r>
          </w:p>
        </w:tc>
        <w:tc>
          <w:tcPr>
            <w:tcW w:w="1134" w:type="dxa"/>
            <w:tcBorders>
              <w:top w:val="nil"/>
              <w:left w:val="nil"/>
              <w:bottom w:val="single" w:sz="4" w:space="0" w:color="auto"/>
              <w:right w:val="single" w:sz="4" w:space="0" w:color="auto"/>
            </w:tcBorders>
            <w:shd w:val="clear" w:color="auto" w:fill="auto"/>
            <w:noWrap/>
            <w:vAlign w:val="center"/>
          </w:tcPr>
          <w:p w14:paraId="0CF62633" w14:textId="36261DCB"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rPr>
              <w:t>2 895,4</w:t>
            </w:r>
          </w:p>
        </w:tc>
        <w:tc>
          <w:tcPr>
            <w:tcW w:w="1075" w:type="dxa"/>
            <w:tcBorders>
              <w:top w:val="nil"/>
              <w:left w:val="nil"/>
              <w:bottom w:val="single" w:sz="4" w:space="0" w:color="auto"/>
              <w:right w:val="single" w:sz="4" w:space="0" w:color="auto"/>
            </w:tcBorders>
            <w:shd w:val="clear" w:color="auto" w:fill="auto"/>
            <w:noWrap/>
            <w:vAlign w:val="center"/>
          </w:tcPr>
          <w:p w14:paraId="5A242BD9" w14:textId="2F94ABFE"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27,5</w:t>
            </w:r>
          </w:p>
        </w:tc>
        <w:tc>
          <w:tcPr>
            <w:tcW w:w="1103" w:type="dxa"/>
            <w:tcBorders>
              <w:top w:val="nil"/>
              <w:left w:val="nil"/>
              <w:bottom w:val="single" w:sz="4" w:space="0" w:color="auto"/>
              <w:right w:val="single" w:sz="4" w:space="0" w:color="auto"/>
            </w:tcBorders>
            <w:shd w:val="clear" w:color="auto" w:fill="auto"/>
            <w:noWrap/>
            <w:vAlign w:val="center"/>
          </w:tcPr>
          <w:p w14:paraId="38B2FBF3" w14:textId="3F2B64DC"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45786421" w14:textId="0804E122"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3 141,1</w:t>
            </w:r>
          </w:p>
        </w:tc>
        <w:tc>
          <w:tcPr>
            <w:tcW w:w="1159" w:type="dxa"/>
            <w:tcBorders>
              <w:top w:val="nil"/>
              <w:left w:val="nil"/>
              <w:bottom w:val="single" w:sz="4" w:space="0" w:color="auto"/>
              <w:right w:val="single" w:sz="4" w:space="0" w:color="auto"/>
            </w:tcBorders>
            <w:shd w:val="clear" w:color="auto" w:fill="auto"/>
            <w:noWrap/>
            <w:vAlign w:val="center"/>
          </w:tcPr>
          <w:p w14:paraId="36A63170" w14:textId="5A29F983"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27,9</w:t>
            </w:r>
          </w:p>
        </w:tc>
        <w:tc>
          <w:tcPr>
            <w:tcW w:w="1113" w:type="dxa"/>
            <w:tcBorders>
              <w:top w:val="nil"/>
              <w:left w:val="nil"/>
              <w:bottom w:val="single" w:sz="4" w:space="0" w:color="auto"/>
              <w:right w:val="single" w:sz="4" w:space="0" w:color="auto"/>
            </w:tcBorders>
            <w:shd w:val="clear" w:color="auto" w:fill="auto"/>
            <w:noWrap/>
            <w:vAlign w:val="center"/>
          </w:tcPr>
          <w:p w14:paraId="20C35B4C" w14:textId="5AEF0FDA"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108,4</w:t>
            </w:r>
          </w:p>
        </w:tc>
      </w:tr>
      <w:tr w:rsidR="00945E04" w:rsidRPr="003D514A" w14:paraId="57754C66"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131A64" w14:textId="77777777" w:rsidR="00945E04" w:rsidRPr="00602E3C" w:rsidRDefault="00945E04" w:rsidP="00945E04">
            <w:pPr>
              <w:keepNext/>
              <w:keepLines/>
              <w:spacing w:before="120" w:after="120"/>
              <w:jc w:val="right"/>
              <w:rPr>
                <w:rFonts w:ascii="Times New Roman" w:hAnsi="Times New Roman" w:cs="Times New Roman"/>
                <w:sz w:val="20"/>
                <w:szCs w:val="20"/>
              </w:rPr>
            </w:pPr>
            <w:r w:rsidRPr="62456E77">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6EE84A7D" w14:textId="50E1C587"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10 756,2</w:t>
            </w:r>
          </w:p>
        </w:tc>
        <w:tc>
          <w:tcPr>
            <w:tcW w:w="1134" w:type="dxa"/>
            <w:tcBorders>
              <w:top w:val="nil"/>
              <w:left w:val="nil"/>
              <w:bottom w:val="single" w:sz="4" w:space="0" w:color="auto"/>
              <w:right w:val="single" w:sz="4" w:space="0" w:color="auto"/>
            </w:tcBorders>
            <w:shd w:val="clear" w:color="auto" w:fill="auto"/>
            <w:noWrap/>
            <w:vAlign w:val="center"/>
          </w:tcPr>
          <w:p w14:paraId="607E92BF" w14:textId="0AA8D7B9"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rPr>
              <w:t>2 957,1</w:t>
            </w:r>
          </w:p>
        </w:tc>
        <w:tc>
          <w:tcPr>
            <w:tcW w:w="1075" w:type="dxa"/>
            <w:tcBorders>
              <w:top w:val="nil"/>
              <w:left w:val="nil"/>
              <w:bottom w:val="single" w:sz="4" w:space="0" w:color="auto"/>
              <w:right w:val="single" w:sz="4" w:space="0" w:color="auto"/>
            </w:tcBorders>
            <w:shd w:val="clear" w:color="auto" w:fill="auto"/>
            <w:noWrap/>
            <w:vAlign w:val="center"/>
          </w:tcPr>
          <w:p w14:paraId="72D0949B" w14:textId="69DC0595"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27,5</w:t>
            </w:r>
          </w:p>
        </w:tc>
        <w:tc>
          <w:tcPr>
            <w:tcW w:w="1103" w:type="dxa"/>
            <w:tcBorders>
              <w:top w:val="nil"/>
              <w:left w:val="nil"/>
              <w:bottom w:val="single" w:sz="4" w:space="0" w:color="auto"/>
              <w:right w:val="single" w:sz="4" w:space="0" w:color="auto"/>
            </w:tcBorders>
            <w:shd w:val="clear" w:color="auto" w:fill="auto"/>
            <w:noWrap/>
            <w:vAlign w:val="center"/>
          </w:tcPr>
          <w:p w14:paraId="46E1FBBD" w14:textId="7C076876"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11 261,1</w:t>
            </w:r>
          </w:p>
        </w:tc>
        <w:tc>
          <w:tcPr>
            <w:tcW w:w="1224" w:type="dxa"/>
            <w:tcBorders>
              <w:top w:val="nil"/>
              <w:left w:val="nil"/>
              <w:bottom w:val="single" w:sz="4" w:space="0" w:color="auto"/>
              <w:right w:val="single" w:sz="4" w:space="0" w:color="auto"/>
            </w:tcBorders>
            <w:shd w:val="clear" w:color="auto" w:fill="auto"/>
            <w:noWrap/>
            <w:vAlign w:val="center"/>
          </w:tcPr>
          <w:p w14:paraId="66835E32" w14:textId="712D08DF"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3 256,1</w:t>
            </w:r>
          </w:p>
        </w:tc>
        <w:tc>
          <w:tcPr>
            <w:tcW w:w="1159" w:type="dxa"/>
            <w:tcBorders>
              <w:top w:val="nil"/>
              <w:left w:val="nil"/>
              <w:bottom w:val="single" w:sz="4" w:space="0" w:color="auto"/>
              <w:right w:val="single" w:sz="4" w:space="0" w:color="auto"/>
            </w:tcBorders>
            <w:shd w:val="clear" w:color="auto" w:fill="auto"/>
            <w:noWrap/>
            <w:vAlign w:val="center"/>
          </w:tcPr>
          <w:p w14:paraId="58C18A84" w14:textId="7122E1CB"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28,9</w:t>
            </w:r>
          </w:p>
        </w:tc>
        <w:tc>
          <w:tcPr>
            <w:tcW w:w="1113" w:type="dxa"/>
            <w:tcBorders>
              <w:top w:val="nil"/>
              <w:left w:val="nil"/>
              <w:bottom w:val="single" w:sz="4" w:space="0" w:color="auto"/>
              <w:right w:val="single" w:sz="4" w:space="0" w:color="auto"/>
            </w:tcBorders>
            <w:shd w:val="clear" w:color="auto" w:fill="auto"/>
            <w:noWrap/>
            <w:vAlign w:val="center"/>
          </w:tcPr>
          <w:p w14:paraId="13EBC871" w14:textId="5C5F065E"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110,1</w:t>
            </w:r>
          </w:p>
        </w:tc>
      </w:tr>
      <w:tr w:rsidR="00945E04" w:rsidRPr="003D514A" w14:paraId="0BB4AC6A"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4A00CB7B" w14:textId="77777777" w:rsidR="00945E04" w:rsidRPr="00602E3C" w:rsidRDefault="00945E04" w:rsidP="00945E04">
            <w:pPr>
              <w:keepNext/>
              <w:keepLines/>
              <w:spacing w:before="120" w:after="120"/>
              <w:rPr>
                <w:rFonts w:ascii="Times New Roman" w:hAnsi="Times New Roman" w:cs="Times New Roman"/>
                <w:b/>
                <w:bCs/>
                <w:sz w:val="20"/>
                <w:szCs w:val="20"/>
              </w:rPr>
            </w:pPr>
            <w:r w:rsidRPr="62456E77">
              <w:rPr>
                <w:rFonts w:ascii="Times New Roman" w:hAnsi="Times New Roman" w:cs="Times New Roman"/>
                <w:b/>
                <w:bCs/>
                <w:sz w:val="20"/>
                <w:szCs w:val="20"/>
              </w:rPr>
              <w:t>Egyenleg összesen</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1B8B1324" w14:textId="2033AE66"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-4 095,8</w:t>
            </w:r>
          </w:p>
        </w:tc>
        <w:tc>
          <w:tcPr>
            <w:tcW w:w="1134" w:type="dxa"/>
            <w:tcBorders>
              <w:top w:val="nil"/>
              <w:left w:val="nil"/>
              <w:bottom w:val="single" w:sz="4" w:space="0" w:color="auto"/>
              <w:right w:val="single" w:sz="4" w:space="0" w:color="auto"/>
            </w:tcBorders>
            <w:shd w:val="clear" w:color="auto" w:fill="auto"/>
            <w:noWrap/>
            <w:vAlign w:val="center"/>
          </w:tcPr>
          <w:p w14:paraId="4169FD4E" w14:textId="5D9DBE80"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rPr>
              <w:t>-2 321,4</w:t>
            </w:r>
          </w:p>
        </w:tc>
        <w:tc>
          <w:tcPr>
            <w:tcW w:w="1075" w:type="dxa"/>
            <w:tcBorders>
              <w:top w:val="nil"/>
              <w:left w:val="nil"/>
              <w:bottom w:val="single" w:sz="4" w:space="0" w:color="auto"/>
              <w:right w:val="single" w:sz="4" w:space="0" w:color="auto"/>
            </w:tcBorders>
            <w:shd w:val="clear" w:color="auto" w:fill="auto"/>
            <w:noWrap/>
            <w:vAlign w:val="center"/>
          </w:tcPr>
          <w:p w14:paraId="1A278024" w14:textId="7009E5E5"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56,7</w:t>
            </w:r>
          </w:p>
        </w:tc>
        <w:tc>
          <w:tcPr>
            <w:tcW w:w="1103" w:type="dxa"/>
            <w:tcBorders>
              <w:top w:val="nil"/>
              <w:left w:val="nil"/>
              <w:bottom w:val="single" w:sz="4" w:space="0" w:color="auto"/>
              <w:right w:val="single" w:sz="4" w:space="0" w:color="auto"/>
            </w:tcBorders>
            <w:shd w:val="clear" w:color="auto" w:fill="auto"/>
            <w:noWrap/>
            <w:vAlign w:val="center"/>
          </w:tcPr>
          <w:p w14:paraId="786BA0A5" w14:textId="1F7C0D38"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-4 123,0</w:t>
            </w:r>
          </w:p>
        </w:tc>
        <w:tc>
          <w:tcPr>
            <w:tcW w:w="1224" w:type="dxa"/>
            <w:tcBorders>
              <w:top w:val="nil"/>
              <w:left w:val="nil"/>
              <w:bottom w:val="single" w:sz="4" w:space="0" w:color="auto"/>
              <w:right w:val="single" w:sz="4" w:space="0" w:color="auto"/>
            </w:tcBorders>
            <w:shd w:val="clear" w:color="auto" w:fill="auto"/>
            <w:noWrap/>
            <w:vAlign w:val="center"/>
          </w:tcPr>
          <w:p w14:paraId="53FEC34A" w14:textId="187A8935" w:rsidR="00945E04" w:rsidRPr="007007A3" w:rsidRDefault="00945E04" w:rsidP="00945E04">
            <w:pPr>
              <w:spacing w:before="120" w:after="120"/>
              <w:jc w:val="right"/>
              <w:rPr>
                <w:rFonts w:ascii="Times New Roman" w:hAnsi="Times New Roman" w:cs="Times New Roman"/>
                <w:b/>
                <w:bCs/>
                <w:sz w:val="20"/>
                <w:szCs w:val="20"/>
              </w:rPr>
            </w:pPr>
            <w:r w:rsidRPr="009B11C4">
              <w:rPr>
                <w:rFonts w:ascii="Garamond" w:hAnsi="Garamond"/>
                <w:b/>
                <w:bCs/>
                <w:szCs w:val="20"/>
              </w:rPr>
              <w:t>-2 554,1</w:t>
            </w:r>
          </w:p>
        </w:tc>
        <w:tc>
          <w:tcPr>
            <w:tcW w:w="1159" w:type="dxa"/>
            <w:tcBorders>
              <w:top w:val="nil"/>
              <w:left w:val="nil"/>
              <w:bottom w:val="single" w:sz="4" w:space="0" w:color="auto"/>
              <w:right w:val="single" w:sz="4" w:space="0" w:color="auto"/>
            </w:tcBorders>
            <w:shd w:val="clear" w:color="auto" w:fill="auto"/>
            <w:noWrap/>
            <w:vAlign w:val="center"/>
          </w:tcPr>
          <w:p w14:paraId="6F96D6B4" w14:textId="6B2F5C03"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61,9</w:t>
            </w:r>
          </w:p>
        </w:tc>
        <w:tc>
          <w:tcPr>
            <w:tcW w:w="1113" w:type="dxa"/>
            <w:tcBorders>
              <w:top w:val="nil"/>
              <w:left w:val="nil"/>
              <w:bottom w:val="single" w:sz="4" w:space="0" w:color="auto"/>
              <w:right w:val="single" w:sz="4" w:space="0" w:color="auto"/>
            </w:tcBorders>
            <w:shd w:val="clear" w:color="auto" w:fill="auto"/>
            <w:noWrap/>
            <w:vAlign w:val="center"/>
          </w:tcPr>
          <w:p w14:paraId="08B7BC04" w14:textId="30AF576D"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110,0</w:t>
            </w:r>
          </w:p>
        </w:tc>
      </w:tr>
      <w:tr w:rsidR="00945E04" w:rsidRPr="003D514A" w14:paraId="54A89CE6"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2D471282" w14:textId="77777777" w:rsidR="00945E04" w:rsidRPr="00602E3C" w:rsidRDefault="00945E04" w:rsidP="00945E04">
            <w:pPr>
              <w:keepNext/>
              <w:keepLines/>
              <w:spacing w:before="120" w:after="120"/>
              <w:jc w:val="right"/>
              <w:rPr>
                <w:rFonts w:ascii="Times New Roman" w:hAnsi="Times New Roman" w:cs="Times New Roman"/>
                <w:sz w:val="20"/>
                <w:szCs w:val="20"/>
              </w:rPr>
            </w:pPr>
            <w:r w:rsidRPr="62456E77">
              <w:rPr>
                <w:rFonts w:ascii="Times New Roman" w:hAnsi="Times New Roman" w:cs="Times New Roman"/>
                <w:sz w:val="20"/>
                <w:szCs w:val="20"/>
              </w:rPr>
              <w:t>bevétel:</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1A9DE151" w14:textId="5DC37170"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38 038,2</w:t>
            </w:r>
          </w:p>
        </w:tc>
        <w:tc>
          <w:tcPr>
            <w:tcW w:w="1134" w:type="dxa"/>
            <w:tcBorders>
              <w:top w:val="nil"/>
              <w:left w:val="nil"/>
              <w:bottom w:val="single" w:sz="4" w:space="0" w:color="auto"/>
              <w:right w:val="single" w:sz="4" w:space="0" w:color="auto"/>
            </w:tcBorders>
            <w:shd w:val="clear" w:color="auto" w:fill="auto"/>
            <w:noWrap/>
            <w:vAlign w:val="center"/>
          </w:tcPr>
          <w:p w14:paraId="35D99CF8" w14:textId="15AE9EBD"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rPr>
              <w:t>9 015,4</w:t>
            </w:r>
          </w:p>
        </w:tc>
        <w:tc>
          <w:tcPr>
            <w:tcW w:w="1075" w:type="dxa"/>
            <w:tcBorders>
              <w:top w:val="nil"/>
              <w:left w:val="nil"/>
              <w:bottom w:val="single" w:sz="4" w:space="0" w:color="auto"/>
              <w:right w:val="single" w:sz="4" w:space="0" w:color="auto"/>
            </w:tcBorders>
            <w:shd w:val="clear" w:color="auto" w:fill="auto"/>
            <w:noWrap/>
            <w:vAlign w:val="center"/>
          </w:tcPr>
          <w:p w14:paraId="7867A6F0" w14:textId="660A04F1"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23,7</w:t>
            </w:r>
          </w:p>
        </w:tc>
        <w:tc>
          <w:tcPr>
            <w:tcW w:w="1103" w:type="dxa"/>
            <w:tcBorders>
              <w:top w:val="nil"/>
              <w:left w:val="nil"/>
              <w:bottom w:val="single" w:sz="4" w:space="0" w:color="auto"/>
              <w:right w:val="single" w:sz="4" w:space="0" w:color="auto"/>
            </w:tcBorders>
            <w:shd w:val="clear" w:color="auto" w:fill="auto"/>
            <w:noWrap/>
            <w:vAlign w:val="center"/>
          </w:tcPr>
          <w:p w14:paraId="3B7C4504" w14:textId="40AB3E21"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38 728,8</w:t>
            </w:r>
          </w:p>
        </w:tc>
        <w:tc>
          <w:tcPr>
            <w:tcW w:w="1224" w:type="dxa"/>
            <w:tcBorders>
              <w:top w:val="nil"/>
              <w:left w:val="nil"/>
              <w:bottom w:val="single" w:sz="4" w:space="0" w:color="auto"/>
              <w:right w:val="single" w:sz="4" w:space="0" w:color="auto"/>
            </w:tcBorders>
            <w:shd w:val="clear" w:color="auto" w:fill="auto"/>
            <w:noWrap/>
            <w:vAlign w:val="center"/>
          </w:tcPr>
          <w:p w14:paraId="29707FCC" w14:textId="07E57BE0"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9 197,8</w:t>
            </w:r>
          </w:p>
        </w:tc>
        <w:tc>
          <w:tcPr>
            <w:tcW w:w="1159" w:type="dxa"/>
            <w:tcBorders>
              <w:top w:val="nil"/>
              <w:left w:val="nil"/>
              <w:bottom w:val="single" w:sz="4" w:space="0" w:color="auto"/>
              <w:right w:val="single" w:sz="4" w:space="0" w:color="auto"/>
            </w:tcBorders>
            <w:shd w:val="clear" w:color="auto" w:fill="auto"/>
            <w:noWrap/>
            <w:vAlign w:val="center"/>
          </w:tcPr>
          <w:p w14:paraId="5BE38AAD" w14:textId="3D80DED3"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23,7</w:t>
            </w:r>
          </w:p>
        </w:tc>
        <w:tc>
          <w:tcPr>
            <w:tcW w:w="1113" w:type="dxa"/>
            <w:tcBorders>
              <w:top w:val="nil"/>
              <w:left w:val="nil"/>
              <w:bottom w:val="single" w:sz="4" w:space="0" w:color="auto"/>
              <w:right w:val="single" w:sz="4" w:space="0" w:color="auto"/>
            </w:tcBorders>
            <w:shd w:val="clear" w:color="auto" w:fill="auto"/>
            <w:noWrap/>
            <w:vAlign w:val="center"/>
          </w:tcPr>
          <w:p w14:paraId="434BF952" w14:textId="230386C5"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102,0</w:t>
            </w:r>
          </w:p>
        </w:tc>
      </w:tr>
      <w:tr w:rsidR="00945E04" w:rsidRPr="0096527E" w14:paraId="7BAEDA41" w14:textId="77777777" w:rsidTr="00945E04">
        <w:trPr>
          <w:trHeight w:val="170"/>
          <w:jc w:val="center"/>
        </w:trPr>
        <w:tc>
          <w:tcPr>
            <w:tcW w:w="2047" w:type="dxa"/>
            <w:tcBorders>
              <w:top w:val="nil"/>
              <w:left w:val="single" w:sz="4" w:space="0" w:color="auto"/>
              <w:bottom w:val="single" w:sz="4" w:space="0" w:color="auto"/>
              <w:right w:val="single" w:sz="4" w:space="0" w:color="auto"/>
            </w:tcBorders>
            <w:shd w:val="clear" w:color="auto" w:fill="auto"/>
            <w:vAlign w:val="center"/>
            <w:hideMark/>
          </w:tcPr>
          <w:p w14:paraId="639802C9" w14:textId="77777777" w:rsidR="00945E04" w:rsidRPr="00602E3C" w:rsidRDefault="00945E04" w:rsidP="00945E04">
            <w:pPr>
              <w:keepNext/>
              <w:keepLines/>
              <w:spacing w:before="120" w:after="120"/>
              <w:jc w:val="right"/>
              <w:rPr>
                <w:rFonts w:ascii="Times New Roman" w:hAnsi="Times New Roman" w:cs="Times New Roman"/>
                <w:sz w:val="20"/>
                <w:szCs w:val="20"/>
              </w:rPr>
            </w:pPr>
            <w:r w:rsidRPr="62456E77">
              <w:rPr>
                <w:rFonts w:ascii="Times New Roman" w:hAnsi="Times New Roman" w:cs="Times New Roman"/>
                <w:sz w:val="20"/>
                <w:szCs w:val="20"/>
              </w:rPr>
              <w:t>kiadás:</w:t>
            </w:r>
          </w:p>
        </w:tc>
        <w:tc>
          <w:tcPr>
            <w:tcW w:w="1209" w:type="dxa"/>
            <w:tcBorders>
              <w:top w:val="nil"/>
              <w:left w:val="single" w:sz="4" w:space="0" w:color="auto"/>
              <w:bottom w:val="single" w:sz="4" w:space="0" w:color="auto"/>
              <w:right w:val="single" w:sz="4" w:space="0" w:color="auto"/>
            </w:tcBorders>
            <w:shd w:val="clear" w:color="auto" w:fill="auto"/>
            <w:noWrap/>
            <w:vAlign w:val="center"/>
          </w:tcPr>
          <w:p w14:paraId="59AFD40D" w14:textId="4FDAFF2D"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42 134,0</w:t>
            </w:r>
          </w:p>
        </w:tc>
        <w:tc>
          <w:tcPr>
            <w:tcW w:w="1134" w:type="dxa"/>
            <w:tcBorders>
              <w:top w:val="nil"/>
              <w:left w:val="nil"/>
              <w:bottom w:val="single" w:sz="4" w:space="0" w:color="auto"/>
              <w:right w:val="single" w:sz="4" w:space="0" w:color="auto"/>
            </w:tcBorders>
            <w:shd w:val="clear" w:color="auto" w:fill="auto"/>
            <w:noWrap/>
            <w:vAlign w:val="center"/>
          </w:tcPr>
          <w:p w14:paraId="4966DA4D" w14:textId="7C78CC49"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rPr>
              <w:t>11 336,8</w:t>
            </w:r>
          </w:p>
        </w:tc>
        <w:tc>
          <w:tcPr>
            <w:tcW w:w="1075" w:type="dxa"/>
            <w:tcBorders>
              <w:top w:val="nil"/>
              <w:left w:val="nil"/>
              <w:bottom w:val="single" w:sz="4" w:space="0" w:color="auto"/>
              <w:right w:val="single" w:sz="4" w:space="0" w:color="auto"/>
            </w:tcBorders>
            <w:shd w:val="clear" w:color="auto" w:fill="auto"/>
            <w:noWrap/>
            <w:vAlign w:val="center"/>
          </w:tcPr>
          <w:p w14:paraId="09D1A52D" w14:textId="1ED1FCD0"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26,9</w:t>
            </w:r>
          </w:p>
        </w:tc>
        <w:tc>
          <w:tcPr>
            <w:tcW w:w="1103" w:type="dxa"/>
            <w:tcBorders>
              <w:top w:val="nil"/>
              <w:left w:val="nil"/>
              <w:bottom w:val="single" w:sz="4" w:space="0" w:color="auto"/>
              <w:right w:val="single" w:sz="4" w:space="0" w:color="auto"/>
            </w:tcBorders>
            <w:shd w:val="clear" w:color="auto" w:fill="auto"/>
            <w:noWrap/>
            <w:vAlign w:val="center"/>
          </w:tcPr>
          <w:p w14:paraId="4ABA63B9" w14:textId="3FFC9703"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42 851,8</w:t>
            </w:r>
          </w:p>
        </w:tc>
        <w:tc>
          <w:tcPr>
            <w:tcW w:w="1224" w:type="dxa"/>
            <w:tcBorders>
              <w:top w:val="nil"/>
              <w:left w:val="nil"/>
              <w:bottom w:val="single" w:sz="4" w:space="0" w:color="auto"/>
              <w:right w:val="single" w:sz="4" w:space="0" w:color="auto"/>
            </w:tcBorders>
            <w:shd w:val="clear" w:color="auto" w:fill="auto"/>
            <w:noWrap/>
            <w:vAlign w:val="center"/>
          </w:tcPr>
          <w:p w14:paraId="6B9088C5" w14:textId="4C6ACC7E"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11 751,9</w:t>
            </w:r>
          </w:p>
        </w:tc>
        <w:tc>
          <w:tcPr>
            <w:tcW w:w="1159" w:type="dxa"/>
            <w:tcBorders>
              <w:top w:val="nil"/>
              <w:left w:val="nil"/>
              <w:bottom w:val="single" w:sz="4" w:space="0" w:color="auto"/>
              <w:right w:val="single" w:sz="4" w:space="0" w:color="auto"/>
            </w:tcBorders>
            <w:shd w:val="clear" w:color="auto" w:fill="auto"/>
            <w:noWrap/>
            <w:vAlign w:val="center"/>
          </w:tcPr>
          <w:p w14:paraId="22DBE23B" w14:textId="37147D05"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27,4</w:t>
            </w:r>
          </w:p>
        </w:tc>
        <w:tc>
          <w:tcPr>
            <w:tcW w:w="1113" w:type="dxa"/>
            <w:tcBorders>
              <w:top w:val="nil"/>
              <w:left w:val="nil"/>
              <w:bottom w:val="single" w:sz="4" w:space="0" w:color="auto"/>
              <w:right w:val="single" w:sz="4" w:space="0" w:color="auto"/>
            </w:tcBorders>
            <w:shd w:val="clear" w:color="auto" w:fill="auto"/>
            <w:noWrap/>
            <w:vAlign w:val="center"/>
          </w:tcPr>
          <w:p w14:paraId="6882C43A" w14:textId="14938B12" w:rsidR="00945E04" w:rsidRPr="007007A3" w:rsidRDefault="00945E04" w:rsidP="00945E04">
            <w:pPr>
              <w:spacing w:before="120" w:after="120"/>
              <w:jc w:val="right"/>
              <w:rPr>
                <w:rFonts w:ascii="Times New Roman" w:hAnsi="Times New Roman" w:cs="Times New Roman"/>
                <w:sz w:val="20"/>
                <w:szCs w:val="20"/>
              </w:rPr>
            </w:pPr>
            <w:r w:rsidRPr="009B11C4">
              <w:rPr>
                <w:rFonts w:ascii="Garamond" w:hAnsi="Garamond"/>
                <w:szCs w:val="20"/>
              </w:rPr>
              <w:t>103,7</w:t>
            </w:r>
          </w:p>
        </w:tc>
      </w:tr>
    </w:tbl>
    <w:p w14:paraId="651BA2DD" w14:textId="77777777" w:rsidR="005171E0" w:rsidRDefault="005171E0" w:rsidP="005171E0">
      <w:pPr>
        <w:jc w:val="center"/>
        <w:rPr>
          <w:rFonts w:ascii="Times New Roman" w:eastAsia="Times New Roman" w:hAnsi="Times New Roman" w:cs="Times New Roman"/>
          <w:sz w:val="26"/>
          <w:szCs w:val="26"/>
          <w:lang w:eastAsia="hu-HU"/>
        </w:rPr>
      </w:pPr>
    </w:p>
    <w:p w14:paraId="5D2837F8" w14:textId="77777777" w:rsidR="006D5492" w:rsidRDefault="006D5492" w:rsidP="006D5492">
      <w:pPr>
        <w:pageBreakBefore/>
        <w:spacing w:after="120" w:line="240" w:lineRule="auto"/>
        <w:jc w:val="center"/>
        <w:rPr>
          <w:rFonts w:ascii="Times New Roman" w:eastAsia="Times New Roman" w:hAnsi="Times New Roman" w:cs="Times New Roman"/>
          <w:b/>
          <w:bCs/>
          <w:sz w:val="26"/>
          <w:szCs w:val="26"/>
          <w:lang w:eastAsia="hu-HU"/>
        </w:rPr>
      </w:pPr>
    </w:p>
    <w:p w14:paraId="7B768A93" w14:textId="77777777" w:rsidR="00B155FE" w:rsidRPr="00377D59" w:rsidRDefault="62456E77" w:rsidP="62456E77">
      <w:pPr>
        <w:spacing w:after="120" w:line="240" w:lineRule="auto"/>
        <w:jc w:val="center"/>
        <w:rPr>
          <w:rFonts w:ascii="Times New Roman" w:eastAsia="Times New Roman" w:hAnsi="Times New Roman" w:cs="Times New Roman"/>
          <w:b/>
          <w:bCs/>
          <w:sz w:val="26"/>
          <w:szCs w:val="26"/>
          <w:lang w:eastAsia="hu-HU"/>
        </w:rPr>
      </w:pPr>
      <w:r w:rsidRPr="62456E77">
        <w:rPr>
          <w:rFonts w:ascii="Times New Roman" w:eastAsia="Times New Roman" w:hAnsi="Times New Roman" w:cs="Times New Roman"/>
          <w:b/>
          <w:bCs/>
          <w:sz w:val="26"/>
          <w:szCs w:val="26"/>
          <w:lang w:eastAsia="hu-HU"/>
        </w:rPr>
        <w:t>I.</w:t>
      </w:r>
    </w:p>
    <w:p w14:paraId="7B768A94" w14:textId="77777777" w:rsidR="00B155FE" w:rsidRPr="00377D59" w:rsidRDefault="62456E77" w:rsidP="62456E77">
      <w:pPr>
        <w:keepNext/>
        <w:spacing w:after="120" w:line="240" w:lineRule="auto"/>
        <w:jc w:val="center"/>
        <w:outlineLvl w:val="1"/>
        <w:rPr>
          <w:rFonts w:ascii="Times New Roman" w:eastAsia="Times New Roman" w:hAnsi="Times New Roman" w:cs="Times New Roman"/>
          <w:b/>
          <w:bCs/>
          <w:caps/>
          <w:sz w:val="26"/>
          <w:szCs w:val="26"/>
          <w:lang w:eastAsia="hu-HU"/>
        </w:rPr>
      </w:pPr>
      <w:r w:rsidRPr="62456E77">
        <w:rPr>
          <w:rFonts w:ascii="Times New Roman" w:eastAsia="Times New Roman" w:hAnsi="Times New Roman" w:cs="Times New Roman"/>
          <w:b/>
          <w:bCs/>
          <w:caps/>
          <w:sz w:val="26"/>
          <w:szCs w:val="26"/>
          <w:lang w:eastAsia="hu-HU"/>
        </w:rPr>
        <w:t xml:space="preserve">A központi alrendszer pénzügyi folyamatainak </w:t>
      </w:r>
      <w:r w:rsidR="142D8494">
        <w:br/>
      </w:r>
      <w:r w:rsidRPr="62456E77">
        <w:rPr>
          <w:rFonts w:ascii="Times New Roman" w:eastAsia="Times New Roman" w:hAnsi="Times New Roman" w:cs="Times New Roman"/>
          <w:b/>
          <w:bCs/>
          <w:caps/>
          <w:sz w:val="26"/>
          <w:szCs w:val="26"/>
          <w:lang w:eastAsia="hu-HU"/>
        </w:rPr>
        <w:t>alakulása</w:t>
      </w:r>
    </w:p>
    <w:p w14:paraId="6D461365" w14:textId="08DC9FC2" w:rsidR="0004032B" w:rsidRPr="00377D59" w:rsidRDefault="62456E77" w:rsidP="62456E77">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62456E77">
        <w:rPr>
          <w:rFonts w:ascii="Times New Roman" w:eastAsia="Times New Roman" w:hAnsi="Times New Roman" w:cs="Times New Roman"/>
          <w:b/>
          <w:bCs/>
          <w:smallCaps/>
          <w:sz w:val="28"/>
          <w:szCs w:val="28"/>
          <w:lang w:eastAsia="hu-HU"/>
        </w:rPr>
        <w:t>A főbb bevételek</w:t>
      </w:r>
    </w:p>
    <w:p w14:paraId="12E99013" w14:textId="6403D86A" w:rsidR="0004032B" w:rsidRDefault="62456E77" w:rsidP="62456E77">
      <w:pPr>
        <w:jc w:val="both"/>
        <w:rPr>
          <w:rFonts w:ascii="Times New Roman" w:eastAsia="Times New Roman" w:hAnsi="Times New Roman" w:cs="Times New Roman"/>
          <w:b/>
          <w:bCs/>
          <w:sz w:val="26"/>
          <w:szCs w:val="26"/>
        </w:rPr>
      </w:pPr>
      <w:r w:rsidRPr="62456E77">
        <w:rPr>
          <w:rFonts w:ascii="Times New Roman" w:eastAsia="Times New Roman" w:hAnsi="Times New Roman" w:cs="Times New Roman"/>
          <w:b/>
          <w:bCs/>
          <w:sz w:val="26"/>
          <w:szCs w:val="26"/>
        </w:rPr>
        <w:t xml:space="preserve">A </w:t>
      </w:r>
      <w:r w:rsidR="0090700E" w:rsidRPr="0090700E">
        <w:rPr>
          <w:rFonts w:ascii="Times New Roman" w:eastAsia="Times New Roman" w:hAnsi="Times New Roman" w:cs="Times New Roman"/>
          <w:b/>
          <w:bCs/>
          <w:sz w:val="26"/>
          <w:szCs w:val="26"/>
        </w:rPr>
        <w:t>központi alrendszer március végi 9</w:t>
      </w:r>
      <w:r w:rsidR="00DF1E55">
        <w:rPr>
          <w:rFonts w:ascii="Times New Roman" w:eastAsia="Times New Roman" w:hAnsi="Times New Roman" w:cs="Times New Roman"/>
          <w:b/>
          <w:bCs/>
          <w:sz w:val="26"/>
          <w:szCs w:val="26"/>
        </w:rPr>
        <w:t> </w:t>
      </w:r>
      <w:r w:rsidR="0090700E" w:rsidRPr="0090700E">
        <w:rPr>
          <w:rFonts w:ascii="Times New Roman" w:eastAsia="Times New Roman" w:hAnsi="Times New Roman" w:cs="Times New Roman"/>
          <w:b/>
          <w:bCs/>
          <w:sz w:val="26"/>
          <w:szCs w:val="26"/>
        </w:rPr>
        <w:t xml:space="preserve">197,8 milliárd forint összegű bevételei az előző év azonos időszakához képest 182,4 milliárd forinttal, 2,0%-kal magasabb </w:t>
      </w:r>
      <w:r w:rsidRPr="62456E77">
        <w:rPr>
          <w:rFonts w:ascii="Times New Roman" w:eastAsia="Times New Roman" w:hAnsi="Times New Roman" w:cs="Times New Roman"/>
          <w:b/>
          <w:bCs/>
          <w:sz w:val="26"/>
          <w:szCs w:val="26"/>
        </w:rPr>
        <w:t>összegben alakultak.</w:t>
      </w:r>
    </w:p>
    <w:p w14:paraId="6BBE59DE" w14:textId="549F30CA" w:rsidR="00CF551C" w:rsidRDefault="00945E04" w:rsidP="00C11940">
      <w:pPr>
        <w:pStyle w:val="NormlWeb"/>
        <w:spacing w:before="0" w:beforeAutospacing="0" w:after="120" w:afterAutospacing="0"/>
        <w:jc w:val="center"/>
      </w:pPr>
      <w:r>
        <w:rPr>
          <w:noProof/>
        </w:rPr>
        <w:drawing>
          <wp:inline distT="0" distB="0" distL="0" distR="0" wp14:anchorId="7A1FA493" wp14:editId="31AE594A">
            <wp:extent cx="5940425" cy="2412365"/>
            <wp:effectExtent l="0" t="0" r="3175" b="698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2412365"/>
                    </a:xfrm>
                    <a:prstGeom prst="rect">
                      <a:avLst/>
                    </a:prstGeom>
                  </pic:spPr>
                </pic:pic>
              </a:graphicData>
            </a:graphic>
          </wp:inline>
        </w:drawing>
      </w:r>
    </w:p>
    <w:p w14:paraId="69DD51CA" w14:textId="004DEFC4" w:rsidR="00F6044E" w:rsidRPr="00991169" w:rsidRDefault="00F6044E" w:rsidP="003E2A67">
      <w:pPr>
        <w:jc w:val="both"/>
        <w:rPr>
          <w:rFonts w:ascii="Times New Roman" w:eastAsia="Times New Roman" w:hAnsi="Times New Roman" w:cs="Times New Roman"/>
          <w:sz w:val="26"/>
          <w:szCs w:val="26"/>
          <w:lang w:eastAsia="hu-HU"/>
        </w:rPr>
      </w:pPr>
      <w:r w:rsidRPr="7E1955CF">
        <w:rPr>
          <w:rFonts w:ascii="Times New Roman" w:eastAsia="Times New Roman" w:hAnsi="Times New Roman" w:cs="Times New Roman"/>
          <w:b/>
          <w:sz w:val="26"/>
          <w:szCs w:val="26"/>
          <w:lang w:eastAsia="hu-HU"/>
        </w:rPr>
        <w:t xml:space="preserve">Társasági adó </w:t>
      </w:r>
      <w:r w:rsidR="000A4669">
        <w:rPr>
          <w:rFonts w:ascii="Times New Roman" w:eastAsia="Times New Roman" w:hAnsi="Times New Roman" w:cs="Times New Roman"/>
          <w:sz w:val="26"/>
          <w:szCs w:val="26"/>
          <w:lang w:eastAsia="hu-HU"/>
        </w:rPr>
        <w:t>jogcímen a 2025. </w:t>
      </w:r>
      <w:r w:rsidRPr="7E1955CF">
        <w:rPr>
          <w:rFonts w:ascii="Times New Roman" w:eastAsia="Times New Roman" w:hAnsi="Times New Roman" w:cs="Times New Roman"/>
          <w:sz w:val="26"/>
          <w:szCs w:val="26"/>
          <w:lang w:eastAsia="hu-HU"/>
        </w:rPr>
        <w:t xml:space="preserve">év első </w:t>
      </w:r>
      <w:r w:rsidRPr="00F6044E">
        <w:rPr>
          <w:rFonts w:ascii="Times New Roman" w:eastAsia="Times New Roman" w:hAnsi="Times New Roman" w:cs="Times New Roman"/>
          <w:sz w:val="26"/>
          <w:szCs w:val="20"/>
          <w:lang w:eastAsia="hu-HU"/>
        </w:rPr>
        <w:t>három</w:t>
      </w:r>
      <w:r w:rsidRPr="7E1955CF">
        <w:rPr>
          <w:rFonts w:ascii="Times New Roman" w:eastAsia="Times New Roman" w:hAnsi="Times New Roman" w:cs="Times New Roman"/>
          <w:sz w:val="26"/>
          <w:szCs w:val="26"/>
          <w:lang w:eastAsia="hu-HU"/>
        </w:rPr>
        <w:t xml:space="preserve"> hónapjában </w:t>
      </w:r>
      <w:r w:rsidRPr="00F6044E">
        <w:rPr>
          <w:rFonts w:ascii="Times New Roman" w:eastAsia="Times New Roman" w:hAnsi="Times New Roman" w:cs="Times New Roman"/>
          <w:sz w:val="26"/>
          <w:szCs w:val="20"/>
          <w:lang w:eastAsia="hu-HU"/>
        </w:rPr>
        <w:t xml:space="preserve">204,5 milliárd forint </w:t>
      </w:r>
      <w:r w:rsidRPr="7E1955CF">
        <w:rPr>
          <w:rFonts w:ascii="Times New Roman" w:eastAsia="Times New Roman" w:hAnsi="Times New Roman" w:cs="Times New Roman"/>
          <w:sz w:val="26"/>
          <w:szCs w:val="26"/>
          <w:lang w:eastAsia="hu-HU"/>
        </w:rPr>
        <w:t xml:space="preserve">realizálódott, amely az előző év egyenlegét </w:t>
      </w:r>
      <w:r w:rsidRPr="00F6044E">
        <w:rPr>
          <w:rFonts w:ascii="Times New Roman" w:eastAsia="Times New Roman" w:hAnsi="Times New Roman" w:cs="Times New Roman"/>
          <w:sz w:val="26"/>
          <w:szCs w:val="20"/>
          <w:lang w:eastAsia="hu-HU"/>
        </w:rPr>
        <w:t>9,7</w:t>
      </w:r>
      <w:r w:rsidRPr="7E1955CF">
        <w:rPr>
          <w:rFonts w:ascii="Times New Roman" w:eastAsia="Times New Roman" w:hAnsi="Times New Roman" w:cs="Times New Roman"/>
          <w:sz w:val="26"/>
          <w:szCs w:val="26"/>
          <w:lang w:eastAsia="hu-HU"/>
        </w:rPr>
        <w:t> mi</w:t>
      </w:r>
      <w:r w:rsidR="0090700E">
        <w:rPr>
          <w:rFonts w:ascii="Times New Roman" w:eastAsia="Times New Roman" w:hAnsi="Times New Roman" w:cs="Times New Roman"/>
          <w:sz w:val="26"/>
          <w:szCs w:val="26"/>
          <w:lang w:eastAsia="hu-HU"/>
        </w:rPr>
        <w:t>lliárd forinttal haladta meg. A </w:t>
      </w:r>
      <w:r w:rsidRPr="7E1955CF">
        <w:rPr>
          <w:rFonts w:ascii="Times New Roman" w:eastAsia="Times New Roman" w:hAnsi="Times New Roman" w:cs="Times New Roman"/>
          <w:sz w:val="26"/>
          <w:szCs w:val="26"/>
          <w:lang w:eastAsia="hu-HU"/>
        </w:rPr>
        <w:t>bázisévhez viszonyítva az eltérést az előlegek előző évinél magasabb szintje magyarázza.</w:t>
      </w:r>
    </w:p>
    <w:p w14:paraId="6A979FA0" w14:textId="4E4C4691" w:rsidR="00F6044E" w:rsidRPr="00991169" w:rsidRDefault="00F6044E" w:rsidP="003E2A67">
      <w:pPr>
        <w:jc w:val="both"/>
        <w:rPr>
          <w:rFonts w:ascii="Times New Roman" w:eastAsia="Times New Roman" w:hAnsi="Times New Roman" w:cs="Times New Roman"/>
          <w:sz w:val="26"/>
          <w:szCs w:val="26"/>
          <w:lang w:eastAsia="hu-HU"/>
        </w:rPr>
      </w:pPr>
      <w:r w:rsidRPr="7E1955CF">
        <w:rPr>
          <w:rFonts w:ascii="Times New Roman" w:eastAsia="Times New Roman" w:hAnsi="Times New Roman" w:cs="Times New Roman"/>
          <w:sz w:val="26"/>
          <w:szCs w:val="26"/>
          <w:lang w:eastAsia="hu-HU"/>
        </w:rPr>
        <w:t>A</w:t>
      </w:r>
      <w:r w:rsidRPr="7E1955CF">
        <w:rPr>
          <w:rFonts w:ascii="Times New Roman" w:eastAsia="Times New Roman" w:hAnsi="Times New Roman" w:cs="Times New Roman"/>
          <w:b/>
          <w:sz w:val="26"/>
          <w:szCs w:val="26"/>
          <w:lang w:eastAsia="hu-HU"/>
        </w:rPr>
        <w:t xml:space="preserve"> pénzügyi szervezetek befizetései</w:t>
      </w:r>
      <w:r w:rsidRPr="7E1955CF">
        <w:rPr>
          <w:rFonts w:ascii="Times New Roman" w:eastAsia="Times New Roman" w:hAnsi="Times New Roman" w:cs="Times New Roman"/>
          <w:sz w:val="26"/>
          <w:szCs w:val="26"/>
          <w:lang w:eastAsia="hu-HU"/>
        </w:rPr>
        <w:t xml:space="preserve"> mérlegsoron a 2025.</w:t>
      </w:r>
      <w:r w:rsidR="000A4669">
        <w:rPr>
          <w:rFonts w:ascii="Times New Roman" w:eastAsia="Times New Roman" w:hAnsi="Times New Roman" w:cs="Times New Roman"/>
          <w:sz w:val="26"/>
          <w:szCs w:val="26"/>
          <w:lang w:eastAsia="hu-HU"/>
        </w:rPr>
        <w:t> </w:t>
      </w:r>
      <w:r w:rsidRPr="00F6044E">
        <w:rPr>
          <w:rFonts w:ascii="Times New Roman" w:eastAsia="Times New Roman" w:hAnsi="Times New Roman" w:cs="Times New Roman"/>
          <w:sz w:val="26"/>
          <w:szCs w:val="20"/>
          <w:lang w:eastAsia="hu-HU"/>
        </w:rPr>
        <w:t>év első három hónapjában 32,7 milliárd forint teljesült, amely az előző év egyenlegét 4,2 milliárd forinttal haladja meg.</w:t>
      </w:r>
      <w:r w:rsidRPr="7E1955CF">
        <w:rPr>
          <w:rFonts w:ascii="Times New Roman" w:eastAsia="Times New Roman" w:hAnsi="Times New Roman" w:cs="Times New Roman"/>
          <w:sz w:val="26"/>
          <w:szCs w:val="26"/>
          <w:lang w:eastAsia="hu-HU"/>
        </w:rPr>
        <w:t xml:space="preserve"> Ennek oka a pénzügyi szervezetek különadójának alacsonyabb elszámolásokhoz és önellenőrzésekhez köthető pénzforgalmi kiutalása.</w:t>
      </w:r>
    </w:p>
    <w:p w14:paraId="55D3B6E2" w14:textId="77777777" w:rsidR="00F6044E" w:rsidRPr="00991169" w:rsidRDefault="00F6044E" w:rsidP="003E2A67">
      <w:pPr>
        <w:jc w:val="both"/>
        <w:rPr>
          <w:rFonts w:ascii="Times New Roman" w:eastAsia="Times New Roman" w:hAnsi="Times New Roman" w:cs="Times New Roman"/>
          <w:sz w:val="26"/>
          <w:szCs w:val="26"/>
          <w:lang w:eastAsia="hu-HU"/>
        </w:rPr>
      </w:pPr>
      <w:r w:rsidRPr="7E1955CF">
        <w:rPr>
          <w:rFonts w:ascii="Times New Roman" w:eastAsia="Times New Roman" w:hAnsi="Times New Roman" w:cs="Times New Roman"/>
          <w:sz w:val="26"/>
          <w:szCs w:val="26"/>
          <w:lang w:eastAsia="hu-HU"/>
        </w:rPr>
        <w:t>A</w:t>
      </w:r>
      <w:r w:rsidRPr="7E1955CF">
        <w:rPr>
          <w:rFonts w:ascii="Times New Roman" w:eastAsia="Times New Roman" w:hAnsi="Times New Roman" w:cs="Times New Roman"/>
          <w:b/>
          <w:sz w:val="26"/>
          <w:szCs w:val="26"/>
          <w:lang w:eastAsia="hu-HU"/>
        </w:rPr>
        <w:t xml:space="preserve"> kisadózók tételes adójából</w:t>
      </w:r>
      <w:r w:rsidRPr="7E1955CF">
        <w:rPr>
          <w:rFonts w:ascii="Times New Roman" w:eastAsia="Times New Roman" w:hAnsi="Times New Roman" w:cs="Times New Roman"/>
          <w:sz w:val="26"/>
          <w:szCs w:val="26"/>
          <w:lang w:eastAsia="hu-HU"/>
        </w:rPr>
        <w:t xml:space="preserve"> 2025 első </w:t>
      </w:r>
      <w:r w:rsidRPr="00F6044E">
        <w:rPr>
          <w:rFonts w:ascii="Times New Roman" w:eastAsia="Times New Roman" w:hAnsi="Times New Roman" w:cs="Times New Roman"/>
          <w:sz w:val="26"/>
          <w:szCs w:val="20"/>
          <w:lang w:eastAsia="hu-HU"/>
        </w:rPr>
        <w:t>három</w:t>
      </w:r>
      <w:r w:rsidRPr="7E1955CF">
        <w:rPr>
          <w:rFonts w:ascii="Times New Roman" w:eastAsia="Times New Roman" w:hAnsi="Times New Roman" w:cs="Times New Roman"/>
          <w:sz w:val="26"/>
          <w:szCs w:val="26"/>
          <w:lang w:eastAsia="hu-HU"/>
        </w:rPr>
        <w:t xml:space="preserve"> hónapjában a költségvetésnek </w:t>
      </w:r>
      <w:r w:rsidRPr="00F6044E">
        <w:rPr>
          <w:rFonts w:ascii="Times New Roman" w:eastAsia="Times New Roman" w:hAnsi="Times New Roman" w:cs="Times New Roman"/>
          <w:sz w:val="26"/>
          <w:szCs w:val="20"/>
          <w:lang w:eastAsia="hu-HU"/>
        </w:rPr>
        <w:t>17,4</w:t>
      </w:r>
      <w:r w:rsidRPr="7E1955CF">
        <w:rPr>
          <w:rFonts w:ascii="Times New Roman" w:eastAsia="Times New Roman" w:hAnsi="Times New Roman" w:cs="Times New Roman"/>
          <w:sz w:val="26"/>
          <w:szCs w:val="26"/>
          <w:lang w:eastAsia="hu-HU"/>
        </w:rPr>
        <w:t> milliárd forint bevétele keletkezett, amely 0,</w:t>
      </w:r>
      <w:r w:rsidRPr="00F6044E">
        <w:rPr>
          <w:rFonts w:ascii="Times New Roman" w:eastAsia="Times New Roman" w:hAnsi="Times New Roman" w:cs="Times New Roman"/>
          <w:sz w:val="26"/>
          <w:szCs w:val="20"/>
          <w:lang w:eastAsia="hu-HU"/>
        </w:rPr>
        <w:t>7</w:t>
      </w:r>
      <w:r w:rsidRPr="7E1955CF">
        <w:rPr>
          <w:rFonts w:ascii="Times New Roman" w:eastAsia="Times New Roman" w:hAnsi="Times New Roman" w:cs="Times New Roman"/>
          <w:sz w:val="26"/>
          <w:szCs w:val="26"/>
          <w:lang w:eastAsia="hu-HU"/>
        </w:rPr>
        <w:t> milliárd forinttal több az egy évvel korábbinál. Ennek oka az adónemet választók magasabb létszáma.</w:t>
      </w:r>
    </w:p>
    <w:p w14:paraId="361BDC4F" w14:textId="0F0EF55D" w:rsidR="00991169" w:rsidRPr="00991169" w:rsidRDefault="00F6044E" w:rsidP="003E2A67">
      <w:pPr>
        <w:jc w:val="both"/>
        <w:rPr>
          <w:rFonts w:ascii="Times New Roman" w:eastAsia="Times New Roman" w:hAnsi="Times New Roman" w:cs="Times New Roman"/>
          <w:sz w:val="26"/>
          <w:szCs w:val="26"/>
          <w:lang w:eastAsia="hu-HU"/>
        </w:rPr>
      </w:pPr>
      <w:r w:rsidRPr="7E1955CF">
        <w:rPr>
          <w:rFonts w:ascii="Times New Roman" w:eastAsia="Times New Roman" w:hAnsi="Times New Roman" w:cs="Times New Roman"/>
          <w:sz w:val="26"/>
          <w:szCs w:val="26"/>
          <w:lang w:eastAsia="hu-HU"/>
        </w:rPr>
        <w:t>A</w:t>
      </w:r>
      <w:r w:rsidRPr="7E1955CF">
        <w:rPr>
          <w:rFonts w:ascii="Times New Roman" w:eastAsia="Times New Roman" w:hAnsi="Times New Roman" w:cs="Times New Roman"/>
          <w:b/>
          <w:sz w:val="26"/>
          <w:szCs w:val="26"/>
          <w:lang w:eastAsia="hu-HU"/>
        </w:rPr>
        <w:t xml:space="preserve"> kisvállalati adóból</w:t>
      </w:r>
      <w:r w:rsidRPr="7E1955CF">
        <w:rPr>
          <w:rFonts w:ascii="Times New Roman" w:eastAsia="Times New Roman" w:hAnsi="Times New Roman" w:cs="Times New Roman"/>
          <w:sz w:val="26"/>
          <w:szCs w:val="26"/>
          <w:lang w:eastAsia="hu-HU"/>
        </w:rPr>
        <w:t xml:space="preserve"> származó bevétel a 2025. év első </w:t>
      </w:r>
      <w:r w:rsidRPr="00F6044E">
        <w:rPr>
          <w:rFonts w:ascii="Times New Roman" w:eastAsia="Times New Roman" w:hAnsi="Times New Roman" w:cs="Times New Roman"/>
          <w:sz w:val="26"/>
          <w:szCs w:val="20"/>
          <w:lang w:eastAsia="hu-HU"/>
        </w:rPr>
        <w:t>három</w:t>
      </w:r>
      <w:r w:rsidRPr="7E1955CF">
        <w:rPr>
          <w:rFonts w:ascii="Times New Roman" w:eastAsia="Times New Roman" w:hAnsi="Times New Roman" w:cs="Times New Roman"/>
          <w:sz w:val="26"/>
          <w:szCs w:val="26"/>
          <w:lang w:eastAsia="hu-HU"/>
        </w:rPr>
        <w:t xml:space="preserve"> hónapjában </w:t>
      </w:r>
      <w:r w:rsidRPr="00F6044E">
        <w:rPr>
          <w:rFonts w:ascii="Times New Roman" w:eastAsia="Times New Roman" w:hAnsi="Times New Roman" w:cs="Times New Roman"/>
          <w:sz w:val="26"/>
          <w:szCs w:val="20"/>
          <w:lang w:eastAsia="hu-HU"/>
        </w:rPr>
        <w:t>50,5</w:t>
      </w:r>
      <w:r w:rsidRPr="7E1955CF">
        <w:rPr>
          <w:rFonts w:ascii="Times New Roman" w:eastAsia="Times New Roman" w:hAnsi="Times New Roman" w:cs="Times New Roman"/>
          <w:sz w:val="26"/>
          <w:szCs w:val="26"/>
          <w:lang w:eastAsia="hu-HU"/>
        </w:rPr>
        <w:t xml:space="preserve"> milliárd forint volt, amely </w:t>
      </w:r>
      <w:r w:rsidRPr="00F6044E">
        <w:rPr>
          <w:rFonts w:ascii="Times New Roman" w:eastAsia="Times New Roman" w:hAnsi="Times New Roman" w:cs="Times New Roman"/>
          <w:sz w:val="26"/>
          <w:szCs w:val="20"/>
          <w:lang w:eastAsia="hu-HU"/>
        </w:rPr>
        <w:t>4,8</w:t>
      </w:r>
      <w:r w:rsidRPr="7E1955CF">
        <w:rPr>
          <w:rFonts w:ascii="Times New Roman" w:eastAsia="Times New Roman" w:hAnsi="Times New Roman" w:cs="Times New Roman"/>
          <w:sz w:val="26"/>
          <w:szCs w:val="26"/>
          <w:lang w:eastAsia="hu-HU"/>
        </w:rPr>
        <w:t> milliárd forinttal magasabb az előző év egyenlegénél. Ennek oka az adóalanyok szám</w:t>
      </w:r>
      <w:r w:rsidR="000A4669">
        <w:rPr>
          <w:rFonts w:ascii="Times New Roman" w:eastAsia="Times New Roman" w:hAnsi="Times New Roman" w:cs="Times New Roman"/>
          <w:sz w:val="26"/>
          <w:szCs w:val="26"/>
          <w:lang w:eastAsia="hu-HU"/>
        </w:rPr>
        <w:t xml:space="preserve">ának jelentős mértékű bővülése. </w:t>
      </w:r>
      <w:r w:rsidR="000A4669">
        <w:rPr>
          <w:rFonts w:ascii="Times New Roman" w:eastAsia="Times New Roman" w:hAnsi="Times New Roman" w:cs="Times New Roman"/>
          <w:sz w:val="26"/>
          <w:szCs w:val="20"/>
          <w:lang w:eastAsia="hu-HU"/>
        </w:rPr>
        <w:t>2025 márciusá</w:t>
      </w:r>
      <w:r w:rsidRPr="00F6044E">
        <w:rPr>
          <w:rFonts w:ascii="Times New Roman" w:eastAsia="Times New Roman" w:hAnsi="Times New Roman" w:cs="Times New Roman"/>
          <w:sz w:val="26"/>
          <w:szCs w:val="20"/>
          <w:lang w:eastAsia="hu-HU"/>
        </w:rPr>
        <w:t>ban</w:t>
      </w:r>
      <w:r w:rsidRPr="7E1955CF">
        <w:rPr>
          <w:rFonts w:ascii="Times New Roman" w:eastAsia="Times New Roman" w:hAnsi="Times New Roman" w:cs="Times New Roman"/>
          <w:sz w:val="26"/>
          <w:szCs w:val="26"/>
          <w:lang w:eastAsia="hu-HU"/>
        </w:rPr>
        <w:t xml:space="preserve"> a KIVA alanyok száma meghaladta a </w:t>
      </w:r>
      <w:r w:rsidRPr="00F6044E">
        <w:rPr>
          <w:rFonts w:ascii="Times New Roman" w:eastAsia="Times New Roman" w:hAnsi="Times New Roman" w:cs="Times New Roman"/>
          <w:sz w:val="26"/>
          <w:szCs w:val="20"/>
          <w:lang w:eastAsia="hu-HU"/>
        </w:rPr>
        <w:t>99,2</w:t>
      </w:r>
      <w:r w:rsidRPr="7E1955CF">
        <w:rPr>
          <w:rFonts w:ascii="Times New Roman" w:eastAsia="Times New Roman" w:hAnsi="Times New Roman" w:cs="Times New Roman"/>
          <w:sz w:val="26"/>
          <w:szCs w:val="26"/>
          <w:lang w:eastAsia="hu-HU"/>
        </w:rPr>
        <w:t xml:space="preserve"> ezret.</w:t>
      </w:r>
    </w:p>
    <w:p w14:paraId="05A0FCFD" w14:textId="1773A981" w:rsidR="00640595" w:rsidRDefault="62456E77" w:rsidP="003E2A67">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 </w:t>
      </w:r>
      <w:r w:rsidRPr="62456E77">
        <w:rPr>
          <w:rFonts w:ascii="Times New Roman" w:eastAsia="Times New Roman" w:hAnsi="Times New Roman" w:cs="Times New Roman"/>
          <w:b/>
          <w:bCs/>
          <w:sz w:val="26"/>
          <w:szCs w:val="26"/>
        </w:rPr>
        <w:t>bányajáradék-bevétel</w:t>
      </w:r>
      <w:r w:rsidRPr="62456E77">
        <w:rPr>
          <w:rFonts w:ascii="Times New Roman" w:eastAsia="Times New Roman" w:hAnsi="Times New Roman" w:cs="Times New Roman"/>
          <w:sz w:val="26"/>
          <w:szCs w:val="26"/>
        </w:rPr>
        <w:t xml:space="preserve"> 2025</w:t>
      </w:r>
      <w:r w:rsidR="000A4669">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első három hónapjában 34,4 milliárd forint volt, amely 8,9 milliárd forinttal teljesült magasabban az előző év azonos időszakához képest, amelynek fő oka a bányajáradék számításához kapcs</w:t>
      </w:r>
      <w:r w:rsidR="005F608E">
        <w:rPr>
          <w:rFonts w:ascii="Times New Roman" w:eastAsia="Times New Roman" w:hAnsi="Times New Roman" w:cs="Times New Roman"/>
          <w:sz w:val="26"/>
          <w:szCs w:val="26"/>
        </w:rPr>
        <w:t xml:space="preserve">olódó </w:t>
      </w:r>
      <w:proofErr w:type="spellStart"/>
      <w:r w:rsidR="005F608E">
        <w:rPr>
          <w:rFonts w:ascii="Times New Roman" w:eastAsia="Times New Roman" w:hAnsi="Times New Roman" w:cs="Times New Roman"/>
          <w:sz w:val="26"/>
          <w:szCs w:val="26"/>
        </w:rPr>
        <w:t>makroparaméterek</w:t>
      </w:r>
      <w:proofErr w:type="spellEnd"/>
      <w:r w:rsidR="005F608E">
        <w:rPr>
          <w:rFonts w:ascii="Times New Roman" w:eastAsia="Times New Roman" w:hAnsi="Times New Roman" w:cs="Times New Roman"/>
          <w:sz w:val="26"/>
          <w:szCs w:val="26"/>
        </w:rPr>
        <w:t xml:space="preserve"> (olajár, </w:t>
      </w:r>
      <w:r w:rsidRPr="62456E77">
        <w:rPr>
          <w:rFonts w:ascii="Times New Roman" w:eastAsia="Times New Roman" w:hAnsi="Times New Roman" w:cs="Times New Roman"/>
          <w:sz w:val="26"/>
          <w:szCs w:val="26"/>
        </w:rPr>
        <w:t>gázár, árfolyamok) változása.</w:t>
      </w:r>
    </w:p>
    <w:p w14:paraId="5322C39E" w14:textId="2E3BF816" w:rsidR="72AFD5C4" w:rsidRPr="00377D59" w:rsidRDefault="62456E77" w:rsidP="003E2A67">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Az </w:t>
      </w:r>
      <w:r w:rsidRPr="62456E77">
        <w:rPr>
          <w:rFonts w:ascii="Times New Roman" w:eastAsia="Times New Roman" w:hAnsi="Times New Roman" w:cs="Times New Roman"/>
          <w:b/>
          <w:bCs/>
          <w:sz w:val="26"/>
          <w:szCs w:val="26"/>
        </w:rPr>
        <w:t>útdíjakból származó bevétel</w:t>
      </w:r>
      <w:r w:rsidRPr="62456E77">
        <w:rPr>
          <w:rFonts w:ascii="Times New Roman" w:eastAsia="Times New Roman" w:hAnsi="Times New Roman" w:cs="Times New Roman"/>
          <w:sz w:val="26"/>
          <w:szCs w:val="26"/>
        </w:rPr>
        <w:t xml:space="preserve"> 2024-től külön mérlegsoron jelenik meg, mely az elektronikus útdíj rendszer és az időalapú útdíj rendszer bevételeinek együttes összegét tartalmazza. Az útdíjakból 2025 márciusáig 165,7 milliárd forint bevétel teljesült, amely 13,1 milliárd forinttal magasabb az előző év azonos időszakához viszonyítva. A magasabb teljesülést alapvetően a forgalmi adatok, valamint a díjrendszereket érintő jogszabályi keretek változása okozza.</w:t>
      </w:r>
    </w:p>
    <w:p w14:paraId="685BE235" w14:textId="677CF9AF" w:rsidR="008A66DB" w:rsidRDefault="77316144" w:rsidP="003E2A67">
      <w:pPr>
        <w:jc w:val="both"/>
        <w:rPr>
          <w:rFonts w:ascii="Times New Roman" w:eastAsia="Times New Roman" w:hAnsi="Times New Roman" w:cs="Times New Roman"/>
          <w:sz w:val="26"/>
          <w:szCs w:val="26"/>
        </w:rPr>
      </w:pPr>
      <w:r w:rsidRPr="77316144">
        <w:rPr>
          <w:rFonts w:ascii="Times New Roman" w:eastAsia="Times New Roman" w:hAnsi="Times New Roman" w:cs="Times New Roman"/>
          <w:b/>
          <w:bCs/>
          <w:sz w:val="26"/>
          <w:szCs w:val="26"/>
        </w:rPr>
        <w:t xml:space="preserve">Egyéb központosított bevételekből </w:t>
      </w:r>
      <w:r w:rsidRPr="77316144">
        <w:rPr>
          <w:rFonts w:ascii="Times New Roman" w:eastAsia="Times New Roman" w:hAnsi="Times New Roman" w:cs="Times New Roman"/>
          <w:sz w:val="26"/>
          <w:szCs w:val="26"/>
        </w:rPr>
        <w:t xml:space="preserve">az év első három hónapjában 32,4 milliárd forint bevétel teljesült, amely a törvényi előirányzat 17,8%-ának felel meg. Ezen belül kiemelkedő </w:t>
      </w:r>
      <w:r w:rsidRPr="004F3AFD">
        <w:rPr>
          <w:rFonts w:ascii="Times New Roman" w:eastAsia="Times New Roman" w:hAnsi="Times New Roman" w:cs="Times New Roman"/>
          <w:sz w:val="26"/>
          <w:szCs w:val="26"/>
        </w:rPr>
        <w:t>a bírságbevételekből befolyt 22,3 milliárd forint.</w:t>
      </w:r>
    </w:p>
    <w:p w14:paraId="5DE4A07D" w14:textId="55DBB7E2" w:rsidR="00F6044E" w:rsidRPr="00F6044E" w:rsidRDefault="21A055E4" w:rsidP="003E2A67">
      <w:pPr>
        <w:jc w:val="both"/>
        <w:rPr>
          <w:rFonts w:ascii="Times New Roman" w:eastAsia="Times New Roman" w:hAnsi="Times New Roman" w:cs="Times New Roman"/>
          <w:b/>
          <w:bCs/>
          <w:sz w:val="26"/>
          <w:szCs w:val="26"/>
          <w:lang w:eastAsia="hu-HU"/>
        </w:rPr>
      </w:pPr>
      <w:r w:rsidRPr="21A055E4">
        <w:rPr>
          <w:rFonts w:ascii="Times New Roman" w:eastAsia="Times New Roman" w:hAnsi="Times New Roman" w:cs="Times New Roman"/>
          <w:sz w:val="26"/>
          <w:szCs w:val="26"/>
          <w:lang w:eastAsia="hu-HU"/>
        </w:rPr>
        <w:t>Az</w:t>
      </w:r>
      <w:r w:rsidRPr="21A055E4">
        <w:rPr>
          <w:rFonts w:ascii="Times New Roman" w:eastAsia="Times New Roman" w:hAnsi="Times New Roman" w:cs="Times New Roman"/>
          <w:b/>
          <w:bCs/>
          <w:sz w:val="26"/>
          <w:szCs w:val="26"/>
          <w:lang w:eastAsia="hu-HU"/>
        </w:rPr>
        <w:t xml:space="preserve"> energia ágazat befizetései </w:t>
      </w:r>
      <w:r w:rsidRPr="21A055E4">
        <w:rPr>
          <w:rFonts w:ascii="Times New Roman" w:eastAsia="Times New Roman" w:hAnsi="Times New Roman" w:cs="Times New Roman"/>
          <w:sz w:val="26"/>
          <w:szCs w:val="26"/>
          <w:lang w:eastAsia="hu-HU"/>
        </w:rPr>
        <w:t xml:space="preserve">jogcímen </w:t>
      </w:r>
      <w:r w:rsidR="000A4669">
        <w:rPr>
          <w:rFonts w:ascii="Times New Roman" w:eastAsia="Times New Roman" w:hAnsi="Times New Roman" w:cs="Times New Roman"/>
          <w:sz w:val="26"/>
          <w:szCs w:val="26"/>
          <w:lang w:eastAsia="hu-HU"/>
        </w:rPr>
        <w:t xml:space="preserve">a </w:t>
      </w:r>
      <w:r w:rsidRPr="21A055E4">
        <w:rPr>
          <w:rFonts w:ascii="Times New Roman" w:eastAsia="Times New Roman" w:hAnsi="Times New Roman" w:cs="Times New Roman"/>
          <w:sz w:val="26"/>
          <w:szCs w:val="26"/>
          <w:lang w:eastAsia="hu-HU"/>
        </w:rPr>
        <w:t>2025. év első három hónapjában 46,9 milliárd forint pénzforgalom teljesült, amely az előző év egyenlegét 2,3 milliárd forinttal haladta meg. A t</w:t>
      </w:r>
      <w:r w:rsidR="000A4669">
        <w:rPr>
          <w:rFonts w:ascii="Times New Roman" w:eastAsia="Times New Roman" w:hAnsi="Times New Roman" w:cs="Times New Roman"/>
          <w:sz w:val="26"/>
          <w:szCs w:val="26"/>
          <w:lang w:eastAsia="hu-HU"/>
        </w:rPr>
        <w:t xml:space="preserve">öbbletbevétel forrása az </w:t>
      </w:r>
      <w:proofErr w:type="spellStart"/>
      <w:r w:rsidR="000A4669">
        <w:rPr>
          <w:rFonts w:ascii="Times New Roman" w:eastAsia="Times New Roman" w:hAnsi="Times New Roman" w:cs="Times New Roman"/>
          <w:sz w:val="26"/>
          <w:szCs w:val="26"/>
          <w:lang w:eastAsia="hu-HU"/>
        </w:rPr>
        <w:t>Ural</w:t>
      </w:r>
      <w:r w:rsidRPr="21A055E4">
        <w:rPr>
          <w:rFonts w:ascii="Times New Roman" w:eastAsia="Times New Roman" w:hAnsi="Times New Roman" w:cs="Times New Roman"/>
          <w:sz w:val="26"/>
          <w:szCs w:val="26"/>
          <w:lang w:eastAsia="hu-HU"/>
        </w:rPr>
        <w:t>-Brent</w:t>
      </w:r>
      <w:proofErr w:type="spellEnd"/>
      <w:r w:rsidRPr="21A055E4">
        <w:rPr>
          <w:rFonts w:ascii="Times New Roman" w:eastAsia="Times New Roman" w:hAnsi="Times New Roman" w:cs="Times New Roman"/>
          <w:sz w:val="26"/>
          <w:szCs w:val="26"/>
          <w:lang w:eastAsia="hu-HU"/>
        </w:rPr>
        <w:t xml:space="preserve"> </w:t>
      </w:r>
      <w:proofErr w:type="spellStart"/>
      <w:r w:rsidRPr="21A055E4">
        <w:rPr>
          <w:rFonts w:ascii="Times New Roman" w:eastAsia="Times New Roman" w:hAnsi="Times New Roman" w:cs="Times New Roman"/>
          <w:sz w:val="26"/>
          <w:szCs w:val="26"/>
          <w:lang w:eastAsia="hu-HU"/>
        </w:rPr>
        <w:t>spread</w:t>
      </w:r>
      <w:proofErr w:type="spellEnd"/>
      <w:r w:rsidRPr="21A055E4">
        <w:rPr>
          <w:rFonts w:ascii="Times New Roman" w:eastAsia="Times New Roman" w:hAnsi="Times New Roman" w:cs="Times New Roman"/>
          <w:sz w:val="26"/>
          <w:szCs w:val="26"/>
          <w:lang w:eastAsia="hu-HU"/>
        </w:rPr>
        <w:t xml:space="preserve"> különadó nagyobb mértékű teljesülése a tavalyi évhez képest.</w:t>
      </w:r>
    </w:p>
    <w:p w14:paraId="18996F22" w14:textId="3692C3EF" w:rsidR="00F6044E" w:rsidRPr="00991169" w:rsidRDefault="00F6044E" w:rsidP="003E2A67">
      <w:pPr>
        <w:jc w:val="both"/>
        <w:rPr>
          <w:rFonts w:ascii="Times New Roman" w:eastAsia="Times New Roman" w:hAnsi="Times New Roman" w:cs="Times New Roman"/>
          <w:sz w:val="26"/>
          <w:szCs w:val="26"/>
          <w:highlight w:val="yellow"/>
          <w:lang w:eastAsia="hu-HU"/>
        </w:rPr>
      </w:pPr>
      <w:r w:rsidRPr="7E1955CF">
        <w:rPr>
          <w:rFonts w:ascii="Times New Roman" w:eastAsia="Times New Roman" w:hAnsi="Times New Roman" w:cs="Times New Roman"/>
          <w:b/>
          <w:sz w:val="26"/>
          <w:szCs w:val="26"/>
          <w:lang w:eastAsia="hu-HU"/>
        </w:rPr>
        <w:t xml:space="preserve">Kiskereskedelmi adó </w:t>
      </w:r>
      <w:r w:rsidRPr="7E1955CF">
        <w:rPr>
          <w:rFonts w:ascii="Times New Roman" w:eastAsia="Times New Roman" w:hAnsi="Times New Roman" w:cs="Times New Roman"/>
          <w:sz w:val="26"/>
          <w:szCs w:val="26"/>
          <w:lang w:eastAsia="hu-HU"/>
        </w:rPr>
        <w:t xml:space="preserve">jogcímen a 2025. év első </w:t>
      </w:r>
      <w:r w:rsidRPr="00F6044E">
        <w:rPr>
          <w:rFonts w:ascii="Times New Roman" w:eastAsia="Times New Roman" w:hAnsi="Times New Roman" w:cs="Times New Roman"/>
          <w:sz w:val="26"/>
          <w:szCs w:val="20"/>
          <w:lang w:eastAsia="hu-HU"/>
        </w:rPr>
        <w:t>három</w:t>
      </w:r>
      <w:r w:rsidRPr="7E1955CF">
        <w:rPr>
          <w:rFonts w:ascii="Times New Roman" w:eastAsia="Times New Roman" w:hAnsi="Times New Roman" w:cs="Times New Roman"/>
          <w:sz w:val="26"/>
          <w:szCs w:val="26"/>
          <w:lang w:eastAsia="hu-HU"/>
        </w:rPr>
        <w:t xml:space="preserve"> hónapjában 5</w:t>
      </w:r>
      <w:r w:rsidRPr="00F6044E">
        <w:rPr>
          <w:rFonts w:ascii="Times New Roman" w:eastAsia="Times New Roman" w:hAnsi="Times New Roman" w:cs="Times New Roman"/>
          <w:sz w:val="26"/>
          <w:szCs w:val="20"/>
          <w:lang w:eastAsia="hu-HU"/>
        </w:rPr>
        <w:t>,0</w:t>
      </w:r>
      <w:r w:rsidRPr="7E1955CF">
        <w:rPr>
          <w:rFonts w:ascii="Times New Roman" w:eastAsia="Times New Roman" w:hAnsi="Times New Roman" w:cs="Times New Roman"/>
          <w:sz w:val="26"/>
          <w:szCs w:val="26"/>
          <w:lang w:eastAsia="hu-HU"/>
        </w:rPr>
        <w:t> milliárd forint bevétel teljesült, amely a 2024. évi egyenlegénél 3,</w:t>
      </w:r>
      <w:r w:rsidRPr="00F6044E">
        <w:rPr>
          <w:rFonts w:ascii="Times New Roman" w:eastAsia="Times New Roman" w:hAnsi="Times New Roman" w:cs="Times New Roman"/>
          <w:sz w:val="26"/>
          <w:szCs w:val="20"/>
          <w:lang w:eastAsia="hu-HU"/>
        </w:rPr>
        <w:t xml:space="preserve">7 milliárd forinttal </w:t>
      </w:r>
      <w:r w:rsidR="00FB287A">
        <w:rPr>
          <w:rFonts w:ascii="Times New Roman" w:eastAsia="Times New Roman" w:hAnsi="Times New Roman" w:cs="Times New Roman"/>
          <w:sz w:val="26"/>
          <w:szCs w:val="26"/>
          <w:lang w:eastAsia="hu-HU"/>
        </w:rPr>
        <w:t>kevesebb. A </w:t>
      </w:r>
      <w:r w:rsidRPr="7E1955CF">
        <w:rPr>
          <w:rFonts w:ascii="Times New Roman" w:eastAsia="Times New Roman" w:hAnsi="Times New Roman" w:cs="Times New Roman"/>
          <w:sz w:val="26"/>
          <w:szCs w:val="26"/>
          <w:lang w:eastAsia="hu-HU"/>
        </w:rPr>
        <w:t>bevételek alakulásának hátterében az előlegfizetések, valamint az elszámolásokhoz és önellenőrzésekhez köthető befizetések állnak.</w:t>
      </w:r>
    </w:p>
    <w:p w14:paraId="514922B9" w14:textId="1494C658" w:rsidR="00F6044E" w:rsidRPr="00F6044E" w:rsidRDefault="21A055E4" w:rsidP="003E2A67">
      <w:pPr>
        <w:jc w:val="both"/>
        <w:rPr>
          <w:rFonts w:ascii="Times New Roman" w:eastAsia="Times New Roman" w:hAnsi="Times New Roman" w:cs="Times New Roman"/>
          <w:b/>
          <w:bCs/>
          <w:sz w:val="26"/>
          <w:szCs w:val="26"/>
          <w:lang w:eastAsia="hu-HU"/>
        </w:rPr>
      </w:pPr>
      <w:r w:rsidRPr="21A055E4">
        <w:rPr>
          <w:rFonts w:ascii="Times New Roman" w:eastAsia="Times New Roman" w:hAnsi="Times New Roman" w:cs="Times New Roman"/>
          <w:b/>
          <w:bCs/>
          <w:sz w:val="26"/>
          <w:szCs w:val="26"/>
          <w:lang w:eastAsia="hu-HU"/>
        </w:rPr>
        <w:t xml:space="preserve">Gyógyszergyártói adó </w:t>
      </w:r>
      <w:r w:rsidRPr="21A055E4">
        <w:rPr>
          <w:rFonts w:ascii="Times New Roman" w:eastAsia="Times New Roman" w:hAnsi="Times New Roman" w:cs="Times New Roman"/>
          <w:sz w:val="26"/>
          <w:szCs w:val="26"/>
          <w:lang w:eastAsia="hu-HU"/>
        </w:rPr>
        <w:t xml:space="preserve">jogcímen </w:t>
      </w:r>
      <w:r w:rsidR="000A4669">
        <w:rPr>
          <w:rFonts w:ascii="Times New Roman" w:eastAsia="Times New Roman" w:hAnsi="Times New Roman" w:cs="Times New Roman"/>
          <w:sz w:val="26"/>
          <w:szCs w:val="26"/>
          <w:lang w:eastAsia="hu-HU"/>
        </w:rPr>
        <w:t xml:space="preserve">a </w:t>
      </w:r>
      <w:r w:rsidRPr="21A055E4">
        <w:rPr>
          <w:rFonts w:ascii="Times New Roman" w:eastAsia="Times New Roman" w:hAnsi="Times New Roman" w:cs="Times New Roman"/>
          <w:sz w:val="26"/>
          <w:szCs w:val="26"/>
          <w:lang w:eastAsia="hu-HU"/>
        </w:rPr>
        <w:t xml:space="preserve">2025. év első három hónapjában 0,5 milliárd forint pénzforgalom teljesült, amely 10,0 milliárd forinttal alacsonyabb az előző év azonos időszakához képest. Ennek oka, hogy az eltérő üzleti éves adózó már az előző évben megfizette a 2024. évi adókötelezettségét. Az adónem </w:t>
      </w:r>
      <w:r w:rsidR="000A4669">
        <w:rPr>
          <w:rFonts w:ascii="Times New Roman" w:eastAsia="Times New Roman" w:hAnsi="Times New Roman" w:cs="Times New Roman"/>
          <w:sz w:val="26"/>
          <w:szCs w:val="26"/>
          <w:lang w:eastAsia="hu-HU"/>
        </w:rPr>
        <w:t xml:space="preserve">a </w:t>
      </w:r>
      <w:r w:rsidRPr="21A055E4">
        <w:rPr>
          <w:rFonts w:ascii="Times New Roman" w:eastAsia="Times New Roman" w:hAnsi="Times New Roman" w:cs="Times New Roman"/>
          <w:sz w:val="26"/>
          <w:szCs w:val="26"/>
          <w:lang w:eastAsia="hu-HU"/>
        </w:rPr>
        <w:t>2025. évben megszűnt.</w:t>
      </w:r>
    </w:p>
    <w:p w14:paraId="7D5B2635" w14:textId="05F53FEA" w:rsidR="00F6044E" w:rsidRPr="00F6044E" w:rsidRDefault="21A055E4" w:rsidP="003E2A67">
      <w:pPr>
        <w:widowControl w:val="0"/>
        <w:jc w:val="both"/>
        <w:rPr>
          <w:rFonts w:ascii="Times New Roman" w:eastAsia="Times New Roman" w:hAnsi="Times New Roman" w:cs="Times New Roman"/>
          <w:sz w:val="26"/>
          <w:szCs w:val="26"/>
          <w:lang w:eastAsia="hu-HU"/>
        </w:rPr>
      </w:pPr>
      <w:r w:rsidRPr="21A055E4">
        <w:rPr>
          <w:rFonts w:ascii="Times New Roman" w:eastAsia="Times New Roman" w:hAnsi="Times New Roman" w:cs="Times New Roman"/>
          <w:sz w:val="26"/>
          <w:szCs w:val="26"/>
          <w:lang w:eastAsia="hu-HU"/>
        </w:rPr>
        <w:t xml:space="preserve">A </w:t>
      </w:r>
      <w:r w:rsidRPr="21A055E4">
        <w:rPr>
          <w:rFonts w:ascii="Times New Roman" w:eastAsia="Times New Roman" w:hAnsi="Times New Roman" w:cs="Times New Roman"/>
          <w:b/>
          <w:bCs/>
          <w:sz w:val="26"/>
          <w:szCs w:val="26"/>
          <w:lang w:eastAsia="hu-HU"/>
        </w:rPr>
        <w:t xml:space="preserve">rehabilitációs hozzájárulásból </w:t>
      </w:r>
      <w:r w:rsidRPr="21A055E4">
        <w:rPr>
          <w:rFonts w:ascii="Times New Roman" w:eastAsia="Times New Roman" w:hAnsi="Times New Roman" w:cs="Times New Roman"/>
          <w:sz w:val="26"/>
          <w:szCs w:val="26"/>
          <w:lang w:eastAsia="hu-HU"/>
        </w:rPr>
        <w:t xml:space="preserve">származó bevétel </w:t>
      </w:r>
      <w:r w:rsidR="000A4669">
        <w:rPr>
          <w:rFonts w:ascii="Times New Roman" w:eastAsia="Times New Roman" w:hAnsi="Times New Roman" w:cs="Times New Roman"/>
          <w:sz w:val="26"/>
          <w:szCs w:val="26"/>
          <w:lang w:eastAsia="hu-HU"/>
        </w:rPr>
        <w:t>2025</w:t>
      </w:r>
      <w:r w:rsidRPr="21A055E4">
        <w:rPr>
          <w:rFonts w:ascii="Times New Roman" w:eastAsia="Times New Roman" w:hAnsi="Times New Roman" w:cs="Times New Roman"/>
          <w:sz w:val="26"/>
          <w:szCs w:val="26"/>
          <w:lang w:eastAsia="hu-HU"/>
        </w:rPr>
        <w:t xml:space="preserve"> első három hónapjában 45,8 milliárd forint volt, amely 6,1 milliárd forinttal magasabb az egy évvel korábbi összegnél. Ennek oka a minimálbérnek, így az adó mértékének az emelkedése.</w:t>
      </w:r>
    </w:p>
    <w:p w14:paraId="30C8DA59" w14:textId="6FA8B559" w:rsidR="00F40920" w:rsidRDefault="21A055E4" w:rsidP="003E2A67">
      <w:pPr>
        <w:widowControl w:val="0"/>
        <w:tabs>
          <w:tab w:val="left" w:pos="3105"/>
        </w:tabs>
        <w:jc w:val="both"/>
        <w:rPr>
          <w:rFonts w:ascii="Times New Roman" w:eastAsia="Times New Roman" w:hAnsi="Times New Roman" w:cs="Times New Roman"/>
          <w:sz w:val="26"/>
          <w:szCs w:val="26"/>
          <w:lang w:eastAsia="hu-HU"/>
        </w:rPr>
      </w:pPr>
      <w:r w:rsidRPr="21A055E4">
        <w:rPr>
          <w:rFonts w:ascii="Times New Roman" w:eastAsia="Times New Roman" w:hAnsi="Times New Roman" w:cs="Times New Roman"/>
          <w:sz w:val="26"/>
          <w:szCs w:val="26"/>
          <w:lang w:eastAsia="hu-HU"/>
        </w:rPr>
        <w:t xml:space="preserve">Az év első három hónapjában az </w:t>
      </w:r>
      <w:r w:rsidRPr="21A055E4">
        <w:rPr>
          <w:rFonts w:ascii="Times New Roman" w:eastAsia="Times New Roman" w:hAnsi="Times New Roman" w:cs="Times New Roman"/>
          <w:b/>
          <w:bCs/>
          <w:sz w:val="26"/>
          <w:szCs w:val="26"/>
          <w:lang w:eastAsia="hu-HU"/>
        </w:rPr>
        <w:t>általános forgalmi adóból</w:t>
      </w:r>
      <w:r w:rsidRPr="21A055E4">
        <w:rPr>
          <w:rFonts w:ascii="Times New Roman" w:eastAsia="Times New Roman" w:hAnsi="Times New Roman" w:cs="Times New Roman"/>
          <w:sz w:val="26"/>
          <w:szCs w:val="26"/>
          <w:lang w:eastAsia="hu-HU"/>
        </w:rPr>
        <w:t xml:space="preserve"> 1 913,1</w:t>
      </w:r>
      <w:r w:rsidRPr="21A055E4">
        <w:rPr>
          <w:rFonts w:ascii="Times New Roman" w:eastAsia="Times New Roman" w:hAnsi="Times New Roman" w:cs="Times New Roman"/>
          <w:color w:val="000000" w:themeColor="text1"/>
          <w:sz w:val="26"/>
          <w:szCs w:val="26"/>
          <w:lang w:eastAsia="hu-HU"/>
        </w:rPr>
        <w:t> </w:t>
      </w:r>
      <w:r w:rsidRPr="21A055E4">
        <w:rPr>
          <w:rFonts w:ascii="Times New Roman" w:eastAsia="Times New Roman" w:hAnsi="Times New Roman" w:cs="Times New Roman"/>
          <w:sz w:val="26"/>
          <w:szCs w:val="26"/>
          <w:lang w:eastAsia="hu-HU"/>
        </w:rPr>
        <w:t>milliárd forint bevétele keletkezett a költségvetésnek, ami az egy évvel korábbi bevételt 265,6</w:t>
      </w:r>
      <w:r w:rsidRPr="21A055E4">
        <w:rPr>
          <w:rFonts w:ascii="Times New Roman" w:eastAsia="Times New Roman" w:hAnsi="Times New Roman" w:cs="Times New Roman"/>
          <w:color w:val="000000" w:themeColor="text1"/>
          <w:sz w:val="26"/>
          <w:szCs w:val="26"/>
          <w:lang w:eastAsia="hu-HU"/>
        </w:rPr>
        <w:t> </w:t>
      </w:r>
      <w:r w:rsidRPr="21A055E4">
        <w:rPr>
          <w:rFonts w:ascii="Times New Roman" w:eastAsia="Times New Roman" w:hAnsi="Times New Roman" w:cs="Times New Roman"/>
          <w:sz w:val="26"/>
          <w:szCs w:val="26"/>
          <w:lang w:eastAsia="hu-HU"/>
        </w:rPr>
        <w:t>milliárd forinttal haladja meg.</w:t>
      </w:r>
    </w:p>
    <w:tbl>
      <w:tblPr>
        <w:tblW w:w="6905" w:type="dxa"/>
        <w:jc w:val="center"/>
        <w:tblCellMar>
          <w:left w:w="70" w:type="dxa"/>
          <w:right w:w="70" w:type="dxa"/>
        </w:tblCellMar>
        <w:tblLook w:val="04A0" w:firstRow="1" w:lastRow="0" w:firstColumn="1" w:lastColumn="0" w:noHBand="0" w:noVBand="1"/>
      </w:tblPr>
      <w:tblGrid>
        <w:gridCol w:w="1537"/>
        <w:gridCol w:w="1724"/>
        <w:gridCol w:w="1700"/>
        <w:gridCol w:w="993"/>
        <w:gridCol w:w="951"/>
      </w:tblGrid>
      <w:tr w:rsidR="00F6044E" w:rsidRPr="00D16A5D" w14:paraId="76E62119" w14:textId="77777777" w:rsidTr="00F6044E">
        <w:trPr>
          <w:trHeight w:val="255"/>
          <w:jc w:val="center"/>
        </w:trPr>
        <w:tc>
          <w:tcPr>
            <w:tcW w:w="6905" w:type="dxa"/>
            <w:gridSpan w:val="5"/>
            <w:tcBorders>
              <w:top w:val="nil"/>
              <w:left w:val="nil"/>
              <w:bottom w:val="nil"/>
              <w:right w:val="nil"/>
            </w:tcBorders>
            <w:shd w:val="clear" w:color="auto" w:fill="auto"/>
            <w:noWrap/>
            <w:vAlign w:val="bottom"/>
            <w:hideMark/>
          </w:tcPr>
          <w:p w14:paraId="684D41E7" w14:textId="77777777" w:rsidR="00F6044E" w:rsidRPr="00F6044E" w:rsidRDefault="00F6044E" w:rsidP="00F6044E">
            <w:pPr>
              <w:widowControl w:val="0"/>
              <w:spacing w:before="120"/>
              <w:jc w:val="center"/>
              <w:rPr>
                <w:rFonts w:ascii="Times New Roman" w:hAnsi="Times New Roman" w:cs="Times New Roman"/>
                <w:b/>
                <w:bCs/>
              </w:rPr>
            </w:pPr>
            <w:r w:rsidRPr="00F6044E">
              <w:rPr>
                <w:rFonts w:ascii="Times New Roman" w:hAnsi="Times New Roman" w:cs="Times New Roman"/>
                <w:b/>
                <w:bCs/>
              </w:rPr>
              <w:t xml:space="preserve">Általános forgalmi adó bevétel alakulása (milliárd forint) </w:t>
            </w:r>
          </w:p>
        </w:tc>
      </w:tr>
      <w:tr w:rsidR="00F6044E" w:rsidRPr="00D16A5D" w14:paraId="21F44FD0" w14:textId="77777777" w:rsidTr="005F608E">
        <w:trPr>
          <w:trHeight w:val="340"/>
          <w:jc w:val="center"/>
        </w:trPr>
        <w:tc>
          <w:tcPr>
            <w:tcW w:w="153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590BADC" w14:textId="77777777" w:rsidR="00F6044E" w:rsidRPr="00F6044E" w:rsidRDefault="00F6044E" w:rsidP="00F6044E">
            <w:pPr>
              <w:spacing w:after="0"/>
              <w:jc w:val="center"/>
              <w:rPr>
                <w:rFonts w:ascii="Times New Roman" w:hAnsi="Times New Roman" w:cs="Times New Roman"/>
                <w:b/>
                <w:bCs/>
              </w:rPr>
            </w:pPr>
            <w:r w:rsidRPr="00F6044E">
              <w:rPr>
                <w:rFonts w:ascii="Times New Roman" w:hAnsi="Times New Roman" w:cs="Times New Roman"/>
                <w:b/>
                <w:bCs/>
              </w:rPr>
              <w:t>Megnevezés</w:t>
            </w:r>
          </w:p>
        </w:tc>
        <w:tc>
          <w:tcPr>
            <w:tcW w:w="172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C5D70A6" w14:textId="77777777" w:rsidR="00F6044E" w:rsidRPr="00F6044E" w:rsidRDefault="00F6044E" w:rsidP="00F6044E">
            <w:pPr>
              <w:spacing w:after="0"/>
              <w:jc w:val="center"/>
              <w:rPr>
                <w:rFonts w:ascii="Times New Roman" w:hAnsi="Times New Roman" w:cs="Times New Roman"/>
                <w:b/>
                <w:bCs/>
              </w:rPr>
            </w:pPr>
            <w:r w:rsidRPr="00F6044E">
              <w:rPr>
                <w:rFonts w:ascii="Times New Roman" w:hAnsi="Times New Roman" w:cs="Times New Roman"/>
                <w:b/>
                <w:bCs/>
              </w:rPr>
              <w:t>2024.</w:t>
            </w:r>
          </w:p>
          <w:p w14:paraId="37B76B58" w14:textId="1FBA43A7" w:rsidR="00F6044E" w:rsidRPr="00F6044E" w:rsidRDefault="005F608E" w:rsidP="00F6044E">
            <w:pPr>
              <w:spacing w:after="0"/>
              <w:jc w:val="center"/>
              <w:rPr>
                <w:rFonts w:ascii="Times New Roman" w:hAnsi="Times New Roman" w:cs="Times New Roman"/>
                <w:b/>
                <w:bCs/>
              </w:rPr>
            </w:pPr>
            <w:r>
              <w:rPr>
                <w:rFonts w:ascii="Times New Roman" w:hAnsi="Times New Roman" w:cs="Times New Roman"/>
                <w:b/>
                <w:bCs/>
              </w:rPr>
              <w:t>I-III. hó</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9DDD0C" w14:textId="77777777" w:rsidR="00F6044E" w:rsidRPr="00F6044E" w:rsidRDefault="00F6044E" w:rsidP="00F6044E">
            <w:pPr>
              <w:spacing w:after="0"/>
              <w:jc w:val="center"/>
              <w:rPr>
                <w:rFonts w:ascii="Times New Roman" w:hAnsi="Times New Roman" w:cs="Times New Roman"/>
                <w:b/>
                <w:bCs/>
              </w:rPr>
            </w:pPr>
            <w:r w:rsidRPr="00F6044E">
              <w:rPr>
                <w:rFonts w:ascii="Times New Roman" w:hAnsi="Times New Roman" w:cs="Times New Roman"/>
                <w:b/>
                <w:bCs/>
              </w:rPr>
              <w:t>2025.</w:t>
            </w:r>
          </w:p>
          <w:p w14:paraId="4D35D32D" w14:textId="29135772" w:rsidR="00F6044E" w:rsidRPr="00F6044E" w:rsidRDefault="005F608E" w:rsidP="00F6044E">
            <w:pPr>
              <w:spacing w:after="0"/>
              <w:jc w:val="center"/>
              <w:rPr>
                <w:rFonts w:ascii="Times New Roman" w:hAnsi="Times New Roman" w:cs="Times New Roman"/>
                <w:b/>
                <w:bCs/>
              </w:rPr>
            </w:pPr>
            <w:r>
              <w:rPr>
                <w:rFonts w:ascii="Times New Roman" w:hAnsi="Times New Roman" w:cs="Times New Roman"/>
                <w:b/>
                <w:bCs/>
              </w:rPr>
              <w:t>I-III. hó</w:t>
            </w:r>
          </w:p>
        </w:tc>
        <w:tc>
          <w:tcPr>
            <w:tcW w:w="194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4F33992" w14:textId="77777777" w:rsidR="00F6044E" w:rsidRPr="00F6044E" w:rsidRDefault="00F6044E" w:rsidP="00F6044E">
            <w:pPr>
              <w:spacing w:after="0"/>
              <w:jc w:val="center"/>
              <w:rPr>
                <w:rFonts w:ascii="Times New Roman" w:hAnsi="Times New Roman" w:cs="Times New Roman"/>
                <w:b/>
                <w:bCs/>
              </w:rPr>
            </w:pPr>
            <w:r w:rsidRPr="00F6044E">
              <w:rPr>
                <w:rFonts w:ascii="Times New Roman" w:hAnsi="Times New Roman" w:cs="Times New Roman"/>
                <w:b/>
                <w:bCs/>
              </w:rPr>
              <w:t>Eltérés</w:t>
            </w:r>
          </w:p>
        </w:tc>
      </w:tr>
      <w:tr w:rsidR="00F6044E" w:rsidRPr="00D16A5D" w14:paraId="3CCC831C" w14:textId="77777777" w:rsidTr="005F608E">
        <w:trPr>
          <w:trHeight w:val="340"/>
          <w:jc w:val="center"/>
        </w:trPr>
        <w:tc>
          <w:tcPr>
            <w:tcW w:w="153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4A693C3" w14:textId="77777777" w:rsidR="00F6044E" w:rsidRPr="00F6044E" w:rsidRDefault="00F6044E" w:rsidP="00F6044E">
            <w:pPr>
              <w:spacing w:after="0"/>
              <w:rPr>
                <w:rFonts w:ascii="Times New Roman" w:hAnsi="Times New Roman" w:cs="Times New Roman"/>
                <w:b/>
                <w:bCs/>
              </w:rPr>
            </w:pPr>
          </w:p>
        </w:tc>
        <w:tc>
          <w:tcPr>
            <w:tcW w:w="172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57F7854" w14:textId="77777777" w:rsidR="00F6044E" w:rsidRPr="00F6044E" w:rsidRDefault="00F6044E" w:rsidP="00F6044E">
            <w:pPr>
              <w:spacing w:after="0"/>
              <w:rPr>
                <w:rFonts w:ascii="Times New Roman" w:hAnsi="Times New Roman" w:cs="Times New Roman"/>
                <w:b/>
                <w:bCs/>
              </w:rPr>
            </w:pPr>
          </w:p>
        </w:tc>
        <w:tc>
          <w:tcPr>
            <w:tcW w:w="170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381C36" w14:textId="77777777" w:rsidR="00F6044E" w:rsidRPr="00F6044E" w:rsidRDefault="00F6044E" w:rsidP="00F6044E">
            <w:pPr>
              <w:spacing w:after="0"/>
              <w:rPr>
                <w:rFonts w:ascii="Times New Roman" w:hAnsi="Times New Roman" w:cs="Times New Roman"/>
                <w:b/>
                <w:bCs/>
              </w:rPr>
            </w:pPr>
          </w:p>
        </w:tc>
        <w:tc>
          <w:tcPr>
            <w:tcW w:w="993"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219F1A76" w14:textId="77777777" w:rsidR="00F6044E" w:rsidRPr="00F6044E" w:rsidRDefault="00F6044E" w:rsidP="00F6044E">
            <w:pPr>
              <w:spacing w:after="0"/>
              <w:jc w:val="center"/>
              <w:rPr>
                <w:rFonts w:ascii="Times New Roman" w:hAnsi="Times New Roman" w:cs="Times New Roman"/>
                <w:b/>
                <w:bCs/>
              </w:rPr>
            </w:pPr>
            <w:r w:rsidRPr="00F6044E">
              <w:rPr>
                <w:rFonts w:ascii="Times New Roman" w:hAnsi="Times New Roman" w:cs="Times New Roman"/>
                <w:b/>
                <w:bCs/>
              </w:rPr>
              <w:t>Mrd Ft</w:t>
            </w:r>
          </w:p>
        </w:tc>
        <w:tc>
          <w:tcPr>
            <w:tcW w:w="95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6FC6E859" w14:textId="77777777" w:rsidR="00F6044E" w:rsidRPr="00F6044E" w:rsidRDefault="00F6044E" w:rsidP="00F6044E">
            <w:pPr>
              <w:spacing w:after="0"/>
              <w:jc w:val="center"/>
              <w:rPr>
                <w:rFonts w:ascii="Times New Roman" w:hAnsi="Times New Roman" w:cs="Times New Roman"/>
                <w:b/>
                <w:bCs/>
              </w:rPr>
            </w:pPr>
            <w:r w:rsidRPr="00F6044E">
              <w:rPr>
                <w:rFonts w:ascii="Times New Roman" w:hAnsi="Times New Roman" w:cs="Times New Roman"/>
                <w:b/>
                <w:bCs/>
              </w:rPr>
              <w:t>%</w:t>
            </w:r>
          </w:p>
        </w:tc>
      </w:tr>
      <w:tr w:rsidR="00F6044E" w:rsidRPr="00D16A5D" w14:paraId="24CCC7E4" w14:textId="77777777" w:rsidTr="00F6044E">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EAEDA" w14:textId="77777777" w:rsidR="00F6044E" w:rsidRPr="00F6044E" w:rsidRDefault="00F6044E" w:rsidP="00F6044E">
            <w:pPr>
              <w:spacing w:after="0"/>
              <w:rPr>
                <w:rFonts w:ascii="Times New Roman" w:hAnsi="Times New Roman" w:cs="Times New Roman"/>
              </w:rPr>
            </w:pPr>
            <w:r w:rsidRPr="00F6044E">
              <w:rPr>
                <w:rFonts w:ascii="Times New Roman" w:hAnsi="Times New Roman" w:cs="Times New Roman"/>
              </w:rPr>
              <w:t>Befizetés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6A753" w14:textId="77777777" w:rsidR="00F6044E" w:rsidRPr="00F6044E" w:rsidRDefault="00F6044E" w:rsidP="00F6044E">
            <w:pPr>
              <w:spacing w:after="0"/>
              <w:jc w:val="right"/>
              <w:rPr>
                <w:rFonts w:ascii="Times New Roman" w:hAnsi="Times New Roman" w:cs="Times New Roman"/>
              </w:rPr>
            </w:pPr>
            <w:r w:rsidRPr="00F6044E">
              <w:rPr>
                <w:rFonts w:ascii="Times New Roman" w:hAnsi="Times New Roman" w:cs="Times New Roman"/>
              </w:rPr>
              <w:t>3 085,4</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E1BF5" w14:textId="77777777" w:rsidR="00F6044E" w:rsidRPr="00F6044E" w:rsidRDefault="00F6044E" w:rsidP="00F6044E">
            <w:pPr>
              <w:spacing w:after="0"/>
              <w:jc w:val="right"/>
              <w:rPr>
                <w:rFonts w:ascii="Times New Roman" w:hAnsi="Times New Roman" w:cs="Times New Roman"/>
              </w:rPr>
            </w:pPr>
            <w:r w:rsidRPr="00F6044E">
              <w:rPr>
                <w:rFonts w:ascii="Times New Roman" w:hAnsi="Times New Roman" w:cs="Times New Roman"/>
              </w:rPr>
              <w:t>3 240,9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342C6" w14:textId="77777777" w:rsidR="00F6044E" w:rsidRPr="00F6044E" w:rsidRDefault="00F6044E" w:rsidP="00F6044E">
            <w:pPr>
              <w:spacing w:after="0"/>
              <w:jc w:val="right"/>
              <w:rPr>
                <w:rFonts w:ascii="Times New Roman" w:hAnsi="Times New Roman" w:cs="Times New Roman"/>
              </w:rPr>
            </w:pPr>
            <w:r w:rsidRPr="00F6044E">
              <w:rPr>
                <w:rFonts w:ascii="Times New Roman" w:hAnsi="Times New Roman" w:cs="Times New Roman"/>
              </w:rPr>
              <w:t>155,5</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56551" w14:textId="77777777" w:rsidR="00F6044E" w:rsidRPr="00F6044E" w:rsidRDefault="00F6044E" w:rsidP="00F6044E">
            <w:pPr>
              <w:spacing w:after="0"/>
              <w:jc w:val="right"/>
              <w:rPr>
                <w:rFonts w:ascii="Times New Roman" w:hAnsi="Times New Roman" w:cs="Times New Roman"/>
              </w:rPr>
            </w:pPr>
            <w:r w:rsidRPr="00F6044E">
              <w:rPr>
                <w:rFonts w:ascii="Times New Roman" w:hAnsi="Times New Roman" w:cs="Times New Roman"/>
              </w:rPr>
              <w:t>105,0</w:t>
            </w:r>
          </w:p>
        </w:tc>
      </w:tr>
      <w:tr w:rsidR="00F6044E" w:rsidRPr="00D16A5D" w14:paraId="044CBCEB" w14:textId="77777777" w:rsidTr="00F6044E">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D4C38" w14:textId="77777777" w:rsidR="00F6044E" w:rsidRPr="00F6044E" w:rsidRDefault="00F6044E" w:rsidP="00F6044E">
            <w:pPr>
              <w:spacing w:after="0"/>
              <w:rPr>
                <w:rFonts w:ascii="Times New Roman" w:hAnsi="Times New Roman" w:cs="Times New Roman"/>
              </w:rPr>
            </w:pPr>
            <w:r w:rsidRPr="00F6044E">
              <w:rPr>
                <w:rFonts w:ascii="Times New Roman" w:hAnsi="Times New Roman" w:cs="Times New Roman"/>
              </w:rPr>
              <w:t>Kiutalás</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1EABF" w14:textId="77777777" w:rsidR="00F6044E" w:rsidRPr="00F6044E" w:rsidRDefault="00F6044E" w:rsidP="00F6044E">
            <w:pPr>
              <w:spacing w:after="0"/>
              <w:jc w:val="right"/>
              <w:rPr>
                <w:rFonts w:ascii="Times New Roman" w:hAnsi="Times New Roman" w:cs="Times New Roman"/>
              </w:rPr>
            </w:pPr>
            <w:r w:rsidRPr="00F6044E">
              <w:rPr>
                <w:rFonts w:ascii="Times New Roman" w:hAnsi="Times New Roman" w:cs="Times New Roman"/>
              </w:rPr>
              <w:t>1 437,9</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7522B" w14:textId="77777777" w:rsidR="00F6044E" w:rsidRPr="00F6044E" w:rsidRDefault="00F6044E" w:rsidP="00F6044E">
            <w:pPr>
              <w:spacing w:after="0"/>
              <w:jc w:val="right"/>
              <w:rPr>
                <w:rFonts w:ascii="Times New Roman" w:hAnsi="Times New Roman" w:cs="Times New Roman"/>
              </w:rPr>
            </w:pPr>
            <w:r w:rsidRPr="00F6044E">
              <w:rPr>
                <w:rFonts w:ascii="Times New Roman" w:hAnsi="Times New Roman" w:cs="Times New Roman"/>
              </w:rPr>
              <w:t>1 327,8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7F89E" w14:textId="77777777" w:rsidR="00F6044E" w:rsidRPr="00F6044E" w:rsidRDefault="00F6044E" w:rsidP="00F6044E">
            <w:pPr>
              <w:spacing w:after="0"/>
              <w:jc w:val="right"/>
              <w:rPr>
                <w:rFonts w:ascii="Times New Roman" w:hAnsi="Times New Roman" w:cs="Times New Roman"/>
              </w:rPr>
            </w:pPr>
            <w:r w:rsidRPr="00F6044E">
              <w:rPr>
                <w:rFonts w:ascii="Times New Roman" w:hAnsi="Times New Roman" w:cs="Times New Roman"/>
              </w:rPr>
              <w:t>-110,1</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98A55" w14:textId="77777777" w:rsidR="00F6044E" w:rsidRPr="00F6044E" w:rsidRDefault="00F6044E" w:rsidP="00F6044E">
            <w:pPr>
              <w:spacing w:after="0"/>
              <w:jc w:val="right"/>
              <w:rPr>
                <w:rFonts w:ascii="Times New Roman" w:hAnsi="Times New Roman" w:cs="Times New Roman"/>
              </w:rPr>
            </w:pPr>
            <w:r w:rsidRPr="00F6044E">
              <w:rPr>
                <w:rFonts w:ascii="Times New Roman" w:hAnsi="Times New Roman" w:cs="Times New Roman"/>
              </w:rPr>
              <w:t>92,3</w:t>
            </w:r>
          </w:p>
        </w:tc>
      </w:tr>
      <w:tr w:rsidR="00F6044E" w:rsidRPr="00D16A5D" w14:paraId="718B7ABB" w14:textId="77777777" w:rsidTr="00F6044E">
        <w:trPr>
          <w:trHeight w:val="340"/>
          <w:jc w:val="center"/>
        </w:trPr>
        <w:tc>
          <w:tcPr>
            <w:tcW w:w="1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83547" w14:textId="77777777" w:rsidR="00F6044E" w:rsidRPr="00F6044E" w:rsidRDefault="00F6044E" w:rsidP="00F6044E">
            <w:pPr>
              <w:spacing w:after="0"/>
              <w:rPr>
                <w:rFonts w:ascii="Times New Roman" w:hAnsi="Times New Roman" w:cs="Times New Roman"/>
                <w:b/>
                <w:bCs/>
              </w:rPr>
            </w:pPr>
            <w:r w:rsidRPr="00F6044E">
              <w:rPr>
                <w:rFonts w:ascii="Times New Roman" w:hAnsi="Times New Roman" w:cs="Times New Roman"/>
                <w:b/>
                <w:bCs/>
              </w:rPr>
              <w:t>Egyenleg</w:t>
            </w:r>
          </w:p>
        </w:tc>
        <w:tc>
          <w:tcPr>
            <w:tcW w:w="17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09738" w14:textId="77777777" w:rsidR="00F6044E" w:rsidRPr="00F6044E" w:rsidRDefault="00F6044E" w:rsidP="00F6044E">
            <w:pPr>
              <w:spacing w:after="0"/>
              <w:jc w:val="right"/>
              <w:rPr>
                <w:rFonts w:ascii="Times New Roman" w:hAnsi="Times New Roman" w:cs="Times New Roman"/>
                <w:b/>
                <w:bCs/>
              </w:rPr>
            </w:pPr>
            <w:r w:rsidRPr="00F6044E">
              <w:rPr>
                <w:rFonts w:ascii="Times New Roman" w:hAnsi="Times New Roman" w:cs="Times New Roman"/>
                <w:b/>
                <w:bCs/>
              </w:rPr>
              <w:t>1 647,5</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6228C" w14:textId="77777777" w:rsidR="00F6044E" w:rsidRPr="00F6044E" w:rsidRDefault="00F6044E" w:rsidP="00F6044E">
            <w:pPr>
              <w:spacing w:after="0"/>
              <w:jc w:val="right"/>
              <w:rPr>
                <w:rFonts w:ascii="Times New Roman" w:hAnsi="Times New Roman" w:cs="Times New Roman"/>
                <w:b/>
                <w:bCs/>
              </w:rPr>
            </w:pPr>
            <w:r w:rsidRPr="00F6044E">
              <w:rPr>
                <w:rFonts w:ascii="Times New Roman" w:hAnsi="Times New Roman" w:cs="Times New Roman"/>
                <w:b/>
                <w:bCs/>
              </w:rPr>
              <w:t>1 913,1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84195" w14:textId="77777777" w:rsidR="00F6044E" w:rsidRPr="00F6044E" w:rsidRDefault="00F6044E" w:rsidP="00F6044E">
            <w:pPr>
              <w:spacing w:after="0"/>
              <w:jc w:val="right"/>
              <w:rPr>
                <w:rFonts w:ascii="Times New Roman" w:hAnsi="Times New Roman" w:cs="Times New Roman"/>
                <w:b/>
                <w:bCs/>
              </w:rPr>
            </w:pPr>
            <w:r w:rsidRPr="00F6044E">
              <w:rPr>
                <w:rFonts w:ascii="Times New Roman" w:hAnsi="Times New Roman" w:cs="Times New Roman"/>
                <w:b/>
                <w:bCs/>
              </w:rPr>
              <w:t>265,6</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8BA2F" w14:textId="77777777" w:rsidR="00F6044E" w:rsidRPr="00F6044E" w:rsidRDefault="00F6044E" w:rsidP="00F6044E">
            <w:pPr>
              <w:spacing w:after="0"/>
              <w:jc w:val="right"/>
              <w:rPr>
                <w:rFonts w:ascii="Times New Roman" w:hAnsi="Times New Roman" w:cs="Times New Roman"/>
                <w:b/>
                <w:bCs/>
              </w:rPr>
            </w:pPr>
            <w:r w:rsidRPr="00F6044E">
              <w:rPr>
                <w:rFonts w:ascii="Times New Roman" w:hAnsi="Times New Roman" w:cs="Times New Roman"/>
                <w:b/>
                <w:bCs/>
              </w:rPr>
              <w:t>116,1</w:t>
            </w:r>
          </w:p>
        </w:tc>
      </w:tr>
    </w:tbl>
    <w:p w14:paraId="1EC9D279" w14:textId="2361F6E5" w:rsidR="007E22F7" w:rsidRPr="007E22F7" w:rsidRDefault="00F6044E" w:rsidP="62456E77">
      <w:pPr>
        <w:spacing w:before="240"/>
        <w:jc w:val="both"/>
        <w:rPr>
          <w:rFonts w:ascii="Times New Roman" w:eastAsia="Times New Roman" w:hAnsi="Times New Roman" w:cs="Times New Roman"/>
          <w:sz w:val="26"/>
          <w:szCs w:val="26"/>
          <w:lang w:eastAsia="hu-HU"/>
        </w:rPr>
      </w:pPr>
      <w:r w:rsidRPr="7E1955CF">
        <w:rPr>
          <w:rFonts w:ascii="Times New Roman" w:eastAsia="Times New Roman" w:hAnsi="Times New Roman" w:cs="Times New Roman"/>
          <w:sz w:val="26"/>
          <w:szCs w:val="26"/>
          <w:lang w:eastAsia="hu-HU"/>
        </w:rPr>
        <w:t xml:space="preserve">A belföldi befizetések és az import utáni </w:t>
      </w:r>
      <w:r w:rsidR="005F608E">
        <w:rPr>
          <w:rFonts w:ascii="Times New Roman" w:eastAsia="Times New Roman" w:hAnsi="Times New Roman" w:cs="Times New Roman"/>
          <w:sz w:val="26"/>
          <w:szCs w:val="20"/>
          <w:lang w:eastAsia="hu-HU"/>
        </w:rPr>
        <w:t>áfa</w:t>
      </w:r>
      <w:r w:rsidRPr="00F6044E">
        <w:rPr>
          <w:rFonts w:ascii="Times New Roman" w:eastAsia="Times New Roman" w:hAnsi="Times New Roman" w:cs="Times New Roman"/>
          <w:sz w:val="26"/>
          <w:szCs w:val="20"/>
          <w:lang w:eastAsia="hu-HU"/>
        </w:rPr>
        <w:t>bevétel</w:t>
      </w:r>
      <w:r w:rsidRPr="7E1955CF">
        <w:rPr>
          <w:rFonts w:ascii="Times New Roman" w:eastAsia="Times New Roman" w:hAnsi="Times New Roman" w:cs="Times New Roman"/>
          <w:sz w:val="26"/>
          <w:szCs w:val="26"/>
          <w:lang w:eastAsia="hu-HU"/>
        </w:rPr>
        <w:t xml:space="preserve"> növekedett, ugyanakkor a dohány termékek utáni </w:t>
      </w:r>
      <w:r w:rsidR="005F608E">
        <w:rPr>
          <w:rFonts w:ascii="Times New Roman" w:eastAsia="Times New Roman" w:hAnsi="Times New Roman" w:cs="Times New Roman"/>
          <w:sz w:val="26"/>
          <w:szCs w:val="20"/>
          <w:lang w:eastAsia="hu-HU"/>
        </w:rPr>
        <w:t>áfa</w:t>
      </w:r>
      <w:r w:rsidRPr="00F6044E">
        <w:rPr>
          <w:rFonts w:ascii="Times New Roman" w:eastAsia="Times New Roman" w:hAnsi="Times New Roman" w:cs="Times New Roman"/>
          <w:sz w:val="26"/>
          <w:szCs w:val="20"/>
          <w:lang w:eastAsia="hu-HU"/>
        </w:rPr>
        <w:t>bevétel</w:t>
      </w:r>
      <w:r w:rsidRPr="7E1955CF">
        <w:rPr>
          <w:rFonts w:ascii="Times New Roman" w:eastAsia="Times New Roman" w:hAnsi="Times New Roman" w:cs="Times New Roman"/>
          <w:sz w:val="26"/>
          <w:szCs w:val="26"/>
          <w:lang w:eastAsia="hu-HU"/>
        </w:rPr>
        <w:t xml:space="preserve"> csökkent. A belföldi befizetések növekedése elsősorban a kereskedelem ágazathoz köthető. Az import utáni befizetések növekedése hátterében a forgalom alakulása áll. A dohánytermékek utáni bevételek alacsonyabb teljesülését a</w:t>
      </w:r>
      <w:r w:rsidR="005F608E">
        <w:rPr>
          <w:rFonts w:ascii="Times New Roman" w:eastAsia="Times New Roman" w:hAnsi="Times New Roman" w:cs="Times New Roman"/>
          <w:sz w:val="26"/>
          <w:szCs w:val="26"/>
          <w:lang w:eastAsia="hu-HU"/>
        </w:rPr>
        <w:t> </w:t>
      </w:r>
      <w:r w:rsidRPr="7E1955CF">
        <w:rPr>
          <w:rFonts w:ascii="Times New Roman" w:eastAsia="Times New Roman" w:hAnsi="Times New Roman" w:cs="Times New Roman"/>
          <w:sz w:val="26"/>
          <w:szCs w:val="26"/>
          <w:lang w:eastAsia="hu-HU"/>
        </w:rPr>
        <w:t>2025.</w:t>
      </w:r>
      <w:r w:rsidR="005F608E">
        <w:rPr>
          <w:rFonts w:ascii="Times New Roman" w:eastAsia="Times New Roman" w:hAnsi="Times New Roman" w:cs="Times New Roman"/>
          <w:sz w:val="26"/>
          <w:szCs w:val="20"/>
          <w:lang w:eastAsia="hu-HU"/>
        </w:rPr>
        <w:t> </w:t>
      </w:r>
      <w:r w:rsidRPr="7E1955CF">
        <w:rPr>
          <w:rFonts w:ascii="Times New Roman" w:eastAsia="Times New Roman" w:hAnsi="Times New Roman" w:cs="Times New Roman"/>
          <w:sz w:val="26"/>
          <w:szCs w:val="26"/>
          <w:lang w:eastAsia="hu-HU"/>
        </w:rPr>
        <w:t>januári jövedéki adómérték-emelésre adott piaci reakció, a készletezési hatás magyarázza. A kiutalások alakulását a köztes ágazatok befizetése befolyásolja</w:t>
      </w:r>
      <w:r w:rsidR="62456E77" w:rsidRPr="62456E77">
        <w:rPr>
          <w:rFonts w:ascii="Times New Roman" w:eastAsia="Times New Roman" w:hAnsi="Times New Roman" w:cs="Times New Roman"/>
          <w:sz w:val="26"/>
          <w:szCs w:val="26"/>
          <w:lang w:eastAsia="hu-HU"/>
        </w:rPr>
        <w:t>.</w:t>
      </w:r>
    </w:p>
    <w:p w14:paraId="6A4419C7" w14:textId="0563D421" w:rsidR="00CF551C" w:rsidRPr="00945E04" w:rsidRDefault="00945E04" w:rsidP="00CF551C">
      <w:pPr>
        <w:pStyle w:val="NormlWeb"/>
        <w:jc w:val="center"/>
        <w:rPr>
          <w:sz w:val="22"/>
        </w:rPr>
      </w:pPr>
      <w:r>
        <w:rPr>
          <w:noProof/>
        </w:rPr>
        <w:drawing>
          <wp:inline distT="0" distB="0" distL="0" distR="0" wp14:anchorId="61CDBAFF" wp14:editId="507ABA05">
            <wp:extent cx="5490187" cy="3452568"/>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187" cy="3452568"/>
                    </a:xfrm>
                    <a:prstGeom prst="rect">
                      <a:avLst/>
                    </a:prstGeom>
                  </pic:spPr>
                </pic:pic>
              </a:graphicData>
            </a:graphic>
          </wp:inline>
        </w:drawing>
      </w:r>
    </w:p>
    <w:p w14:paraId="5270244D" w14:textId="2BD4AFCE" w:rsidR="00B9670A" w:rsidRPr="007E22F7" w:rsidRDefault="21A055E4" w:rsidP="21A055E4">
      <w:pPr>
        <w:spacing w:before="120"/>
        <w:jc w:val="both"/>
        <w:rPr>
          <w:rFonts w:ascii="Times New Roman" w:eastAsia="Times New Roman" w:hAnsi="Times New Roman" w:cs="Times New Roman"/>
          <w:sz w:val="26"/>
          <w:szCs w:val="26"/>
          <w:lang w:eastAsia="hu-HU"/>
        </w:rPr>
      </w:pPr>
      <w:r w:rsidRPr="21A055E4">
        <w:rPr>
          <w:rFonts w:ascii="Times New Roman" w:eastAsia="Times New Roman" w:hAnsi="Times New Roman" w:cs="Times New Roman"/>
          <w:sz w:val="26"/>
          <w:szCs w:val="26"/>
          <w:lang w:eastAsia="hu-HU"/>
        </w:rPr>
        <w:t xml:space="preserve">A </w:t>
      </w:r>
      <w:r w:rsidRPr="21A055E4">
        <w:rPr>
          <w:rFonts w:ascii="Times New Roman" w:eastAsia="Times New Roman" w:hAnsi="Times New Roman" w:cs="Times New Roman"/>
          <w:b/>
          <w:bCs/>
          <w:sz w:val="26"/>
          <w:szCs w:val="26"/>
          <w:lang w:eastAsia="hu-HU"/>
        </w:rPr>
        <w:t>jövedéki adóból</w:t>
      </w:r>
      <w:r w:rsidRPr="21A055E4">
        <w:rPr>
          <w:rFonts w:ascii="Times New Roman" w:eastAsia="Times New Roman" w:hAnsi="Times New Roman" w:cs="Times New Roman"/>
          <w:sz w:val="26"/>
          <w:szCs w:val="26"/>
          <w:lang w:eastAsia="hu-HU"/>
        </w:rPr>
        <w:t xml:space="preserve"> származó bevétel a 2025. év első három hónapjában 345,4</w:t>
      </w:r>
      <w:r w:rsidRPr="21A055E4">
        <w:rPr>
          <w:rFonts w:ascii="Times New Roman" w:eastAsia="Times New Roman" w:hAnsi="Times New Roman" w:cs="Times New Roman"/>
          <w:color w:val="000000" w:themeColor="text1"/>
          <w:sz w:val="26"/>
          <w:szCs w:val="26"/>
          <w:lang w:eastAsia="hu-HU"/>
        </w:rPr>
        <w:t> </w:t>
      </w:r>
      <w:r w:rsidRPr="21A055E4">
        <w:rPr>
          <w:rFonts w:ascii="Times New Roman" w:eastAsia="Times New Roman" w:hAnsi="Times New Roman" w:cs="Times New Roman"/>
          <w:sz w:val="26"/>
          <w:szCs w:val="26"/>
          <w:lang w:eastAsia="hu-HU"/>
        </w:rPr>
        <w:t>milliárd forintot tett ki, amely 0,3 milliárd forinttal alacsonyabb az egy évvel korábbi bevételnél. Az üzemanyagok utáni bevételek növekedését a 2025. január 1-</w:t>
      </w:r>
      <w:r w:rsidR="005F608E">
        <w:rPr>
          <w:rFonts w:ascii="Times New Roman" w:eastAsia="Times New Roman" w:hAnsi="Times New Roman" w:cs="Times New Roman"/>
          <w:sz w:val="26"/>
          <w:szCs w:val="26"/>
          <w:lang w:eastAsia="hu-HU"/>
        </w:rPr>
        <w:t>jé</w:t>
      </w:r>
      <w:r w:rsidRPr="21A055E4">
        <w:rPr>
          <w:rFonts w:ascii="Times New Roman" w:eastAsia="Times New Roman" w:hAnsi="Times New Roman" w:cs="Times New Roman"/>
          <w:sz w:val="26"/>
          <w:szCs w:val="26"/>
          <w:lang w:eastAsia="hu-HU"/>
        </w:rPr>
        <w:t>től hatályos magasabb adómértékek magyarázzák. A dohánytermékek utáni bevételek csökkenés</w:t>
      </w:r>
      <w:r w:rsidR="00DB7DE0">
        <w:rPr>
          <w:rFonts w:ascii="Times New Roman" w:eastAsia="Times New Roman" w:hAnsi="Times New Roman" w:cs="Times New Roman"/>
          <w:sz w:val="26"/>
          <w:szCs w:val="26"/>
          <w:lang w:eastAsia="hu-HU"/>
        </w:rPr>
        <w:t>e</w:t>
      </w:r>
      <w:r w:rsidRPr="21A055E4">
        <w:rPr>
          <w:rFonts w:ascii="Times New Roman" w:eastAsia="Times New Roman" w:hAnsi="Times New Roman" w:cs="Times New Roman"/>
          <w:sz w:val="26"/>
          <w:szCs w:val="26"/>
          <w:lang w:eastAsia="hu-HU"/>
        </w:rPr>
        <w:t xml:space="preserve"> hátterében a 2025. januári adómérték-emelésből fakadó készletezési hatás áll. A szeszesitalok és egyéb termékek esetében a bevételek csö</w:t>
      </w:r>
      <w:r w:rsidR="00DB7DE0">
        <w:rPr>
          <w:rFonts w:ascii="Times New Roman" w:eastAsia="Times New Roman" w:hAnsi="Times New Roman" w:cs="Times New Roman"/>
          <w:sz w:val="26"/>
          <w:szCs w:val="26"/>
          <w:lang w:eastAsia="hu-HU"/>
        </w:rPr>
        <w:t>kkenését szintén a 2025. január </w:t>
      </w:r>
      <w:r w:rsidRPr="21A055E4">
        <w:rPr>
          <w:rFonts w:ascii="Times New Roman" w:eastAsia="Times New Roman" w:hAnsi="Times New Roman" w:cs="Times New Roman"/>
          <w:sz w:val="26"/>
          <w:szCs w:val="26"/>
          <w:lang w:eastAsia="hu-HU"/>
        </w:rPr>
        <w:t>1-</w:t>
      </w:r>
      <w:r w:rsidR="00DB7DE0">
        <w:rPr>
          <w:rFonts w:ascii="Times New Roman" w:eastAsia="Times New Roman" w:hAnsi="Times New Roman" w:cs="Times New Roman"/>
          <w:sz w:val="26"/>
          <w:szCs w:val="26"/>
          <w:lang w:eastAsia="hu-HU"/>
        </w:rPr>
        <w:t>je</w:t>
      </w:r>
      <w:r w:rsidRPr="21A055E4">
        <w:rPr>
          <w:rFonts w:ascii="Times New Roman" w:eastAsia="Times New Roman" w:hAnsi="Times New Roman" w:cs="Times New Roman"/>
          <w:sz w:val="26"/>
          <w:szCs w:val="26"/>
          <w:lang w:eastAsia="hu-HU"/>
        </w:rPr>
        <w:t>i adómérték változásra adott piaci reakció, a készletezési hatás indokolja. Az energiaadó bevételek növekedése adónem-elszámoláshoz köthető.</w:t>
      </w:r>
    </w:p>
    <w:tbl>
      <w:tblPr>
        <w:tblW w:w="8752" w:type="dxa"/>
        <w:jc w:val="center"/>
        <w:tblCellMar>
          <w:left w:w="70" w:type="dxa"/>
          <w:right w:w="70" w:type="dxa"/>
        </w:tblCellMar>
        <w:tblLook w:val="04A0" w:firstRow="1" w:lastRow="0" w:firstColumn="1" w:lastColumn="0" w:noHBand="0" w:noVBand="1"/>
      </w:tblPr>
      <w:tblGrid>
        <w:gridCol w:w="3402"/>
        <w:gridCol w:w="1560"/>
        <w:gridCol w:w="1594"/>
        <w:gridCol w:w="1061"/>
        <w:gridCol w:w="1135"/>
      </w:tblGrid>
      <w:tr w:rsidR="00F6044E" w:rsidRPr="00F6044E" w14:paraId="41BC5DF8" w14:textId="77777777" w:rsidTr="00F6044E">
        <w:trPr>
          <w:trHeight w:val="255"/>
          <w:jc w:val="center"/>
        </w:trPr>
        <w:tc>
          <w:tcPr>
            <w:tcW w:w="8752" w:type="dxa"/>
            <w:gridSpan w:val="5"/>
            <w:tcBorders>
              <w:top w:val="nil"/>
              <w:left w:val="nil"/>
              <w:bottom w:val="single" w:sz="4" w:space="0" w:color="auto"/>
              <w:right w:val="nil"/>
            </w:tcBorders>
            <w:shd w:val="clear" w:color="auto" w:fill="auto"/>
            <w:noWrap/>
            <w:vAlign w:val="bottom"/>
            <w:hideMark/>
          </w:tcPr>
          <w:p w14:paraId="5ACB3BA7" w14:textId="77777777" w:rsidR="00F6044E" w:rsidRPr="00F6044E" w:rsidRDefault="00F6044E" w:rsidP="00F6044E">
            <w:pPr>
              <w:spacing w:before="120"/>
              <w:jc w:val="center"/>
              <w:rPr>
                <w:rFonts w:ascii="Times New Roman" w:eastAsia="Times New Roman" w:hAnsi="Times New Roman" w:cs="Times New Roman"/>
                <w:b/>
                <w:bCs/>
                <w:sz w:val="26"/>
                <w:szCs w:val="20"/>
                <w:lang w:eastAsia="hu-HU"/>
              </w:rPr>
            </w:pPr>
            <w:r w:rsidRPr="00F6044E">
              <w:rPr>
                <w:rFonts w:ascii="Times New Roman" w:eastAsia="Times New Roman" w:hAnsi="Times New Roman" w:cs="Times New Roman"/>
                <w:b/>
                <w:bCs/>
                <w:szCs w:val="20"/>
                <w:lang w:eastAsia="hu-HU"/>
              </w:rPr>
              <w:t>Jövedéki adó bevétel alakulása (milliárd forint)</w:t>
            </w:r>
          </w:p>
        </w:tc>
      </w:tr>
      <w:tr w:rsidR="00F6044E" w:rsidRPr="00F6044E" w14:paraId="1550EDEA" w14:textId="77777777" w:rsidTr="00DB7DE0">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26DC6F0" w14:textId="77777777" w:rsidR="00F6044E" w:rsidRPr="00F6044E" w:rsidRDefault="00F6044E" w:rsidP="00F6044E">
            <w:pPr>
              <w:spacing w:after="0" w:line="240" w:lineRule="auto"/>
              <w:jc w:val="center"/>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Megnevezés</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875C8D7" w14:textId="77777777" w:rsidR="00F6044E" w:rsidRPr="00F6044E" w:rsidRDefault="00F6044E" w:rsidP="00F6044E">
            <w:pPr>
              <w:spacing w:after="0" w:line="240" w:lineRule="auto"/>
              <w:jc w:val="center"/>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2024.</w:t>
            </w:r>
          </w:p>
          <w:p w14:paraId="59A6D06C" w14:textId="767DA98B" w:rsidR="00F6044E" w:rsidRPr="00F6044E" w:rsidRDefault="00DB7DE0" w:rsidP="00F6044E">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I-III. hó</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F96A3DC" w14:textId="77777777" w:rsidR="00F6044E" w:rsidRPr="00F6044E" w:rsidRDefault="00F6044E" w:rsidP="00F6044E">
            <w:pPr>
              <w:spacing w:after="0" w:line="240" w:lineRule="auto"/>
              <w:jc w:val="center"/>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2025.</w:t>
            </w:r>
          </w:p>
          <w:p w14:paraId="01192CF5" w14:textId="6138BB1F" w:rsidR="00F6044E" w:rsidRPr="00F6044E" w:rsidRDefault="00DB7DE0" w:rsidP="00F6044E">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I-III. hó</w:t>
            </w:r>
          </w:p>
        </w:tc>
        <w:tc>
          <w:tcPr>
            <w:tcW w:w="21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3DDE5433" w14:textId="77777777" w:rsidR="00F6044E" w:rsidRPr="00F6044E" w:rsidRDefault="00F6044E" w:rsidP="00F6044E">
            <w:pPr>
              <w:spacing w:after="0" w:line="240" w:lineRule="auto"/>
              <w:jc w:val="center"/>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Eltérés</w:t>
            </w:r>
          </w:p>
        </w:tc>
      </w:tr>
      <w:tr w:rsidR="00F6044E" w:rsidRPr="00F6044E" w14:paraId="397BB5F2" w14:textId="77777777" w:rsidTr="00DB7DE0">
        <w:trPr>
          <w:trHeight w:val="340"/>
          <w:jc w:val="center"/>
        </w:trPr>
        <w:tc>
          <w:tcPr>
            <w:tcW w:w="340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C3F097" w14:textId="77777777" w:rsidR="00F6044E" w:rsidRPr="00F6044E" w:rsidRDefault="00F6044E" w:rsidP="00F6044E">
            <w:pPr>
              <w:spacing w:after="0" w:line="240" w:lineRule="auto"/>
              <w:jc w:val="both"/>
              <w:rPr>
                <w:rFonts w:ascii="Times New Roman" w:eastAsia="Times New Roman" w:hAnsi="Times New Roman" w:cs="Times New Roman"/>
                <w:b/>
                <w:bCs/>
                <w:szCs w:val="20"/>
                <w:lang w:eastAsia="hu-HU"/>
              </w:rPr>
            </w:pPr>
          </w:p>
        </w:tc>
        <w:tc>
          <w:tcPr>
            <w:tcW w:w="1560"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3F1AEBD" w14:textId="77777777" w:rsidR="00F6044E" w:rsidRPr="00F6044E" w:rsidRDefault="00F6044E" w:rsidP="00F6044E">
            <w:pPr>
              <w:spacing w:after="0" w:line="240" w:lineRule="auto"/>
              <w:jc w:val="center"/>
              <w:rPr>
                <w:rFonts w:ascii="Times New Roman" w:eastAsia="Times New Roman" w:hAnsi="Times New Roman" w:cs="Times New Roman"/>
                <w:b/>
                <w:bCs/>
                <w:szCs w:val="20"/>
                <w:lang w:eastAsia="hu-HU"/>
              </w:rPr>
            </w:pPr>
          </w:p>
        </w:tc>
        <w:tc>
          <w:tcPr>
            <w:tcW w:w="1594"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C9795A" w14:textId="77777777" w:rsidR="00F6044E" w:rsidRPr="00F6044E" w:rsidRDefault="00F6044E" w:rsidP="00F6044E">
            <w:pPr>
              <w:spacing w:after="0" w:line="240" w:lineRule="auto"/>
              <w:jc w:val="center"/>
              <w:rPr>
                <w:rFonts w:ascii="Times New Roman" w:eastAsia="Times New Roman" w:hAnsi="Times New Roman" w:cs="Times New Roman"/>
                <w:b/>
                <w:bCs/>
                <w:szCs w:val="20"/>
                <w:lang w:eastAsia="hu-HU"/>
              </w:rPr>
            </w:pPr>
          </w:p>
        </w:tc>
        <w:tc>
          <w:tcPr>
            <w:tcW w:w="10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14152BA" w14:textId="77777777" w:rsidR="00F6044E" w:rsidRPr="00F6044E" w:rsidRDefault="00F6044E" w:rsidP="00F6044E">
            <w:pPr>
              <w:spacing w:after="0" w:line="240" w:lineRule="auto"/>
              <w:jc w:val="center"/>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Mrd Ft</w:t>
            </w:r>
          </w:p>
        </w:tc>
        <w:tc>
          <w:tcPr>
            <w:tcW w:w="1135"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20F8C06" w14:textId="77777777" w:rsidR="00F6044E" w:rsidRPr="00F6044E" w:rsidRDefault="00F6044E" w:rsidP="00F6044E">
            <w:pPr>
              <w:spacing w:after="0" w:line="240" w:lineRule="auto"/>
              <w:jc w:val="center"/>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w:t>
            </w:r>
          </w:p>
        </w:tc>
      </w:tr>
      <w:tr w:rsidR="00F6044E" w:rsidRPr="00F6044E" w14:paraId="1C4E0A2E" w14:textId="77777777" w:rsidTr="00F6044E">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FD0BE" w14:textId="77777777" w:rsidR="00F6044E" w:rsidRPr="00F6044E" w:rsidRDefault="00F6044E" w:rsidP="00F6044E">
            <w:pPr>
              <w:spacing w:after="0" w:line="240" w:lineRule="auto"/>
              <w:jc w:val="both"/>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Üzemanyag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7DBF8"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187,2</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E95DB"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200,0</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7C774"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12,8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B7F44"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106,8</w:t>
            </w:r>
          </w:p>
        </w:tc>
      </w:tr>
      <w:tr w:rsidR="00F6044E" w:rsidRPr="00F6044E" w14:paraId="76B77231" w14:textId="77777777" w:rsidTr="00F6044E">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93C35" w14:textId="77777777" w:rsidR="00F6044E" w:rsidRPr="00F6044E" w:rsidRDefault="00F6044E" w:rsidP="00F6044E">
            <w:pPr>
              <w:spacing w:after="0" w:line="240" w:lineRule="auto"/>
              <w:jc w:val="both"/>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Dohánygyártmány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7B19F"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121,6</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5D7AE"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108,8</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033E1"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-12,8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340BE"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89,5</w:t>
            </w:r>
          </w:p>
        </w:tc>
      </w:tr>
      <w:tr w:rsidR="00F6044E" w:rsidRPr="00F6044E" w14:paraId="451BAB80" w14:textId="77777777" w:rsidTr="00F6044E">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4B257" w14:textId="77777777" w:rsidR="00F6044E" w:rsidRPr="00F6044E" w:rsidRDefault="00F6044E" w:rsidP="00F6044E">
            <w:pPr>
              <w:spacing w:after="0" w:line="240" w:lineRule="auto"/>
              <w:jc w:val="both"/>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Egyéb termék jövedéki 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AAD37"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30,4</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3E953"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29,8</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B06E4"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-0,6</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44EB1"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98,0</w:t>
            </w:r>
          </w:p>
        </w:tc>
      </w:tr>
      <w:tr w:rsidR="00F6044E" w:rsidRPr="00F6044E" w14:paraId="57434F9C" w14:textId="77777777" w:rsidTr="00F6044E">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F271D" w14:textId="77777777" w:rsidR="00F6044E" w:rsidRPr="00F6044E" w:rsidRDefault="00F6044E" w:rsidP="00F6044E">
            <w:pPr>
              <w:spacing w:after="0" w:line="240" w:lineRule="auto"/>
              <w:jc w:val="both"/>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Import jövedéki adó és energiaadó</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C66A9"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6,5</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B6D82"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6,8</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507D7"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0,3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AA75B" w14:textId="77777777" w:rsidR="00F6044E" w:rsidRPr="00F6044E" w:rsidRDefault="00F6044E" w:rsidP="00F6044E">
            <w:pPr>
              <w:spacing w:after="0" w:line="240" w:lineRule="auto"/>
              <w:jc w:val="right"/>
              <w:rPr>
                <w:rFonts w:ascii="Times New Roman" w:eastAsia="Times New Roman" w:hAnsi="Times New Roman" w:cs="Times New Roman"/>
                <w:lang w:eastAsia="hu-HU"/>
              </w:rPr>
            </w:pPr>
            <w:r w:rsidRPr="00F6044E">
              <w:rPr>
                <w:rFonts w:ascii="Times New Roman" w:eastAsia="Times New Roman" w:hAnsi="Times New Roman" w:cs="Times New Roman"/>
                <w:lang w:eastAsia="hu-HU"/>
              </w:rPr>
              <w:t>104,6</w:t>
            </w:r>
          </w:p>
        </w:tc>
      </w:tr>
      <w:tr w:rsidR="00F6044E" w:rsidRPr="00F6044E" w14:paraId="4BF02C3C" w14:textId="77777777" w:rsidTr="00F6044E">
        <w:trPr>
          <w:trHeight w:val="340"/>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1EFC2" w14:textId="77777777" w:rsidR="00F6044E" w:rsidRPr="00F6044E" w:rsidRDefault="00F6044E" w:rsidP="00F6044E">
            <w:pPr>
              <w:spacing w:after="0" w:line="240" w:lineRule="auto"/>
              <w:jc w:val="both"/>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Jövedéki adók összesen</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7C861" w14:textId="77777777" w:rsidR="00F6044E" w:rsidRPr="00F6044E" w:rsidRDefault="00F6044E" w:rsidP="00F6044E">
            <w:pPr>
              <w:spacing w:after="0" w:line="240" w:lineRule="auto"/>
              <w:jc w:val="right"/>
              <w:rPr>
                <w:rFonts w:ascii="Times New Roman" w:eastAsia="Times New Roman" w:hAnsi="Times New Roman" w:cs="Times New Roman"/>
                <w:b/>
                <w:bCs/>
                <w:lang w:eastAsia="hu-HU"/>
              </w:rPr>
            </w:pPr>
            <w:r w:rsidRPr="00F6044E">
              <w:rPr>
                <w:rFonts w:ascii="Times New Roman" w:eastAsia="Times New Roman" w:hAnsi="Times New Roman" w:cs="Times New Roman"/>
                <w:b/>
                <w:bCs/>
                <w:lang w:eastAsia="hu-HU"/>
              </w:rPr>
              <w:t>345,7</w:t>
            </w:r>
          </w:p>
        </w:tc>
        <w:tc>
          <w:tcPr>
            <w:tcW w:w="1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7F2872" w14:textId="77777777" w:rsidR="00F6044E" w:rsidRPr="00F6044E" w:rsidRDefault="00F6044E" w:rsidP="00F6044E">
            <w:pPr>
              <w:spacing w:after="0" w:line="240" w:lineRule="auto"/>
              <w:jc w:val="right"/>
              <w:rPr>
                <w:rFonts w:ascii="Times New Roman" w:eastAsia="Times New Roman" w:hAnsi="Times New Roman" w:cs="Times New Roman"/>
                <w:b/>
                <w:bCs/>
                <w:lang w:eastAsia="hu-HU"/>
              </w:rPr>
            </w:pPr>
            <w:r w:rsidRPr="00F6044E">
              <w:rPr>
                <w:rFonts w:ascii="Times New Roman" w:eastAsia="Times New Roman" w:hAnsi="Times New Roman" w:cs="Times New Roman"/>
                <w:b/>
                <w:bCs/>
                <w:lang w:eastAsia="hu-HU"/>
              </w:rPr>
              <w:t>345,4</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F9D52" w14:textId="77777777" w:rsidR="00F6044E" w:rsidRPr="00F6044E" w:rsidRDefault="00F6044E" w:rsidP="00F6044E">
            <w:pPr>
              <w:spacing w:after="0" w:line="240" w:lineRule="auto"/>
              <w:jc w:val="right"/>
              <w:rPr>
                <w:rFonts w:ascii="Times New Roman" w:eastAsia="Times New Roman" w:hAnsi="Times New Roman" w:cs="Times New Roman"/>
                <w:b/>
                <w:bCs/>
                <w:lang w:eastAsia="hu-HU"/>
              </w:rPr>
            </w:pPr>
            <w:r w:rsidRPr="00F6044E">
              <w:rPr>
                <w:rFonts w:ascii="Times New Roman" w:eastAsia="Times New Roman" w:hAnsi="Times New Roman" w:cs="Times New Roman"/>
                <w:b/>
                <w:bCs/>
                <w:lang w:eastAsia="hu-HU"/>
              </w:rPr>
              <w:t>-0,3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8308A9" w14:textId="77777777" w:rsidR="00F6044E" w:rsidRPr="00F6044E" w:rsidRDefault="00F6044E" w:rsidP="00F6044E">
            <w:pPr>
              <w:spacing w:after="0" w:line="240" w:lineRule="auto"/>
              <w:jc w:val="right"/>
              <w:rPr>
                <w:rFonts w:ascii="Times New Roman" w:eastAsia="Times New Roman" w:hAnsi="Times New Roman" w:cs="Times New Roman"/>
                <w:b/>
                <w:bCs/>
                <w:lang w:eastAsia="hu-HU"/>
              </w:rPr>
            </w:pPr>
            <w:r w:rsidRPr="00F6044E">
              <w:rPr>
                <w:rFonts w:ascii="Times New Roman" w:eastAsia="Times New Roman" w:hAnsi="Times New Roman" w:cs="Times New Roman"/>
                <w:b/>
                <w:bCs/>
                <w:lang w:eastAsia="hu-HU"/>
              </w:rPr>
              <w:t>99,9</w:t>
            </w:r>
          </w:p>
        </w:tc>
      </w:tr>
    </w:tbl>
    <w:p w14:paraId="321B0C30" w14:textId="39992D88" w:rsidR="00F6044E" w:rsidRPr="00F6044E" w:rsidRDefault="21A055E4" w:rsidP="00EE34BB">
      <w:pPr>
        <w:spacing w:before="160"/>
        <w:jc w:val="both"/>
        <w:rPr>
          <w:rFonts w:ascii="Times New Roman" w:eastAsia="Times New Roman" w:hAnsi="Times New Roman" w:cs="Times New Roman"/>
          <w:sz w:val="26"/>
          <w:szCs w:val="26"/>
          <w:lang w:eastAsia="hu-HU"/>
        </w:rPr>
      </w:pPr>
      <w:r w:rsidRPr="21A055E4">
        <w:rPr>
          <w:rFonts w:ascii="Times New Roman" w:eastAsia="Times New Roman" w:hAnsi="Times New Roman" w:cs="Times New Roman"/>
          <w:b/>
          <w:bCs/>
          <w:sz w:val="26"/>
          <w:szCs w:val="26"/>
          <w:lang w:eastAsia="hu-HU"/>
        </w:rPr>
        <w:t>Pénzügyi tranzakciós illetékből</w:t>
      </w:r>
      <w:r w:rsidR="00EE34BB">
        <w:rPr>
          <w:rFonts w:ascii="Times New Roman" w:eastAsia="Times New Roman" w:hAnsi="Times New Roman" w:cs="Times New Roman"/>
          <w:sz w:val="26"/>
          <w:szCs w:val="26"/>
          <w:lang w:eastAsia="hu-HU"/>
        </w:rPr>
        <w:t xml:space="preserve"> 2025</w:t>
      </w:r>
      <w:r w:rsidR="006F2528">
        <w:rPr>
          <w:rFonts w:ascii="Times New Roman" w:eastAsia="Times New Roman" w:hAnsi="Times New Roman" w:cs="Times New Roman"/>
          <w:sz w:val="26"/>
          <w:szCs w:val="26"/>
          <w:lang w:eastAsia="hu-HU"/>
        </w:rPr>
        <w:t xml:space="preserve"> </w:t>
      </w:r>
      <w:r w:rsidRPr="21A055E4">
        <w:rPr>
          <w:rFonts w:ascii="Times New Roman" w:eastAsia="Times New Roman" w:hAnsi="Times New Roman" w:cs="Times New Roman"/>
          <w:sz w:val="26"/>
          <w:szCs w:val="26"/>
          <w:lang w:eastAsia="hu-HU"/>
        </w:rPr>
        <w:t>első három hónapjában 147,8 milliárd forint bevétele keletkezett a költségvetésnek, ami 61,9 milliárd forinttal haladta meg az egy évvel korábbi összeget. A bevétel alakulásának hátterében a 2024. augusztus 1-</w:t>
      </w:r>
      <w:r w:rsidR="00EE34BB">
        <w:rPr>
          <w:rFonts w:ascii="Times New Roman" w:eastAsia="Times New Roman" w:hAnsi="Times New Roman" w:cs="Times New Roman"/>
          <w:sz w:val="26"/>
          <w:szCs w:val="26"/>
          <w:lang w:eastAsia="hu-HU"/>
        </w:rPr>
        <w:t>jé</w:t>
      </w:r>
      <w:r w:rsidRPr="21A055E4">
        <w:rPr>
          <w:rFonts w:ascii="Times New Roman" w:eastAsia="Times New Roman" w:hAnsi="Times New Roman" w:cs="Times New Roman"/>
          <w:sz w:val="26"/>
          <w:szCs w:val="26"/>
          <w:lang w:eastAsia="hu-HU"/>
        </w:rPr>
        <w:t>től hatályos megemelt adómértékek állnak, illetve az, hogy 2024. október elsejétől az adó hatálya kiterjed a konverziót tartalmazó műveletekre is.</w:t>
      </w:r>
    </w:p>
    <w:p w14:paraId="52AF5751" w14:textId="5E118056" w:rsidR="00F6044E" w:rsidRPr="00F6044E" w:rsidRDefault="21A055E4" w:rsidP="00EE34BB">
      <w:pPr>
        <w:jc w:val="both"/>
        <w:rPr>
          <w:rFonts w:ascii="Times New Roman" w:eastAsia="Times New Roman" w:hAnsi="Times New Roman" w:cs="Times New Roman"/>
          <w:sz w:val="26"/>
          <w:szCs w:val="26"/>
          <w:lang w:eastAsia="hu-HU"/>
        </w:rPr>
      </w:pPr>
      <w:r w:rsidRPr="21A055E4">
        <w:rPr>
          <w:rFonts w:ascii="Times New Roman" w:eastAsia="Times New Roman" w:hAnsi="Times New Roman" w:cs="Times New Roman"/>
          <w:sz w:val="26"/>
          <w:szCs w:val="26"/>
          <w:lang w:eastAsia="hu-HU"/>
        </w:rPr>
        <w:t xml:space="preserve">A </w:t>
      </w:r>
      <w:r w:rsidRPr="21A055E4">
        <w:rPr>
          <w:rFonts w:ascii="Times New Roman" w:eastAsia="Times New Roman" w:hAnsi="Times New Roman" w:cs="Times New Roman"/>
          <w:b/>
          <w:bCs/>
          <w:sz w:val="26"/>
          <w:szCs w:val="26"/>
          <w:lang w:eastAsia="hu-HU"/>
        </w:rPr>
        <w:t xml:space="preserve">biztosítási adóból </w:t>
      </w:r>
      <w:r w:rsidR="00EE34BB">
        <w:rPr>
          <w:rFonts w:ascii="Times New Roman" w:eastAsia="Times New Roman" w:hAnsi="Times New Roman" w:cs="Times New Roman"/>
          <w:sz w:val="26"/>
          <w:szCs w:val="26"/>
          <w:lang w:eastAsia="hu-HU"/>
        </w:rPr>
        <w:t>származó bevétel 2025</w:t>
      </w:r>
      <w:r w:rsidRPr="21A055E4">
        <w:rPr>
          <w:rFonts w:ascii="Times New Roman" w:eastAsia="Times New Roman" w:hAnsi="Times New Roman" w:cs="Times New Roman"/>
          <w:sz w:val="26"/>
          <w:szCs w:val="26"/>
          <w:lang w:eastAsia="hu-HU"/>
        </w:rPr>
        <w:t xml:space="preserve"> első három hónapjában 52,3 milliárd forintot tett ki, amely 10,6 milliárd forinttal alacsonyabb az </w:t>
      </w:r>
      <w:r w:rsidR="00FB287A">
        <w:rPr>
          <w:rFonts w:ascii="Times New Roman" w:eastAsia="Times New Roman" w:hAnsi="Times New Roman" w:cs="Times New Roman"/>
          <w:sz w:val="26"/>
          <w:szCs w:val="26"/>
          <w:lang w:eastAsia="hu-HU"/>
        </w:rPr>
        <w:t>egy évvel korábbi bevételnél. A </w:t>
      </w:r>
      <w:r w:rsidRPr="21A055E4">
        <w:rPr>
          <w:rFonts w:ascii="Times New Roman" w:eastAsia="Times New Roman" w:hAnsi="Times New Roman" w:cs="Times New Roman"/>
          <w:sz w:val="26"/>
          <w:szCs w:val="26"/>
          <w:lang w:eastAsia="hu-HU"/>
        </w:rPr>
        <w:t>bevételek előző évhez viszonyított alacsonyabb teljesülését a 2023. évi biztosítási pótadó-kötelezettség 2024. januári elszámolásából fakadó többletbevétel magyarázza.</w:t>
      </w:r>
    </w:p>
    <w:p w14:paraId="603E7087" w14:textId="33F97CD4" w:rsidR="00991169" w:rsidRDefault="21A055E4" w:rsidP="00EE34BB">
      <w:pPr>
        <w:jc w:val="both"/>
        <w:rPr>
          <w:rFonts w:ascii="Times New Roman" w:eastAsia="Times New Roman" w:hAnsi="Times New Roman" w:cs="Times New Roman"/>
          <w:b/>
          <w:bCs/>
          <w:sz w:val="26"/>
          <w:szCs w:val="26"/>
          <w:lang w:eastAsia="hu-HU"/>
        </w:rPr>
      </w:pPr>
      <w:r w:rsidRPr="21A055E4">
        <w:rPr>
          <w:rFonts w:ascii="Times New Roman" w:eastAsia="Times New Roman" w:hAnsi="Times New Roman" w:cs="Times New Roman"/>
          <w:color w:val="000000" w:themeColor="text1"/>
          <w:sz w:val="26"/>
          <w:szCs w:val="26"/>
          <w:lang w:eastAsia="hu-HU"/>
        </w:rPr>
        <w:t xml:space="preserve">A </w:t>
      </w:r>
      <w:r w:rsidRPr="21A055E4">
        <w:rPr>
          <w:rFonts w:ascii="Times New Roman" w:eastAsia="Times New Roman" w:hAnsi="Times New Roman" w:cs="Times New Roman"/>
          <w:b/>
          <w:bCs/>
          <w:color w:val="000000" w:themeColor="text1"/>
          <w:sz w:val="26"/>
          <w:szCs w:val="26"/>
          <w:lang w:eastAsia="hu-HU"/>
        </w:rPr>
        <w:t>személyi jövedelemadó</w:t>
      </w:r>
      <w:r w:rsidRPr="21A055E4">
        <w:rPr>
          <w:rFonts w:ascii="Times New Roman" w:eastAsia="Times New Roman" w:hAnsi="Times New Roman" w:cs="Times New Roman"/>
          <w:color w:val="000000" w:themeColor="text1"/>
          <w:sz w:val="26"/>
          <w:szCs w:val="26"/>
          <w:lang w:eastAsia="hu-HU"/>
        </w:rPr>
        <w:t xml:space="preserve"> bevétele 2025 első három hónapjában </w:t>
      </w:r>
      <w:r w:rsidRPr="21A055E4">
        <w:rPr>
          <w:rFonts w:ascii="Times New Roman" w:eastAsia="Times New Roman" w:hAnsi="Times New Roman" w:cs="Times New Roman"/>
          <w:sz w:val="26"/>
          <w:szCs w:val="26"/>
          <w:lang w:eastAsia="hu-HU"/>
        </w:rPr>
        <w:t>1 202,2 </w:t>
      </w:r>
      <w:r w:rsidRPr="21A055E4">
        <w:rPr>
          <w:rFonts w:ascii="Times New Roman" w:eastAsia="Times New Roman" w:hAnsi="Times New Roman" w:cs="Times New Roman"/>
          <w:color w:val="000000" w:themeColor="text1"/>
          <w:sz w:val="26"/>
          <w:szCs w:val="26"/>
          <w:lang w:eastAsia="hu-HU"/>
        </w:rPr>
        <w:t>milliárd</w:t>
      </w:r>
      <w:r w:rsidRPr="21A055E4">
        <w:rPr>
          <w:rFonts w:ascii="Times New Roman" w:eastAsia="Times New Roman" w:hAnsi="Times New Roman" w:cs="Times New Roman"/>
          <w:sz w:val="26"/>
          <w:szCs w:val="26"/>
          <w:lang w:eastAsia="hu-HU"/>
        </w:rPr>
        <w:t> </w:t>
      </w:r>
      <w:r w:rsidRPr="21A055E4">
        <w:rPr>
          <w:rFonts w:ascii="Times New Roman" w:eastAsia="Times New Roman" w:hAnsi="Times New Roman" w:cs="Times New Roman"/>
          <w:color w:val="000000" w:themeColor="text1"/>
          <w:sz w:val="26"/>
          <w:szCs w:val="26"/>
          <w:lang w:eastAsia="hu-HU"/>
        </w:rPr>
        <w:t>forint volt, amely 125,8</w:t>
      </w:r>
      <w:r w:rsidRPr="21A055E4">
        <w:rPr>
          <w:rFonts w:ascii="Times New Roman" w:eastAsia="Times New Roman" w:hAnsi="Times New Roman" w:cs="Times New Roman"/>
          <w:sz w:val="26"/>
          <w:szCs w:val="26"/>
          <w:lang w:eastAsia="hu-HU"/>
        </w:rPr>
        <w:t> </w:t>
      </w:r>
      <w:r w:rsidRPr="21A055E4">
        <w:rPr>
          <w:rFonts w:ascii="Times New Roman" w:eastAsia="Times New Roman" w:hAnsi="Times New Roman" w:cs="Times New Roman"/>
          <w:color w:val="000000" w:themeColor="text1"/>
          <w:sz w:val="26"/>
          <w:szCs w:val="26"/>
          <w:lang w:eastAsia="hu-HU"/>
        </w:rPr>
        <w:t>milliárd</w:t>
      </w:r>
      <w:r w:rsidRPr="21A055E4">
        <w:rPr>
          <w:rFonts w:ascii="Times New Roman" w:eastAsia="Times New Roman" w:hAnsi="Times New Roman" w:cs="Times New Roman"/>
          <w:sz w:val="26"/>
          <w:szCs w:val="26"/>
          <w:lang w:eastAsia="hu-HU"/>
        </w:rPr>
        <w:t> </w:t>
      </w:r>
      <w:r w:rsidRPr="21A055E4">
        <w:rPr>
          <w:rFonts w:ascii="Times New Roman" w:eastAsia="Times New Roman" w:hAnsi="Times New Roman" w:cs="Times New Roman"/>
          <w:color w:val="000000" w:themeColor="text1"/>
          <w:sz w:val="26"/>
          <w:szCs w:val="26"/>
          <w:lang w:eastAsia="hu-HU"/>
        </w:rPr>
        <w:t>forinttal magasabb az egy évvel korábbi összegnél. Ennek oka a bértömeg növekedése.</w:t>
      </w:r>
    </w:p>
    <w:p w14:paraId="4AD2F5D6" w14:textId="6FA8B559" w:rsidR="00085C37" w:rsidRDefault="21A055E4" w:rsidP="21A055E4">
      <w:pPr>
        <w:jc w:val="center"/>
        <w:rPr>
          <w:rFonts w:ascii="Times New Roman" w:hAnsi="Times New Roman" w:cs="Times New Roman"/>
          <w:b/>
          <w:bCs/>
        </w:rPr>
      </w:pPr>
      <w:r w:rsidRPr="21A055E4">
        <w:rPr>
          <w:rFonts w:ascii="Times New Roman" w:hAnsi="Times New Roman" w:cs="Times New Roman"/>
          <w:b/>
          <w:bCs/>
        </w:rPr>
        <w:t>Személyi jövedelemadó bevétel alakulása (milliárd forint)</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9"/>
        <w:gridCol w:w="1645"/>
        <w:gridCol w:w="1701"/>
        <w:gridCol w:w="992"/>
        <w:gridCol w:w="992"/>
      </w:tblGrid>
      <w:tr w:rsidR="00F6044E" w:rsidRPr="00F6044E" w14:paraId="15003E0E" w14:textId="77777777" w:rsidTr="00EE34BB">
        <w:trPr>
          <w:trHeight w:val="283"/>
          <w:jc w:val="center"/>
        </w:trPr>
        <w:tc>
          <w:tcPr>
            <w:tcW w:w="1469" w:type="dxa"/>
            <w:vMerge w:val="restart"/>
            <w:shd w:val="clear" w:color="auto" w:fill="BDD6EE" w:themeFill="accent1" w:themeFillTint="66"/>
            <w:noWrap/>
            <w:vAlign w:val="center"/>
            <w:hideMark/>
          </w:tcPr>
          <w:p w14:paraId="3AAE6094" w14:textId="77777777" w:rsidR="00F6044E" w:rsidRPr="00F6044E" w:rsidRDefault="00F6044E" w:rsidP="00F6044E">
            <w:pPr>
              <w:keepNext/>
              <w:keepLines/>
              <w:spacing w:after="0"/>
              <w:jc w:val="center"/>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Megnevezés</w:t>
            </w:r>
          </w:p>
        </w:tc>
        <w:tc>
          <w:tcPr>
            <w:tcW w:w="1645" w:type="dxa"/>
            <w:vMerge w:val="restart"/>
            <w:shd w:val="clear" w:color="auto" w:fill="BDD6EE" w:themeFill="accent1" w:themeFillTint="66"/>
            <w:vAlign w:val="center"/>
            <w:hideMark/>
          </w:tcPr>
          <w:p w14:paraId="4EBBDD6A" w14:textId="46D28D49" w:rsidR="00F6044E" w:rsidRPr="00F6044E" w:rsidRDefault="00F6044E" w:rsidP="00F6044E">
            <w:pPr>
              <w:spacing w:after="0" w:line="240" w:lineRule="auto"/>
              <w:jc w:val="center"/>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202</w:t>
            </w:r>
            <w:r w:rsidR="006F2528">
              <w:rPr>
                <w:rFonts w:ascii="Times New Roman" w:eastAsia="Times New Roman" w:hAnsi="Times New Roman" w:cs="Times New Roman"/>
                <w:b/>
                <w:bCs/>
                <w:szCs w:val="20"/>
                <w:lang w:eastAsia="hu-HU"/>
              </w:rPr>
              <w:t xml:space="preserve">4. </w:t>
            </w:r>
            <w:r w:rsidR="006F2528">
              <w:rPr>
                <w:rFonts w:ascii="Times New Roman" w:eastAsia="Times New Roman" w:hAnsi="Times New Roman" w:cs="Times New Roman"/>
                <w:b/>
                <w:bCs/>
                <w:szCs w:val="20"/>
                <w:lang w:eastAsia="hu-HU"/>
              </w:rPr>
              <w:br/>
              <w:t>I</w:t>
            </w:r>
            <w:r w:rsidR="00EE34BB">
              <w:rPr>
                <w:rFonts w:ascii="Times New Roman" w:eastAsia="Times New Roman" w:hAnsi="Times New Roman" w:cs="Times New Roman"/>
                <w:b/>
                <w:bCs/>
                <w:szCs w:val="20"/>
                <w:lang w:eastAsia="hu-HU"/>
              </w:rPr>
              <w:t>-III. hó</w:t>
            </w:r>
          </w:p>
        </w:tc>
        <w:tc>
          <w:tcPr>
            <w:tcW w:w="1701" w:type="dxa"/>
            <w:vMerge w:val="restart"/>
            <w:shd w:val="clear" w:color="auto" w:fill="BDD6EE" w:themeFill="accent1" w:themeFillTint="66"/>
            <w:vAlign w:val="center"/>
            <w:hideMark/>
          </w:tcPr>
          <w:p w14:paraId="182A0892" w14:textId="38B20E4A" w:rsidR="00F6044E" w:rsidRPr="00F6044E" w:rsidRDefault="00EE34BB" w:rsidP="00F6044E">
            <w:pPr>
              <w:spacing w:after="0" w:line="240" w:lineRule="auto"/>
              <w:jc w:val="center"/>
              <w:rPr>
                <w:rFonts w:ascii="Times New Roman" w:eastAsia="Times New Roman" w:hAnsi="Times New Roman" w:cs="Times New Roman"/>
                <w:b/>
                <w:bCs/>
                <w:szCs w:val="20"/>
                <w:lang w:eastAsia="hu-HU"/>
              </w:rPr>
            </w:pPr>
            <w:r>
              <w:rPr>
                <w:rFonts w:ascii="Times New Roman" w:eastAsia="Times New Roman" w:hAnsi="Times New Roman" w:cs="Times New Roman"/>
                <w:b/>
                <w:bCs/>
                <w:szCs w:val="20"/>
                <w:lang w:eastAsia="hu-HU"/>
              </w:rPr>
              <w:t>2025.</w:t>
            </w:r>
            <w:r w:rsidR="006F2528">
              <w:rPr>
                <w:rFonts w:ascii="Times New Roman" w:eastAsia="Times New Roman" w:hAnsi="Times New Roman" w:cs="Times New Roman"/>
                <w:b/>
                <w:bCs/>
                <w:szCs w:val="20"/>
                <w:lang w:eastAsia="hu-HU"/>
              </w:rPr>
              <w:br/>
              <w:t>I</w:t>
            </w:r>
            <w:r>
              <w:rPr>
                <w:rFonts w:ascii="Times New Roman" w:eastAsia="Times New Roman" w:hAnsi="Times New Roman" w:cs="Times New Roman"/>
                <w:b/>
                <w:bCs/>
                <w:szCs w:val="20"/>
                <w:lang w:eastAsia="hu-HU"/>
              </w:rPr>
              <w:t>-III. hó</w:t>
            </w:r>
          </w:p>
        </w:tc>
        <w:tc>
          <w:tcPr>
            <w:tcW w:w="1984" w:type="dxa"/>
            <w:gridSpan w:val="2"/>
            <w:shd w:val="clear" w:color="auto" w:fill="BDD6EE" w:themeFill="accent1" w:themeFillTint="66"/>
            <w:vAlign w:val="center"/>
            <w:hideMark/>
          </w:tcPr>
          <w:p w14:paraId="1F979372" w14:textId="77777777" w:rsidR="00F6044E" w:rsidRPr="00F6044E" w:rsidRDefault="00F6044E" w:rsidP="00F6044E">
            <w:pPr>
              <w:keepNext/>
              <w:keepLines/>
              <w:spacing w:after="0" w:line="240" w:lineRule="auto"/>
              <w:jc w:val="center"/>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Eltérés</w:t>
            </w:r>
          </w:p>
        </w:tc>
      </w:tr>
      <w:tr w:rsidR="00F6044E" w:rsidRPr="00F6044E" w14:paraId="4F86D2B4" w14:textId="77777777" w:rsidTr="00EE34BB">
        <w:trPr>
          <w:trHeight w:val="283"/>
          <w:jc w:val="center"/>
        </w:trPr>
        <w:tc>
          <w:tcPr>
            <w:tcW w:w="1469" w:type="dxa"/>
            <w:vMerge/>
            <w:shd w:val="clear" w:color="auto" w:fill="BDD6EE" w:themeFill="accent1" w:themeFillTint="66"/>
            <w:noWrap/>
            <w:vAlign w:val="center"/>
          </w:tcPr>
          <w:p w14:paraId="4559570F" w14:textId="77777777" w:rsidR="00F6044E" w:rsidRPr="00F6044E" w:rsidRDefault="00F6044E" w:rsidP="00F6044E">
            <w:pPr>
              <w:keepNext/>
              <w:keepLines/>
              <w:spacing w:after="0" w:line="240" w:lineRule="auto"/>
              <w:jc w:val="center"/>
              <w:rPr>
                <w:rFonts w:ascii="Times New Roman" w:eastAsia="Times New Roman" w:hAnsi="Times New Roman" w:cs="Times New Roman"/>
                <w:b/>
                <w:bCs/>
                <w:szCs w:val="20"/>
                <w:lang w:eastAsia="hu-HU"/>
              </w:rPr>
            </w:pPr>
          </w:p>
        </w:tc>
        <w:tc>
          <w:tcPr>
            <w:tcW w:w="1645" w:type="dxa"/>
            <w:vMerge/>
            <w:shd w:val="clear" w:color="auto" w:fill="BDD6EE" w:themeFill="accent1" w:themeFillTint="66"/>
            <w:vAlign w:val="center"/>
          </w:tcPr>
          <w:p w14:paraId="0F6DA83A" w14:textId="77777777" w:rsidR="00F6044E" w:rsidRPr="00F6044E" w:rsidRDefault="00F6044E" w:rsidP="00F6044E">
            <w:pPr>
              <w:spacing w:after="0" w:line="240" w:lineRule="auto"/>
              <w:jc w:val="center"/>
              <w:rPr>
                <w:rFonts w:ascii="Times New Roman" w:eastAsia="Times New Roman" w:hAnsi="Times New Roman" w:cs="Times New Roman"/>
                <w:b/>
                <w:bCs/>
                <w:szCs w:val="20"/>
                <w:lang w:eastAsia="hu-HU"/>
              </w:rPr>
            </w:pPr>
          </w:p>
        </w:tc>
        <w:tc>
          <w:tcPr>
            <w:tcW w:w="1701" w:type="dxa"/>
            <w:vMerge/>
            <w:shd w:val="clear" w:color="auto" w:fill="BDD6EE" w:themeFill="accent1" w:themeFillTint="66"/>
            <w:vAlign w:val="center"/>
          </w:tcPr>
          <w:p w14:paraId="7CDB815F" w14:textId="77777777" w:rsidR="00F6044E" w:rsidRPr="00F6044E" w:rsidRDefault="00F6044E" w:rsidP="00F6044E">
            <w:pPr>
              <w:spacing w:after="0" w:line="240" w:lineRule="auto"/>
              <w:jc w:val="center"/>
              <w:rPr>
                <w:rFonts w:ascii="Times New Roman" w:eastAsia="Times New Roman" w:hAnsi="Times New Roman" w:cs="Times New Roman"/>
                <w:b/>
                <w:bCs/>
                <w:szCs w:val="20"/>
                <w:lang w:eastAsia="hu-HU"/>
              </w:rPr>
            </w:pPr>
          </w:p>
        </w:tc>
        <w:tc>
          <w:tcPr>
            <w:tcW w:w="992" w:type="dxa"/>
            <w:shd w:val="clear" w:color="auto" w:fill="BDD6EE" w:themeFill="accent1" w:themeFillTint="66"/>
            <w:vAlign w:val="center"/>
          </w:tcPr>
          <w:p w14:paraId="0BFF2495" w14:textId="77777777" w:rsidR="00F6044E" w:rsidRPr="00F6044E" w:rsidRDefault="00F6044E" w:rsidP="00F6044E">
            <w:pPr>
              <w:keepNext/>
              <w:keepLines/>
              <w:spacing w:after="0" w:line="240" w:lineRule="auto"/>
              <w:jc w:val="center"/>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Mrd Ft</w:t>
            </w:r>
          </w:p>
        </w:tc>
        <w:tc>
          <w:tcPr>
            <w:tcW w:w="992" w:type="dxa"/>
            <w:shd w:val="clear" w:color="auto" w:fill="BDD6EE" w:themeFill="accent1" w:themeFillTint="66"/>
          </w:tcPr>
          <w:p w14:paraId="562B2066" w14:textId="77777777" w:rsidR="00F6044E" w:rsidRPr="00F6044E" w:rsidRDefault="00F6044E" w:rsidP="00F6044E">
            <w:pPr>
              <w:keepNext/>
              <w:keepLines/>
              <w:spacing w:after="0" w:line="240" w:lineRule="auto"/>
              <w:jc w:val="center"/>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w:t>
            </w:r>
          </w:p>
        </w:tc>
      </w:tr>
      <w:tr w:rsidR="00F6044E" w:rsidRPr="00F6044E" w14:paraId="4E109C72" w14:textId="77777777" w:rsidTr="00F6044E">
        <w:trPr>
          <w:trHeight w:val="340"/>
          <w:jc w:val="center"/>
        </w:trPr>
        <w:tc>
          <w:tcPr>
            <w:tcW w:w="1469" w:type="dxa"/>
            <w:shd w:val="clear" w:color="auto" w:fill="auto"/>
            <w:noWrap/>
            <w:vAlign w:val="center"/>
            <w:hideMark/>
          </w:tcPr>
          <w:p w14:paraId="024E2194" w14:textId="77777777" w:rsidR="00F6044E" w:rsidRPr="00F6044E" w:rsidRDefault="00F6044E" w:rsidP="00F6044E">
            <w:pPr>
              <w:keepNext/>
              <w:keepLines/>
              <w:spacing w:after="0" w:line="240" w:lineRule="auto"/>
              <w:jc w:val="both"/>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Befizetés</w:t>
            </w:r>
          </w:p>
        </w:tc>
        <w:tc>
          <w:tcPr>
            <w:tcW w:w="1645" w:type="dxa"/>
            <w:shd w:val="clear" w:color="auto" w:fill="auto"/>
            <w:noWrap/>
            <w:vAlign w:val="center"/>
          </w:tcPr>
          <w:p w14:paraId="0A6AEA9C" w14:textId="77777777" w:rsidR="00F6044E" w:rsidRPr="00F6044E" w:rsidRDefault="00F6044E" w:rsidP="00F6044E">
            <w:pPr>
              <w:keepNext/>
              <w:keepLines/>
              <w:spacing w:after="0" w:line="240" w:lineRule="auto"/>
              <w:jc w:val="right"/>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1 114,9</w:t>
            </w:r>
          </w:p>
        </w:tc>
        <w:tc>
          <w:tcPr>
            <w:tcW w:w="1701" w:type="dxa"/>
            <w:shd w:val="clear" w:color="auto" w:fill="auto"/>
            <w:noWrap/>
            <w:vAlign w:val="center"/>
          </w:tcPr>
          <w:p w14:paraId="42B70CDC" w14:textId="4406EDFC" w:rsidR="00F6044E" w:rsidRPr="00F6044E" w:rsidRDefault="00F6044E" w:rsidP="00F6044E">
            <w:pPr>
              <w:keepNext/>
              <w:keepLines/>
              <w:spacing w:after="0" w:line="240" w:lineRule="auto"/>
              <w:jc w:val="right"/>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1</w:t>
            </w:r>
            <w:r w:rsidR="008F4B41">
              <w:rPr>
                <w:rFonts w:ascii="Times New Roman" w:eastAsia="Times New Roman" w:hAnsi="Times New Roman" w:cs="Times New Roman"/>
                <w:szCs w:val="20"/>
                <w:lang w:eastAsia="hu-HU"/>
              </w:rPr>
              <w:t> </w:t>
            </w:r>
            <w:r w:rsidRPr="00F6044E">
              <w:rPr>
                <w:rFonts w:ascii="Times New Roman" w:eastAsia="Times New Roman" w:hAnsi="Times New Roman" w:cs="Times New Roman"/>
                <w:szCs w:val="20"/>
                <w:lang w:eastAsia="hu-HU"/>
              </w:rPr>
              <w:t>238,4</w:t>
            </w:r>
          </w:p>
        </w:tc>
        <w:tc>
          <w:tcPr>
            <w:tcW w:w="992" w:type="dxa"/>
            <w:shd w:val="clear" w:color="auto" w:fill="auto"/>
            <w:noWrap/>
            <w:vAlign w:val="center"/>
          </w:tcPr>
          <w:p w14:paraId="03752883" w14:textId="77777777" w:rsidR="00F6044E" w:rsidRPr="00F6044E" w:rsidRDefault="00F6044E" w:rsidP="00F6044E">
            <w:pPr>
              <w:keepNext/>
              <w:keepLines/>
              <w:spacing w:after="0" w:line="240" w:lineRule="auto"/>
              <w:jc w:val="right"/>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123,5</w:t>
            </w:r>
          </w:p>
        </w:tc>
        <w:tc>
          <w:tcPr>
            <w:tcW w:w="992" w:type="dxa"/>
            <w:shd w:val="clear" w:color="auto" w:fill="auto"/>
            <w:vAlign w:val="center"/>
          </w:tcPr>
          <w:p w14:paraId="409FD08E" w14:textId="77777777" w:rsidR="00F6044E" w:rsidRPr="00F6044E" w:rsidRDefault="00F6044E" w:rsidP="00F6044E">
            <w:pPr>
              <w:keepNext/>
              <w:keepLines/>
              <w:spacing w:after="0" w:line="240" w:lineRule="auto"/>
              <w:jc w:val="right"/>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111,1</w:t>
            </w:r>
          </w:p>
        </w:tc>
      </w:tr>
      <w:tr w:rsidR="00F6044E" w:rsidRPr="00F6044E" w14:paraId="49D810EB" w14:textId="77777777" w:rsidTr="00F6044E">
        <w:trPr>
          <w:trHeight w:val="340"/>
          <w:jc w:val="center"/>
        </w:trPr>
        <w:tc>
          <w:tcPr>
            <w:tcW w:w="1469" w:type="dxa"/>
            <w:shd w:val="clear" w:color="auto" w:fill="auto"/>
            <w:noWrap/>
            <w:vAlign w:val="center"/>
            <w:hideMark/>
          </w:tcPr>
          <w:p w14:paraId="6E4E987A" w14:textId="77777777" w:rsidR="00F6044E" w:rsidRPr="00F6044E" w:rsidRDefault="00F6044E" w:rsidP="00F6044E">
            <w:pPr>
              <w:keepNext/>
              <w:keepLines/>
              <w:spacing w:after="0" w:line="240" w:lineRule="auto"/>
              <w:jc w:val="both"/>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Kiutalás</w:t>
            </w:r>
          </w:p>
        </w:tc>
        <w:tc>
          <w:tcPr>
            <w:tcW w:w="1645" w:type="dxa"/>
            <w:shd w:val="clear" w:color="auto" w:fill="auto"/>
            <w:noWrap/>
            <w:vAlign w:val="center"/>
          </w:tcPr>
          <w:p w14:paraId="583C8312" w14:textId="77777777" w:rsidR="00F6044E" w:rsidRPr="00F6044E" w:rsidRDefault="00F6044E" w:rsidP="00F6044E">
            <w:pPr>
              <w:keepNext/>
              <w:keepLines/>
              <w:spacing w:after="0" w:line="240" w:lineRule="auto"/>
              <w:jc w:val="right"/>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38,5</w:t>
            </w:r>
          </w:p>
        </w:tc>
        <w:tc>
          <w:tcPr>
            <w:tcW w:w="1701" w:type="dxa"/>
            <w:shd w:val="clear" w:color="auto" w:fill="auto"/>
            <w:noWrap/>
            <w:vAlign w:val="center"/>
          </w:tcPr>
          <w:p w14:paraId="247D2208" w14:textId="77777777" w:rsidR="00F6044E" w:rsidRPr="00F6044E" w:rsidRDefault="00F6044E" w:rsidP="00F6044E">
            <w:pPr>
              <w:keepNext/>
              <w:keepLines/>
              <w:spacing w:after="0" w:line="240" w:lineRule="auto"/>
              <w:jc w:val="right"/>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36,2</w:t>
            </w:r>
          </w:p>
        </w:tc>
        <w:tc>
          <w:tcPr>
            <w:tcW w:w="992" w:type="dxa"/>
            <w:shd w:val="clear" w:color="auto" w:fill="auto"/>
            <w:noWrap/>
            <w:vAlign w:val="center"/>
          </w:tcPr>
          <w:p w14:paraId="6F8F543C" w14:textId="77777777" w:rsidR="00F6044E" w:rsidRPr="00F6044E" w:rsidRDefault="00F6044E" w:rsidP="00F6044E">
            <w:pPr>
              <w:keepNext/>
              <w:keepLines/>
              <w:spacing w:after="0" w:line="240" w:lineRule="auto"/>
              <w:jc w:val="right"/>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-2,3</w:t>
            </w:r>
          </w:p>
        </w:tc>
        <w:tc>
          <w:tcPr>
            <w:tcW w:w="992" w:type="dxa"/>
            <w:shd w:val="clear" w:color="auto" w:fill="auto"/>
            <w:vAlign w:val="center"/>
          </w:tcPr>
          <w:p w14:paraId="689F7F00" w14:textId="77777777" w:rsidR="00F6044E" w:rsidRPr="00F6044E" w:rsidRDefault="00F6044E" w:rsidP="00F6044E">
            <w:pPr>
              <w:keepNext/>
              <w:keepLines/>
              <w:spacing w:after="0" w:line="240" w:lineRule="auto"/>
              <w:jc w:val="right"/>
              <w:rPr>
                <w:rFonts w:ascii="Times New Roman" w:eastAsia="Times New Roman" w:hAnsi="Times New Roman" w:cs="Times New Roman"/>
                <w:szCs w:val="20"/>
                <w:lang w:eastAsia="hu-HU"/>
              </w:rPr>
            </w:pPr>
            <w:r w:rsidRPr="00F6044E">
              <w:rPr>
                <w:rFonts w:ascii="Times New Roman" w:eastAsia="Times New Roman" w:hAnsi="Times New Roman" w:cs="Times New Roman"/>
                <w:szCs w:val="20"/>
                <w:lang w:eastAsia="hu-HU"/>
              </w:rPr>
              <w:t>94,0</w:t>
            </w:r>
          </w:p>
        </w:tc>
      </w:tr>
      <w:tr w:rsidR="00F6044E" w:rsidRPr="00F6044E" w14:paraId="080260BD" w14:textId="77777777" w:rsidTr="00F6044E">
        <w:trPr>
          <w:trHeight w:val="340"/>
          <w:jc w:val="center"/>
        </w:trPr>
        <w:tc>
          <w:tcPr>
            <w:tcW w:w="1469" w:type="dxa"/>
            <w:shd w:val="clear" w:color="auto" w:fill="auto"/>
            <w:noWrap/>
            <w:vAlign w:val="center"/>
            <w:hideMark/>
          </w:tcPr>
          <w:p w14:paraId="010DF31F" w14:textId="77777777" w:rsidR="00F6044E" w:rsidRPr="00F6044E" w:rsidRDefault="00F6044E" w:rsidP="00F6044E">
            <w:pPr>
              <w:widowControl w:val="0"/>
              <w:spacing w:after="0" w:line="240" w:lineRule="auto"/>
              <w:jc w:val="both"/>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Egyenleg</w:t>
            </w:r>
          </w:p>
        </w:tc>
        <w:tc>
          <w:tcPr>
            <w:tcW w:w="1645" w:type="dxa"/>
            <w:shd w:val="clear" w:color="auto" w:fill="auto"/>
            <w:noWrap/>
            <w:vAlign w:val="center"/>
          </w:tcPr>
          <w:p w14:paraId="0F34A762" w14:textId="58E4BB08" w:rsidR="00F6044E" w:rsidRPr="00F6044E" w:rsidRDefault="00F6044E" w:rsidP="00F6044E">
            <w:pPr>
              <w:widowControl w:val="0"/>
              <w:spacing w:after="0" w:line="240" w:lineRule="auto"/>
              <w:jc w:val="right"/>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1</w:t>
            </w:r>
            <w:r w:rsidR="008F4B41">
              <w:rPr>
                <w:rFonts w:ascii="Times New Roman" w:eastAsia="Times New Roman" w:hAnsi="Times New Roman" w:cs="Times New Roman"/>
                <w:b/>
                <w:bCs/>
                <w:szCs w:val="20"/>
                <w:lang w:eastAsia="hu-HU"/>
              </w:rPr>
              <w:t> </w:t>
            </w:r>
            <w:r w:rsidRPr="00F6044E">
              <w:rPr>
                <w:rFonts w:ascii="Times New Roman" w:eastAsia="Times New Roman" w:hAnsi="Times New Roman" w:cs="Times New Roman"/>
                <w:b/>
                <w:bCs/>
                <w:szCs w:val="20"/>
                <w:lang w:eastAsia="hu-HU"/>
              </w:rPr>
              <w:t>076,4</w:t>
            </w:r>
          </w:p>
        </w:tc>
        <w:tc>
          <w:tcPr>
            <w:tcW w:w="1701" w:type="dxa"/>
            <w:shd w:val="clear" w:color="auto" w:fill="auto"/>
            <w:noWrap/>
            <w:vAlign w:val="center"/>
          </w:tcPr>
          <w:p w14:paraId="72061A24" w14:textId="59E7FD9E" w:rsidR="00F6044E" w:rsidRPr="00F6044E" w:rsidRDefault="00F6044E" w:rsidP="00F6044E">
            <w:pPr>
              <w:widowControl w:val="0"/>
              <w:spacing w:after="0" w:line="240" w:lineRule="auto"/>
              <w:jc w:val="right"/>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1</w:t>
            </w:r>
            <w:r w:rsidR="008F4B41">
              <w:rPr>
                <w:rFonts w:ascii="Times New Roman" w:eastAsia="Times New Roman" w:hAnsi="Times New Roman" w:cs="Times New Roman"/>
                <w:b/>
                <w:bCs/>
                <w:szCs w:val="20"/>
                <w:lang w:eastAsia="hu-HU"/>
              </w:rPr>
              <w:t> </w:t>
            </w:r>
            <w:r w:rsidRPr="00F6044E">
              <w:rPr>
                <w:rFonts w:ascii="Times New Roman" w:eastAsia="Times New Roman" w:hAnsi="Times New Roman" w:cs="Times New Roman"/>
                <w:b/>
                <w:bCs/>
                <w:szCs w:val="20"/>
                <w:lang w:eastAsia="hu-HU"/>
              </w:rPr>
              <w:t>202,2</w:t>
            </w:r>
          </w:p>
        </w:tc>
        <w:tc>
          <w:tcPr>
            <w:tcW w:w="992" w:type="dxa"/>
            <w:shd w:val="clear" w:color="auto" w:fill="auto"/>
            <w:noWrap/>
            <w:vAlign w:val="center"/>
          </w:tcPr>
          <w:p w14:paraId="6F25BD9D" w14:textId="77777777" w:rsidR="00F6044E" w:rsidRPr="00F6044E" w:rsidRDefault="00F6044E" w:rsidP="00F6044E">
            <w:pPr>
              <w:widowControl w:val="0"/>
              <w:spacing w:after="0" w:line="240" w:lineRule="auto"/>
              <w:jc w:val="right"/>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125,8</w:t>
            </w:r>
          </w:p>
        </w:tc>
        <w:tc>
          <w:tcPr>
            <w:tcW w:w="992" w:type="dxa"/>
            <w:shd w:val="clear" w:color="auto" w:fill="auto"/>
            <w:vAlign w:val="center"/>
          </w:tcPr>
          <w:p w14:paraId="15E8333D" w14:textId="77777777" w:rsidR="00F6044E" w:rsidRPr="00F6044E" w:rsidRDefault="00F6044E" w:rsidP="00F6044E">
            <w:pPr>
              <w:widowControl w:val="0"/>
              <w:spacing w:after="0" w:line="240" w:lineRule="auto"/>
              <w:jc w:val="right"/>
              <w:rPr>
                <w:rFonts w:ascii="Times New Roman" w:eastAsia="Times New Roman" w:hAnsi="Times New Roman" w:cs="Times New Roman"/>
                <w:b/>
                <w:bCs/>
                <w:szCs w:val="20"/>
                <w:lang w:eastAsia="hu-HU"/>
              </w:rPr>
            </w:pPr>
            <w:r w:rsidRPr="00F6044E">
              <w:rPr>
                <w:rFonts w:ascii="Times New Roman" w:eastAsia="Times New Roman" w:hAnsi="Times New Roman" w:cs="Times New Roman"/>
                <w:b/>
                <w:bCs/>
                <w:szCs w:val="20"/>
                <w:lang w:eastAsia="hu-HU"/>
              </w:rPr>
              <w:t>111,7</w:t>
            </w:r>
          </w:p>
        </w:tc>
      </w:tr>
    </w:tbl>
    <w:p w14:paraId="54234F12" w14:textId="50DFCC99" w:rsidR="123EFD2F" w:rsidRPr="00377D59" w:rsidRDefault="21A055E4" w:rsidP="21A055E4">
      <w:pPr>
        <w:spacing w:before="240"/>
        <w:jc w:val="both"/>
        <w:rPr>
          <w:rFonts w:ascii="Times New Roman" w:eastAsia="Times New Roman" w:hAnsi="Times New Roman" w:cs="Times New Roman"/>
          <w:sz w:val="26"/>
          <w:szCs w:val="26"/>
        </w:rPr>
      </w:pPr>
      <w:r w:rsidRPr="21A055E4">
        <w:rPr>
          <w:rFonts w:ascii="Times New Roman" w:eastAsia="Times New Roman" w:hAnsi="Times New Roman" w:cs="Times New Roman"/>
          <w:sz w:val="26"/>
          <w:szCs w:val="26"/>
        </w:rPr>
        <w:t xml:space="preserve">A </w:t>
      </w:r>
      <w:r w:rsidRPr="21A055E4">
        <w:rPr>
          <w:rFonts w:ascii="Times New Roman" w:eastAsia="Times New Roman" w:hAnsi="Times New Roman" w:cs="Times New Roman"/>
          <w:b/>
          <w:bCs/>
          <w:sz w:val="26"/>
          <w:szCs w:val="26"/>
        </w:rPr>
        <w:t>Központi Maradványelszámolási Alapba</w:t>
      </w:r>
      <w:r w:rsidRPr="21A055E4">
        <w:rPr>
          <w:rFonts w:ascii="Times New Roman" w:eastAsia="Times New Roman" w:hAnsi="Times New Roman" w:cs="Times New Roman"/>
          <w:sz w:val="26"/>
          <w:szCs w:val="26"/>
        </w:rPr>
        <w:t xml:space="preserve"> </w:t>
      </w:r>
      <w:r w:rsidRPr="21A055E4">
        <w:rPr>
          <w:rFonts w:ascii="Times New Roman" w:eastAsia="Times New Roman" w:hAnsi="Times New Roman" w:cs="Times New Roman"/>
          <w:b/>
          <w:bCs/>
          <w:sz w:val="26"/>
          <w:szCs w:val="26"/>
        </w:rPr>
        <w:t>történő befizetések</w:t>
      </w:r>
      <w:r w:rsidRPr="21A055E4">
        <w:rPr>
          <w:rFonts w:ascii="Times New Roman" w:eastAsia="Times New Roman" w:hAnsi="Times New Roman" w:cs="Times New Roman"/>
          <w:sz w:val="26"/>
          <w:szCs w:val="26"/>
        </w:rPr>
        <w:t xml:space="preserve"> mérlegsorra az év első </w:t>
      </w:r>
      <w:r w:rsidR="00467BD6">
        <w:rPr>
          <w:rFonts w:ascii="Times New Roman" w:eastAsia="Times New Roman" w:hAnsi="Times New Roman" w:cs="Times New Roman"/>
          <w:sz w:val="26"/>
          <w:szCs w:val="26"/>
        </w:rPr>
        <w:t>három</w:t>
      </w:r>
      <w:r w:rsidRPr="21A055E4">
        <w:rPr>
          <w:rFonts w:ascii="Times New Roman" w:eastAsia="Times New Roman" w:hAnsi="Times New Roman" w:cs="Times New Roman"/>
          <w:sz w:val="26"/>
          <w:szCs w:val="26"/>
        </w:rPr>
        <w:t xml:space="preserve"> hónapjában </w:t>
      </w:r>
      <w:r w:rsidR="00467BD6">
        <w:rPr>
          <w:rFonts w:ascii="Times New Roman" w:eastAsia="Times New Roman" w:hAnsi="Times New Roman" w:cs="Times New Roman"/>
          <w:sz w:val="26"/>
          <w:szCs w:val="26"/>
        </w:rPr>
        <w:t>117,0 </w:t>
      </w:r>
      <w:r w:rsidRPr="21A055E4">
        <w:rPr>
          <w:rFonts w:ascii="Times New Roman" w:eastAsia="Times New Roman" w:hAnsi="Times New Roman" w:cs="Times New Roman"/>
          <w:sz w:val="26"/>
          <w:szCs w:val="26"/>
        </w:rPr>
        <w:t>milliárd forint maradvány került befizetésre, szemben az előző év</w:t>
      </w:r>
      <w:r w:rsidR="00467BD6">
        <w:rPr>
          <w:rFonts w:ascii="Times New Roman" w:eastAsia="Times New Roman" w:hAnsi="Times New Roman" w:cs="Times New Roman"/>
          <w:sz w:val="26"/>
          <w:szCs w:val="26"/>
        </w:rPr>
        <w:t xml:space="preserve"> azonos időszakában befolyt 52,6</w:t>
      </w:r>
      <w:r w:rsidRPr="21A055E4">
        <w:rPr>
          <w:rFonts w:ascii="Times New Roman" w:eastAsia="Times New Roman" w:hAnsi="Times New Roman" w:cs="Times New Roman"/>
          <w:sz w:val="26"/>
          <w:szCs w:val="26"/>
        </w:rPr>
        <w:t> milliárd forintos összeggel.</w:t>
      </w:r>
    </w:p>
    <w:p w14:paraId="25C427CE" w14:textId="56732029" w:rsidR="029C2633" w:rsidRPr="0007336F" w:rsidRDefault="0007336F" w:rsidP="62456E77">
      <w:pPr>
        <w:spacing w:before="160"/>
        <w:jc w:val="both"/>
        <w:rPr>
          <w:rFonts w:ascii="Times New Roman" w:eastAsia="Times New Roman" w:hAnsi="Times New Roman" w:cs="Times New Roman"/>
          <w:b/>
          <w:sz w:val="26"/>
          <w:szCs w:val="26"/>
        </w:rPr>
      </w:pPr>
      <w:r w:rsidRPr="0007336F">
        <w:rPr>
          <w:rFonts w:ascii="Times New Roman" w:eastAsia="Times New Roman" w:hAnsi="Times New Roman" w:cs="Times New Roman"/>
          <w:sz w:val="26"/>
          <w:szCs w:val="26"/>
        </w:rPr>
        <w:t>Az</w:t>
      </w:r>
      <w:r w:rsidRPr="0007336F">
        <w:rPr>
          <w:rFonts w:ascii="Times New Roman" w:eastAsia="Times New Roman" w:hAnsi="Times New Roman" w:cs="Times New Roman"/>
          <w:bCs/>
          <w:sz w:val="26"/>
          <w:szCs w:val="26"/>
        </w:rPr>
        <w:t xml:space="preserve"> </w:t>
      </w:r>
      <w:r w:rsidRPr="0007336F">
        <w:rPr>
          <w:rFonts w:ascii="Times New Roman" w:eastAsia="Times New Roman" w:hAnsi="Times New Roman" w:cs="Times New Roman"/>
          <w:b/>
          <w:bCs/>
          <w:sz w:val="26"/>
          <w:szCs w:val="26"/>
        </w:rPr>
        <w:t xml:space="preserve">állami vagyonnal kapcsolatos befizetések </w:t>
      </w:r>
      <w:r w:rsidRPr="0007336F">
        <w:rPr>
          <w:rFonts w:ascii="Times New Roman" w:eastAsia="Times New Roman" w:hAnsi="Times New Roman" w:cs="Times New Roman"/>
          <w:bCs/>
          <w:sz w:val="26"/>
          <w:szCs w:val="26"/>
        </w:rPr>
        <w:t>2025 el</w:t>
      </w:r>
      <w:r>
        <w:rPr>
          <w:rFonts w:ascii="Times New Roman" w:eastAsia="Times New Roman" w:hAnsi="Times New Roman" w:cs="Times New Roman"/>
          <w:bCs/>
          <w:sz w:val="26"/>
          <w:szCs w:val="26"/>
        </w:rPr>
        <w:t>ső háromhavi összege közel 76,4 </w:t>
      </w:r>
      <w:r w:rsidRPr="0007336F">
        <w:rPr>
          <w:rFonts w:ascii="Times New Roman" w:eastAsia="Times New Roman" w:hAnsi="Times New Roman" w:cs="Times New Roman"/>
          <w:bCs/>
          <w:sz w:val="26"/>
          <w:szCs w:val="26"/>
        </w:rPr>
        <w:t>milliárd forint, amelynek meghatározó tétele a kvótaértékesítés volt</w:t>
      </w:r>
      <w:r w:rsidR="62456E77" w:rsidRPr="0007336F">
        <w:rPr>
          <w:rFonts w:ascii="Times New Roman" w:eastAsia="Times New Roman" w:hAnsi="Times New Roman" w:cs="Times New Roman"/>
          <w:sz w:val="26"/>
          <w:szCs w:val="26"/>
        </w:rPr>
        <w:t>.</w:t>
      </w:r>
      <w:r w:rsidR="62456E77" w:rsidRPr="0007336F">
        <w:rPr>
          <w:rFonts w:ascii="Times New Roman" w:eastAsia="Times New Roman" w:hAnsi="Times New Roman" w:cs="Times New Roman"/>
          <w:b/>
          <w:sz w:val="26"/>
          <w:szCs w:val="26"/>
        </w:rPr>
        <w:t xml:space="preserve"> </w:t>
      </w:r>
    </w:p>
    <w:p w14:paraId="0D0F2783" w14:textId="510D1B15" w:rsidR="009D55B4" w:rsidRPr="00377D59" w:rsidRDefault="0007336F" w:rsidP="009D55B4">
      <w:pPr>
        <w:jc w:val="center"/>
        <w:rPr>
          <w:rFonts w:ascii="Times New Roman" w:eastAsia="Times New Roman" w:hAnsi="Times New Roman" w:cs="Times New Roman"/>
          <w:sz w:val="26"/>
          <w:szCs w:val="26"/>
        </w:rPr>
      </w:pPr>
      <w:r>
        <w:rPr>
          <w:noProof/>
          <w:lang w:eastAsia="hu-HU"/>
        </w:rPr>
        <w:drawing>
          <wp:inline distT="0" distB="0" distL="0" distR="0" wp14:anchorId="7ED4DD13" wp14:editId="10ED9D84">
            <wp:extent cx="5940425" cy="3664585"/>
            <wp:effectExtent l="0" t="0" r="3175"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3664585"/>
                    </a:xfrm>
                    <a:prstGeom prst="rect">
                      <a:avLst/>
                    </a:prstGeom>
                  </pic:spPr>
                </pic:pic>
              </a:graphicData>
            </a:graphic>
          </wp:inline>
        </w:drawing>
      </w:r>
    </w:p>
    <w:p w14:paraId="23623F4E" w14:textId="7157705B" w:rsidR="5B67C7D7" w:rsidRPr="00920F4D" w:rsidRDefault="62456E77" w:rsidP="005D3B78">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 költségvetés XLV. </w:t>
      </w:r>
      <w:r w:rsidRPr="62456E77">
        <w:rPr>
          <w:rFonts w:ascii="Times New Roman" w:eastAsia="Times New Roman" w:hAnsi="Times New Roman" w:cs="Times New Roman"/>
          <w:b/>
          <w:bCs/>
          <w:sz w:val="26"/>
          <w:szCs w:val="26"/>
        </w:rPr>
        <w:t>Állami beruházások</w:t>
      </w:r>
      <w:r w:rsidRPr="62456E77">
        <w:rPr>
          <w:rFonts w:ascii="Times New Roman" w:eastAsia="Times New Roman" w:hAnsi="Times New Roman" w:cs="Times New Roman"/>
          <w:sz w:val="26"/>
          <w:szCs w:val="26"/>
        </w:rPr>
        <w:t xml:space="preserve"> fejezetének bevételei 2025. március végéig 32,3 milliárd forintot tettek ki.</w:t>
      </w:r>
    </w:p>
    <w:p w14:paraId="4BE4CA6A" w14:textId="7EF78DD2" w:rsidR="39728167" w:rsidRPr="00377D59" w:rsidRDefault="62456E77" w:rsidP="005D3B78">
      <w:pPr>
        <w:jc w:val="both"/>
        <w:rPr>
          <w:rFonts w:ascii="Times New Roman" w:hAnsi="Times New Roman" w:cs="Times New Roman"/>
        </w:rPr>
      </w:pPr>
      <w:r w:rsidRPr="62456E77">
        <w:rPr>
          <w:rFonts w:ascii="Times New Roman" w:eastAsia="Times New Roman" w:hAnsi="Times New Roman" w:cs="Times New Roman"/>
          <w:sz w:val="26"/>
          <w:szCs w:val="26"/>
        </w:rPr>
        <w:t xml:space="preserve">Az uniós bevételek főszabály szerint a XLII. A költségvetés közvetlen bevételei és kiadásai fejezetbe érkeznek, ezek kimutatására szolgálnak az </w:t>
      </w:r>
      <w:r w:rsidRPr="62456E77">
        <w:rPr>
          <w:rFonts w:ascii="Times New Roman" w:eastAsia="Times New Roman" w:hAnsi="Times New Roman" w:cs="Times New Roman"/>
          <w:b/>
          <w:bCs/>
          <w:sz w:val="26"/>
          <w:szCs w:val="26"/>
        </w:rPr>
        <w:t>Uniós programok bevételei</w:t>
      </w:r>
      <w:r w:rsidRPr="62456E77">
        <w:rPr>
          <w:rFonts w:ascii="Times New Roman" w:eastAsia="Times New Roman" w:hAnsi="Times New Roman" w:cs="Times New Roman"/>
          <w:sz w:val="26"/>
          <w:szCs w:val="26"/>
        </w:rPr>
        <w:t xml:space="preserve">, valamint az </w:t>
      </w:r>
      <w:r w:rsidRPr="62456E77">
        <w:rPr>
          <w:rFonts w:ascii="Times New Roman" w:eastAsia="Times New Roman" w:hAnsi="Times New Roman" w:cs="Times New Roman"/>
          <w:b/>
          <w:bCs/>
          <w:sz w:val="26"/>
          <w:szCs w:val="26"/>
        </w:rPr>
        <w:t>Egyéb uniós bevételek</w:t>
      </w:r>
      <w:r w:rsidRPr="62456E77">
        <w:rPr>
          <w:rFonts w:ascii="Times New Roman" w:eastAsia="Times New Roman" w:hAnsi="Times New Roman" w:cs="Times New Roman"/>
          <w:sz w:val="26"/>
          <w:szCs w:val="26"/>
        </w:rPr>
        <w:t xml:space="preserve"> mérlegsorok.</w:t>
      </w:r>
    </w:p>
    <w:p w14:paraId="1E44DCF7" w14:textId="7E2301C4" w:rsidR="39728167" w:rsidRPr="00377D59" w:rsidRDefault="62456E77" w:rsidP="005D3B78">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Az </w:t>
      </w:r>
      <w:r w:rsidRPr="62456E77">
        <w:rPr>
          <w:rFonts w:ascii="Times New Roman" w:eastAsia="Times New Roman" w:hAnsi="Times New Roman" w:cs="Times New Roman"/>
          <w:b/>
          <w:bCs/>
          <w:sz w:val="26"/>
          <w:szCs w:val="26"/>
        </w:rPr>
        <w:t>Uniós programok bevételei</w:t>
      </w:r>
      <w:r w:rsidRPr="62456E77">
        <w:rPr>
          <w:rFonts w:ascii="Times New Roman" w:eastAsia="Times New Roman" w:hAnsi="Times New Roman" w:cs="Times New Roman"/>
          <w:sz w:val="26"/>
          <w:szCs w:val="26"/>
        </w:rPr>
        <w:t xml:space="preserve"> mérlegsoron 2025. március végéig 136,9</w:t>
      </w:r>
      <w:r w:rsidR="005D3B78">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milliárd forint bevétel keletkezett. Ez az összeg a törvényi előirányzat (2</w:t>
      </w:r>
      <w:r w:rsidR="005D3B78">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235,9 milliárd forint) 6,1%-át teszi ki. A teljesült bevételből 105,1</w:t>
      </w:r>
      <w:r w:rsidR="005D3B78">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milliárd forint az uniós és 31,8</w:t>
      </w:r>
      <w:r w:rsidR="005D3B78">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 xml:space="preserve">milliárd forint az egyéb bevételekhez tartozik. </w:t>
      </w:r>
    </w:p>
    <w:p w14:paraId="040E2327" w14:textId="1F3E55C4" w:rsidR="74B9DF17" w:rsidRDefault="62456E77" w:rsidP="005D3B78">
      <w:pPr>
        <w:jc w:val="both"/>
      </w:pPr>
      <w:r w:rsidRPr="62456E77">
        <w:rPr>
          <w:rFonts w:ascii="Times New Roman" w:eastAsia="Times New Roman" w:hAnsi="Times New Roman" w:cs="Times New Roman"/>
          <w:sz w:val="26"/>
          <w:szCs w:val="26"/>
        </w:rPr>
        <w:t xml:space="preserve">Az </w:t>
      </w:r>
      <w:r w:rsidRPr="62456E77">
        <w:rPr>
          <w:rFonts w:ascii="Times New Roman" w:eastAsia="Times New Roman" w:hAnsi="Times New Roman" w:cs="Times New Roman"/>
          <w:b/>
          <w:bCs/>
          <w:sz w:val="26"/>
          <w:szCs w:val="26"/>
        </w:rPr>
        <w:t xml:space="preserve">Egyéb uniós bevételek </w:t>
      </w:r>
      <w:r w:rsidRPr="62456E77">
        <w:rPr>
          <w:rFonts w:ascii="Times New Roman" w:eastAsia="Times New Roman" w:hAnsi="Times New Roman" w:cs="Times New Roman"/>
          <w:sz w:val="26"/>
          <w:szCs w:val="26"/>
        </w:rPr>
        <w:t>soron a vámbeszedési költség megtérítése jelenik meg, mely 8,0</w:t>
      </w:r>
      <w:r w:rsidR="005D3B78">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milliárd forintot tett ki 2025 márciusig. Ez az összeg a törvényi előirányzat 25,3%-</w:t>
      </w:r>
      <w:proofErr w:type="gramStart"/>
      <w:r w:rsidRPr="62456E77">
        <w:rPr>
          <w:rFonts w:ascii="Times New Roman" w:eastAsia="Times New Roman" w:hAnsi="Times New Roman" w:cs="Times New Roman"/>
          <w:sz w:val="26"/>
          <w:szCs w:val="26"/>
        </w:rPr>
        <w:t>a</w:t>
      </w:r>
      <w:proofErr w:type="gramEnd"/>
      <w:r w:rsidR="005D3B78">
        <w:rPr>
          <w:rFonts w:ascii="Times New Roman" w:eastAsia="Times New Roman" w:hAnsi="Times New Roman" w:cs="Times New Roman"/>
          <w:sz w:val="26"/>
          <w:szCs w:val="26"/>
        </w:rPr>
        <w:t>,</w:t>
      </w:r>
      <w:r w:rsidRPr="62456E77">
        <w:rPr>
          <w:rFonts w:ascii="Times New Roman" w:eastAsia="Times New Roman" w:hAnsi="Times New Roman" w:cs="Times New Roman"/>
          <w:sz w:val="26"/>
          <w:szCs w:val="26"/>
        </w:rPr>
        <w:t xml:space="preserve"> és 0,</w:t>
      </w:r>
      <w:r w:rsidR="00D8222A">
        <w:rPr>
          <w:rFonts w:ascii="Times New Roman" w:eastAsia="Times New Roman" w:hAnsi="Times New Roman" w:cs="Times New Roman"/>
          <w:sz w:val="26"/>
          <w:szCs w:val="26"/>
        </w:rPr>
        <w:t>7</w:t>
      </w:r>
      <w:r w:rsidR="005D3B78">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milliárd forinttal haladja meg a 2024. év azonos időszakában keletkezett bevételt.</w:t>
      </w:r>
    </w:p>
    <w:p w14:paraId="618CDC04" w14:textId="77777777" w:rsidR="00F6044E" w:rsidRPr="00F6044E" w:rsidRDefault="00F6044E" w:rsidP="005D3B78">
      <w:pPr>
        <w:jc w:val="both"/>
        <w:rPr>
          <w:rFonts w:ascii="Times New Roman" w:eastAsia="Calibri" w:hAnsi="Times New Roman" w:cs="Times New Roman"/>
          <w:sz w:val="26"/>
          <w:szCs w:val="26"/>
          <w:lang w:eastAsia="hu-HU"/>
        </w:rPr>
      </w:pPr>
      <w:r w:rsidRPr="00F6044E">
        <w:rPr>
          <w:rFonts w:ascii="Times New Roman" w:eastAsia="Calibri" w:hAnsi="Times New Roman" w:cs="Times New Roman"/>
          <w:sz w:val="26"/>
          <w:szCs w:val="26"/>
          <w:lang w:eastAsia="hu-HU"/>
        </w:rPr>
        <w:t xml:space="preserve">A befizetett társadalombiztosítási járulék 8,1%-át az állami adóhatóság a foglalkoztatási programokkal kapcsolatos elkülönített állami pénzalapnak utalja át. 2025. március végéig a </w:t>
      </w:r>
      <w:r w:rsidRPr="00F6044E">
        <w:rPr>
          <w:rFonts w:ascii="Times New Roman" w:eastAsia="Calibri" w:hAnsi="Times New Roman" w:cs="Times New Roman"/>
          <w:b/>
          <w:bCs/>
          <w:sz w:val="26"/>
          <w:szCs w:val="26"/>
          <w:lang w:eastAsia="hu-HU"/>
        </w:rPr>
        <w:t xml:space="preserve">társadalombiztosítási járulék </w:t>
      </w:r>
      <w:r w:rsidRPr="00F6044E">
        <w:rPr>
          <w:rFonts w:ascii="Times New Roman" w:eastAsia="Times New Roman" w:hAnsi="Times New Roman" w:cs="Times New Roman"/>
          <w:b/>
          <w:bCs/>
          <w:sz w:val="26"/>
          <w:szCs w:val="26"/>
          <w:lang w:eastAsia="hu-HU"/>
        </w:rPr>
        <w:t xml:space="preserve">Nemzeti Foglalkoztatási </w:t>
      </w:r>
      <w:r w:rsidRPr="00F6044E">
        <w:rPr>
          <w:rFonts w:ascii="Times New Roman" w:eastAsia="Calibri" w:hAnsi="Times New Roman" w:cs="Times New Roman"/>
          <w:b/>
          <w:bCs/>
          <w:sz w:val="26"/>
          <w:szCs w:val="26"/>
          <w:lang w:eastAsia="hu-HU"/>
        </w:rPr>
        <w:t xml:space="preserve">Alapot megillető része </w:t>
      </w:r>
      <w:r w:rsidRPr="00F6044E">
        <w:rPr>
          <w:rFonts w:ascii="Times New Roman" w:eastAsia="Calibri" w:hAnsi="Times New Roman" w:cs="Times New Roman"/>
          <w:bCs/>
          <w:sz w:val="26"/>
          <w:szCs w:val="26"/>
          <w:lang w:eastAsia="hu-HU"/>
        </w:rPr>
        <w:t>105</w:t>
      </w:r>
      <w:r w:rsidRPr="00F6044E">
        <w:rPr>
          <w:rFonts w:ascii="Times New Roman" w:eastAsia="Calibri" w:hAnsi="Times New Roman" w:cs="Times New Roman"/>
          <w:sz w:val="26"/>
          <w:szCs w:val="26"/>
          <w:lang w:eastAsia="hu-HU"/>
        </w:rPr>
        <w:t>,8 milliárd</w:t>
      </w:r>
      <w:r w:rsidRPr="7E1955CF">
        <w:rPr>
          <w:rFonts w:ascii="Times New Roman" w:eastAsia="Times New Roman" w:hAnsi="Times New Roman" w:cs="Times New Roman"/>
          <w:sz w:val="26"/>
          <w:szCs w:val="26"/>
          <w:lang w:eastAsia="hu-HU"/>
        </w:rPr>
        <w:t> </w:t>
      </w:r>
      <w:r w:rsidRPr="00F6044E">
        <w:rPr>
          <w:rFonts w:ascii="Times New Roman" w:eastAsia="Calibri" w:hAnsi="Times New Roman" w:cs="Times New Roman"/>
          <w:sz w:val="26"/>
          <w:szCs w:val="26"/>
          <w:lang w:eastAsia="hu-HU"/>
        </w:rPr>
        <w:t>forintban teljesült, amely az előző év azonos időszakában befolyt bevételt 9,3</w:t>
      </w:r>
      <w:r w:rsidRPr="00F6044E">
        <w:rPr>
          <w:rFonts w:ascii="Times New Roman" w:eastAsia="Times New Roman" w:hAnsi="Times New Roman" w:cs="Times New Roman"/>
          <w:sz w:val="26"/>
          <w:szCs w:val="20"/>
          <w:lang w:eastAsia="hu-HU"/>
        </w:rPr>
        <w:t> </w:t>
      </w:r>
      <w:r w:rsidRPr="00F6044E">
        <w:rPr>
          <w:rFonts w:ascii="Times New Roman" w:eastAsia="Calibri" w:hAnsi="Times New Roman" w:cs="Times New Roman"/>
          <w:sz w:val="26"/>
          <w:szCs w:val="26"/>
          <w:lang w:eastAsia="hu-HU"/>
        </w:rPr>
        <w:t>milliárd</w:t>
      </w:r>
      <w:r w:rsidRPr="00F6044E">
        <w:rPr>
          <w:rFonts w:ascii="Times New Roman" w:eastAsia="Times New Roman" w:hAnsi="Times New Roman" w:cs="Times New Roman"/>
          <w:sz w:val="26"/>
          <w:szCs w:val="20"/>
          <w:lang w:eastAsia="hu-HU"/>
        </w:rPr>
        <w:t> </w:t>
      </w:r>
      <w:r w:rsidRPr="00F6044E">
        <w:rPr>
          <w:rFonts w:ascii="Times New Roman" w:eastAsia="Calibri" w:hAnsi="Times New Roman" w:cs="Times New Roman"/>
          <w:sz w:val="26"/>
          <w:szCs w:val="26"/>
          <w:lang w:eastAsia="hu-HU"/>
        </w:rPr>
        <w:t xml:space="preserve">forinttal haladta meg. A </w:t>
      </w:r>
      <w:proofErr w:type="spellStart"/>
      <w:r w:rsidRPr="00F6044E">
        <w:rPr>
          <w:rFonts w:ascii="Times New Roman" w:eastAsia="Calibri" w:hAnsi="Times New Roman" w:cs="Times New Roman"/>
          <w:sz w:val="26"/>
          <w:szCs w:val="26"/>
          <w:lang w:eastAsia="hu-HU"/>
        </w:rPr>
        <w:t>bevételnövekedés</w:t>
      </w:r>
      <w:proofErr w:type="spellEnd"/>
      <w:r w:rsidRPr="00F6044E">
        <w:rPr>
          <w:rFonts w:ascii="Times New Roman" w:eastAsia="Calibri" w:hAnsi="Times New Roman" w:cs="Times New Roman"/>
          <w:sz w:val="26"/>
          <w:szCs w:val="26"/>
          <w:lang w:eastAsia="hu-HU"/>
        </w:rPr>
        <w:t xml:space="preserve"> oka a járulékköteles jövedelmek növekedése.</w:t>
      </w:r>
    </w:p>
    <w:p w14:paraId="73E161E9" w14:textId="77777777" w:rsidR="00F6044E" w:rsidRPr="00F6044E" w:rsidRDefault="00F6044E" w:rsidP="005D3B78">
      <w:pPr>
        <w:jc w:val="both"/>
        <w:rPr>
          <w:rFonts w:ascii="Times New Roman" w:eastAsia="Times New Roman" w:hAnsi="Times New Roman" w:cs="Times New Roman"/>
          <w:sz w:val="26"/>
          <w:szCs w:val="26"/>
          <w:lang w:eastAsia="hu-HU"/>
        </w:rPr>
      </w:pPr>
      <w:r w:rsidRPr="00F6044E">
        <w:rPr>
          <w:rFonts w:ascii="Times New Roman" w:eastAsia="Times New Roman" w:hAnsi="Times New Roman" w:cs="Times New Roman"/>
          <w:sz w:val="26"/>
          <w:szCs w:val="26"/>
          <w:lang w:eastAsia="hu-HU"/>
        </w:rPr>
        <w:t>2025-ben a szociális hozzájárulási adó megfizetett összegének 86,96%-</w:t>
      </w:r>
      <w:proofErr w:type="gramStart"/>
      <w:r w:rsidRPr="00F6044E">
        <w:rPr>
          <w:rFonts w:ascii="Times New Roman" w:eastAsia="Times New Roman" w:hAnsi="Times New Roman" w:cs="Times New Roman"/>
          <w:sz w:val="26"/>
          <w:szCs w:val="26"/>
          <w:lang w:eastAsia="hu-HU"/>
        </w:rPr>
        <w:t>a</w:t>
      </w:r>
      <w:proofErr w:type="gramEnd"/>
      <w:r w:rsidRPr="00F6044E">
        <w:rPr>
          <w:rFonts w:ascii="Times New Roman" w:eastAsia="Times New Roman" w:hAnsi="Times New Roman" w:cs="Times New Roman"/>
          <w:sz w:val="26"/>
          <w:szCs w:val="26"/>
          <w:lang w:eastAsia="hu-HU"/>
        </w:rPr>
        <w:t xml:space="preserve"> a Nyugdíjbiztosítási Alapot illeti meg. A </w:t>
      </w:r>
      <w:r w:rsidRPr="00F6044E">
        <w:rPr>
          <w:rFonts w:ascii="Times New Roman" w:eastAsia="Times New Roman" w:hAnsi="Times New Roman" w:cs="Times New Roman"/>
          <w:b/>
          <w:bCs/>
          <w:sz w:val="26"/>
          <w:szCs w:val="26"/>
          <w:lang w:eastAsia="hu-HU"/>
        </w:rPr>
        <w:t xml:space="preserve">szociális hozzájárulási adó Nyugdíjbiztosítási Alapot megillető része </w:t>
      </w:r>
      <w:r w:rsidRPr="00F6044E">
        <w:rPr>
          <w:rFonts w:ascii="Times New Roman" w:eastAsia="Times New Roman" w:hAnsi="Times New Roman" w:cs="Times New Roman"/>
          <w:bCs/>
          <w:sz w:val="26"/>
          <w:szCs w:val="26"/>
          <w:lang w:eastAsia="hu-HU"/>
        </w:rPr>
        <w:t>2025 első három hónapjában</w:t>
      </w:r>
      <w:r w:rsidRPr="00F6044E">
        <w:rPr>
          <w:rFonts w:ascii="Times New Roman" w:eastAsia="Times New Roman" w:hAnsi="Times New Roman" w:cs="Times New Roman"/>
          <w:sz w:val="26"/>
          <w:szCs w:val="26"/>
          <w:lang w:eastAsia="hu-HU"/>
        </w:rPr>
        <w:t xml:space="preserve"> </w:t>
      </w:r>
      <w:r w:rsidRPr="00F6044E">
        <w:rPr>
          <w:rFonts w:ascii="Times New Roman" w:eastAsia="Times New Roman" w:hAnsi="Times New Roman" w:cs="Times New Roman"/>
          <w:sz w:val="26"/>
          <w:szCs w:val="20"/>
          <w:lang w:eastAsia="hu-HU"/>
        </w:rPr>
        <w:t>711,5 </w:t>
      </w:r>
      <w:r w:rsidRPr="00F6044E">
        <w:rPr>
          <w:rFonts w:ascii="Times New Roman" w:eastAsia="Times New Roman" w:hAnsi="Times New Roman" w:cs="Times New Roman"/>
          <w:sz w:val="26"/>
          <w:szCs w:val="26"/>
          <w:lang w:eastAsia="hu-HU"/>
        </w:rPr>
        <w:t>milliárd</w:t>
      </w:r>
      <w:r w:rsidRPr="00F6044E">
        <w:rPr>
          <w:rFonts w:ascii="Times New Roman" w:eastAsia="Times New Roman" w:hAnsi="Times New Roman" w:cs="Times New Roman"/>
          <w:sz w:val="26"/>
          <w:szCs w:val="20"/>
          <w:lang w:eastAsia="hu-HU"/>
        </w:rPr>
        <w:t> </w:t>
      </w:r>
      <w:r w:rsidRPr="00F6044E">
        <w:rPr>
          <w:rFonts w:ascii="Times New Roman" w:eastAsia="Times New Roman" w:hAnsi="Times New Roman" w:cs="Times New Roman"/>
          <w:sz w:val="26"/>
          <w:szCs w:val="26"/>
          <w:lang w:eastAsia="hu-HU"/>
        </w:rPr>
        <w:t>forintban teljesült, amely 63,3</w:t>
      </w:r>
      <w:r w:rsidRPr="00F6044E">
        <w:rPr>
          <w:rFonts w:ascii="Times New Roman" w:eastAsia="Times New Roman" w:hAnsi="Times New Roman" w:cs="Times New Roman"/>
          <w:sz w:val="26"/>
          <w:szCs w:val="20"/>
          <w:lang w:eastAsia="hu-HU"/>
        </w:rPr>
        <w:t> </w:t>
      </w:r>
      <w:r w:rsidRPr="00F6044E">
        <w:rPr>
          <w:rFonts w:ascii="Times New Roman" w:eastAsia="Times New Roman" w:hAnsi="Times New Roman" w:cs="Times New Roman"/>
          <w:sz w:val="26"/>
          <w:szCs w:val="26"/>
          <w:lang w:eastAsia="hu-HU"/>
        </w:rPr>
        <w:t>milliárd</w:t>
      </w:r>
      <w:r w:rsidRPr="00F6044E">
        <w:rPr>
          <w:rFonts w:ascii="Times New Roman" w:eastAsia="Times New Roman" w:hAnsi="Times New Roman" w:cs="Times New Roman"/>
          <w:sz w:val="26"/>
          <w:szCs w:val="20"/>
          <w:lang w:eastAsia="hu-HU"/>
        </w:rPr>
        <w:t> </w:t>
      </w:r>
      <w:r w:rsidRPr="00F6044E">
        <w:rPr>
          <w:rFonts w:ascii="Times New Roman" w:eastAsia="Times New Roman" w:hAnsi="Times New Roman" w:cs="Times New Roman"/>
          <w:sz w:val="26"/>
          <w:szCs w:val="26"/>
          <w:lang w:eastAsia="hu-HU"/>
        </w:rPr>
        <w:t>forinttal haladta meg az előző év azonos időszakában befolyt bevételt. A bevétel változása az adóköteles jövedelmek növekedésével és az alapok közötti megoszlási arány változásával magyarázható.</w:t>
      </w:r>
    </w:p>
    <w:p w14:paraId="35D5AAAD" w14:textId="38665D2D" w:rsidR="007E22F7" w:rsidRPr="007E22F7" w:rsidRDefault="00F6044E" w:rsidP="005D3B78">
      <w:pPr>
        <w:jc w:val="both"/>
        <w:rPr>
          <w:rFonts w:ascii="Times New Roman" w:eastAsia="Calibri" w:hAnsi="Times New Roman" w:cs="Times New Roman"/>
          <w:sz w:val="26"/>
          <w:szCs w:val="26"/>
          <w:lang w:eastAsia="hu-HU"/>
        </w:rPr>
      </w:pPr>
      <w:r w:rsidRPr="00F6044E">
        <w:rPr>
          <w:rFonts w:ascii="Times New Roman" w:eastAsia="Times New Roman" w:hAnsi="Times New Roman" w:cs="Times New Roman"/>
          <w:sz w:val="26"/>
          <w:szCs w:val="26"/>
          <w:lang w:eastAsia="hu-HU"/>
        </w:rPr>
        <w:t xml:space="preserve">A befizetett társadalombiztosítási járulék 54%-át az állami adóhatóság a Nyugdíjbiztosítási Alapnak utalja át. 2025. március végéig a </w:t>
      </w:r>
      <w:r w:rsidRPr="00F6044E">
        <w:rPr>
          <w:rFonts w:ascii="Times New Roman" w:eastAsia="Times New Roman" w:hAnsi="Times New Roman" w:cs="Times New Roman"/>
          <w:b/>
          <w:bCs/>
          <w:sz w:val="26"/>
          <w:szCs w:val="26"/>
          <w:lang w:eastAsia="hu-HU"/>
        </w:rPr>
        <w:t>társadalombiztosítási járulék Nyugdíjbiztosítási Alapot megillető része és nyugdíjjárulék</w:t>
      </w:r>
      <w:r w:rsidRPr="00F6044E">
        <w:rPr>
          <w:rFonts w:ascii="Times New Roman" w:eastAsia="Times New Roman" w:hAnsi="Times New Roman" w:cs="Times New Roman"/>
          <w:sz w:val="26"/>
          <w:szCs w:val="26"/>
          <w:lang w:eastAsia="hu-HU"/>
        </w:rPr>
        <w:t xml:space="preserve"> 721,6</w:t>
      </w:r>
      <w:r w:rsidRPr="7E1955CF">
        <w:rPr>
          <w:rFonts w:ascii="Times New Roman" w:eastAsia="Times New Roman" w:hAnsi="Times New Roman" w:cs="Times New Roman"/>
          <w:sz w:val="26"/>
          <w:szCs w:val="26"/>
          <w:lang w:eastAsia="hu-HU"/>
        </w:rPr>
        <w:t> </w:t>
      </w:r>
      <w:r w:rsidRPr="00F6044E">
        <w:rPr>
          <w:rFonts w:ascii="Times New Roman" w:eastAsia="Times New Roman" w:hAnsi="Times New Roman" w:cs="Times New Roman"/>
          <w:sz w:val="26"/>
          <w:szCs w:val="26"/>
          <w:lang w:eastAsia="hu-HU"/>
        </w:rPr>
        <w:t>milliárd</w:t>
      </w:r>
      <w:r w:rsidRPr="7E1955CF">
        <w:rPr>
          <w:rFonts w:ascii="Times New Roman" w:eastAsia="Times New Roman" w:hAnsi="Times New Roman" w:cs="Times New Roman"/>
          <w:sz w:val="26"/>
          <w:szCs w:val="26"/>
          <w:lang w:eastAsia="hu-HU"/>
        </w:rPr>
        <w:t> </w:t>
      </w:r>
      <w:r w:rsidRPr="00F6044E">
        <w:rPr>
          <w:rFonts w:ascii="Times New Roman" w:eastAsia="Times New Roman" w:hAnsi="Times New Roman" w:cs="Times New Roman"/>
          <w:sz w:val="26"/>
          <w:szCs w:val="26"/>
          <w:lang w:eastAsia="hu-HU"/>
        </w:rPr>
        <w:t>forintban teljesült, amely az előző év azonos időszakában befolyt bevételt 63,9</w:t>
      </w:r>
      <w:r w:rsidRPr="7E1955CF">
        <w:rPr>
          <w:rFonts w:ascii="Times New Roman" w:eastAsia="Times New Roman" w:hAnsi="Times New Roman" w:cs="Times New Roman"/>
          <w:sz w:val="26"/>
          <w:szCs w:val="26"/>
          <w:lang w:eastAsia="hu-HU"/>
        </w:rPr>
        <w:t> </w:t>
      </w:r>
      <w:r w:rsidRPr="00F6044E">
        <w:rPr>
          <w:rFonts w:ascii="Times New Roman" w:eastAsia="Times New Roman" w:hAnsi="Times New Roman" w:cs="Times New Roman"/>
          <w:sz w:val="26"/>
          <w:szCs w:val="26"/>
          <w:lang w:eastAsia="hu-HU"/>
        </w:rPr>
        <w:t>milliárd</w:t>
      </w:r>
      <w:r w:rsidRPr="7E1955CF">
        <w:rPr>
          <w:rFonts w:ascii="Times New Roman" w:eastAsia="Times New Roman" w:hAnsi="Times New Roman" w:cs="Times New Roman"/>
          <w:sz w:val="26"/>
          <w:szCs w:val="26"/>
          <w:lang w:eastAsia="hu-HU"/>
        </w:rPr>
        <w:t> </w:t>
      </w:r>
      <w:r w:rsidRPr="00F6044E">
        <w:rPr>
          <w:rFonts w:ascii="Times New Roman" w:eastAsia="Times New Roman" w:hAnsi="Times New Roman" w:cs="Times New Roman"/>
          <w:sz w:val="26"/>
          <w:szCs w:val="26"/>
          <w:lang w:eastAsia="hu-HU"/>
        </w:rPr>
        <w:t xml:space="preserve">forinttal haladta meg. </w:t>
      </w:r>
      <w:r w:rsidRPr="00F6044E">
        <w:rPr>
          <w:rFonts w:ascii="Times New Roman" w:eastAsia="Calibri" w:hAnsi="Times New Roman" w:cs="Times New Roman"/>
          <w:sz w:val="26"/>
          <w:szCs w:val="26"/>
          <w:lang w:eastAsia="hu-HU"/>
        </w:rPr>
        <w:t xml:space="preserve">A </w:t>
      </w:r>
      <w:proofErr w:type="spellStart"/>
      <w:r w:rsidRPr="00F6044E">
        <w:rPr>
          <w:rFonts w:ascii="Times New Roman" w:eastAsia="Calibri" w:hAnsi="Times New Roman" w:cs="Times New Roman"/>
          <w:sz w:val="26"/>
          <w:szCs w:val="26"/>
          <w:lang w:eastAsia="hu-HU"/>
        </w:rPr>
        <w:t>bevételnövekedés</w:t>
      </w:r>
      <w:proofErr w:type="spellEnd"/>
      <w:r w:rsidRPr="00F6044E">
        <w:rPr>
          <w:rFonts w:ascii="Times New Roman" w:eastAsia="Calibri" w:hAnsi="Times New Roman" w:cs="Times New Roman"/>
          <w:sz w:val="26"/>
          <w:szCs w:val="26"/>
          <w:lang w:eastAsia="hu-HU"/>
        </w:rPr>
        <w:t xml:space="preserve"> oka a járulékköteles jövedelmek növekedése.</w:t>
      </w:r>
    </w:p>
    <w:p w14:paraId="6512C1A9" w14:textId="4CB014C4" w:rsidR="00462EDD" w:rsidRPr="00462EDD" w:rsidRDefault="62456E77" w:rsidP="005D3B78">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 </w:t>
      </w:r>
      <w:r w:rsidRPr="62456E77">
        <w:rPr>
          <w:rFonts w:ascii="Times New Roman" w:eastAsia="Times New Roman" w:hAnsi="Times New Roman" w:cs="Times New Roman"/>
          <w:b/>
          <w:bCs/>
          <w:sz w:val="26"/>
          <w:szCs w:val="26"/>
        </w:rPr>
        <w:t>Nyugdíjbiztosítási Alap</w:t>
      </w:r>
      <w:r w:rsidRPr="62456E77">
        <w:rPr>
          <w:rFonts w:ascii="Times New Roman" w:eastAsia="Times New Roman" w:hAnsi="Times New Roman" w:cs="Times New Roman"/>
          <w:sz w:val="26"/>
          <w:szCs w:val="26"/>
        </w:rPr>
        <w:t xml:space="preserve"> </w:t>
      </w:r>
      <w:r w:rsidR="00043E49">
        <w:rPr>
          <w:rFonts w:ascii="Times New Roman" w:eastAsia="Times New Roman" w:hAnsi="Times New Roman" w:cs="Times New Roman"/>
          <w:sz w:val="26"/>
          <w:szCs w:val="26"/>
        </w:rPr>
        <w:t>2</w:t>
      </w:r>
      <w:r w:rsidR="00462EDD" w:rsidRPr="00462EDD">
        <w:rPr>
          <w:rFonts w:ascii="Times New Roman" w:eastAsia="Times New Roman" w:hAnsi="Times New Roman" w:cs="Times New Roman"/>
          <w:sz w:val="26"/>
          <w:szCs w:val="26"/>
        </w:rPr>
        <w:t>025. évi költségvetése az ellát</w:t>
      </w:r>
      <w:r w:rsidR="00462EDD">
        <w:rPr>
          <w:rFonts w:ascii="Times New Roman" w:eastAsia="Times New Roman" w:hAnsi="Times New Roman" w:cs="Times New Roman"/>
          <w:sz w:val="26"/>
          <w:szCs w:val="26"/>
        </w:rPr>
        <w:t>ási kiadások támogatására 564,5 </w:t>
      </w:r>
      <w:r w:rsidR="00462EDD" w:rsidRPr="00462EDD">
        <w:rPr>
          <w:rFonts w:ascii="Times New Roman" w:eastAsia="Times New Roman" w:hAnsi="Times New Roman" w:cs="Times New Roman"/>
          <w:sz w:val="26"/>
          <w:szCs w:val="26"/>
        </w:rPr>
        <w:t xml:space="preserve">milliárd forint központi </w:t>
      </w:r>
      <w:r w:rsidR="00462EDD" w:rsidRPr="00626339">
        <w:rPr>
          <w:rFonts w:ascii="Times New Roman" w:eastAsia="Times New Roman" w:hAnsi="Times New Roman" w:cs="Times New Roman"/>
          <w:b/>
          <w:sz w:val="26"/>
          <w:szCs w:val="26"/>
        </w:rPr>
        <w:t>költségvetési hozzájárulást</w:t>
      </w:r>
      <w:r w:rsidR="00462EDD" w:rsidRPr="00462EDD">
        <w:rPr>
          <w:rFonts w:ascii="Times New Roman" w:eastAsia="Times New Roman" w:hAnsi="Times New Roman" w:cs="Times New Roman"/>
          <w:sz w:val="26"/>
          <w:szCs w:val="26"/>
        </w:rPr>
        <w:t xml:space="preserve"> tartalmaz, ami 33,1</w:t>
      </w:r>
      <w:r w:rsidR="00EB5F9F">
        <w:rPr>
          <w:rFonts w:ascii="Times New Roman" w:eastAsia="Times New Roman" w:hAnsi="Times New Roman" w:cs="Times New Roman"/>
          <w:sz w:val="26"/>
          <w:szCs w:val="26"/>
        </w:rPr>
        <w:t> </w:t>
      </w:r>
      <w:r w:rsidR="00462EDD" w:rsidRPr="00462EDD">
        <w:rPr>
          <w:rFonts w:ascii="Times New Roman" w:eastAsia="Times New Roman" w:hAnsi="Times New Roman" w:cs="Times New Roman"/>
          <w:sz w:val="26"/>
          <w:szCs w:val="26"/>
        </w:rPr>
        <w:t>milliárd forinttal haladja meg az előző évi előirányzatot.</w:t>
      </w:r>
    </w:p>
    <w:p w14:paraId="1B9C4A3C" w14:textId="19DB75C2" w:rsidR="00462EDD" w:rsidRPr="00462EDD" w:rsidRDefault="00462EDD" w:rsidP="005D3B78">
      <w:pPr>
        <w:jc w:val="both"/>
        <w:rPr>
          <w:rFonts w:ascii="Times New Roman" w:eastAsia="Times New Roman" w:hAnsi="Times New Roman" w:cs="Times New Roman"/>
          <w:sz w:val="26"/>
          <w:szCs w:val="26"/>
        </w:rPr>
      </w:pPr>
      <w:r w:rsidRPr="00462EDD">
        <w:rPr>
          <w:rFonts w:ascii="Times New Roman" w:eastAsia="Times New Roman" w:hAnsi="Times New Roman" w:cs="Times New Roman"/>
          <w:sz w:val="26"/>
          <w:szCs w:val="26"/>
        </w:rPr>
        <w:t>A központi költségvetés 77,4</w:t>
      </w:r>
      <w:r w:rsidR="00EB5F9F">
        <w:rPr>
          <w:rFonts w:ascii="Times New Roman" w:eastAsia="Times New Roman" w:hAnsi="Times New Roman" w:cs="Times New Roman"/>
          <w:sz w:val="26"/>
          <w:szCs w:val="26"/>
        </w:rPr>
        <w:t> </w:t>
      </w:r>
      <w:r w:rsidRPr="00462EDD">
        <w:rPr>
          <w:rFonts w:ascii="Times New Roman" w:eastAsia="Times New Roman" w:hAnsi="Times New Roman" w:cs="Times New Roman"/>
          <w:sz w:val="26"/>
          <w:szCs w:val="26"/>
        </w:rPr>
        <w:t>milliárd forintot biztosít az Alap részére pénzeszközátadás útján, míg további 487,1</w:t>
      </w:r>
      <w:r w:rsidR="00EB5F9F">
        <w:rPr>
          <w:rFonts w:ascii="Times New Roman" w:eastAsia="Times New Roman" w:hAnsi="Times New Roman" w:cs="Times New Roman"/>
          <w:sz w:val="26"/>
          <w:szCs w:val="26"/>
        </w:rPr>
        <w:t> </w:t>
      </w:r>
      <w:r w:rsidRPr="00462EDD">
        <w:rPr>
          <w:rFonts w:ascii="Times New Roman" w:eastAsia="Times New Roman" w:hAnsi="Times New Roman" w:cs="Times New Roman"/>
          <w:sz w:val="26"/>
          <w:szCs w:val="26"/>
        </w:rPr>
        <w:t>milliárd forintot – a 13. havi nyugdíj és a nyugdíjprémium fedezeteként – címzett támogatás formájában. A 13. havi nyugdíj és a nyugdíjprémium támogatásának előirányzatai év közben előirányzat-módosítás nélkül túlléphetők.</w:t>
      </w:r>
    </w:p>
    <w:p w14:paraId="2CBF9A93" w14:textId="7D2FAB16" w:rsidR="19667954" w:rsidRDefault="00462EDD" w:rsidP="005D3B78">
      <w:pPr>
        <w:jc w:val="both"/>
        <w:rPr>
          <w:rFonts w:ascii="Times New Roman" w:eastAsia="Times New Roman" w:hAnsi="Times New Roman" w:cs="Times New Roman"/>
          <w:sz w:val="26"/>
          <w:szCs w:val="26"/>
        </w:rPr>
      </w:pPr>
      <w:r w:rsidRPr="00462EDD">
        <w:rPr>
          <w:rFonts w:ascii="Times New Roman" w:eastAsia="Times New Roman" w:hAnsi="Times New Roman" w:cs="Times New Roman"/>
          <w:sz w:val="26"/>
          <w:szCs w:val="26"/>
        </w:rPr>
        <w:t>A Magyar Államkincstár az ellátási kiadások támogatására a Nyugdíjbiztosítási Alap részére 2025. március végéig 19,</w:t>
      </w:r>
      <w:r w:rsidR="002E2022">
        <w:rPr>
          <w:rFonts w:ascii="Times New Roman" w:eastAsia="Times New Roman" w:hAnsi="Times New Roman" w:cs="Times New Roman"/>
          <w:sz w:val="26"/>
          <w:szCs w:val="26"/>
        </w:rPr>
        <w:t>3</w:t>
      </w:r>
      <w:r w:rsidR="00EB5F9F">
        <w:rPr>
          <w:rFonts w:ascii="Times New Roman" w:eastAsia="Times New Roman" w:hAnsi="Times New Roman" w:cs="Times New Roman"/>
          <w:sz w:val="26"/>
          <w:szCs w:val="26"/>
        </w:rPr>
        <w:t> </w:t>
      </w:r>
      <w:r w:rsidRPr="00462EDD">
        <w:rPr>
          <w:rFonts w:ascii="Times New Roman" w:eastAsia="Times New Roman" w:hAnsi="Times New Roman" w:cs="Times New Roman"/>
          <w:sz w:val="26"/>
          <w:szCs w:val="26"/>
        </w:rPr>
        <w:t xml:space="preserve">milliárd forint központi támogatást utalt át </w:t>
      </w:r>
      <w:r w:rsidRPr="00943165">
        <w:rPr>
          <w:rFonts w:ascii="Times New Roman" w:eastAsia="Times New Roman" w:hAnsi="Times New Roman" w:cs="Times New Roman"/>
          <w:b/>
          <w:sz w:val="26"/>
          <w:szCs w:val="26"/>
        </w:rPr>
        <w:t>pénzeszköz-átadás</w:t>
      </w:r>
      <w:r w:rsidRPr="00462EDD">
        <w:rPr>
          <w:rFonts w:ascii="Times New Roman" w:eastAsia="Times New Roman" w:hAnsi="Times New Roman" w:cs="Times New Roman"/>
          <w:sz w:val="26"/>
          <w:szCs w:val="26"/>
        </w:rPr>
        <w:t xml:space="preserve"> jogcímen, ami 3,9</w:t>
      </w:r>
      <w:r w:rsidR="00EB5F9F">
        <w:rPr>
          <w:rFonts w:ascii="Times New Roman" w:eastAsia="Times New Roman" w:hAnsi="Times New Roman" w:cs="Times New Roman"/>
          <w:sz w:val="26"/>
          <w:szCs w:val="26"/>
        </w:rPr>
        <w:t> </w:t>
      </w:r>
      <w:r w:rsidRPr="00462EDD">
        <w:rPr>
          <w:rFonts w:ascii="Times New Roman" w:eastAsia="Times New Roman" w:hAnsi="Times New Roman" w:cs="Times New Roman"/>
          <w:sz w:val="26"/>
          <w:szCs w:val="26"/>
        </w:rPr>
        <w:t>milliárd forinttal magasabb az előző év azonos időszakában nyújtott támogatás összegénél. A pénzeszköz-átadás a Nyugdíjbiztosítási Alap költségvetési egyensúlyának biztosítását szolgálja.</w:t>
      </w:r>
      <w:bookmarkStart w:id="0" w:name="_GoBack"/>
      <w:bookmarkEnd w:id="0"/>
    </w:p>
    <w:p w14:paraId="6BF2F156" w14:textId="4BC83F57" w:rsidR="00A76FE3" w:rsidRDefault="62456E77" w:rsidP="005D3B78">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 </w:t>
      </w:r>
      <w:r w:rsidRPr="62456E77">
        <w:rPr>
          <w:rFonts w:ascii="Times New Roman" w:eastAsia="Times New Roman" w:hAnsi="Times New Roman" w:cs="Times New Roman"/>
          <w:b/>
          <w:bCs/>
          <w:sz w:val="26"/>
          <w:szCs w:val="26"/>
        </w:rPr>
        <w:t>13. havi nyugdíj kifizetésének</w:t>
      </w:r>
      <w:r w:rsidRPr="62456E77">
        <w:rPr>
          <w:rFonts w:ascii="Times New Roman" w:eastAsia="Times New Roman" w:hAnsi="Times New Roman" w:cs="Times New Roman"/>
          <w:sz w:val="26"/>
          <w:szCs w:val="26"/>
        </w:rPr>
        <w:t xml:space="preserve"> támogatására február hónapban 487,1 milliárd forint került átutalásra a Nyugdíjbiztosítási Alap részére, ami 38,1 milliárd forinttal haladja meg az előző év azonos időszakában ugyanezen a jogcímen nyújtott támogatás összegét.</w:t>
      </w:r>
    </w:p>
    <w:p w14:paraId="7D300127" w14:textId="77777777" w:rsidR="00A76FE3" w:rsidRDefault="00A76FE3" w:rsidP="005D3B78">
      <w:pPr>
        <w:jc w:val="both"/>
      </w:pPr>
    </w:p>
    <w:p w14:paraId="3AEEF6FB" w14:textId="51E158D0" w:rsidR="00C35E13" w:rsidRDefault="006C7878" w:rsidP="21A055E4">
      <w:pPr>
        <w:pStyle w:val="NormlWeb"/>
        <w:spacing w:before="0" w:beforeAutospacing="0" w:after="160" w:afterAutospacing="0" w:line="259" w:lineRule="auto"/>
        <w:jc w:val="center"/>
      </w:pPr>
      <w:r>
        <w:rPr>
          <w:noProof/>
        </w:rPr>
        <w:drawing>
          <wp:inline distT="0" distB="0" distL="0" distR="0" wp14:anchorId="4D191441" wp14:editId="491CE383">
            <wp:extent cx="5940425" cy="2419519"/>
            <wp:effectExtent l="0" t="0" r="317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52707" cy="2424521"/>
                    </a:xfrm>
                    <a:prstGeom prst="rect">
                      <a:avLst/>
                    </a:prstGeom>
                  </pic:spPr>
                </pic:pic>
              </a:graphicData>
            </a:graphic>
          </wp:inline>
        </w:drawing>
      </w:r>
    </w:p>
    <w:p w14:paraId="6E25CDB4" w14:textId="6FA8B559" w:rsidR="00F6044E" w:rsidRPr="00F6044E" w:rsidRDefault="21A055E4" w:rsidP="21A055E4">
      <w:pPr>
        <w:jc w:val="both"/>
        <w:rPr>
          <w:rFonts w:ascii="Times New Roman" w:eastAsia="Times New Roman" w:hAnsi="Times New Roman" w:cs="Times New Roman"/>
          <w:sz w:val="26"/>
          <w:szCs w:val="26"/>
          <w:lang w:eastAsia="hu-HU"/>
        </w:rPr>
      </w:pPr>
      <w:r w:rsidRPr="21A055E4">
        <w:rPr>
          <w:rFonts w:ascii="Times New Roman" w:eastAsia="Calibri" w:hAnsi="Times New Roman" w:cs="Times New Roman"/>
          <w:sz w:val="26"/>
          <w:szCs w:val="26"/>
          <w:lang w:eastAsia="hu-HU"/>
        </w:rPr>
        <w:t>2025-ben a szociális hozzájárulási adó megfizetett összegének 13,04%-</w:t>
      </w:r>
      <w:proofErr w:type="gramStart"/>
      <w:r w:rsidRPr="21A055E4">
        <w:rPr>
          <w:rFonts w:ascii="Times New Roman" w:eastAsia="Calibri" w:hAnsi="Times New Roman" w:cs="Times New Roman"/>
          <w:sz w:val="26"/>
          <w:szCs w:val="26"/>
          <w:lang w:eastAsia="hu-HU"/>
        </w:rPr>
        <w:t>a</w:t>
      </w:r>
      <w:proofErr w:type="gramEnd"/>
      <w:r w:rsidRPr="21A055E4">
        <w:rPr>
          <w:rFonts w:ascii="Times New Roman" w:eastAsia="Calibri" w:hAnsi="Times New Roman" w:cs="Times New Roman"/>
          <w:sz w:val="26"/>
          <w:szCs w:val="26"/>
          <w:lang w:eastAsia="hu-HU"/>
        </w:rPr>
        <w:t xml:space="preserve"> az Egészségbiztosítási Alapot illeti meg. 2025 első három hónapjában a </w:t>
      </w:r>
      <w:r w:rsidRPr="21A055E4">
        <w:rPr>
          <w:rFonts w:ascii="Times New Roman" w:eastAsia="Calibri" w:hAnsi="Times New Roman" w:cs="Times New Roman"/>
          <w:b/>
          <w:bCs/>
          <w:sz w:val="26"/>
          <w:szCs w:val="26"/>
          <w:lang w:eastAsia="hu-HU"/>
        </w:rPr>
        <w:t>szociális hozzájárulási adó Egészségbiztosítási Alapot megillető része</w:t>
      </w:r>
      <w:r w:rsidRPr="21A055E4">
        <w:rPr>
          <w:rFonts w:ascii="Times New Roman" w:eastAsia="Calibri" w:hAnsi="Times New Roman" w:cs="Times New Roman"/>
          <w:sz w:val="26"/>
          <w:szCs w:val="26"/>
          <w:lang w:eastAsia="hu-HU"/>
        </w:rPr>
        <w:t xml:space="preserve"> 106,7</w:t>
      </w:r>
      <w:r w:rsidRPr="21A055E4">
        <w:rPr>
          <w:rFonts w:ascii="Times New Roman" w:eastAsia="Times New Roman" w:hAnsi="Times New Roman" w:cs="Times New Roman"/>
          <w:sz w:val="26"/>
          <w:szCs w:val="26"/>
          <w:lang w:eastAsia="hu-HU"/>
        </w:rPr>
        <w:t> </w:t>
      </w:r>
      <w:r w:rsidRPr="21A055E4">
        <w:rPr>
          <w:rFonts w:ascii="Times New Roman" w:eastAsia="Calibri" w:hAnsi="Times New Roman" w:cs="Times New Roman"/>
          <w:sz w:val="26"/>
          <w:szCs w:val="26"/>
          <w:lang w:eastAsia="hu-HU"/>
        </w:rPr>
        <w:t>milliárd</w:t>
      </w:r>
      <w:r w:rsidRPr="21A055E4">
        <w:rPr>
          <w:rFonts w:ascii="Times New Roman" w:eastAsia="Times New Roman" w:hAnsi="Times New Roman" w:cs="Times New Roman"/>
          <w:sz w:val="26"/>
          <w:szCs w:val="26"/>
          <w:lang w:eastAsia="hu-HU"/>
        </w:rPr>
        <w:t> </w:t>
      </w:r>
      <w:r w:rsidRPr="21A055E4">
        <w:rPr>
          <w:rFonts w:ascii="Times New Roman" w:eastAsia="Calibri" w:hAnsi="Times New Roman" w:cs="Times New Roman"/>
          <w:sz w:val="26"/>
          <w:szCs w:val="26"/>
          <w:lang w:eastAsia="hu-HU"/>
        </w:rPr>
        <w:t>forintban teljesült, amely 27,7</w:t>
      </w:r>
      <w:r w:rsidRPr="21A055E4">
        <w:rPr>
          <w:rFonts w:ascii="Times New Roman" w:eastAsia="Times New Roman" w:hAnsi="Times New Roman" w:cs="Times New Roman"/>
          <w:sz w:val="26"/>
          <w:szCs w:val="26"/>
          <w:lang w:eastAsia="hu-HU"/>
        </w:rPr>
        <w:t> </w:t>
      </w:r>
      <w:r w:rsidRPr="21A055E4">
        <w:rPr>
          <w:rFonts w:ascii="Times New Roman" w:eastAsia="Calibri" w:hAnsi="Times New Roman" w:cs="Times New Roman"/>
          <w:sz w:val="26"/>
          <w:szCs w:val="26"/>
          <w:lang w:eastAsia="hu-HU"/>
        </w:rPr>
        <w:t>milliárd</w:t>
      </w:r>
      <w:r w:rsidRPr="21A055E4">
        <w:rPr>
          <w:rFonts w:ascii="Times New Roman" w:eastAsia="Times New Roman" w:hAnsi="Times New Roman" w:cs="Times New Roman"/>
          <w:sz w:val="26"/>
          <w:szCs w:val="26"/>
          <w:lang w:eastAsia="hu-HU"/>
        </w:rPr>
        <w:t> </w:t>
      </w:r>
      <w:r w:rsidRPr="21A055E4">
        <w:rPr>
          <w:rFonts w:ascii="Times New Roman" w:eastAsia="Calibri" w:hAnsi="Times New Roman" w:cs="Times New Roman"/>
          <w:sz w:val="26"/>
          <w:szCs w:val="26"/>
          <w:lang w:eastAsia="hu-HU"/>
        </w:rPr>
        <w:t xml:space="preserve">forinttal </w:t>
      </w:r>
      <w:r w:rsidRPr="21A055E4">
        <w:rPr>
          <w:rFonts w:ascii="Times New Roman" w:eastAsia="Times New Roman" w:hAnsi="Times New Roman" w:cs="Times New Roman"/>
          <w:sz w:val="26"/>
          <w:szCs w:val="26"/>
          <w:lang w:eastAsia="hu-HU"/>
        </w:rPr>
        <w:t>haladta meg az előző év azonos időszakában befolyt bevételt</w:t>
      </w:r>
      <w:r w:rsidRPr="21A055E4">
        <w:rPr>
          <w:rFonts w:ascii="Times New Roman" w:eastAsia="Calibri" w:hAnsi="Times New Roman" w:cs="Times New Roman"/>
          <w:sz w:val="26"/>
          <w:szCs w:val="26"/>
          <w:lang w:eastAsia="hu-HU"/>
        </w:rPr>
        <w:t xml:space="preserve">. </w:t>
      </w:r>
      <w:r w:rsidRPr="21A055E4">
        <w:rPr>
          <w:rFonts w:ascii="Times New Roman" w:eastAsia="Times New Roman" w:hAnsi="Times New Roman" w:cs="Times New Roman"/>
          <w:sz w:val="26"/>
          <w:szCs w:val="26"/>
          <w:lang w:eastAsia="hu-HU"/>
        </w:rPr>
        <w:t>A bevétel változása az adóköteles jövedelmek növekedésével és az alapok közötti megoszlási arány változásának együttes hatásával magyarázható.</w:t>
      </w:r>
    </w:p>
    <w:p w14:paraId="08E28491" w14:textId="6FA8B559" w:rsidR="007E22F7" w:rsidRPr="007E22F7" w:rsidRDefault="21A055E4" w:rsidP="21A055E4">
      <w:pPr>
        <w:jc w:val="both"/>
        <w:rPr>
          <w:rFonts w:ascii="Times New Roman" w:eastAsia="Calibri" w:hAnsi="Times New Roman" w:cs="Times New Roman"/>
          <w:sz w:val="26"/>
          <w:szCs w:val="26"/>
          <w:lang w:eastAsia="hu-HU"/>
        </w:rPr>
      </w:pPr>
      <w:r w:rsidRPr="21A055E4">
        <w:rPr>
          <w:rFonts w:ascii="Times New Roman" w:eastAsia="Calibri" w:hAnsi="Times New Roman" w:cs="Times New Roman"/>
          <w:sz w:val="26"/>
          <w:szCs w:val="26"/>
          <w:lang w:eastAsia="hu-HU"/>
        </w:rPr>
        <w:t xml:space="preserve">A befizetett társadalombiztosítási járulék 37,9%-át az állami adóhatóság az Egészségbiztosítási Alapnak utalja át. 2025. március végéig a </w:t>
      </w:r>
      <w:r w:rsidRPr="21A055E4">
        <w:rPr>
          <w:rFonts w:ascii="Times New Roman" w:eastAsia="Calibri" w:hAnsi="Times New Roman" w:cs="Times New Roman"/>
          <w:b/>
          <w:bCs/>
          <w:sz w:val="26"/>
          <w:szCs w:val="26"/>
          <w:lang w:eastAsia="hu-HU"/>
        </w:rPr>
        <w:t>társadalombiztosítási járulék Egészségbiztosítási Alapot megillető része és egészségbiztosítási járulék</w:t>
      </w:r>
      <w:r w:rsidRPr="21A055E4">
        <w:rPr>
          <w:rFonts w:ascii="Times New Roman" w:eastAsia="Calibri" w:hAnsi="Times New Roman" w:cs="Times New Roman"/>
          <w:sz w:val="26"/>
          <w:szCs w:val="26"/>
          <w:lang w:eastAsia="hu-HU"/>
        </w:rPr>
        <w:t xml:space="preserve"> 491,8</w:t>
      </w:r>
      <w:r w:rsidRPr="21A055E4">
        <w:rPr>
          <w:rFonts w:ascii="Times New Roman" w:eastAsia="Times New Roman" w:hAnsi="Times New Roman" w:cs="Times New Roman"/>
          <w:sz w:val="26"/>
          <w:szCs w:val="26"/>
          <w:lang w:eastAsia="hu-HU"/>
        </w:rPr>
        <w:t> </w:t>
      </w:r>
      <w:r w:rsidRPr="21A055E4">
        <w:rPr>
          <w:rFonts w:ascii="Times New Roman" w:eastAsia="Calibri" w:hAnsi="Times New Roman" w:cs="Times New Roman"/>
          <w:sz w:val="26"/>
          <w:szCs w:val="26"/>
          <w:lang w:eastAsia="hu-HU"/>
        </w:rPr>
        <w:t>milliárd</w:t>
      </w:r>
      <w:r w:rsidRPr="21A055E4">
        <w:rPr>
          <w:rFonts w:ascii="Times New Roman" w:eastAsia="Times New Roman" w:hAnsi="Times New Roman" w:cs="Times New Roman"/>
          <w:sz w:val="26"/>
          <w:szCs w:val="26"/>
          <w:lang w:eastAsia="hu-HU"/>
        </w:rPr>
        <w:t> </w:t>
      </w:r>
      <w:r w:rsidRPr="21A055E4">
        <w:rPr>
          <w:rFonts w:ascii="Times New Roman" w:eastAsia="Calibri" w:hAnsi="Times New Roman" w:cs="Times New Roman"/>
          <w:sz w:val="26"/>
          <w:szCs w:val="26"/>
          <w:lang w:eastAsia="hu-HU"/>
        </w:rPr>
        <w:t xml:space="preserve">forintban teljesült, </w:t>
      </w:r>
      <w:r w:rsidRPr="21A055E4">
        <w:rPr>
          <w:rFonts w:ascii="Times New Roman" w:eastAsia="Times New Roman" w:hAnsi="Times New Roman" w:cs="Times New Roman"/>
          <w:sz w:val="26"/>
          <w:szCs w:val="26"/>
          <w:lang w:eastAsia="hu-HU"/>
        </w:rPr>
        <w:t>amely az előző év azonos időszakában befolyt bevételt</w:t>
      </w:r>
      <w:r w:rsidRPr="21A055E4">
        <w:rPr>
          <w:rFonts w:ascii="Times New Roman" w:eastAsia="Calibri" w:hAnsi="Times New Roman" w:cs="Times New Roman"/>
          <w:sz w:val="26"/>
          <w:szCs w:val="26"/>
          <w:lang w:eastAsia="hu-HU"/>
        </w:rPr>
        <w:t xml:space="preserve"> 43,3 milliárd</w:t>
      </w:r>
      <w:r w:rsidRPr="21A055E4">
        <w:rPr>
          <w:rFonts w:ascii="Times New Roman" w:eastAsia="Times New Roman" w:hAnsi="Times New Roman" w:cs="Times New Roman"/>
          <w:sz w:val="26"/>
          <w:szCs w:val="26"/>
          <w:lang w:eastAsia="hu-HU"/>
        </w:rPr>
        <w:t> </w:t>
      </w:r>
      <w:r w:rsidRPr="21A055E4">
        <w:rPr>
          <w:rFonts w:ascii="Times New Roman" w:eastAsia="Calibri" w:hAnsi="Times New Roman" w:cs="Times New Roman"/>
          <w:sz w:val="26"/>
          <w:szCs w:val="26"/>
          <w:lang w:eastAsia="hu-HU"/>
        </w:rPr>
        <w:t xml:space="preserve">forinttal haladta meg. A </w:t>
      </w:r>
      <w:proofErr w:type="spellStart"/>
      <w:r w:rsidRPr="21A055E4">
        <w:rPr>
          <w:rFonts w:ascii="Times New Roman" w:eastAsia="Calibri" w:hAnsi="Times New Roman" w:cs="Times New Roman"/>
          <w:sz w:val="26"/>
          <w:szCs w:val="26"/>
          <w:lang w:eastAsia="hu-HU"/>
        </w:rPr>
        <w:t>bevételnövekedés</w:t>
      </w:r>
      <w:proofErr w:type="spellEnd"/>
      <w:r w:rsidRPr="21A055E4">
        <w:rPr>
          <w:rFonts w:ascii="Times New Roman" w:eastAsia="Calibri" w:hAnsi="Times New Roman" w:cs="Times New Roman"/>
          <w:sz w:val="26"/>
          <w:szCs w:val="26"/>
          <w:lang w:eastAsia="hu-HU"/>
        </w:rPr>
        <w:t xml:space="preserve"> oka a járulékköteles jövedelmek növekedése.</w:t>
      </w:r>
    </w:p>
    <w:p w14:paraId="1E047965" w14:textId="32D262AD" w:rsidR="005961B9" w:rsidRPr="00455A9C" w:rsidRDefault="21A055E4" w:rsidP="21A055E4">
      <w:pPr>
        <w:jc w:val="both"/>
        <w:rPr>
          <w:rFonts w:ascii="Times New Roman" w:hAnsi="Times New Roman" w:cs="Times New Roman"/>
          <w:sz w:val="26"/>
          <w:szCs w:val="26"/>
        </w:rPr>
      </w:pPr>
      <w:r w:rsidRPr="00455A9C">
        <w:rPr>
          <w:rFonts w:ascii="Times New Roman" w:hAnsi="Times New Roman" w:cs="Times New Roman"/>
          <w:sz w:val="26"/>
          <w:szCs w:val="26"/>
        </w:rPr>
        <w:t xml:space="preserve">Az </w:t>
      </w:r>
      <w:r w:rsidRPr="00455A9C">
        <w:rPr>
          <w:rFonts w:ascii="Times New Roman" w:hAnsi="Times New Roman" w:cs="Times New Roman"/>
          <w:b/>
          <w:bCs/>
          <w:sz w:val="26"/>
          <w:szCs w:val="26"/>
        </w:rPr>
        <w:t>Egészségbiztosítási Alap költségvetési hozzájárulásai</w:t>
      </w:r>
      <w:r w:rsidR="00494D4B" w:rsidRPr="00455A9C">
        <w:rPr>
          <w:rFonts w:ascii="Times New Roman" w:hAnsi="Times New Roman" w:cs="Times New Roman"/>
          <w:sz w:val="26"/>
          <w:szCs w:val="26"/>
        </w:rPr>
        <w:t xml:space="preserve"> 2025 első három hónapjában összesen 472,3</w:t>
      </w:r>
      <w:r w:rsidR="00EB5F9F">
        <w:rPr>
          <w:rFonts w:ascii="Times New Roman" w:hAnsi="Times New Roman" w:cs="Times New Roman"/>
          <w:sz w:val="26"/>
          <w:szCs w:val="26"/>
        </w:rPr>
        <w:t> </w:t>
      </w:r>
      <w:r w:rsidR="00494D4B" w:rsidRPr="00455A9C">
        <w:rPr>
          <w:rFonts w:ascii="Times New Roman" w:hAnsi="Times New Roman" w:cs="Times New Roman"/>
          <w:sz w:val="26"/>
          <w:szCs w:val="26"/>
        </w:rPr>
        <w:t>milliárd forintot tettek ki, amely 0,5</w:t>
      </w:r>
      <w:r w:rsidR="00EB5F9F">
        <w:rPr>
          <w:rFonts w:ascii="Times New Roman" w:hAnsi="Times New Roman" w:cs="Times New Roman"/>
          <w:sz w:val="26"/>
          <w:szCs w:val="26"/>
        </w:rPr>
        <w:t> </w:t>
      </w:r>
      <w:r w:rsidR="00494D4B" w:rsidRPr="00455A9C">
        <w:rPr>
          <w:rFonts w:ascii="Times New Roman" w:hAnsi="Times New Roman" w:cs="Times New Roman"/>
          <w:sz w:val="26"/>
          <w:szCs w:val="26"/>
        </w:rPr>
        <w:t>milliárd forinttal alacsonyabb, mint az előző év azonos időszakában átutalt összeg. 2025 első három hónapjában az Egészségbiztosítási Alap járulék címen átvett pénzeszközként 173,1</w:t>
      </w:r>
      <w:r w:rsidR="00EB5F9F">
        <w:rPr>
          <w:rFonts w:ascii="Times New Roman" w:hAnsi="Times New Roman" w:cs="Times New Roman"/>
          <w:sz w:val="26"/>
          <w:szCs w:val="26"/>
        </w:rPr>
        <w:t> </w:t>
      </w:r>
      <w:r w:rsidR="00494D4B" w:rsidRPr="00455A9C">
        <w:rPr>
          <w:rFonts w:ascii="Times New Roman" w:hAnsi="Times New Roman" w:cs="Times New Roman"/>
          <w:sz w:val="26"/>
          <w:szCs w:val="26"/>
        </w:rPr>
        <w:t>milliárd forint támogatást kapott, szemben a tavalyi év azonos időszakában átutalt 163,2</w:t>
      </w:r>
      <w:r w:rsidR="00EB5F9F">
        <w:rPr>
          <w:rFonts w:ascii="Times New Roman" w:hAnsi="Times New Roman" w:cs="Times New Roman"/>
          <w:sz w:val="26"/>
          <w:szCs w:val="26"/>
        </w:rPr>
        <w:t> </w:t>
      </w:r>
      <w:r w:rsidR="00494D4B" w:rsidRPr="00455A9C">
        <w:rPr>
          <w:rFonts w:ascii="Times New Roman" w:hAnsi="Times New Roman" w:cs="Times New Roman"/>
          <w:sz w:val="26"/>
          <w:szCs w:val="26"/>
        </w:rPr>
        <w:t>milliárd forint összeggel. Az alap kiadásainak támogatására szolgáló tervezett pénzeszköz-átvétel és az egészségügyi feladatok ellátásával kapcsolatos hozzájárulás együttes összege 2025. március végéig 299,2</w:t>
      </w:r>
      <w:r w:rsidR="00EB5F9F">
        <w:rPr>
          <w:rFonts w:ascii="Times New Roman" w:hAnsi="Times New Roman" w:cs="Times New Roman"/>
          <w:sz w:val="26"/>
          <w:szCs w:val="26"/>
        </w:rPr>
        <w:t> </w:t>
      </w:r>
      <w:r w:rsidR="00494D4B" w:rsidRPr="00455A9C">
        <w:rPr>
          <w:rFonts w:ascii="Times New Roman" w:hAnsi="Times New Roman" w:cs="Times New Roman"/>
          <w:sz w:val="26"/>
          <w:szCs w:val="26"/>
        </w:rPr>
        <w:t>milliárd forintot tett ki, amely 10,3</w:t>
      </w:r>
      <w:r w:rsidR="00EB5F9F">
        <w:rPr>
          <w:rFonts w:ascii="Times New Roman" w:hAnsi="Times New Roman" w:cs="Times New Roman"/>
          <w:sz w:val="26"/>
          <w:szCs w:val="26"/>
        </w:rPr>
        <w:t> </w:t>
      </w:r>
      <w:r w:rsidR="00494D4B" w:rsidRPr="00455A9C">
        <w:rPr>
          <w:rFonts w:ascii="Times New Roman" w:hAnsi="Times New Roman" w:cs="Times New Roman"/>
          <w:sz w:val="26"/>
          <w:szCs w:val="26"/>
        </w:rPr>
        <w:t>milliárd forinttal elmarad a tavalyi év ugyaneze</w:t>
      </w:r>
      <w:r w:rsidR="00A0423B" w:rsidRPr="00455A9C">
        <w:rPr>
          <w:rFonts w:ascii="Times New Roman" w:hAnsi="Times New Roman" w:cs="Times New Roman"/>
          <w:sz w:val="26"/>
          <w:szCs w:val="26"/>
        </w:rPr>
        <w:t>n időszakában átutalt</w:t>
      </w:r>
      <w:r w:rsidRPr="00455A9C">
        <w:rPr>
          <w:rFonts w:ascii="Times New Roman" w:hAnsi="Times New Roman" w:cs="Times New Roman"/>
          <w:sz w:val="26"/>
          <w:szCs w:val="26"/>
        </w:rPr>
        <w:t xml:space="preserve"> összegtől.</w:t>
      </w:r>
    </w:p>
    <w:p w14:paraId="754C440E" w14:textId="6FA8B559" w:rsidR="005961B9" w:rsidRDefault="005961B9" w:rsidP="21A055E4">
      <w:pPr>
        <w:rPr>
          <w:rFonts w:ascii="Times New Roman" w:hAnsi="Times New Roman" w:cs="Times New Roman"/>
          <w:sz w:val="26"/>
          <w:szCs w:val="26"/>
        </w:rPr>
      </w:pPr>
      <w:r w:rsidRPr="21A055E4">
        <w:rPr>
          <w:rFonts w:ascii="Times New Roman" w:hAnsi="Times New Roman" w:cs="Times New Roman"/>
          <w:sz w:val="26"/>
          <w:szCs w:val="26"/>
        </w:rPr>
        <w:br w:type="page"/>
      </w:r>
    </w:p>
    <w:p w14:paraId="51F08DF7" w14:textId="6FA8B559" w:rsidR="009E34AE" w:rsidRPr="00377D59" w:rsidRDefault="21A055E4" w:rsidP="21A055E4">
      <w:pPr>
        <w:keepNext/>
        <w:numPr>
          <w:ilvl w:val="0"/>
          <w:numId w:val="3"/>
        </w:numPr>
        <w:spacing w:after="120" w:line="240" w:lineRule="auto"/>
        <w:jc w:val="both"/>
        <w:outlineLvl w:val="2"/>
        <w:rPr>
          <w:rFonts w:ascii="Times New Roman" w:eastAsia="Times New Roman" w:hAnsi="Times New Roman" w:cs="Times New Roman"/>
          <w:b/>
          <w:bCs/>
          <w:smallCaps/>
          <w:sz w:val="28"/>
          <w:szCs w:val="28"/>
          <w:lang w:eastAsia="hu-HU"/>
        </w:rPr>
      </w:pPr>
      <w:r w:rsidRPr="21A055E4">
        <w:rPr>
          <w:rFonts w:ascii="Times New Roman" w:eastAsia="Times New Roman" w:hAnsi="Times New Roman" w:cs="Times New Roman"/>
          <w:b/>
          <w:bCs/>
          <w:smallCaps/>
          <w:sz w:val="28"/>
          <w:szCs w:val="28"/>
          <w:lang w:eastAsia="hu-HU"/>
        </w:rPr>
        <w:t xml:space="preserve">A főbb kiadások </w:t>
      </w:r>
    </w:p>
    <w:p w14:paraId="687B6E7B" w14:textId="77777777" w:rsidR="0090700E" w:rsidRPr="0090700E" w:rsidRDefault="62456E77" w:rsidP="0090700E">
      <w:pPr>
        <w:spacing w:after="120"/>
        <w:jc w:val="both"/>
        <w:rPr>
          <w:rFonts w:ascii="Times New Roman" w:eastAsia="Times New Roman" w:hAnsi="Times New Roman" w:cs="Times New Roman"/>
          <w:b/>
          <w:bCs/>
          <w:sz w:val="26"/>
          <w:szCs w:val="26"/>
          <w:lang w:eastAsia="hu-HU"/>
        </w:rPr>
      </w:pPr>
      <w:r w:rsidRPr="62456E77">
        <w:rPr>
          <w:rFonts w:ascii="Times New Roman" w:eastAsia="Times New Roman" w:hAnsi="Times New Roman" w:cs="Times New Roman"/>
          <w:b/>
          <w:bCs/>
          <w:sz w:val="26"/>
          <w:szCs w:val="26"/>
          <w:lang w:eastAsia="hu-HU"/>
        </w:rPr>
        <w:t xml:space="preserve">A </w:t>
      </w:r>
      <w:r w:rsidR="0090700E" w:rsidRPr="0090700E">
        <w:rPr>
          <w:rFonts w:ascii="Times New Roman" w:eastAsia="Times New Roman" w:hAnsi="Times New Roman" w:cs="Times New Roman"/>
          <w:b/>
          <w:bCs/>
          <w:sz w:val="26"/>
          <w:szCs w:val="26"/>
          <w:lang w:eastAsia="hu-HU"/>
        </w:rPr>
        <w:t xml:space="preserve">központi alrendszer március végi 11 751,9 milliárd forint összegű kiadásai 415,1 milliárd forinttal, 3,7%-kal haladták meg az előző év azonos időszaki adatát. </w:t>
      </w:r>
    </w:p>
    <w:p w14:paraId="624A5A9E" w14:textId="0CFEFE12" w:rsidR="0090700E" w:rsidRPr="0090700E" w:rsidRDefault="0090700E" w:rsidP="0090700E">
      <w:pPr>
        <w:spacing w:after="120"/>
        <w:jc w:val="both"/>
        <w:rPr>
          <w:rFonts w:ascii="Times New Roman" w:eastAsia="Times New Roman" w:hAnsi="Times New Roman" w:cs="Times New Roman"/>
          <w:b/>
          <w:bCs/>
          <w:sz w:val="26"/>
          <w:szCs w:val="26"/>
          <w:lang w:eastAsia="hu-HU"/>
        </w:rPr>
      </w:pPr>
      <w:r w:rsidRPr="0090700E">
        <w:rPr>
          <w:rFonts w:ascii="Times New Roman" w:eastAsia="Times New Roman" w:hAnsi="Times New Roman" w:cs="Times New Roman"/>
          <w:b/>
          <w:bCs/>
          <w:sz w:val="26"/>
          <w:szCs w:val="26"/>
          <w:lang w:eastAsia="hu-HU"/>
        </w:rPr>
        <w:t>Magasabban teljesültek az egy évvel korábbihoz képest többek között a költségvetési szervek kiadásai, a szakmai fejezeti kez</w:t>
      </w:r>
      <w:r>
        <w:rPr>
          <w:rFonts w:ascii="Times New Roman" w:eastAsia="Times New Roman" w:hAnsi="Times New Roman" w:cs="Times New Roman"/>
          <w:b/>
          <w:bCs/>
          <w:sz w:val="26"/>
          <w:szCs w:val="26"/>
          <w:lang w:eastAsia="hu-HU"/>
        </w:rPr>
        <w:t>elésű előirányzatok kiadásai, a </w:t>
      </w:r>
      <w:r w:rsidRPr="0090700E">
        <w:rPr>
          <w:rFonts w:ascii="Times New Roman" w:eastAsia="Times New Roman" w:hAnsi="Times New Roman" w:cs="Times New Roman"/>
          <w:b/>
          <w:bCs/>
          <w:sz w:val="26"/>
          <w:szCs w:val="26"/>
          <w:lang w:eastAsia="hu-HU"/>
        </w:rPr>
        <w:t>kamatkiadások és a helyi önkormányzatok támogatásai.</w:t>
      </w:r>
    </w:p>
    <w:p w14:paraId="6FE8DFF4" w14:textId="1F5F96B8" w:rsidR="00AC5231" w:rsidRPr="00377D59" w:rsidRDefault="0090700E" w:rsidP="62456E77">
      <w:pPr>
        <w:spacing w:after="120"/>
        <w:jc w:val="both"/>
        <w:rPr>
          <w:rFonts w:ascii="Times New Roman" w:eastAsia="Times New Roman" w:hAnsi="Times New Roman" w:cs="Times New Roman"/>
          <w:b/>
          <w:bCs/>
          <w:sz w:val="26"/>
          <w:szCs w:val="26"/>
          <w:lang w:eastAsia="hu-HU"/>
        </w:rPr>
      </w:pPr>
      <w:r w:rsidRPr="0090700E">
        <w:rPr>
          <w:rFonts w:ascii="Times New Roman" w:eastAsia="Times New Roman" w:hAnsi="Times New Roman" w:cs="Times New Roman"/>
          <w:b/>
          <w:bCs/>
          <w:sz w:val="26"/>
          <w:szCs w:val="26"/>
          <w:lang w:eastAsia="hu-HU"/>
        </w:rPr>
        <w:t xml:space="preserve">Meghaladták az egy évvel korábbi kifizetést a nyugellátásokra és a gyógyító-megelőző ellátásra fordított összegek is. </w:t>
      </w:r>
      <w:r w:rsidR="00520DE7" w:rsidRPr="00520DE7">
        <w:rPr>
          <w:rFonts w:ascii="Times New Roman" w:eastAsia="Times New Roman" w:hAnsi="Times New Roman" w:cs="Times New Roman"/>
          <w:b/>
          <w:bCs/>
          <w:sz w:val="26"/>
          <w:szCs w:val="26"/>
          <w:lang w:eastAsia="hu-HU"/>
        </w:rPr>
        <w:t>Nyugellátásokra és n</w:t>
      </w:r>
      <w:r w:rsidR="00520DE7">
        <w:rPr>
          <w:rFonts w:ascii="Times New Roman" w:eastAsia="Times New Roman" w:hAnsi="Times New Roman" w:cs="Times New Roman"/>
          <w:b/>
          <w:bCs/>
          <w:sz w:val="26"/>
          <w:szCs w:val="26"/>
          <w:lang w:eastAsia="hu-HU"/>
        </w:rPr>
        <w:t>yugdíjszerű ellátásokra 2 189,</w:t>
      </w:r>
      <w:r w:rsidR="002C688F">
        <w:rPr>
          <w:rFonts w:ascii="Times New Roman" w:eastAsia="Times New Roman" w:hAnsi="Times New Roman" w:cs="Times New Roman"/>
          <w:b/>
          <w:bCs/>
          <w:sz w:val="26"/>
          <w:szCs w:val="26"/>
          <w:lang w:eastAsia="hu-HU"/>
        </w:rPr>
        <w:t>5</w:t>
      </w:r>
      <w:r w:rsidR="00520DE7">
        <w:rPr>
          <w:rFonts w:ascii="Times New Roman" w:eastAsia="Times New Roman" w:hAnsi="Times New Roman" w:cs="Times New Roman"/>
          <w:b/>
          <w:bCs/>
          <w:sz w:val="26"/>
          <w:szCs w:val="26"/>
          <w:lang w:eastAsia="hu-HU"/>
        </w:rPr>
        <w:t> </w:t>
      </w:r>
      <w:r w:rsidR="00520DE7" w:rsidRPr="00520DE7">
        <w:rPr>
          <w:rFonts w:ascii="Times New Roman" w:eastAsia="Times New Roman" w:hAnsi="Times New Roman" w:cs="Times New Roman"/>
          <w:b/>
          <w:bCs/>
          <w:sz w:val="26"/>
          <w:szCs w:val="26"/>
          <w:lang w:eastAsia="hu-HU"/>
        </w:rPr>
        <w:t>milliárd forint, míg a gyógyító-megelőző ellátásokra 758,9 milliárd forint került kifizetésre március végéig.</w:t>
      </w:r>
    </w:p>
    <w:p w14:paraId="71AFDEF8" w14:textId="6F13E85D" w:rsidR="00C35E13" w:rsidRDefault="00504F0B" w:rsidP="00591D8B">
      <w:pPr>
        <w:pStyle w:val="NormlWeb"/>
        <w:spacing w:after="0" w:afterAutospacing="0"/>
        <w:jc w:val="center"/>
      </w:pPr>
      <w:r>
        <w:rPr>
          <w:noProof/>
        </w:rPr>
        <w:drawing>
          <wp:inline distT="0" distB="0" distL="0" distR="0" wp14:anchorId="69C61EA9" wp14:editId="09DD3157">
            <wp:extent cx="5940425" cy="2274474"/>
            <wp:effectExtent l="0" t="0" r="3175"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54853" cy="2279998"/>
                    </a:xfrm>
                    <a:prstGeom prst="rect">
                      <a:avLst/>
                    </a:prstGeom>
                  </pic:spPr>
                </pic:pic>
              </a:graphicData>
            </a:graphic>
          </wp:inline>
        </w:drawing>
      </w:r>
    </w:p>
    <w:p w14:paraId="0B81A1F5" w14:textId="4902EFFE" w:rsidR="68DB40FC" w:rsidRDefault="62456E77" w:rsidP="003E4A11">
      <w:pPr>
        <w:spacing w:before="240"/>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Az </w:t>
      </w:r>
      <w:r w:rsidRPr="62456E77">
        <w:rPr>
          <w:rFonts w:ascii="Times New Roman" w:eastAsia="Times New Roman" w:hAnsi="Times New Roman" w:cs="Times New Roman"/>
          <w:b/>
          <w:bCs/>
          <w:sz w:val="26"/>
          <w:szCs w:val="26"/>
        </w:rPr>
        <w:t>úthálózat rendelkezésre állási díjak</w:t>
      </w:r>
      <w:r w:rsidRPr="62456E77">
        <w:rPr>
          <w:rFonts w:ascii="Times New Roman" w:eastAsia="Times New Roman" w:hAnsi="Times New Roman" w:cs="Times New Roman"/>
          <w:sz w:val="26"/>
          <w:szCs w:val="26"/>
        </w:rPr>
        <w:t xml:space="preserve"> mérlegsor tartalmazza az M5, M6 autópálya rendelkezésre állási díjak, valamint a gyorsforgalmi úthálózat rendelkezésre állási díj előirányzatok kiadásait, amelynek összege 2025 első három hónapjában 95,5 milliárd forint volt, ami </w:t>
      </w:r>
      <w:r w:rsidR="00943165">
        <w:rPr>
          <w:rFonts w:ascii="Times New Roman" w:eastAsia="Times New Roman" w:hAnsi="Times New Roman" w:cs="Times New Roman"/>
          <w:sz w:val="26"/>
          <w:szCs w:val="26"/>
        </w:rPr>
        <w:t>2,5</w:t>
      </w:r>
      <w:r w:rsidR="00943165" w:rsidRPr="00943165">
        <w:rPr>
          <w:rFonts w:ascii="Times New Roman" w:eastAsia="Times New Roman" w:hAnsi="Times New Roman" w:cs="Times New Roman"/>
          <w:sz w:val="26"/>
          <w:szCs w:val="26"/>
        </w:rPr>
        <w:t xml:space="preserve"> milliárd forinttal </w:t>
      </w:r>
      <w:r w:rsidR="00943165">
        <w:rPr>
          <w:rFonts w:ascii="Times New Roman" w:eastAsia="Times New Roman" w:hAnsi="Times New Roman" w:cs="Times New Roman"/>
          <w:sz w:val="26"/>
          <w:szCs w:val="26"/>
        </w:rPr>
        <w:t>alacsony</w:t>
      </w:r>
      <w:r w:rsidR="00943165" w:rsidRPr="00943165">
        <w:rPr>
          <w:rFonts w:ascii="Times New Roman" w:eastAsia="Times New Roman" w:hAnsi="Times New Roman" w:cs="Times New Roman"/>
          <w:sz w:val="26"/>
          <w:szCs w:val="26"/>
        </w:rPr>
        <w:t>abban alakult a 2024. év azonos időszakához képest.</w:t>
      </w:r>
    </w:p>
    <w:p w14:paraId="182A3A7A" w14:textId="3CF90D9B" w:rsidR="1EBF714E" w:rsidRDefault="62456E77" w:rsidP="62456E77">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 </w:t>
      </w:r>
      <w:r w:rsidRPr="62456E77">
        <w:rPr>
          <w:rFonts w:ascii="Times New Roman" w:eastAsia="Times New Roman" w:hAnsi="Times New Roman" w:cs="Times New Roman"/>
          <w:b/>
          <w:bCs/>
          <w:sz w:val="26"/>
          <w:szCs w:val="26"/>
        </w:rPr>
        <w:t>közösségi közlekedés költségtérítés és támogatás</w:t>
      </w:r>
      <w:r w:rsidRPr="62456E77">
        <w:rPr>
          <w:rFonts w:ascii="Times New Roman" w:eastAsia="Times New Roman" w:hAnsi="Times New Roman" w:cs="Times New Roman"/>
          <w:sz w:val="26"/>
          <w:szCs w:val="26"/>
        </w:rPr>
        <w:t xml:space="preserve"> mérlegsor kiadásai 2025. március végéig 140,0 milliárd forintot tettek ki, </w:t>
      </w:r>
      <w:r w:rsidRPr="00502998">
        <w:rPr>
          <w:rFonts w:ascii="Times New Roman" w:eastAsia="Times New Roman" w:hAnsi="Times New Roman" w:cs="Times New Roman"/>
          <w:sz w:val="26"/>
          <w:szCs w:val="26"/>
        </w:rPr>
        <w:t>amelyből a szociálpo</w:t>
      </w:r>
      <w:r w:rsidR="00943165" w:rsidRPr="00502998">
        <w:rPr>
          <w:rFonts w:ascii="Times New Roman" w:eastAsia="Times New Roman" w:hAnsi="Times New Roman" w:cs="Times New Roman"/>
          <w:sz w:val="26"/>
          <w:szCs w:val="26"/>
        </w:rPr>
        <w:t>litikai menetdíj támogatás 41,4 milliárd forint</w:t>
      </w:r>
      <w:r w:rsidRPr="00502998">
        <w:rPr>
          <w:rFonts w:ascii="Times New Roman" w:eastAsia="Times New Roman" w:hAnsi="Times New Roman" w:cs="Times New Roman"/>
          <w:sz w:val="26"/>
          <w:szCs w:val="26"/>
        </w:rPr>
        <w:t>.</w:t>
      </w:r>
      <w:r w:rsidR="00943165" w:rsidRPr="00502998">
        <w:rPr>
          <w:rFonts w:ascii="Times New Roman" w:eastAsia="Times New Roman" w:hAnsi="Times New Roman" w:cs="Times New Roman"/>
          <w:sz w:val="26"/>
          <w:szCs w:val="26"/>
        </w:rPr>
        <w:t xml:space="preserve"> Az összes kiadás</w:t>
      </w:r>
      <w:r w:rsidR="00626339">
        <w:rPr>
          <w:rFonts w:ascii="Times New Roman" w:eastAsia="Times New Roman" w:hAnsi="Times New Roman" w:cs="Times New Roman"/>
          <w:sz w:val="26"/>
          <w:szCs w:val="26"/>
        </w:rPr>
        <w:t xml:space="preserve"> 16,8 milliárd forinttal</w:t>
      </w:r>
      <w:r w:rsidRPr="00502998">
        <w:rPr>
          <w:rFonts w:ascii="Times New Roman" w:eastAsia="Times New Roman" w:hAnsi="Times New Roman" w:cs="Times New Roman"/>
          <w:sz w:val="26"/>
          <w:szCs w:val="26"/>
        </w:rPr>
        <w:t xml:space="preserve"> magasabb, mint a megelőző év azonos időszaki teljesítése.</w:t>
      </w:r>
      <w:r w:rsidRPr="62456E77">
        <w:rPr>
          <w:rFonts w:ascii="Times New Roman" w:eastAsia="Times New Roman" w:hAnsi="Times New Roman" w:cs="Times New Roman"/>
          <w:sz w:val="26"/>
          <w:szCs w:val="26"/>
        </w:rPr>
        <w:t xml:space="preserve">  </w:t>
      </w:r>
    </w:p>
    <w:p w14:paraId="6CC62A3D" w14:textId="2A0AE908" w:rsidR="006D363A" w:rsidRPr="008728FD" w:rsidRDefault="62456E77" w:rsidP="62456E77">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 </w:t>
      </w:r>
      <w:r w:rsidRPr="62456E77">
        <w:rPr>
          <w:rFonts w:ascii="Times New Roman" w:eastAsia="Times New Roman" w:hAnsi="Times New Roman" w:cs="Times New Roman"/>
          <w:b/>
          <w:bCs/>
          <w:sz w:val="26"/>
          <w:szCs w:val="26"/>
        </w:rPr>
        <w:t>közüzemi szolgáltatások támogatása</w:t>
      </w:r>
      <w:r w:rsidRPr="62456E77">
        <w:rPr>
          <w:rFonts w:ascii="Times New Roman" w:eastAsia="Times New Roman" w:hAnsi="Times New Roman" w:cs="Times New Roman"/>
          <w:sz w:val="26"/>
          <w:szCs w:val="26"/>
        </w:rPr>
        <w:t xml:space="preserve"> mérlegsor tartalmazza a lakossági energia rezsivédelmi szolgáltatás, a rezsivédelmi készletezési szolgáltatás és a távhőszolgáltatók kompenzációjával </w:t>
      </w:r>
      <w:r w:rsidRPr="008728FD">
        <w:rPr>
          <w:rFonts w:ascii="Times New Roman" w:eastAsia="Times New Roman" w:hAnsi="Times New Roman" w:cs="Times New Roman"/>
          <w:sz w:val="26"/>
          <w:szCs w:val="26"/>
        </w:rPr>
        <w:t xml:space="preserve">kapcsolatos kiadásokat, valamint a Víziközmű-fejlesztési és Ellentételezési Alap kiadásait is. A közüzemi szolgáltatások támogatására fordított kiadások 2025. március végéig 456,3 milliárd forintot tettek ki, amely magában foglalja a különleges földgázkészlet fenntartásának 2025. április 1-jéig történő finanszírozása érdekében februárban folyósított 3,0 milliárd forint támogatást. Továbbá tartalmazza a Víziközmű-fejlesztési és Ellentételezési Alapból a víziközmű-szolgáltatók részére a 2024. év IV. negyedévi működésük ellentételezésére nyújtott 24,8 milliárd forintos kiadást is, amely kiadás 2024 első hónapjaiban még nem jelentkezett. </w:t>
      </w:r>
    </w:p>
    <w:p w14:paraId="3B52873E" w14:textId="290FCE3A" w:rsidR="008D3E76" w:rsidRDefault="62456E77" w:rsidP="62456E77">
      <w:pPr>
        <w:jc w:val="both"/>
        <w:rPr>
          <w:rFonts w:ascii="Times New Roman" w:eastAsia="Times New Roman" w:hAnsi="Times New Roman" w:cs="Times New Roman"/>
          <w:sz w:val="26"/>
          <w:szCs w:val="26"/>
        </w:rPr>
      </w:pPr>
      <w:r w:rsidRPr="008728FD">
        <w:rPr>
          <w:rFonts w:ascii="Times New Roman" w:eastAsia="Times New Roman" w:hAnsi="Times New Roman" w:cs="Times New Roman"/>
          <w:sz w:val="26"/>
          <w:szCs w:val="26"/>
        </w:rPr>
        <w:t>A 2024-ben létrehozott Alapból a – negyedévet követő hónapban esedékes – kifizetések 2024 áprilisában kezdődtek meg. A mérlegsor jelenlegi teljesítése 5,0 milliárd forinttal alacsonyabb, mint a 2024. év azonos időszakában a közüzemi szolgáltatások teljesítésére fordított 461,3 milliárd forint, ez részben az alacsonyabb támogatási igényből, részben a kifizetés eltérő ütemezéséből fakadt.</w:t>
      </w:r>
    </w:p>
    <w:p w14:paraId="79E44A54" w14:textId="07F2D466" w:rsidR="0F03D9E1" w:rsidRDefault="77316144" w:rsidP="77316144">
      <w:pPr>
        <w:jc w:val="both"/>
        <w:rPr>
          <w:rFonts w:ascii="Times New Roman" w:eastAsia="Times New Roman" w:hAnsi="Times New Roman" w:cs="Times New Roman"/>
          <w:sz w:val="26"/>
          <w:szCs w:val="26"/>
        </w:rPr>
      </w:pPr>
      <w:r w:rsidRPr="77316144">
        <w:rPr>
          <w:rFonts w:ascii="Times New Roman" w:eastAsia="Times New Roman" w:hAnsi="Times New Roman" w:cs="Times New Roman"/>
          <w:b/>
          <w:bCs/>
          <w:sz w:val="26"/>
          <w:szCs w:val="26"/>
          <w:lang w:eastAsia="hu-HU"/>
        </w:rPr>
        <w:t xml:space="preserve">Lakástámogatásokra </w:t>
      </w:r>
      <w:r w:rsidRPr="77316144">
        <w:rPr>
          <w:rFonts w:ascii="Times New Roman" w:eastAsia="Times New Roman" w:hAnsi="Times New Roman" w:cs="Times New Roman"/>
          <w:sz w:val="26"/>
          <w:szCs w:val="26"/>
        </w:rPr>
        <w:t xml:space="preserve">fordított kiadások összege március végéig </w:t>
      </w:r>
      <w:r w:rsidR="008728FD">
        <w:rPr>
          <w:rFonts w:ascii="Times New Roman" w:eastAsia="Times New Roman" w:hAnsi="Times New Roman" w:cs="Times New Roman"/>
          <w:sz w:val="26"/>
          <w:szCs w:val="26"/>
        </w:rPr>
        <w:t xml:space="preserve">36,4 milliárd forint volt, </w:t>
      </w:r>
      <w:r w:rsidRPr="77316144">
        <w:rPr>
          <w:rFonts w:ascii="Times New Roman" w:eastAsia="Times New Roman" w:hAnsi="Times New Roman" w:cs="Times New Roman"/>
          <w:sz w:val="26"/>
          <w:szCs w:val="26"/>
        </w:rPr>
        <w:t xml:space="preserve">mely </w:t>
      </w:r>
      <w:r w:rsidR="003E7547">
        <w:rPr>
          <w:rFonts w:ascii="Times New Roman" w:eastAsia="Times New Roman" w:hAnsi="Times New Roman" w:cs="Times New Roman"/>
          <w:sz w:val="26"/>
          <w:szCs w:val="26"/>
        </w:rPr>
        <w:t>az előző</w:t>
      </w:r>
      <w:r w:rsidRPr="77316144">
        <w:rPr>
          <w:rFonts w:ascii="Times New Roman" w:eastAsia="Times New Roman" w:hAnsi="Times New Roman" w:cs="Times New Roman"/>
          <w:sz w:val="26"/>
          <w:szCs w:val="26"/>
        </w:rPr>
        <w:t xml:space="preserve"> év azonos időszakához viszonyítva 12,0 milliárd forinttal teljesült alacsonyabban.</w:t>
      </w:r>
    </w:p>
    <w:p w14:paraId="33223970" w14:textId="25DDB887" w:rsidR="0F03D9E1" w:rsidRDefault="62456E77" w:rsidP="62456E77">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 </w:t>
      </w:r>
      <w:r w:rsidRPr="62456E77">
        <w:rPr>
          <w:rFonts w:ascii="Times New Roman" w:eastAsia="Times New Roman" w:hAnsi="Times New Roman" w:cs="Times New Roman"/>
          <w:b/>
          <w:bCs/>
          <w:sz w:val="26"/>
          <w:szCs w:val="26"/>
        </w:rPr>
        <w:t>Nemzeti Család- és Szociálpolitikai Alap</w:t>
      </w:r>
      <w:r w:rsidRPr="62456E77">
        <w:rPr>
          <w:rFonts w:ascii="Times New Roman" w:eastAsia="Times New Roman" w:hAnsi="Times New Roman" w:cs="Times New Roman"/>
          <w:sz w:val="26"/>
          <w:szCs w:val="26"/>
        </w:rPr>
        <w:t xml:space="preserve"> a családi támogatásokat, a korhatár alatti ellátásokat, a jövedelempótló és jövedelemkiegészítő szociális támogatásokat, valamint a különféle jogcímen adott térítéseket tartalmazza. A főbb támogatásokat a következő táblázat részletezi:</w:t>
      </w:r>
    </w:p>
    <w:p w14:paraId="46398944" w14:textId="2D482933" w:rsidR="00621840" w:rsidRPr="00B32682" w:rsidRDefault="62456E77" w:rsidP="62456E77">
      <w:pPr>
        <w:spacing w:after="0"/>
        <w:jc w:val="center"/>
        <w:rPr>
          <w:rFonts w:ascii="Times New Roman" w:eastAsia="Times New Roman" w:hAnsi="Times New Roman" w:cs="Times New Roman"/>
        </w:rPr>
      </w:pPr>
      <w:r w:rsidRPr="62456E77">
        <w:rPr>
          <w:rFonts w:ascii="Times New Roman" w:hAnsi="Times New Roman" w:cs="Times New Roman"/>
          <w:b/>
          <w:bCs/>
          <w:color w:val="000000" w:themeColor="text1"/>
        </w:rPr>
        <w:t>A Nemzeti Család- és Szociálpolitikai Alap kiadásainak alakulása (milliárd forint)</w:t>
      </w:r>
    </w:p>
    <w:tbl>
      <w:tblPr>
        <w:tblW w:w="9356" w:type="dxa"/>
        <w:tblCellMar>
          <w:left w:w="70" w:type="dxa"/>
          <w:right w:w="70" w:type="dxa"/>
        </w:tblCellMar>
        <w:tblLook w:val="04A0" w:firstRow="1" w:lastRow="0" w:firstColumn="1" w:lastColumn="0" w:noHBand="0" w:noVBand="1"/>
      </w:tblPr>
      <w:tblGrid>
        <w:gridCol w:w="5670"/>
        <w:gridCol w:w="993"/>
        <w:gridCol w:w="992"/>
        <w:gridCol w:w="850"/>
        <w:gridCol w:w="851"/>
      </w:tblGrid>
      <w:tr w:rsidR="006068B4" w:rsidRPr="00B32682" w14:paraId="2A7C74BD" w14:textId="77777777" w:rsidTr="62456E77">
        <w:trPr>
          <w:trHeight w:hRule="exact" w:val="284"/>
        </w:trPr>
        <w:tc>
          <w:tcPr>
            <w:tcW w:w="9356" w:type="dxa"/>
            <w:gridSpan w:val="5"/>
            <w:tcBorders>
              <w:top w:val="nil"/>
              <w:left w:val="nil"/>
              <w:bottom w:val="single" w:sz="4" w:space="0" w:color="auto"/>
              <w:right w:val="nil"/>
            </w:tcBorders>
            <w:shd w:val="clear" w:color="auto" w:fill="auto"/>
            <w:noWrap/>
            <w:vAlign w:val="center"/>
            <w:hideMark/>
          </w:tcPr>
          <w:p w14:paraId="003FCBDC" w14:textId="77777777" w:rsidR="006068B4" w:rsidRPr="00B32682" w:rsidRDefault="006068B4" w:rsidP="000C1105">
            <w:pPr>
              <w:spacing w:after="0"/>
              <w:jc w:val="center"/>
              <w:rPr>
                <w:rFonts w:ascii="Times New Roman" w:hAnsi="Times New Roman" w:cs="Times New Roman"/>
                <w:b/>
                <w:bCs/>
                <w:color w:val="000000"/>
              </w:rPr>
            </w:pPr>
          </w:p>
        </w:tc>
      </w:tr>
      <w:tr w:rsidR="00081A16" w:rsidRPr="006068B4" w14:paraId="485D9574" w14:textId="77777777" w:rsidTr="62456E77">
        <w:trPr>
          <w:trHeight w:hRule="exact" w:val="284"/>
        </w:trPr>
        <w:tc>
          <w:tcPr>
            <w:tcW w:w="5670" w:type="dxa"/>
            <w:vMerge w:val="restart"/>
            <w:tcBorders>
              <w:top w:val="nil"/>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03974AE3" w14:textId="77777777" w:rsidR="00081A16" w:rsidRPr="00DD7FD1" w:rsidRDefault="62456E77" w:rsidP="62456E77">
            <w:pPr>
              <w:spacing w:after="0" w:line="240" w:lineRule="auto"/>
              <w:jc w:val="center"/>
              <w:rPr>
                <w:rFonts w:ascii="Times New Roman" w:hAnsi="Times New Roman" w:cs="Times New Roman"/>
                <w:b/>
                <w:bCs/>
                <w:color w:val="000000" w:themeColor="text1"/>
              </w:rPr>
            </w:pPr>
            <w:r w:rsidRPr="62456E77">
              <w:rPr>
                <w:rFonts w:ascii="Times New Roman" w:hAnsi="Times New Roman" w:cs="Times New Roman"/>
                <w:b/>
                <w:bCs/>
                <w:color w:val="000000" w:themeColor="text1"/>
              </w:rPr>
              <w:t>Megnevezés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19955B" w14:textId="30BE9847" w:rsidR="00081A16" w:rsidRPr="00DD7FD1" w:rsidRDefault="62456E77" w:rsidP="62456E77">
            <w:pPr>
              <w:spacing w:after="0" w:line="240" w:lineRule="auto"/>
              <w:jc w:val="center"/>
              <w:rPr>
                <w:rFonts w:ascii="Times New Roman" w:hAnsi="Times New Roman" w:cs="Times New Roman"/>
                <w:b/>
                <w:bCs/>
                <w:color w:val="000000" w:themeColor="text1"/>
              </w:rPr>
            </w:pPr>
            <w:r w:rsidRPr="62456E77">
              <w:rPr>
                <w:rFonts w:ascii="Times New Roman" w:eastAsia="Times New Roman" w:hAnsi="Times New Roman" w:cs="Times New Roman"/>
                <w:b/>
                <w:bCs/>
                <w:lang w:eastAsia="hu-HU"/>
              </w:rPr>
              <w:t xml:space="preserve">2024. </w:t>
            </w:r>
          </w:p>
          <w:p w14:paraId="5E208842" w14:textId="0790BB1B" w:rsidR="00081A16" w:rsidRPr="00DD7FD1" w:rsidRDefault="62456E77" w:rsidP="62456E77">
            <w:pPr>
              <w:spacing w:after="0" w:line="240" w:lineRule="auto"/>
              <w:jc w:val="center"/>
              <w:rPr>
                <w:rFonts w:ascii="Times New Roman" w:hAnsi="Times New Roman" w:cs="Times New Roman"/>
                <w:b/>
                <w:bCs/>
                <w:color w:val="000000" w:themeColor="text1"/>
              </w:rPr>
            </w:pPr>
            <w:r w:rsidRPr="62456E77">
              <w:rPr>
                <w:rFonts w:ascii="Times New Roman" w:eastAsia="Times New Roman" w:hAnsi="Times New Roman" w:cs="Times New Roman"/>
                <w:b/>
                <w:bCs/>
                <w:lang w:eastAsia="hu-HU"/>
              </w:rPr>
              <w:t>I-III. hó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515045" w14:textId="76BFE4BD" w:rsidR="00081A16" w:rsidRPr="00DD7FD1" w:rsidRDefault="62456E77" w:rsidP="62456E77">
            <w:pPr>
              <w:spacing w:after="0" w:line="240" w:lineRule="auto"/>
              <w:jc w:val="center"/>
              <w:rPr>
                <w:rFonts w:ascii="Times New Roman" w:hAnsi="Times New Roman" w:cs="Times New Roman"/>
                <w:b/>
                <w:bCs/>
                <w:color w:val="000000" w:themeColor="text1"/>
              </w:rPr>
            </w:pPr>
            <w:r w:rsidRPr="62456E77">
              <w:rPr>
                <w:rFonts w:ascii="Times New Roman" w:eastAsia="Times New Roman" w:hAnsi="Times New Roman" w:cs="Times New Roman"/>
                <w:b/>
                <w:bCs/>
                <w:lang w:eastAsia="hu-HU"/>
              </w:rPr>
              <w:t xml:space="preserve">2025. </w:t>
            </w:r>
          </w:p>
          <w:p w14:paraId="211822BF" w14:textId="08982806" w:rsidR="00081A16" w:rsidRPr="00DD7FD1" w:rsidRDefault="62456E77" w:rsidP="62456E77">
            <w:pPr>
              <w:spacing w:after="0" w:line="240" w:lineRule="auto"/>
              <w:jc w:val="center"/>
              <w:rPr>
                <w:rFonts w:ascii="Times New Roman" w:hAnsi="Times New Roman" w:cs="Times New Roman"/>
                <w:b/>
                <w:bCs/>
                <w:color w:val="000000" w:themeColor="text1"/>
              </w:rPr>
            </w:pPr>
            <w:r w:rsidRPr="62456E77">
              <w:rPr>
                <w:rFonts w:ascii="Times New Roman" w:eastAsia="Times New Roman" w:hAnsi="Times New Roman" w:cs="Times New Roman"/>
                <w:b/>
                <w:bCs/>
                <w:lang w:eastAsia="hu-HU"/>
              </w:rPr>
              <w:t>I-III. hó</w:t>
            </w:r>
          </w:p>
        </w:tc>
        <w:tc>
          <w:tcPr>
            <w:tcW w:w="1701"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14:paraId="35F9B9E7" w14:textId="77777777" w:rsidR="00081A16" w:rsidRPr="00DD7FD1" w:rsidRDefault="62456E77" w:rsidP="62456E77">
            <w:pPr>
              <w:jc w:val="center"/>
              <w:rPr>
                <w:rFonts w:ascii="Times New Roman" w:hAnsi="Times New Roman" w:cs="Times New Roman"/>
                <w:b/>
                <w:bCs/>
                <w:color w:val="000000" w:themeColor="text1"/>
              </w:rPr>
            </w:pPr>
            <w:r w:rsidRPr="62456E77">
              <w:rPr>
                <w:rFonts w:ascii="Times New Roman" w:hAnsi="Times New Roman" w:cs="Times New Roman"/>
                <w:b/>
                <w:bCs/>
                <w:color w:val="000000" w:themeColor="text1"/>
              </w:rPr>
              <w:t>Eltérés</w:t>
            </w:r>
          </w:p>
        </w:tc>
      </w:tr>
      <w:tr w:rsidR="006068B4" w:rsidRPr="006068B4" w14:paraId="2BEB1728" w14:textId="77777777" w:rsidTr="62456E77">
        <w:trPr>
          <w:trHeight w:hRule="exact" w:val="569"/>
        </w:trPr>
        <w:tc>
          <w:tcPr>
            <w:tcW w:w="5670"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493B685E" w14:textId="77777777" w:rsidR="006068B4" w:rsidRPr="00DD7FD1" w:rsidRDefault="006068B4" w:rsidP="000C1105">
            <w:pPr>
              <w:rPr>
                <w:rFonts w:ascii="Times New Roman" w:hAnsi="Times New Roman" w:cs="Times New Roman"/>
                <w:b/>
                <w:bCs/>
                <w:color w:val="000000"/>
              </w:rPr>
            </w:pPr>
          </w:p>
        </w:tc>
        <w:tc>
          <w:tcPr>
            <w:tcW w:w="993" w:type="dxa"/>
            <w:vMerge/>
            <w:tcBorders>
              <w:top w:val="nil"/>
              <w:left w:val="single" w:sz="4" w:space="0" w:color="auto"/>
              <w:bottom w:val="single" w:sz="4" w:space="0" w:color="000000"/>
              <w:right w:val="single" w:sz="4" w:space="0" w:color="auto"/>
            </w:tcBorders>
            <w:shd w:val="clear" w:color="auto" w:fill="BDD6EE" w:themeFill="accent1" w:themeFillTint="66"/>
            <w:vAlign w:val="center"/>
            <w:hideMark/>
          </w:tcPr>
          <w:p w14:paraId="071FC734" w14:textId="77777777" w:rsidR="006068B4" w:rsidRPr="00DD7FD1" w:rsidRDefault="006068B4" w:rsidP="000C1105">
            <w:pPr>
              <w:rPr>
                <w:rFonts w:ascii="Times New Roman" w:hAnsi="Times New Roman" w:cs="Times New Roman"/>
                <w:b/>
                <w:bCs/>
                <w:color w:val="000000"/>
              </w:rPr>
            </w:pPr>
          </w:p>
        </w:tc>
        <w:tc>
          <w:tcPr>
            <w:tcW w:w="992"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929BC54" w14:textId="77777777" w:rsidR="006068B4" w:rsidRPr="00DD7FD1" w:rsidRDefault="006068B4" w:rsidP="000C1105">
            <w:pPr>
              <w:rPr>
                <w:rFonts w:ascii="Times New Roman" w:hAnsi="Times New Roman" w:cs="Times New Roman"/>
                <w:b/>
                <w:bCs/>
                <w:color w:val="000000"/>
              </w:rPr>
            </w:pPr>
          </w:p>
        </w:tc>
        <w:tc>
          <w:tcPr>
            <w:tcW w:w="850" w:type="dxa"/>
            <w:tcBorders>
              <w:top w:val="nil"/>
              <w:left w:val="nil"/>
              <w:bottom w:val="single" w:sz="4" w:space="0" w:color="auto"/>
              <w:right w:val="single" w:sz="4" w:space="0" w:color="auto"/>
            </w:tcBorders>
            <w:shd w:val="clear" w:color="auto" w:fill="BDD6EE" w:themeFill="accent1" w:themeFillTint="66"/>
            <w:noWrap/>
            <w:vAlign w:val="bottom"/>
            <w:hideMark/>
          </w:tcPr>
          <w:p w14:paraId="012AC354" w14:textId="77777777" w:rsidR="006068B4" w:rsidRPr="00DD7FD1" w:rsidRDefault="62456E77" w:rsidP="62456E77">
            <w:pPr>
              <w:jc w:val="center"/>
              <w:rPr>
                <w:rFonts w:ascii="Times New Roman" w:hAnsi="Times New Roman" w:cs="Times New Roman"/>
                <w:b/>
                <w:bCs/>
                <w:color w:val="000000" w:themeColor="text1"/>
              </w:rPr>
            </w:pPr>
            <w:r w:rsidRPr="62456E77">
              <w:rPr>
                <w:rFonts w:ascii="Times New Roman" w:hAnsi="Times New Roman" w:cs="Times New Roman"/>
                <w:b/>
                <w:bCs/>
                <w:color w:val="000000" w:themeColor="text1"/>
              </w:rPr>
              <w:t>Mrd Ft</w:t>
            </w:r>
          </w:p>
        </w:tc>
        <w:tc>
          <w:tcPr>
            <w:tcW w:w="851" w:type="dxa"/>
            <w:tcBorders>
              <w:top w:val="nil"/>
              <w:left w:val="nil"/>
              <w:bottom w:val="single" w:sz="4" w:space="0" w:color="auto"/>
              <w:right w:val="single" w:sz="4" w:space="0" w:color="auto"/>
            </w:tcBorders>
            <w:shd w:val="clear" w:color="auto" w:fill="BDD6EE" w:themeFill="accent1" w:themeFillTint="66"/>
            <w:noWrap/>
            <w:vAlign w:val="bottom"/>
            <w:hideMark/>
          </w:tcPr>
          <w:p w14:paraId="609414B4" w14:textId="77777777" w:rsidR="006068B4" w:rsidRPr="00DD7FD1" w:rsidRDefault="62456E77" w:rsidP="62456E77">
            <w:pPr>
              <w:jc w:val="center"/>
              <w:rPr>
                <w:rFonts w:ascii="Times New Roman" w:hAnsi="Times New Roman" w:cs="Times New Roman"/>
                <w:b/>
                <w:bCs/>
                <w:color w:val="000000" w:themeColor="text1"/>
              </w:rPr>
            </w:pPr>
            <w:r w:rsidRPr="62456E77">
              <w:rPr>
                <w:rFonts w:ascii="Times New Roman" w:hAnsi="Times New Roman" w:cs="Times New Roman"/>
                <w:b/>
                <w:bCs/>
                <w:color w:val="000000" w:themeColor="text1"/>
              </w:rPr>
              <w:t>%</w:t>
            </w:r>
          </w:p>
        </w:tc>
      </w:tr>
      <w:tr w:rsidR="00DA488F" w:rsidRPr="006068B4" w14:paraId="49EB33A2"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4E42FB2" w14:textId="77777777" w:rsidR="00DA488F" w:rsidRPr="006068B4" w:rsidRDefault="62456E77" w:rsidP="62456E77">
            <w:pPr>
              <w:spacing w:line="240" w:lineRule="auto"/>
              <w:rPr>
                <w:rFonts w:ascii="Times New Roman" w:hAnsi="Times New Roman" w:cs="Times New Roman"/>
                <w:b/>
                <w:bCs/>
                <w:color w:val="000000" w:themeColor="text1"/>
                <w:sz w:val="20"/>
                <w:szCs w:val="20"/>
              </w:rPr>
            </w:pPr>
            <w:r w:rsidRPr="62456E77">
              <w:rPr>
                <w:rFonts w:ascii="Times New Roman" w:hAnsi="Times New Roman" w:cs="Times New Roman"/>
                <w:b/>
                <w:bCs/>
                <w:color w:val="000000" w:themeColor="text1"/>
                <w:sz w:val="20"/>
                <w:szCs w:val="20"/>
              </w:rPr>
              <w:t>Családi támogatások</w:t>
            </w:r>
          </w:p>
        </w:tc>
        <w:tc>
          <w:tcPr>
            <w:tcW w:w="993" w:type="dxa"/>
            <w:tcBorders>
              <w:top w:val="nil"/>
              <w:left w:val="nil"/>
              <w:bottom w:val="single" w:sz="4" w:space="0" w:color="auto"/>
              <w:right w:val="single" w:sz="4" w:space="0" w:color="auto"/>
            </w:tcBorders>
            <w:shd w:val="clear" w:color="auto" w:fill="auto"/>
            <w:noWrap/>
            <w:hideMark/>
          </w:tcPr>
          <w:p w14:paraId="7106BB85" w14:textId="18B5E05D"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116,4</w:t>
            </w:r>
          </w:p>
        </w:tc>
        <w:tc>
          <w:tcPr>
            <w:tcW w:w="992" w:type="dxa"/>
            <w:tcBorders>
              <w:top w:val="nil"/>
              <w:left w:val="nil"/>
              <w:bottom w:val="single" w:sz="4" w:space="0" w:color="auto"/>
              <w:right w:val="single" w:sz="4" w:space="0" w:color="auto"/>
            </w:tcBorders>
            <w:shd w:val="clear" w:color="auto" w:fill="auto"/>
            <w:noWrap/>
            <w:hideMark/>
          </w:tcPr>
          <w:p w14:paraId="2A54C0E6" w14:textId="1171850D"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102,9</w:t>
            </w:r>
          </w:p>
        </w:tc>
        <w:tc>
          <w:tcPr>
            <w:tcW w:w="850" w:type="dxa"/>
            <w:tcBorders>
              <w:top w:val="nil"/>
              <w:left w:val="nil"/>
              <w:bottom w:val="single" w:sz="4" w:space="0" w:color="auto"/>
              <w:right w:val="single" w:sz="4" w:space="0" w:color="auto"/>
            </w:tcBorders>
            <w:shd w:val="clear" w:color="auto" w:fill="auto"/>
            <w:noWrap/>
            <w:hideMark/>
          </w:tcPr>
          <w:p w14:paraId="1078FA78" w14:textId="5B887260"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-13,5</w:t>
            </w:r>
          </w:p>
        </w:tc>
        <w:tc>
          <w:tcPr>
            <w:tcW w:w="851" w:type="dxa"/>
            <w:tcBorders>
              <w:top w:val="nil"/>
              <w:left w:val="nil"/>
              <w:bottom w:val="single" w:sz="4" w:space="0" w:color="auto"/>
              <w:right w:val="single" w:sz="4" w:space="0" w:color="auto"/>
            </w:tcBorders>
            <w:shd w:val="clear" w:color="auto" w:fill="auto"/>
            <w:noWrap/>
            <w:hideMark/>
          </w:tcPr>
          <w:p w14:paraId="0C2D88F1" w14:textId="7F843DC8"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88,4</w:t>
            </w:r>
          </w:p>
        </w:tc>
      </w:tr>
      <w:tr w:rsidR="00DA488F" w:rsidRPr="006068B4" w14:paraId="18F11EAE"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5F289C86" w14:textId="77777777" w:rsidR="00DA488F" w:rsidRPr="006068B4" w:rsidRDefault="62456E77" w:rsidP="62456E77">
            <w:pPr>
              <w:spacing w:line="240" w:lineRule="auto"/>
              <w:ind w:firstLineChars="100" w:firstLine="2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3409B63E" w14:textId="38F34D08"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73A14223" w14:textId="68DF0F09"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0C731BD9" w14:textId="5050B205"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3700134C" w14:textId="42CA5D48"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77E3B96"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532CB68" w14:textId="77777777" w:rsidR="00DA488F" w:rsidRPr="006068B4" w:rsidRDefault="62456E77" w:rsidP="62456E77">
            <w:pPr>
              <w:spacing w:line="240" w:lineRule="auto"/>
              <w:ind w:firstLineChars="400" w:firstLine="8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családi pótlék</w:t>
            </w:r>
          </w:p>
        </w:tc>
        <w:tc>
          <w:tcPr>
            <w:tcW w:w="993" w:type="dxa"/>
            <w:tcBorders>
              <w:top w:val="nil"/>
              <w:left w:val="nil"/>
              <w:bottom w:val="single" w:sz="4" w:space="0" w:color="auto"/>
              <w:right w:val="single" w:sz="4" w:space="0" w:color="auto"/>
            </w:tcBorders>
            <w:shd w:val="clear" w:color="auto" w:fill="auto"/>
            <w:noWrap/>
            <w:hideMark/>
          </w:tcPr>
          <w:p w14:paraId="38B23896" w14:textId="3D5F8F18"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76,1</w:t>
            </w:r>
          </w:p>
        </w:tc>
        <w:tc>
          <w:tcPr>
            <w:tcW w:w="992" w:type="dxa"/>
            <w:tcBorders>
              <w:top w:val="nil"/>
              <w:left w:val="nil"/>
              <w:bottom w:val="single" w:sz="4" w:space="0" w:color="auto"/>
              <w:right w:val="single" w:sz="4" w:space="0" w:color="auto"/>
            </w:tcBorders>
            <w:shd w:val="clear" w:color="auto" w:fill="auto"/>
            <w:noWrap/>
            <w:hideMark/>
          </w:tcPr>
          <w:p w14:paraId="2831AA3C" w14:textId="528BF461"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75,5</w:t>
            </w:r>
          </w:p>
        </w:tc>
        <w:tc>
          <w:tcPr>
            <w:tcW w:w="850" w:type="dxa"/>
            <w:tcBorders>
              <w:top w:val="nil"/>
              <w:left w:val="nil"/>
              <w:bottom w:val="single" w:sz="4" w:space="0" w:color="auto"/>
              <w:right w:val="single" w:sz="4" w:space="0" w:color="auto"/>
            </w:tcBorders>
            <w:shd w:val="clear" w:color="auto" w:fill="auto"/>
            <w:noWrap/>
            <w:hideMark/>
          </w:tcPr>
          <w:p w14:paraId="145C8E2D" w14:textId="565FA534"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-0,6</w:t>
            </w:r>
          </w:p>
        </w:tc>
        <w:tc>
          <w:tcPr>
            <w:tcW w:w="851" w:type="dxa"/>
            <w:tcBorders>
              <w:top w:val="nil"/>
              <w:left w:val="nil"/>
              <w:bottom w:val="single" w:sz="4" w:space="0" w:color="auto"/>
              <w:right w:val="single" w:sz="4" w:space="0" w:color="auto"/>
            </w:tcBorders>
            <w:shd w:val="clear" w:color="auto" w:fill="auto"/>
            <w:noWrap/>
            <w:hideMark/>
          </w:tcPr>
          <w:p w14:paraId="3DC707AD" w14:textId="4DA63CAE"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99,2</w:t>
            </w:r>
          </w:p>
        </w:tc>
      </w:tr>
      <w:tr w:rsidR="00DA488F" w:rsidRPr="006068B4" w14:paraId="750E94DE"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0C0A4C2" w14:textId="77777777" w:rsidR="00DA488F" w:rsidRPr="006068B4" w:rsidRDefault="62456E77" w:rsidP="62456E77">
            <w:pPr>
              <w:spacing w:line="240" w:lineRule="auto"/>
              <w:ind w:firstLineChars="400" w:firstLine="8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anyasági támogatás</w:t>
            </w:r>
          </w:p>
        </w:tc>
        <w:tc>
          <w:tcPr>
            <w:tcW w:w="993" w:type="dxa"/>
            <w:tcBorders>
              <w:top w:val="nil"/>
              <w:left w:val="nil"/>
              <w:bottom w:val="single" w:sz="4" w:space="0" w:color="auto"/>
              <w:right w:val="single" w:sz="4" w:space="0" w:color="auto"/>
            </w:tcBorders>
            <w:shd w:val="clear" w:color="auto" w:fill="auto"/>
            <w:noWrap/>
            <w:hideMark/>
          </w:tcPr>
          <w:p w14:paraId="597D9A51" w14:textId="3F0E5538"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1,4</w:t>
            </w:r>
          </w:p>
        </w:tc>
        <w:tc>
          <w:tcPr>
            <w:tcW w:w="992" w:type="dxa"/>
            <w:tcBorders>
              <w:top w:val="nil"/>
              <w:left w:val="nil"/>
              <w:bottom w:val="single" w:sz="4" w:space="0" w:color="auto"/>
              <w:right w:val="single" w:sz="4" w:space="0" w:color="auto"/>
            </w:tcBorders>
            <w:shd w:val="clear" w:color="auto" w:fill="auto"/>
            <w:noWrap/>
            <w:hideMark/>
          </w:tcPr>
          <w:p w14:paraId="4295E839" w14:textId="2447AE97"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1,3</w:t>
            </w:r>
          </w:p>
        </w:tc>
        <w:tc>
          <w:tcPr>
            <w:tcW w:w="850" w:type="dxa"/>
            <w:tcBorders>
              <w:top w:val="nil"/>
              <w:left w:val="nil"/>
              <w:bottom w:val="single" w:sz="4" w:space="0" w:color="auto"/>
              <w:right w:val="single" w:sz="4" w:space="0" w:color="auto"/>
            </w:tcBorders>
            <w:shd w:val="clear" w:color="auto" w:fill="auto"/>
            <w:noWrap/>
            <w:hideMark/>
          </w:tcPr>
          <w:p w14:paraId="0BFAA189" w14:textId="305A84E5"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2913BB8B" w14:textId="65865239"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92,9</w:t>
            </w:r>
          </w:p>
        </w:tc>
      </w:tr>
      <w:tr w:rsidR="00DA488F" w:rsidRPr="006068B4" w14:paraId="723C4BB5"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B71EC87" w14:textId="77777777" w:rsidR="00DA488F" w:rsidRPr="006068B4" w:rsidRDefault="62456E77" w:rsidP="62456E77">
            <w:pPr>
              <w:spacing w:line="240" w:lineRule="auto"/>
              <w:ind w:firstLineChars="400" w:firstLine="8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gyermekgondozást segítő ellátás</w:t>
            </w:r>
          </w:p>
        </w:tc>
        <w:tc>
          <w:tcPr>
            <w:tcW w:w="993" w:type="dxa"/>
            <w:tcBorders>
              <w:top w:val="nil"/>
              <w:left w:val="nil"/>
              <w:bottom w:val="single" w:sz="4" w:space="0" w:color="auto"/>
              <w:right w:val="single" w:sz="4" w:space="0" w:color="auto"/>
            </w:tcBorders>
            <w:shd w:val="clear" w:color="auto" w:fill="auto"/>
            <w:noWrap/>
            <w:hideMark/>
          </w:tcPr>
          <w:p w14:paraId="6C8BD5D3" w14:textId="504637DE"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13,5</w:t>
            </w:r>
          </w:p>
        </w:tc>
        <w:tc>
          <w:tcPr>
            <w:tcW w:w="992" w:type="dxa"/>
            <w:tcBorders>
              <w:top w:val="nil"/>
              <w:left w:val="nil"/>
              <w:bottom w:val="single" w:sz="4" w:space="0" w:color="auto"/>
              <w:right w:val="single" w:sz="4" w:space="0" w:color="auto"/>
            </w:tcBorders>
            <w:shd w:val="clear" w:color="auto" w:fill="auto"/>
            <w:noWrap/>
            <w:hideMark/>
          </w:tcPr>
          <w:p w14:paraId="4B96F73D" w14:textId="37B0CB80"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13,2</w:t>
            </w:r>
          </w:p>
        </w:tc>
        <w:tc>
          <w:tcPr>
            <w:tcW w:w="850" w:type="dxa"/>
            <w:tcBorders>
              <w:top w:val="nil"/>
              <w:left w:val="nil"/>
              <w:bottom w:val="single" w:sz="4" w:space="0" w:color="auto"/>
              <w:right w:val="single" w:sz="4" w:space="0" w:color="auto"/>
            </w:tcBorders>
            <w:shd w:val="clear" w:color="auto" w:fill="auto"/>
            <w:noWrap/>
            <w:hideMark/>
          </w:tcPr>
          <w:p w14:paraId="7997B51A" w14:textId="690CD6F8"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-0,3</w:t>
            </w:r>
          </w:p>
        </w:tc>
        <w:tc>
          <w:tcPr>
            <w:tcW w:w="851" w:type="dxa"/>
            <w:tcBorders>
              <w:top w:val="nil"/>
              <w:left w:val="nil"/>
              <w:bottom w:val="single" w:sz="4" w:space="0" w:color="auto"/>
              <w:right w:val="single" w:sz="4" w:space="0" w:color="auto"/>
            </w:tcBorders>
            <w:shd w:val="clear" w:color="auto" w:fill="auto"/>
            <w:noWrap/>
            <w:hideMark/>
          </w:tcPr>
          <w:p w14:paraId="4C0B8D65" w14:textId="3A4DC0D3"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97,8</w:t>
            </w:r>
          </w:p>
        </w:tc>
      </w:tr>
      <w:tr w:rsidR="00DA488F" w:rsidRPr="006068B4" w14:paraId="4C1A9EFC"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0E314DCD" w14:textId="77777777" w:rsidR="00DA488F" w:rsidRPr="006068B4" w:rsidRDefault="62456E77" w:rsidP="62456E77">
            <w:pPr>
              <w:spacing w:line="240" w:lineRule="auto"/>
              <w:ind w:firstLineChars="400" w:firstLine="8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gyermeknevelési támogatás</w:t>
            </w:r>
          </w:p>
        </w:tc>
        <w:tc>
          <w:tcPr>
            <w:tcW w:w="993" w:type="dxa"/>
            <w:tcBorders>
              <w:top w:val="nil"/>
              <w:left w:val="nil"/>
              <w:bottom w:val="single" w:sz="4" w:space="0" w:color="auto"/>
              <w:right w:val="single" w:sz="4" w:space="0" w:color="auto"/>
            </w:tcBorders>
            <w:shd w:val="clear" w:color="auto" w:fill="auto"/>
            <w:noWrap/>
            <w:hideMark/>
          </w:tcPr>
          <w:p w14:paraId="14826C72" w14:textId="1C55ADAD"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2,4</w:t>
            </w:r>
          </w:p>
        </w:tc>
        <w:tc>
          <w:tcPr>
            <w:tcW w:w="992" w:type="dxa"/>
            <w:tcBorders>
              <w:top w:val="nil"/>
              <w:left w:val="nil"/>
              <w:bottom w:val="single" w:sz="4" w:space="0" w:color="auto"/>
              <w:right w:val="single" w:sz="4" w:space="0" w:color="auto"/>
            </w:tcBorders>
            <w:shd w:val="clear" w:color="auto" w:fill="auto"/>
            <w:noWrap/>
            <w:hideMark/>
          </w:tcPr>
          <w:p w14:paraId="6A870304" w14:textId="3E437F20"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2,3</w:t>
            </w:r>
          </w:p>
        </w:tc>
        <w:tc>
          <w:tcPr>
            <w:tcW w:w="850" w:type="dxa"/>
            <w:tcBorders>
              <w:top w:val="nil"/>
              <w:left w:val="nil"/>
              <w:bottom w:val="single" w:sz="4" w:space="0" w:color="auto"/>
              <w:right w:val="single" w:sz="4" w:space="0" w:color="auto"/>
            </w:tcBorders>
            <w:shd w:val="clear" w:color="auto" w:fill="auto"/>
            <w:noWrap/>
            <w:hideMark/>
          </w:tcPr>
          <w:p w14:paraId="588B93BB" w14:textId="4D7C0E41"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7DAF609F" w14:textId="4665B1D6"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95,8</w:t>
            </w:r>
          </w:p>
        </w:tc>
      </w:tr>
      <w:tr w:rsidR="00DA488F" w:rsidRPr="006068B4" w14:paraId="49AE6306"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345200B1" w14:textId="77777777" w:rsidR="00DA488F" w:rsidRPr="006068B4" w:rsidRDefault="62456E77" w:rsidP="62456E77">
            <w:pPr>
              <w:spacing w:line="240" w:lineRule="auto"/>
              <w:ind w:firstLineChars="400" w:firstLine="8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gyermekek születésével kapcsolatos szabadság megtérítése</w:t>
            </w:r>
          </w:p>
        </w:tc>
        <w:tc>
          <w:tcPr>
            <w:tcW w:w="993" w:type="dxa"/>
            <w:tcBorders>
              <w:top w:val="nil"/>
              <w:left w:val="nil"/>
              <w:bottom w:val="single" w:sz="4" w:space="0" w:color="auto"/>
              <w:right w:val="single" w:sz="4" w:space="0" w:color="auto"/>
            </w:tcBorders>
            <w:shd w:val="clear" w:color="auto" w:fill="auto"/>
            <w:noWrap/>
            <w:hideMark/>
          </w:tcPr>
          <w:p w14:paraId="48F1434B" w14:textId="27425215"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1,2</w:t>
            </w:r>
          </w:p>
        </w:tc>
        <w:tc>
          <w:tcPr>
            <w:tcW w:w="992" w:type="dxa"/>
            <w:tcBorders>
              <w:top w:val="nil"/>
              <w:left w:val="nil"/>
              <w:bottom w:val="single" w:sz="4" w:space="0" w:color="auto"/>
              <w:right w:val="single" w:sz="4" w:space="0" w:color="auto"/>
            </w:tcBorders>
            <w:shd w:val="clear" w:color="auto" w:fill="auto"/>
            <w:noWrap/>
            <w:hideMark/>
          </w:tcPr>
          <w:p w14:paraId="6AAF688A" w14:textId="6B3B2103"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1,3</w:t>
            </w:r>
          </w:p>
        </w:tc>
        <w:tc>
          <w:tcPr>
            <w:tcW w:w="850" w:type="dxa"/>
            <w:tcBorders>
              <w:top w:val="nil"/>
              <w:left w:val="nil"/>
              <w:bottom w:val="single" w:sz="4" w:space="0" w:color="auto"/>
              <w:right w:val="single" w:sz="4" w:space="0" w:color="auto"/>
            </w:tcBorders>
            <w:shd w:val="clear" w:color="auto" w:fill="auto"/>
            <w:noWrap/>
            <w:hideMark/>
          </w:tcPr>
          <w:p w14:paraId="664A5D3B" w14:textId="4E87FB12"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0,1</w:t>
            </w:r>
          </w:p>
        </w:tc>
        <w:tc>
          <w:tcPr>
            <w:tcW w:w="851" w:type="dxa"/>
            <w:tcBorders>
              <w:top w:val="nil"/>
              <w:left w:val="nil"/>
              <w:bottom w:val="single" w:sz="4" w:space="0" w:color="auto"/>
              <w:right w:val="single" w:sz="4" w:space="0" w:color="auto"/>
            </w:tcBorders>
            <w:shd w:val="clear" w:color="auto" w:fill="auto"/>
            <w:noWrap/>
            <w:hideMark/>
          </w:tcPr>
          <w:p w14:paraId="4DE79E3D" w14:textId="256B2F2F"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108,3</w:t>
            </w:r>
          </w:p>
        </w:tc>
      </w:tr>
      <w:tr w:rsidR="00DA488F" w:rsidRPr="006068B4" w14:paraId="31537421"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vAlign w:val="center"/>
            <w:hideMark/>
          </w:tcPr>
          <w:p w14:paraId="4219C75A" w14:textId="77777777" w:rsidR="00DA488F" w:rsidRPr="006068B4" w:rsidRDefault="62456E77" w:rsidP="62456E77">
            <w:pPr>
              <w:spacing w:line="240" w:lineRule="auto"/>
              <w:ind w:firstLineChars="400" w:firstLine="8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életkezdési támogatás</w:t>
            </w:r>
          </w:p>
        </w:tc>
        <w:tc>
          <w:tcPr>
            <w:tcW w:w="993" w:type="dxa"/>
            <w:tcBorders>
              <w:top w:val="nil"/>
              <w:left w:val="nil"/>
              <w:bottom w:val="single" w:sz="4" w:space="0" w:color="auto"/>
              <w:right w:val="single" w:sz="4" w:space="0" w:color="auto"/>
            </w:tcBorders>
            <w:shd w:val="clear" w:color="auto" w:fill="auto"/>
            <w:noWrap/>
            <w:hideMark/>
          </w:tcPr>
          <w:p w14:paraId="7201B04B" w14:textId="246C491E"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21,3</w:t>
            </w:r>
          </w:p>
        </w:tc>
        <w:tc>
          <w:tcPr>
            <w:tcW w:w="992" w:type="dxa"/>
            <w:tcBorders>
              <w:top w:val="nil"/>
              <w:left w:val="nil"/>
              <w:bottom w:val="single" w:sz="4" w:space="0" w:color="auto"/>
              <w:right w:val="single" w:sz="4" w:space="0" w:color="auto"/>
            </w:tcBorders>
            <w:shd w:val="clear" w:color="auto" w:fill="auto"/>
            <w:noWrap/>
            <w:hideMark/>
          </w:tcPr>
          <w:p w14:paraId="45D51CF7" w14:textId="0FA8C2CA"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8,7</w:t>
            </w:r>
          </w:p>
        </w:tc>
        <w:tc>
          <w:tcPr>
            <w:tcW w:w="850" w:type="dxa"/>
            <w:tcBorders>
              <w:top w:val="nil"/>
              <w:left w:val="nil"/>
              <w:bottom w:val="single" w:sz="4" w:space="0" w:color="auto"/>
              <w:right w:val="single" w:sz="4" w:space="0" w:color="auto"/>
            </w:tcBorders>
            <w:shd w:val="clear" w:color="auto" w:fill="auto"/>
            <w:noWrap/>
            <w:hideMark/>
          </w:tcPr>
          <w:p w14:paraId="1BC502FA" w14:textId="7A9ECADF"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-12,6</w:t>
            </w:r>
          </w:p>
        </w:tc>
        <w:tc>
          <w:tcPr>
            <w:tcW w:w="851" w:type="dxa"/>
            <w:tcBorders>
              <w:top w:val="nil"/>
              <w:left w:val="nil"/>
              <w:bottom w:val="single" w:sz="4" w:space="0" w:color="auto"/>
              <w:right w:val="single" w:sz="4" w:space="0" w:color="auto"/>
            </w:tcBorders>
            <w:shd w:val="clear" w:color="auto" w:fill="auto"/>
            <w:noWrap/>
            <w:hideMark/>
          </w:tcPr>
          <w:p w14:paraId="70100317" w14:textId="2BBCF490"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40,8</w:t>
            </w:r>
          </w:p>
        </w:tc>
      </w:tr>
      <w:tr w:rsidR="00DA488F" w:rsidRPr="006068B4" w14:paraId="7D88A7FB"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99AE9AE" w14:textId="77777777" w:rsidR="00DA488F" w:rsidRPr="006068B4" w:rsidRDefault="62456E77" w:rsidP="62456E77">
            <w:pPr>
              <w:spacing w:line="240" w:lineRule="auto"/>
              <w:rPr>
                <w:rFonts w:ascii="Times New Roman" w:hAnsi="Times New Roman" w:cs="Times New Roman"/>
                <w:b/>
                <w:bCs/>
                <w:color w:val="000000" w:themeColor="text1"/>
                <w:sz w:val="20"/>
                <w:szCs w:val="20"/>
              </w:rPr>
            </w:pPr>
            <w:r w:rsidRPr="62456E77">
              <w:rPr>
                <w:rFonts w:ascii="Times New Roman" w:hAnsi="Times New Roman" w:cs="Times New Roman"/>
                <w:b/>
                <w:bCs/>
                <w:color w:val="000000" w:themeColor="text1"/>
                <w:sz w:val="20"/>
                <w:szCs w:val="20"/>
              </w:rPr>
              <w:t>Korhatár alatti ellátások</w:t>
            </w:r>
          </w:p>
        </w:tc>
        <w:tc>
          <w:tcPr>
            <w:tcW w:w="993" w:type="dxa"/>
            <w:tcBorders>
              <w:top w:val="nil"/>
              <w:left w:val="nil"/>
              <w:bottom w:val="single" w:sz="4" w:space="0" w:color="auto"/>
              <w:right w:val="single" w:sz="4" w:space="0" w:color="auto"/>
            </w:tcBorders>
            <w:shd w:val="clear" w:color="auto" w:fill="auto"/>
            <w:noWrap/>
            <w:hideMark/>
          </w:tcPr>
          <w:p w14:paraId="7703B44A" w14:textId="39F62B60"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39,4</w:t>
            </w:r>
          </w:p>
        </w:tc>
        <w:tc>
          <w:tcPr>
            <w:tcW w:w="992" w:type="dxa"/>
            <w:tcBorders>
              <w:top w:val="nil"/>
              <w:left w:val="nil"/>
              <w:bottom w:val="single" w:sz="4" w:space="0" w:color="auto"/>
              <w:right w:val="single" w:sz="4" w:space="0" w:color="auto"/>
            </w:tcBorders>
            <w:shd w:val="clear" w:color="auto" w:fill="auto"/>
            <w:noWrap/>
            <w:hideMark/>
          </w:tcPr>
          <w:p w14:paraId="6428734A" w14:textId="0BA29338"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37,8</w:t>
            </w:r>
          </w:p>
        </w:tc>
        <w:tc>
          <w:tcPr>
            <w:tcW w:w="850" w:type="dxa"/>
            <w:tcBorders>
              <w:top w:val="nil"/>
              <w:left w:val="nil"/>
              <w:bottom w:val="single" w:sz="4" w:space="0" w:color="auto"/>
              <w:right w:val="single" w:sz="4" w:space="0" w:color="auto"/>
            </w:tcBorders>
            <w:shd w:val="clear" w:color="auto" w:fill="auto"/>
            <w:noWrap/>
            <w:hideMark/>
          </w:tcPr>
          <w:p w14:paraId="7EDBDA2F" w14:textId="21595BE9"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-1,6</w:t>
            </w:r>
          </w:p>
        </w:tc>
        <w:tc>
          <w:tcPr>
            <w:tcW w:w="851" w:type="dxa"/>
            <w:tcBorders>
              <w:top w:val="nil"/>
              <w:left w:val="nil"/>
              <w:bottom w:val="single" w:sz="4" w:space="0" w:color="auto"/>
              <w:right w:val="single" w:sz="4" w:space="0" w:color="auto"/>
            </w:tcBorders>
            <w:shd w:val="clear" w:color="auto" w:fill="auto"/>
            <w:noWrap/>
            <w:hideMark/>
          </w:tcPr>
          <w:p w14:paraId="534E4A63" w14:textId="0E29474A"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95,9</w:t>
            </w:r>
          </w:p>
        </w:tc>
      </w:tr>
      <w:tr w:rsidR="00DA488F" w:rsidRPr="006068B4" w14:paraId="2D32D206"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7EA13739" w14:textId="77777777" w:rsidR="00DA488F" w:rsidRPr="006068B4" w:rsidRDefault="62456E77" w:rsidP="62456E77">
            <w:pPr>
              <w:spacing w:line="240" w:lineRule="auto"/>
              <w:rPr>
                <w:rFonts w:ascii="Times New Roman" w:hAnsi="Times New Roman" w:cs="Times New Roman"/>
                <w:b/>
                <w:bCs/>
                <w:color w:val="000000" w:themeColor="text1"/>
                <w:sz w:val="20"/>
                <w:szCs w:val="20"/>
              </w:rPr>
            </w:pPr>
            <w:r w:rsidRPr="62456E77">
              <w:rPr>
                <w:rFonts w:ascii="Times New Roman" w:hAnsi="Times New Roman" w:cs="Times New Roman"/>
                <w:b/>
                <w:bCs/>
                <w:color w:val="000000" w:themeColor="text1"/>
                <w:sz w:val="20"/>
                <w:szCs w:val="20"/>
              </w:rPr>
              <w:t>Jövedelempótló és jövedelemkiegészítő szociális támogatások</w:t>
            </w:r>
          </w:p>
        </w:tc>
        <w:tc>
          <w:tcPr>
            <w:tcW w:w="993" w:type="dxa"/>
            <w:tcBorders>
              <w:top w:val="nil"/>
              <w:left w:val="nil"/>
              <w:bottom w:val="single" w:sz="4" w:space="0" w:color="auto"/>
              <w:right w:val="single" w:sz="4" w:space="0" w:color="auto"/>
            </w:tcBorders>
            <w:shd w:val="clear" w:color="auto" w:fill="auto"/>
            <w:noWrap/>
            <w:hideMark/>
          </w:tcPr>
          <w:p w14:paraId="09D08D68" w14:textId="6DD12717"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51,0</w:t>
            </w:r>
          </w:p>
        </w:tc>
        <w:tc>
          <w:tcPr>
            <w:tcW w:w="992" w:type="dxa"/>
            <w:tcBorders>
              <w:top w:val="nil"/>
              <w:left w:val="nil"/>
              <w:bottom w:val="single" w:sz="4" w:space="0" w:color="auto"/>
              <w:right w:val="single" w:sz="4" w:space="0" w:color="auto"/>
            </w:tcBorders>
            <w:shd w:val="clear" w:color="auto" w:fill="auto"/>
            <w:noWrap/>
            <w:hideMark/>
          </w:tcPr>
          <w:p w14:paraId="20CD8076" w14:textId="2F0081B9"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54,3</w:t>
            </w:r>
          </w:p>
        </w:tc>
        <w:tc>
          <w:tcPr>
            <w:tcW w:w="850" w:type="dxa"/>
            <w:tcBorders>
              <w:top w:val="nil"/>
              <w:left w:val="nil"/>
              <w:bottom w:val="single" w:sz="4" w:space="0" w:color="auto"/>
              <w:right w:val="single" w:sz="4" w:space="0" w:color="auto"/>
            </w:tcBorders>
            <w:shd w:val="clear" w:color="auto" w:fill="auto"/>
            <w:noWrap/>
            <w:hideMark/>
          </w:tcPr>
          <w:p w14:paraId="06C5F2C2" w14:textId="5141254D"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3,</w:t>
            </w:r>
            <w:proofErr w:type="spellStart"/>
            <w:r w:rsidRPr="62456E77">
              <w:rPr>
                <w:rFonts w:ascii="Times New Roman" w:hAnsi="Times New Roman" w:cs="Times New Roman"/>
                <w:b/>
                <w:bCs/>
                <w:sz w:val="20"/>
                <w:szCs w:val="20"/>
              </w:rPr>
              <w:t>3</w:t>
            </w:r>
            <w:proofErr w:type="spellEnd"/>
          </w:p>
        </w:tc>
        <w:tc>
          <w:tcPr>
            <w:tcW w:w="851" w:type="dxa"/>
            <w:tcBorders>
              <w:top w:val="nil"/>
              <w:left w:val="nil"/>
              <w:bottom w:val="single" w:sz="4" w:space="0" w:color="auto"/>
              <w:right w:val="single" w:sz="4" w:space="0" w:color="auto"/>
            </w:tcBorders>
            <w:shd w:val="clear" w:color="auto" w:fill="auto"/>
            <w:noWrap/>
            <w:hideMark/>
          </w:tcPr>
          <w:p w14:paraId="72FE9F51" w14:textId="0C2EF9FC"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106,5</w:t>
            </w:r>
          </w:p>
        </w:tc>
      </w:tr>
      <w:tr w:rsidR="00DA488F" w:rsidRPr="006068B4" w14:paraId="5788F37E"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1B003BA" w14:textId="77777777" w:rsidR="00DA488F" w:rsidRPr="006068B4" w:rsidRDefault="62456E77" w:rsidP="62456E77">
            <w:pPr>
              <w:spacing w:line="240" w:lineRule="auto"/>
              <w:ind w:firstLineChars="100" w:firstLine="2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88BBE5A" w14:textId="2B3F6537"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14125CFD" w14:textId="3A1AADC5"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1F8604AB" w14:textId="2C8940A6"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736DD4C8" w14:textId="2881F13B" w:rsidR="00DA488F" w:rsidRPr="00DA488F" w:rsidRDefault="00DA488F" w:rsidP="00DA488F">
            <w:pPr>
              <w:spacing w:line="240" w:lineRule="auto"/>
              <w:jc w:val="right"/>
              <w:rPr>
                <w:rFonts w:ascii="Times New Roman" w:hAnsi="Times New Roman" w:cs="Times New Roman"/>
                <w:b/>
                <w:bCs/>
                <w:sz w:val="20"/>
                <w:szCs w:val="20"/>
              </w:rPr>
            </w:pPr>
          </w:p>
        </w:tc>
      </w:tr>
      <w:tr w:rsidR="00DA488F" w:rsidRPr="006068B4" w14:paraId="2B9D2C3D"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3BF205E9" w14:textId="77777777" w:rsidR="00DA488F" w:rsidRPr="006068B4" w:rsidRDefault="62456E77" w:rsidP="62456E77">
            <w:pPr>
              <w:spacing w:line="240" w:lineRule="auto"/>
              <w:ind w:firstLineChars="400" w:firstLine="8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Jövedelempótló és jövedelemkiegészítő ellátások</w:t>
            </w:r>
          </w:p>
        </w:tc>
        <w:tc>
          <w:tcPr>
            <w:tcW w:w="993" w:type="dxa"/>
            <w:tcBorders>
              <w:top w:val="nil"/>
              <w:left w:val="nil"/>
              <w:bottom w:val="single" w:sz="4" w:space="0" w:color="auto"/>
              <w:right w:val="single" w:sz="4" w:space="0" w:color="auto"/>
            </w:tcBorders>
            <w:shd w:val="clear" w:color="auto" w:fill="auto"/>
            <w:noWrap/>
            <w:hideMark/>
          </w:tcPr>
          <w:p w14:paraId="4ED98D04" w14:textId="23B1C9F4"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22,7</w:t>
            </w:r>
          </w:p>
        </w:tc>
        <w:tc>
          <w:tcPr>
            <w:tcW w:w="992" w:type="dxa"/>
            <w:tcBorders>
              <w:top w:val="nil"/>
              <w:left w:val="nil"/>
              <w:bottom w:val="single" w:sz="4" w:space="0" w:color="auto"/>
              <w:right w:val="single" w:sz="4" w:space="0" w:color="auto"/>
            </w:tcBorders>
            <w:shd w:val="clear" w:color="auto" w:fill="auto"/>
            <w:noWrap/>
            <w:hideMark/>
          </w:tcPr>
          <w:p w14:paraId="0B03B656" w14:textId="7D9BE4E2"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22,9</w:t>
            </w:r>
          </w:p>
        </w:tc>
        <w:tc>
          <w:tcPr>
            <w:tcW w:w="850" w:type="dxa"/>
            <w:tcBorders>
              <w:top w:val="nil"/>
              <w:left w:val="nil"/>
              <w:bottom w:val="single" w:sz="4" w:space="0" w:color="auto"/>
              <w:right w:val="single" w:sz="4" w:space="0" w:color="auto"/>
            </w:tcBorders>
            <w:shd w:val="clear" w:color="auto" w:fill="auto"/>
            <w:noWrap/>
            <w:hideMark/>
          </w:tcPr>
          <w:p w14:paraId="2876B997" w14:textId="3E52B75E"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6DBAA01B" w14:textId="6AA732E1"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100,9</w:t>
            </w:r>
          </w:p>
        </w:tc>
      </w:tr>
      <w:tr w:rsidR="00DA488F" w:rsidRPr="006068B4" w14:paraId="65888AD0"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center"/>
            <w:hideMark/>
          </w:tcPr>
          <w:p w14:paraId="47B6E086" w14:textId="77777777" w:rsidR="00DA488F" w:rsidRPr="006068B4" w:rsidRDefault="62456E77" w:rsidP="62456E77">
            <w:pPr>
              <w:spacing w:line="240" w:lineRule="auto"/>
              <w:ind w:firstLineChars="400" w:firstLine="8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Járási szociális feladatok ellátása</w:t>
            </w:r>
          </w:p>
        </w:tc>
        <w:tc>
          <w:tcPr>
            <w:tcW w:w="993" w:type="dxa"/>
            <w:tcBorders>
              <w:top w:val="nil"/>
              <w:left w:val="nil"/>
              <w:bottom w:val="single" w:sz="4" w:space="0" w:color="auto"/>
              <w:right w:val="single" w:sz="4" w:space="0" w:color="auto"/>
            </w:tcBorders>
            <w:shd w:val="clear" w:color="auto" w:fill="auto"/>
            <w:noWrap/>
            <w:hideMark/>
          </w:tcPr>
          <w:p w14:paraId="4DD04FA4" w14:textId="001E9596"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28,3</w:t>
            </w:r>
          </w:p>
        </w:tc>
        <w:tc>
          <w:tcPr>
            <w:tcW w:w="992" w:type="dxa"/>
            <w:tcBorders>
              <w:top w:val="nil"/>
              <w:left w:val="nil"/>
              <w:bottom w:val="single" w:sz="4" w:space="0" w:color="auto"/>
              <w:right w:val="single" w:sz="4" w:space="0" w:color="auto"/>
            </w:tcBorders>
            <w:shd w:val="clear" w:color="auto" w:fill="auto"/>
            <w:noWrap/>
            <w:hideMark/>
          </w:tcPr>
          <w:p w14:paraId="4B8C340C" w14:textId="4578483B"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31,4</w:t>
            </w:r>
          </w:p>
        </w:tc>
        <w:tc>
          <w:tcPr>
            <w:tcW w:w="850" w:type="dxa"/>
            <w:tcBorders>
              <w:top w:val="nil"/>
              <w:left w:val="nil"/>
              <w:bottom w:val="single" w:sz="4" w:space="0" w:color="auto"/>
              <w:right w:val="single" w:sz="4" w:space="0" w:color="auto"/>
            </w:tcBorders>
            <w:shd w:val="clear" w:color="auto" w:fill="auto"/>
            <w:noWrap/>
            <w:hideMark/>
          </w:tcPr>
          <w:p w14:paraId="5CB598A8" w14:textId="5EE606F2"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3,1</w:t>
            </w:r>
          </w:p>
        </w:tc>
        <w:tc>
          <w:tcPr>
            <w:tcW w:w="851" w:type="dxa"/>
            <w:tcBorders>
              <w:top w:val="nil"/>
              <w:left w:val="nil"/>
              <w:bottom w:val="single" w:sz="4" w:space="0" w:color="auto"/>
              <w:right w:val="single" w:sz="4" w:space="0" w:color="auto"/>
            </w:tcBorders>
            <w:shd w:val="clear" w:color="auto" w:fill="auto"/>
            <w:noWrap/>
            <w:hideMark/>
          </w:tcPr>
          <w:p w14:paraId="3DAE5F3D" w14:textId="574F1897"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111,0</w:t>
            </w:r>
          </w:p>
        </w:tc>
      </w:tr>
      <w:tr w:rsidR="00DA488F" w:rsidRPr="006068B4" w14:paraId="030B4DBA"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42423DBB" w14:textId="77777777" w:rsidR="00DA488F" w:rsidRPr="006068B4" w:rsidRDefault="62456E77" w:rsidP="62456E77">
            <w:pPr>
              <w:spacing w:line="240" w:lineRule="auto"/>
              <w:rPr>
                <w:rFonts w:ascii="Times New Roman" w:hAnsi="Times New Roman" w:cs="Times New Roman"/>
                <w:b/>
                <w:bCs/>
                <w:color w:val="000000" w:themeColor="text1"/>
                <w:sz w:val="20"/>
                <w:szCs w:val="20"/>
              </w:rPr>
            </w:pPr>
            <w:r w:rsidRPr="62456E77">
              <w:rPr>
                <w:rFonts w:ascii="Times New Roman" w:hAnsi="Times New Roman" w:cs="Times New Roman"/>
                <w:b/>
                <w:bCs/>
                <w:color w:val="000000" w:themeColor="text1"/>
                <w:sz w:val="20"/>
                <w:szCs w:val="20"/>
              </w:rPr>
              <w:t>Különféle jogcímen adott térítések</w:t>
            </w:r>
          </w:p>
        </w:tc>
        <w:tc>
          <w:tcPr>
            <w:tcW w:w="993" w:type="dxa"/>
            <w:tcBorders>
              <w:top w:val="nil"/>
              <w:left w:val="nil"/>
              <w:bottom w:val="single" w:sz="4" w:space="0" w:color="auto"/>
              <w:right w:val="single" w:sz="4" w:space="0" w:color="auto"/>
            </w:tcBorders>
            <w:shd w:val="clear" w:color="auto" w:fill="auto"/>
            <w:noWrap/>
            <w:hideMark/>
          </w:tcPr>
          <w:p w14:paraId="0247058E" w14:textId="2363F3AF"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6,2</w:t>
            </w:r>
          </w:p>
        </w:tc>
        <w:tc>
          <w:tcPr>
            <w:tcW w:w="992" w:type="dxa"/>
            <w:tcBorders>
              <w:top w:val="nil"/>
              <w:left w:val="nil"/>
              <w:bottom w:val="single" w:sz="4" w:space="0" w:color="auto"/>
              <w:right w:val="single" w:sz="4" w:space="0" w:color="auto"/>
            </w:tcBorders>
            <w:shd w:val="clear" w:color="auto" w:fill="auto"/>
            <w:noWrap/>
            <w:hideMark/>
          </w:tcPr>
          <w:p w14:paraId="79ACCB29" w14:textId="2A6B4B7D"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6,0</w:t>
            </w:r>
          </w:p>
        </w:tc>
        <w:tc>
          <w:tcPr>
            <w:tcW w:w="850" w:type="dxa"/>
            <w:tcBorders>
              <w:top w:val="nil"/>
              <w:left w:val="nil"/>
              <w:bottom w:val="single" w:sz="4" w:space="0" w:color="auto"/>
              <w:right w:val="single" w:sz="4" w:space="0" w:color="auto"/>
            </w:tcBorders>
            <w:shd w:val="clear" w:color="auto" w:fill="auto"/>
            <w:noWrap/>
            <w:hideMark/>
          </w:tcPr>
          <w:p w14:paraId="74FAD509" w14:textId="5E49DF0B"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55CBB5D3" w14:textId="09980BFA"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96,8</w:t>
            </w:r>
          </w:p>
        </w:tc>
      </w:tr>
      <w:tr w:rsidR="00DA488F" w:rsidRPr="006068B4" w14:paraId="217EDD81" w14:textId="77777777" w:rsidTr="62456E77">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63B18587" w14:textId="77777777" w:rsidR="00DA488F" w:rsidRPr="006068B4" w:rsidRDefault="62456E77" w:rsidP="62456E77">
            <w:pPr>
              <w:spacing w:line="240" w:lineRule="auto"/>
              <w:ind w:firstLineChars="100" w:firstLine="2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Ebből:</w:t>
            </w:r>
          </w:p>
        </w:tc>
        <w:tc>
          <w:tcPr>
            <w:tcW w:w="993" w:type="dxa"/>
            <w:tcBorders>
              <w:top w:val="nil"/>
              <w:left w:val="nil"/>
              <w:bottom w:val="single" w:sz="4" w:space="0" w:color="auto"/>
              <w:right w:val="single" w:sz="4" w:space="0" w:color="auto"/>
            </w:tcBorders>
            <w:shd w:val="clear" w:color="auto" w:fill="auto"/>
            <w:noWrap/>
            <w:hideMark/>
          </w:tcPr>
          <w:p w14:paraId="2C5C6549" w14:textId="55BA2136" w:rsidR="00DA488F" w:rsidRPr="00DA488F" w:rsidRDefault="00DA488F" w:rsidP="00DA488F">
            <w:pPr>
              <w:spacing w:line="240" w:lineRule="auto"/>
              <w:jc w:val="right"/>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noWrap/>
            <w:hideMark/>
          </w:tcPr>
          <w:p w14:paraId="6FA678CF" w14:textId="6098F400" w:rsidR="00DA488F" w:rsidRPr="00DA488F" w:rsidRDefault="00DA488F" w:rsidP="00DA488F">
            <w:pPr>
              <w:spacing w:line="240" w:lineRule="auto"/>
              <w:jc w:val="righ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noWrap/>
            <w:hideMark/>
          </w:tcPr>
          <w:p w14:paraId="60758E7D" w14:textId="66D5869B" w:rsidR="00DA488F" w:rsidRPr="00DA488F" w:rsidRDefault="00DA488F" w:rsidP="00DA488F">
            <w:pPr>
              <w:spacing w:line="240" w:lineRule="auto"/>
              <w:jc w:val="right"/>
              <w:rPr>
                <w:rFonts w:ascii="Times New Roman" w:hAnsi="Times New Roman" w:cs="Times New Roman"/>
                <w:sz w:val="20"/>
                <w:szCs w:val="20"/>
              </w:rPr>
            </w:pPr>
          </w:p>
        </w:tc>
        <w:tc>
          <w:tcPr>
            <w:tcW w:w="851" w:type="dxa"/>
            <w:tcBorders>
              <w:top w:val="nil"/>
              <w:left w:val="nil"/>
              <w:bottom w:val="single" w:sz="4" w:space="0" w:color="auto"/>
              <w:right w:val="single" w:sz="4" w:space="0" w:color="auto"/>
            </w:tcBorders>
            <w:shd w:val="clear" w:color="auto" w:fill="auto"/>
            <w:noWrap/>
            <w:hideMark/>
          </w:tcPr>
          <w:p w14:paraId="18E843D4" w14:textId="2899C3A6" w:rsidR="00DA488F" w:rsidRPr="00DA488F" w:rsidRDefault="00DA488F" w:rsidP="00DA488F">
            <w:pPr>
              <w:spacing w:line="240" w:lineRule="auto"/>
              <w:jc w:val="right"/>
              <w:rPr>
                <w:rFonts w:ascii="Times New Roman" w:hAnsi="Times New Roman" w:cs="Times New Roman"/>
                <w:sz w:val="20"/>
                <w:szCs w:val="20"/>
              </w:rPr>
            </w:pPr>
          </w:p>
        </w:tc>
      </w:tr>
      <w:tr w:rsidR="00DA488F" w:rsidRPr="006068B4" w14:paraId="166A0870" w14:textId="77777777" w:rsidTr="002F0E70">
        <w:trPr>
          <w:trHeight w:hRule="exact" w:val="284"/>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14:paraId="1B046E44" w14:textId="77777777" w:rsidR="00DA488F" w:rsidRPr="006068B4" w:rsidRDefault="62456E77" w:rsidP="62456E77">
            <w:pPr>
              <w:spacing w:line="240" w:lineRule="auto"/>
              <w:ind w:firstLineChars="400" w:firstLine="800"/>
              <w:rPr>
                <w:rFonts w:ascii="Times New Roman" w:hAnsi="Times New Roman" w:cs="Times New Roman"/>
                <w:i/>
                <w:iCs/>
                <w:color w:val="000000" w:themeColor="text1"/>
                <w:sz w:val="20"/>
                <w:szCs w:val="20"/>
              </w:rPr>
            </w:pPr>
            <w:r w:rsidRPr="62456E77">
              <w:rPr>
                <w:rFonts w:ascii="Times New Roman" w:hAnsi="Times New Roman" w:cs="Times New Roman"/>
                <w:i/>
                <w:iCs/>
                <w:color w:val="000000" w:themeColor="text1"/>
                <w:sz w:val="20"/>
                <w:szCs w:val="20"/>
              </w:rPr>
              <w:t>közgyógyellátás</w:t>
            </w:r>
          </w:p>
        </w:tc>
        <w:tc>
          <w:tcPr>
            <w:tcW w:w="993" w:type="dxa"/>
            <w:tcBorders>
              <w:top w:val="nil"/>
              <w:left w:val="nil"/>
              <w:bottom w:val="single" w:sz="4" w:space="0" w:color="auto"/>
              <w:right w:val="single" w:sz="4" w:space="0" w:color="auto"/>
            </w:tcBorders>
            <w:shd w:val="clear" w:color="auto" w:fill="auto"/>
            <w:noWrap/>
            <w:hideMark/>
          </w:tcPr>
          <w:p w14:paraId="1406D65C" w14:textId="0669FD05"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4,2</w:t>
            </w:r>
          </w:p>
        </w:tc>
        <w:tc>
          <w:tcPr>
            <w:tcW w:w="992" w:type="dxa"/>
            <w:tcBorders>
              <w:top w:val="nil"/>
              <w:left w:val="nil"/>
              <w:bottom w:val="single" w:sz="4" w:space="0" w:color="auto"/>
              <w:right w:val="single" w:sz="4" w:space="0" w:color="auto"/>
            </w:tcBorders>
            <w:shd w:val="clear" w:color="auto" w:fill="auto"/>
            <w:noWrap/>
            <w:hideMark/>
          </w:tcPr>
          <w:p w14:paraId="655A4EFA" w14:textId="78E9B658"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4,0</w:t>
            </w:r>
          </w:p>
        </w:tc>
        <w:tc>
          <w:tcPr>
            <w:tcW w:w="850" w:type="dxa"/>
            <w:tcBorders>
              <w:top w:val="nil"/>
              <w:left w:val="nil"/>
              <w:bottom w:val="single" w:sz="4" w:space="0" w:color="auto"/>
              <w:right w:val="single" w:sz="4" w:space="0" w:color="auto"/>
            </w:tcBorders>
            <w:shd w:val="clear" w:color="auto" w:fill="auto"/>
            <w:noWrap/>
            <w:hideMark/>
          </w:tcPr>
          <w:p w14:paraId="5494B891" w14:textId="704EB5E7"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-0,2</w:t>
            </w:r>
          </w:p>
        </w:tc>
        <w:tc>
          <w:tcPr>
            <w:tcW w:w="851" w:type="dxa"/>
            <w:tcBorders>
              <w:top w:val="nil"/>
              <w:left w:val="nil"/>
              <w:bottom w:val="single" w:sz="4" w:space="0" w:color="auto"/>
              <w:right w:val="single" w:sz="4" w:space="0" w:color="auto"/>
            </w:tcBorders>
            <w:shd w:val="clear" w:color="auto" w:fill="auto"/>
            <w:noWrap/>
            <w:hideMark/>
          </w:tcPr>
          <w:p w14:paraId="68797428" w14:textId="70248E60" w:rsidR="00DA488F" w:rsidRPr="00DA488F" w:rsidRDefault="62456E77" w:rsidP="62456E77">
            <w:pPr>
              <w:spacing w:line="240" w:lineRule="auto"/>
              <w:jc w:val="right"/>
              <w:rPr>
                <w:rFonts w:ascii="Times New Roman" w:hAnsi="Times New Roman" w:cs="Times New Roman"/>
                <w:sz w:val="20"/>
                <w:szCs w:val="20"/>
              </w:rPr>
            </w:pPr>
            <w:r w:rsidRPr="62456E77">
              <w:rPr>
                <w:rFonts w:ascii="Times New Roman" w:hAnsi="Times New Roman" w:cs="Times New Roman"/>
                <w:sz w:val="20"/>
                <w:szCs w:val="20"/>
              </w:rPr>
              <w:t>95,2</w:t>
            </w:r>
          </w:p>
        </w:tc>
      </w:tr>
      <w:tr w:rsidR="00DA488F" w:rsidRPr="006068B4" w14:paraId="393A56CC" w14:textId="77777777" w:rsidTr="002F0E70">
        <w:trPr>
          <w:trHeight w:hRule="exact" w:val="284"/>
        </w:trPr>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2655C" w14:textId="25FA69F9" w:rsidR="00DA488F" w:rsidRPr="006068B4" w:rsidRDefault="62456E77" w:rsidP="62456E77">
            <w:pPr>
              <w:spacing w:line="240" w:lineRule="auto"/>
              <w:rPr>
                <w:rFonts w:ascii="Times New Roman" w:hAnsi="Times New Roman" w:cs="Times New Roman"/>
                <w:b/>
                <w:bCs/>
                <w:color w:val="000000" w:themeColor="text1"/>
                <w:sz w:val="20"/>
                <w:szCs w:val="20"/>
              </w:rPr>
            </w:pPr>
            <w:r w:rsidRPr="62456E77">
              <w:rPr>
                <w:rFonts w:ascii="Times New Roman" w:hAnsi="Times New Roman" w:cs="Times New Roman"/>
                <w:b/>
                <w:bCs/>
                <w:color w:val="000000" w:themeColor="text1"/>
                <w:sz w:val="20"/>
                <w:szCs w:val="20"/>
              </w:rPr>
              <w:t>Összesen</w:t>
            </w:r>
          </w:p>
        </w:tc>
        <w:tc>
          <w:tcPr>
            <w:tcW w:w="993" w:type="dxa"/>
            <w:tcBorders>
              <w:top w:val="single" w:sz="4" w:space="0" w:color="auto"/>
              <w:left w:val="nil"/>
              <w:bottom w:val="single" w:sz="4" w:space="0" w:color="auto"/>
              <w:right w:val="single" w:sz="4" w:space="0" w:color="auto"/>
            </w:tcBorders>
            <w:shd w:val="clear" w:color="auto" w:fill="auto"/>
            <w:noWrap/>
            <w:hideMark/>
          </w:tcPr>
          <w:p w14:paraId="2E876EDD" w14:textId="108B0D75"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213,0</w:t>
            </w:r>
          </w:p>
        </w:tc>
        <w:tc>
          <w:tcPr>
            <w:tcW w:w="992" w:type="dxa"/>
            <w:tcBorders>
              <w:top w:val="single" w:sz="4" w:space="0" w:color="auto"/>
              <w:left w:val="nil"/>
              <w:bottom w:val="single" w:sz="4" w:space="0" w:color="auto"/>
              <w:right w:val="single" w:sz="4" w:space="0" w:color="auto"/>
            </w:tcBorders>
            <w:shd w:val="clear" w:color="auto" w:fill="auto"/>
            <w:noWrap/>
            <w:hideMark/>
          </w:tcPr>
          <w:p w14:paraId="1CB4D241" w14:textId="2741E98A"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200,9</w:t>
            </w:r>
          </w:p>
        </w:tc>
        <w:tc>
          <w:tcPr>
            <w:tcW w:w="850" w:type="dxa"/>
            <w:tcBorders>
              <w:top w:val="single" w:sz="4" w:space="0" w:color="auto"/>
              <w:left w:val="nil"/>
              <w:bottom w:val="single" w:sz="4" w:space="0" w:color="auto"/>
              <w:right w:val="single" w:sz="4" w:space="0" w:color="auto"/>
            </w:tcBorders>
            <w:shd w:val="clear" w:color="auto" w:fill="auto"/>
            <w:noWrap/>
            <w:hideMark/>
          </w:tcPr>
          <w:p w14:paraId="5FF2C368" w14:textId="5F45DC03"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-12,1</w:t>
            </w:r>
          </w:p>
        </w:tc>
        <w:tc>
          <w:tcPr>
            <w:tcW w:w="851" w:type="dxa"/>
            <w:tcBorders>
              <w:top w:val="single" w:sz="4" w:space="0" w:color="auto"/>
              <w:left w:val="nil"/>
              <w:bottom w:val="single" w:sz="4" w:space="0" w:color="auto"/>
              <w:right w:val="single" w:sz="4" w:space="0" w:color="auto"/>
            </w:tcBorders>
            <w:shd w:val="clear" w:color="auto" w:fill="auto"/>
            <w:noWrap/>
            <w:hideMark/>
          </w:tcPr>
          <w:p w14:paraId="7F3F44AB" w14:textId="6227BA15" w:rsidR="00DA488F" w:rsidRPr="00DA488F" w:rsidRDefault="62456E77" w:rsidP="62456E77">
            <w:pPr>
              <w:spacing w:line="240" w:lineRule="auto"/>
              <w:jc w:val="right"/>
              <w:rPr>
                <w:rFonts w:ascii="Times New Roman" w:hAnsi="Times New Roman" w:cs="Times New Roman"/>
                <w:b/>
                <w:bCs/>
                <w:sz w:val="20"/>
                <w:szCs w:val="20"/>
              </w:rPr>
            </w:pPr>
            <w:r w:rsidRPr="62456E77">
              <w:rPr>
                <w:rFonts w:ascii="Times New Roman" w:hAnsi="Times New Roman" w:cs="Times New Roman"/>
                <w:b/>
                <w:bCs/>
                <w:sz w:val="20"/>
                <w:szCs w:val="20"/>
              </w:rPr>
              <w:t>94,3</w:t>
            </w:r>
          </w:p>
        </w:tc>
      </w:tr>
    </w:tbl>
    <w:p w14:paraId="7BF8FDF7" w14:textId="2699E339" w:rsidR="142D8494" w:rsidRDefault="62456E77" w:rsidP="00A3167F">
      <w:pPr>
        <w:spacing w:before="240"/>
        <w:jc w:val="both"/>
      </w:pPr>
      <w:r w:rsidRPr="62456E77">
        <w:rPr>
          <w:rFonts w:ascii="Times New Roman" w:eastAsia="Times New Roman" w:hAnsi="Times New Roman" w:cs="Times New Roman"/>
          <w:sz w:val="26"/>
          <w:szCs w:val="26"/>
        </w:rPr>
        <w:t xml:space="preserve">A </w:t>
      </w:r>
      <w:r w:rsidRPr="62456E77">
        <w:rPr>
          <w:rFonts w:ascii="Times New Roman" w:eastAsia="Times New Roman" w:hAnsi="Times New Roman" w:cs="Times New Roman"/>
          <w:b/>
          <w:bCs/>
          <w:sz w:val="26"/>
          <w:szCs w:val="26"/>
        </w:rPr>
        <w:t>családi támogatásokra</w:t>
      </w:r>
      <w:r w:rsidRPr="62456E77">
        <w:rPr>
          <w:rFonts w:ascii="Times New Roman" w:eastAsia="Times New Roman" w:hAnsi="Times New Roman" w:cs="Times New Roman"/>
          <w:sz w:val="26"/>
          <w:szCs w:val="26"/>
        </w:rPr>
        <w:t xml:space="preserve"> 2025 első három hónapjában összesen 102,9 milliárd forintot fizettek ki, amely 13,5 milliárd forinttal volt alacsonyabb az előző évi teljesítésnél. Az eltérés elsősorban a Családi támogatások jogcím csoporthoz tartozó Életkezdési támogatás előirányzat kiadásai csökkenésének következménye, ami 12,6</w:t>
      </w:r>
      <w:r w:rsidR="00D968BE">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milliárd forinttal volt alacsonyabb előző év azonos időszakához képest. Ennek oka, hogy 2025-ben az életkezdési letéti számlákon nyilvántartott követelés összegére tekintettel fizetett kamat mértéke 3,7% volt (a 2024. évi infláció mértékének megfelelően), ami jelentősen alacsonyabb a 2024-ben fizetett kamat mértékénél (17,6%).</w:t>
      </w:r>
    </w:p>
    <w:p w14:paraId="714CD98E" w14:textId="49DACA5B" w:rsidR="142D8494" w:rsidRDefault="0007336F" w:rsidP="142D8494">
      <w:pPr>
        <w:jc w:val="both"/>
      </w:pPr>
      <w:r>
        <w:rPr>
          <w:rFonts w:ascii="Times New Roman" w:eastAsia="Times New Roman" w:hAnsi="Times New Roman" w:cs="Times New Roman"/>
          <w:sz w:val="26"/>
          <w:szCs w:val="26"/>
        </w:rPr>
        <w:br w:type="column"/>
      </w:r>
      <w:r w:rsidR="62456E77" w:rsidRPr="62456E77">
        <w:rPr>
          <w:rFonts w:ascii="Times New Roman" w:eastAsia="Times New Roman" w:hAnsi="Times New Roman" w:cs="Times New Roman"/>
          <w:sz w:val="26"/>
          <w:szCs w:val="26"/>
        </w:rPr>
        <w:t xml:space="preserve">A </w:t>
      </w:r>
      <w:r w:rsidR="62456E77" w:rsidRPr="62456E77">
        <w:rPr>
          <w:rFonts w:ascii="Times New Roman" w:eastAsia="Times New Roman" w:hAnsi="Times New Roman" w:cs="Times New Roman"/>
          <w:b/>
          <w:bCs/>
          <w:sz w:val="26"/>
          <w:szCs w:val="26"/>
        </w:rPr>
        <w:t>korhatár alatti ellátások</w:t>
      </w:r>
      <w:r w:rsidR="62456E77" w:rsidRPr="62456E77">
        <w:rPr>
          <w:rFonts w:ascii="Times New Roman" w:eastAsia="Times New Roman" w:hAnsi="Times New Roman" w:cs="Times New Roman"/>
          <w:sz w:val="26"/>
          <w:szCs w:val="26"/>
        </w:rPr>
        <w:t xml:space="preserve"> esetében a kiadás 1,6</w:t>
      </w:r>
      <w:r w:rsidR="008728FD">
        <w:rPr>
          <w:rFonts w:ascii="Times New Roman" w:eastAsia="Times New Roman" w:hAnsi="Times New Roman" w:cs="Times New Roman"/>
          <w:sz w:val="26"/>
          <w:szCs w:val="26"/>
        </w:rPr>
        <w:t> </w:t>
      </w:r>
      <w:r w:rsidR="62456E77" w:rsidRPr="62456E77">
        <w:rPr>
          <w:rFonts w:ascii="Times New Roman" w:eastAsia="Times New Roman" w:hAnsi="Times New Roman" w:cs="Times New Roman"/>
          <w:sz w:val="26"/>
          <w:szCs w:val="26"/>
        </w:rPr>
        <w:t>milliárd forinttal alacsonyabb volt az előző év azonos időszakához képest. A csökkenést az okozza, hogy a jogosultak elérik az öregségi nyugdíjkorhatárt, és nyugellátásra válnak jogosulttá, létszámuk folyamatosan csökken. Januárban sor került az ellátások 3,2%-os emelésére is, valamint a 13. havi nyugdíjhoz hasonlóan februárban a korhatár előtti ellátásban részesülő személyek is részesültek 13. havi ellátásban.</w:t>
      </w:r>
    </w:p>
    <w:p w14:paraId="3FCDB6C8" w14:textId="6F55B3FE" w:rsidR="142D8494" w:rsidRDefault="62456E77" w:rsidP="142D8494">
      <w:pPr>
        <w:jc w:val="both"/>
      </w:pPr>
      <w:r w:rsidRPr="62456E77">
        <w:rPr>
          <w:rFonts w:ascii="Times New Roman" w:eastAsia="Times New Roman" w:hAnsi="Times New Roman" w:cs="Times New Roman"/>
          <w:sz w:val="26"/>
          <w:szCs w:val="26"/>
        </w:rPr>
        <w:t xml:space="preserve">2025 márciusáig a </w:t>
      </w:r>
      <w:r w:rsidRPr="00D968BE">
        <w:rPr>
          <w:rFonts w:ascii="Times New Roman" w:eastAsia="Times New Roman" w:hAnsi="Times New Roman" w:cs="Times New Roman"/>
          <w:b/>
          <w:sz w:val="26"/>
          <w:szCs w:val="26"/>
        </w:rPr>
        <w:t xml:space="preserve">jövedelempótló és jövedelemkiegészítő szociális támogatásokra </w:t>
      </w:r>
      <w:r w:rsidRPr="62456E77">
        <w:rPr>
          <w:rFonts w:ascii="Times New Roman" w:eastAsia="Times New Roman" w:hAnsi="Times New Roman" w:cs="Times New Roman"/>
          <w:sz w:val="26"/>
          <w:szCs w:val="26"/>
        </w:rPr>
        <w:t xml:space="preserve">biztosított kiadásokon belül a </w:t>
      </w:r>
      <w:r w:rsidRPr="00D968BE">
        <w:rPr>
          <w:rFonts w:ascii="Times New Roman" w:eastAsia="Times New Roman" w:hAnsi="Times New Roman" w:cs="Times New Roman"/>
          <w:bCs/>
          <w:sz w:val="26"/>
          <w:szCs w:val="26"/>
        </w:rPr>
        <w:t>járási szociális feladatok</w:t>
      </w:r>
      <w:r w:rsidRPr="62456E77">
        <w:rPr>
          <w:rFonts w:ascii="Times New Roman" w:eastAsia="Times New Roman" w:hAnsi="Times New Roman" w:cs="Times New Roman"/>
          <w:sz w:val="26"/>
          <w:szCs w:val="26"/>
        </w:rPr>
        <w:t xml:space="preserve"> ellátására (gyermekek otthongondozási díja, ápolási díj, időskorúak járadéka, foglalkoztatást helyettesítő támogatás, egészségkárosodási és gyermekfelügyeleti támogatás) 31,4</w:t>
      </w:r>
      <w:r w:rsidR="00D968BE">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milliárd forintot fordítottak, mely 3,1</w:t>
      </w:r>
      <w:r w:rsidR="00D968BE">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milliárd forinttal magasabb az előző évi adatnál. A növekedést az okozza, hogy 2025. januártól a gyermekek otthongondozási díjának összege a minimálbér emelkedése miatt (266</w:t>
      </w:r>
      <w:r w:rsidR="00D968BE">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800 forintról 290</w:t>
      </w:r>
      <w:r w:rsidR="00D968BE">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 xml:space="preserve">800 forintra) emelkedett, az ápolási díj összege pedig 3,2%-kal nőtt. </w:t>
      </w:r>
    </w:p>
    <w:p w14:paraId="0F313448" w14:textId="0BDD3A74" w:rsidR="142D8494" w:rsidRDefault="62456E77" w:rsidP="142D8494">
      <w:pPr>
        <w:jc w:val="both"/>
      </w:pPr>
      <w:r w:rsidRPr="62456E77">
        <w:rPr>
          <w:rFonts w:ascii="Times New Roman" w:eastAsia="Times New Roman" w:hAnsi="Times New Roman" w:cs="Times New Roman"/>
          <w:sz w:val="26"/>
          <w:szCs w:val="26"/>
        </w:rPr>
        <w:t xml:space="preserve">A </w:t>
      </w:r>
      <w:r w:rsidRPr="00D968BE">
        <w:rPr>
          <w:rFonts w:ascii="Times New Roman" w:eastAsia="Times New Roman" w:hAnsi="Times New Roman" w:cs="Times New Roman"/>
          <w:bCs/>
          <w:sz w:val="26"/>
          <w:szCs w:val="26"/>
        </w:rPr>
        <w:t>Jövedelempótló és jövedelemkiegészítő ellátások</w:t>
      </w:r>
      <w:r w:rsidRPr="62456E77">
        <w:rPr>
          <w:rFonts w:ascii="Times New Roman" w:eastAsia="Times New Roman" w:hAnsi="Times New Roman" w:cs="Times New Roman"/>
          <w:sz w:val="26"/>
          <w:szCs w:val="26"/>
        </w:rPr>
        <w:t xml:space="preserve"> előirányzat tartalmazza a fogyatékossági támogatás, a vakok személyi járadéka, az átmeneti bányászjáradék és számos további, jellemzően kifutó jellegű ellátás (pl. mezőgazdasági járadék, politikai rehabilitációs és más nyugdíj-kiegészítések, házastársi pótlék) forrását. A jövedelempótló és jövedelemkiegészítő ellátásokra 22,9</w:t>
      </w:r>
      <w:r w:rsidR="00D968BE">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 xml:space="preserve">milliárd forintot fizettek ki, mely </w:t>
      </w:r>
      <w:r w:rsidR="00D968BE">
        <w:rPr>
          <w:rFonts w:ascii="Times New Roman" w:eastAsia="Times New Roman" w:hAnsi="Times New Roman" w:cs="Times New Roman"/>
          <w:sz w:val="26"/>
          <w:szCs w:val="26"/>
        </w:rPr>
        <w:t>az előző évi kifizetésénél 0,2 </w:t>
      </w:r>
      <w:r w:rsidRPr="62456E77">
        <w:rPr>
          <w:rFonts w:ascii="Times New Roman" w:eastAsia="Times New Roman" w:hAnsi="Times New Roman" w:cs="Times New Roman"/>
          <w:sz w:val="26"/>
          <w:szCs w:val="26"/>
        </w:rPr>
        <w:t>milliárd forinttal magasabb. A kiadások növekedését egyes ellátások januárban végrehajtott 3,2%-os emelésének, valamint a 20</w:t>
      </w:r>
      <w:r w:rsidR="00D968BE">
        <w:rPr>
          <w:rFonts w:ascii="Times New Roman" w:eastAsia="Times New Roman" w:hAnsi="Times New Roman" w:cs="Times New Roman"/>
          <w:sz w:val="26"/>
          <w:szCs w:val="26"/>
        </w:rPr>
        <w:t>24</w:t>
      </w:r>
      <w:r w:rsidR="00BB2A34">
        <w:rPr>
          <w:rFonts w:ascii="Times New Roman" w:eastAsia="Times New Roman" w:hAnsi="Times New Roman" w:cs="Times New Roman"/>
          <w:sz w:val="26"/>
          <w:szCs w:val="26"/>
        </w:rPr>
        <w:t> </w:t>
      </w:r>
      <w:r w:rsidR="00D968BE">
        <w:rPr>
          <w:rFonts w:ascii="Times New Roman" w:eastAsia="Times New Roman" w:hAnsi="Times New Roman" w:cs="Times New Roman"/>
          <w:sz w:val="26"/>
          <w:szCs w:val="26"/>
        </w:rPr>
        <w:t>februárjában kifizetett 13. </w:t>
      </w:r>
      <w:r w:rsidRPr="62456E77">
        <w:rPr>
          <w:rFonts w:ascii="Times New Roman" w:eastAsia="Times New Roman" w:hAnsi="Times New Roman" w:cs="Times New Roman"/>
          <w:sz w:val="26"/>
          <w:szCs w:val="26"/>
        </w:rPr>
        <w:t>havi ellátásnak a hatása okozza.</w:t>
      </w:r>
    </w:p>
    <w:p w14:paraId="447AE10B" w14:textId="47FDAD48" w:rsidR="142D8494" w:rsidRDefault="62456E77" w:rsidP="142D8494">
      <w:pPr>
        <w:jc w:val="both"/>
      </w:pPr>
      <w:r w:rsidRPr="62456E77">
        <w:rPr>
          <w:rFonts w:ascii="Times New Roman" w:eastAsia="Times New Roman" w:hAnsi="Times New Roman" w:cs="Times New Roman"/>
          <w:sz w:val="26"/>
          <w:szCs w:val="26"/>
        </w:rPr>
        <w:t xml:space="preserve">A </w:t>
      </w:r>
      <w:r w:rsidRPr="62456E77">
        <w:rPr>
          <w:rFonts w:ascii="Times New Roman" w:eastAsia="Times New Roman" w:hAnsi="Times New Roman" w:cs="Times New Roman"/>
          <w:b/>
          <w:bCs/>
          <w:sz w:val="26"/>
          <w:szCs w:val="26"/>
        </w:rPr>
        <w:t>különféle jogcímen adott térítések</w:t>
      </w:r>
      <w:r w:rsidRPr="62456E77">
        <w:rPr>
          <w:rFonts w:ascii="Times New Roman" w:eastAsia="Times New Roman" w:hAnsi="Times New Roman" w:cs="Times New Roman"/>
          <w:sz w:val="26"/>
          <w:szCs w:val="26"/>
        </w:rPr>
        <w:t xml:space="preserve"> 2025</w:t>
      </w:r>
      <w:r w:rsidR="00BB2A34">
        <w:rPr>
          <w:rFonts w:ascii="Times New Roman" w:eastAsia="Times New Roman" w:hAnsi="Times New Roman" w:cs="Times New Roman"/>
          <w:sz w:val="26"/>
          <w:szCs w:val="26"/>
        </w:rPr>
        <w:t>.</w:t>
      </w:r>
      <w:r w:rsidRPr="62456E77">
        <w:rPr>
          <w:rFonts w:ascii="Times New Roman" w:eastAsia="Times New Roman" w:hAnsi="Times New Roman" w:cs="Times New Roman"/>
          <w:sz w:val="26"/>
          <w:szCs w:val="26"/>
        </w:rPr>
        <w:t xml:space="preserve"> március</w:t>
      </w:r>
      <w:r w:rsidR="00D968BE">
        <w:rPr>
          <w:rFonts w:ascii="Times New Roman" w:eastAsia="Times New Roman" w:hAnsi="Times New Roman" w:cs="Times New Roman"/>
          <w:sz w:val="26"/>
          <w:szCs w:val="26"/>
        </w:rPr>
        <w:t xml:space="preserve"> vég</w:t>
      </w:r>
      <w:r w:rsidRPr="62456E77">
        <w:rPr>
          <w:rFonts w:ascii="Times New Roman" w:eastAsia="Times New Roman" w:hAnsi="Times New Roman" w:cs="Times New Roman"/>
          <w:sz w:val="26"/>
          <w:szCs w:val="26"/>
        </w:rPr>
        <w:t>i összege 0,2</w:t>
      </w:r>
      <w:r w:rsidR="00BB2A34">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milliárd forinttal alacsonyabb volt, mint az előző év azonos időszakában. A térítéseken belül a legnagyobb összeget, 4,0 milliárd forintot a közgyógyellátásra fizették ki.</w:t>
      </w:r>
    </w:p>
    <w:p w14:paraId="2BBDBEB3" w14:textId="0E4AB035" w:rsidR="0032261D" w:rsidRPr="005C3ECD" w:rsidRDefault="62456E77" w:rsidP="62456E77">
      <w:pPr>
        <w:pStyle w:val="NormlWeb"/>
        <w:spacing w:before="0" w:beforeAutospacing="0" w:after="160" w:afterAutospacing="0" w:line="259" w:lineRule="auto"/>
        <w:jc w:val="both"/>
        <w:rPr>
          <w:sz w:val="26"/>
          <w:szCs w:val="26"/>
        </w:rPr>
      </w:pPr>
      <w:r w:rsidRPr="62456E77">
        <w:rPr>
          <w:sz w:val="26"/>
          <w:szCs w:val="26"/>
        </w:rPr>
        <w:t xml:space="preserve">A </w:t>
      </w:r>
      <w:r w:rsidRPr="62456E77">
        <w:rPr>
          <w:b/>
          <w:bCs/>
          <w:sz w:val="26"/>
          <w:szCs w:val="26"/>
        </w:rPr>
        <w:t>babaváró támogatásokra</w:t>
      </w:r>
      <w:r w:rsidRPr="62456E77">
        <w:rPr>
          <w:sz w:val="26"/>
          <w:szCs w:val="26"/>
        </w:rPr>
        <w:t xml:space="preserve"> fordított kiadások összege március végéig 54,7 milliárd forintot tett ki, amely a törvényi előirányzat 21,8%-ának felel meg, és a 2024. év azonos időszakához viszonyítva 0,4 milliárd forinttal teljesült magasabban.</w:t>
      </w:r>
    </w:p>
    <w:p w14:paraId="1A25D4E0" w14:textId="58F4D80D" w:rsidR="000C2BFE" w:rsidRPr="005C3ECD" w:rsidRDefault="62456E77" w:rsidP="62456E77">
      <w:pPr>
        <w:pStyle w:val="NormlWeb"/>
        <w:spacing w:before="0" w:beforeAutospacing="0" w:after="160" w:afterAutospacing="0" w:line="259" w:lineRule="auto"/>
        <w:jc w:val="both"/>
        <w:rPr>
          <w:sz w:val="26"/>
          <w:szCs w:val="26"/>
        </w:rPr>
      </w:pPr>
      <w:r w:rsidRPr="62456E77">
        <w:rPr>
          <w:sz w:val="26"/>
          <w:szCs w:val="26"/>
        </w:rPr>
        <w:t xml:space="preserve">A </w:t>
      </w:r>
      <w:r w:rsidRPr="62456E77">
        <w:rPr>
          <w:b/>
          <w:bCs/>
          <w:sz w:val="26"/>
          <w:szCs w:val="26"/>
        </w:rPr>
        <w:t>helyi önkormányzatok</w:t>
      </w:r>
      <w:r w:rsidRPr="62456E77">
        <w:rPr>
          <w:sz w:val="26"/>
          <w:szCs w:val="26"/>
        </w:rPr>
        <w:t xml:space="preserve"> 2025. évi feladataihoz a hatályos költségvetési törvény alapján </w:t>
      </w:r>
      <w:r w:rsidR="142D8494">
        <w:br/>
      </w:r>
      <w:r w:rsidRPr="62456E77">
        <w:rPr>
          <w:sz w:val="26"/>
          <w:szCs w:val="26"/>
        </w:rPr>
        <w:t>1 305,7 milliárd forint állami támogatás került megállapításra. Március végéig 367,5 milliárd forint kifizetés történt. Az előző év azonos időszakához viszonyítva 35,0 milliárd forint (10,5%-os) növekedés történt. A jelentősebb tételek alakulását a következő táblázat mutatja:</w:t>
      </w:r>
    </w:p>
    <w:p w14:paraId="2723D8B3" w14:textId="621DAAE8" w:rsidR="00C24948" w:rsidRPr="00B32682" w:rsidRDefault="62456E77" w:rsidP="62456E77">
      <w:pPr>
        <w:pageBreakBefore/>
        <w:jc w:val="center"/>
        <w:rPr>
          <w:rFonts w:ascii="Times New Roman" w:eastAsia="Times New Roman" w:hAnsi="Times New Roman" w:cs="Times New Roman"/>
          <w:lang w:eastAsia="hu-HU"/>
        </w:rPr>
      </w:pPr>
      <w:r w:rsidRPr="62456E77">
        <w:rPr>
          <w:rFonts w:ascii="Times New Roman" w:eastAsia="Times New Roman" w:hAnsi="Times New Roman" w:cs="Times New Roman"/>
          <w:b/>
          <w:bCs/>
        </w:rPr>
        <w:t>A helyi önkormányzatok támogatásának alakulása (milliárd forint)</w:t>
      </w:r>
    </w:p>
    <w:tbl>
      <w:tblPr>
        <w:tblpPr w:leftFromText="141" w:rightFromText="141" w:vertAnchor="text" w:horzAnchor="margin" w:tblpY="20"/>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82"/>
        <w:gridCol w:w="1196"/>
        <w:gridCol w:w="992"/>
        <w:gridCol w:w="850"/>
        <w:gridCol w:w="851"/>
      </w:tblGrid>
      <w:tr w:rsidR="00081A16" w:rsidRPr="00377D59" w14:paraId="6741B982" w14:textId="77777777" w:rsidTr="62456E77">
        <w:trPr>
          <w:trHeight w:val="340"/>
        </w:trPr>
        <w:tc>
          <w:tcPr>
            <w:tcW w:w="5382" w:type="dxa"/>
            <w:vMerge w:val="restart"/>
            <w:shd w:val="clear" w:color="auto" w:fill="BDD6EE" w:themeFill="accent1" w:themeFillTint="66"/>
            <w:noWrap/>
            <w:vAlign w:val="center"/>
            <w:hideMark/>
          </w:tcPr>
          <w:p w14:paraId="07514BAA" w14:textId="77777777" w:rsidR="00081A16" w:rsidRPr="00DD7FD1" w:rsidRDefault="62456E77" w:rsidP="62456E77">
            <w:pPr>
              <w:keepNext/>
              <w:keepLines/>
              <w:spacing w:after="0" w:line="240" w:lineRule="auto"/>
              <w:jc w:val="center"/>
              <w:rPr>
                <w:rFonts w:ascii="Times New Roman" w:eastAsia="Times New Roman" w:hAnsi="Times New Roman" w:cs="Times New Roman"/>
                <w:b/>
                <w:bCs/>
                <w:lang w:eastAsia="hu-HU"/>
              </w:rPr>
            </w:pPr>
            <w:r w:rsidRPr="62456E77">
              <w:rPr>
                <w:rFonts w:ascii="Times New Roman" w:eastAsia="Times New Roman" w:hAnsi="Times New Roman" w:cs="Times New Roman"/>
                <w:b/>
                <w:bCs/>
                <w:lang w:eastAsia="hu-HU"/>
              </w:rPr>
              <w:t>Megnevezés</w:t>
            </w:r>
          </w:p>
        </w:tc>
        <w:tc>
          <w:tcPr>
            <w:tcW w:w="1196" w:type="dxa"/>
            <w:vMerge w:val="restart"/>
            <w:shd w:val="clear" w:color="auto" w:fill="BDD6EE" w:themeFill="accent1" w:themeFillTint="66"/>
            <w:vAlign w:val="center"/>
            <w:hideMark/>
          </w:tcPr>
          <w:p w14:paraId="5DC080D6" w14:textId="1FF2221F" w:rsidR="00081A16" w:rsidRPr="00DD7FD1" w:rsidRDefault="62456E77" w:rsidP="62456E77">
            <w:pPr>
              <w:spacing w:after="0" w:line="240" w:lineRule="auto"/>
              <w:jc w:val="center"/>
              <w:rPr>
                <w:rFonts w:ascii="Times New Roman" w:eastAsia="Times New Roman" w:hAnsi="Times New Roman" w:cs="Times New Roman"/>
                <w:b/>
                <w:bCs/>
                <w:lang w:eastAsia="hu-HU"/>
              </w:rPr>
            </w:pPr>
            <w:r w:rsidRPr="62456E77">
              <w:rPr>
                <w:rFonts w:ascii="Times New Roman" w:eastAsia="Times New Roman" w:hAnsi="Times New Roman" w:cs="Times New Roman"/>
                <w:b/>
                <w:bCs/>
                <w:lang w:eastAsia="hu-HU"/>
              </w:rPr>
              <w:t xml:space="preserve">2024. </w:t>
            </w:r>
            <w:r w:rsidR="142D8494">
              <w:br/>
            </w:r>
            <w:r w:rsidRPr="62456E77">
              <w:rPr>
                <w:rFonts w:ascii="Times New Roman" w:hAnsi="Times New Roman" w:cs="Times New Roman"/>
                <w:b/>
                <w:bCs/>
              </w:rPr>
              <w:t>I-III. hó</w:t>
            </w:r>
          </w:p>
        </w:tc>
        <w:tc>
          <w:tcPr>
            <w:tcW w:w="992" w:type="dxa"/>
            <w:vMerge w:val="restart"/>
            <w:shd w:val="clear" w:color="auto" w:fill="BDD6EE" w:themeFill="accent1" w:themeFillTint="66"/>
            <w:vAlign w:val="center"/>
            <w:hideMark/>
          </w:tcPr>
          <w:p w14:paraId="626AC8BC" w14:textId="17432867" w:rsidR="00081A16" w:rsidRPr="00DD7FD1" w:rsidRDefault="62456E77" w:rsidP="62456E77">
            <w:pPr>
              <w:spacing w:after="0" w:line="240" w:lineRule="auto"/>
              <w:jc w:val="center"/>
              <w:rPr>
                <w:rFonts w:ascii="Times New Roman" w:eastAsia="Times New Roman" w:hAnsi="Times New Roman" w:cs="Times New Roman"/>
                <w:b/>
                <w:bCs/>
                <w:lang w:eastAsia="hu-HU"/>
              </w:rPr>
            </w:pPr>
            <w:r w:rsidRPr="62456E77">
              <w:rPr>
                <w:rFonts w:ascii="Times New Roman" w:eastAsia="Times New Roman" w:hAnsi="Times New Roman" w:cs="Times New Roman"/>
                <w:b/>
                <w:bCs/>
                <w:lang w:eastAsia="hu-HU"/>
              </w:rPr>
              <w:t xml:space="preserve">2025. </w:t>
            </w:r>
            <w:r w:rsidR="142D8494">
              <w:br/>
            </w:r>
            <w:r w:rsidRPr="62456E77">
              <w:rPr>
                <w:rFonts w:ascii="Times New Roman" w:hAnsi="Times New Roman" w:cs="Times New Roman"/>
                <w:b/>
                <w:bCs/>
              </w:rPr>
              <w:t>I-III. hó</w:t>
            </w:r>
          </w:p>
        </w:tc>
        <w:tc>
          <w:tcPr>
            <w:tcW w:w="1701" w:type="dxa"/>
            <w:gridSpan w:val="2"/>
            <w:shd w:val="clear" w:color="auto" w:fill="BDD6EE" w:themeFill="accent1" w:themeFillTint="66"/>
            <w:noWrap/>
            <w:vAlign w:val="center"/>
            <w:hideMark/>
          </w:tcPr>
          <w:p w14:paraId="35A3C823" w14:textId="77777777" w:rsidR="00081A16" w:rsidRPr="00DD7FD1" w:rsidRDefault="62456E77" w:rsidP="62456E77">
            <w:pPr>
              <w:keepNext/>
              <w:keepLines/>
              <w:spacing w:after="0" w:line="240" w:lineRule="auto"/>
              <w:jc w:val="center"/>
              <w:rPr>
                <w:rFonts w:ascii="Times New Roman" w:eastAsia="Times New Roman" w:hAnsi="Times New Roman" w:cs="Times New Roman"/>
                <w:b/>
                <w:bCs/>
                <w:lang w:eastAsia="hu-HU"/>
              </w:rPr>
            </w:pPr>
            <w:r w:rsidRPr="62456E77">
              <w:rPr>
                <w:rFonts w:ascii="Times New Roman" w:eastAsia="Times New Roman" w:hAnsi="Times New Roman" w:cs="Times New Roman"/>
                <w:b/>
                <w:bCs/>
                <w:lang w:eastAsia="hu-HU"/>
              </w:rPr>
              <w:t>Eltérés</w:t>
            </w:r>
          </w:p>
        </w:tc>
      </w:tr>
      <w:tr w:rsidR="00C24948" w:rsidRPr="00377D59" w14:paraId="2DD9A798" w14:textId="77777777" w:rsidTr="62456E77">
        <w:trPr>
          <w:trHeight w:val="340"/>
        </w:trPr>
        <w:tc>
          <w:tcPr>
            <w:tcW w:w="5382" w:type="dxa"/>
            <w:vMerge/>
            <w:shd w:val="clear" w:color="auto" w:fill="BDD6EE" w:themeFill="accent1" w:themeFillTint="66"/>
            <w:vAlign w:val="center"/>
            <w:hideMark/>
          </w:tcPr>
          <w:p w14:paraId="5F76A56A" w14:textId="77777777" w:rsidR="00C24948" w:rsidRPr="00DD7FD1" w:rsidRDefault="00C24948" w:rsidP="00C24948">
            <w:pPr>
              <w:keepNext/>
              <w:keepLines/>
              <w:spacing w:after="0" w:line="240" w:lineRule="auto"/>
              <w:rPr>
                <w:rFonts w:ascii="Times New Roman" w:eastAsia="Times New Roman" w:hAnsi="Times New Roman" w:cs="Times New Roman"/>
                <w:b/>
                <w:bCs/>
                <w:lang w:eastAsia="hu-HU"/>
              </w:rPr>
            </w:pPr>
          </w:p>
        </w:tc>
        <w:tc>
          <w:tcPr>
            <w:tcW w:w="1196" w:type="dxa"/>
            <w:vMerge/>
            <w:tcBorders>
              <w:bottom w:val="single" w:sz="4" w:space="0" w:color="auto"/>
            </w:tcBorders>
            <w:shd w:val="clear" w:color="auto" w:fill="BDD6EE" w:themeFill="accent1" w:themeFillTint="66"/>
            <w:vAlign w:val="center"/>
            <w:hideMark/>
          </w:tcPr>
          <w:p w14:paraId="65B4B0A4"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992" w:type="dxa"/>
            <w:vMerge/>
            <w:tcBorders>
              <w:bottom w:val="single" w:sz="4" w:space="0" w:color="auto"/>
            </w:tcBorders>
            <w:shd w:val="clear" w:color="auto" w:fill="BDD6EE" w:themeFill="accent1" w:themeFillTint="66"/>
            <w:vAlign w:val="center"/>
            <w:hideMark/>
          </w:tcPr>
          <w:p w14:paraId="5FE97B50" w14:textId="77777777" w:rsidR="00C24948" w:rsidRPr="00DD7FD1" w:rsidRDefault="00C24948" w:rsidP="00C24948">
            <w:pPr>
              <w:keepNext/>
              <w:keepLines/>
              <w:spacing w:after="0" w:line="240" w:lineRule="auto"/>
              <w:jc w:val="center"/>
              <w:rPr>
                <w:rFonts w:ascii="Times New Roman" w:eastAsia="Times New Roman" w:hAnsi="Times New Roman" w:cs="Times New Roman"/>
                <w:b/>
                <w:bCs/>
                <w:lang w:eastAsia="hu-HU"/>
              </w:rPr>
            </w:pPr>
          </w:p>
        </w:tc>
        <w:tc>
          <w:tcPr>
            <w:tcW w:w="850" w:type="dxa"/>
            <w:tcBorders>
              <w:bottom w:val="single" w:sz="4" w:space="0" w:color="auto"/>
            </w:tcBorders>
            <w:shd w:val="clear" w:color="auto" w:fill="BDD6EE" w:themeFill="accent1" w:themeFillTint="66"/>
            <w:noWrap/>
            <w:vAlign w:val="center"/>
            <w:hideMark/>
          </w:tcPr>
          <w:p w14:paraId="1B2C8FF2" w14:textId="77777777" w:rsidR="00C24948" w:rsidRPr="00DD7FD1" w:rsidRDefault="62456E77" w:rsidP="62456E77">
            <w:pPr>
              <w:keepNext/>
              <w:keepLines/>
              <w:spacing w:after="0" w:line="240" w:lineRule="auto"/>
              <w:jc w:val="center"/>
              <w:rPr>
                <w:rFonts w:ascii="Times New Roman" w:eastAsia="Times New Roman" w:hAnsi="Times New Roman" w:cs="Times New Roman"/>
                <w:b/>
                <w:bCs/>
                <w:lang w:eastAsia="hu-HU"/>
              </w:rPr>
            </w:pPr>
            <w:r w:rsidRPr="62456E77">
              <w:rPr>
                <w:rFonts w:ascii="Times New Roman" w:eastAsia="Times New Roman" w:hAnsi="Times New Roman" w:cs="Times New Roman"/>
                <w:b/>
                <w:bCs/>
                <w:lang w:eastAsia="hu-HU"/>
              </w:rPr>
              <w:t>Mrd Ft</w:t>
            </w:r>
          </w:p>
        </w:tc>
        <w:tc>
          <w:tcPr>
            <w:tcW w:w="851" w:type="dxa"/>
            <w:tcBorders>
              <w:bottom w:val="single" w:sz="4" w:space="0" w:color="auto"/>
            </w:tcBorders>
            <w:shd w:val="clear" w:color="auto" w:fill="BDD6EE" w:themeFill="accent1" w:themeFillTint="66"/>
            <w:noWrap/>
            <w:vAlign w:val="center"/>
            <w:hideMark/>
          </w:tcPr>
          <w:p w14:paraId="179AEF43" w14:textId="77777777" w:rsidR="00C24948" w:rsidRPr="00DD7FD1" w:rsidRDefault="62456E77" w:rsidP="62456E77">
            <w:pPr>
              <w:keepNext/>
              <w:keepLines/>
              <w:spacing w:after="0" w:line="240" w:lineRule="auto"/>
              <w:jc w:val="center"/>
              <w:rPr>
                <w:rFonts w:ascii="Times New Roman" w:eastAsia="Times New Roman" w:hAnsi="Times New Roman" w:cs="Times New Roman"/>
                <w:b/>
                <w:bCs/>
                <w:lang w:eastAsia="hu-HU"/>
              </w:rPr>
            </w:pPr>
            <w:r w:rsidRPr="62456E77">
              <w:rPr>
                <w:rFonts w:ascii="Times New Roman" w:eastAsia="Times New Roman" w:hAnsi="Times New Roman" w:cs="Times New Roman"/>
                <w:b/>
                <w:bCs/>
                <w:lang w:eastAsia="hu-HU"/>
              </w:rPr>
              <w:t>%</w:t>
            </w:r>
          </w:p>
        </w:tc>
      </w:tr>
      <w:tr w:rsidR="00134EEA" w:rsidRPr="00377D59" w14:paraId="5CF52B9C" w14:textId="77777777" w:rsidTr="62456E77">
        <w:trPr>
          <w:trHeight w:val="510"/>
        </w:trPr>
        <w:tc>
          <w:tcPr>
            <w:tcW w:w="5382" w:type="dxa"/>
            <w:shd w:val="clear" w:color="auto" w:fill="auto"/>
            <w:vAlign w:val="center"/>
            <w:hideMark/>
          </w:tcPr>
          <w:p w14:paraId="11FF4C49" w14:textId="77777777" w:rsidR="00134EEA" w:rsidRPr="00976E1E" w:rsidRDefault="62456E77" w:rsidP="62456E77">
            <w:pPr>
              <w:keepNext/>
              <w:keepLines/>
              <w:spacing w:after="0" w:line="240" w:lineRule="auto"/>
              <w:rPr>
                <w:rFonts w:ascii="Times New Roman" w:eastAsia="Times New Roman" w:hAnsi="Times New Roman" w:cs="Times New Roman"/>
                <w:b/>
                <w:bCs/>
                <w:sz w:val="20"/>
                <w:szCs w:val="20"/>
                <w:lang w:eastAsia="hu-HU"/>
              </w:rPr>
            </w:pPr>
            <w:r w:rsidRPr="62456E77">
              <w:rPr>
                <w:rFonts w:ascii="Times New Roman" w:eastAsia="Times New Roman" w:hAnsi="Times New Roman" w:cs="Times New Roman"/>
                <w:b/>
                <w:bCs/>
                <w:sz w:val="20"/>
                <w:szCs w:val="20"/>
                <w:lang w:eastAsia="hu-HU"/>
              </w:rPr>
              <w:t>A helyi önkormányzatok általános működésének és ágazati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0A1E4CBD" w14:textId="7FBA2C08"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311,3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29553" w14:textId="1C1AA3FC"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333,5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76081" w14:textId="5586E8BC"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22,2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DF60E" w14:textId="68FA3BE9"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107,1</w:t>
            </w:r>
          </w:p>
        </w:tc>
      </w:tr>
      <w:tr w:rsidR="00134EEA" w:rsidRPr="00377D59" w14:paraId="66D88640" w14:textId="77777777" w:rsidTr="62456E77">
        <w:trPr>
          <w:trHeight w:val="340"/>
        </w:trPr>
        <w:tc>
          <w:tcPr>
            <w:tcW w:w="5382" w:type="dxa"/>
            <w:shd w:val="clear" w:color="auto" w:fill="auto"/>
            <w:vAlign w:val="center"/>
            <w:hideMark/>
          </w:tcPr>
          <w:p w14:paraId="4496E62C" w14:textId="77777777" w:rsidR="00134EEA" w:rsidRPr="00976E1E" w:rsidRDefault="62456E77" w:rsidP="62456E77">
            <w:pPr>
              <w:keepNext/>
              <w:keepLines/>
              <w:spacing w:after="0" w:line="240" w:lineRule="auto"/>
              <w:rPr>
                <w:rFonts w:ascii="Times New Roman" w:eastAsia="Times New Roman" w:hAnsi="Times New Roman" w:cs="Times New Roman"/>
                <w:i/>
                <w:iCs/>
                <w:sz w:val="20"/>
                <w:szCs w:val="20"/>
                <w:lang w:eastAsia="hu-HU"/>
              </w:rPr>
            </w:pPr>
            <w:r w:rsidRPr="62456E77">
              <w:rPr>
                <w:rFonts w:ascii="Times New Roman" w:eastAsia="Times New Roman" w:hAnsi="Times New Roman" w:cs="Times New Roman"/>
                <w:i/>
                <w:iCs/>
                <w:sz w:val="20"/>
                <w:szCs w:val="20"/>
                <w:lang w:eastAsia="hu-HU"/>
              </w:rPr>
              <w:t>A helyi önkormányzatok működésének általános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6C091267" w14:textId="433F7AB5"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87,6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3F341" w14:textId="18AA2AD5"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86,9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7C594" w14:textId="6F42F9EB"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384BF" w14:textId="33F1468D"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99,2</w:t>
            </w:r>
          </w:p>
        </w:tc>
      </w:tr>
      <w:tr w:rsidR="00134EEA" w:rsidRPr="00377D59" w14:paraId="644FC967" w14:textId="77777777" w:rsidTr="62456E77">
        <w:trPr>
          <w:trHeight w:val="510"/>
        </w:trPr>
        <w:tc>
          <w:tcPr>
            <w:tcW w:w="5382" w:type="dxa"/>
            <w:shd w:val="clear" w:color="auto" w:fill="auto"/>
            <w:vAlign w:val="center"/>
            <w:hideMark/>
          </w:tcPr>
          <w:p w14:paraId="1BA330A0" w14:textId="77777777" w:rsidR="00134EEA" w:rsidRPr="00976E1E" w:rsidRDefault="62456E77" w:rsidP="62456E77">
            <w:pPr>
              <w:keepNext/>
              <w:keepLines/>
              <w:spacing w:after="0" w:line="240" w:lineRule="auto"/>
              <w:rPr>
                <w:rFonts w:ascii="Times New Roman" w:eastAsia="Times New Roman" w:hAnsi="Times New Roman" w:cs="Times New Roman"/>
                <w:i/>
                <w:iCs/>
                <w:sz w:val="20"/>
                <w:szCs w:val="20"/>
                <w:lang w:eastAsia="hu-HU"/>
              </w:rPr>
            </w:pPr>
            <w:r w:rsidRPr="62456E77">
              <w:rPr>
                <w:rFonts w:ascii="Times New Roman" w:eastAsia="Times New Roman" w:hAnsi="Times New Roman" w:cs="Times New Roman"/>
                <w:i/>
                <w:iCs/>
                <w:sz w:val="20"/>
                <w:szCs w:val="20"/>
                <w:lang w:eastAsia="hu-HU"/>
              </w:rPr>
              <w:t>A települési önkormányzatok egyes köznevelési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5E8D28C3" w14:textId="1CFB01F9"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99,0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1BB58" w14:textId="18E10E98"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112,0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D1E80" w14:textId="09078C7B"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13,0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7CDD1" w14:textId="507E5591"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113,1</w:t>
            </w:r>
          </w:p>
        </w:tc>
      </w:tr>
      <w:tr w:rsidR="00134EEA" w:rsidRPr="00377D59" w14:paraId="11F06AEB" w14:textId="77777777" w:rsidTr="62456E77">
        <w:trPr>
          <w:trHeight w:val="510"/>
        </w:trPr>
        <w:tc>
          <w:tcPr>
            <w:tcW w:w="5382" w:type="dxa"/>
            <w:shd w:val="clear" w:color="auto" w:fill="auto"/>
            <w:vAlign w:val="center"/>
            <w:hideMark/>
          </w:tcPr>
          <w:p w14:paraId="63EE65A2" w14:textId="77777777" w:rsidR="00134EEA" w:rsidRPr="00976E1E" w:rsidRDefault="62456E77" w:rsidP="62456E77">
            <w:pPr>
              <w:keepNext/>
              <w:keepLines/>
              <w:spacing w:after="0" w:line="240" w:lineRule="auto"/>
              <w:rPr>
                <w:rFonts w:ascii="Times New Roman" w:eastAsia="Times New Roman" w:hAnsi="Times New Roman" w:cs="Times New Roman"/>
                <w:i/>
                <w:iCs/>
                <w:sz w:val="20"/>
                <w:szCs w:val="20"/>
                <w:lang w:eastAsia="hu-HU"/>
              </w:rPr>
            </w:pPr>
            <w:r w:rsidRPr="62456E77">
              <w:rPr>
                <w:rFonts w:ascii="Times New Roman" w:eastAsia="Times New Roman" w:hAnsi="Times New Roman" w:cs="Times New Roman"/>
                <w:i/>
                <w:iCs/>
                <w:sz w:val="20"/>
                <w:szCs w:val="20"/>
                <w:lang w:eastAsia="hu-HU"/>
              </w:rPr>
              <w:t>A települési önkormányzatok egyes szociális, gyermekjóléti és gyermekétkeztetési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BBDE34C" w14:textId="7CE1CBE1"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118,4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5C695" w14:textId="1DFF5E5F"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128,3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01228" w14:textId="2D61C54E"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9,</w:t>
            </w:r>
            <w:proofErr w:type="spellStart"/>
            <w:r w:rsidRPr="62456E77">
              <w:rPr>
                <w:rFonts w:ascii="Times New Roman" w:hAnsi="Times New Roman" w:cs="Times New Roman"/>
                <w:i/>
                <w:iCs/>
                <w:sz w:val="20"/>
                <w:szCs w:val="20"/>
              </w:rPr>
              <w:t>9</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53BB5" w14:textId="60AEB60A"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108,4</w:t>
            </w:r>
          </w:p>
        </w:tc>
      </w:tr>
      <w:tr w:rsidR="00134EEA" w:rsidRPr="00377D59" w14:paraId="1FC403F4" w14:textId="77777777" w:rsidTr="62456E77">
        <w:trPr>
          <w:trHeight w:val="340"/>
        </w:trPr>
        <w:tc>
          <w:tcPr>
            <w:tcW w:w="5382" w:type="dxa"/>
            <w:shd w:val="clear" w:color="auto" w:fill="auto"/>
            <w:vAlign w:val="center"/>
            <w:hideMark/>
          </w:tcPr>
          <w:p w14:paraId="4F427CE2" w14:textId="77777777" w:rsidR="00134EEA" w:rsidRPr="00976E1E" w:rsidRDefault="62456E77" w:rsidP="62456E77">
            <w:pPr>
              <w:keepNext/>
              <w:keepLines/>
              <w:spacing w:after="0" w:line="240" w:lineRule="auto"/>
              <w:rPr>
                <w:rFonts w:ascii="Times New Roman" w:eastAsia="Times New Roman" w:hAnsi="Times New Roman" w:cs="Times New Roman"/>
                <w:i/>
                <w:iCs/>
                <w:sz w:val="20"/>
                <w:szCs w:val="20"/>
                <w:lang w:eastAsia="hu-HU"/>
              </w:rPr>
            </w:pPr>
            <w:r w:rsidRPr="62456E77">
              <w:rPr>
                <w:rFonts w:ascii="Times New Roman" w:eastAsia="Times New Roman" w:hAnsi="Times New Roman" w:cs="Times New Roman"/>
                <w:i/>
                <w:iCs/>
                <w:sz w:val="20"/>
                <w:szCs w:val="20"/>
                <w:lang w:eastAsia="hu-HU"/>
              </w:rPr>
              <w:t>A települési önkormányzatok kulturális feladatainak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44BDB6D4" w14:textId="40B72763"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6,3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BBCDB" w14:textId="30A4A452"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6,3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8EF3A" w14:textId="45E60EC9"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0,</w:t>
            </w:r>
            <w:proofErr w:type="spellStart"/>
            <w:r w:rsidRPr="62456E77">
              <w:rPr>
                <w:rFonts w:ascii="Times New Roman" w:hAnsi="Times New Roman" w:cs="Times New Roman"/>
                <w:i/>
                <w:iCs/>
                <w:sz w:val="20"/>
                <w:szCs w:val="20"/>
              </w:rPr>
              <w:t>0</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83D2" w14:textId="06182507" w:rsidR="00134EEA" w:rsidRPr="00134EEA" w:rsidRDefault="62456E77" w:rsidP="62456E77">
            <w:pPr>
              <w:keepNext/>
              <w:keepLines/>
              <w:spacing w:after="0" w:line="240" w:lineRule="auto"/>
              <w:jc w:val="right"/>
              <w:rPr>
                <w:rFonts w:ascii="Times New Roman" w:eastAsia="Times New Roman" w:hAnsi="Times New Roman" w:cs="Times New Roman"/>
                <w:i/>
                <w:iCs/>
                <w:sz w:val="20"/>
                <w:szCs w:val="20"/>
                <w:lang w:eastAsia="hu-HU"/>
              </w:rPr>
            </w:pPr>
            <w:r w:rsidRPr="62456E77">
              <w:rPr>
                <w:rFonts w:ascii="Times New Roman" w:hAnsi="Times New Roman" w:cs="Times New Roman"/>
                <w:i/>
                <w:iCs/>
                <w:sz w:val="20"/>
                <w:szCs w:val="20"/>
              </w:rPr>
              <w:t>100,0</w:t>
            </w:r>
          </w:p>
        </w:tc>
      </w:tr>
      <w:tr w:rsidR="00134EEA" w:rsidRPr="00377D59" w14:paraId="44EF96BF" w14:textId="77777777" w:rsidTr="62456E77">
        <w:trPr>
          <w:trHeight w:val="340"/>
        </w:trPr>
        <w:tc>
          <w:tcPr>
            <w:tcW w:w="5382" w:type="dxa"/>
            <w:shd w:val="clear" w:color="auto" w:fill="auto"/>
            <w:vAlign w:val="center"/>
            <w:hideMark/>
          </w:tcPr>
          <w:p w14:paraId="3DD87A70" w14:textId="766307B5" w:rsidR="00134EEA" w:rsidRPr="00976E1E" w:rsidRDefault="62456E77" w:rsidP="62456E77">
            <w:pPr>
              <w:keepNext/>
              <w:keepLines/>
              <w:spacing w:after="0" w:line="240" w:lineRule="auto"/>
              <w:rPr>
                <w:rFonts w:ascii="Times New Roman" w:eastAsia="Times New Roman" w:hAnsi="Times New Roman" w:cs="Times New Roman"/>
                <w:b/>
                <w:bCs/>
                <w:sz w:val="20"/>
                <w:szCs w:val="20"/>
                <w:lang w:eastAsia="hu-HU"/>
              </w:rPr>
            </w:pPr>
            <w:r w:rsidRPr="62456E77">
              <w:rPr>
                <w:rFonts w:ascii="Times New Roman" w:eastAsia="Times New Roman" w:hAnsi="Times New Roman" w:cs="Times New Roman"/>
                <w:b/>
                <w:bCs/>
                <w:sz w:val="20"/>
                <w:szCs w:val="20"/>
                <w:lang w:eastAsia="hu-HU"/>
              </w:rPr>
              <w:t>Helyi önkormányzatok kiegészítő támogatása</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34DDE983" w14:textId="33B23D62"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18,1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423BA" w14:textId="387E4C9B"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33,3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B67F0" w14:textId="202EEAAF"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15,2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F6C6E" w14:textId="40E6AA21"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184,0</w:t>
            </w:r>
          </w:p>
        </w:tc>
      </w:tr>
      <w:tr w:rsidR="00134EEA" w:rsidRPr="00377D59" w14:paraId="648C3F54" w14:textId="77777777" w:rsidTr="62456E77">
        <w:trPr>
          <w:trHeight w:val="340"/>
        </w:trPr>
        <w:tc>
          <w:tcPr>
            <w:tcW w:w="5382" w:type="dxa"/>
            <w:shd w:val="clear" w:color="auto" w:fill="auto"/>
            <w:vAlign w:val="center"/>
            <w:hideMark/>
          </w:tcPr>
          <w:p w14:paraId="3676EE9C" w14:textId="4925EF27" w:rsidR="00134EEA" w:rsidRPr="00976E1E" w:rsidRDefault="62456E77" w:rsidP="62456E77">
            <w:pPr>
              <w:keepNext/>
              <w:keepLines/>
              <w:spacing w:after="0" w:line="240" w:lineRule="auto"/>
              <w:rPr>
                <w:rFonts w:ascii="Times New Roman" w:eastAsia="Times New Roman" w:hAnsi="Times New Roman" w:cs="Times New Roman"/>
                <w:b/>
                <w:bCs/>
                <w:sz w:val="20"/>
                <w:szCs w:val="20"/>
                <w:lang w:eastAsia="hu-HU"/>
              </w:rPr>
            </w:pPr>
            <w:r w:rsidRPr="62456E77">
              <w:rPr>
                <w:rFonts w:ascii="Times New Roman" w:eastAsia="Times New Roman" w:hAnsi="Times New Roman" w:cs="Times New Roman"/>
                <w:b/>
                <w:bCs/>
                <w:sz w:val="20"/>
                <w:szCs w:val="20"/>
                <w:lang w:eastAsia="hu-HU"/>
              </w:rPr>
              <w:t>Év közben létrejött új jogcímek kiadásai</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0BACAC9E" w14:textId="2DA1B5D3"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66E9FC" w14:textId="52DB0909"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B586A" w14:textId="05C0D7F8"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BBBB0" w14:textId="2DD8DA3B"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22,6</w:t>
            </w:r>
          </w:p>
        </w:tc>
      </w:tr>
      <w:tr w:rsidR="00134EEA" w:rsidRPr="00377D59" w14:paraId="60064293" w14:textId="77777777" w:rsidTr="62456E77">
        <w:trPr>
          <w:trHeight w:val="340"/>
        </w:trPr>
        <w:tc>
          <w:tcPr>
            <w:tcW w:w="5382" w:type="dxa"/>
            <w:shd w:val="clear" w:color="auto" w:fill="auto"/>
            <w:noWrap/>
            <w:vAlign w:val="center"/>
            <w:hideMark/>
          </w:tcPr>
          <w:p w14:paraId="73666509" w14:textId="770E1DDA" w:rsidR="00134EEA" w:rsidRPr="00976E1E" w:rsidRDefault="62456E77" w:rsidP="62456E77">
            <w:pPr>
              <w:widowControl w:val="0"/>
              <w:spacing w:after="0" w:line="240" w:lineRule="auto"/>
              <w:rPr>
                <w:rFonts w:ascii="Times New Roman" w:eastAsia="Times New Roman" w:hAnsi="Times New Roman" w:cs="Times New Roman"/>
                <w:b/>
                <w:bCs/>
                <w:sz w:val="20"/>
                <w:szCs w:val="20"/>
                <w:lang w:eastAsia="hu-HU"/>
              </w:rPr>
            </w:pPr>
            <w:r w:rsidRPr="62456E77">
              <w:rPr>
                <w:rFonts w:ascii="Times New Roman" w:eastAsia="Times New Roman" w:hAnsi="Times New Roman" w:cs="Times New Roman"/>
                <w:b/>
                <w:bCs/>
                <w:sz w:val="20"/>
                <w:szCs w:val="20"/>
                <w:lang w:eastAsia="hu-HU"/>
              </w:rPr>
              <w:t>Összesen</w:t>
            </w:r>
          </w:p>
        </w:tc>
        <w:tc>
          <w:tcPr>
            <w:tcW w:w="1196" w:type="dxa"/>
            <w:tcBorders>
              <w:top w:val="single" w:sz="4" w:space="0" w:color="auto"/>
              <w:left w:val="nil"/>
              <w:bottom w:val="single" w:sz="4" w:space="0" w:color="auto"/>
              <w:right w:val="single" w:sz="4" w:space="0" w:color="auto"/>
            </w:tcBorders>
            <w:shd w:val="clear" w:color="auto" w:fill="auto"/>
            <w:noWrap/>
            <w:vAlign w:val="center"/>
          </w:tcPr>
          <w:p w14:paraId="3A3EFD36" w14:textId="67C18E1E"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332,5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4CCAC" w14:textId="560EEF65"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367,5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CA3FA" w14:textId="06BD909D"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35,0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B57DC" w14:textId="06F18AEB" w:rsidR="00134EEA" w:rsidRPr="00134EEA" w:rsidRDefault="62456E77" w:rsidP="62456E77">
            <w:pPr>
              <w:keepNext/>
              <w:keepLines/>
              <w:spacing w:after="0" w:line="240" w:lineRule="auto"/>
              <w:jc w:val="right"/>
              <w:rPr>
                <w:rFonts w:ascii="Times New Roman" w:eastAsia="Times New Roman" w:hAnsi="Times New Roman" w:cs="Times New Roman"/>
                <w:b/>
                <w:bCs/>
                <w:sz w:val="20"/>
                <w:szCs w:val="20"/>
                <w:lang w:eastAsia="hu-HU"/>
              </w:rPr>
            </w:pPr>
            <w:r w:rsidRPr="62456E77">
              <w:rPr>
                <w:rFonts w:ascii="Times New Roman" w:hAnsi="Times New Roman" w:cs="Times New Roman"/>
                <w:b/>
                <w:bCs/>
                <w:sz w:val="20"/>
                <w:szCs w:val="20"/>
              </w:rPr>
              <w:t>110,5</w:t>
            </w:r>
          </w:p>
        </w:tc>
      </w:tr>
    </w:tbl>
    <w:p w14:paraId="490DF11C" w14:textId="6BEDBE50" w:rsidR="74B9DF17" w:rsidRDefault="62456E77" w:rsidP="005349A5">
      <w:pPr>
        <w:spacing w:before="160"/>
        <w:jc w:val="both"/>
      </w:pPr>
      <w:r w:rsidRPr="62456E77">
        <w:rPr>
          <w:rFonts w:ascii="Times New Roman" w:eastAsia="Times New Roman" w:hAnsi="Times New Roman" w:cs="Times New Roman"/>
          <w:sz w:val="26"/>
          <w:szCs w:val="26"/>
        </w:rPr>
        <w:t xml:space="preserve">Az </w:t>
      </w:r>
      <w:r w:rsidRPr="62456E77">
        <w:rPr>
          <w:rFonts w:ascii="Times New Roman" w:eastAsia="Times New Roman" w:hAnsi="Times New Roman" w:cs="Times New Roman"/>
          <w:b/>
          <w:bCs/>
          <w:sz w:val="26"/>
          <w:szCs w:val="26"/>
        </w:rPr>
        <w:t>Uniós programok kiadásai</w:t>
      </w:r>
      <w:r w:rsidRPr="62456E77">
        <w:rPr>
          <w:rFonts w:ascii="Times New Roman" w:eastAsia="Times New Roman" w:hAnsi="Times New Roman" w:cs="Times New Roman"/>
          <w:i/>
          <w:iCs/>
          <w:sz w:val="26"/>
          <w:szCs w:val="26"/>
        </w:rPr>
        <w:t xml:space="preserve"> </w:t>
      </w:r>
      <w:r w:rsidRPr="62456E77">
        <w:rPr>
          <w:rFonts w:ascii="Times New Roman" w:eastAsia="Times New Roman" w:hAnsi="Times New Roman" w:cs="Times New Roman"/>
          <w:sz w:val="26"/>
          <w:szCs w:val="26"/>
        </w:rPr>
        <w:t>mérlegsoron 2025. március végéig 432,8 milliárd forint összegű kifizetés történt, amely a törvényi előirányzat (3</w:t>
      </w:r>
      <w:r w:rsidR="005349A5">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023,</w:t>
      </w:r>
      <w:r w:rsidR="005349A5">
        <w:rPr>
          <w:rFonts w:ascii="Times New Roman" w:eastAsia="Times New Roman" w:hAnsi="Times New Roman" w:cs="Times New Roman"/>
          <w:sz w:val="26"/>
          <w:szCs w:val="26"/>
        </w:rPr>
        <w:t>8</w:t>
      </w:r>
      <w:r w:rsidRPr="62456E77">
        <w:rPr>
          <w:rFonts w:ascii="Times New Roman" w:eastAsia="Times New Roman" w:hAnsi="Times New Roman" w:cs="Times New Roman"/>
          <w:sz w:val="26"/>
          <w:szCs w:val="26"/>
        </w:rPr>
        <w:t xml:space="preserve"> milliárd forint) 14,3%-os teljesítését jelenti. A felmerült kiadások több mint felét a 2021-2027-es Széchenyi Plusz programjai adták.</w:t>
      </w:r>
    </w:p>
    <w:p w14:paraId="6ABC464B" w14:textId="2892B587" w:rsidR="74B9DF17" w:rsidRDefault="62456E77" w:rsidP="005349A5">
      <w:pPr>
        <w:spacing w:before="160"/>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 legnagyobb összegű kifizetéseket ezen időszakban a Széchenyi Terv Plusz operatív programok közül a Terület- és Településfejlesztési OP (TOP Plusz) és a Környezeti és Energiahatékonysági OP (KEHOP Plusz) teljesítette. Kiemelkedők továbbá a Helyreállítási és </w:t>
      </w:r>
      <w:proofErr w:type="spellStart"/>
      <w:r w:rsidRPr="62456E77">
        <w:rPr>
          <w:rFonts w:ascii="Times New Roman" w:eastAsia="Times New Roman" w:hAnsi="Times New Roman" w:cs="Times New Roman"/>
          <w:sz w:val="26"/>
          <w:szCs w:val="26"/>
        </w:rPr>
        <w:t>Ellenállóképességi</w:t>
      </w:r>
      <w:proofErr w:type="spellEnd"/>
      <w:r w:rsidRPr="62456E77">
        <w:rPr>
          <w:rFonts w:ascii="Times New Roman" w:eastAsia="Times New Roman" w:hAnsi="Times New Roman" w:cs="Times New Roman"/>
          <w:sz w:val="26"/>
          <w:szCs w:val="26"/>
        </w:rPr>
        <w:t xml:space="preserve"> Eszköz (RRF) kiadásai, valamint a Vidékfejlesztési Program és a KAP Stratégiai Terv Vidékfejlesztési Intézkedéseinek kifizetése.</w:t>
      </w:r>
    </w:p>
    <w:p w14:paraId="0EE0B389" w14:textId="1A7088B4" w:rsidR="029C2633" w:rsidRPr="00026266" w:rsidRDefault="62456E77" w:rsidP="005349A5">
      <w:pPr>
        <w:keepLines/>
        <w:spacing w:before="160"/>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Az </w:t>
      </w:r>
      <w:r w:rsidRPr="62456E77">
        <w:rPr>
          <w:rFonts w:ascii="Times New Roman" w:eastAsia="Times New Roman" w:hAnsi="Times New Roman" w:cs="Times New Roman"/>
          <w:b/>
          <w:bCs/>
          <w:sz w:val="26"/>
          <w:szCs w:val="26"/>
        </w:rPr>
        <w:t>állami vagyonnal kapcsolatos kiadások</w:t>
      </w:r>
      <w:r w:rsidRPr="62456E77">
        <w:rPr>
          <w:rFonts w:ascii="Times New Roman" w:eastAsia="Times New Roman" w:hAnsi="Times New Roman" w:cs="Times New Roman"/>
          <w:sz w:val="26"/>
          <w:szCs w:val="26"/>
        </w:rPr>
        <w:t xml:space="preserve"> </w:t>
      </w:r>
      <w:r w:rsidR="0007336F" w:rsidRPr="0007336F">
        <w:rPr>
          <w:rFonts w:ascii="Times New Roman" w:eastAsia="Times New Roman" w:hAnsi="Times New Roman" w:cs="Times New Roman"/>
          <w:sz w:val="26"/>
          <w:szCs w:val="26"/>
        </w:rPr>
        <w:t>2025 első háromhavi összege 186,3 milliárd forint volt, amelynek meghatározó része ingatlanokhoz kapcsolódóan került kifizetésre</w:t>
      </w:r>
      <w:r w:rsidRPr="62456E77">
        <w:rPr>
          <w:rFonts w:ascii="Times New Roman" w:eastAsia="Times New Roman" w:hAnsi="Times New Roman" w:cs="Times New Roman"/>
          <w:sz w:val="26"/>
          <w:szCs w:val="26"/>
        </w:rPr>
        <w:t>.</w:t>
      </w:r>
    </w:p>
    <w:p w14:paraId="4D36018A" w14:textId="1E86274D" w:rsidR="000B49AE" w:rsidRPr="00377D59" w:rsidRDefault="0007336F" w:rsidP="000B49AE">
      <w:pPr>
        <w:spacing w:before="240" w:after="120" w:line="240" w:lineRule="auto"/>
        <w:jc w:val="center"/>
        <w:rPr>
          <w:rFonts w:ascii="Times New Roman" w:eastAsia="Times New Roman" w:hAnsi="Times New Roman" w:cs="Times New Roman"/>
          <w:b/>
          <w:bCs/>
          <w:sz w:val="26"/>
          <w:szCs w:val="26"/>
        </w:rPr>
      </w:pPr>
      <w:r>
        <w:rPr>
          <w:noProof/>
          <w:lang w:eastAsia="hu-HU"/>
        </w:rPr>
        <w:drawing>
          <wp:inline distT="0" distB="0" distL="0" distR="0" wp14:anchorId="1B9E8825" wp14:editId="1EB48C26">
            <wp:extent cx="5286615" cy="3353935"/>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13636" cy="3371078"/>
                    </a:xfrm>
                    <a:prstGeom prst="rect">
                      <a:avLst/>
                    </a:prstGeom>
                  </pic:spPr>
                </pic:pic>
              </a:graphicData>
            </a:graphic>
          </wp:inline>
        </w:drawing>
      </w:r>
    </w:p>
    <w:p w14:paraId="030326D3" w14:textId="18E9A448" w:rsidR="5B67C7D7" w:rsidRPr="00377D59" w:rsidRDefault="62456E77" w:rsidP="62456E77">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Az </w:t>
      </w:r>
      <w:r w:rsidRPr="62456E77">
        <w:rPr>
          <w:rFonts w:ascii="Times New Roman" w:eastAsia="Times New Roman" w:hAnsi="Times New Roman" w:cs="Times New Roman"/>
          <w:b/>
          <w:bCs/>
          <w:sz w:val="26"/>
          <w:szCs w:val="26"/>
        </w:rPr>
        <w:t xml:space="preserve">állami beruházási fejezet kiadásait </w:t>
      </w:r>
      <w:r w:rsidRPr="62456E77">
        <w:rPr>
          <w:rFonts w:ascii="Times New Roman" w:eastAsia="Times New Roman" w:hAnsi="Times New Roman" w:cs="Times New Roman"/>
          <w:sz w:val="26"/>
          <w:szCs w:val="26"/>
        </w:rPr>
        <w:t>alapvetően az egyes projektek előrehaladása határozza meg. 2025 első három hónapjában 43,8 milliárd</w:t>
      </w:r>
      <w:r w:rsidR="00637F9C">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forint kiadás teljesült, amely alacsonyabb a 2024 azonos időszakában teljesültekhez képest. A kifizetések nagy része az állami közútfejlesztési beruházásokhoz (14,9 milliárd</w:t>
      </w:r>
      <w:r w:rsidR="00637F9C">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forint) és az európai uniós forrásokból megvalósuló beruházásokhoz (23,8 milliárd forint) kapcsolódtak</w:t>
      </w:r>
      <w:r w:rsidRPr="62456E77">
        <w:rPr>
          <w:rFonts w:ascii="Times New Roman" w:eastAsia="Times New Roman" w:hAnsi="Times New Roman" w:cs="Times New Roman"/>
          <w:sz w:val="24"/>
          <w:szCs w:val="24"/>
        </w:rPr>
        <w:t>.</w:t>
      </w:r>
    </w:p>
    <w:p w14:paraId="598CEA5E" w14:textId="14E32706" w:rsidR="00C224F5" w:rsidRDefault="62456E77" w:rsidP="62456E77">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Az </w:t>
      </w:r>
      <w:r w:rsidRPr="62456E77">
        <w:rPr>
          <w:rFonts w:ascii="Times New Roman" w:eastAsia="Times New Roman" w:hAnsi="Times New Roman" w:cs="Times New Roman"/>
          <w:b/>
          <w:bCs/>
          <w:sz w:val="26"/>
          <w:szCs w:val="26"/>
        </w:rPr>
        <w:t>egyéb kiadások</w:t>
      </w:r>
      <w:r w:rsidRPr="62456E77">
        <w:rPr>
          <w:rFonts w:ascii="Times New Roman" w:eastAsia="Times New Roman" w:hAnsi="Times New Roman" w:cs="Times New Roman"/>
          <w:sz w:val="26"/>
          <w:szCs w:val="26"/>
        </w:rPr>
        <w:t xml:space="preserve"> 2025. évi első </w:t>
      </w:r>
      <w:r w:rsidR="002D56EC">
        <w:rPr>
          <w:rFonts w:ascii="Times New Roman" w:eastAsia="Times New Roman" w:hAnsi="Times New Roman" w:cs="Times New Roman"/>
          <w:sz w:val="26"/>
          <w:szCs w:val="26"/>
        </w:rPr>
        <w:t>háromhavi</w:t>
      </w:r>
      <w:r w:rsidRPr="62456E77">
        <w:rPr>
          <w:rFonts w:ascii="Times New Roman" w:eastAsia="Times New Roman" w:hAnsi="Times New Roman" w:cs="Times New Roman"/>
          <w:sz w:val="26"/>
          <w:szCs w:val="26"/>
        </w:rPr>
        <w:t xml:space="preserve"> teljesítése </w:t>
      </w:r>
      <w:r w:rsidR="002D56EC">
        <w:rPr>
          <w:rFonts w:ascii="Times New Roman" w:eastAsia="Times New Roman" w:hAnsi="Times New Roman" w:cs="Times New Roman"/>
          <w:sz w:val="26"/>
          <w:szCs w:val="26"/>
        </w:rPr>
        <w:t>132,2</w:t>
      </w:r>
      <w:r w:rsidRPr="62456E77">
        <w:rPr>
          <w:rFonts w:ascii="Times New Roman" w:eastAsia="Times New Roman" w:hAnsi="Times New Roman" w:cs="Times New Roman"/>
          <w:sz w:val="26"/>
          <w:szCs w:val="26"/>
        </w:rPr>
        <w:t xml:space="preserve"> milliárd forint lett, ami </w:t>
      </w:r>
      <w:r w:rsidR="002D56EC">
        <w:rPr>
          <w:rFonts w:ascii="Times New Roman" w:eastAsia="Times New Roman" w:hAnsi="Times New Roman" w:cs="Times New Roman"/>
          <w:sz w:val="26"/>
          <w:szCs w:val="26"/>
        </w:rPr>
        <w:t>14,9</w:t>
      </w:r>
      <w:r w:rsidRPr="62456E77">
        <w:rPr>
          <w:rFonts w:ascii="Times New Roman" w:eastAsia="Times New Roman" w:hAnsi="Times New Roman" w:cs="Times New Roman"/>
          <w:sz w:val="26"/>
          <w:szCs w:val="26"/>
        </w:rPr>
        <w:t xml:space="preserve"> milliárd forinttal alacsonyabban alakult az előző év azonos időszakához képest. </w:t>
      </w:r>
    </w:p>
    <w:p w14:paraId="15F013A7" w14:textId="693A56D5" w:rsidR="74B9DF17" w:rsidRDefault="62456E77" w:rsidP="62456E77">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 </w:t>
      </w:r>
      <w:r w:rsidRPr="62456E77">
        <w:rPr>
          <w:rFonts w:ascii="Times New Roman" w:eastAsia="Times New Roman" w:hAnsi="Times New Roman" w:cs="Times New Roman"/>
          <w:b/>
          <w:bCs/>
          <w:sz w:val="26"/>
          <w:szCs w:val="26"/>
        </w:rPr>
        <w:t>Hozzájárulás az EU költségvetéséhez</w:t>
      </w:r>
      <w:r w:rsidRPr="62456E77">
        <w:rPr>
          <w:rFonts w:ascii="Times New Roman" w:eastAsia="Times New Roman" w:hAnsi="Times New Roman" w:cs="Times New Roman"/>
          <w:sz w:val="26"/>
          <w:szCs w:val="26"/>
        </w:rPr>
        <w:t xml:space="preserve"> mérlegs</w:t>
      </w:r>
      <w:r w:rsidR="00C770F2">
        <w:rPr>
          <w:rFonts w:ascii="Times New Roman" w:eastAsia="Times New Roman" w:hAnsi="Times New Roman" w:cs="Times New Roman"/>
          <w:sz w:val="26"/>
          <w:szCs w:val="26"/>
        </w:rPr>
        <w:t>oron 2025. március végéig 196,0 </w:t>
      </w:r>
      <w:r w:rsidRPr="62456E77">
        <w:rPr>
          <w:rFonts w:ascii="Times New Roman" w:eastAsia="Times New Roman" w:hAnsi="Times New Roman" w:cs="Times New Roman"/>
          <w:sz w:val="26"/>
          <w:szCs w:val="26"/>
        </w:rPr>
        <w:t>milliárd forint kiadás teljesült, ami a törvényi előirányzat 28,1%-a. E hozzájárulás 40,6</w:t>
      </w:r>
      <w:r w:rsidR="00C770F2">
        <w:rPr>
          <w:rFonts w:ascii="Times New Roman" w:eastAsia="Times New Roman" w:hAnsi="Times New Roman" w:cs="Times New Roman"/>
          <w:sz w:val="26"/>
          <w:szCs w:val="26"/>
        </w:rPr>
        <w:t> </w:t>
      </w:r>
      <w:r w:rsidRPr="62456E77">
        <w:rPr>
          <w:rFonts w:ascii="Times New Roman" w:eastAsia="Times New Roman" w:hAnsi="Times New Roman" w:cs="Times New Roman"/>
          <w:sz w:val="26"/>
          <w:szCs w:val="26"/>
        </w:rPr>
        <w:t>milliárd forinttal haladja meg a 2024. év azonos időszakában teljesített kiadásokat.</w:t>
      </w:r>
    </w:p>
    <w:p w14:paraId="0F5A0F03" w14:textId="7A797726" w:rsidR="6462B5A6" w:rsidRPr="00920F4D" w:rsidRDefault="62456E77" w:rsidP="62456E77">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 </w:t>
      </w:r>
      <w:r w:rsidRPr="62456E77">
        <w:rPr>
          <w:rFonts w:ascii="Times New Roman" w:eastAsia="Times New Roman" w:hAnsi="Times New Roman" w:cs="Times New Roman"/>
          <w:b/>
          <w:bCs/>
          <w:sz w:val="26"/>
          <w:szCs w:val="26"/>
        </w:rPr>
        <w:t>Nemzeti Kutatási, Fejlesztési és Innovációs Alapból</w:t>
      </w:r>
      <w:r w:rsidRPr="62456E77">
        <w:rPr>
          <w:rFonts w:ascii="Times New Roman" w:eastAsia="Times New Roman" w:hAnsi="Times New Roman" w:cs="Times New Roman"/>
          <w:sz w:val="26"/>
          <w:szCs w:val="26"/>
        </w:rPr>
        <w:t xml:space="preserve"> (NKFI Alap) 2025. március végéig 31,4 milliárd forint kiadás teljesült, ami 11,4 milliárd forinttal magasabb kifizetést jelent a 2024. évi azonos időszak teljesítéséhez képest. </w:t>
      </w:r>
    </w:p>
    <w:p w14:paraId="17605E21" w14:textId="6639A552" w:rsidR="6462B5A6" w:rsidRPr="00920F4D" w:rsidRDefault="62456E77" w:rsidP="62456E77">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 </w:t>
      </w:r>
      <w:r w:rsidRPr="62456E77">
        <w:rPr>
          <w:rFonts w:ascii="Times New Roman" w:eastAsia="Times New Roman" w:hAnsi="Times New Roman" w:cs="Times New Roman"/>
          <w:b/>
          <w:bCs/>
          <w:sz w:val="26"/>
          <w:szCs w:val="26"/>
        </w:rPr>
        <w:t>Nemzeti Foglalkoztatási Alap</w:t>
      </w:r>
      <w:r w:rsidRPr="62456E77">
        <w:rPr>
          <w:rFonts w:ascii="Times New Roman" w:eastAsia="Times New Roman" w:hAnsi="Times New Roman" w:cs="Times New Roman"/>
          <w:sz w:val="26"/>
          <w:szCs w:val="26"/>
        </w:rPr>
        <w:t xml:space="preserve"> (NFA) kiadásai esetében a Start-munkaprogramra összesen 40,1 milliárd forint teljesült. Az uniós elő- és társfinanszírozásra 12,1 milliárd forintot fordítottak.</w:t>
      </w:r>
    </w:p>
    <w:p w14:paraId="76B18BB1" w14:textId="1177278B" w:rsidR="123EFD2F" w:rsidRDefault="62456E77" w:rsidP="62456E77">
      <w:pPr>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A</w:t>
      </w:r>
      <w:r w:rsidRPr="62456E77">
        <w:rPr>
          <w:rFonts w:ascii="Times New Roman" w:eastAsia="Times New Roman" w:hAnsi="Times New Roman" w:cs="Times New Roman"/>
          <w:b/>
          <w:bCs/>
          <w:sz w:val="26"/>
          <w:szCs w:val="26"/>
        </w:rPr>
        <w:t xml:space="preserve"> Bethlen Gábor Alapból</w:t>
      </w:r>
      <w:r w:rsidRPr="62456E77">
        <w:rPr>
          <w:rFonts w:ascii="Times New Roman" w:eastAsia="Times New Roman" w:hAnsi="Times New Roman" w:cs="Times New Roman"/>
          <w:sz w:val="26"/>
          <w:szCs w:val="26"/>
        </w:rPr>
        <w:t xml:space="preserve"> (BGA) az év első </w:t>
      </w:r>
      <w:r w:rsidR="00C1143E">
        <w:rPr>
          <w:rFonts w:ascii="Times New Roman" w:eastAsia="Times New Roman" w:hAnsi="Times New Roman" w:cs="Times New Roman"/>
          <w:sz w:val="26"/>
          <w:szCs w:val="26"/>
        </w:rPr>
        <w:t>három hónapjában összesen 20,1</w:t>
      </w:r>
      <w:r w:rsidRPr="62456E77">
        <w:rPr>
          <w:rFonts w:ascii="Times New Roman" w:eastAsia="Times New Roman" w:hAnsi="Times New Roman" w:cs="Times New Roman"/>
          <w:sz w:val="26"/>
          <w:szCs w:val="26"/>
        </w:rPr>
        <w:t> milliárd forint kiadás teljesült. Az alapból nyújtott támogatások a BGA irányítását ellátó Bizottság döntései alapján, ütemezetten kerültek kifizetésre.</w:t>
      </w:r>
    </w:p>
    <w:p w14:paraId="51683CC2" w14:textId="4BBCFE40" w:rsidR="00043E49" w:rsidRPr="00043E49" w:rsidRDefault="00043E49" w:rsidP="00043E49">
      <w:pPr>
        <w:jc w:val="both"/>
        <w:rPr>
          <w:rFonts w:ascii="Times New Roman" w:eastAsia="Times New Roman" w:hAnsi="Times New Roman" w:cs="Times New Roman"/>
          <w:sz w:val="26"/>
          <w:szCs w:val="26"/>
        </w:rPr>
      </w:pPr>
      <w:r w:rsidRPr="00043E49">
        <w:rPr>
          <w:rFonts w:ascii="Times New Roman" w:eastAsia="Times New Roman" w:hAnsi="Times New Roman" w:cs="Times New Roman"/>
          <w:sz w:val="26"/>
          <w:szCs w:val="26"/>
        </w:rPr>
        <w:t xml:space="preserve">A </w:t>
      </w:r>
      <w:r w:rsidRPr="00043E49">
        <w:rPr>
          <w:rFonts w:ascii="Times New Roman" w:eastAsia="Times New Roman" w:hAnsi="Times New Roman" w:cs="Times New Roman"/>
          <w:b/>
          <w:sz w:val="26"/>
          <w:szCs w:val="26"/>
        </w:rPr>
        <w:t>Nyugdíjbiztosítási Alap</w:t>
      </w:r>
      <w:r w:rsidRPr="00043E49">
        <w:rPr>
          <w:rFonts w:ascii="Times New Roman" w:eastAsia="Times New Roman" w:hAnsi="Times New Roman" w:cs="Times New Roman"/>
          <w:sz w:val="26"/>
          <w:szCs w:val="26"/>
        </w:rPr>
        <w:t xml:space="preserve"> nyugellátási kiadásai március végéig 1</w:t>
      </w:r>
      <w:r w:rsidR="00C1143E">
        <w:rPr>
          <w:rFonts w:ascii="Times New Roman" w:eastAsia="Times New Roman" w:hAnsi="Times New Roman" w:cs="Times New Roman"/>
          <w:sz w:val="26"/>
          <w:szCs w:val="26"/>
        </w:rPr>
        <w:t> </w:t>
      </w:r>
      <w:r w:rsidRPr="00043E49">
        <w:rPr>
          <w:rFonts w:ascii="Times New Roman" w:eastAsia="Times New Roman" w:hAnsi="Times New Roman" w:cs="Times New Roman"/>
          <w:sz w:val="26"/>
          <w:szCs w:val="26"/>
        </w:rPr>
        <w:t>990,4</w:t>
      </w:r>
      <w:r w:rsidR="007A6AE5">
        <w:rPr>
          <w:rFonts w:ascii="Times New Roman" w:eastAsia="Times New Roman" w:hAnsi="Times New Roman" w:cs="Times New Roman"/>
          <w:sz w:val="26"/>
          <w:szCs w:val="26"/>
        </w:rPr>
        <w:t> </w:t>
      </w:r>
      <w:r w:rsidRPr="00043E49">
        <w:rPr>
          <w:rFonts w:ascii="Times New Roman" w:eastAsia="Times New Roman" w:hAnsi="Times New Roman" w:cs="Times New Roman"/>
          <w:sz w:val="26"/>
          <w:szCs w:val="26"/>
        </w:rPr>
        <w:t>milliárd forintban teljesültek, ami 94,7</w:t>
      </w:r>
      <w:r w:rsidR="007A6AE5">
        <w:rPr>
          <w:rFonts w:ascii="Times New Roman" w:eastAsia="Times New Roman" w:hAnsi="Times New Roman" w:cs="Times New Roman"/>
          <w:sz w:val="26"/>
          <w:szCs w:val="26"/>
        </w:rPr>
        <w:t> </w:t>
      </w:r>
      <w:r w:rsidRPr="00043E49">
        <w:rPr>
          <w:rFonts w:ascii="Times New Roman" w:eastAsia="Times New Roman" w:hAnsi="Times New Roman" w:cs="Times New Roman"/>
          <w:sz w:val="26"/>
          <w:szCs w:val="26"/>
        </w:rPr>
        <w:t>milliárd forinttal haladta meg az előző év azonos időszakának teljesítési adatait. Az 5%-os kiadásnövekedést a tárgyév január hónapban végrehajtott inflációkövető nyugdíjemelés hatása, valamint az eltelt időszakban bekövetkezett létszámváltozás és cserélődés együttes hatása eredményezte.</w:t>
      </w:r>
    </w:p>
    <w:p w14:paraId="26EFB518" w14:textId="6A13E75E" w:rsidR="00043E49" w:rsidRPr="00043E49" w:rsidRDefault="00043E49" w:rsidP="00043E49">
      <w:pPr>
        <w:jc w:val="both"/>
        <w:rPr>
          <w:rFonts w:ascii="Times New Roman" w:eastAsia="Times New Roman" w:hAnsi="Times New Roman" w:cs="Times New Roman"/>
          <w:sz w:val="26"/>
          <w:szCs w:val="26"/>
        </w:rPr>
      </w:pPr>
      <w:r w:rsidRPr="00043E49">
        <w:rPr>
          <w:rFonts w:ascii="Times New Roman" w:eastAsia="Times New Roman" w:hAnsi="Times New Roman" w:cs="Times New Roman"/>
          <w:sz w:val="26"/>
          <w:szCs w:val="26"/>
        </w:rPr>
        <w:t xml:space="preserve">Február hónapban több, mint 2 millió </w:t>
      </w:r>
      <w:r w:rsidRPr="003016AA">
        <w:rPr>
          <w:rFonts w:ascii="Times New Roman" w:eastAsia="Times New Roman" w:hAnsi="Times New Roman" w:cs="Times New Roman"/>
          <w:sz w:val="26"/>
          <w:szCs w:val="26"/>
        </w:rPr>
        <w:t>öregségi nyugdíjban és hozzátartozói nyugellátásban részesülő személy részére folyósítottak 13. havi nyugdíjat. A 13. havi nyugdíj Nyugdíjbiztosítási Alapot terhelő kiadása március végéig 493,3</w:t>
      </w:r>
      <w:r w:rsidR="007A6AE5" w:rsidRPr="003016AA">
        <w:rPr>
          <w:rFonts w:ascii="Times New Roman" w:eastAsia="Times New Roman" w:hAnsi="Times New Roman" w:cs="Times New Roman"/>
          <w:sz w:val="26"/>
          <w:szCs w:val="26"/>
        </w:rPr>
        <w:t> </w:t>
      </w:r>
      <w:r w:rsidRPr="003016AA">
        <w:rPr>
          <w:rFonts w:ascii="Times New Roman" w:eastAsia="Times New Roman" w:hAnsi="Times New Roman" w:cs="Times New Roman"/>
          <w:sz w:val="26"/>
          <w:szCs w:val="26"/>
        </w:rPr>
        <w:t>milliárd forint volt, ami 23,1</w:t>
      </w:r>
      <w:r w:rsidR="007A6AE5" w:rsidRPr="003016AA">
        <w:rPr>
          <w:rFonts w:ascii="Times New Roman" w:eastAsia="Times New Roman" w:hAnsi="Times New Roman" w:cs="Times New Roman"/>
          <w:sz w:val="26"/>
          <w:szCs w:val="26"/>
        </w:rPr>
        <w:t> </w:t>
      </w:r>
      <w:r w:rsidRPr="003016AA">
        <w:rPr>
          <w:rFonts w:ascii="Times New Roman" w:eastAsia="Times New Roman" w:hAnsi="Times New Roman" w:cs="Times New Roman"/>
          <w:sz w:val="26"/>
          <w:szCs w:val="26"/>
        </w:rPr>
        <w:t>milliárd forinttal haladta meg az előző év azonos időszakában ezen a jogcímen teljesített kiadások összegét.</w:t>
      </w:r>
    </w:p>
    <w:p w14:paraId="168226B1" w14:textId="76BB482C" w:rsidR="00D72777" w:rsidRDefault="00043E49" w:rsidP="00043E49">
      <w:pPr>
        <w:jc w:val="both"/>
        <w:rPr>
          <w:rFonts w:ascii="Times New Roman" w:eastAsia="Times New Roman" w:hAnsi="Times New Roman" w:cs="Times New Roman"/>
          <w:sz w:val="26"/>
          <w:szCs w:val="26"/>
        </w:rPr>
      </w:pPr>
      <w:r w:rsidRPr="00043E49">
        <w:rPr>
          <w:rFonts w:ascii="Times New Roman" w:eastAsia="Times New Roman" w:hAnsi="Times New Roman" w:cs="Times New Roman"/>
          <w:sz w:val="26"/>
          <w:szCs w:val="26"/>
        </w:rPr>
        <w:t>Az első három hónap adatai alapján a nyugellátási kiadásokon belül a korbetöltött öregségi nyugellátások 5,5%-kal, a nők 40 év jogosultsági idővel igénybe vehető öregségi nyugdíja („nők 40”) pedig 2,8%-kal haladta meg az előző év azonos időszakának kiadásait.</w:t>
      </w:r>
    </w:p>
    <w:p w14:paraId="0F073B32" w14:textId="5B5C8D82" w:rsidR="00C35E13" w:rsidRDefault="002F0E70" w:rsidP="00C35E13">
      <w:pPr>
        <w:pStyle w:val="NormlWeb"/>
        <w:jc w:val="center"/>
      </w:pPr>
      <w:r>
        <w:rPr>
          <w:noProof/>
        </w:rPr>
        <w:drawing>
          <wp:inline distT="0" distB="0" distL="0" distR="0" wp14:anchorId="08AD969C" wp14:editId="606E09A4">
            <wp:extent cx="5940425" cy="2313940"/>
            <wp:effectExtent l="0" t="0" r="3175" b="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0425" cy="2313940"/>
                    </a:xfrm>
                    <a:prstGeom prst="rect">
                      <a:avLst/>
                    </a:prstGeom>
                  </pic:spPr>
                </pic:pic>
              </a:graphicData>
            </a:graphic>
          </wp:inline>
        </w:drawing>
      </w:r>
    </w:p>
    <w:p w14:paraId="1E774D45" w14:textId="7F62836D" w:rsidR="00884EDC" w:rsidRPr="00884EDC" w:rsidRDefault="00884EDC" w:rsidP="00884EDC">
      <w:pPr>
        <w:jc w:val="both"/>
        <w:rPr>
          <w:rFonts w:ascii="Times New Roman" w:eastAsia="Times New Roman" w:hAnsi="Times New Roman" w:cs="Times New Roman"/>
          <w:sz w:val="26"/>
          <w:szCs w:val="26"/>
        </w:rPr>
      </w:pPr>
      <w:r w:rsidRPr="00884EDC">
        <w:rPr>
          <w:rFonts w:ascii="Times New Roman" w:eastAsia="Times New Roman" w:hAnsi="Times New Roman" w:cs="Times New Roman"/>
          <w:sz w:val="26"/>
          <w:szCs w:val="26"/>
        </w:rPr>
        <w:t>Az öregségi nyugdíjban részesülők 2025.</w:t>
      </w:r>
      <w:r w:rsidR="00C16149">
        <w:rPr>
          <w:rFonts w:ascii="Times New Roman" w:eastAsia="Times New Roman" w:hAnsi="Times New Roman" w:cs="Times New Roman"/>
          <w:sz w:val="26"/>
          <w:szCs w:val="26"/>
        </w:rPr>
        <w:t> </w:t>
      </w:r>
      <w:r w:rsidRPr="00884EDC">
        <w:rPr>
          <w:rFonts w:ascii="Times New Roman" w:eastAsia="Times New Roman" w:hAnsi="Times New Roman" w:cs="Times New Roman"/>
          <w:sz w:val="26"/>
          <w:szCs w:val="26"/>
        </w:rPr>
        <w:t xml:space="preserve">március havi </w:t>
      </w:r>
      <w:r w:rsidRPr="00E13207">
        <w:rPr>
          <w:rFonts w:ascii="Times New Roman" w:eastAsia="Times New Roman" w:hAnsi="Times New Roman" w:cs="Times New Roman"/>
          <w:b/>
          <w:sz w:val="26"/>
          <w:szCs w:val="26"/>
        </w:rPr>
        <w:t>átlagos statisztikai állományi létszáma</w:t>
      </w:r>
      <w:r w:rsidRPr="00884EDC">
        <w:rPr>
          <w:rFonts w:ascii="Times New Roman" w:eastAsia="Times New Roman" w:hAnsi="Times New Roman" w:cs="Times New Roman"/>
          <w:sz w:val="26"/>
          <w:szCs w:val="26"/>
        </w:rPr>
        <w:t xml:space="preserve"> kis mértékben növekedett, 2</w:t>
      </w:r>
      <w:r w:rsidR="00BD63FF">
        <w:rPr>
          <w:rFonts w:ascii="Times New Roman" w:eastAsia="Times New Roman" w:hAnsi="Times New Roman" w:cs="Times New Roman"/>
          <w:sz w:val="26"/>
          <w:szCs w:val="26"/>
        </w:rPr>
        <w:t> </w:t>
      </w:r>
      <w:r w:rsidRPr="00884EDC">
        <w:rPr>
          <w:rFonts w:ascii="Times New Roman" w:eastAsia="Times New Roman" w:hAnsi="Times New Roman" w:cs="Times New Roman"/>
          <w:sz w:val="26"/>
          <w:szCs w:val="26"/>
        </w:rPr>
        <w:t>263 fővel haladta meg az előző év azonos időszakának létszámát, ez közel 2</w:t>
      </w:r>
      <w:r w:rsidR="00315E40">
        <w:rPr>
          <w:rFonts w:ascii="Times New Roman" w:eastAsia="Times New Roman" w:hAnsi="Times New Roman" w:cs="Times New Roman"/>
          <w:sz w:val="26"/>
          <w:szCs w:val="26"/>
        </w:rPr>
        <w:t> </w:t>
      </w:r>
      <w:r w:rsidRPr="00884EDC">
        <w:rPr>
          <w:rFonts w:ascii="Times New Roman" w:eastAsia="Times New Roman" w:hAnsi="Times New Roman" w:cs="Times New Roman"/>
          <w:sz w:val="26"/>
          <w:szCs w:val="26"/>
        </w:rPr>
        <w:t>millió főt jelent. Az öregségi nyugdíjban részesülők létszámán belül a nők kedvezményes nyugdíjában részesülők (korhatár alattiak) létszáma a korhatárbetöltés, az újonnan belépők és az elhalálozás együttes hatásaként 4</w:t>
      </w:r>
      <w:r w:rsidR="00C16149">
        <w:rPr>
          <w:rFonts w:ascii="Times New Roman" w:eastAsia="Times New Roman" w:hAnsi="Times New Roman" w:cs="Times New Roman"/>
          <w:sz w:val="26"/>
          <w:szCs w:val="26"/>
        </w:rPr>
        <w:t> </w:t>
      </w:r>
      <w:r w:rsidRPr="00884EDC">
        <w:rPr>
          <w:rFonts w:ascii="Times New Roman" w:eastAsia="Times New Roman" w:hAnsi="Times New Roman" w:cs="Times New Roman"/>
          <w:sz w:val="26"/>
          <w:szCs w:val="26"/>
        </w:rPr>
        <w:t>779 fővel csökkent a 2024. márciusi adathoz képest, jelenleg 141</w:t>
      </w:r>
      <w:r w:rsidR="00315E40">
        <w:rPr>
          <w:rFonts w:ascii="Times New Roman" w:eastAsia="Times New Roman" w:hAnsi="Times New Roman" w:cs="Times New Roman"/>
          <w:sz w:val="26"/>
          <w:szCs w:val="26"/>
        </w:rPr>
        <w:t> </w:t>
      </w:r>
      <w:r w:rsidRPr="00884EDC">
        <w:rPr>
          <w:rFonts w:ascii="Times New Roman" w:eastAsia="Times New Roman" w:hAnsi="Times New Roman" w:cs="Times New Roman"/>
          <w:sz w:val="26"/>
          <w:szCs w:val="26"/>
        </w:rPr>
        <w:t>764 fő veszi igénybe a „nők 40” kedvezményes ellátást.</w:t>
      </w:r>
    </w:p>
    <w:p w14:paraId="61DC0A5C" w14:textId="7652D19B" w:rsidR="00884EDC" w:rsidRPr="00884EDC" w:rsidRDefault="00884EDC" w:rsidP="00884EDC">
      <w:pPr>
        <w:jc w:val="both"/>
        <w:rPr>
          <w:rFonts w:ascii="Times New Roman" w:eastAsia="Times New Roman" w:hAnsi="Times New Roman" w:cs="Times New Roman"/>
          <w:sz w:val="26"/>
          <w:szCs w:val="26"/>
        </w:rPr>
      </w:pPr>
      <w:r w:rsidRPr="00884EDC">
        <w:rPr>
          <w:rFonts w:ascii="Times New Roman" w:eastAsia="Times New Roman" w:hAnsi="Times New Roman" w:cs="Times New Roman"/>
          <w:sz w:val="26"/>
          <w:szCs w:val="26"/>
        </w:rPr>
        <w:t>Az öregségi nyugdíjak átlagos havi összege egy év alatt 11</w:t>
      </w:r>
      <w:r w:rsidR="00315E40">
        <w:rPr>
          <w:rFonts w:ascii="Times New Roman" w:eastAsia="Times New Roman" w:hAnsi="Times New Roman" w:cs="Times New Roman"/>
          <w:sz w:val="26"/>
          <w:szCs w:val="26"/>
        </w:rPr>
        <w:t> </w:t>
      </w:r>
      <w:r w:rsidRPr="00884EDC">
        <w:rPr>
          <w:rFonts w:ascii="Times New Roman" w:eastAsia="Times New Roman" w:hAnsi="Times New Roman" w:cs="Times New Roman"/>
          <w:sz w:val="26"/>
          <w:szCs w:val="26"/>
        </w:rPr>
        <w:t>558 forinttal emelkedett, idén 2025. márciusban 243</w:t>
      </w:r>
      <w:r w:rsidR="00893728">
        <w:rPr>
          <w:rFonts w:ascii="Times New Roman" w:eastAsia="Times New Roman" w:hAnsi="Times New Roman" w:cs="Times New Roman"/>
          <w:sz w:val="26"/>
          <w:szCs w:val="26"/>
        </w:rPr>
        <w:t> </w:t>
      </w:r>
      <w:r w:rsidRPr="00884EDC">
        <w:rPr>
          <w:rFonts w:ascii="Times New Roman" w:eastAsia="Times New Roman" w:hAnsi="Times New Roman" w:cs="Times New Roman"/>
          <w:sz w:val="26"/>
          <w:szCs w:val="26"/>
        </w:rPr>
        <w:t>053 forint volt.</w:t>
      </w:r>
    </w:p>
    <w:p w14:paraId="33821262" w14:textId="51865166" w:rsidR="000E690A" w:rsidRDefault="00884EDC" w:rsidP="00884EDC">
      <w:pPr>
        <w:jc w:val="both"/>
        <w:rPr>
          <w:rFonts w:ascii="Times New Roman" w:eastAsia="Times New Roman" w:hAnsi="Times New Roman" w:cs="Times New Roman"/>
          <w:sz w:val="26"/>
          <w:szCs w:val="26"/>
        </w:rPr>
      </w:pPr>
      <w:r w:rsidRPr="00884EDC">
        <w:rPr>
          <w:rFonts w:ascii="Times New Roman" w:eastAsia="Times New Roman" w:hAnsi="Times New Roman" w:cs="Times New Roman"/>
          <w:sz w:val="26"/>
          <w:szCs w:val="26"/>
        </w:rPr>
        <w:t>Az ellátások egy főre jutó havi átlagos összege az egyes ellátotti jogcímeken belül az előző év azonos időszakával összehasonlítva az alábbiak szerint növekedett</w:t>
      </w:r>
      <w:r w:rsidR="62456E77" w:rsidRPr="62456E77">
        <w:rPr>
          <w:rFonts w:ascii="Times New Roman" w:eastAsia="Times New Roman" w:hAnsi="Times New Roman" w:cs="Times New Roman"/>
          <w:sz w:val="26"/>
          <w:szCs w:val="26"/>
        </w:rPr>
        <w:t>.</w:t>
      </w:r>
    </w:p>
    <w:p w14:paraId="503DFEB7" w14:textId="175D9B3C" w:rsidR="00EF1F5B" w:rsidRDefault="00E83D72" w:rsidP="00EF1F5B">
      <w:pPr>
        <w:pStyle w:val="NormlWeb"/>
        <w:jc w:val="center"/>
      </w:pPr>
      <w:r w:rsidRPr="00E83D72">
        <w:rPr>
          <w:noProof/>
        </w:rPr>
        <w:drawing>
          <wp:inline distT="0" distB="0" distL="0" distR="0" wp14:anchorId="7D19042A" wp14:editId="45A8E779">
            <wp:extent cx="5583364" cy="3919993"/>
            <wp:effectExtent l="0" t="0" r="0" b="4445"/>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21874" cy="3947030"/>
                    </a:xfrm>
                    <a:prstGeom prst="rect">
                      <a:avLst/>
                    </a:prstGeom>
                  </pic:spPr>
                </pic:pic>
              </a:graphicData>
            </a:graphic>
          </wp:inline>
        </w:drawing>
      </w:r>
    </w:p>
    <w:p w14:paraId="3779DB9C" w14:textId="522A5F6A" w:rsidR="0022104D" w:rsidRDefault="62456E77" w:rsidP="593AC637">
      <w:pPr>
        <w:jc w:val="both"/>
      </w:pPr>
      <w:r w:rsidRPr="62456E77">
        <w:rPr>
          <w:rFonts w:ascii="Times New Roman" w:eastAsia="Times New Roman" w:hAnsi="Times New Roman" w:cs="Times New Roman"/>
          <w:sz w:val="26"/>
          <w:szCs w:val="26"/>
        </w:rPr>
        <w:t xml:space="preserve">Az öregségi nyugdíjban, hozzátartozói nyugellátásban részesülők jogcím szerinti megoszlásának összehasonlítását a korábbi adatokkal az alábbi ábrák mutatják. </w:t>
      </w:r>
    </w:p>
    <w:p w14:paraId="6E229341" w14:textId="43321E6D" w:rsidR="00EF1F5B" w:rsidRDefault="00AA038F" w:rsidP="00EF1F5B">
      <w:pPr>
        <w:pStyle w:val="NormlWeb"/>
        <w:jc w:val="center"/>
      </w:pPr>
      <w:r>
        <w:rPr>
          <w:noProof/>
        </w:rPr>
        <w:drawing>
          <wp:inline distT="0" distB="0" distL="0" distR="0" wp14:anchorId="74C60420" wp14:editId="01D2D2BD">
            <wp:extent cx="5940425" cy="2397125"/>
            <wp:effectExtent l="0" t="0" r="3175" b="317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0425" cy="2397125"/>
                    </a:xfrm>
                    <a:prstGeom prst="rect">
                      <a:avLst/>
                    </a:prstGeom>
                  </pic:spPr>
                </pic:pic>
              </a:graphicData>
            </a:graphic>
          </wp:inline>
        </w:drawing>
      </w:r>
    </w:p>
    <w:p w14:paraId="2A4F88FB" w14:textId="77777777" w:rsidR="00D4148C" w:rsidRPr="002B492B" w:rsidRDefault="62456E77" w:rsidP="62456E77">
      <w:pPr>
        <w:keepLines/>
        <w:widowControl w:val="0"/>
        <w:jc w:val="center"/>
        <w:rPr>
          <w:rFonts w:ascii="Times New Roman" w:eastAsia="Times New Roman" w:hAnsi="Times New Roman" w:cs="Times New Roman"/>
          <w:b/>
          <w:bCs/>
          <w:sz w:val="26"/>
          <w:szCs w:val="26"/>
        </w:rPr>
      </w:pPr>
      <w:r w:rsidRPr="62456E77">
        <w:rPr>
          <w:rFonts w:ascii="Times New Roman" w:eastAsia="Times New Roman" w:hAnsi="Times New Roman" w:cs="Times New Roman"/>
          <w:sz w:val="26"/>
          <w:szCs w:val="26"/>
        </w:rPr>
        <w:t xml:space="preserve">Az </w:t>
      </w:r>
      <w:r w:rsidRPr="62456E77">
        <w:rPr>
          <w:rFonts w:ascii="Times New Roman" w:eastAsia="Times New Roman" w:hAnsi="Times New Roman" w:cs="Times New Roman"/>
          <w:b/>
          <w:bCs/>
          <w:sz w:val="26"/>
          <w:szCs w:val="26"/>
        </w:rPr>
        <w:t>Egészségbiztosítási Alap kiadásainak</w:t>
      </w:r>
      <w:r w:rsidRPr="62456E77">
        <w:rPr>
          <w:rFonts w:ascii="Times New Roman" w:eastAsia="Times New Roman" w:hAnsi="Times New Roman" w:cs="Times New Roman"/>
          <w:sz w:val="26"/>
          <w:szCs w:val="26"/>
        </w:rPr>
        <w:t xml:space="preserve"> összetételét a következő ábra mutatja be:</w:t>
      </w:r>
      <w:r w:rsidRPr="62456E77">
        <w:rPr>
          <w:rFonts w:ascii="Times New Roman" w:eastAsia="Times New Roman" w:hAnsi="Times New Roman" w:cs="Times New Roman"/>
          <w:b/>
          <w:bCs/>
          <w:sz w:val="26"/>
          <w:szCs w:val="26"/>
        </w:rPr>
        <w:t xml:space="preserve"> </w:t>
      </w:r>
    </w:p>
    <w:p w14:paraId="57C38B59" w14:textId="014071DE" w:rsidR="00D4148C" w:rsidRDefault="003E4A11" w:rsidP="00D4148C">
      <w:pPr>
        <w:widowControl w:val="0"/>
        <w:spacing w:after="240"/>
        <w:jc w:val="center"/>
        <w:rPr>
          <w:rFonts w:ascii="Times New Roman" w:eastAsia="Times New Roman" w:hAnsi="Times New Roman" w:cs="Times New Roman"/>
          <w:sz w:val="26"/>
          <w:szCs w:val="26"/>
        </w:rPr>
      </w:pPr>
      <w:r>
        <w:rPr>
          <w:noProof/>
          <w:lang w:eastAsia="hu-HU"/>
        </w:rPr>
        <w:drawing>
          <wp:inline distT="0" distB="0" distL="0" distR="0" wp14:anchorId="205CFD2F" wp14:editId="0DF4AEEE">
            <wp:extent cx="5940425" cy="2382520"/>
            <wp:effectExtent l="0" t="0" r="3175" b="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2382520"/>
                    </a:xfrm>
                    <a:prstGeom prst="rect">
                      <a:avLst/>
                    </a:prstGeom>
                  </pic:spPr>
                </pic:pic>
              </a:graphicData>
            </a:graphic>
          </wp:inline>
        </w:drawing>
      </w:r>
    </w:p>
    <w:p w14:paraId="19FDF989" w14:textId="7234B2E3" w:rsidR="00CA3468" w:rsidRDefault="62456E77" w:rsidP="62456E77">
      <w:pPr>
        <w:spacing w:before="240" w:after="240"/>
        <w:jc w:val="both"/>
        <w:rPr>
          <w:rFonts w:ascii="Times New Roman" w:eastAsia="Times New Roman" w:hAnsi="Times New Roman" w:cs="Times New Roman"/>
          <w:sz w:val="26"/>
          <w:szCs w:val="26"/>
        </w:rPr>
      </w:pPr>
      <w:r w:rsidRPr="62456E77">
        <w:rPr>
          <w:rFonts w:ascii="Times New Roman" w:eastAsia="Times New Roman" w:hAnsi="Times New Roman" w:cs="Times New Roman"/>
          <w:sz w:val="26"/>
          <w:szCs w:val="26"/>
        </w:rPr>
        <w:t xml:space="preserve">Az </w:t>
      </w:r>
      <w:r w:rsidRPr="62456E77">
        <w:rPr>
          <w:rFonts w:ascii="Times New Roman" w:eastAsia="Times New Roman" w:hAnsi="Times New Roman" w:cs="Times New Roman"/>
          <w:b/>
          <w:bCs/>
          <w:sz w:val="26"/>
          <w:szCs w:val="26"/>
        </w:rPr>
        <w:t>Egészségbiztosítási Alap</w:t>
      </w:r>
      <w:r w:rsidR="00494D4B">
        <w:rPr>
          <w:rFonts w:ascii="Times New Roman" w:eastAsia="Times New Roman" w:hAnsi="Times New Roman" w:cs="Times New Roman"/>
          <w:sz w:val="26"/>
          <w:szCs w:val="26"/>
        </w:rPr>
        <w:t xml:space="preserve"> összes kiadásának 26,0</w:t>
      </w:r>
      <w:r w:rsidRPr="62456E77">
        <w:rPr>
          <w:rFonts w:ascii="Times New Roman" w:eastAsia="Times New Roman" w:hAnsi="Times New Roman" w:cs="Times New Roman"/>
          <w:sz w:val="26"/>
          <w:szCs w:val="26"/>
        </w:rPr>
        <w:t xml:space="preserve">%-át a </w:t>
      </w:r>
      <w:r w:rsidRPr="62456E77">
        <w:rPr>
          <w:rFonts w:ascii="Times New Roman" w:eastAsia="Times New Roman" w:hAnsi="Times New Roman" w:cs="Times New Roman"/>
          <w:b/>
          <w:bCs/>
          <w:sz w:val="26"/>
          <w:szCs w:val="26"/>
        </w:rPr>
        <w:t>pénzbeli ellátásokra</w:t>
      </w:r>
      <w:r w:rsidRPr="62456E77">
        <w:rPr>
          <w:rFonts w:ascii="Times New Roman" w:eastAsia="Times New Roman" w:hAnsi="Times New Roman" w:cs="Times New Roman"/>
          <w:sz w:val="26"/>
          <w:szCs w:val="26"/>
        </w:rPr>
        <w:t xml:space="preserve"> fordított összeg adta. Az ellátások részletes bemutatását a következő táblázat tartalmazza:</w:t>
      </w:r>
    </w:p>
    <w:p w14:paraId="1D31F2C8" w14:textId="3F5AAC59" w:rsidR="00DA4FBC" w:rsidRPr="001074A1" w:rsidRDefault="62456E77" w:rsidP="62456E77">
      <w:pPr>
        <w:spacing w:after="120"/>
        <w:jc w:val="center"/>
        <w:rPr>
          <w:rFonts w:ascii="Times New Roman" w:eastAsia="Times New Roman" w:hAnsi="Times New Roman" w:cs="Times New Roman"/>
          <w:b/>
          <w:bCs/>
        </w:rPr>
      </w:pPr>
      <w:r w:rsidRPr="001074A1">
        <w:rPr>
          <w:rFonts w:ascii="Times New Roman" w:eastAsia="Times New Roman" w:hAnsi="Times New Roman" w:cs="Times New Roman"/>
          <w:b/>
          <w:bCs/>
        </w:rPr>
        <w:t>Az Egészségbiztosítási Alap pénzbeli ellátásokra fordított kiadásainak alakulása (milliárd forint)</w:t>
      </w:r>
    </w:p>
    <w:tbl>
      <w:tblPr>
        <w:tblpPr w:leftFromText="141" w:rightFromText="141" w:vertAnchor="text" w:tblpXSpec="center" w:tblpY="1"/>
        <w:tblOverlap w:val="never"/>
        <w:tblW w:w="8718" w:type="dxa"/>
        <w:tblLayout w:type="fixed"/>
        <w:tblCellMar>
          <w:left w:w="70" w:type="dxa"/>
          <w:right w:w="70" w:type="dxa"/>
        </w:tblCellMar>
        <w:tblLook w:val="04A0" w:firstRow="1" w:lastRow="0" w:firstColumn="1" w:lastColumn="0" w:noHBand="0" w:noVBand="1"/>
      </w:tblPr>
      <w:tblGrid>
        <w:gridCol w:w="4248"/>
        <w:gridCol w:w="1276"/>
        <w:gridCol w:w="1209"/>
        <w:gridCol w:w="992"/>
        <w:gridCol w:w="993"/>
      </w:tblGrid>
      <w:tr w:rsidR="00E601EF" w:rsidRPr="00377D59" w14:paraId="06E6BC15" w14:textId="77777777" w:rsidTr="62456E77">
        <w:trPr>
          <w:trHeight w:val="340"/>
        </w:trPr>
        <w:tc>
          <w:tcPr>
            <w:tcW w:w="4248" w:type="dxa"/>
            <w:vMerge w:val="restart"/>
            <w:tcBorders>
              <w:top w:val="single" w:sz="4" w:space="0" w:color="auto"/>
              <w:left w:val="single" w:sz="4" w:space="0" w:color="auto"/>
              <w:bottom w:val="single" w:sz="4" w:space="0" w:color="000000" w:themeColor="text1"/>
              <w:right w:val="single" w:sz="4" w:space="0" w:color="auto"/>
            </w:tcBorders>
            <w:shd w:val="clear" w:color="auto" w:fill="BDD6EE" w:themeFill="accent1" w:themeFillTint="66"/>
            <w:noWrap/>
            <w:vAlign w:val="center"/>
            <w:hideMark/>
          </w:tcPr>
          <w:p w14:paraId="510863DA" w14:textId="77777777" w:rsidR="00E601EF" w:rsidRPr="00377D59" w:rsidRDefault="62456E77" w:rsidP="62456E77">
            <w:pPr>
              <w:keepNext/>
              <w:keepLines/>
              <w:spacing w:after="0" w:line="240" w:lineRule="auto"/>
              <w:jc w:val="center"/>
              <w:rPr>
                <w:rFonts w:ascii="Times New Roman" w:eastAsia="Times New Roman" w:hAnsi="Times New Roman" w:cs="Times New Roman"/>
                <w:b/>
                <w:bCs/>
              </w:rPr>
            </w:pPr>
            <w:r w:rsidRPr="62456E77">
              <w:rPr>
                <w:rFonts w:ascii="Times New Roman" w:eastAsia="Times New Roman" w:hAnsi="Times New Roman" w:cs="Times New Roman"/>
                <w:b/>
                <w:bCs/>
              </w:rPr>
              <w:t>Megnevezés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BB44369" w14:textId="2FE359DA" w:rsidR="00E601EF" w:rsidRPr="00377D59" w:rsidRDefault="62456E77" w:rsidP="62456E77">
            <w:pPr>
              <w:keepNext/>
              <w:keepLines/>
              <w:spacing w:after="0" w:line="240" w:lineRule="auto"/>
              <w:jc w:val="center"/>
              <w:rPr>
                <w:rFonts w:ascii="Times New Roman" w:eastAsia="Times New Roman" w:hAnsi="Times New Roman" w:cs="Times New Roman"/>
                <w:b/>
                <w:bCs/>
              </w:rPr>
            </w:pPr>
            <w:r w:rsidRPr="62456E77">
              <w:rPr>
                <w:rFonts w:ascii="Times New Roman" w:eastAsia="Times New Roman" w:hAnsi="Times New Roman" w:cs="Times New Roman"/>
                <w:b/>
                <w:bCs/>
              </w:rPr>
              <w:t xml:space="preserve">2024. </w:t>
            </w:r>
            <w:r w:rsidR="142D8494">
              <w:br/>
            </w:r>
            <w:r w:rsidRPr="62456E77">
              <w:rPr>
                <w:rFonts w:ascii="Times New Roman" w:eastAsia="Times New Roman" w:hAnsi="Times New Roman" w:cs="Times New Roman"/>
                <w:b/>
                <w:bCs/>
              </w:rPr>
              <w:t>I-I</w:t>
            </w:r>
            <w:r w:rsidR="00494D4B">
              <w:rPr>
                <w:rFonts w:ascii="Times New Roman" w:eastAsia="Times New Roman" w:hAnsi="Times New Roman" w:cs="Times New Roman"/>
                <w:b/>
                <w:bCs/>
              </w:rPr>
              <w:t>I</w:t>
            </w:r>
            <w:r w:rsidRPr="62456E77">
              <w:rPr>
                <w:rFonts w:ascii="Times New Roman" w:eastAsia="Times New Roman" w:hAnsi="Times New Roman" w:cs="Times New Roman"/>
                <w:b/>
                <w:bCs/>
              </w:rPr>
              <w:t>I. hó</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A1BFE64" w14:textId="3FFAC342" w:rsidR="00E601EF" w:rsidRPr="00377D59" w:rsidRDefault="62456E77" w:rsidP="62456E77">
            <w:pPr>
              <w:keepNext/>
              <w:keepLines/>
              <w:spacing w:after="0" w:line="240" w:lineRule="auto"/>
              <w:jc w:val="center"/>
              <w:rPr>
                <w:rFonts w:ascii="Times New Roman" w:eastAsia="Times New Roman" w:hAnsi="Times New Roman" w:cs="Times New Roman"/>
                <w:b/>
                <w:bCs/>
              </w:rPr>
            </w:pPr>
            <w:r w:rsidRPr="62456E77">
              <w:rPr>
                <w:rFonts w:ascii="Times New Roman" w:eastAsia="Times New Roman" w:hAnsi="Times New Roman" w:cs="Times New Roman"/>
                <w:b/>
                <w:bCs/>
              </w:rPr>
              <w:t xml:space="preserve">2025. </w:t>
            </w:r>
            <w:r w:rsidR="142D8494">
              <w:br/>
            </w:r>
            <w:r w:rsidRPr="62456E77">
              <w:rPr>
                <w:rFonts w:ascii="Times New Roman" w:eastAsia="Times New Roman" w:hAnsi="Times New Roman" w:cs="Times New Roman"/>
                <w:b/>
                <w:bCs/>
              </w:rPr>
              <w:t>I-I</w:t>
            </w:r>
            <w:r w:rsidR="00494D4B">
              <w:rPr>
                <w:rFonts w:ascii="Times New Roman" w:eastAsia="Times New Roman" w:hAnsi="Times New Roman" w:cs="Times New Roman"/>
                <w:b/>
                <w:bCs/>
              </w:rPr>
              <w:t>I</w:t>
            </w:r>
            <w:r w:rsidRPr="62456E77">
              <w:rPr>
                <w:rFonts w:ascii="Times New Roman" w:eastAsia="Times New Roman" w:hAnsi="Times New Roman" w:cs="Times New Roman"/>
                <w:b/>
                <w:bCs/>
              </w:rPr>
              <w:t>I. hó</w:t>
            </w:r>
          </w:p>
        </w:tc>
        <w:tc>
          <w:tcPr>
            <w:tcW w:w="1985"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EFB39D6" w14:textId="77777777" w:rsidR="00E601EF" w:rsidRPr="00377D59" w:rsidRDefault="62456E77" w:rsidP="62456E77">
            <w:pPr>
              <w:keepNext/>
              <w:keepLines/>
              <w:spacing w:after="0" w:line="240" w:lineRule="auto"/>
              <w:jc w:val="center"/>
              <w:rPr>
                <w:rFonts w:ascii="Times New Roman" w:eastAsia="Times New Roman" w:hAnsi="Times New Roman" w:cs="Times New Roman"/>
                <w:b/>
                <w:bCs/>
              </w:rPr>
            </w:pPr>
            <w:r w:rsidRPr="62456E77">
              <w:rPr>
                <w:rFonts w:ascii="Times New Roman" w:eastAsia="Times New Roman" w:hAnsi="Times New Roman" w:cs="Times New Roman"/>
                <w:b/>
                <w:bCs/>
              </w:rPr>
              <w:t>Eltérés</w:t>
            </w:r>
          </w:p>
        </w:tc>
      </w:tr>
      <w:tr w:rsidR="00E601EF" w:rsidRPr="00377D59" w14:paraId="67C6C54B" w14:textId="77777777" w:rsidTr="62456E77">
        <w:trPr>
          <w:trHeight w:val="340"/>
        </w:trPr>
        <w:tc>
          <w:tcPr>
            <w:tcW w:w="4248" w:type="dxa"/>
            <w:vMerge/>
            <w:tcBorders>
              <w:top w:val="single" w:sz="4" w:space="0" w:color="auto"/>
              <w:left w:val="single" w:sz="4" w:space="0" w:color="auto"/>
              <w:bottom w:val="single" w:sz="4" w:space="0" w:color="000000"/>
              <w:right w:val="single" w:sz="4" w:space="0" w:color="auto"/>
            </w:tcBorders>
            <w:shd w:val="clear" w:color="auto" w:fill="BDD6EE" w:themeFill="accent1" w:themeFillTint="66"/>
            <w:vAlign w:val="center"/>
            <w:hideMark/>
          </w:tcPr>
          <w:p w14:paraId="5CCA367D" w14:textId="77777777" w:rsidR="00E601EF" w:rsidRPr="00377D59" w:rsidRDefault="00E601EF" w:rsidP="002678FB">
            <w:pPr>
              <w:keepNext/>
              <w:keepLines/>
              <w:spacing w:after="0" w:line="240" w:lineRule="auto"/>
              <w:rPr>
                <w:rFonts w:ascii="Times New Roman" w:eastAsia="Times New Roman" w:hAnsi="Times New Roman" w:cs="Times New Roman"/>
                <w:b/>
                <w:bCs/>
                <w:lang w:eastAsia="hu-HU"/>
              </w:rPr>
            </w:pPr>
          </w:p>
        </w:tc>
        <w:tc>
          <w:tcPr>
            <w:tcW w:w="127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99307A"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1209"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E594B6" w14:textId="77777777" w:rsidR="00E601EF" w:rsidRPr="00377D59" w:rsidRDefault="00E601EF" w:rsidP="002678FB">
            <w:pPr>
              <w:keepNext/>
              <w:keepLines/>
              <w:spacing w:after="0" w:line="240" w:lineRule="auto"/>
              <w:jc w:val="center"/>
              <w:rPr>
                <w:rFonts w:ascii="Times New Roman" w:eastAsia="Times New Roman" w:hAnsi="Times New Roman" w:cs="Times New Roman"/>
                <w:b/>
                <w:bCs/>
                <w:lang w:eastAsia="hu-HU"/>
              </w:rPr>
            </w:pPr>
          </w:p>
        </w:tc>
        <w:tc>
          <w:tcPr>
            <w:tcW w:w="992"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6986BC2B" w14:textId="77777777" w:rsidR="00E601EF" w:rsidRPr="00377D59" w:rsidRDefault="62456E77" w:rsidP="62456E77">
            <w:pPr>
              <w:keepNext/>
              <w:keepLines/>
              <w:spacing w:after="0" w:line="240" w:lineRule="auto"/>
              <w:jc w:val="center"/>
              <w:rPr>
                <w:rFonts w:ascii="Times New Roman" w:eastAsia="Times New Roman" w:hAnsi="Times New Roman" w:cs="Times New Roman"/>
                <w:b/>
                <w:bCs/>
                <w:lang w:eastAsia="hu-HU"/>
              </w:rPr>
            </w:pPr>
            <w:r w:rsidRPr="62456E77">
              <w:rPr>
                <w:rFonts w:ascii="Times New Roman" w:eastAsia="Times New Roman" w:hAnsi="Times New Roman" w:cs="Times New Roman"/>
                <w:b/>
                <w:bCs/>
                <w:lang w:eastAsia="hu-HU"/>
              </w:rPr>
              <w:t>Mrd Ft</w:t>
            </w:r>
          </w:p>
        </w:tc>
        <w:tc>
          <w:tcPr>
            <w:tcW w:w="993"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70EDA458" w14:textId="77777777" w:rsidR="00E601EF" w:rsidRPr="00377D59" w:rsidRDefault="62456E77" w:rsidP="62456E77">
            <w:pPr>
              <w:keepNext/>
              <w:keepLines/>
              <w:spacing w:after="0" w:line="240" w:lineRule="auto"/>
              <w:jc w:val="center"/>
              <w:rPr>
                <w:rFonts w:ascii="Times New Roman" w:eastAsia="Times New Roman" w:hAnsi="Times New Roman" w:cs="Times New Roman"/>
                <w:b/>
                <w:bCs/>
                <w:lang w:eastAsia="hu-HU"/>
              </w:rPr>
            </w:pPr>
            <w:r w:rsidRPr="62456E77">
              <w:rPr>
                <w:rFonts w:ascii="Times New Roman" w:eastAsia="Times New Roman" w:hAnsi="Times New Roman" w:cs="Times New Roman"/>
                <w:b/>
                <w:bCs/>
                <w:lang w:eastAsia="hu-HU"/>
              </w:rPr>
              <w:t>%</w:t>
            </w:r>
          </w:p>
        </w:tc>
      </w:tr>
      <w:tr w:rsidR="00494D4B" w:rsidRPr="00377D59" w14:paraId="0F7FB8C0" w14:textId="77777777" w:rsidTr="62456E77">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F8BBBDE" w14:textId="77777777" w:rsidR="00494D4B" w:rsidRPr="00377D59" w:rsidRDefault="00494D4B" w:rsidP="00494D4B">
            <w:pPr>
              <w:keepNext/>
              <w:keepLines/>
              <w:spacing w:after="0" w:line="240" w:lineRule="auto"/>
              <w:ind w:firstLine="67"/>
              <w:rPr>
                <w:rFonts w:ascii="Times New Roman" w:eastAsia="Times New Roman" w:hAnsi="Times New Roman" w:cs="Times New Roman"/>
                <w:b/>
                <w:bCs/>
                <w:lang w:eastAsia="hu-HU"/>
              </w:rPr>
            </w:pPr>
            <w:r w:rsidRPr="62456E77">
              <w:rPr>
                <w:rFonts w:ascii="Times New Roman" w:eastAsia="Times New Roman" w:hAnsi="Times New Roman" w:cs="Times New Roman"/>
                <w:b/>
                <w:bCs/>
                <w:lang w:eastAsia="hu-HU"/>
              </w:rPr>
              <w:t>Pénzbeli ellátások</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B30386" w14:textId="22231701" w:rsidR="00494D4B" w:rsidRPr="001074A1" w:rsidRDefault="00494D4B" w:rsidP="00494D4B">
            <w:pPr>
              <w:keepNext/>
              <w:keepLines/>
              <w:spacing w:after="0"/>
              <w:jc w:val="right"/>
              <w:rPr>
                <w:rFonts w:ascii="Times New Roman" w:eastAsia="Times New Roman" w:hAnsi="Times New Roman" w:cs="Times New Roman"/>
                <w:b/>
                <w:bCs/>
                <w:lang w:eastAsia="hu-HU"/>
              </w:rPr>
            </w:pPr>
            <w:r w:rsidRPr="001074A1">
              <w:rPr>
                <w:rFonts w:ascii="Times New Roman" w:eastAsia="Times New Roman" w:hAnsi="Times New Roman" w:cs="Times New Roman"/>
                <w:b/>
                <w:bCs/>
                <w:lang w:eastAsia="hu-HU"/>
              </w:rPr>
              <w:t>306,5</w:t>
            </w:r>
            <w:r w:rsidRPr="001074A1">
              <w:rPr>
                <w:rFonts w:ascii="Times New Roman" w:eastAsia="Times New Roman" w:hAnsi="Times New Roman" w:cs="Times New Roman"/>
                <w:lang w:eastAsia="hu-HU"/>
              </w:rPr>
              <w:t> </w:t>
            </w:r>
          </w:p>
        </w:tc>
        <w:tc>
          <w:tcPr>
            <w:tcW w:w="1209" w:type="dxa"/>
            <w:tcBorders>
              <w:top w:val="single" w:sz="4" w:space="0" w:color="auto"/>
              <w:left w:val="nil"/>
              <w:bottom w:val="single" w:sz="4" w:space="0" w:color="auto"/>
              <w:right w:val="single" w:sz="4" w:space="0" w:color="auto"/>
            </w:tcBorders>
            <w:shd w:val="clear" w:color="auto" w:fill="auto"/>
            <w:vAlign w:val="center"/>
          </w:tcPr>
          <w:p w14:paraId="749AF748" w14:textId="361A27D4" w:rsidR="00494D4B" w:rsidRPr="001074A1" w:rsidRDefault="00494D4B" w:rsidP="00494D4B">
            <w:pPr>
              <w:keepNext/>
              <w:keepLines/>
              <w:spacing w:after="0"/>
              <w:jc w:val="right"/>
              <w:rPr>
                <w:rFonts w:ascii="Times New Roman" w:eastAsia="Times New Roman" w:hAnsi="Times New Roman" w:cs="Times New Roman"/>
                <w:b/>
                <w:bCs/>
                <w:lang w:eastAsia="hu-HU"/>
              </w:rPr>
            </w:pPr>
            <w:r w:rsidRPr="001074A1">
              <w:rPr>
                <w:rFonts w:ascii="Times New Roman" w:eastAsia="Times New Roman" w:hAnsi="Times New Roman" w:cs="Times New Roman"/>
                <w:b/>
                <w:bCs/>
                <w:lang w:eastAsia="hu-HU"/>
              </w:rPr>
              <w:t>328,7</w:t>
            </w:r>
            <w:r w:rsidRPr="001074A1">
              <w:rPr>
                <w:rFonts w:ascii="Times New Roman" w:eastAsia="Times New Roman" w:hAnsi="Times New Roman" w:cs="Times New Roman"/>
                <w:lang w:eastAsia="hu-HU"/>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80D698F" w14:textId="7C6FA520" w:rsidR="00494D4B" w:rsidRPr="001074A1" w:rsidRDefault="00494D4B" w:rsidP="00494D4B">
            <w:pPr>
              <w:keepNext/>
              <w:keepLines/>
              <w:spacing w:after="0"/>
              <w:jc w:val="right"/>
              <w:rPr>
                <w:rFonts w:ascii="Times New Roman" w:eastAsia="Times New Roman" w:hAnsi="Times New Roman" w:cs="Times New Roman"/>
                <w:b/>
                <w:bCs/>
                <w:lang w:eastAsia="hu-HU"/>
              </w:rPr>
            </w:pPr>
            <w:r w:rsidRPr="001074A1">
              <w:rPr>
                <w:rFonts w:ascii="Times New Roman" w:eastAsia="Times New Roman" w:hAnsi="Times New Roman" w:cs="Times New Roman"/>
                <w:b/>
                <w:bCs/>
                <w:lang w:eastAsia="hu-HU"/>
              </w:rPr>
              <w:t>22,2</w:t>
            </w:r>
            <w:r w:rsidRPr="001074A1">
              <w:rPr>
                <w:rFonts w:ascii="Times New Roman" w:eastAsia="Times New Roman" w:hAnsi="Times New Roman" w:cs="Times New Roman"/>
                <w:lang w:eastAsia="hu-HU"/>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977C13" w14:textId="4CDAC9D1" w:rsidR="00494D4B" w:rsidRPr="001074A1" w:rsidRDefault="00494D4B" w:rsidP="00494D4B">
            <w:pPr>
              <w:keepNext/>
              <w:keepLines/>
              <w:spacing w:after="0"/>
              <w:jc w:val="right"/>
              <w:rPr>
                <w:rFonts w:ascii="Times New Roman" w:eastAsia="Times New Roman" w:hAnsi="Times New Roman" w:cs="Times New Roman"/>
                <w:b/>
                <w:bCs/>
                <w:lang w:eastAsia="hu-HU"/>
              </w:rPr>
            </w:pPr>
            <w:r w:rsidRPr="001074A1">
              <w:rPr>
                <w:rFonts w:ascii="Times New Roman" w:eastAsia="Times New Roman" w:hAnsi="Times New Roman" w:cs="Times New Roman"/>
                <w:b/>
                <w:bCs/>
                <w:lang w:eastAsia="hu-HU"/>
              </w:rPr>
              <w:t>107,2</w:t>
            </w:r>
            <w:r w:rsidRPr="001074A1">
              <w:rPr>
                <w:rFonts w:ascii="Times New Roman" w:eastAsia="Times New Roman" w:hAnsi="Times New Roman" w:cs="Times New Roman"/>
                <w:lang w:eastAsia="hu-HU"/>
              </w:rPr>
              <w:t> </w:t>
            </w:r>
          </w:p>
        </w:tc>
      </w:tr>
      <w:tr w:rsidR="00494D4B" w:rsidRPr="00377D59" w14:paraId="07715518" w14:textId="77777777" w:rsidTr="62456E77">
        <w:trPr>
          <w:trHeight w:val="284"/>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1DF5B0B" w14:textId="77777777" w:rsidR="00494D4B" w:rsidRPr="00377D59" w:rsidRDefault="00494D4B" w:rsidP="00494D4B">
            <w:pPr>
              <w:keepNext/>
              <w:keepLines/>
              <w:spacing w:after="0" w:line="240" w:lineRule="auto"/>
              <w:ind w:firstLine="285"/>
              <w:rPr>
                <w:rFonts w:ascii="Times New Roman" w:eastAsia="Times New Roman" w:hAnsi="Times New Roman" w:cs="Times New Roman"/>
                <w:i/>
                <w:iCs/>
                <w:lang w:eastAsia="hu-HU"/>
              </w:rPr>
            </w:pPr>
            <w:r w:rsidRPr="62456E77">
              <w:rPr>
                <w:rFonts w:ascii="Times New Roman" w:eastAsia="Times New Roman" w:hAnsi="Times New Roman" w:cs="Times New Roman"/>
                <w:i/>
                <w:iCs/>
                <w:lang w:eastAsia="hu-HU"/>
              </w:rPr>
              <w:t>Ebből:</w:t>
            </w:r>
          </w:p>
        </w:tc>
        <w:tc>
          <w:tcPr>
            <w:tcW w:w="4470" w:type="dxa"/>
            <w:gridSpan w:val="4"/>
            <w:tcBorders>
              <w:top w:val="single" w:sz="4" w:space="0" w:color="auto"/>
              <w:left w:val="nil"/>
              <w:bottom w:val="single" w:sz="4" w:space="0" w:color="auto"/>
              <w:right w:val="single" w:sz="4" w:space="0" w:color="auto"/>
            </w:tcBorders>
            <w:shd w:val="clear" w:color="auto" w:fill="auto"/>
            <w:vAlign w:val="center"/>
          </w:tcPr>
          <w:p w14:paraId="60B47ECC" w14:textId="007D4839" w:rsidR="00494D4B" w:rsidRPr="001074A1" w:rsidRDefault="00494D4B" w:rsidP="00494D4B">
            <w:pPr>
              <w:keepNext/>
              <w:keepLines/>
              <w:spacing w:after="0" w:line="240" w:lineRule="auto"/>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 </w:t>
            </w:r>
          </w:p>
        </w:tc>
      </w:tr>
      <w:tr w:rsidR="00494D4B" w:rsidRPr="00377D59" w14:paraId="72B9616A" w14:textId="77777777" w:rsidTr="62456E77">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1DA2C4C" w14:textId="77777777" w:rsidR="00494D4B" w:rsidRPr="00377D59" w:rsidRDefault="00494D4B" w:rsidP="00494D4B">
            <w:pPr>
              <w:keepNext/>
              <w:keepLines/>
              <w:spacing w:after="0" w:line="240" w:lineRule="auto"/>
              <w:ind w:firstLine="67"/>
              <w:rPr>
                <w:rFonts w:ascii="Times New Roman" w:eastAsia="Times New Roman" w:hAnsi="Times New Roman" w:cs="Times New Roman"/>
                <w:lang w:eastAsia="hu-HU"/>
              </w:rPr>
            </w:pPr>
            <w:r w:rsidRPr="62456E77">
              <w:rPr>
                <w:rFonts w:ascii="Times New Roman" w:eastAsia="Times New Roman" w:hAnsi="Times New Roman" w:cs="Times New Roman"/>
                <w:lang w:eastAsia="hu-HU"/>
              </w:rPr>
              <w:t>Rokkantsági, rehabilitációs ellátások</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E22A63" w14:textId="2F74028B"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122,2 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0480FC73" w14:textId="09822C7A"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126,9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3616B24" w14:textId="6A7AEAC1"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4,7 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B583A17" w14:textId="1CC2C319"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103,8 </w:t>
            </w:r>
          </w:p>
        </w:tc>
      </w:tr>
      <w:tr w:rsidR="00494D4B" w:rsidRPr="00377D59" w14:paraId="778FD915" w14:textId="77777777" w:rsidTr="62456E77">
        <w:trPr>
          <w:trHeight w:val="340"/>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CDB1046" w14:textId="4891E4FD" w:rsidR="00494D4B" w:rsidRPr="00377D59" w:rsidRDefault="00494D4B" w:rsidP="00494D4B">
            <w:pPr>
              <w:keepNext/>
              <w:keepLines/>
              <w:spacing w:after="0" w:line="240" w:lineRule="auto"/>
              <w:ind w:firstLine="67"/>
              <w:rPr>
                <w:rFonts w:ascii="Times New Roman" w:eastAsia="Times New Roman" w:hAnsi="Times New Roman" w:cs="Times New Roman"/>
                <w:lang w:eastAsia="hu-HU"/>
              </w:rPr>
            </w:pPr>
            <w:r w:rsidRPr="62456E77">
              <w:rPr>
                <w:rFonts w:ascii="Times New Roman" w:eastAsia="Times New Roman" w:hAnsi="Times New Roman" w:cs="Times New Roman"/>
                <w:lang w:eastAsia="hu-HU"/>
              </w:rPr>
              <w:t>Gyermekgondozási díj és örökbefogadói díj</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B0C3582" w14:textId="3FCC8362"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90,8 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6E6D7B2A" w14:textId="5DF1C760"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98,1 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91AEA46" w14:textId="3A538D8D"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7,3 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89A6E8D" w14:textId="2D4B3348"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108,0 </w:t>
            </w:r>
          </w:p>
        </w:tc>
      </w:tr>
      <w:tr w:rsidR="00494D4B" w:rsidRPr="00377D59" w14:paraId="7D62EFFD" w14:textId="77777777" w:rsidTr="62456E77">
        <w:trPr>
          <w:trHeight w:val="340"/>
        </w:trPr>
        <w:tc>
          <w:tcPr>
            <w:tcW w:w="4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7EDDE" w14:textId="77777777" w:rsidR="00494D4B" w:rsidRPr="00377D59" w:rsidRDefault="00494D4B" w:rsidP="00494D4B">
            <w:pPr>
              <w:keepNext/>
              <w:keepLines/>
              <w:spacing w:after="0" w:line="240" w:lineRule="auto"/>
              <w:ind w:firstLine="67"/>
              <w:rPr>
                <w:rFonts w:ascii="Times New Roman" w:eastAsia="Times New Roman" w:hAnsi="Times New Roman" w:cs="Times New Roman"/>
                <w:lang w:eastAsia="hu-HU"/>
              </w:rPr>
            </w:pPr>
            <w:r w:rsidRPr="62456E77">
              <w:rPr>
                <w:rFonts w:ascii="Times New Roman" w:eastAsia="Times New Roman" w:hAnsi="Times New Roman" w:cs="Times New Roman"/>
                <w:lang w:eastAsia="hu-HU"/>
              </w:rPr>
              <w:t>Táppénz</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BD4593" w14:textId="15431A9B"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51,3 </w:t>
            </w:r>
          </w:p>
        </w:tc>
        <w:tc>
          <w:tcPr>
            <w:tcW w:w="1209" w:type="dxa"/>
            <w:tcBorders>
              <w:top w:val="single" w:sz="4" w:space="0" w:color="auto"/>
              <w:left w:val="nil"/>
              <w:bottom w:val="single" w:sz="4" w:space="0" w:color="auto"/>
              <w:right w:val="single" w:sz="4" w:space="0" w:color="auto"/>
            </w:tcBorders>
            <w:shd w:val="clear" w:color="auto" w:fill="auto"/>
            <w:noWrap/>
            <w:vAlign w:val="center"/>
          </w:tcPr>
          <w:p w14:paraId="7122EFC4" w14:textId="7149D108"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59,8 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552A76" w14:textId="677318F1"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8,5 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4ADF3D" w14:textId="5BDEB2E7" w:rsidR="00494D4B" w:rsidRPr="001074A1" w:rsidRDefault="00494D4B" w:rsidP="00494D4B">
            <w:pPr>
              <w:keepNext/>
              <w:keepLines/>
              <w:spacing w:after="0"/>
              <w:jc w:val="right"/>
              <w:rPr>
                <w:rFonts w:ascii="Times New Roman" w:eastAsia="Times New Roman" w:hAnsi="Times New Roman" w:cs="Times New Roman"/>
                <w:lang w:eastAsia="hu-HU"/>
              </w:rPr>
            </w:pPr>
            <w:r w:rsidRPr="001074A1">
              <w:rPr>
                <w:rFonts w:ascii="Times New Roman" w:eastAsia="Times New Roman" w:hAnsi="Times New Roman" w:cs="Times New Roman"/>
                <w:lang w:eastAsia="hu-HU"/>
              </w:rPr>
              <w:t>116,6 </w:t>
            </w:r>
          </w:p>
        </w:tc>
      </w:tr>
    </w:tbl>
    <w:p w14:paraId="38548EE1" w14:textId="77777777" w:rsidR="001074A1" w:rsidRDefault="00591D8B" w:rsidP="00494D4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br w:type="column"/>
      </w:r>
      <w:r w:rsidR="3782F5BA" w:rsidRPr="3782F5BA">
        <w:rPr>
          <w:rFonts w:ascii="Times New Roman" w:eastAsia="Times New Roman" w:hAnsi="Times New Roman" w:cs="Times New Roman"/>
          <w:sz w:val="26"/>
          <w:szCs w:val="26"/>
        </w:rPr>
        <w:t xml:space="preserve">A </w:t>
      </w:r>
      <w:r w:rsidR="3782F5BA" w:rsidRPr="3782F5BA">
        <w:rPr>
          <w:rFonts w:ascii="Times New Roman" w:eastAsia="Times New Roman" w:hAnsi="Times New Roman" w:cs="Times New Roman"/>
          <w:b/>
          <w:bCs/>
          <w:sz w:val="26"/>
          <w:szCs w:val="26"/>
        </w:rPr>
        <w:t>gyógyító-megelőző ellátásokra</w:t>
      </w:r>
      <w:r w:rsidR="3782F5BA" w:rsidRPr="3782F5BA">
        <w:rPr>
          <w:rFonts w:ascii="Times New Roman" w:eastAsia="Times New Roman" w:hAnsi="Times New Roman" w:cs="Times New Roman"/>
          <w:sz w:val="26"/>
          <w:szCs w:val="26"/>
        </w:rPr>
        <w:t xml:space="preserve"> </w:t>
      </w:r>
      <w:r w:rsidR="00494D4B" w:rsidRPr="00494D4B">
        <w:rPr>
          <w:rFonts w:ascii="Times New Roman" w:eastAsia="Times New Roman" w:hAnsi="Times New Roman" w:cs="Times New Roman"/>
          <w:sz w:val="26"/>
          <w:szCs w:val="26"/>
        </w:rPr>
        <w:t xml:space="preserve">fordított kiadás 2025 első </w:t>
      </w:r>
      <w:r w:rsidR="001074A1">
        <w:rPr>
          <w:rFonts w:ascii="Times New Roman" w:eastAsia="Times New Roman" w:hAnsi="Times New Roman" w:cs="Times New Roman"/>
          <w:sz w:val="26"/>
          <w:szCs w:val="26"/>
        </w:rPr>
        <w:t>három hónapjában 758,9 milliárd</w:t>
      </w:r>
      <w:r w:rsidR="00494D4B" w:rsidRPr="00494D4B">
        <w:rPr>
          <w:rFonts w:ascii="Times New Roman" w:eastAsia="Times New Roman" w:hAnsi="Times New Roman" w:cs="Times New Roman"/>
          <w:sz w:val="26"/>
          <w:szCs w:val="26"/>
        </w:rPr>
        <w:t xml:space="preserve"> forintot tett ki a 2024 azonos időszakában felmerülő 588,9</w:t>
      </w:r>
      <w:r w:rsidR="001074A1">
        <w:rPr>
          <w:rFonts w:ascii="Times New Roman" w:eastAsia="Times New Roman" w:hAnsi="Times New Roman" w:cs="Times New Roman"/>
          <w:sz w:val="26"/>
          <w:szCs w:val="26"/>
        </w:rPr>
        <w:t> </w:t>
      </w:r>
      <w:r w:rsidR="00494D4B" w:rsidRPr="00494D4B">
        <w:rPr>
          <w:rFonts w:ascii="Times New Roman" w:eastAsia="Times New Roman" w:hAnsi="Times New Roman" w:cs="Times New Roman"/>
          <w:sz w:val="26"/>
          <w:szCs w:val="26"/>
        </w:rPr>
        <w:t xml:space="preserve">milliárd forint összegű kiadással szemben. Az előző évhez viszonyított magasabb összegű kiadás elsődlegesen az egészségügyi ágazati előmeneteli szabályok hatálya alá tartozó egészségügyi szakdolgozókat és egészségügyben dolgozókat 2024. március 1-jétől megillető, átlagosan 20%-os, valamint az alapellátásban dolgozó egészségügyi dolgozók azonos mértékű béremelésével kapcsolatosan jelentkezik. </w:t>
      </w:r>
    </w:p>
    <w:p w14:paraId="23743283" w14:textId="70ABF48F" w:rsidR="00494D4B" w:rsidRPr="00494D4B" w:rsidRDefault="00494D4B" w:rsidP="00494D4B">
      <w:pPr>
        <w:jc w:val="both"/>
        <w:rPr>
          <w:rFonts w:ascii="Times New Roman" w:eastAsia="Times New Roman" w:hAnsi="Times New Roman" w:cs="Times New Roman"/>
          <w:sz w:val="26"/>
          <w:szCs w:val="26"/>
        </w:rPr>
      </w:pPr>
      <w:r w:rsidRPr="00494D4B">
        <w:rPr>
          <w:rFonts w:ascii="Times New Roman" w:eastAsia="Times New Roman" w:hAnsi="Times New Roman" w:cs="Times New Roman"/>
          <w:sz w:val="26"/>
          <w:szCs w:val="26"/>
        </w:rPr>
        <w:t>Ezen túlmenően, az egészségügyi szolgáltatók pénzügyi helyzetének javítását biztosító intézkedések alapján 96,4 milliárd forint működési támogatás biztosítása történt február hónapban a Célelőirányzatok jogcímcsoporton (az Egészségbiztosítási Alap Gyógyító-megelőző ellátás alcím Célelőirányzatok jogcímcsoport 2025. évi előirányzatának megemeléséről szóló 1016/2025. (II. 6.) Korm. határozattal).</w:t>
      </w:r>
    </w:p>
    <w:p w14:paraId="2ED08265" w14:textId="61BF6395" w:rsidR="46186346" w:rsidRDefault="00494D4B" w:rsidP="00494D4B">
      <w:pPr>
        <w:jc w:val="both"/>
        <w:rPr>
          <w:rFonts w:ascii="Times New Roman" w:eastAsia="Times New Roman" w:hAnsi="Times New Roman" w:cs="Times New Roman"/>
          <w:sz w:val="26"/>
          <w:szCs w:val="26"/>
        </w:rPr>
      </w:pPr>
      <w:r w:rsidRPr="00494D4B">
        <w:rPr>
          <w:rFonts w:ascii="Times New Roman" w:eastAsia="Times New Roman" w:hAnsi="Times New Roman" w:cs="Times New Roman"/>
          <w:b/>
          <w:sz w:val="26"/>
          <w:szCs w:val="26"/>
        </w:rPr>
        <w:t>Gyógyszertámogatásra</w:t>
      </w:r>
      <w:r w:rsidRPr="00494D4B">
        <w:rPr>
          <w:rFonts w:ascii="Times New Roman" w:eastAsia="Times New Roman" w:hAnsi="Times New Roman" w:cs="Times New Roman"/>
          <w:sz w:val="26"/>
          <w:szCs w:val="26"/>
        </w:rPr>
        <w:t xml:space="preserve"> 2025. március végéig 140,5 milliárd </w:t>
      </w:r>
      <w:r w:rsidR="001074A1" w:rsidRPr="001074A1">
        <w:rPr>
          <w:rFonts w:ascii="Times New Roman" w:eastAsia="Times New Roman" w:hAnsi="Times New Roman" w:cs="Times New Roman"/>
          <w:sz w:val="26"/>
          <w:szCs w:val="26"/>
        </w:rPr>
        <w:t>forint került kifizetésre</w:t>
      </w:r>
      <w:r w:rsidRPr="00494D4B">
        <w:rPr>
          <w:rFonts w:ascii="Times New Roman" w:eastAsia="Times New Roman" w:hAnsi="Times New Roman" w:cs="Times New Roman"/>
          <w:sz w:val="26"/>
          <w:szCs w:val="26"/>
        </w:rPr>
        <w:t>, amely 9,0 milliárd forinttal magasabb az előző év azonos időszakában kifizetett összegnél</w:t>
      </w:r>
      <w:r w:rsidR="62456E77" w:rsidRPr="62456E77">
        <w:rPr>
          <w:rFonts w:ascii="Times New Roman" w:eastAsia="Times New Roman" w:hAnsi="Times New Roman" w:cs="Times New Roman"/>
          <w:sz w:val="26"/>
          <w:szCs w:val="26"/>
        </w:rPr>
        <w:t>.</w:t>
      </w:r>
    </w:p>
    <w:p w14:paraId="69E4940B" w14:textId="75597E01" w:rsidR="46186346" w:rsidRDefault="46186346" w:rsidP="46186346">
      <w:pPr>
        <w:spacing w:before="160"/>
        <w:jc w:val="both"/>
        <w:rPr>
          <w:rFonts w:ascii="Times New Roman" w:eastAsia="Times New Roman" w:hAnsi="Times New Roman" w:cs="Times New Roman"/>
          <w:sz w:val="26"/>
          <w:szCs w:val="26"/>
        </w:rPr>
      </w:pPr>
    </w:p>
    <w:p w14:paraId="7B768C24" w14:textId="77777777" w:rsidR="00B155FE" w:rsidRPr="004966FE" w:rsidRDefault="62456E77" w:rsidP="62456E77">
      <w:pPr>
        <w:keepNext/>
        <w:pageBreakBefore/>
        <w:numPr>
          <w:ilvl w:val="0"/>
          <w:numId w:val="3"/>
        </w:numPr>
        <w:spacing w:after="120" w:line="240" w:lineRule="auto"/>
        <w:ind w:left="714" w:hanging="357"/>
        <w:jc w:val="both"/>
        <w:outlineLvl w:val="2"/>
        <w:rPr>
          <w:rFonts w:ascii="Times New Roman" w:eastAsia="Times New Roman" w:hAnsi="Times New Roman" w:cs="Times New Roman"/>
          <w:b/>
          <w:bCs/>
          <w:smallCaps/>
          <w:sz w:val="28"/>
          <w:szCs w:val="28"/>
          <w:lang w:eastAsia="hu-HU"/>
        </w:rPr>
      </w:pPr>
      <w:r w:rsidRPr="62456E77">
        <w:rPr>
          <w:rFonts w:ascii="Times New Roman" w:eastAsia="Times New Roman" w:hAnsi="Times New Roman" w:cs="Times New Roman"/>
          <w:b/>
          <w:bCs/>
          <w:smallCaps/>
          <w:sz w:val="28"/>
          <w:szCs w:val="28"/>
          <w:lang w:eastAsia="hu-HU"/>
        </w:rPr>
        <w:t xml:space="preserve">A költségvetési szervek és fejezeti kezelésű előirányzatok alakulása </w:t>
      </w:r>
    </w:p>
    <w:p w14:paraId="33892978" w14:textId="3E4148CA" w:rsidR="00B63DA3" w:rsidRPr="004966FE"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 xml:space="preserve">A </w:t>
      </w:r>
      <w:r w:rsidRPr="62456E77">
        <w:rPr>
          <w:rFonts w:ascii="Times New Roman" w:eastAsia="Times New Roman" w:hAnsi="Times New Roman" w:cs="Times New Roman"/>
          <w:b/>
          <w:bCs/>
          <w:sz w:val="26"/>
          <w:szCs w:val="26"/>
          <w:lang w:eastAsia="hu-HU"/>
        </w:rPr>
        <w:t>költségvetési szervek bevételei</w:t>
      </w:r>
      <w:r w:rsidRPr="62456E77">
        <w:rPr>
          <w:rFonts w:ascii="Times New Roman" w:eastAsia="Times New Roman" w:hAnsi="Times New Roman" w:cs="Times New Roman"/>
          <w:sz w:val="26"/>
          <w:szCs w:val="26"/>
          <w:lang w:eastAsia="hu-HU"/>
        </w:rPr>
        <w:t xml:space="preserve"> 2025 első három hónapjában 659,8 milliárd forintot tettek ki, amely 17,2%-kal alacsonyabb az előző év azonos időszakának bevételeihez képest. Az intézmények bevételei közül 409,6 milliárd forintot tett ki a Nemzeti Egészségbiztosítási Alapkezelő által az egészségügyi intézményeknek utalt támogatás.</w:t>
      </w:r>
    </w:p>
    <w:p w14:paraId="3008A395" w14:textId="1B09912E" w:rsidR="00B63DA3" w:rsidRPr="004966FE"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 xml:space="preserve">A </w:t>
      </w:r>
      <w:r w:rsidRPr="62456E77">
        <w:rPr>
          <w:rFonts w:ascii="Times New Roman" w:eastAsia="Times New Roman" w:hAnsi="Times New Roman" w:cs="Times New Roman"/>
          <w:b/>
          <w:bCs/>
          <w:sz w:val="26"/>
          <w:szCs w:val="26"/>
          <w:lang w:eastAsia="hu-HU"/>
        </w:rPr>
        <w:t>szakmai fejezeti kezelésű előirányzatok bevételei</w:t>
      </w:r>
      <w:r w:rsidRPr="62456E77">
        <w:rPr>
          <w:rFonts w:ascii="Times New Roman" w:eastAsia="Times New Roman" w:hAnsi="Times New Roman" w:cs="Times New Roman"/>
          <w:sz w:val="26"/>
          <w:szCs w:val="26"/>
          <w:lang w:eastAsia="hu-HU"/>
        </w:rPr>
        <w:t xml:space="preserve"> 2025 első három hónapjában 90,5 milliárd forintot tettek ki, mely 25,3%-kal magasabb az előző év azonos időszakának bevételéhez képest. A bevételek jelentős részét az „Alapok alapja GINOP pénzügyi eszközök” törvényi sorra befolyt összegek teszik ki, melyek nem uniós bevételként jóváírt tételek.</w:t>
      </w:r>
    </w:p>
    <w:p w14:paraId="56786471" w14:textId="64AF6685" w:rsidR="00B63DA3" w:rsidRPr="004966FE"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 xml:space="preserve">A </w:t>
      </w:r>
      <w:r w:rsidRPr="62456E77">
        <w:rPr>
          <w:rFonts w:ascii="Times New Roman" w:hAnsi="Times New Roman" w:cs="Times New Roman"/>
          <w:sz w:val="26"/>
          <w:szCs w:val="26"/>
          <w:lang w:eastAsia="hu-HU"/>
        </w:rPr>
        <w:t>2025. év első háromhavi, 750,2 milliárd forint összegű bevételek megoszlását a következő grafikon szemlélteti</w:t>
      </w:r>
      <w:r w:rsidRPr="62456E77">
        <w:rPr>
          <w:rFonts w:ascii="Times New Roman" w:eastAsia="Times New Roman" w:hAnsi="Times New Roman" w:cs="Times New Roman"/>
          <w:sz w:val="26"/>
          <w:szCs w:val="26"/>
          <w:lang w:eastAsia="hu-HU"/>
        </w:rPr>
        <w:t>:</w:t>
      </w:r>
    </w:p>
    <w:p w14:paraId="576D18BB" w14:textId="4B0E2DD1" w:rsidR="00B056CC" w:rsidRPr="00377D59" w:rsidRDefault="00CA6D70" w:rsidP="00C2238F">
      <w:pPr>
        <w:spacing w:before="240" w:after="120"/>
        <w:jc w:val="center"/>
        <w:rPr>
          <w:rFonts w:ascii="Times New Roman" w:eastAsia="Times New Roman" w:hAnsi="Times New Roman" w:cs="Times New Roman"/>
          <w:b/>
          <w:sz w:val="26"/>
          <w:szCs w:val="26"/>
        </w:rPr>
      </w:pPr>
      <w:r>
        <w:rPr>
          <w:noProof/>
          <w:lang w:eastAsia="hu-HU"/>
        </w:rPr>
        <w:drawing>
          <wp:inline distT="0" distB="0" distL="0" distR="0" wp14:anchorId="7A007554" wp14:editId="6AFA1E90">
            <wp:extent cx="5679168" cy="3162300"/>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4398"/>
                    <a:stretch/>
                  </pic:blipFill>
                  <pic:spPr bwMode="auto">
                    <a:xfrm>
                      <a:off x="0" y="0"/>
                      <a:ext cx="5679168" cy="3162300"/>
                    </a:xfrm>
                    <a:prstGeom prst="rect">
                      <a:avLst/>
                    </a:prstGeom>
                    <a:ln>
                      <a:noFill/>
                    </a:ln>
                    <a:extLst>
                      <a:ext uri="{53640926-AAD7-44D8-BBD7-CCE9431645EC}">
                        <a14:shadowObscured xmlns:a14="http://schemas.microsoft.com/office/drawing/2010/main"/>
                      </a:ext>
                    </a:extLst>
                  </pic:spPr>
                </pic:pic>
              </a:graphicData>
            </a:graphic>
          </wp:inline>
        </w:drawing>
      </w:r>
    </w:p>
    <w:p w14:paraId="26E52363" w14:textId="4DF06050" w:rsidR="00B63DA3" w:rsidRPr="004966FE"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 xml:space="preserve">A </w:t>
      </w:r>
      <w:r w:rsidRPr="62456E77">
        <w:rPr>
          <w:rFonts w:ascii="Times New Roman" w:eastAsia="Times New Roman" w:hAnsi="Times New Roman" w:cs="Times New Roman"/>
          <w:b/>
          <w:bCs/>
          <w:sz w:val="26"/>
          <w:szCs w:val="26"/>
          <w:lang w:eastAsia="hu-HU"/>
        </w:rPr>
        <w:t>Költségvetési szervek kiadásai</w:t>
      </w:r>
      <w:r w:rsidRPr="62456E77">
        <w:rPr>
          <w:rFonts w:ascii="Times New Roman" w:eastAsia="Times New Roman" w:hAnsi="Times New Roman" w:cs="Times New Roman"/>
          <w:sz w:val="26"/>
          <w:szCs w:val="26"/>
          <w:lang w:eastAsia="hu-HU"/>
        </w:rPr>
        <w:t xml:space="preserve"> mérlegsoron 2025 első három hónapjában 2 133,9 milliárd forint kiadás teljesült, mely 5,7%-kal magasabb az előző év azonos időszakának kiadásaihoz képest. A kiadásból 1 242,7 milliárd forint a személyi juttatásokra és munkaadókat terhelő járulékokra kifizetett összeg.</w:t>
      </w:r>
    </w:p>
    <w:p w14:paraId="690E18FB" w14:textId="08253116" w:rsidR="0074788C" w:rsidRPr="004966FE"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 xml:space="preserve">A </w:t>
      </w:r>
      <w:r w:rsidRPr="62456E77">
        <w:rPr>
          <w:rFonts w:ascii="Times New Roman" w:eastAsia="Times New Roman" w:hAnsi="Times New Roman" w:cs="Times New Roman"/>
          <w:b/>
          <w:bCs/>
          <w:sz w:val="26"/>
          <w:szCs w:val="26"/>
          <w:lang w:eastAsia="hu-HU"/>
        </w:rPr>
        <w:t>Szakmai fejezeti kezelésű előirányzatok kiadásai</w:t>
      </w:r>
      <w:r w:rsidRPr="62456E77">
        <w:rPr>
          <w:rFonts w:ascii="Times New Roman" w:eastAsia="Times New Roman" w:hAnsi="Times New Roman" w:cs="Times New Roman"/>
          <w:sz w:val="26"/>
          <w:szCs w:val="26"/>
          <w:lang w:eastAsia="hu-HU"/>
        </w:rPr>
        <w:t xml:space="preserve"> mérlegsoron 2025 első három hónapjában 1 244,1 milliárd forint kiadás teljesült, mely 6,9%-kal magasabb, mint az előző év azonos időszakának kiadása. Ezen időszak teljesítéséből az alábbi kiadások emelhetők ki:</w:t>
      </w:r>
    </w:p>
    <w:p w14:paraId="1F07A5C3" w14:textId="5CE13A09" w:rsidR="000E4F73" w:rsidRPr="004966FE" w:rsidRDefault="5DC4A04A" w:rsidP="0E6BB81D">
      <w:pPr>
        <w:jc w:val="both"/>
        <w:rPr>
          <w:rFonts w:ascii="Times New Roman" w:eastAsia="Times New Roman" w:hAnsi="Times New Roman" w:cs="Times New Roman"/>
          <w:color w:val="FF0000"/>
          <w:sz w:val="26"/>
          <w:szCs w:val="26"/>
          <w:lang w:eastAsia="hu-HU"/>
        </w:rPr>
      </w:pPr>
      <w:r w:rsidRPr="004966FE">
        <w:rPr>
          <w:rFonts w:ascii="Times New Roman" w:eastAsia="Times New Roman" w:hAnsi="Times New Roman" w:cs="Times New Roman"/>
          <w:color w:val="FF0000"/>
          <w:sz w:val="26"/>
          <w:szCs w:val="26"/>
          <w:lang w:eastAsia="hu-HU"/>
        </w:rPr>
        <w:br w:type="page"/>
      </w:r>
    </w:p>
    <w:p w14:paraId="036EE87C" w14:textId="77777777" w:rsidR="000E4F73" w:rsidRPr="00A61DE1" w:rsidRDefault="62456E77" w:rsidP="62456E77">
      <w:pPr>
        <w:spacing w:after="120" w:line="240" w:lineRule="auto"/>
        <w:jc w:val="right"/>
        <w:rPr>
          <w:rFonts w:ascii="Times New Roman" w:eastAsia="Times New Roman" w:hAnsi="Times New Roman" w:cs="Times New Roman"/>
          <w:i/>
          <w:iCs/>
          <w:sz w:val="20"/>
          <w:szCs w:val="20"/>
          <w:lang w:eastAsia="hu-HU"/>
        </w:rPr>
      </w:pPr>
      <w:proofErr w:type="gramStart"/>
      <w:r w:rsidRPr="62456E77">
        <w:rPr>
          <w:rFonts w:ascii="Times New Roman" w:eastAsia="Times New Roman" w:hAnsi="Times New Roman" w:cs="Times New Roman"/>
          <w:i/>
          <w:iCs/>
          <w:sz w:val="20"/>
          <w:szCs w:val="20"/>
          <w:lang w:eastAsia="hu-HU"/>
        </w:rPr>
        <w:t>milliárd</w:t>
      </w:r>
      <w:proofErr w:type="gramEnd"/>
      <w:r w:rsidRPr="62456E77">
        <w:rPr>
          <w:rFonts w:ascii="Times New Roman" w:eastAsia="Times New Roman" w:hAnsi="Times New Roman" w:cs="Times New Roman"/>
          <w:i/>
          <w:iCs/>
          <w:sz w:val="20"/>
          <w:szCs w:val="20"/>
          <w:lang w:eastAsia="hu-HU"/>
        </w:rPr>
        <w:t xml:space="preserve"> forint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51"/>
        <w:gridCol w:w="992"/>
      </w:tblGrid>
      <w:tr w:rsidR="00A61DE1" w:rsidRPr="00A61DE1" w14:paraId="26A524AC" w14:textId="77777777" w:rsidTr="62456E77">
        <w:trPr>
          <w:trHeight w:val="340"/>
        </w:trPr>
        <w:tc>
          <w:tcPr>
            <w:tcW w:w="8251" w:type="dxa"/>
            <w:tcMar>
              <w:top w:w="0" w:type="dxa"/>
              <w:left w:w="108" w:type="dxa"/>
              <w:bottom w:w="0" w:type="dxa"/>
              <w:right w:w="108" w:type="dxa"/>
            </w:tcMar>
            <w:vAlign w:val="center"/>
            <w:hideMark/>
          </w:tcPr>
          <w:p w14:paraId="6ABFE3F3" w14:textId="77777777" w:rsidR="009E65F5" w:rsidRPr="00A61DE1" w:rsidRDefault="62456E77" w:rsidP="62456E77">
            <w:pPr>
              <w:spacing w:after="0" w:line="240" w:lineRule="auto"/>
              <w:jc w:val="both"/>
              <w:rPr>
                <w:rFonts w:ascii="Times New Roman" w:hAnsi="Times New Roman" w:cs="Times New Roman"/>
                <w:lang w:eastAsia="hu-HU"/>
              </w:rPr>
            </w:pPr>
            <w:r w:rsidRPr="62456E77">
              <w:rPr>
                <w:rFonts w:ascii="Times New Roman" w:hAnsi="Times New Roman" w:cs="Times New Roman"/>
                <w:lang w:eastAsia="hu-HU"/>
              </w:rPr>
              <w:t>Normatív finanszírozás (köznevelési célú humánszolgáltatás és működési támogatás, hit- és erkölcstanoktatás és tankönyvtámogatás, illetve szociális, gyermekvédelmi, gyermekjóléti és fogyatékos személyek esélyegyenlőségét elősegítő célelőirányzatok)</w:t>
            </w:r>
          </w:p>
        </w:tc>
        <w:tc>
          <w:tcPr>
            <w:tcW w:w="992" w:type="dxa"/>
            <w:noWrap/>
            <w:tcMar>
              <w:top w:w="0" w:type="dxa"/>
              <w:left w:w="108" w:type="dxa"/>
              <w:bottom w:w="0" w:type="dxa"/>
              <w:right w:w="108" w:type="dxa"/>
            </w:tcMar>
            <w:vAlign w:val="center"/>
          </w:tcPr>
          <w:p w14:paraId="5E98CAB3" w14:textId="36814DD0" w:rsidR="009E65F5" w:rsidRPr="00A61DE1" w:rsidRDefault="62456E77" w:rsidP="62456E77">
            <w:pPr>
              <w:spacing w:after="0" w:line="240" w:lineRule="auto"/>
              <w:jc w:val="right"/>
              <w:rPr>
                <w:rFonts w:ascii="Times New Roman" w:hAnsi="Times New Roman" w:cs="Times New Roman"/>
                <w:lang w:eastAsia="hu-HU"/>
              </w:rPr>
            </w:pPr>
            <w:r w:rsidRPr="62456E77">
              <w:rPr>
                <w:rFonts w:ascii="Times New Roman" w:hAnsi="Times New Roman" w:cs="Times New Roman"/>
                <w:lang w:eastAsia="hu-HU"/>
              </w:rPr>
              <w:t>245,1</w:t>
            </w:r>
          </w:p>
        </w:tc>
      </w:tr>
      <w:tr w:rsidR="00A61DE1" w:rsidRPr="00A61DE1" w14:paraId="0AE5AE84" w14:textId="77777777" w:rsidTr="62456E77">
        <w:trPr>
          <w:trHeight w:val="283"/>
        </w:trPr>
        <w:tc>
          <w:tcPr>
            <w:tcW w:w="8251" w:type="dxa"/>
            <w:tcMar>
              <w:top w:w="0" w:type="dxa"/>
              <w:left w:w="108" w:type="dxa"/>
              <w:bottom w:w="0" w:type="dxa"/>
              <w:right w:w="108" w:type="dxa"/>
            </w:tcMar>
            <w:vAlign w:val="center"/>
            <w:hideMark/>
          </w:tcPr>
          <w:p w14:paraId="788D5244" w14:textId="77777777" w:rsidR="004F3641" w:rsidRPr="00A61DE1" w:rsidRDefault="62456E77" w:rsidP="62456E77">
            <w:pPr>
              <w:spacing w:after="0" w:line="240" w:lineRule="auto"/>
              <w:jc w:val="both"/>
              <w:rPr>
                <w:rFonts w:ascii="Times New Roman" w:hAnsi="Times New Roman" w:cs="Times New Roman"/>
                <w:lang w:eastAsia="hu-HU"/>
              </w:rPr>
            </w:pPr>
            <w:r w:rsidRPr="62456E77">
              <w:rPr>
                <w:rFonts w:ascii="Times New Roman" w:hAnsi="Times New Roman" w:cs="Times New Roman"/>
                <w:lang w:eastAsia="hu-HU"/>
              </w:rPr>
              <w:t>Nem állami felsőoktatási intézmények támogatása</w:t>
            </w:r>
          </w:p>
        </w:tc>
        <w:tc>
          <w:tcPr>
            <w:tcW w:w="992" w:type="dxa"/>
            <w:noWrap/>
            <w:tcMar>
              <w:top w:w="0" w:type="dxa"/>
              <w:left w:w="108" w:type="dxa"/>
              <w:bottom w:w="0" w:type="dxa"/>
              <w:right w:w="108" w:type="dxa"/>
            </w:tcMar>
            <w:vAlign w:val="center"/>
          </w:tcPr>
          <w:p w14:paraId="6099E4A6" w14:textId="0F3C5371" w:rsidR="004F3641" w:rsidRPr="00A61DE1" w:rsidRDefault="62456E77" w:rsidP="62456E77">
            <w:pPr>
              <w:spacing w:after="0" w:line="240" w:lineRule="auto"/>
              <w:jc w:val="right"/>
              <w:rPr>
                <w:rFonts w:ascii="Times New Roman" w:hAnsi="Times New Roman" w:cs="Times New Roman"/>
                <w:lang w:eastAsia="hu-HU"/>
              </w:rPr>
            </w:pPr>
            <w:r w:rsidRPr="62456E77">
              <w:rPr>
                <w:rFonts w:ascii="Times New Roman" w:hAnsi="Times New Roman" w:cs="Times New Roman"/>
                <w:lang w:eastAsia="hu-HU"/>
              </w:rPr>
              <w:t>202,4</w:t>
            </w:r>
          </w:p>
        </w:tc>
      </w:tr>
      <w:tr w:rsidR="00A61DE1" w:rsidRPr="00A61DE1" w14:paraId="3695AB0C" w14:textId="77777777" w:rsidTr="62456E77">
        <w:trPr>
          <w:trHeight w:val="283"/>
        </w:trPr>
        <w:tc>
          <w:tcPr>
            <w:tcW w:w="8251" w:type="dxa"/>
            <w:tcMar>
              <w:top w:w="0" w:type="dxa"/>
              <w:left w:w="108" w:type="dxa"/>
              <w:bottom w:w="0" w:type="dxa"/>
              <w:right w:w="108" w:type="dxa"/>
            </w:tcMar>
            <w:vAlign w:val="center"/>
            <w:hideMark/>
          </w:tcPr>
          <w:p w14:paraId="5DD694C2" w14:textId="77777777" w:rsidR="003112A9" w:rsidRPr="00A61DE1" w:rsidRDefault="62456E77" w:rsidP="62456E77">
            <w:pPr>
              <w:spacing w:after="0" w:line="240" w:lineRule="auto"/>
              <w:jc w:val="both"/>
              <w:rPr>
                <w:rFonts w:ascii="Times New Roman" w:hAnsi="Times New Roman" w:cs="Times New Roman"/>
                <w:lang w:eastAsia="hu-HU"/>
              </w:rPr>
            </w:pPr>
            <w:r w:rsidRPr="62456E77">
              <w:rPr>
                <w:rFonts w:ascii="Times New Roman" w:hAnsi="Times New Roman" w:cs="Times New Roman"/>
                <w:lang w:eastAsia="hu-HU"/>
              </w:rPr>
              <w:t>Turisztikai fejlesztési célelőirányzat</w:t>
            </w:r>
          </w:p>
        </w:tc>
        <w:tc>
          <w:tcPr>
            <w:tcW w:w="992" w:type="dxa"/>
            <w:noWrap/>
            <w:tcMar>
              <w:top w:w="0" w:type="dxa"/>
              <w:left w:w="108" w:type="dxa"/>
              <w:bottom w:w="0" w:type="dxa"/>
              <w:right w:w="108" w:type="dxa"/>
            </w:tcMar>
            <w:vAlign w:val="center"/>
          </w:tcPr>
          <w:p w14:paraId="0C15ACDF" w14:textId="4193EC6D" w:rsidR="003112A9" w:rsidRPr="00A61DE1" w:rsidRDefault="62456E77" w:rsidP="62456E77">
            <w:pPr>
              <w:spacing w:after="0" w:line="240" w:lineRule="auto"/>
              <w:jc w:val="right"/>
              <w:rPr>
                <w:rFonts w:ascii="Times New Roman" w:hAnsi="Times New Roman" w:cs="Times New Roman"/>
                <w:lang w:eastAsia="hu-HU"/>
              </w:rPr>
            </w:pPr>
            <w:r w:rsidRPr="62456E77">
              <w:rPr>
                <w:rFonts w:ascii="Times New Roman" w:hAnsi="Times New Roman" w:cs="Times New Roman"/>
                <w:lang w:eastAsia="hu-HU"/>
              </w:rPr>
              <w:t>64,1</w:t>
            </w:r>
          </w:p>
        </w:tc>
      </w:tr>
      <w:tr w:rsidR="00A61DE1" w:rsidRPr="00A61DE1" w14:paraId="42DCA3C3" w14:textId="77777777" w:rsidTr="62456E77">
        <w:trPr>
          <w:trHeight w:val="283"/>
        </w:trPr>
        <w:tc>
          <w:tcPr>
            <w:tcW w:w="8251" w:type="dxa"/>
            <w:tcMar>
              <w:top w:w="0" w:type="dxa"/>
              <w:left w:w="108" w:type="dxa"/>
              <w:bottom w:w="0" w:type="dxa"/>
              <w:right w:w="108" w:type="dxa"/>
            </w:tcMar>
            <w:vAlign w:val="center"/>
          </w:tcPr>
          <w:p w14:paraId="7FA3B2CA" w14:textId="1609F45A" w:rsidR="00A61DE1" w:rsidRPr="00A61DE1" w:rsidRDefault="62456E77" w:rsidP="62456E77">
            <w:pPr>
              <w:spacing w:after="0" w:line="240" w:lineRule="auto"/>
              <w:jc w:val="both"/>
              <w:rPr>
                <w:rFonts w:ascii="Times New Roman" w:hAnsi="Times New Roman" w:cs="Times New Roman"/>
                <w:lang w:eastAsia="hu-HU"/>
              </w:rPr>
            </w:pPr>
            <w:r w:rsidRPr="62456E77">
              <w:rPr>
                <w:rFonts w:ascii="Times New Roman" w:hAnsi="Times New Roman" w:cs="Times New Roman"/>
                <w:lang w:eastAsia="hu-HU"/>
              </w:rPr>
              <w:t>Közlekedési ágazati programok</w:t>
            </w:r>
          </w:p>
        </w:tc>
        <w:tc>
          <w:tcPr>
            <w:tcW w:w="992" w:type="dxa"/>
            <w:noWrap/>
            <w:tcMar>
              <w:top w:w="0" w:type="dxa"/>
              <w:left w:w="108" w:type="dxa"/>
              <w:bottom w:w="0" w:type="dxa"/>
              <w:right w:w="108" w:type="dxa"/>
            </w:tcMar>
            <w:vAlign w:val="center"/>
          </w:tcPr>
          <w:p w14:paraId="460EDA61" w14:textId="16EFE22F" w:rsidR="00A61DE1" w:rsidRPr="00A61DE1" w:rsidRDefault="62456E77" w:rsidP="62456E77">
            <w:pPr>
              <w:spacing w:after="0" w:line="240" w:lineRule="auto"/>
              <w:jc w:val="right"/>
              <w:rPr>
                <w:rFonts w:ascii="Times New Roman" w:hAnsi="Times New Roman" w:cs="Times New Roman"/>
                <w:lang w:eastAsia="hu-HU"/>
              </w:rPr>
            </w:pPr>
            <w:r w:rsidRPr="62456E77">
              <w:rPr>
                <w:rFonts w:ascii="Times New Roman" w:hAnsi="Times New Roman" w:cs="Times New Roman"/>
                <w:lang w:eastAsia="hu-HU"/>
              </w:rPr>
              <w:t>56,7</w:t>
            </w:r>
          </w:p>
        </w:tc>
      </w:tr>
      <w:tr w:rsidR="00A61DE1" w:rsidRPr="00A61DE1" w14:paraId="7DCE9164" w14:textId="77777777" w:rsidTr="62456E77">
        <w:trPr>
          <w:trHeight w:val="283"/>
        </w:trPr>
        <w:tc>
          <w:tcPr>
            <w:tcW w:w="8251" w:type="dxa"/>
            <w:tcMar>
              <w:top w:w="0" w:type="dxa"/>
              <w:left w:w="108" w:type="dxa"/>
              <w:bottom w:w="0" w:type="dxa"/>
              <w:right w:w="108" w:type="dxa"/>
            </w:tcMar>
            <w:vAlign w:val="center"/>
          </w:tcPr>
          <w:p w14:paraId="7FA15660" w14:textId="027CB3C5" w:rsidR="00A61DE1" w:rsidRDefault="62456E77" w:rsidP="62456E77">
            <w:pPr>
              <w:spacing w:after="0" w:line="240" w:lineRule="auto"/>
              <w:jc w:val="both"/>
              <w:rPr>
                <w:rFonts w:ascii="Times New Roman" w:hAnsi="Times New Roman" w:cs="Times New Roman"/>
                <w:lang w:eastAsia="hu-HU"/>
              </w:rPr>
            </w:pPr>
            <w:r w:rsidRPr="62456E77">
              <w:rPr>
                <w:rFonts w:ascii="Times New Roman" w:hAnsi="Times New Roman" w:cs="Times New Roman"/>
                <w:lang w:eastAsia="hu-HU"/>
              </w:rPr>
              <w:t>Térségi fejlesztési feladatok</w:t>
            </w:r>
          </w:p>
        </w:tc>
        <w:tc>
          <w:tcPr>
            <w:tcW w:w="992" w:type="dxa"/>
            <w:noWrap/>
            <w:tcMar>
              <w:top w:w="0" w:type="dxa"/>
              <w:left w:w="108" w:type="dxa"/>
              <w:bottom w:w="0" w:type="dxa"/>
              <w:right w:w="108" w:type="dxa"/>
            </w:tcMar>
            <w:vAlign w:val="center"/>
          </w:tcPr>
          <w:p w14:paraId="6B7B8C9F" w14:textId="05093050" w:rsidR="00A61DE1" w:rsidRDefault="62456E77" w:rsidP="62456E77">
            <w:pPr>
              <w:spacing w:after="0" w:line="240" w:lineRule="auto"/>
              <w:jc w:val="right"/>
              <w:rPr>
                <w:rFonts w:ascii="Times New Roman" w:hAnsi="Times New Roman" w:cs="Times New Roman"/>
                <w:lang w:eastAsia="hu-HU"/>
              </w:rPr>
            </w:pPr>
            <w:r w:rsidRPr="62456E77">
              <w:rPr>
                <w:rFonts w:ascii="Times New Roman" w:hAnsi="Times New Roman" w:cs="Times New Roman"/>
                <w:lang w:eastAsia="hu-HU"/>
              </w:rPr>
              <w:t>50,0</w:t>
            </w:r>
          </w:p>
        </w:tc>
      </w:tr>
      <w:tr w:rsidR="00A61DE1" w:rsidRPr="00A61DE1" w14:paraId="54E44312" w14:textId="77777777" w:rsidTr="62456E77">
        <w:trPr>
          <w:trHeight w:val="283"/>
        </w:trPr>
        <w:tc>
          <w:tcPr>
            <w:tcW w:w="8251" w:type="dxa"/>
            <w:tcMar>
              <w:top w:w="0" w:type="dxa"/>
              <w:left w:w="108" w:type="dxa"/>
              <w:bottom w:w="0" w:type="dxa"/>
              <w:right w:w="108" w:type="dxa"/>
            </w:tcMar>
            <w:vAlign w:val="center"/>
          </w:tcPr>
          <w:p w14:paraId="15AF8429" w14:textId="4FA24CCF" w:rsidR="009E65F5" w:rsidRPr="00A61DE1" w:rsidRDefault="62456E77" w:rsidP="62456E77">
            <w:pPr>
              <w:spacing w:after="0" w:line="240" w:lineRule="auto"/>
              <w:jc w:val="both"/>
              <w:rPr>
                <w:rFonts w:ascii="Times New Roman" w:hAnsi="Times New Roman" w:cs="Times New Roman"/>
                <w:lang w:eastAsia="hu-HU"/>
              </w:rPr>
            </w:pPr>
            <w:r w:rsidRPr="62456E77">
              <w:rPr>
                <w:rFonts w:ascii="Times New Roman" w:hAnsi="Times New Roman" w:cs="Times New Roman"/>
                <w:lang w:eastAsia="hu-HU"/>
              </w:rPr>
              <w:t>Víziközmű-fejlesztések</w:t>
            </w:r>
          </w:p>
        </w:tc>
        <w:tc>
          <w:tcPr>
            <w:tcW w:w="992" w:type="dxa"/>
            <w:noWrap/>
            <w:tcMar>
              <w:top w:w="0" w:type="dxa"/>
              <w:left w:w="108" w:type="dxa"/>
              <w:bottom w:w="0" w:type="dxa"/>
              <w:right w:w="108" w:type="dxa"/>
            </w:tcMar>
            <w:vAlign w:val="center"/>
          </w:tcPr>
          <w:p w14:paraId="096DD07F" w14:textId="20697605" w:rsidR="009E65F5" w:rsidRPr="00A61DE1" w:rsidRDefault="62456E77" w:rsidP="62456E77">
            <w:pPr>
              <w:spacing w:after="0" w:line="240" w:lineRule="auto"/>
              <w:jc w:val="right"/>
              <w:rPr>
                <w:rFonts w:ascii="Times New Roman" w:hAnsi="Times New Roman" w:cs="Times New Roman"/>
                <w:lang w:eastAsia="hu-HU"/>
              </w:rPr>
            </w:pPr>
            <w:r w:rsidRPr="62456E77">
              <w:rPr>
                <w:rFonts w:ascii="Times New Roman" w:hAnsi="Times New Roman" w:cs="Times New Roman"/>
                <w:lang w:eastAsia="hu-HU"/>
              </w:rPr>
              <w:t>39,0</w:t>
            </w:r>
          </w:p>
        </w:tc>
      </w:tr>
    </w:tbl>
    <w:p w14:paraId="130E1B4D" w14:textId="5B331C9B" w:rsidR="0033462C" w:rsidRPr="00A61DE1" w:rsidRDefault="62456E77" w:rsidP="62456E77">
      <w:pPr>
        <w:spacing w:before="160" w:after="0"/>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A 2025. év első háromhavi, 3 378,0 milliárd forint összegű kiadásai megoszlását a következő grafikon szemlélteti:</w:t>
      </w:r>
    </w:p>
    <w:p w14:paraId="3599A16D" w14:textId="0176E388" w:rsidR="00B056CC" w:rsidRDefault="003E4A11" w:rsidP="009C33A4">
      <w:pPr>
        <w:spacing w:before="240"/>
        <w:jc w:val="center"/>
        <w:rPr>
          <w:rFonts w:ascii="Times New Roman" w:eastAsia="Times New Roman" w:hAnsi="Times New Roman" w:cs="Times New Roman"/>
          <w:b/>
          <w:sz w:val="26"/>
          <w:szCs w:val="26"/>
        </w:rPr>
      </w:pPr>
      <w:r>
        <w:rPr>
          <w:noProof/>
          <w:lang w:eastAsia="hu-HU"/>
        </w:rPr>
        <w:drawing>
          <wp:inline distT="0" distB="0" distL="0" distR="0" wp14:anchorId="4903982C" wp14:editId="6DE0B1FD">
            <wp:extent cx="5940425" cy="3364230"/>
            <wp:effectExtent l="0" t="0" r="3175" b="762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940425" cy="3364230"/>
                    </a:xfrm>
                    <a:prstGeom prst="rect">
                      <a:avLst/>
                    </a:prstGeom>
                  </pic:spPr>
                </pic:pic>
              </a:graphicData>
            </a:graphic>
          </wp:inline>
        </w:drawing>
      </w:r>
    </w:p>
    <w:p w14:paraId="7B768C4E" w14:textId="3E063542" w:rsidR="00B155FE" w:rsidRPr="00377D59" w:rsidRDefault="62456E77" w:rsidP="62456E77">
      <w:pPr>
        <w:keepNext/>
        <w:numPr>
          <w:ilvl w:val="0"/>
          <w:numId w:val="3"/>
        </w:numPr>
        <w:ind w:left="714" w:hanging="357"/>
        <w:jc w:val="both"/>
        <w:outlineLvl w:val="2"/>
        <w:rPr>
          <w:rFonts w:ascii="Times New Roman" w:eastAsia="Times New Roman" w:hAnsi="Times New Roman" w:cs="Times New Roman"/>
          <w:b/>
          <w:bCs/>
          <w:smallCaps/>
          <w:sz w:val="28"/>
          <w:szCs w:val="28"/>
          <w:lang w:eastAsia="hu-HU"/>
        </w:rPr>
      </w:pPr>
      <w:r w:rsidRPr="62456E77">
        <w:rPr>
          <w:rFonts w:ascii="Times New Roman" w:eastAsia="Times New Roman" w:hAnsi="Times New Roman" w:cs="Times New Roman"/>
          <w:b/>
          <w:bCs/>
          <w:smallCaps/>
          <w:sz w:val="28"/>
          <w:szCs w:val="28"/>
          <w:lang w:eastAsia="hu-HU"/>
        </w:rPr>
        <w:t>Kamategyenleg</w:t>
      </w:r>
    </w:p>
    <w:p w14:paraId="0047F521" w14:textId="732B5A37" w:rsidR="003F3151" w:rsidRDefault="62456E77" w:rsidP="62456E77">
      <w:pPr>
        <w:jc w:val="both"/>
        <w:rPr>
          <w:rFonts w:ascii="Times New Roman" w:hAnsi="Times New Roman" w:cs="Times New Roman"/>
          <w:sz w:val="26"/>
          <w:szCs w:val="26"/>
        </w:rPr>
      </w:pPr>
      <w:r w:rsidRPr="62456E77">
        <w:rPr>
          <w:rFonts w:ascii="Times New Roman" w:hAnsi="Times New Roman" w:cs="Times New Roman"/>
          <w:sz w:val="26"/>
          <w:szCs w:val="26"/>
          <w:lang w:eastAsia="hu-HU"/>
        </w:rPr>
        <w:t>A bevételek és kiad</w:t>
      </w:r>
      <w:r w:rsidR="00D008E3">
        <w:rPr>
          <w:rFonts w:ascii="Times New Roman" w:hAnsi="Times New Roman" w:cs="Times New Roman"/>
          <w:sz w:val="26"/>
          <w:szCs w:val="26"/>
          <w:lang w:eastAsia="hu-HU"/>
        </w:rPr>
        <w:t>ások egyenlegeként adódó 1 455,</w:t>
      </w:r>
      <w:r w:rsidRPr="62456E77">
        <w:rPr>
          <w:rFonts w:ascii="Times New Roman" w:hAnsi="Times New Roman" w:cs="Times New Roman"/>
          <w:sz w:val="26"/>
          <w:szCs w:val="26"/>
          <w:lang w:eastAsia="hu-HU"/>
        </w:rPr>
        <w:t xml:space="preserve">6 milliárd forint összegű </w:t>
      </w:r>
      <w:r w:rsidRPr="62456E77">
        <w:rPr>
          <w:rFonts w:ascii="Times New Roman" w:hAnsi="Times New Roman" w:cs="Times New Roman"/>
          <w:b/>
          <w:bCs/>
          <w:sz w:val="26"/>
          <w:szCs w:val="26"/>
          <w:lang w:eastAsia="hu-HU"/>
        </w:rPr>
        <w:t>nettó</w:t>
      </w:r>
      <w:r w:rsidRPr="62456E77">
        <w:rPr>
          <w:rFonts w:ascii="Times New Roman" w:hAnsi="Times New Roman" w:cs="Times New Roman"/>
          <w:b/>
          <w:bCs/>
          <w:sz w:val="26"/>
          <w:szCs w:val="26"/>
        </w:rPr>
        <w:t xml:space="preserve"> kamatkiadás</w:t>
      </w:r>
      <w:r w:rsidRPr="62456E77">
        <w:rPr>
          <w:rFonts w:ascii="Times New Roman" w:hAnsi="Times New Roman" w:cs="Times New Roman"/>
          <w:sz w:val="26"/>
          <w:szCs w:val="26"/>
        </w:rPr>
        <w:t xml:space="preserve"> </w:t>
      </w:r>
      <w:r w:rsidR="00D008E3">
        <w:rPr>
          <w:rFonts w:ascii="Times New Roman" w:hAnsi="Times New Roman" w:cs="Times New Roman"/>
          <w:sz w:val="26"/>
          <w:szCs w:val="26"/>
        </w:rPr>
        <w:t>március</w:t>
      </w:r>
      <w:r w:rsidRPr="62456E77">
        <w:rPr>
          <w:rFonts w:ascii="Times New Roman" w:hAnsi="Times New Roman" w:cs="Times New Roman"/>
          <w:sz w:val="26"/>
          <w:szCs w:val="26"/>
        </w:rPr>
        <w:t xml:space="preserve"> végéig 349,2 milliárd forinttal lett magasabb az előző évhez képest, mely az előző évitől különböző hozamokkal és finanszírozási szerkezettel magyarázható.</w:t>
      </w:r>
    </w:p>
    <w:p w14:paraId="7B768C50" w14:textId="77777777" w:rsidR="00B155FE" w:rsidRPr="00377D59" w:rsidRDefault="00B155FE" w:rsidP="00B155FE">
      <w:pPr>
        <w:tabs>
          <w:tab w:val="left" w:pos="550"/>
        </w:tabs>
        <w:spacing w:before="120" w:after="120" w:line="240" w:lineRule="auto"/>
        <w:jc w:val="both"/>
        <w:rPr>
          <w:rFonts w:ascii="Times New Roman" w:eastAsia="Times New Roman" w:hAnsi="Times New Roman" w:cs="Times New Roman"/>
          <w:caps/>
          <w:sz w:val="26"/>
          <w:szCs w:val="20"/>
          <w:lang w:eastAsia="hu-HU"/>
        </w:rPr>
      </w:pPr>
      <w:r w:rsidRPr="00377D59">
        <w:rPr>
          <w:rFonts w:ascii="Times New Roman" w:eastAsia="Times New Roman" w:hAnsi="Times New Roman" w:cs="Times New Roman"/>
          <w:caps/>
          <w:sz w:val="26"/>
          <w:szCs w:val="20"/>
          <w:lang w:eastAsia="hu-HU"/>
        </w:rPr>
        <w:br w:type="page"/>
      </w:r>
    </w:p>
    <w:p w14:paraId="688B9DA7" w14:textId="77777777" w:rsidR="00C9408B" w:rsidRDefault="62456E77" w:rsidP="62456E77">
      <w:pPr>
        <w:keepNext/>
        <w:spacing w:after="120" w:line="240" w:lineRule="auto"/>
        <w:jc w:val="center"/>
        <w:outlineLvl w:val="3"/>
        <w:rPr>
          <w:rFonts w:ascii="Times New Roman" w:eastAsia="Times New Roman" w:hAnsi="Times New Roman" w:cs="Times New Roman"/>
          <w:b/>
          <w:bCs/>
          <w:caps/>
          <w:sz w:val="26"/>
          <w:szCs w:val="26"/>
          <w:lang w:eastAsia="hu-HU"/>
        </w:rPr>
      </w:pPr>
      <w:r w:rsidRPr="62456E77">
        <w:rPr>
          <w:rFonts w:ascii="Times New Roman" w:eastAsia="Times New Roman" w:hAnsi="Times New Roman" w:cs="Times New Roman"/>
          <w:b/>
          <w:bCs/>
          <w:caps/>
          <w:sz w:val="26"/>
          <w:szCs w:val="26"/>
          <w:lang w:eastAsia="hu-HU"/>
        </w:rPr>
        <w:t>II.</w:t>
      </w:r>
    </w:p>
    <w:p w14:paraId="7B768C51" w14:textId="63BB059C" w:rsidR="00B155FE" w:rsidRPr="00377D59" w:rsidRDefault="62456E77" w:rsidP="62456E77">
      <w:pPr>
        <w:keepNext/>
        <w:spacing w:after="240" w:line="240" w:lineRule="auto"/>
        <w:jc w:val="center"/>
        <w:outlineLvl w:val="3"/>
        <w:rPr>
          <w:rFonts w:ascii="Times New Roman" w:eastAsia="Times New Roman" w:hAnsi="Times New Roman" w:cs="Times New Roman"/>
          <w:b/>
          <w:bCs/>
          <w:caps/>
          <w:sz w:val="26"/>
          <w:szCs w:val="26"/>
          <w:lang w:eastAsia="hu-HU"/>
        </w:rPr>
      </w:pPr>
      <w:r w:rsidRPr="62456E77">
        <w:rPr>
          <w:rFonts w:ascii="Times New Roman" w:eastAsia="Times New Roman" w:hAnsi="Times New Roman" w:cs="Times New Roman"/>
          <w:b/>
          <w:bCs/>
          <w:caps/>
          <w:sz w:val="26"/>
          <w:szCs w:val="26"/>
          <w:lang w:eastAsia="hu-HU"/>
        </w:rPr>
        <w:t>Az államháztartás központi alrendszerének finanszírozása</w:t>
      </w:r>
    </w:p>
    <w:p w14:paraId="06C778E7" w14:textId="15E1416D" w:rsidR="00710A26" w:rsidRPr="008E6DF0" w:rsidRDefault="62456E77" w:rsidP="62456E77">
      <w:pPr>
        <w:ind w:right="23"/>
        <w:jc w:val="both"/>
        <w:rPr>
          <w:rFonts w:ascii="Times New Roman" w:eastAsia="Times New Roman" w:hAnsi="Times New Roman" w:cs="Times New Roman"/>
          <w:b/>
          <w:bCs/>
          <w:sz w:val="26"/>
          <w:szCs w:val="26"/>
          <w:lang w:eastAsia="hu-HU"/>
        </w:rPr>
      </w:pPr>
      <w:r w:rsidRPr="62456E77">
        <w:rPr>
          <w:rFonts w:ascii="Times New Roman" w:eastAsia="Times New Roman" w:hAnsi="Times New Roman" w:cs="Times New Roman"/>
          <w:sz w:val="26"/>
          <w:szCs w:val="26"/>
          <w:lang w:eastAsia="hu-HU"/>
        </w:rPr>
        <w:t>A központi költségvetés adóssága 2025. március végéig 2 283,5 milliárd forinttal növekedett a következő négy tényező eredményeképpen:</w:t>
      </w:r>
    </w:p>
    <w:p w14:paraId="3D693CF9" w14:textId="0416E20D" w:rsidR="008E1BBA" w:rsidRPr="008E1BBA" w:rsidRDefault="62456E77" w:rsidP="62456E77">
      <w:pPr>
        <w:pStyle w:val="Listaszerbekezds"/>
        <w:numPr>
          <w:ilvl w:val="0"/>
          <w:numId w:val="2"/>
        </w:num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b/>
          <w:bCs/>
          <w:sz w:val="26"/>
          <w:szCs w:val="26"/>
          <w:lang w:eastAsia="hu-HU"/>
        </w:rPr>
        <w:t>Az első tényező, amely növelte az adósságot</w:t>
      </w:r>
      <w:r w:rsidRPr="62456E77">
        <w:rPr>
          <w:rFonts w:ascii="Times New Roman" w:eastAsia="Times New Roman" w:hAnsi="Times New Roman" w:cs="Times New Roman"/>
          <w:sz w:val="26"/>
          <w:szCs w:val="26"/>
          <w:lang w:eastAsia="hu-HU"/>
        </w:rPr>
        <w:t xml:space="preserve"> a nettó forintkibocsátás 1 767,2 milliárd forint összegben, ami a költségvetés hiányát finanszírozza és részben a KESZ állományát növeli.</w:t>
      </w:r>
    </w:p>
    <w:p w14:paraId="56940269" w14:textId="37B6A5B2" w:rsidR="008E1BBA" w:rsidRPr="008E1BBA" w:rsidRDefault="62456E77" w:rsidP="62456E77">
      <w:pPr>
        <w:pStyle w:val="Listaszerbekezds"/>
        <w:numPr>
          <w:ilvl w:val="0"/>
          <w:numId w:val="2"/>
        </w:num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b/>
          <w:bCs/>
          <w:sz w:val="26"/>
          <w:szCs w:val="26"/>
          <w:lang w:eastAsia="hu-HU"/>
        </w:rPr>
        <w:t>A második – szintén növelő hatású – tényező</w:t>
      </w:r>
      <w:r w:rsidRPr="62456E77">
        <w:rPr>
          <w:rFonts w:ascii="Times New Roman" w:eastAsia="Times New Roman" w:hAnsi="Times New Roman" w:cs="Times New Roman"/>
          <w:sz w:val="26"/>
          <w:szCs w:val="26"/>
          <w:lang w:eastAsia="hu-HU"/>
        </w:rPr>
        <w:t xml:space="preserve"> a nettó </w:t>
      </w:r>
      <w:proofErr w:type="spellStart"/>
      <w:r w:rsidRPr="62456E77">
        <w:rPr>
          <w:rFonts w:ascii="Times New Roman" w:eastAsia="Times New Roman" w:hAnsi="Times New Roman" w:cs="Times New Roman"/>
          <w:sz w:val="26"/>
          <w:szCs w:val="26"/>
          <w:lang w:eastAsia="hu-HU"/>
        </w:rPr>
        <w:t>devizakibocsátás</w:t>
      </w:r>
      <w:proofErr w:type="spellEnd"/>
      <w:r w:rsidRPr="62456E77">
        <w:rPr>
          <w:rFonts w:ascii="Times New Roman" w:eastAsia="Times New Roman" w:hAnsi="Times New Roman" w:cs="Times New Roman"/>
          <w:sz w:val="26"/>
          <w:szCs w:val="26"/>
          <w:lang w:eastAsia="hu-HU"/>
        </w:rPr>
        <w:t xml:space="preserve">, amely 877,6 milliárd forint összegben hozzájárul a hiány finanszírozásához és a </w:t>
      </w:r>
      <w:proofErr w:type="spellStart"/>
      <w:r w:rsidRPr="62456E77">
        <w:rPr>
          <w:rFonts w:ascii="Times New Roman" w:eastAsia="Times New Roman" w:hAnsi="Times New Roman" w:cs="Times New Roman"/>
          <w:sz w:val="26"/>
          <w:szCs w:val="26"/>
          <w:lang w:eastAsia="hu-HU"/>
        </w:rPr>
        <w:t>devizabetétállomány</w:t>
      </w:r>
      <w:proofErr w:type="spellEnd"/>
      <w:r w:rsidRPr="62456E77">
        <w:rPr>
          <w:rFonts w:ascii="Times New Roman" w:eastAsia="Times New Roman" w:hAnsi="Times New Roman" w:cs="Times New Roman"/>
          <w:sz w:val="26"/>
          <w:szCs w:val="26"/>
          <w:lang w:eastAsia="hu-HU"/>
        </w:rPr>
        <w:t xml:space="preserve"> növekedéséhez.</w:t>
      </w:r>
    </w:p>
    <w:p w14:paraId="70E541CC" w14:textId="75E9F8DF" w:rsidR="008E1BBA" w:rsidRPr="008E1BBA" w:rsidRDefault="62456E77" w:rsidP="62456E77">
      <w:pPr>
        <w:pStyle w:val="Listaszerbekezds"/>
        <w:numPr>
          <w:ilvl w:val="0"/>
          <w:numId w:val="2"/>
        </w:num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b/>
          <w:bCs/>
          <w:sz w:val="26"/>
          <w:szCs w:val="26"/>
          <w:lang w:eastAsia="hu-HU"/>
        </w:rPr>
        <w:t>A harmadik – további növelő hatású – tényező</w:t>
      </w:r>
      <w:r w:rsidRPr="62456E77">
        <w:rPr>
          <w:rFonts w:ascii="Times New Roman" w:eastAsia="Times New Roman" w:hAnsi="Times New Roman" w:cs="Times New Roman"/>
          <w:sz w:val="26"/>
          <w:szCs w:val="26"/>
          <w:lang w:eastAsia="hu-HU"/>
        </w:rPr>
        <w:t xml:space="preserve"> a deviza-keresztárfolyamok változása és egyéb tényezők miatt bekövetkezett </w:t>
      </w:r>
      <w:proofErr w:type="spellStart"/>
      <w:r w:rsidRPr="62456E77">
        <w:rPr>
          <w:rFonts w:ascii="Times New Roman" w:eastAsia="Times New Roman" w:hAnsi="Times New Roman" w:cs="Times New Roman"/>
          <w:sz w:val="26"/>
          <w:szCs w:val="26"/>
          <w:lang w:eastAsia="hu-HU"/>
        </w:rPr>
        <w:t>mark-to-market</w:t>
      </w:r>
      <w:proofErr w:type="spellEnd"/>
      <w:r w:rsidRPr="62456E77">
        <w:rPr>
          <w:rFonts w:ascii="Times New Roman" w:eastAsia="Times New Roman" w:hAnsi="Times New Roman" w:cs="Times New Roman"/>
          <w:sz w:val="26"/>
          <w:szCs w:val="26"/>
          <w:lang w:eastAsia="hu-HU"/>
        </w:rPr>
        <w:t xml:space="preserve"> betétállományok növekedése 5,1 milliárd forint összegben.</w:t>
      </w:r>
    </w:p>
    <w:p w14:paraId="319C3C1F" w14:textId="48040084" w:rsidR="00BF5E09" w:rsidRPr="00BF5E09" w:rsidRDefault="62456E77" w:rsidP="62456E77">
      <w:pPr>
        <w:pStyle w:val="Listaszerbekezds"/>
        <w:numPr>
          <w:ilvl w:val="0"/>
          <w:numId w:val="2"/>
        </w:num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b/>
          <w:bCs/>
          <w:sz w:val="26"/>
          <w:szCs w:val="26"/>
          <w:lang w:eastAsia="hu-HU"/>
        </w:rPr>
        <w:t>A negyedik – fentiekkel ellentétes, csökkentő hatású</w:t>
      </w:r>
      <w:r w:rsidRPr="62456E77">
        <w:rPr>
          <w:rFonts w:ascii="Times New Roman" w:eastAsia="Times New Roman" w:hAnsi="Times New Roman" w:cs="Times New Roman"/>
          <w:sz w:val="26"/>
          <w:szCs w:val="26"/>
          <w:lang w:eastAsia="hu-HU"/>
        </w:rPr>
        <w:t xml:space="preserve"> – tényező a forint árfolyamának az elmúlt év végéhez képest bekövetkezett erősödése, amely az adósság devizában fennálló részének forintban számított nyilvántartási értékét 366,4 milliárd forinttal csökkentette.</w:t>
      </w:r>
    </w:p>
    <w:p w14:paraId="157CBCF7" w14:textId="6409C8EE" w:rsidR="00E5484A" w:rsidRPr="00757FD8" w:rsidRDefault="00E5484A" w:rsidP="00757FD8">
      <w:pPr>
        <w:ind w:left="360"/>
        <w:jc w:val="both"/>
        <w:rPr>
          <w:rFonts w:ascii="Times New Roman" w:eastAsia="Times New Roman" w:hAnsi="Times New Roman" w:cs="Times New Roman"/>
          <w:sz w:val="26"/>
          <w:szCs w:val="26"/>
          <w:lang w:eastAsia="hu-HU"/>
        </w:rPr>
        <w:sectPr w:rsidR="00E5484A" w:rsidRPr="00757FD8" w:rsidSect="007449BF">
          <w:headerReference w:type="default" r:id="rId26"/>
          <w:footerReference w:type="default" r:id="rId27"/>
          <w:footnotePr>
            <w:numRestart w:val="eachPage"/>
          </w:footnotePr>
          <w:pgSz w:w="11907" w:h="16840" w:code="9"/>
          <w:pgMar w:top="1134" w:right="1134" w:bottom="1418" w:left="1418" w:header="709" w:footer="709" w:gutter="0"/>
          <w:cols w:space="708"/>
          <w:docGrid w:linePitch="354"/>
        </w:sectPr>
      </w:pPr>
    </w:p>
    <w:p w14:paraId="7B768C5C" w14:textId="312A0EB3" w:rsidR="00B155FE" w:rsidRPr="00377D59" w:rsidRDefault="62456E77" w:rsidP="62456E77">
      <w:pPr>
        <w:spacing w:after="120" w:line="240" w:lineRule="auto"/>
        <w:ind w:right="23"/>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 xml:space="preserve">Az előzetes adatok szerint 2025. március végén a </w:t>
      </w:r>
      <w:r w:rsidRPr="62456E77">
        <w:rPr>
          <w:rFonts w:ascii="Times New Roman" w:eastAsia="Times New Roman" w:hAnsi="Times New Roman" w:cs="Times New Roman"/>
          <w:b/>
          <w:bCs/>
          <w:sz w:val="26"/>
          <w:szCs w:val="26"/>
          <w:lang w:eastAsia="hu-HU"/>
        </w:rPr>
        <w:t xml:space="preserve">központi költségvetés forint- és devizaadóssága </w:t>
      </w:r>
      <w:r w:rsidRPr="62456E77">
        <w:rPr>
          <w:rFonts w:ascii="Times New Roman" w:eastAsia="Times New Roman" w:hAnsi="Times New Roman" w:cs="Times New Roman"/>
          <w:sz w:val="26"/>
          <w:szCs w:val="26"/>
          <w:lang w:eastAsia="hu-HU"/>
        </w:rPr>
        <w:t>az alábbiak szerint alakult:</w:t>
      </w:r>
    </w:p>
    <w:p w14:paraId="7B768C5D" w14:textId="252296E8" w:rsidR="00B155FE" w:rsidRDefault="62456E77" w:rsidP="62456E77">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A központi költségvetés adósságának alakulása 2025-ben, milliárd forint</w:t>
      </w:r>
    </w:p>
    <w:p w14:paraId="31C86ED1" w14:textId="6D6AFFBC" w:rsidR="002F2521" w:rsidRDefault="008E1BBA" w:rsidP="166F4922">
      <w:pPr>
        <w:overflowPunct w:val="0"/>
        <w:autoSpaceDE w:val="0"/>
        <w:autoSpaceDN w:val="0"/>
        <w:adjustRightInd w:val="0"/>
        <w:spacing w:after="120" w:line="240" w:lineRule="auto"/>
        <w:ind w:right="23"/>
        <w:jc w:val="center"/>
        <w:textAlignment w:val="baseline"/>
        <w:rPr>
          <w:rFonts w:ascii="Times New Roman" w:eastAsia="Times New Roman" w:hAnsi="Times New Roman" w:cs="Times New Roman"/>
          <w:sz w:val="26"/>
          <w:szCs w:val="26"/>
          <w:lang w:eastAsia="hu-HU"/>
        </w:rPr>
      </w:pPr>
      <w:r w:rsidRPr="008E1BBA">
        <w:rPr>
          <w:noProof/>
          <w:lang w:eastAsia="hu-HU"/>
        </w:rPr>
        <w:drawing>
          <wp:inline distT="0" distB="0" distL="0" distR="0" wp14:anchorId="3B311370" wp14:editId="5E513BAB">
            <wp:extent cx="8934450" cy="4229100"/>
            <wp:effectExtent l="0" t="0" r="0" b="0"/>
            <wp:docPr id="51859916"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34450" cy="4229100"/>
                    </a:xfrm>
                    <a:prstGeom prst="rect">
                      <a:avLst/>
                    </a:prstGeom>
                    <a:noFill/>
                    <a:ln>
                      <a:noFill/>
                    </a:ln>
                  </pic:spPr>
                </pic:pic>
              </a:graphicData>
            </a:graphic>
          </wp:inline>
        </w:drawing>
      </w:r>
    </w:p>
    <w:p w14:paraId="7B768C5F" w14:textId="77777777" w:rsidR="00B155FE" w:rsidRPr="00377D59" w:rsidRDefault="62456E77" w:rsidP="62456E77">
      <w:pPr>
        <w:spacing w:after="120" w:line="240" w:lineRule="auto"/>
        <w:jc w:val="both"/>
        <w:rPr>
          <w:rFonts w:ascii="Times New Roman" w:eastAsia="Times New Roman" w:hAnsi="Times New Roman" w:cs="Times New Roman"/>
          <w:sz w:val="24"/>
          <w:szCs w:val="24"/>
          <w:lang w:eastAsia="hu-HU"/>
        </w:rPr>
      </w:pPr>
      <w:r w:rsidRPr="62456E77">
        <w:rPr>
          <w:rFonts w:ascii="Times New Roman" w:eastAsia="Times New Roman" w:hAnsi="Times New Roman" w:cs="Times New Roman"/>
          <w:i/>
          <w:iCs/>
          <w:sz w:val="24"/>
          <w:szCs w:val="24"/>
          <w:lang w:eastAsia="hu-HU"/>
        </w:rPr>
        <w:t>Megjegyzés: a táblában szereplő tizedes eltérések kerekítésből adódnak.</w:t>
      </w:r>
    </w:p>
    <w:p w14:paraId="67FEF71B" w14:textId="4352F928" w:rsidR="00617877" w:rsidRPr="00377D59" w:rsidRDefault="00617877" w:rsidP="00617877">
      <w:pPr>
        <w:jc w:val="center"/>
        <w:rPr>
          <w:rFonts w:ascii="Times New Roman" w:eastAsia="Times New Roman" w:hAnsi="Times New Roman" w:cs="Times New Roman"/>
          <w:sz w:val="26"/>
          <w:szCs w:val="26"/>
          <w:lang w:eastAsia="hu-HU"/>
        </w:rPr>
      </w:pPr>
    </w:p>
    <w:p w14:paraId="612D5E01" w14:textId="247C2A7A" w:rsidR="00617877" w:rsidRPr="00377D59" w:rsidRDefault="00617877" w:rsidP="00617877">
      <w:pPr>
        <w:rPr>
          <w:rFonts w:ascii="Times New Roman" w:eastAsia="Times New Roman" w:hAnsi="Times New Roman" w:cs="Times New Roman"/>
          <w:sz w:val="26"/>
          <w:szCs w:val="26"/>
          <w:lang w:eastAsia="hu-HU"/>
        </w:rPr>
      </w:pPr>
    </w:p>
    <w:p w14:paraId="4A764331" w14:textId="77777777" w:rsidR="00EA1F58" w:rsidRPr="00377D59" w:rsidRDefault="00EA1F58" w:rsidP="00617877">
      <w:pPr>
        <w:rPr>
          <w:rFonts w:ascii="Times New Roman" w:eastAsia="Times New Roman" w:hAnsi="Times New Roman" w:cs="Times New Roman"/>
          <w:sz w:val="26"/>
          <w:szCs w:val="26"/>
          <w:lang w:eastAsia="hu-HU"/>
        </w:rPr>
        <w:sectPr w:rsidR="00EA1F58" w:rsidRPr="00377D59" w:rsidSect="007449BF">
          <w:headerReference w:type="default" r:id="rId29"/>
          <w:headerReference w:type="first" r:id="rId30"/>
          <w:footnotePr>
            <w:numRestart w:val="eachPage"/>
          </w:footnotePr>
          <w:pgSz w:w="16840" w:h="11907" w:orient="landscape" w:code="9"/>
          <w:pgMar w:top="993" w:right="1134" w:bottom="1134" w:left="1418" w:header="709" w:footer="709" w:gutter="0"/>
          <w:pgNumType w:start="19"/>
          <w:cols w:space="708"/>
          <w:titlePg/>
          <w:docGrid w:linePitch="299"/>
        </w:sectPr>
      </w:pPr>
    </w:p>
    <w:p w14:paraId="2713BEB5" w14:textId="1B8E2562" w:rsidR="008E1BBA" w:rsidRPr="008E1BBA"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b/>
          <w:bCs/>
          <w:sz w:val="26"/>
          <w:szCs w:val="26"/>
          <w:lang w:eastAsia="hu-HU"/>
        </w:rPr>
        <w:t>A központi költségvetés devizaadóssága</w:t>
      </w:r>
      <w:r w:rsidRPr="62456E77">
        <w:rPr>
          <w:rFonts w:ascii="Times New Roman" w:eastAsia="Times New Roman" w:hAnsi="Times New Roman" w:cs="Times New Roman"/>
          <w:sz w:val="26"/>
          <w:szCs w:val="26"/>
          <w:lang w:eastAsia="hu-HU"/>
        </w:rPr>
        <w:t xml:space="preserve"> 2025-ben 511,2 milliárd forinttal 17 069,0 milliárd forintra növekedett az elmúlt év végéhez képest. A devizaadósság részaránya a 2024. év végi 29,8%-os szintről 29,6%-os szintre mérséklődött a teljes adósságon belül.</w:t>
      </w:r>
    </w:p>
    <w:p w14:paraId="3B87FB53" w14:textId="365595C5" w:rsidR="008E1BBA" w:rsidRPr="008E1BBA"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A növekedés hátterében döntően a januárban végrehajtott devizakötvény-kibocsátások állnak. 2025. január 7-én került sor az idei év első nemzetközi eurókötvény-kibocsátására összesen 1 035,7 milliárd forint (2,5 milliárd euró) összegben. Két sorozat piacra vitele történt meg, egy 10 éves futamidejű hagyományos sorozat 621,4 milliárd forint (1,5 milliárd EUR) összegben és egy 15 éves futamidejű zöld sorozat 414,3 milliárd forint (1,0 milliárd EUR) összegben.</w:t>
      </w:r>
    </w:p>
    <w:p w14:paraId="6AC16343" w14:textId="0C5F843B" w:rsidR="008E1BBA" w:rsidRPr="008E1BBA"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b/>
          <w:bCs/>
          <w:sz w:val="26"/>
          <w:szCs w:val="26"/>
          <w:lang w:eastAsia="hu-HU"/>
        </w:rPr>
        <w:t>A költségvetés forintadóssága</w:t>
      </w:r>
      <w:r w:rsidRPr="62456E77">
        <w:rPr>
          <w:rFonts w:ascii="Times New Roman" w:eastAsia="Times New Roman" w:hAnsi="Times New Roman" w:cs="Times New Roman"/>
          <w:sz w:val="26"/>
          <w:szCs w:val="26"/>
          <w:lang w:eastAsia="hu-HU"/>
        </w:rPr>
        <w:t xml:space="preserve"> március végéig 1 767,2 milliárd forinttal növekedett és 40 468,8 milliárd forintot ért el, a forint adósság a teljes államadósság 70,1%-át teszi ki. 2024. decemberében ez az arány 69,8% volt.</w:t>
      </w:r>
    </w:p>
    <w:p w14:paraId="1809DF74" w14:textId="14A55A5B" w:rsidR="008E1BBA" w:rsidRPr="008E1BBA"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2025. március végén a forint lakossági állampapírok állománya 11 205,6 milliárd forintot tett ki, ami 57,3 milliárd forint csökkenést jelent 2024. december vége óta. A Prémium Magyar Állampapír állománya 2025. március végére 1 475,8 milliárd forinttal csökkent, amely így 5 485,2 milliárd forintot tett ki. A 3 éves futamidejű Fix Magyar Állampapír állománya 1 016,5 milliárd forinttal növekedett és elérte a 2 033,4 milliárd forintot hó végén. Szintén emelkedett a 3 és 5 éves Bónusz Magyar Állampapír állománya is, 475,5 milliárd forint növekedést követően a hó végén 1 684,5 milliárd forintot tett ki. Az 5 éves futamidejű Magyar Állampapír Plusz állománya, a nyomdai kibocsátású és a korábban értékesített papírokkal együtt, 108,4 milliárd forintot emelkedett az előző hónaphoz képest így hó végén 870,9 milliárd forintot tett ki. 2024. júniustól kivezetésre került az Egyéves Magyar Állampapír, amelynek állománya 114,9 milliárd forint volt március végén, 267,5 milliárd forinttal kisebb a 2024. év végi állománynál. A lakossági állampapírok közül a hosszú futamidejű Fix Magyar Állampapír értékesítése volt a legmagasabb márciusban.</w:t>
      </w:r>
    </w:p>
    <w:p w14:paraId="77622DC1" w14:textId="160D0026" w:rsidR="008E1BBA" w:rsidRPr="008E1BBA"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 xml:space="preserve">Az ÁKK </w:t>
      </w:r>
      <w:proofErr w:type="spellStart"/>
      <w:r w:rsidRPr="62456E77">
        <w:rPr>
          <w:rFonts w:ascii="Times New Roman" w:eastAsia="Times New Roman" w:hAnsi="Times New Roman" w:cs="Times New Roman"/>
          <w:sz w:val="26"/>
          <w:szCs w:val="26"/>
          <w:lang w:eastAsia="hu-HU"/>
        </w:rPr>
        <w:t>Zrt</w:t>
      </w:r>
      <w:proofErr w:type="spellEnd"/>
      <w:r w:rsidRPr="62456E77">
        <w:rPr>
          <w:rFonts w:ascii="Times New Roman" w:eastAsia="Times New Roman" w:hAnsi="Times New Roman" w:cs="Times New Roman"/>
          <w:sz w:val="26"/>
          <w:szCs w:val="26"/>
          <w:lang w:eastAsia="hu-HU"/>
        </w:rPr>
        <w:t>. március hó folyamán összesen 69,8 milliárd forint összegben vásárolt vissza lakossági állampapírokat a forgalmazó bankoktól.</w:t>
      </w:r>
    </w:p>
    <w:p w14:paraId="0C824F0F" w14:textId="72140638" w:rsidR="008E1BBA" w:rsidRPr="008E1BBA"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b/>
          <w:bCs/>
          <w:sz w:val="26"/>
          <w:szCs w:val="26"/>
          <w:lang w:eastAsia="hu-HU"/>
        </w:rPr>
        <w:t>A külföldi befektetők állampapír állománya</w:t>
      </w:r>
      <w:r w:rsidRPr="62456E77">
        <w:rPr>
          <w:rFonts w:ascii="Times New Roman" w:eastAsia="Times New Roman" w:hAnsi="Times New Roman" w:cs="Times New Roman"/>
          <w:sz w:val="26"/>
          <w:szCs w:val="26"/>
          <w:lang w:eastAsia="hu-HU"/>
        </w:rPr>
        <w:t xml:space="preserve"> márciusban 245,2 milliárd forinttal 5 419,9 milliárd forintra csökkent az előző hónaphoz képest. A külföldi állomány 99,7%-</w:t>
      </w:r>
      <w:proofErr w:type="gramStart"/>
      <w:r w:rsidRPr="62456E77">
        <w:rPr>
          <w:rFonts w:ascii="Times New Roman" w:eastAsia="Times New Roman" w:hAnsi="Times New Roman" w:cs="Times New Roman"/>
          <w:sz w:val="26"/>
          <w:szCs w:val="26"/>
          <w:lang w:eastAsia="hu-HU"/>
        </w:rPr>
        <w:t>a</w:t>
      </w:r>
      <w:proofErr w:type="gramEnd"/>
      <w:r w:rsidRPr="62456E77">
        <w:rPr>
          <w:rFonts w:ascii="Times New Roman" w:eastAsia="Times New Roman" w:hAnsi="Times New Roman" w:cs="Times New Roman"/>
          <w:sz w:val="26"/>
          <w:szCs w:val="26"/>
          <w:lang w:eastAsia="hu-HU"/>
        </w:rPr>
        <w:t>, 5 403,4 milliárd forint államkötvény, 0,3%-a, 16,5 milliárd forint diszkontkincstárjegy. A külföldi állomány átlagos hátralévő futamideje március végén 5,6 év volt.</w:t>
      </w:r>
    </w:p>
    <w:p w14:paraId="742A4DFA" w14:textId="20C50430" w:rsidR="00346073" w:rsidRPr="004603AD" w:rsidRDefault="62456E77" w:rsidP="62456E77">
      <w:pPr>
        <w:jc w:val="both"/>
        <w:rPr>
          <w:rFonts w:ascii="Times New Roman" w:eastAsia="Times New Roman" w:hAnsi="Times New Roman" w:cs="Times New Roman"/>
          <w:sz w:val="26"/>
          <w:szCs w:val="26"/>
          <w:lang w:eastAsia="hu-HU"/>
        </w:rPr>
      </w:pPr>
      <w:r w:rsidRPr="62456E77">
        <w:rPr>
          <w:rFonts w:ascii="Times New Roman" w:eastAsia="Times New Roman" w:hAnsi="Times New Roman" w:cs="Times New Roman"/>
          <w:sz w:val="26"/>
          <w:szCs w:val="26"/>
          <w:lang w:eastAsia="hu-HU"/>
        </w:rPr>
        <w:t xml:space="preserve">A deviza-államadósság kockázatainak csökkentése érdekében az ÁKK </w:t>
      </w:r>
      <w:proofErr w:type="spellStart"/>
      <w:r w:rsidRPr="62456E77">
        <w:rPr>
          <w:rFonts w:ascii="Times New Roman" w:eastAsia="Times New Roman" w:hAnsi="Times New Roman" w:cs="Times New Roman"/>
          <w:sz w:val="26"/>
          <w:szCs w:val="26"/>
          <w:lang w:eastAsia="hu-HU"/>
        </w:rPr>
        <w:t>Zrt</w:t>
      </w:r>
      <w:proofErr w:type="spellEnd"/>
      <w:r w:rsidRPr="62456E77">
        <w:rPr>
          <w:rFonts w:ascii="Times New Roman" w:eastAsia="Times New Roman" w:hAnsi="Times New Roman" w:cs="Times New Roman"/>
          <w:sz w:val="26"/>
          <w:szCs w:val="26"/>
          <w:lang w:eastAsia="hu-HU"/>
        </w:rPr>
        <w:t xml:space="preserve">. </w:t>
      </w:r>
      <w:proofErr w:type="spellStart"/>
      <w:r w:rsidRPr="62456E77">
        <w:rPr>
          <w:rFonts w:ascii="Times New Roman" w:eastAsia="Times New Roman" w:hAnsi="Times New Roman" w:cs="Times New Roman"/>
          <w:sz w:val="26"/>
          <w:szCs w:val="26"/>
          <w:lang w:eastAsia="hu-HU"/>
        </w:rPr>
        <w:t>swap</w:t>
      </w:r>
      <w:proofErr w:type="spellEnd"/>
      <w:r w:rsidRPr="62456E77">
        <w:rPr>
          <w:rFonts w:ascii="Times New Roman" w:eastAsia="Times New Roman" w:hAnsi="Times New Roman" w:cs="Times New Roman"/>
          <w:sz w:val="26"/>
          <w:szCs w:val="26"/>
          <w:lang w:eastAsia="hu-HU"/>
        </w:rPr>
        <w:t xml:space="preserve"> műveleteket köt, amiből az adósságállomány részét képezik az ezen ügyletek után az ÁKK </w:t>
      </w:r>
      <w:proofErr w:type="spellStart"/>
      <w:r w:rsidRPr="62456E77">
        <w:rPr>
          <w:rFonts w:ascii="Times New Roman" w:eastAsia="Times New Roman" w:hAnsi="Times New Roman" w:cs="Times New Roman"/>
          <w:sz w:val="26"/>
          <w:szCs w:val="26"/>
          <w:lang w:eastAsia="hu-HU"/>
        </w:rPr>
        <w:t>Zrt-nél</w:t>
      </w:r>
      <w:proofErr w:type="spellEnd"/>
      <w:r w:rsidRPr="62456E77">
        <w:rPr>
          <w:rFonts w:ascii="Times New Roman" w:eastAsia="Times New Roman" w:hAnsi="Times New Roman" w:cs="Times New Roman"/>
          <w:sz w:val="26"/>
          <w:szCs w:val="26"/>
          <w:lang w:eastAsia="hu-HU"/>
        </w:rPr>
        <w:t xml:space="preserve"> elhelyezésre kerülő fedezeti összegek (az ún. </w:t>
      </w:r>
      <w:proofErr w:type="spellStart"/>
      <w:r w:rsidRPr="62456E77">
        <w:rPr>
          <w:rFonts w:ascii="Times New Roman" w:eastAsia="Times New Roman" w:hAnsi="Times New Roman" w:cs="Times New Roman"/>
          <w:sz w:val="26"/>
          <w:szCs w:val="26"/>
          <w:lang w:eastAsia="hu-HU"/>
        </w:rPr>
        <w:t>mark-to-market</w:t>
      </w:r>
      <w:proofErr w:type="spellEnd"/>
      <w:r w:rsidRPr="62456E77">
        <w:rPr>
          <w:rFonts w:ascii="Times New Roman" w:eastAsia="Times New Roman" w:hAnsi="Times New Roman" w:cs="Times New Roman"/>
          <w:sz w:val="26"/>
          <w:szCs w:val="26"/>
          <w:lang w:eastAsia="hu-HU"/>
        </w:rPr>
        <w:t xml:space="preserve"> betétek) az egyéb kötelezettségek soron. A korábbi dollárkötvény kibocsátások óta eltelt időszakban az egyéb devizák (főként az USD) jelentősen felértékelődtek az euróhoz képest, az emiatt keletkező többletadósságot viszont a </w:t>
      </w:r>
      <w:proofErr w:type="spellStart"/>
      <w:r w:rsidRPr="62456E77">
        <w:rPr>
          <w:rFonts w:ascii="Times New Roman" w:eastAsia="Times New Roman" w:hAnsi="Times New Roman" w:cs="Times New Roman"/>
          <w:sz w:val="26"/>
          <w:szCs w:val="26"/>
          <w:lang w:eastAsia="hu-HU"/>
        </w:rPr>
        <w:t>swapkötéssel</w:t>
      </w:r>
      <w:proofErr w:type="spellEnd"/>
      <w:r w:rsidRPr="62456E77">
        <w:rPr>
          <w:rFonts w:ascii="Times New Roman" w:eastAsia="Times New Roman" w:hAnsi="Times New Roman" w:cs="Times New Roman"/>
          <w:sz w:val="26"/>
          <w:szCs w:val="26"/>
          <w:lang w:eastAsia="hu-HU"/>
        </w:rPr>
        <w:t xml:space="preserve"> sikerült kizárni. A vizsgált időszakban az egyéb kötelezettségek állománya 5,1 milliárd forinttal növekedett. Március végén az állomány 224,7 milliárd forintot tett ki, ami a teljes államadósság 0,4%-át jelenti.</w:t>
      </w:r>
    </w:p>
    <w:sectPr w:rsidR="00346073" w:rsidRPr="004603AD" w:rsidSect="007449BF">
      <w:headerReference w:type="even" r:id="rId31"/>
      <w:footerReference w:type="default" r:id="rId32"/>
      <w:footerReference w:type="first" r:id="rId33"/>
      <w:pgSz w:w="11906" w:h="16838"/>
      <w:pgMar w:top="1418" w:right="1134" w:bottom="1418" w:left="1134" w:header="708" w:footer="6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A5862" w14:textId="77777777" w:rsidR="00502998" w:rsidRDefault="00502998" w:rsidP="00B155FE">
      <w:pPr>
        <w:spacing w:after="0" w:line="240" w:lineRule="auto"/>
      </w:pPr>
      <w:r>
        <w:separator/>
      </w:r>
    </w:p>
  </w:endnote>
  <w:endnote w:type="continuationSeparator" w:id="0">
    <w:p w14:paraId="0F697A8D" w14:textId="77777777" w:rsidR="00502998" w:rsidRDefault="00502998" w:rsidP="00B155FE">
      <w:pPr>
        <w:spacing w:after="0" w:line="240" w:lineRule="auto"/>
      </w:pPr>
      <w:r>
        <w:continuationSeparator/>
      </w:r>
    </w:p>
  </w:endnote>
  <w:endnote w:type="continuationNotice" w:id="1">
    <w:p w14:paraId="797941F5" w14:textId="77777777" w:rsidR="00502998" w:rsidRDefault="00502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22D1F" w14:textId="4DE2DC1D" w:rsidR="00502998" w:rsidRDefault="00502998">
    <w:pPr>
      <w:pStyle w:val="llb"/>
      <w:jc w:val="center"/>
    </w:pPr>
  </w:p>
  <w:p w14:paraId="41773F2F" w14:textId="77777777" w:rsidR="00502998" w:rsidRDefault="0050299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154505"/>
      <w:docPartObj>
        <w:docPartGallery w:val="Page Numbers (Bottom of Page)"/>
        <w:docPartUnique/>
      </w:docPartObj>
    </w:sdtPr>
    <w:sdtEndPr>
      <w:rPr>
        <w:rFonts w:ascii="Times New Roman" w:hAnsi="Times New Roman" w:cs="Times New Roman"/>
        <w:sz w:val="24"/>
      </w:rPr>
    </w:sdtEndPr>
    <w:sdtContent>
      <w:p w14:paraId="52C756D2" w14:textId="3800D4A3" w:rsidR="00502998" w:rsidRPr="005A1E0F" w:rsidRDefault="00502998">
        <w:pPr>
          <w:pStyle w:val="llb"/>
          <w:jc w:val="center"/>
          <w:rPr>
            <w:rFonts w:ascii="Times New Roman" w:hAnsi="Times New Roman" w:cs="Times New Roman"/>
            <w:sz w:val="24"/>
          </w:rPr>
        </w:pPr>
        <w:r w:rsidRPr="005A1E0F">
          <w:rPr>
            <w:rFonts w:ascii="Times New Roman" w:hAnsi="Times New Roman" w:cs="Times New Roman"/>
          </w:rPr>
          <w:t>20</w:t>
        </w:r>
      </w:p>
    </w:sdtContent>
  </w:sdt>
  <w:p w14:paraId="64304736" w14:textId="77777777" w:rsidR="00502998" w:rsidRDefault="0050299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558895"/>
      <w:docPartObj>
        <w:docPartGallery w:val="Page Numbers (Bottom of Page)"/>
        <w:docPartUnique/>
      </w:docPartObj>
    </w:sdtPr>
    <w:sdtEndPr>
      <w:rPr>
        <w:rFonts w:ascii="Times New Roman" w:hAnsi="Times New Roman" w:cs="Times New Roman"/>
        <w:sz w:val="24"/>
      </w:rPr>
    </w:sdtEndPr>
    <w:sdtContent>
      <w:p w14:paraId="10FD5F29" w14:textId="7D80A60B" w:rsidR="00502998" w:rsidRPr="00470868" w:rsidRDefault="00502998">
        <w:pPr>
          <w:pStyle w:val="llb"/>
          <w:jc w:val="center"/>
          <w:rPr>
            <w:rFonts w:ascii="Times New Roman" w:hAnsi="Times New Roman" w:cs="Times New Roman"/>
            <w:sz w:val="24"/>
          </w:rPr>
        </w:pPr>
        <w:r w:rsidRPr="00470868">
          <w:rPr>
            <w:rFonts w:ascii="Times New Roman" w:hAnsi="Times New Roman" w:cs="Times New Roman"/>
            <w:sz w:val="24"/>
          </w:rPr>
          <w:fldChar w:fldCharType="begin"/>
        </w:r>
        <w:r w:rsidRPr="00470868">
          <w:rPr>
            <w:rFonts w:ascii="Times New Roman" w:hAnsi="Times New Roman" w:cs="Times New Roman"/>
            <w:sz w:val="24"/>
          </w:rPr>
          <w:instrText>PAGE   \* MERGEFORMAT</w:instrText>
        </w:r>
        <w:r w:rsidRPr="00470868">
          <w:rPr>
            <w:rFonts w:ascii="Times New Roman" w:hAnsi="Times New Roman" w:cs="Times New Roman"/>
            <w:sz w:val="24"/>
          </w:rPr>
          <w:fldChar w:fldCharType="separate"/>
        </w:r>
        <w:r w:rsidR="002E2022">
          <w:rPr>
            <w:rFonts w:ascii="Times New Roman" w:hAnsi="Times New Roman" w:cs="Times New Roman"/>
            <w:noProof/>
            <w:sz w:val="24"/>
          </w:rPr>
          <w:t>19</w:t>
        </w:r>
        <w:r w:rsidRPr="00470868">
          <w:rPr>
            <w:rFonts w:ascii="Times New Roman" w:hAnsi="Times New Roman" w:cs="Times New Roman"/>
            <w:sz w:val="24"/>
          </w:rPr>
          <w:fldChar w:fldCharType="end"/>
        </w:r>
      </w:p>
    </w:sdtContent>
  </w:sdt>
  <w:p w14:paraId="17329691" w14:textId="773A5D5E" w:rsidR="00502998" w:rsidRPr="00556984" w:rsidRDefault="00502998" w:rsidP="00556984">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18299"/>
      <w:docPartObj>
        <w:docPartGallery w:val="Page Numbers (Bottom of Page)"/>
        <w:docPartUnique/>
      </w:docPartObj>
    </w:sdtPr>
    <w:sdtEndPr>
      <w:rPr>
        <w:rFonts w:ascii="Times New Roman" w:hAnsi="Times New Roman" w:cs="Times New Roman"/>
        <w:sz w:val="24"/>
      </w:rPr>
    </w:sdtEndPr>
    <w:sdtContent>
      <w:p w14:paraId="7ADCE6C8" w14:textId="77777777" w:rsidR="00502998" w:rsidRPr="00D4148C" w:rsidRDefault="00502998">
        <w:pPr>
          <w:pStyle w:val="llb"/>
          <w:jc w:val="center"/>
          <w:rPr>
            <w:rFonts w:ascii="Times New Roman" w:hAnsi="Times New Roman" w:cs="Times New Roman"/>
            <w:sz w:val="24"/>
          </w:rPr>
        </w:pPr>
        <w:r>
          <w:rPr>
            <w:rFonts w:ascii="Times New Roman" w:hAnsi="Times New Roman" w:cs="Times New Roman"/>
            <w:sz w:val="24"/>
          </w:rPr>
          <w:t>22</w:t>
        </w:r>
      </w:p>
    </w:sdtContent>
  </w:sdt>
  <w:p w14:paraId="078E8FA1" w14:textId="77777777" w:rsidR="00502998" w:rsidRDefault="00502998" w:rsidP="00C74E0F">
    <w:pPr>
      <w:pStyle w:val="llb"/>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F40D1" w14:textId="0EBE225F" w:rsidR="00502998" w:rsidRDefault="00502998" w:rsidP="004A3001">
    <w:pPr>
      <w:pStyle w:val="llb"/>
      <w:jc w:val="center"/>
    </w:pPr>
    <w:r w:rsidRPr="62456E77">
      <w:rPr>
        <w:rFonts w:ascii="Times New Roman" w:hAnsi="Times New Roman" w:cs="Times New Roman"/>
        <w:sz w:val="24"/>
        <w:szCs w:val="24"/>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2D580" w14:textId="77777777" w:rsidR="00502998" w:rsidRDefault="00502998" w:rsidP="00B155FE">
      <w:pPr>
        <w:spacing w:after="0" w:line="240" w:lineRule="auto"/>
      </w:pPr>
      <w:r>
        <w:separator/>
      </w:r>
    </w:p>
  </w:footnote>
  <w:footnote w:type="continuationSeparator" w:id="0">
    <w:p w14:paraId="27ACAF77" w14:textId="77777777" w:rsidR="00502998" w:rsidRDefault="00502998" w:rsidP="00B155FE">
      <w:pPr>
        <w:spacing w:after="0" w:line="240" w:lineRule="auto"/>
      </w:pPr>
      <w:r>
        <w:continuationSeparator/>
      </w:r>
    </w:p>
  </w:footnote>
  <w:footnote w:type="continuationNotice" w:id="1">
    <w:p w14:paraId="3819FCA9" w14:textId="77777777" w:rsidR="00502998" w:rsidRDefault="005029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4A0" w:firstRow="1" w:lastRow="0" w:firstColumn="1" w:lastColumn="0" w:noHBand="0" w:noVBand="1"/>
    </w:tblPr>
    <w:tblGrid>
      <w:gridCol w:w="3118"/>
      <w:gridCol w:w="3118"/>
      <w:gridCol w:w="3118"/>
    </w:tblGrid>
    <w:tr w:rsidR="00502998" w14:paraId="1027336C" w14:textId="77777777" w:rsidTr="75E7E8C2">
      <w:tc>
        <w:tcPr>
          <w:tcW w:w="3118" w:type="dxa"/>
        </w:tcPr>
        <w:p w14:paraId="4C837DDD" w14:textId="79A8EEFC" w:rsidR="00502998" w:rsidRDefault="00502998" w:rsidP="75E7E8C2">
          <w:pPr>
            <w:pStyle w:val="lfej"/>
            <w:ind w:left="-115"/>
          </w:pPr>
        </w:p>
      </w:tc>
      <w:tc>
        <w:tcPr>
          <w:tcW w:w="3118" w:type="dxa"/>
        </w:tcPr>
        <w:p w14:paraId="215A5B55" w14:textId="4B5EFC16" w:rsidR="00502998" w:rsidRDefault="00502998" w:rsidP="75E7E8C2">
          <w:pPr>
            <w:pStyle w:val="lfej"/>
            <w:jc w:val="center"/>
          </w:pPr>
        </w:p>
      </w:tc>
      <w:tc>
        <w:tcPr>
          <w:tcW w:w="3118" w:type="dxa"/>
        </w:tcPr>
        <w:p w14:paraId="08CD3A76" w14:textId="283AC16D" w:rsidR="00502998" w:rsidRDefault="00502998" w:rsidP="75E7E8C2">
          <w:pPr>
            <w:pStyle w:val="lfej"/>
            <w:ind w:right="-115"/>
            <w:jc w:val="right"/>
          </w:pPr>
        </w:p>
      </w:tc>
    </w:tr>
  </w:tbl>
  <w:p w14:paraId="4176297E" w14:textId="7CD13837" w:rsidR="00502998" w:rsidRDefault="00502998" w:rsidP="75E7E8C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AF47D1" w14:textId="3D0DDD49" w:rsidR="00502998" w:rsidRDefault="00502998" w:rsidP="75E7E8C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6" w14:textId="77777777" w:rsidR="00502998" w:rsidRPr="00881044" w:rsidRDefault="00502998" w:rsidP="00C74E0F">
    <w:pPr>
      <w:pStyle w:val="lfej"/>
      <w:rPr>
        <w:rStyle w:val="Oldalszm"/>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8C97" w14:textId="77777777" w:rsidR="00502998" w:rsidRPr="00FE4DD1" w:rsidRDefault="00502998" w:rsidP="00C74E0F">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009518"/>
      <w:docPartObj>
        <w:docPartGallery w:val="Page Numbers (Top of Page)"/>
        <w:docPartUnique/>
      </w:docPartObj>
    </w:sdtPr>
    <w:sdtEndPr>
      <w:rPr>
        <w:noProof/>
      </w:rPr>
    </w:sdtEndPr>
    <w:sdtContent>
      <w:p w14:paraId="2CB15785" w14:textId="77777777" w:rsidR="00502998" w:rsidRDefault="00502998">
        <w:pPr>
          <w:pStyle w:val="lfej"/>
          <w:jc w:val="center"/>
        </w:pPr>
        <w:r>
          <w:fldChar w:fldCharType="begin"/>
        </w:r>
        <w:r>
          <w:instrText xml:space="preserve"> PAGE   \* MERGEFORMAT </w:instrText>
        </w:r>
        <w:r>
          <w:fldChar w:fldCharType="separate"/>
        </w:r>
        <w:r>
          <w:rPr>
            <w:noProof/>
          </w:rPr>
          <w:t>20</w:t>
        </w:r>
        <w:r>
          <w:rPr>
            <w:noProof/>
          </w:rPr>
          <w:fldChar w:fldCharType="end"/>
        </w:r>
      </w:p>
    </w:sdtContent>
  </w:sdt>
  <w:p w14:paraId="2A775F7D" w14:textId="77777777" w:rsidR="00502998" w:rsidRDefault="0050299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298"/>
    <w:multiLevelType w:val="hybridMultilevel"/>
    <w:tmpl w:val="44CCC2AC"/>
    <w:lvl w:ilvl="0" w:tplc="08783BEC">
      <w:start w:val="1"/>
      <w:numFmt w:val="decimal"/>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6602D43"/>
    <w:multiLevelType w:val="hybridMultilevel"/>
    <w:tmpl w:val="390E53F2"/>
    <w:lvl w:ilvl="0" w:tplc="F872D380">
      <w:start w:val="1"/>
      <w:numFmt w:val="bullet"/>
      <w:lvlText w:val=""/>
      <w:lvlJc w:val="left"/>
      <w:pPr>
        <w:ind w:left="720" w:hanging="360"/>
      </w:pPr>
      <w:rPr>
        <w:rFonts w:ascii="Symbol" w:hAnsi="Symbol" w:hint="default"/>
      </w:rPr>
    </w:lvl>
    <w:lvl w:ilvl="1" w:tplc="86BC4448">
      <w:start w:val="1"/>
      <w:numFmt w:val="bullet"/>
      <w:lvlText w:val="o"/>
      <w:lvlJc w:val="left"/>
      <w:pPr>
        <w:ind w:left="1440" w:hanging="360"/>
      </w:pPr>
      <w:rPr>
        <w:rFonts w:ascii="Courier New" w:hAnsi="Courier New" w:hint="default"/>
      </w:rPr>
    </w:lvl>
    <w:lvl w:ilvl="2" w:tplc="F05C9352">
      <w:start w:val="1"/>
      <w:numFmt w:val="bullet"/>
      <w:lvlText w:val=""/>
      <w:lvlJc w:val="left"/>
      <w:pPr>
        <w:ind w:left="2160" w:hanging="360"/>
      </w:pPr>
      <w:rPr>
        <w:rFonts w:ascii="Wingdings" w:hAnsi="Wingdings" w:hint="default"/>
      </w:rPr>
    </w:lvl>
    <w:lvl w:ilvl="3" w:tplc="232EF98C">
      <w:start w:val="1"/>
      <w:numFmt w:val="bullet"/>
      <w:lvlText w:val=""/>
      <w:lvlJc w:val="left"/>
      <w:pPr>
        <w:ind w:left="2880" w:hanging="360"/>
      </w:pPr>
      <w:rPr>
        <w:rFonts w:ascii="Symbol" w:hAnsi="Symbol" w:hint="default"/>
      </w:rPr>
    </w:lvl>
    <w:lvl w:ilvl="4" w:tplc="03066B72">
      <w:start w:val="1"/>
      <w:numFmt w:val="bullet"/>
      <w:lvlText w:val="o"/>
      <w:lvlJc w:val="left"/>
      <w:pPr>
        <w:ind w:left="3600" w:hanging="360"/>
      </w:pPr>
      <w:rPr>
        <w:rFonts w:ascii="Courier New" w:hAnsi="Courier New" w:hint="default"/>
      </w:rPr>
    </w:lvl>
    <w:lvl w:ilvl="5" w:tplc="7A906010">
      <w:start w:val="1"/>
      <w:numFmt w:val="bullet"/>
      <w:lvlText w:val=""/>
      <w:lvlJc w:val="left"/>
      <w:pPr>
        <w:ind w:left="4320" w:hanging="360"/>
      </w:pPr>
      <w:rPr>
        <w:rFonts w:ascii="Wingdings" w:hAnsi="Wingdings" w:hint="default"/>
      </w:rPr>
    </w:lvl>
    <w:lvl w:ilvl="6" w:tplc="9F6A3F04">
      <w:start w:val="1"/>
      <w:numFmt w:val="bullet"/>
      <w:lvlText w:val=""/>
      <w:lvlJc w:val="left"/>
      <w:pPr>
        <w:ind w:left="5040" w:hanging="360"/>
      </w:pPr>
      <w:rPr>
        <w:rFonts w:ascii="Symbol" w:hAnsi="Symbol" w:hint="default"/>
      </w:rPr>
    </w:lvl>
    <w:lvl w:ilvl="7" w:tplc="D5603E42">
      <w:start w:val="1"/>
      <w:numFmt w:val="bullet"/>
      <w:lvlText w:val="o"/>
      <w:lvlJc w:val="left"/>
      <w:pPr>
        <w:ind w:left="5760" w:hanging="360"/>
      </w:pPr>
      <w:rPr>
        <w:rFonts w:ascii="Courier New" w:hAnsi="Courier New" w:hint="default"/>
      </w:rPr>
    </w:lvl>
    <w:lvl w:ilvl="8" w:tplc="F1D4D0F8">
      <w:start w:val="1"/>
      <w:numFmt w:val="bullet"/>
      <w:lvlText w:val=""/>
      <w:lvlJc w:val="left"/>
      <w:pPr>
        <w:ind w:left="6480" w:hanging="360"/>
      </w:pPr>
      <w:rPr>
        <w:rFonts w:ascii="Wingdings" w:hAnsi="Wingdings" w:hint="default"/>
      </w:rPr>
    </w:lvl>
  </w:abstractNum>
  <w:abstractNum w:abstractNumId="2" w15:restartNumberingAfterBreak="0">
    <w:nsid w:val="3CC7670D"/>
    <w:multiLevelType w:val="hybridMultilevel"/>
    <w:tmpl w:val="FDDC7674"/>
    <w:lvl w:ilvl="0" w:tplc="9120DF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1033469"/>
    <w:multiLevelType w:val="hybridMultilevel"/>
    <w:tmpl w:val="D612FE54"/>
    <w:lvl w:ilvl="0" w:tplc="85BCE940">
      <w:start w:val="1"/>
      <w:numFmt w:val="bullet"/>
      <w:lvlText w:val=""/>
      <w:lvlJc w:val="left"/>
      <w:pPr>
        <w:ind w:left="720" w:hanging="360"/>
      </w:pPr>
      <w:rPr>
        <w:rFonts w:ascii="Symbol" w:hAnsi="Symbol" w:hint="default"/>
      </w:rPr>
    </w:lvl>
    <w:lvl w:ilvl="1" w:tplc="EDE89D4A">
      <w:start w:val="1"/>
      <w:numFmt w:val="bullet"/>
      <w:lvlText w:val="o"/>
      <w:lvlJc w:val="left"/>
      <w:pPr>
        <w:ind w:left="1440" w:hanging="360"/>
      </w:pPr>
      <w:rPr>
        <w:rFonts w:ascii="Courier New" w:hAnsi="Courier New" w:hint="default"/>
      </w:rPr>
    </w:lvl>
    <w:lvl w:ilvl="2" w:tplc="91061732">
      <w:start w:val="1"/>
      <w:numFmt w:val="bullet"/>
      <w:lvlText w:val=""/>
      <w:lvlJc w:val="left"/>
      <w:pPr>
        <w:ind w:left="2160" w:hanging="360"/>
      </w:pPr>
      <w:rPr>
        <w:rFonts w:ascii="Wingdings" w:hAnsi="Wingdings" w:hint="default"/>
      </w:rPr>
    </w:lvl>
    <w:lvl w:ilvl="3" w:tplc="5D04C974">
      <w:start w:val="1"/>
      <w:numFmt w:val="bullet"/>
      <w:lvlText w:val=""/>
      <w:lvlJc w:val="left"/>
      <w:pPr>
        <w:ind w:left="2880" w:hanging="360"/>
      </w:pPr>
      <w:rPr>
        <w:rFonts w:ascii="Symbol" w:hAnsi="Symbol" w:hint="default"/>
      </w:rPr>
    </w:lvl>
    <w:lvl w:ilvl="4" w:tplc="1C648E36">
      <w:start w:val="1"/>
      <w:numFmt w:val="bullet"/>
      <w:lvlText w:val="o"/>
      <w:lvlJc w:val="left"/>
      <w:pPr>
        <w:ind w:left="3600" w:hanging="360"/>
      </w:pPr>
      <w:rPr>
        <w:rFonts w:ascii="Courier New" w:hAnsi="Courier New" w:hint="default"/>
      </w:rPr>
    </w:lvl>
    <w:lvl w:ilvl="5" w:tplc="2DB00CB0">
      <w:start w:val="1"/>
      <w:numFmt w:val="bullet"/>
      <w:lvlText w:val=""/>
      <w:lvlJc w:val="left"/>
      <w:pPr>
        <w:ind w:left="4320" w:hanging="360"/>
      </w:pPr>
      <w:rPr>
        <w:rFonts w:ascii="Wingdings" w:hAnsi="Wingdings" w:hint="default"/>
      </w:rPr>
    </w:lvl>
    <w:lvl w:ilvl="6" w:tplc="3C9E0854">
      <w:start w:val="1"/>
      <w:numFmt w:val="bullet"/>
      <w:lvlText w:val=""/>
      <w:lvlJc w:val="left"/>
      <w:pPr>
        <w:ind w:left="5040" w:hanging="360"/>
      </w:pPr>
      <w:rPr>
        <w:rFonts w:ascii="Symbol" w:hAnsi="Symbol" w:hint="default"/>
      </w:rPr>
    </w:lvl>
    <w:lvl w:ilvl="7" w:tplc="EF2AE296">
      <w:start w:val="1"/>
      <w:numFmt w:val="bullet"/>
      <w:lvlText w:val="o"/>
      <w:lvlJc w:val="left"/>
      <w:pPr>
        <w:ind w:left="5760" w:hanging="360"/>
      </w:pPr>
      <w:rPr>
        <w:rFonts w:ascii="Courier New" w:hAnsi="Courier New" w:hint="default"/>
      </w:rPr>
    </w:lvl>
    <w:lvl w:ilvl="8" w:tplc="1B7CE0FC">
      <w:start w:val="1"/>
      <w:numFmt w:val="bullet"/>
      <w:lvlText w:val=""/>
      <w:lvlJc w:val="left"/>
      <w:pPr>
        <w:ind w:left="6480" w:hanging="360"/>
      </w:pPr>
      <w:rPr>
        <w:rFonts w:ascii="Wingdings" w:hAnsi="Wingdings" w:hint="default"/>
      </w:rPr>
    </w:lvl>
  </w:abstractNum>
  <w:abstractNum w:abstractNumId="4" w15:restartNumberingAfterBreak="0">
    <w:nsid w:val="5573523A"/>
    <w:multiLevelType w:val="hybridMultilevel"/>
    <w:tmpl w:val="92D45DA0"/>
    <w:lvl w:ilvl="0" w:tplc="5E42905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70F720B"/>
    <w:multiLevelType w:val="hybridMultilevel"/>
    <w:tmpl w:val="9D346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710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FE"/>
    <w:rsid w:val="00000517"/>
    <w:rsid w:val="0000169C"/>
    <w:rsid w:val="00001DDD"/>
    <w:rsid w:val="00007D4A"/>
    <w:rsid w:val="000103E9"/>
    <w:rsid w:val="00015945"/>
    <w:rsid w:val="00020D17"/>
    <w:rsid w:val="0002105A"/>
    <w:rsid w:val="00022205"/>
    <w:rsid w:val="00022974"/>
    <w:rsid w:val="0002586B"/>
    <w:rsid w:val="00025889"/>
    <w:rsid w:val="00026266"/>
    <w:rsid w:val="0002674A"/>
    <w:rsid w:val="000302F3"/>
    <w:rsid w:val="00031896"/>
    <w:rsid w:val="00031C82"/>
    <w:rsid w:val="000365DC"/>
    <w:rsid w:val="0003668B"/>
    <w:rsid w:val="0003701E"/>
    <w:rsid w:val="0004032B"/>
    <w:rsid w:val="000407DB"/>
    <w:rsid w:val="00043E49"/>
    <w:rsid w:val="00044042"/>
    <w:rsid w:val="000458BD"/>
    <w:rsid w:val="000471E4"/>
    <w:rsid w:val="000512BB"/>
    <w:rsid w:val="00051E9B"/>
    <w:rsid w:val="0005236D"/>
    <w:rsid w:val="00052502"/>
    <w:rsid w:val="00052554"/>
    <w:rsid w:val="00052E4F"/>
    <w:rsid w:val="00054358"/>
    <w:rsid w:val="00054CDA"/>
    <w:rsid w:val="00057916"/>
    <w:rsid w:val="000611EC"/>
    <w:rsid w:val="000617B7"/>
    <w:rsid w:val="00064521"/>
    <w:rsid w:val="0006496D"/>
    <w:rsid w:val="00064D6A"/>
    <w:rsid w:val="00065E19"/>
    <w:rsid w:val="00067A57"/>
    <w:rsid w:val="00070EAC"/>
    <w:rsid w:val="00071FA3"/>
    <w:rsid w:val="00072A58"/>
    <w:rsid w:val="0007336F"/>
    <w:rsid w:val="000770F3"/>
    <w:rsid w:val="0008062F"/>
    <w:rsid w:val="00081A0C"/>
    <w:rsid w:val="00081A16"/>
    <w:rsid w:val="00081FF0"/>
    <w:rsid w:val="00082ADE"/>
    <w:rsid w:val="000846A7"/>
    <w:rsid w:val="00085B09"/>
    <w:rsid w:val="00085C37"/>
    <w:rsid w:val="00085DCC"/>
    <w:rsid w:val="000874F4"/>
    <w:rsid w:val="00091F16"/>
    <w:rsid w:val="0009484D"/>
    <w:rsid w:val="00095C95"/>
    <w:rsid w:val="00096300"/>
    <w:rsid w:val="000A0A88"/>
    <w:rsid w:val="000A18F9"/>
    <w:rsid w:val="000A1F24"/>
    <w:rsid w:val="000A2818"/>
    <w:rsid w:val="000A296F"/>
    <w:rsid w:val="000A2EAB"/>
    <w:rsid w:val="000A4669"/>
    <w:rsid w:val="000A531B"/>
    <w:rsid w:val="000A7964"/>
    <w:rsid w:val="000B1235"/>
    <w:rsid w:val="000B2569"/>
    <w:rsid w:val="000B49AE"/>
    <w:rsid w:val="000B6723"/>
    <w:rsid w:val="000B6BE0"/>
    <w:rsid w:val="000C1105"/>
    <w:rsid w:val="000C13F2"/>
    <w:rsid w:val="000C1781"/>
    <w:rsid w:val="000C2BFE"/>
    <w:rsid w:val="000C31E5"/>
    <w:rsid w:val="000C3D4C"/>
    <w:rsid w:val="000C46F3"/>
    <w:rsid w:val="000C7CC7"/>
    <w:rsid w:val="000D074C"/>
    <w:rsid w:val="000D1BA8"/>
    <w:rsid w:val="000D4A41"/>
    <w:rsid w:val="000D4E21"/>
    <w:rsid w:val="000D5A5C"/>
    <w:rsid w:val="000D6C88"/>
    <w:rsid w:val="000D76F4"/>
    <w:rsid w:val="000D7836"/>
    <w:rsid w:val="000D7C83"/>
    <w:rsid w:val="000D7EFD"/>
    <w:rsid w:val="000E4745"/>
    <w:rsid w:val="000E4B01"/>
    <w:rsid w:val="000E4F73"/>
    <w:rsid w:val="000E5868"/>
    <w:rsid w:val="000E690A"/>
    <w:rsid w:val="000E78FE"/>
    <w:rsid w:val="000F046E"/>
    <w:rsid w:val="000F13BA"/>
    <w:rsid w:val="000F63B6"/>
    <w:rsid w:val="000F765C"/>
    <w:rsid w:val="00103FE9"/>
    <w:rsid w:val="001074A1"/>
    <w:rsid w:val="00110C6D"/>
    <w:rsid w:val="001138B8"/>
    <w:rsid w:val="00115834"/>
    <w:rsid w:val="00115AF5"/>
    <w:rsid w:val="00117E64"/>
    <w:rsid w:val="001209E7"/>
    <w:rsid w:val="00120B53"/>
    <w:rsid w:val="001215DC"/>
    <w:rsid w:val="0012490F"/>
    <w:rsid w:val="00125040"/>
    <w:rsid w:val="001266D5"/>
    <w:rsid w:val="00126D53"/>
    <w:rsid w:val="00127579"/>
    <w:rsid w:val="00133EE6"/>
    <w:rsid w:val="0013421A"/>
    <w:rsid w:val="0013434A"/>
    <w:rsid w:val="00134BE6"/>
    <w:rsid w:val="00134EEA"/>
    <w:rsid w:val="0013596C"/>
    <w:rsid w:val="00135EA3"/>
    <w:rsid w:val="00136087"/>
    <w:rsid w:val="001366F9"/>
    <w:rsid w:val="001378AC"/>
    <w:rsid w:val="00142F01"/>
    <w:rsid w:val="00146517"/>
    <w:rsid w:val="00147C0E"/>
    <w:rsid w:val="00153722"/>
    <w:rsid w:val="0015385C"/>
    <w:rsid w:val="00153C19"/>
    <w:rsid w:val="00155283"/>
    <w:rsid w:val="001552F0"/>
    <w:rsid w:val="00155301"/>
    <w:rsid w:val="00156079"/>
    <w:rsid w:val="001615DE"/>
    <w:rsid w:val="00167874"/>
    <w:rsid w:val="00170E23"/>
    <w:rsid w:val="00174A9A"/>
    <w:rsid w:val="00180337"/>
    <w:rsid w:val="00183D4C"/>
    <w:rsid w:val="001849A2"/>
    <w:rsid w:val="00185268"/>
    <w:rsid w:val="001855C0"/>
    <w:rsid w:val="00186B09"/>
    <w:rsid w:val="00193514"/>
    <w:rsid w:val="00193DF7"/>
    <w:rsid w:val="00194065"/>
    <w:rsid w:val="00194E8F"/>
    <w:rsid w:val="001970FB"/>
    <w:rsid w:val="00197516"/>
    <w:rsid w:val="001A025E"/>
    <w:rsid w:val="001A2835"/>
    <w:rsid w:val="001A4E5E"/>
    <w:rsid w:val="001A57FD"/>
    <w:rsid w:val="001A5B43"/>
    <w:rsid w:val="001A7E0B"/>
    <w:rsid w:val="001B0DB1"/>
    <w:rsid w:val="001B307C"/>
    <w:rsid w:val="001B416B"/>
    <w:rsid w:val="001B4DF1"/>
    <w:rsid w:val="001B50D2"/>
    <w:rsid w:val="001B6F61"/>
    <w:rsid w:val="001C1935"/>
    <w:rsid w:val="001C456C"/>
    <w:rsid w:val="001D04A8"/>
    <w:rsid w:val="001D04FF"/>
    <w:rsid w:val="001D17F4"/>
    <w:rsid w:val="001D22D6"/>
    <w:rsid w:val="001D4975"/>
    <w:rsid w:val="001D6BA0"/>
    <w:rsid w:val="001D709B"/>
    <w:rsid w:val="001D7FB5"/>
    <w:rsid w:val="001E0CF6"/>
    <w:rsid w:val="001E2D1E"/>
    <w:rsid w:val="001E4B4D"/>
    <w:rsid w:val="001E4C57"/>
    <w:rsid w:val="001E6717"/>
    <w:rsid w:val="001E689B"/>
    <w:rsid w:val="001F10C2"/>
    <w:rsid w:val="001F14EB"/>
    <w:rsid w:val="001F4D95"/>
    <w:rsid w:val="001F7400"/>
    <w:rsid w:val="001F7BB0"/>
    <w:rsid w:val="001F7CA7"/>
    <w:rsid w:val="00201050"/>
    <w:rsid w:val="00201886"/>
    <w:rsid w:val="00204EA6"/>
    <w:rsid w:val="0020759E"/>
    <w:rsid w:val="00210593"/>
    <w:rsid w:val="002107FF"/>
    <w:rsid w:val="00213E49"/>
    <w:rsid w:val="002147CD"/>
    <w:rsid w:val="00215B35"/>
    <w:rsid w:val="00215F73"/>
    <w:rsid w:val="0022104D"/>
    <w:rsid w:val="0022196A"/>
    <w:rsid w:val="002223AF"/>
    <w:rsid w:val="0022447A"/>
    <w:rsid w:val="00224692"/>
    <w:rsid w:val="00224714"/>
    <w:rsid w:val="002247AD"/>
    <w:rsid w:val="002260BF"/>
    <w:rsid w:val="002267D0"/>
    <w:rsid w:val="00226A85"/>
    <w:rsid w:val="002276A7"/>
    <w:rsid w:val="0022DF0C"/>
    <w:rsid w:val="002310C9"/>
    <w:rsid w:val="00232288"/>
    <w:rsid w:val="00232FCD"/>
    <w:rsid w:val="00235F55"/>
    <w:rsid w:val="0023693F"/>
    <w:rsid w:val="00236BF8"/>
    <w:rsid w:val="0024009D"/>
    <w:rsid w:val="002409BB"/>
    <w:rsid w:val="00241A82"/>
    <w:rsid w:val="00241E69"/>
    <w:rsid w:val="0024586E"/>
    <w:rsid w:val="0025038B"/>
    <w:rsid w:val="0025229C"/>
    <w:rsid w:val="00257190"/>
    <w:rsid w:val="00262041"/>
    <w:rsid w:val="002655BB"/>
    <w:rsid w:val="00265E51"/>
    <w:rsid w:val="002678FB"/>
    <w:rsid w:val="00272765"/>
    <w:rsid w:val="00272CF0"/>
    <w:rsid w:val="002736E9"/>
    <w:rsid w:val="00275CF5"/>
    <w:rsid w:val="00280C09"/>
    <w:rsid w:val="00281CE8"/>
    <w:rsid w:val="00282A85"/>
    <w:rsid w:val="00290289"/>
    <w:rsid w:val="002910F0"/>
    <w:rsid w:val="0029176A"/>
    <w:rsid w:val="002921A1"/>
    <w:rsid w:val="0029251A"/>
    <w:rsid w:val="0029365F"/>
    <w:rsid w:val="00295391"/>
    <w:rsid w:val="002954AA"/>
    <w:rsid w:val="00295EBB"/>
    <w:rsid w:val="002975B9"/>
    <w:rsid w:val="002A11AD"/>
    <w:rsid w:val="002A1BCD"/>
    <w:rsid w:val="002A4B97"/>
    <w:rsid w:val="002B09F4"/>
    <w:rsid w:val="002B2B83"/>
    <w:rsid w:val="002B39F8"/>
    <w:rsid w:val="002B492B"/>
    <w:rsid w:val="002B7BB9"/>
    <w:rsid w:val="002B7C36"/>
    <w:rsid w:val="002C1531"/>
    <w:rsid w:val="002C34B8"/>
    <w:rsid w:val="002C4EE9"/>
    <w:rsid w:val="002C5F14"/>
    <w:rsid w:val="002C688F"/>
    <w:rsid w:val="002D04D3"/>
    <w:rsid w:val="002D387C"/>
    <w:rsid w:val="002D4984"/>
    <w:rsid w:val="002D56EC"/>
    <w:rsid w:val="002D7D55"/>
    <w:rsid w:val="002E1C57"/>
    <w:rsid w:val="002E2022"/>
    <w:rsid w:val="002E31EF"/>
    <w:rsid w:val="002E401D"/>
    <w:rsid w:val="002E4E83"/>
    <w:rsid w:val="002E502E"/>
    <w:rsid w:val="002E589F"/>
    <w:rsid w:val="002E5FBF"/>
    <w:rsid w:val="002E7744"/>
    <w:rsid w:val="002F0795"/>
    <w:rsid w:val="002F0E70"/>
    <w:rsid w:val="002F150D"/>
    <w:rsid w:val="002F2521"/>
    <w:rsid w:val="002F25C3"/>
    <w:rsid w:val="002F4E3B"/>
    <w:rsid w:val="002F5E69"/>
    <w:rsid w:val="002F6126"/>
    <w:rsid w:val="002F6DDD"/>
    <w:rsid w:val="002F7F1A"/>
    <w:rsid w:val="0030136A"/>
    <w:rsid w:val="003016AA"/>
    <w:rsid w:val="003018B0"/>
    <w:rsid w:val="00303306"/>
    <w:rsid w:val="003050ED"/>
    <w:rsid w:val="00306C97"/>
    <w:rsid w:val="00306EFA"/>
    <w:rsid w:val="00307C4F"/>
    <w:rsid w:val="003112A9"/>
    <w:rsid w:val="00311E85"/>
    <w:rsid w:val="0031479F"/>
    <w:rsid w:val="00315E40"/>
    <w:rsid w:val="00316788"/>
    <w:rsid w:val="003208C8"/>
    <w:rsid w:val="0032261D"/>
    <w:rsid w:val="00324B1E"/>
    <w:rsid w:val="0032514C"/>
    <w:rsid w:val="00326644"/>
    <w:rsid w:val="00327378"/>
    <w:rsid w:val="00327D30"/>
    <w:rsid w:val="003310E3"/>
    <w:rsid w:val="00333A2D"/>
    <w:rsid w:val="0033462C"/>
    <w:rsid w:val="00336E30"/>
    <w:rsid w:val="0034134A"/>
    <w:rsid w:val="0034232F"/>
    <w:rsid w:val="00343A3D"/>
    <w:rsid w:val="00343F69"/>
    <w:rsid w:val="00345686"/>
    <w:rsid w:val="00346073"/>
    <w:rsid w:val="00346908"/>
    <w:rsid w:val="00347F4F"/>
    <w:rsid w:val="00350F76"/>
    <w:rsid w:val="00351831"/>
    <w:rsid w:val="00351D59"/>
    <w:rsid w:val="003524B0"/>
    <w:rsid w:val="003550F2"/>
    <w:rsid w:val="003558B8"/>
    <w:rsid w:val="003559D3"/>
    <w:rsid w:val="00356959"/>
    <w:rsid w:val="0035701C"/>
    <w:rsid w:val="00360024"/>
    <w:rsid w:val="00362276"/>
    <w:rsid w:val="003632EE"/>
    <w:rsid w:val="00364745"/>
    <w:rsid w:val="0036497A"/>
    <w:rsid w:val="00370B57"/>
    <w:rsid w:val="00370CD6"/>
    <w:rsid w:val="003754BF"/>
    <w:rsid w:val="00375C19"/>
    <w:rsid w:val="00377D59"/>
    <w:rsid w:val="003804A3"/>
    <w:rsid w:val="00380D8A"/>
    <w:rsid w:val="003824FA"/>
    <w:rsid w:val="00382EE1"/>
    <w:rsid w:val="003847D8"/>
    <w:rsid w:val="00384AA3"/>
    <w:rsid w:val="003865FB"/>
    <w:rsid w:val="00387FF8"/>
    <w:rsid w:val="0039133A"/>
    <w:rsid w:val="003942C9"/>
    <w:rsid w:val="003943D5"/>
    <w:rsid w:val="00395832"/>
    <w:rsid w:val="00397C7F"/>
    <w:rsid w:val="003A0943"/>
    <w:rsid w:val="003A0BA1"/>
    <w:rsid w:val="003A4B83"/>
    <w:rsid w:val="003A4D97"/>
    <w:rsid w:val="003A5C78"/>
    <w:rsid w:val="003A6B84"/>
    <w:rsid w:val="003A7E2F"/>
    <w:rsid w:val="003B04CA"/>
    <w:rsid w:val="003B53B6"/>
    <w:rsid w:val="003B55AB"/>
    <w:rsid w:val="003B5A9A"/>
    <w:rsid w:val="003C09EA"/>
    <w:rsid w:val="003C1306"/>
    <w:rsid w:val="003C13C6"/>
    <w:rsid w:val="003C2D6B"/>
    <w:rsid w:val="003C501E"/>
    <w:rsid w:val="003C57BB"/>
    <w:rsid w:val="003D0602"/>
    <w:rsid w:val="003D16B4"/>
    <w:rsid w:val="003D5132"/>
    <w:rsid w:val="003D61A8"/>
    <w:rsid w:val="003E2A67"/>
    <w:rsid w:val="003E46ED"/>
    <w:rsid w:val="003E4A11"/>
    <w:rsid w:val="003E4A41"/>
    <w:rsid w:val="003E508C"/>
    <w:rsid w:val="003E622C"/>
    <w:rsid w:val="003E7547"/>
    <w:rsid w:val="003F18A4"/>
    <w:rsid w:val="003F267F"/>
    <w:rsid w:val="003F3149"/>
    <w:rsid w:val="003F3151"/>
    <w:rsid w:val="003F417E"/>
    <w:rsid w:val="00400149"/>
    <w:rsid w:val="004003D1"/>
    <w:rsid w:val="00401229"/>
    <w:rsid w:val="00401B4D"/>
    <w:rsid w:val="00403D7E"/>
    <w:rsid w:val="0040704D"/>
    <w:rsid w:val="00411AC0"/>
    <w:rsid w:val="00411BDD"/>
    <w:rsid w:val="00414CDD"/>
    <w:rsid w:val="004163D7"/>
    <w:rsid w:val="004206D8"/>
    <w:rsid w:val="00421775"/>
    <w:rsid w:val="004220DE"/>
    <w:rsid w:val="0042380D"/>
    <w:rsid w:val="004269CF"/>
    <w:rsid w:val="00427F34"/>
    <w:rsid w:val="0043012E"/>
    <w:rsid w:val="0043393D"/>
    <w:rsid w:val="00436C3A"/>
    <w:rsid w:val="004412D5"/>
    <w:rsid w:val="0044233D"/>
    <w:rsid w:val="00442993"/>
    <w:rsid w:val="00444554"/>
    <w:rsid w:val="0044587B"/>
    <w:rsid w:val="004523FE"/>
    <w:rsid w:val="00453786"/>
    <w:rsid w:val="00455A9C"/>
    <w:rsid w:val="004561EE"/>
    <w:rsid w:val="0045694E"/>
    <w:rsid w:val="00457124"/>
    <w:rsid w:val="00457711"/>
    <w:rsid w:val="00457918"/>
    <w:rsid w:val="00457950"/>
    <w:rsid w:val="004603AD"/>
    <w:rsid w:val="004605F2"/>
    <w:rsid w:val="00462EDD"/>
    <w:rsid w:val="00464B6D"/>
    <w:rsid w:val="00464D42"/>
    <w:rsid w:val="00465074"/>
    <w:rsid w:val="00466390"/>
    <w:rsid w:val="00466A47"/>
    <w:rsid w:val="00466C80"/>
    <w:rsid w:val="00467A58"/>
    <w:rsid w:val="00467BD6"/>
    <w:rsid w:val="00470868"/>
    <w:rsid w:val="004727C2"/>
    <w:rsid w:val="00474AC8"/>
    <w:rsid w:val="00477B37"/>
    <w:rsid w:val="004816C1"/>
    <w:rsid w:val="0048361E"/>
    <w:rsid w:val="0048484D"/>
    <w:rsid w:val="00485019"/>
    <w:rsid w:val="004854D3"/>
    <w:rsid w:val="00485E1E"/>
    <w:rsid w:val="004879B8"/>
    <w:rsid w:val="00490330"/>
    <w:rsid w:val="0049287F"/>
    <w:rsid w:val="00492CAB"/>
    <w:rsid w:val="00494B89"/>
    <w:rsid w:val="00494D4B"/>
    <w:rsid w:val="004966FE"/>
    <w:rsid w:val="00496C75"/>
    <w:rsid w:val="00496EAA"/>
    <w:rsid w:val="004971F1"/>
    <w:rsid w:val="004A0A15"/>
    <w:rsid w:val="004A2974"/>
    <w:rsid w:val="004A3001"/>
    <w:rsid w:val="004A6DD1"/>
    <w:rsid w:val="004B0F31"/>
    <w:rsid w:val="004B1132"/>
    <w:rsid w:val="004B1AF1"/>
    <w:rsid w:val="004B2CAC"/>
    <w:rsid w:val="004B30A3"/>
    <w:rsid w:val="004B3704"/>
    <w:rsid w:val="004B391E"/>
    <w:rsid w:val="004B60A5"/>
    <w:rsid w:val="004B7931"/>
    <w:rsid w:val="004C0F47"/>
    <w:rsid w:val="004C1AE7"/>
    <w:rsid w:val="004C1B57"/>
    <w:rsid w:val="004C3A05"/>
    <w:rsid w:val="004C3E54"/>
    <w:rsid w:val="004C5E84"/>
    <w:rsid w:val="004C64E7"/>
    <w:rsid w:val="004C73AF"/>
    <w:rsid w:val="004D06BA"/>
    <w:rsid w:val="004D0EEC"/>
    <w:rsid w:val="004D32C3"/>
    <w:rsid w:val="004D3C6E"/>
    <w:rsid w:val="004D50F6"/>
    <w:rsid w:val="004D5146"/>
    <w:rsid w:val="004D549E"/>
    <w:rsid w:val="004D72BB"/>
    <w:rsid w:val="004D7623"/>
    <w:rsid w:val="004E12D4"/>
    <w:rsid w:val="004E13F6"/>
    <w:rsid w:val="004E1FF6"/>
    <w:rsid w:val="004E6FA2"/>
    <w:rsid w:val="004F2496"/>
    <w:rsid w:val="004F25F4"/>
    <w:rsid w:val="004F277F"/>
    <w:rsid w:val="004F3641"/>
    <w:rsid w:val="004F3AFD"/>
    <w:rsid w:val="004F3F73"/>
    <w:rsid w:val="004F41FE"/>
    <w:rsid w:val="004F4571"/>
    <w:rsid w:val="004F63CD"/>
    <w:rsid w:val="00502998"/>
    <w:rsid w:val="00504F0B"/>
    <w:rsid w:val="00507BC3"/>
    <w:rsid w:val="00510390"/>
    <w:rsid w:val="00510655"/>
    <w:rsid w:val="005106CA"/>
    <w:rsid w:val="00512F67"/>
    <w:rsid w:val="005171E0"/>
    <w:rsid w:val="005173AB"/>
    <w:rsid w:val="00520DE7"/>
    <w:rsid w:val="00521BEE"/>
    <w:rsid w:val="00523772"/>
    <w:rsid w:val="00523C26"/>
    <w:rsid w:val="005246B0"/>
    <w:rsid w:val="00526D67"/>
    <w:rsid w:val="005271DC"/>
    <w:rsid w:val="00527BF5"/>
    <w:rsid w:val="00530561"/>
    <w:rsid w:val="00530DB0"/>
    <w:rsid w:val="0053190B"/>
    <w:rsid w:val="00531A41"/>
    <w:rsid w:val="00533CAF"/>
    <w:rsid w:val="005349A5"/>
    <w:rsid w:val="00540FF8"/>
    <w:rsid w:val="00541866"/>
    <w:rsid w:val="00541988"/>
    <w:rsid w:val="00543F6A"/>
    <w:rsid w:val="00545562"/>
    <w:rsid w:val="00545BAB"/>
    <w:rsid w:val="00546DC0"/>
    <w:rsid w:val="00547E18"/>
    <w:rsid w:val="0055132B"/>
    <w:rsid w:val="005518E4"/>
    <w:rsid w:val="005521BE"/>
    <w:rsid w:val="00553319"/>
    <w:rsid w:val="005535B5"/>
    <w:rsid w:val="00556984"/>
    <w:rsid w:val="0055711F"/>
    <w:rsid w:val="0056020F"/>
    <w:rsid w:val="00560E0A"/>
    <w:rsid w:val="0056202F"/>
    <w:rsid w:val="005635A9"/>
    <w:rsid w:val="005652EE"/>
    <w:rsid w:val="00565662"/>
    <w:rsid w:val="00567CCD"/>
    <w:rsid w:val="00570628"/>
    <w:rsid w:val="00572182"/>
    <w:rsid w:val="00577BC5"/>
    <w:rsid w:val="00584382"/>
    <w:rsid w:val="00584DFC"/>
    <w:rsid w:val="00587EF6"/>
    <w:rsid w:val="00590630"/>
    <w:rsid w:val="00590E73"/>
    <w:rsid w:val="00591D8B"/>
    <w:rsid w:val="00591E27"/>
    <w:rsid w:val="005920CB"/>
    <w:rsid w:val="005933D0"/>
    <w:rsid w:val="00595277"/>
    <w:rsid w:val="005961B9"/>
    <w:rsid w:val="00597117"/>
    <w:rsid w:val="005971AF"/>
    <w:rsid w:val="00597EA7"/>
    <w:rsid w:val="005A0706"/>
    <w:rsid w:val="005A0AFC"/>
    <w:rsid w:val="005A1631"/>
    <w:rsid w:val="005A1E0F"/>
    <w:rsid w:val="005A246F"/>
    <w:rsid w:val="005A29CC"/>
    <w:rsid w:val="005A2FAA"/>
    <w:rsid w:val="005A684D"/>
    <w:rsid w:val="005A799B"/>
    <w:rsid w:val="005B053D"/>
    <w:rsid w:val="005B0833"/>
    <w:rsid w:val="005B2320"/>
    <w:rsid w:val="005B2606"/>
    <w:rsid w:val="005B326D"/>
    <w:rsid w:val="005B3CDC"/>
    <w:rsid w:val="005B3D58"/>
    <w:rsid w:val="005B4611"/>
    <w:rsid w:val="005B5A7D"/>
    <w:rsid w:val="005C15F7"/>
    <w:rsid w:val="005C1AC5"/>
    <w:rsid w:val="005C32F3"/>
    <w:rsid w:val="005C34CA"/>
    <w:rsid w:val="005C3CF0"/>
    <w:rsid w:val="005C3E1F"/>
    <w:rsid w:val="005C3ECD"/>
    <w:rsid w:val="005D02FC"/>
    <w:rsid w:val="005D2900"/>
    <w:rsid w:val="005D3512"/>
    <w:rsid w:val="005D3B78"/>
    <w:rsid w:val="005D42A9"/>
    <w:rsid w:val="005D513C"/>
    <w:rsid w:val="005D5304"/>
    <w:rsid w:val="005E0C48"/>
    <w:rsid w:val="005E31AC"/>
    <w:rsid w:val="005E34FD"/>
    <w:rsid w:val="005E58C2"/>
    <w:rsid w:val="005F0581"/>
    <w:rsid w:val="005F1EEB"/>
    <w:rsid w:val="005F5EDA"/>
    <w:rsid w:val="005F608E"/>
    <w:rsid w:val="005F7D0D"/>
    <w:rsid w:val="00601C5A"/>
    <w:rsid w:val="00602E3C"/>
    <w:rsid w:val="00603461"/>
    <w:rsid w:val="006068B4"/>
    <w:rsid w:val="00607B0F"/>
    <w:rsid w:val="00607C87"/>
    <w:rsid w:val="006106CD"/>
    <w:rsid w:val="006116FE"/>
    <w:rsid w:val="00611B90"/>
    <w:rsid w:val="00614FF0"/>
    <w:rsid w:val="00616AB4"/>
    <w:rsid w:val="00617877"/>
    <w:rsid w:val="00617ED1"/>
    <w:rsid w:val="006200F6"/>
    <w:rsid w:val="00621840"/>
    <w:rsid w:val="006222FA"/>
    <w:rsid w:val="006224FC"/>
    <w:rsid w:val="00625A7C"/>
    <w:rsid w:val="006260BC"/>
    <w:rsid w:val="00626339"/>
    <w:rsid w:val="00626577"/>
    <w:rsid w:val="006314BC"/>
    <w:rsid w:val="006320E9"/>
    <w:rsid w:val="00632B6F"/>
    <w:rsid w:val="00637F9C"/>
    <w:rsid w:val="00640595"/>
    <w:rsid w:val="00641968"/>
    <w:rsid w:val="006449C9"/>
    <w:rsid w:val="006461FB"/>
    <w:rsid w:val="00650D65"/>
    <w:rsid w:val="00650D9E"/>
    <w:rsid w:val="006569D7"/>
    <w:rsid w:val="00656DFE"/>
    <w:rsid w:val="00657D8D"/>
    <w:rsid w:val="00660576"/>
    <w:rsid w:val="0066185B"/>
    <w:rsid w:val="00667FF1"/>
    <w:rsid w:val="00670A50"/>
    <w:rsid w:val="0067190E"/>
    <w:rsid w:val="006737F6"/>
    <w:rsid w:val="00673E4A"/>
    <w:rsid w:val="00675784"/>
    <w:rsid w:val="006757CD"/>
    <w:rsid w:val="00676F5C"/>
    <w:rsid w:val="00677483"/>
    <w:rsid w:val="006777EF"/>
    <w:rsid w:val="006817A6"/>
    <w:rsid w:val="0068195E"/>
    <w:rsid w:val="00681D20"/>
    <w:rsid w:val="00681D46"/>
    <w:rsid w:val="00681D62"/>
    <w:rsid w:val="006821C2"/>
    <w:rsid w:val="006829CF"/>
    <w:rsid w:val="00684395"/>
    <w:rsid w:val="006843D1"/>
    <w:rsid w:val="00684D06"/>
    <w:rsid w:val="00685DCD"/>
    <w:rsid w:val="0068706A"/>
    <w:rsid w:val="006879C8"/>
    <w:rsid w:val="0068D30D"/>
    <w:rsid w:val="006909E9"/>
    <w:rsid w:val="0069214F"/>
    <w:rsid w:val="006921DD"/>
    <w:rsid w:val="0069385B"/>
    <w:rsid w:val="00695394"/>
    <w:rsid w:val="0069615E"/>
    <w:rsid w:val="00696F46"/>
    <w:rsid w:val="006A0D78"/>
    <w:rsid w:val="006A18B3"/>
    <w:rsid w:val="006A38AE"/>
    <w:rsid w:val="006A486D"/>
    <w:rsid w:val="006A4AFD"/>
    <w:rsid w:val="006A624D"/>
    <w:rsid w:val="006B0E36"/>
    <w:rsid w:val="006B0F2B"/>
    <w:rsid w:val="006B1170"/>
    <w:rsid w:val="006B2682"/>
    <w:rsid w:val="006B3F67"/>
    <w:rsid w:val="006B5076"/>
    <w:rsid w:val="006B50D4"/>
    <w:rsid w:val="006B7816"/>
    <w:rsid w:val="006C1AFA"/>
    <w:rsid w:val="006C240C"/>
    <w:rsid w:val="006C2DF5"/>
    <w:rsid w:val="006C3879"/>
    <w:rsid w:val="006C5291"/>
    <w:rsid w:val="006C5426"/>
    <w:rsid w:val="006C7878"/>
    <w:rsid w:val="006C7960"/>
    <w:rsid w:val="006C7B4D"/>
    <w:rsid w:val="006D304F"/>
    <w:rsid w:val="006D363A"/>
    <w:rsid w:val="006D3BF5"/>
    <w:rsid w:val="006D5492"/>
    <w:rsid w:val="006D57FF"/>
    <w:rsid w:val="006D626D"/>
    <w:rsid w:val="006D67B9"/>
    <w:rsid w:val="006D7645"/>
    <w:rsid w:val="006D7D00"/>
    <w:rsid w:val="006E045D"/>
    <w:rsid w:val="006E12D4"/>
    <w:rsid w:val="006E1380"/>
    <w:rsid w:val="006E1E70"/>
    <w:rsid w:val="006E311E"/>
    <w:rsid w:val="006E3762"/>
    <w:rsid w:val="006E789B"/>
    <w:rsid w:val="006E7C4E"/>
    <w:rsid w:val="006F0DD1"/>
    <w:rsid w:val="006F2528"/>
    <w:rsid w:val="006F2D56"/>
    <w:rsid w:val="006F6524"/>
    <w:rsid w:val="006F7D2B"/>
    <w:rsid w:val="0070016B"/>
    <w:rsid w:val="007007A3"/>
    <w:rsid w:val="00700FD8"/>
    <w:rsid w:val="007046C5"/>
    <w:rsid w:val="0070715D"/>
    <w:rsid w:val="00710A26"/>
    <w:rsid w:val="00711792"/>
    <w:rsid w:val="00712EB6"/>
    <w:rsid w:val="00713E95"/>
    <w:rsid w:val="00715220"/>
    <w:rsid w:val="00715222"/>
    <w:rsid w:val="0071549A"/>
    <w:rsid w:val="007173BC"/>
    <w:rsid w:val="007176FE"/>
    <w:rsid w:val="0072076F"/>
    <w:rsid w:val="007211BE"/>
    <w:rsid w:val="00721D27"/>
    <w:rsid w:val="007225C9"/>
    <w:rsid w:val="00726F02"/>
    <w:rsid w:val="00727AFB"/>
    <w:rsid w:val="00727FE7"/>
    <w:rsid w:val="007308FE"/>
    <w:rsid w:val="007310D9"/>
    <w:rsid w:val="00734D72"/>
    <w:rsid w:val="00736977"/>
    <w:rsid w:val="0073772C"/>
    <w:rsid w:val="00741A5C"/>
    <w:rsid w:val="00742B4A"/>
    <w:rsid w:val="007449BF"/>
    <w:rsid w:val="00745FE6"/>
    <w:rsid w:val="0074788C"/>
    <w:rsid w:val="00751A9D"/>
    <w:rsid w:val="007535E7"/>
    <w:rsid w:val="00753A39"/>
    <w:rsid w:val="00755595"/>
    <w:rsid w:val="007557AF"/>
    <w:rsid w:val="00756037"/>
    <w:rsid w:val="00757FD8"/>
    <w:rsid w:val="00763ED2"/>
    <w:rsid w:val="00763F5B"/>
    <w:rsid w:val="00766F20"/>
    <w:rsid w:val="00767472"/>
    <w:rsid w:val="00767D38"/>
    <w:rsid w:val="00770976"/>
    <w:rsid w:val="00775995"/>
    <w:rsid w:val="00776277"/>
    <w:rsid w:val="0077698F"/>
    <w:rsid w:val="007770BD"/>
    <w:rsid w:val="007804BF"/>
    <w:rsid w:val="00780E0D"/>
    <w:rsid w:val="0078168D"/>
    <w:rsid w:val="00781776"/>
    <w:rsid w:val="00783E66"/>
    <w:rsid w:val="007847A7"/>
    <w:rsid w:val="00785089"/>
    <w:rsid w:val="0078542D"/>
    <w:rsid w:val="00785DD9"/>
    <w:rsid w:val="0078755A"/>
    <w:rsid w:val="00787E89"/>
    <w:rsid w:val="0079570B"/>
    <w:rsid w:val="00796589"/>
    <w:rsid w:val="007A45B7"/>
    <w:rsid w:val="007A6AE5"/>
    <w:rsid w:val="007A6D89"/>
    <w:rsid w:val="007B0346"/>
    <w:rsid w:val="007B2B9E"/>
    <w:rsid w:val="007B2E0D"/>
    <w:rsid w:val="007B3563"/>
    <w:rsid w:val="007B6E5B"/>
    <w:rsid w:val="007C2B68"/>
    <w:rsid w:val="007C6787"/>
    <w:rsid w:val="007C7FEB"/>
    <w:rsid w:val="007D0565"/>
    <w:rsid w:val="007D7E03"/>
    <w:rsid w:val="007E123A"/>
    <w:rsid w:val="007E13DB"/>
    <w:rsid w:val="007E22F7"/>
    <w:rsid w:val="007E2E82"/>
    <w:rsid w:val="007E4009"/>
    <w:rsid w:val="007F08CB"/>
    <w:rsid w:val="007F131A"/>
    <w:rsid w:val="007F13C6"/>
    <w:rsid w:val="007F1E17"/>
    <w:rsid w:val="007F3648"/>
    <w:rsid w:val="007F3717"/>
    <w:rsid w:val="007F3D0C"/>
    <w:rsid w:val="007F5DD2"/>
    <w:rsid w:val="007F76C4"/>
    <w:rsid w:val="007F778F"/>
    <w:rsid w:val="00801AAF"/>
    <w:rsid w:val="00801B64"/>
    <w:rsid w:val="00802964"/>
    <w:rsid w:val="00803666"/>
    <w:rsid w:val="0080387B"/>
    <w:rsid w:val="00803A01"/>
    <w:rsid w:val="0080426C"/>
    <w:rsid w:val="0080528F"/>
    <w:rsid w:val="0080731D"/>
    <w:rsid w:val="00812402"/>
    <w:rsid w:val="00812D11"/>
    <w:rsid w:val="00815AAA"/>
    <w:rsid w:val="00815E8F"/>
    <w:rsid w:val="008206F1"/>
    <w:rsid w:val="008275C6"/>
    <w:rsid w:val="00827E74"/>
    <w:rsid w:val="008303AC"/>
    <w:rsid w:val="00832955"/>
    <w:rsid w:val="008343F0"/>
    <w:rsid w:val="00835E74"/>
    <w:rsid w:val="0083681E"/>
    <w:rsid w:val="008408B4"/>
    <w:rsid w:val="00841ABD"/>
    <w:rsid w:val="0084330A"/>
    <w:rsid w:val="00843640"/>
    <w:rsid w:val="00844879"/>
    <w:rsid w:val="00847DD0"/>
    <w:rsid w:val="00852731"/>
    <w:rsid w:val="00856A6C"/>
    <w:rsid w:val="00856DEE"/>
    <w:rsid w:val="00861563"/>
    <w:rsid w:val="008618F5"/>
    <w:rsid w:val="00863CDD"/>
    <w:rsid w:val="008642C6"/>
    <w:rsid w:val="008647C5"/>
    <w:rsid w:val="00865224"/>
    <w:rsid w:val="008655FB"/>
    <w:rsid w:val="00865CA2"/>
    <w:rsid w:val="00867A22"/>
    <w:rsid w:val="00872377"/>
    <w:rsid w:val="008728FD"/>
    <w:rsid w:val="00873BD8"/>
    <w:rsid w:val="00873F9F"/>
    <w:rsid w:val="00875487"/>
    <w:rsid w:val="00880C11"/>
    <w:rsid w:val="00880D1C"/>
    <w:rsid w:val="00884EDC"/>
    <w:rsid w:val="00885FCD"/>
    <w:rsid w:val="008877C7"/>
    <w:rsid w:val="00890C69"/>
    <w:rsid w:val="008916DB"/>
    <w:rsid w:val="0089371E"/>
    <w:rsid w:val="00893728"/>
    <w:rsid w:val="00897EAF"/>
    <w:rsid w:val="008A20E7"/>
    <w:rsid w:val="008A3B0D"/>
    <w:rsid w:val="008A3C12"/>
    <w:rsid w:val="008A4DB8"/>
    <w:rsid w:val="008A524B"/>
    <w:rsid w:val="008A66DB"/>
    <w:rsid w:val="008A6C91"/>
    <w:rsid w:val="008A7027"/>
    <w:rsid w:val="008A7D1D"/>
    <w:rsid w:val="008A7E51"/>
    <w:rsid w:val="008B0614"/>
    <w:rsid w:val="008B14E9"/>
    <w:rsid w:val="008B2A36"/>
    <w:rsid w:val="008B4734"/>
    <w:rsid w:val="008B5D03"/>
    <w:rsid w:val="008B685D"/>
    <w:rsid w:val="008B75B5"/>
    <w:rsid w:val="008C06B6"/>
    <w:rsid w:val="008C22A1"/>
    <w:rsid w:val="008C2CFF"/>
    <w:rsid w:val="008C3359"/>
    <w:rsid w:val="008C355E"/>
    <w:rsid w:val="008C3E79"/>
    <w:rsid w:val="008D01C3"/>
    <w:rsid w:val="008D17C3"/>
    <w:rsid w:val="008D1FFF"/>
    <w:rsid w:val="008D26F8"/>
    <w:rsid w:val="008D2842"/>
    <w:rsid w:val="008D3E76"/>
    <w:rsid w:val="008D41C5"/>
    <w:rsid w:val="008D6609"/>
    <w:rsid w:val="008E0260"/>
    <w:rsid w:val="008E1BBA"/>
    <w:rsid w:val="008E2BC7"/>
    <w:rsid w:val="008E322E"/>
    <w:rsid w:val="008E5197"/>
    <w:rsid w:val="008E5513"/>
    <w:rsid w:val="008E5FE2"/>
    <w:rsid w:val="008E6833"/>
    <w:rsid w:val="008E6DF0"/>
    <w:rsid w:val="008F0603"/>
    <w:rsid w:val="008F1384"/>
    <w:rsid w:val="008F2C57"/>
    <w:rsid w:val="008F4B41"/>
    <w:rsid w:val="008F511B"/>
    <w:rsid w:val="008F7D2C"/>
    <w:rsid w:val="009009EC"/>
    <w:rsid w:val="00901531"/>
    <w:rsid w:val="00902688"/>
    <w:rsid w:val="00903806"/>
    <w:rsid w:val="00904BD8"/>
    <w:rsid w:val="00906285"/>
    <w:rsid w:val="0090700E"/>
    <w:rsid w:val="00907735"/>
    <w:rsid w:val="00911ADC"/>
    <w:rsid w:val="00911D45"/>
    <w:rsid w:val="009120C5"/>
    <w:rsid w:val="00917632"/>
    <w:rsid w:val="00920F4D"/>
    <w:rsid w:val="009221A4"/>
    <w:rsid w:val="00922213"/>
    <w:rsid w:val="00924572"/>
    <w:rsid w:val="0092636F"/>
    <w:rsid w:val="009267C3"/>
    <w:rsid w:val="009278F9"/>
    <w:rsid w:val="00927CAB"/>
    <w:rsid w:val="00930092"/>
    <w:rsid w:val="0093390F"/>
    <w:rsid w:val="00933DA0"/>
    <w:rsid w:val="00935118"/>
    <w:rsid w:val="009353CC"/>
    <w:rsid w:val="00935683"/>
    <w:rsid w:val="00936F84"/>
    <w:rsid w:val="009422F9"/>
    <w:rsid w:val="00943165"/>
    <w:rsid w:val="00945147"/>
    <w:rsid w:val="00945CE5"/>
    <w:rsid w:val="00945E04"/>
    <w:rsid w:val="00946E3A"/>
    <w:rsid w:val="00947C6B"/>
    <w:rsid w:val="00947DAB"/>
    <w:rsid w:val="0095149A"/>
    <w:rsid w:val="009521B4"/>
    <w:rsid w:val="009621AE"/>
    <w:rsid w:val="00964981"/>
    <w:rsid w:val="00964C0D"/>
    <w:rsid w:val="009704FA"/>
    <w:rsid w:val="00970EE4"/>
    <w:rsid w:val="00971B20"/>
    <w:rsid w:val="0097271E"/>
    <w:rsid w:val="0097327C"/>
    <w:rsid w:val="0097329F"/>
    <w:rsid w:val="0097449A"/>
    <w:rsid w:val="009756D7"/>
    <w:rsid w:val="00975C2C"/>
    <w:rsid w:val="00976E1E"/>
    <w:rsid w:val="00980084"/>
    <w:rsid w:val="00987B39"/>
    <w:rsid w:val="00990E75"/>
    <w:rsid w:val="00991169"/>
    <w:rsid w:val="00991946"/>
    <w:rsid w:val="009926FC"/>
    <w:rsid w:val="00993967"/>
    <w:rsid w:val="009946F7"/>
    <w:rsid w:val="00995845"/>
    <w:rsid w:val="00996A51"/>
    <w:rsid w:val="009A0101"/>
    <w:rsid w:val="009A1DD5"/>
    <w:rsid w:val="009A20F3"/>
    <w:rsid w:val="009A3D4A"/>
    <w:rsid w:val="009A65D0"/>
    <w:rsid w:val="009A7DCA"/>
    <w:rsid w:val="009A7F54"/>
    <w:rsid w:val="009B1108"/>
    <w:rsid w:val="009B5E5D"/>
    <w:rsid w:val="009B5E74"/>
    <w:rsid w:val="009C33A4"/>
    <w:rsid w:val="009C40EA"/>
    <w:rsid w:val="009C49CC"/>
    <w:rsid w:val="009C7BDF"/>
    <w:rsid w:val="009D0F61"/>
    <w:rsid w:val="009D353C"/>
    <w:rsid w:val="009D533D"/>
    <w:rsid w:val="009D55B4"/>
    <w:rsid w:val="009D64CC"/>
    <w:rsid w:val="009D7D92"/>
    <w:rsid w:val="009E34AE"/>
    <w:rsid w:val="009E3E8D"/>
    <w:rsid w:val="009E4399"/>
    <w:rsid w:val="009E49CA"/>
    <w:rsid w:val="009E65F5"/>
    <w:rsid w:val="009E6FFE"/>
    <w:rsid w:val="009F019D"/>
    <w:rsid w:val="009F4052"/>
    <w:rsid w:val="009F66DB"/>
    <w:rsid w:val="009F7C5E"/>
    <w:rsid w:val="00A023F8"/>
    <w:rsid w:val="00A02DDD"/>
    <w:rsid w:val="00A0423B"/>
    <w:rsid w:val="00A0698F"/>
    <w:rsid w:val="00A07653"/>
    <w:rsid w:val="00A10571"/>
    <w:rsid w:val="00A1161C"/>
    <w:rsid w:val="00A12022"/>
    <w:rsid w:val="00A13316"/>
    <w:rsid w:val="00A136DD"/>
    <w:rsid w:val="00A14C8C"/>
    <w:rsid w:val="00A161A8"/>
    <w:rsid w:val="00A20692"/>
    <w:rsid w:val="00A24316"/>
    <w:rsid w:val="00A254CF"/>
    <w:rsid w:val="00A26E31"/>
    <w:rsid w:val="00A3167F"/>
    <w:rsid w:val="00A3350E"/>
    <w:rsid w:val="00A349BC"/>
    <w:rsid w:val="00A3501B"/>
    <w:rsid w:val="00A358EC"/>
    <w:rsid w:val="00A36ED5"/>
    <w:rsid w:val="00A37B00"/>
    <w:rsid w:val="00A40C03"/>
    <w:rsid w:val="00A40F40"/>
    <w:rsid w:val="00A41272"/>
    <w:rsid w:val="00A43A0F"/>
    <w:rsid w:val="00A47DF6"/>
    <w:rsid w:val="00A5012D"/>
    <w:rsid w:val="00A50271"/>
    <w:rsid w:val="00A5085A"/>
    <w:rsid w:val="00A54466"/>
    <w:rsid w:val="00A54ACF"/>
    <w:rsid w:val="00A601F9"/>
    <w:rsid w:val="00A60BB8"/>
    <w:rsid w:val="00A61DE1"/>
    <w:rsid w:val="00A62128"/>
    <w:rsid w:val="00A623E0"/>
    <w:rsid w:val="00A62991"/>
    <w:rsid w:val="00A62B93"/>
    <w:rsid w:val="00A6446F"/>
    <w:rsid w:val="00A64CED"/>
    <w:rsid w:val="00A650E2"/>
    <w:rsid w:val="00A66196"/>
    <w:rsid w:val="00A67AF0"/>
    <w:rsid w:val="00A67F78"/>
    <w:rsid w:val="00A70976"/>
    <w:rsid w:val="00A71CD2"/>
    <w:rsid w:val="00A734E7"/>
    <w:rsid w:val="00A76FE3"/>
    <w:rsid w:val="00A80FCF"/>
    <w:rsid w:val="00A82F6B"/>
    <w:rsid w:val="00A8723E"/>
    <w:rsid w:val="00A8797E"/>
    <w:rsid w:val="00A90970"/>
    <w:rsid w:val="00A928FF"/>
    <w:rsid w:val="00A94005"/>
    <w:rsid w:val="00A95CB6"/>
    <w:rsid w:val="00A95D1D"/>
    <w:rsid w:val="00A96796"/>
    <w:rsid w:val="00A9789C"/>
    <w:rsid w:val="00AA038F"/>
    <w:rsid w:val="00AA1864"/>
    <w:rsid w:val="00AA21D3"/>
    <w:rsid w:val="00AA21F5"/>
    <w:rsid w:val="00AA2D82"/>
    <w:rsid w:val="00AA5008"/>
    <w:rsid w:val="00AA7C1B"/>
    <w:rsid w:val="00AB129C"/>
    <w:rsid w:val="00AB3613"/>
    <w:rsid w:val="00AB7A63"/>
    <w:rsid w:val="00AC0CBB"/>
    <w:rsid w:val="00AC2A80"/>
    <w:rsid w:val="00AC5231"/>
    <w:rsid w:val="00AC5E67"/>
    <w:rsid w:val="00AC64A0"/>
    <w:rsid w:val="00AD1243"/>
    <w:rsid w:val="00AD169C"/>
    <w:rsid w:val="00AD2450"/>
    <w:rsid w:val="00AD2E40"/>
    <w:rsid w:val="00AD65BE"/>
    <w:rsid w:val="00AD6A38"/>
    <w:rsid w:val="00AD72B4"/>
    <w:rsid w:val="00AD7AA1"/>
    <w:rsid w:val="00AE3104"/>
    <w:rsid w:val="00AE43AD"/>
    <w:rsid w:val="00AE43BB"/>
    <w:rsid w:val="00AE53A6"/>
    <w:rsid w:val="00AE6B64"/>
    <w:rsid w:val="00AE6BB5"/>
    <w:rsid w:val="00AE7710"/>
    <w:rsid w:val="00AF2CE8"/>
    <w:rsid w:val="00AF704D"/>
    <w:rsid w:val="00AF7CEE"/>
    <w:rsid w:val="00AF7F6F"/>
    <w:rsid w:val="00B0265A"/>
    <w:rsid w:val="00B056CC"/>
    <w:rsid w:val="00B058B6"/>
    <w:rsid w:val="00B075D7"/>
    <w:rsid w:val="00B13AB1"/>
    <w:rsid w:val="00B14AB5"/>
    <w:rsid w:val="00B14D9C"/>
    <w:rsid w:val="00B155FE"/>
    <w:rsid w:val="00B15A4C"/>
    <w:rsid w:val="00B17819"/>
    <w:rsid w:val="00B2202B"/>
    <w:rsid w:val="00B221B5"/>
    <w:rsid w:val="00B22BD9"/>
    <w:rsid w:val="00B2454C"/>
    <w:rsid w:val="00B2544B"/>
    <w:rsid w:val="00B32682"/>
    <w:rsid w:val="00B33638"/>
    <w:rsid w:val="00B33C05"/>
    <w:rsid w:val="00B34A94"/>
    <w:rsid w:val="00B35B95"/>
    <w:rsid w:val="00B36150"/>
    <w:rsid w:val="00B41B58"/>
    <w:rsid w:val="00B43A9F"/>
    <w:rsid w:val="00B44127"/>
    <w:rsid w:val="00B51261"/>
    <w:rsid w:val="00B54171"/>
    <w:rsid w:val="00B56CB1"/>
    <w:rsid w:val="00B60534"/>
    <w:rsid w:val="00B6124E"/>
    <w:rsid w:val="00B622E5"/>
    <w:rsid w:val="00B62D08"/>
    <w:rsid w:val="00B63DA3"/>
    <w:rsid w:val="00B63EBC"/>
    <w:rsid w:val="00B6763B"/>
    <w:rsid w:val="00B70AB8"/>
    <w:rsid w:val="00B72569"/>
    <w:rsid w:val="00B7456C"/>
    <w:rsid w:val="00B7458D"/>
    <w:rsid w:val="00B745F4"/>
    <w:rsid w:val="00B75545"/>
    <w:rsid w:val="00B762E2"/>
    <w:rsid w:val="00B771CD"/>
    <w:rsid w:val="00B8241D"/>
    <w:rsid w:val="00B843B9"/>
    <w:rsid w:val="00B8447F"/>
    <w:rsid w:val="00B84AD1"/>
    <w:rsid w:val="00B850B8"/>
    <w:rsid w:val="00B91ABD"/>
    <w:rsid w:val="00B94CCA"/>
    <w:rsid w:val="00B95AD8"/>
    <w:rsid w:val="00B9640C"/>
    <w:rsid w:val="00B9670A"/>
    <w:rsid w:val="00B9709B"/>
    <w:rsid w:val="00B9738E"/>
    <w:rsid w:val="00B97A62"/>
    <w:rsid w:val="00BA016E"/>
    <w:rsid w:val="00BA04EA"/>
    <w:rsid w:val="00BA35CC"/>
    <w:rsid w:val="00BA3B98"/>
    <w:rsid w:val="00BA415E"/>
    <w:rsid w:val="00BA5D1C"/>
    <w:rsid w:val="00BA60BB"/>
    <w:rsid w:val="00BA62C3"/>
    <w:rsid w:val="00BB0472"/>
    <w:rsid w:val="00BB10E1"/>
    <w:rsid w:val="00BB12FE"/>
    <w:rsid w:val="00BB259D"/>
    <w:rsid w:val="00BB2A34"/>
    <w:rsid w:val="00BB4D90"/>
    <w:rsid w:val="00BB5D94"/>
    <w:rsid w:val="00BB79F6"/>
    <w:rsid w:val="00BC03B1"/>
    <w:rsid w:val="00BC19CC"/>
    <w:rsid w:val="00BC2001"/>
    <w:rsid w:val="00BC24BF"/>
    <w:rsid w:val="00BC4B9F"/>
    <w:rsid w:val="00BC74C4"/>
    <w:rsid w:val="00BD2A9C"/>
    <w:rsid w:val="00BD2E25"/>
    <w:rsid w:val="00BD37C8"/>
    <w:rsid w:val="00BD3CEA"/>
    <w:rsid w:val="00BD4776"/>
    <w:rsid w:val="00BD63FF"/>
    <w:rsid w:val="00BD6602"/>
    <w:rsid w:val="00BD7229"/>
    <w:rsid w:val="00BD7C49"/>
    <w:rsid w:val="00BD7F31"/>
    <w:rsid w:val="00BE00CC"/>
    <w:rsid w:val="00BE0DA4"/>
    <w:rsid w:val="00BE0F9D"/>
    <w:rsid w:val="00BE2602"/>
    <w:rsid w:val="00BE354F"/>
    <w:rsid w:val="00BE3FC6"/>
    <w:rsid w:val="00BE530F"/>
    <w:rsid w:val="00BE5712"/>
    <w:rsid w:val="00BE7750"/>
    <w:rsid w:val="00BE7819"/>
    <w:rsid w:val="00BF007B"/>
    <w:rsid w:val="00BF099A"/>
    <w:rsid w:val="00BF4035"/>
    <w:rsid w:val="00BF48C3"/>
    <w:rsid w:val="00BF5E09"/>
    <w:rsid w:val="00BF7707"/>
    <w:rsid w:val="00C00710"/>
    <w:rsid w:val="00C012D1"/>
    <w:rsid w:val="00C01545"/>
    <w:rsid w:val="00C0256F"/>
    <w:rsid w:val="00C02772"/>
    <w:rsid w:val="00C03BE7"/>
    <w:rsid w:val="00C063C3"/>
    <w:rsid w:val="00C1143E"/>
    <w:rsid w:val="00C11940"/>
    <w:rsid w:val="00C12BFF"/>
    <w:rsid w:val="00C13291"/>
    <w:rsid w:val="00C13FAE"/>
    <w:rsid w:val="00C16149"/>
    <w:rsid w:val="00C21016"/>
    <w:rsid w:val="00C21761"/>
    <w:rsid w:val="00C2238F"/>
    <w:rsid w:val="00C224F5"/>
    <w:rsid w:val="00C24948"/>
    <w:rsid w:val="00C261DC"/>
    <w:rsid w:val="00C268BB"/>
    <w:rsid w:val="00C268F4"/>
    <w:rsid w:val="00C27BFB"/>
    <w:rsid w:val="00C27DF5"/>
    <w:rsid w:val="00C326EB"/>
    <w:rsid w:val="00C32924"/>
    <w:rsid w:val="00C32D53"/>
    <w:rsid w:val="00C35CE2"/>
    <w:rsid w:val="00C35E13"/>
    <w:rsid w:val="00C36894"/>
    <w:rsid w:val="00C36A62"/>
    <w:rsid w:val="00C45E7A"/>
    <w:rsid w:val="00C46F63"/>
    <w:rsid w:val="00C50404"/>
    <w:rsid w:val="00C5054A"/>
    <w:rsid w:val="00C52FED"/>
    <w:rsid w:val="00C5351F"/>
    <w:rsid w:val="00C53734"/>
    <w:rsid w:val="00C539FB"/>
    <w:rsid w:val="00C53C2A"/>
    <w:rsid w:val="00C566FB"/>
    <w:rsid w:val="00C56FEF"/>
    <w:rsid w:val="00C56FF4"/>
    <w:rsid w:val="00C61227"/>
    <w:rsid w:val="00C6157D"/>
    <w:rsid w:val="00C62668"/>
    <w:rsid w:val="00C63C88"/>
    <w:rsid w:val="00C64C54"/>
    <w:rsid w:val="00C65238"/>
    <w:rsid w:val="00C72068"/>
    <w:rsid w:val="00C74E0F"/>
    <w:rsid w:val="00C75D5A"/>
    <w:rsid w:val="00C75E27"/>
    <w:rsid w:val="00C7666C"/>
    <w:rsid w:val="00C768D3"/>
    <w:rsid w:val="00C770F2"/>
    <w:rsid w:val="00C776A0"/>
    <w:rsid w:val="00C8266F"/>
    <w:rsid w:val="00C83548"/>
    <w:rsid w:val="00C86437"/>
    <w:rsid w:val="00C86618"/>
    <w:rsid w:val="00C86EA4"/>
    <w:rsid w:val="00C87225"/>
    <w:rsid w:val="00C872F4"/>
    <w:rsid w:val="00C87909"/>
    <w:rsid w:val="00C9408B"/>
    <w:rsid w:val="00C950DD"/>
    <w:rsid w:val="00C95900"/>
    <w:rsid w:val="00C97321"/>
    <w:rsid w:val="00CA0CEB"/>
    <w:rsid w:val="00CA1438"/>
    <w:rsid w:val="00CA1C2C"/>
    <w:rsid w:val="00CA3468"/>
    <w:rsid w:val="00CA629D"/>
    <w:rsid w:val="00CA6D70"/>
    <w:rsid w:val="00CA7B88"/>
    <w:rsid w:val="00CB01DA"/>
    <w:rsid w:val="00CB09E7"/>
    <w:rsid w:val="00CB1A82"/>
    <w:rsid w:val="00CB3696"/>
    <w:rsid w:val="00CB4082"/>
    <w:rsid w:val="00CB459B"/>
    <w:rsid w:val="00CB571B"/>
    <w:rsid w:val="00CB6F27"/>
    <w:rsid w:val="00CB7E48"/>
    <w:rsid w:val="00CB7FE1"/>
    <w:rsid w:val="00CC075B"/>
    <w:rsid w:val="00CC0866"/>
    <w:rsid w:val="00CC0CAD"/>
    <w:rsid w:val="00CC18D6"/>
    <w:rsid w:val="00CC24D0"/>
    <w:rsid w:val="00CC4689"/>
    <w:rsid w:val="00CC703F"/>
    <w:rsid w:val="00CC706B"/>
    <w:rsid w:val="00CC7777"/>
    <w:rsid w:val="00CD0671"/>
    <w:rsid w:val="00CD0F03"/>
    <w:rsid w:val="00CD1AD4"/>
    <w:rsid w:val="00CD1BD7"/>
    <w:rsid w:val="00CD2095"/>
    <w:rsid w:val="00CD45B0"/>
    <w:rsid w:val="00CE01FC"/>
    <w:rsid w:val="00CE0F40"/>
    <w:rsid w:val="00CE1608"/>
    <w:rsid w:val="00CE4C8C"/>
    <w:rsid w:val="00CE5744"/>
    <w:rsid w:val="00CF0DB6"/>
    <w:rsid w:val="00CF15E7"/>
    <w:rsid w:val="00CF1732"/>
    <w:rsid w:val="00CF533D"/>
    <w:rsid w:val="00CF551C"/>
    <w:rsid w:val="00CF5F2A"/>
    <w:rsid w:val="00CF667E"/>
    <w:rsid w:val="00CF75FB"/>
    <w:rsid w:val="00CF7986"/>
    <w:rsid w:val="00D008E3"/>
    <w:rsid w:val="00D0533C"/>
    <w:rsid w:val="00D06976"/>
    <w:rsid w:val="00D07BD8"/>
    <w:rsid w:val="00D07EA5"/>
    <w:rsid w:val="00D11009"/>
    <w:rsid w:val="00D12DA6"/>
    <w:rsid w:val="00D14F38"/>
    <w:rsid w:val="00D1616F"/>
    <w:rsid w:val="00D16D89"/>
    <w:rsid w:val="00D226F1"/>
    <w:rsid w:val="00D23FED"/>
    <w:rsid w:val="00D258D9"/>
    <w:rsid w:val="00D3076A"/>
    <w:rsid w:val="00D30DEE"/>
    <w:rsid w:val="00D31737"/>
    <w:rsid w:val="00D33A8A"/>
    <w:rsid w:val="00D33B8F"/>
    <w:rsid w:val="00D34CD7"/>
    <w:rsid w:val="00D35813"/>
    <w:rsid w:val="00D36123"/>
    <w:rsid w:val="00D3672D"/>
    <w:rsid w:val="00D4148C"/>
    <w:rsid w:val="00D436B8"/>
    <w:rsid w:val="00D4434A"/>
    <w:rsid w:val="00D44A68"/>
    <w:rsid w:val="00D45ADC"/>
    <w:rsid w:val="00D479D4"/>
    <w:rsid w:val="00D503EA"/>
    <w:rsid w:val="00D5055E"/>
    <w:rsid w:val="00D50A39"/>
    <w:rsid w:val="00D50A45"/>
    <w:rsid w:val="00D511E9"/>
    <w:rsid w:val="00D51456"/>
    <w:rsid w:val="00D545F7"/>
    <w:rsid w:val="00D557C7"/>
    <w:rsid w:val="00D5594E"/>
    <w:rsid w:val="00D5677F"/>
    <w:rsid w:val="00D569CA"/>
    <w:rsid w:val="00D57B63"/>
    <w:rsid w:val="00D6008D"/>
    <w:rsid w:val="00D6274C"/>
    <w:rsid w:val="00D63A8A"/>
    <w:rsid w:val="00D65C55"/>
    <w:rsid w:val="00D661F0"/>
    <w:rsid w:val="00D6691A"/>
    <w:rsid w:val="00D72777"/>
    <w:rsid w:val="00D73002"/>
    <w:rsid w:val="00D7302C"/>
    <w:rsid w:val="00D77DDB"/>
    <w:rsid w:val="00D8222A"/>
    <w:rsid w:val="00D843D9"/>
    <w:rsid w:val="00D84846"/>
    <w:rsid w:val="00D86367"/>
    <w:rsid w:val="00D86A94"/>
    <w:rsid w:val="00D870CF"/>
    <w:rsid w:val="00D90B5A"/>
    <w:rsid w:val="00D916FA"/>
    <w:rsid w:val="00D91A99"/>
    <w:rsid w:val="00D92214"/>
    <w:rsid w:val="00D92384"/>
    <w:rsid w:val="00D925F7"/>
    <w:rsid w:val="00D9414C"/>
    <w:rsid w:val="00D96195"/>
    <w:rsid w:val="00D968BE"/>
    <w:rsid w:val="00DA143F"/>
    <w:rsid w:val="00DA15B5"/>
    <w:rsid w:val="00DA1682"/>
    <w:rsid w:val="00DA30F4"/>
    <w:rsid w:val="00DA363F"/>
    <w:rsid w:val="00DA4434"/>
    <w:rsid w:val="00DA488F"/>
    <w:rsid w:val="00DA4FBC"/>
    <w:rsid w:val="00DA547D"/>
    <w:rsid w:val="00DA6CEE"/>
    <w:rsid w:val="00DA72D2"/>
    <w:rsid w:val="00DB07FB"/>
    <w:rsid w:val="00DB12ED"/>
    <w:rsid w:val="00DB1326"/>
    <w:rsid w:val="00DB2547"/>
    <w:rsid w:val="00DB3DD8"/>
    <w:rsid w:val="00DB6953"/>
    <w:rsid w:val="00DB7DE0"/>
    <w:rsid w:val="00DC0B89"/>
    <w:rsid w:val="00DC15E6"/>
    <w:rsid w:val="00DC1F02"/>
    <w:rsid w:val="00DC22D9"/>
    <w:rsid w:val="00DC31DE"/>
    <w:rsid w:val="00DC46C9"/>
    <w:rsid w:val="00DC4E7F"/>
    <w:rsid w:val="00DD0EAE"/>
    <w:rsid w:val="00DD1BB1"/>
    <w:rsid w:val="00DD1EE7"/>
    <w:rsid w:val="00DD25C1"/>
    <w:rsid w:val="00DD30E6"/>
    <w:rsid w:val="00DD3916"/>
    <w:rsid w:val="00DD7C34"/>
    <w:rsid w:val="00DD7FD1"/>
    <w:rsid w:val="00DE084E"/>
    <w:rsid w:val="00DE1B2C"/>
    <w:rsid w:val="00DE7A5C"/>
    <w:rsid w:val="00DE7C03"/>
    <w:rsid w:val="00DF1268"/>
    <w:rsid w:val="00DF1E55"/>
    <w:rsid w:val="00DF5E25"/>
    <w:rsid w:val="00DF63FB"/>
    <w:rsid w:val="00E012DF"/>
    <w:rsid w:val="00E02497"/>
    <w:rsid w:val="00E02EEE"/>
    <w:rsid w:val="00E0335A"/>
    <w:rsid w:val="00E039B7"/>
    <w:rsid w:val="00E03AA3"/>
    <w:rsid w:val="00E049D4"/>
    <w:rsid w:val="00E04BAA"/>
    <w:rsid w:val="00E055C2"/>
    <w:rsid w:val="00E07128"/>
    <w:rsid w:val="00E12802"/>
    <w:rsid w:val="00E13207"/>
    <w:rsid w:val="00E14619"/>
    <w:rsid w:val="00E1527D"/>
    <w:rsid w:val="00E16566"/>
    <w:rsid w:val="00E167FF"/>
    <w:rsid w:val="00E2147C"/>
    <w:rsid w:val="00E23C29"/>
    <w:rsid w:val="00E23EA4"/>
    <w:rsid w:val="00E23FFC"/>
    <w:rsid w:val="00E27C2A"/>
    <w:rsid w:val="00E3367D"/>
    <w:rsid w:val="00E36984"/>
    <w:rsid w:val="00E373AC"/>
    <w:rsid w:val="00E37F8C"/>
    <w:rsid w:val="00E4062F"/>
    <w:rsid w:val="00E41BFB"/>
    <w:rsid w:val="00E42061"/>
    <w:rsid w:val="00E424F3"/>
    <w:rsid w:val="00E4406D"/>
    <w:rsid w:val="00E440AB"/>
    <w:rsid w:val="00E46055"/>
    <w:rsid w:val="00E46CB1"/>
    <w:rsid w:val="00E501C9"/>
    <w:rsid w:val="00E5484A"/>
    <w:rsid w:val="00E55CD7"/>
    <w:rsid w:val="00E561AD"/>
    <w:rsid w:val="00E56767"/>
    <w:rsid w:val="00E601EF"/>
    <w:rsid w:val="00E60670"/>
    <w:rsid w:val="00E61389"/>
    <w:rsid w:val="00E632CB"/>
    <w:rsid w:val="00E63B72"/>
    <w:rsid w:val="00E63B79"/>
    <w:rsid w:val="00E71F61"/>
    <w:rsid w:val="00E72811"/>
    <w:rsid w:val="00E72CB2"/>
    <w:rsid w:val="00E73AD4"/>
    <w:rsid w:val="00E81967"/>
    <w:rsid w:val="00E82306"/>
    <w:rsid w:val="00E823A7"/>
    <w:rsid w:val="00E832D7"/>
    <w:rsid w:val="00E83D72"/>
    <w:rsid w:val="00E8589D"/>
    <w:rsid w:val="00E86D49"/>
    <w:rsid w:val="00E92BE7"/>
    <w:rsid w:val="00E942CF"/>
    <w:rsid w:val="00E943EC"/>
    <w:rsid w:val="00E94D1D"/>
    <w:rsid w:val="00E97147"/>
    <w:rsid w:val="00E97430"/>
    <w:rsid w:val="00E97B76"/>
    <w:rsid w:val="00EA0D4A"/>
    <w:rsid w:val="00EA0EF7"/>
    <w:rsid w:val="00EA1037"/>
    <w:rsid w:val="00EA1F58"/>
    <w:rsid w:val="00EA29C4"/>
    <w:rsid w:val="00EA375F"/>
    <w:rsid w:val="00EA435E"/>
    <w:rsid w:val="00EA5289"/>
    <w:rsid w:val="00EA5C30"/>
    <w:rsid w:val="00EA626E"/>
    <w:rsid w:val="00EB26A0"/>
    <w:rsid w:val="00EB382B"/>
    <w:rsid w:val="00EB5F9F"/>
    <w:rsid w:val="00EC00A2"/>
    <w:rsid w:val="00EC0C4A"/>
    <w:rsid w:val="00EC2203"/>
    <w:rsid w:val="00EC3394"/>
    <w:rsid w:val="00EC3951"/>
    <w:rsid w:val="00EC3CCC"/>
    <w:rsid w:val="00EC421A"/>
    <w:rsid w:val="00EC589B"/>
    <w:rsid w:val="00ED0EA7"/>
    <w:rsid w:val="00ED1137"/>
    <w:rsid w:val="00ED17C4"/>
    <w:rsid w:val="00ED1AEF"/>
    <w:rsid w:val="00ED219E"/>
    <w:rsid w:val="00ED2D97"/>
    <w:rsid w:val="00ED40C7"/>
    <w:rsid w:val="00ED4A6F"/>
    <w:rsid w:val="00ED57BA"/>
    <w:rsid w:val="00ED6136"/>
    <w:rsid w:val="00EE1E12"/>
    <w:rsid w:val="00EE2213"/>
    <w:rsid w:val="00EE34BB"/>
    <w:rsid w:val="00EE3EB9"/>
    <w:rsid w:val="00EE444B"/>
    <w:rsid w:val="00EE5EA4"/>
    <w:rsid w:val="00EF002E"/>
    <w:rsid w:val="00EF14BD"/>
    <w:rsid w:val="00EF1F5B"/>
    <w:rsid w:val="00EF22AA"/>
    <w:rsid w:val="00EF4EF8"/>
    <w:rsid w:val="00EF6820"/>
    <w:rsid w:val="00EF717B"/>
    <w:rsid w:val="00F01A63"/>
    <w:rsid w:val="00F01C3C"/>
    <w:rsid w:val="00F05220"/>
    <w:rsid w:val="00F05815"/>
    <w:rsid w:val="00F06549"/>
    <w:rsid w:val="00F1118B"/>
    <w:rsid w:val="00F11762"/>
    <w:rsid w:val="00F22077"/>
    <w:rsid w:val="00F224A0"/>
    <w:rsid w:val="00F249DA"/>
    <w:rsid w:val="00F26244"/>
    <w:rsid w:val="00F26645"/>
    <w:rsid w:val="00F314E1"/>
    <w:rsid w:val="00F33AE7"/>
    <w:rsid w:val="00F34521"/>
    <w:rsid w:val="00F3505B"/>
    <w:rsid w:val="00F35767"/>
    <w:rsid w:val="00F357B2"/>
    <w:rsid w:val="00F3632E"/>
    <w:rsid w:val="00F37865"/>
    <w:rsid w:val="00F40920"/>
    <w:rsid w:val="00F40BBC"/>
    <w:rsid w:val="00F4169D"/>
    <w:rsid w:val="00F47184"/>
    <w:rsid w:val="00F53DB5"/>
    <w:rsid w:val="00F57CC6"/>
    <w:rsid w:val="00F6044E"/>
    <w:rsid w:val="00F62EC5"/>
    <w:rsid w:val="00F632DF"/>
    <w:rsid w:val="00F6478D"/>
    <w:rsid w:val="00F71CAC"/>
    <w:rsid w:val="00F71FDE"/>
    <w:rsid w:val="00F72867"/>
    <w:rsid w:val="00F73CB9"/>
    <w:rsid w:val="00F7556A"/>
    <w:rsid w:val="00F75868"/>
    <w:rsid w:val="00F76EE9"/>
    <w:rsid w:val="00F805AE"/>
    <w:rsid w:val="00F8132B"/>
    <w:rsid w:val="00F90893"/>
    <w:rsid w:val="00F92C4C"/>
    <w:rsid w:val="00F9424C"/>
    <w:rsid w:val="00F946AB"/>
    <w:rsid w:val="00F95FB2"/>
    <w:rsid w:val="00F97910"/>
    <w:rsid w:val="00FA31A9"/>
    <w:rsid w:val="00FA3BFF"/>
    <w:rsid w:val="00FA5AA9"/>
    <w:rsid w:val="00FA7FDB"/>
    <w:rsid w:val="00FB114C"/>
    <w:rsid w:val="00FB1921"/>
    <w:rsid w:val="00FB23DF"/>
    <w:rsid w:val="00FB287A"/>
    <w:rsid w:val="00FB28BD"/>
    <w:rsid w:val="00FB35A4"/>
    <w:rsid w:val="00FB59DC"/>
    <w:rsid w:val="00FB7355"/>
    <w:rsid w:val="00FC0D58"/>
    <w:rsid w:val="00FC114E"/>
    <w:rsid w:val="00FC2081"/>
    <w:rsid w:val="00FC4076"/>
    <w:rsid w:val="00FC49F4"/>
    <w:rsid w:val="00FC4CD2"/>
    <w:rsid w:val="00FC4CF0"/>
    <w:rsid w:val="00FC4EDF"/>
    <w:rsid w:val="00FC4F7E"/>
    <w:rsid w:val="00FC6530"/>
    <w:rsid w:val="00FC7D15"/>
    <w:rsid w:val="00FC7DF0"/>
    <w:rsid w:val="00FD3C21"/>
    <w:rsid w:val="00FD3F05"/>
    <w:rsid w:val="00FD46EE"/>
    <w:rsid w:val="00FD65B4"/>
    <w:rsid w:val="00FD7247"/>
    <w:rsid w:val="00FE0ACB"/>
    <w:rsid w:val="00FE0CFB"/>
    <w:rsid w:val="00FE2CD2"/>
    <w:rsid w:val="00FE30F2"/>
    <w:rsid w:val="00FE32C3"/>
    <w:rsid w:val="00FE6C0F"/>
    <w:rsid w:val="00FE7686"/>
    <w:rsid w:val="00FF0720"/>
    <w:rsid w:val="00FF13AD"/>
    <w:rsid w:val="00FF17E5"/>
    <w:rsid w:val="00FF30FF"/>
    <w:rsid w:val="00FF3A69"/>
    <w:rsid w:val="00FF50AB"/>
    <w:rsid w:val="00FF603C"/>
    <w:rsid w:val="00FF6CB2"/>
    <w:rsid w:val="010C1112"/>
    <w:rsid w:val="029C2633"/>
    <w:rsid w:val="03532116"/>
    <w:rsid w:val="03F51677"/>
    <w:rsid w:val="03F69F1A"/>
    <w:rsid w:val="05919A2D"/>
    <w:rsid w:val="06379433"/>
    <w:rsid w:val="063D6843"/>
    <w:rsid w:val="066432AC"/>
    <w:rsid w:val="069B7ADC"/>
    <w:rsid w:val="06BE6BE2"/>
    <w:rsid w:val="06FE8B66"/>
    <w:rsid w:val="0763136A"/>
    <w:rsid w:val="07A6191C"/>
    <w:rsid w:val="07ABBEBB"/>
    <w:rsid w:val="07BA705A"/>
    <w:rsid w:val="0907052C"/>
    <w:rsid w:val="098051AA"/>
    <w:rsid w:val="0A613950"/>
    <w:rsid w:val="0A700B55"/>
    <w:rsid w:val="0B0022D9"/>
    <w:rsid w:val="0B48D58A"/>
    <w:rsid w:val="0C5E71B7"/>
    <w:rsid w:val="0C689E27"/>
    <w:rsid w:val="0C6C4946"/>
    <w:rsid w:val="0C9FAC85"/>
    <w:rsid w:val="0CB1253A"/>
    <w:rsid w:val="0E6BB81D"/>
    <w:rsid w:val="0E967858"/>
    <w:rsid w:val="0F03D9E1"/>
    <w:rsid w:val="0F3B75E8"/>
    <w:rsid w:val="0F95990C"/>
    <w:rsid w:val="0FD4C9D7"/>
    <w:rsid w:val="10A4A11E"/>
    <w:rsid w:val="10FB2C97"/>
    <w:rsid w:val="1112F309"/>
    <w:rsid w:val="112C6B7A"/>
    <w:rsid w:val="11DD2B83"/>
    <w:rsid w:val="12008149"/>
    <w:rsid w:val="123EFD2F"/>
    <w:rsid w:val="1323E382"/>
    <w:rsid w:val="13A3A09E"/>
    <w:rsid w:val="13A79940"/>
    <w:rsid w:val="13F426FA"/>
    <w:rsid w:val="142D8494"/>
    <w:rsid w:val="15270E72"/>
    <w:rsid w:val="15A58401"/>
    <w:rsid w:val="16287004"/>
    <w:rsid w:val="166F4922"/>
    <w:rsid w:val="17131A31"/>
    <w:rsid w:val="17C27382"/>
    <w:rsid w:val="17DC55AF"/>
    <w:rsid w:val="17FEF9E5"/>
    <w:rsid w:val="18B57E3D"/>
    <w:rsid w:val="19667954"/>
    <w:rsid w:val="19E6C14B"/>
    <w:rsid w:val="1AC17C3A"/>
    <w:rsid w:val="1ADA31FC"/>
    <w:rsid w:val="1B284C5D"/>
    <w:rsid w:val="1B597A7E"/>
    <w:rsid w:val="1BD611AD"/>
    <w:rsid w:val="1CE469A7"/>
    <w:rsid w:val="1D481232"/>
    <w:rsid w:val="1DD9EF3C"/>
    <w:rsid w:val="1DF69EC9"/>
    <w:rsid w:val="1E25FE9E"/>
    <w:rsid w:val="1EBF714E"/>
    <w:rsid w:val="1F152BF5"/>
    <w:rsid w:val="1F6DAFD8"/>
    <w:rsid w:val="20BD1B28"/>
    <w:rsid w:val="218F7423"/>
    <w:rsid w:val="21A055E4"/>
    <w:rsid w:val="21CD325D"/>
    <w:rsid w:val="21F176C3"/>
    <w:rsid w:val="22B2E273"/>
    <w:rsid w:val="244B8BA3"/>
    <w:rsid w:val="247593E9"/>
    <w:rsid w:val="2482AB30"/>
    <w:rsid w:val="24866881"/>
    <w:rsid w:val="24CA6B4B"/>
    <w:rsid w:val="25167A99"/>
    <w:rsid w:val="256E7D1F"/>
    <w:rsid w:val="266D0E36"/>
    <w:rsid w:val="2705F438"/>
    <w:rsid w:val="291EB04C"/>
    <w:rsid w:val="29E24B52"/>
    <w:rsid w:val="2AB2F450"/>
    <w:rsid w:val="2AB70C23"/>
    <w:rsid w:val="2AEB4A54"/>
    <w:rsid w:val="2B04FDB1"/>
    <w:rsid w:val="2B1AC7DC"/>
    <w:rsid w:val="2BEF2B23"/>
    <w:rsid w:val="2CE0FEC2"/>
    <w:rsid w:val="2CF1AE67"/>
    <w:rsid w:val="2D99E544"/>
    <w:rsid w:val="2DEB2C8A"/>
    <w:rsid w:val="2E2AB90F"/>
    <w:rsid w:val="2E3CCF42"/>
    <w:rsid w:val="2E8E4643"/>
    <w:rsid w:val="2EE8C294"/>
    <w:rsid w:val="2F7661F3"/>
    <w:rsid w:val="2FA6F2C0"/>
    <w:rsid w:val="30B89212"/>
    <w:rsid w:val="30FC3356"/>
    <w:rsid w:val="3192DD79"/>
    <w:rsid w:val="320BC70F"/>
    <w:rsid w:val="32158470"/>
    <w:rsid w:val="32C1C859"/>
    <w:rsid w:val="33059570"/>
    <w:rsid w:val="33985B12"/>
    <w:rsid w:val="33E5B4FB"/>
    <w:rsid w:val="34E998B1"/>
    <w:rsid w:val="34F06E92"/>
    <w:rsid w:val="3518770D"/>
    <w:rsid w:val="351F2960"/>
    <w:rsid w:val="3569ECBC"/>
    <w:rsid w:val="35821FBB"/>
    <w:rsid w:val="358BCD3F"/>
    <w:rsid w:val="3630E3D9"/>
    <w:rsid w:val="36C1AD60"/>
    <w:rsid w:val="3782F5BA"/>
    <w:rsid w:val="381054FE"/>
    <w:rsid w:val="382BB0E4"/>
    <w:rsid w:val="38303276"/>
    <w:rsid w:val="38D94B9A"/>
    <w:rsid w:val="39728167"/>
    <w:rsid w:val="397FF86C"/>
    <w:rsid w:val="3A1863B5"/>
    <w:rsid w:val="3A252E23"/>
    <w:rsid w:val="3AC975C0"/>
    <w:rsid w:val="3AE1C658"/>
    <w:rsid w:val="3AE87F4D"/>
    <w:rsid w:val="3B3759A5"/>
    <w:rsid w:val="3B799BCC"/>
    <w:rsid w:val="3BBDEFDF"/>
    <w:rsid w:val="3C205190"/>
    <w:rsid w:val="3C415B41"/>
    <w:rsid w:val="3C637521"/>
    <w:rsid w:val="3D1B7E88"/>
    <w:rsid w:val="3D23032C"/>
    <w:rsid w:val="3E0BD2A6"/>
    <w:rsid w:val="3E587F8E"/>
    <w:rsid w:val="3EEBE81C"/>
    <w:rsid w:val="3F8285E0"/>
    <w:rsid w:val="3FC738EB"/>
    <w:rsid w:val="3FF7CE88"/>
    <w:rsid w:val="404A42F7"/>
    <w:rsid w:val="405C61C0"/>
    <w:rsid w:val="40CDF8D1"/>
    <w:rsid w:val="4131F494"/>
    <w:rsid w:val="41531929"/>
    <w:rsid w:val="41B4A28C"/>
    <w:rsid w:val="4254DCC1"/>
    <w:rsid w:val="42EDEF6D"/>
    <w:rsid w:val="43768F17"/>
    <w:rsid w:val="451C38B0"/>
    <w:rsid w:val="45866D16"/>
    <w:rsid w:val="46186346"/>
    <w:rsid w:val="464F45A7"/>
    <w:rsid w:val="4660B91A"/>
    <w:rsid w:val="47C26FF6"/>
    <w:rsid w:val="481A0B18"/>
    <w:rsid w:val="48375772"/>
    <w:rsid w:val="4909FF02"/>
    <w:rsid w:val="4936E5BF"/>
    <w:rsid w:val="4A1DDAEB"/>
    <w:rsid w:val="4A4DD050"/>
    <w:rsid w:val="4AA1AE5E"/>
    <w:rsid w:val="4C05280B"/>
    <w:rsid w:val="4C2A1218"/>
    <w:rsid w:val="4C8918ED"/>
    <w:rsid w:val="4D0967CF"/>
    <w:rsid w:val="4D65BC3A"/>
    <w:rsid w:val="4D8EC441"/>
    <w:rsid w:val="4DBA415A"/>
    <w:rsid w:val="4DE0175B"/>
    <w:rsid w:val="4E12A658"/>
    <w:rsid w:val="4E2B0E51"/>
    <w:rsid w:val="4EF92727"/>
    <w:rsid w:val="4F9EA472"/>
    <w:rsid w:val="4FCC0AD1"/>
    <w:rsid w:val="5018C294"/>
    <w:rsid w:val="510D766F"/>
    <w:rsid w:val="51115786"/>
    <w:rsid w:val="526362D6"/>
    <w:rsid w:val="527DC273"/>
    <w:rsid w:val="52CC3B59"/>
    <w:rsid w:val="5369F3F4"/>
    <w:rsid w:val="537B7A8F"/>
    <w:rsid w:val="547A2D94"/>
    <w:rsid w:val="547CDDA0"/>
    <w:rsid w:val="54ACA371"/>
    <w:rsid w:val="550BC2F9"/>
    <w:rsid w:val="558BDF90"/>
    <w:rsid w:val="559D80A3"/>
    <w:rsid w:val="56F1BA1B"/>
    <w:rsid w:val="57CD894D"/>
    <w:rsid w:val="58532BE8"/>
    <w:rsid w:val="587E035A"/>
    <w:rsid w:val="58A84EEA"/>
    <w:rsid w:val="58E96E3A"/>
    <w:rsid w:val="593AC637"/>
    <w:rsid w:val="593E5738"/>
    <w:rsid w:val="594C7A0B"/>
    <w:rsid w:val="59C112C8"/>
    <w:rsid w:val="5AF03726"/>
    <w:rsid w:val="5B67C7D7"/>
    <w:rsid w:val="5C24D288"/>
    <w:rsid w:val="5C6F8BC2"/>
    <w:rsid w:val="5CE41D62"/>
    <w:rsid w:val="5CEFEC53"/>
    <w:rsid w:val="5DC4A04A"/>
    <w:rsid w:val="5E4023AB"/>
    <w:rsid w:val="5E7D70E4"/>
    <w:rsid w:val="5E97B0CB"/>
    <w:rsid w:val="5F62B1B6"/>
    <w:rsid w:val="5FAE97D8"/>
    <w:rsid w:val="5FD35E9D"/>
    <w:rsid w:val="6079877E"/>
    <w:rsid w:val="62456E77"/>
    <w:rsid w:val="62C9B2EA"/>
    <w:rsid w:val="631FEBCA"/>
    <w:rsid w:val="639E9B9B"/>
    <w:rsid w:val="63BEA325"/>
    <w:rsid w:val="6462B5A6"/>
    <w:rsid w:val="649087DC"/>
    <w:rsid w:val="649395FB"/>
    <w:rsid w:val="64A4B944"/>
    <w:rsid w:val="64F692D4"/>
    <w:rsid w:val="656A1E2D"/>
    <w:rsid w:val="65772A6C"/>
    <w:rsid w:val="65A72BA2"/>
    <w:rsid w:val="671C4404"/>
    <w:rsid w:val="67205E4B"/>
    <w:rsid w:val="67630FE3"/>
    <w:rsid w:val="67929FA3"/>
    <w:rsid w:val="67E5EF71"/>
    <w:rsid w:val="688EC8D6"/>
    <w:rsid w:val="68C2C5D5"/>
    <w:rsid w:val="68DB40FC"/>
    <w:rsid w:val="691A7037"/>
    <w:rsid w:val="6924D4D1"/>
    <w:rsid w:val="6987D822"/>
    <w:rsid w:val="6A66705C"/>
    <w:rsid w:val="6ABC4D12"/>
    <w:rsid w:val="6B3C2582"/>
    <w:rsid w:val="6B5B80CE"/>
    <w:rsid w:val="6BF9886D"/>
    <w:rsid w:val="6C7E551B"/>
    <w:rsid w:val="6D488CFE"/>
    <w:rsid w:val="6D92290A"/>
    <w:rsid w:val="6DC8581C"/>
    <w:rsid w:val="6DE954D4"/>
    <w:rsid w:val="702EE3C2"/>
    <w:rsid w:val="70481CF2"/>
    <w:rsid w:val="70A625F7"/>
    <w:rsid w:val="7193A06A"/>
    <w:rsid w:val="71C31FE3"/>
    <w:rsid w:val="724E9FAD"/>
    <w:rsid w:val="727A167A"/>
    <w:rsid w:val="72AFD5C4"/>
    <w:rsid w:val="72F6ECCE"/>
    <w:rsid w:val="730FCCFB"/>
    <w:rsid w:val="73BF3F6F"/>
    <w:rsid w:val="73C5D9BC"/>
    <w:rsid w:val="73F401F8"/>
    <w:rsid w:val="74B9DF17"/>
    <w:rsid w:val="75207B8F"/>
    <w:rsid w:val="75BE7B32"/>
    <w:rsid w:val="75E7E8C2"/>
    <w:rsid w:val="766E7AF6"/>
    <w:rsid w:val="76825172"/>
    <w:rsid w:val="76B67B90"/>
    <w:rsid w:val="77316144"/>
    <w:rsid w:val="77359BF2"/>
    <w:rsid w:val="77446A4A"/>
    <w:rsid w:val="777ECC86"/>
    <w:rsid w:val="77D2CA7A"/>
    <w:rsid w:val="784B72B7"/>
    <w:rsid w:val="7929D98B"/>
    <w:rsid w:val="79B17F01"/>
    <w:rsid w:val="79BEC7F1"/>
    <w:rsid w:val="79CB34D5"/>
    <w:rsid w:val="7A6AF975"/>
    <w:rsid w:val="7B254AC1"/>
    <w:rsid w:val="7B51F349"/>
    <w:rsid w:val="7BAD7C19"/>
    <w:rsid w:val="7BEE4526"/>
    <w:rsid w:val="7C297149"/>
    <w:rsid w:val="7C97CD75"/>
    <w:rsid w:val="7D073C85"/>
    <w:rsid w:val="7D0CF5E0"/>
    <w:rsid w:val="7DEED1A8"/>
    <w:rsid w:val="7E1955CF"/>
    <w:rsid w:val="7FA29CDC"/>
    <w:rsid w:val="7FD3791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B7689E2"/>
  <w15:docId w15:val="{38D6A328-5785-4CB2-BD85-E77B7552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B55A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155FE"/>
    <w:pPr>
      <w:tabs>
        <w:tab w:val="center" w:pos="4536"/>
        <w:tab w:val="right" w:pos="9072"/>
      </w:tabs>
      <w:spacing w:after="0" w:line="240" w:lineRule="auto"/>
    </w:pPr>
  </w:style>
  <w:style w:type="character" w:customStyle="1" w:styleId="lfejChar">
    <w:name w:val="Élőfej Char"/>
    <w:basedOn w:val="Bekezdsalapbettpusa"/>
    <w:link w:val="lfej"/>
    <w:uiPriority w:val="99"/>
    <w:rsid w:val="00B155FE"/>
  </w:style>
  <w:style w:type="paragraph" w:styleId="llb">
    <w:name w:val="footer"/>
    <w:basedOn w:val="Norml"/>
    <w:link w:val="llbChar"/>
    <w:uiPriority w:val="99"/>
    <w:unhideWhenUsed/>
    <w:rsid w:val="00B155FE"/>
    <w:pPr>
      <w:tabs>
        <w:tab w:val="center" w:pos="4536"/>
        <w:tab w:val="right" w:pos="9072"/>
      </w:tabs>
      <w:spacing w:after="0" w:line="240" w:lineRule="auto"/>
    </w:pPr>
  </w:style>
  <w:style w:type="character" w:customStyle="1" w:styleId="llbChar">
    <w:name w:val="Élőláb Char"/>
    <w:basedOn w:val="Bekezdsalapbettpusa"/>
    <w:link w:val="llb"/>
    <w:uiPriority w:val="99"/>
    <w:rsid w:val="00B155FE"/>
  </w:style>
  <w:style w:type="paragraph" w:styleId="Lbjegyzetszveg">
    <w:name w:val="footnote text"/>
    <w:basedOn w:val="Norml"/>
    <w:link w:val="LbjegyzetszvegChar"/>
    <w:uiPriority w:val="99"/>
    <w:semiHidden/>
    <w:unhideWhenUsed/>
    <w:rsid w:val="00B155F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B155FE"/>
    <w:rPr>
      <w:sz w:val="20"/>
      <w:szCs w:val="20"/>
    </w:rPr>
  </w:style>
  <w:style w:type="character" w:styleId="Lbjegyzet-hivatkozs">
    <w:name w:val="footnote reference"/>
    <w:semiHidden/>
    <w:rsid w:val="00B155FE"/>
    <w:rPr>
      <w:vertAlign w:val="superscript"/>
    </w:rPr>
  </w:style>
  <w:style w:type="character" w:styleId="Oldalszm">
    <w:name w:val="page number"/>
    <w:basedOn w:val="Bekezdsalapbettpusa"/>
    <w:rsid w:val="00B155FE"/>
  </w:style>
  <w:style w:type="paragraph" w:styleId="Buborkszveg">
    <w:name w:val="Balloon Text"/>
    <w:basedOn w:val="Norml"/>
    <w:link w:val="BuborkszvegChar"/>
    <w:uiPriority w:val="99"/>
    <w:semiHidden/>
    <w:unhideWhenUsed/>
    <w:rsid w:val="0097327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7327C"/>
    <w:rPr>
      <w:rFonts w:ascii="Tahoma" w:hAnsi="Tahoma" w:cs="Tahoma"/>
      <w:sz w:val="16"/>
      <w:szCs w:val="16"/>
    </w:rPr>
  </w:style>
  <w:style w:type="paragraph" w:styleId="Listaszerbekezds">
    <w:name w:val="List Paragraph"/>
    <w:basedOn w:val="Norml"/>
    <w:uiPriority w:val="34"/>
    <w:qFormat/>
    <w:rsid w:val="00F71CAC"/>
    <w:pPr>
      <w:ind w:left="720"/>
      <w:contextualSpacing/>
    </w:pPr>
  </w:style>
  <w:style w:type="paragraph" w:styleId="Jegyzetszveg">
    <w:name w:val="annotation text"/>
    <w:basedOn w:val="Norml"/>
    <w:link w:val="JegyzetszvegChar"/>
    <w:uiPriority w:val="99"/>
    <w:semiHidden/>
    <w:unhideWhenUsed/>
    <w:pPr>
      <w:spacing w:line="240" w:lineRule="auto"/>
    </w:pPr>
    <w:rPr>
      <w:sz w:val="20"/>
      <w:szCs w:val="20"/>
    </w:rPr>
  </w:style>
  <w:style w:type="character" w:customStyle="1" w:styleId="JegyzetszvegChar">
    <w:name w:val="Jegyzetszöveg Char"/>
    <w:basedOn w:val="Bekezdsalapbettpusa"/>
    <w:link w:val="Jegyzetszveg"/>
    <w:uiPriority w:val="99"/>
    <w:semiHidden/>
    <w:rPr>
      <w:sz w:val="20"/>
      <w:szCs w:val="20"/>
    </w:rPr>
  </w:style>
  <w:style w:type="character" w:styleId="Jegyzethivatkozs">
    <w:name w:val="annotation reference"/>
    <w:basedOn w:val="Bekezdsalapbettpusa"/>
    <w:uiPriority w:val="99"/>
    <w:semiHidden/>
    <w:unhideWhenUsed/>
    <w:rPr>
      <w:sz w:val="16"/>
      <w:szCs w:val="16"/>
    </w:rPr>
  </w:style>
  <w:style w:type="table" w:styleId="Rcsostblzat">
    <w:name w:val="Table Grid"/>
    <w:basedOn w:val="Normltblzat"/>
    <w:uiPriority w:val="39"/>
    <w:rsid w:val="00D4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unhideWhenUsed/>
    <w:rsid w:val="00E1656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unhideWhenUsed/>
    <w:rPr>
      <w:color w:val="0563C1" w:themeColor="hyperlink"/>
      <w:u w:val="single"/>
    </w:rPr>
  </w:style>
  <w:style w:type="table" w:styleId="Tblzatrcsos1vilgos1jellszn">
    <w:name w:val="Grid Table 1 Light Accent 1"/>
    <w:basedOn w:val="Normltblzat"/>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Megjegyzstrgya">
    <w:name w:val="annotation subject"/>
    <w:basedOn w:val="Jegyzetszveg"/>
    <w:next w:val="Jegyzetszveg"/>
    <w:link w:val="MegjegyzstrgyaChar"/>
    <w:uiPriority w:val="99"/>
    <w:semiHidden/>
    <w:unhideWhenUsed/>
    <w:rsid w:val="00C75D5A"/>
    <w:rPr>
      <w:b/>
      <w:bCs/>
    </w:rPr>
  </w:style>
  <w:style w:type="character" w:customStyle="1" w:styleId="MegjegyzstrgyaChar">
    <w:name w:val="Megjegyzés tárgya Char"/>
    <w:basedOn w:val="JegyzetszvegChar"/>
    <w:link w:val="Megjegyzstrgya"/>
    <w:uiPriority w:val="99"/>
    <w:semiHidden/>
    <w:rsid w:val="00C75D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1892">
      <w:bodyDiv w:val="1"/>
      <w:marLeft w:val="0"/>
      <w:marRight w:val="0"/>
      <w:marTop w:val="0"/>
      <w:marBottom w:val="0"/>
      <w:divBdr>
        <w:top w:val="none" w:sz="0" w:space="0" w:color="auto"/>
        <w:left w:val="none" w:sz="0" w:space="0" w:color="auto"/>
        <w:bottom w:val="none" w:sz="0" w:space="0" w:color="auto"/>
        <w:right w:val="none" w:sz="0" w:space="0" w:color="auto"/>
      </w:divBdr>
    </w:div>
    <w:div w:id="240256079">
      <w:bodyDiv w:val="1"/>
      <w:marLeft w:val="0"/>
      <w:marRight w:val="0"/>
      <w:marTop w:val="0"/>
      <w:marBottom w:val="0"/>
      <w:divBdr>
        <w:top w:val="none" w:sz="0" w:space="0" w:color="auto"/>
        <w:left w:val="none" w:sz="0" w:space="0" w:color="auto"/>
        <w:bottom w:val="none" w:sz="0" w:space="0" w:color="auto"/>
        <w:right w:val="none" w:sz="0" w:space="0" w:color="auto"/>
      </w:divBdr>
    </w:div>
    <w:div w:id="248008608">
      <w:bodyDiv w:val="1"/>
      <w:marLeft w:val="0"/>
      <w:marRight w:val="0"/>
      <w:marTop w:val="0"/>
      <w:marBottom w:val="0"/>
      <w:divBdr>
        <w:top w:val="none" w:sz="0" w:space="0" w:color="auto"/>
        <w:left w:val="none" w:sz="0" w:space="0" w:color="auto"/>
        <w:bottom w:val="none" w:sz="0" w:space="0" w:color="auto"/>
        <w:right w:val="none" w:sz="0" w:space="0" w:color="auto"/>
      </w:divBdr>
    </w:div>
    <w:div w:id="251550484">
      <w:bodyDiv w:val="1"/>
      <w:marLeft w:val="0"/>
      <w:marRight w:val="0"/>
      <w:marTop w:val="0"/>
      <w:marBottom w:val="0"/>
      <w:divBdr>
        <w:top w:val="none" w:sz="0" w:space="0" w:color="auto"/>
        <w:left w:val="none" w:sz="0" w:space="0" w:color="auto"/>
        <w:bottom w:val="none" w:sz="0" w:space="0" w:color="auto"/>
        <w:right w:val="none" w:sz="0" w:space="0" w:color="auto"/>
      </w:divBdr>
    </w:div>
    <w:div w:id="263924984">
      <w:bodyDiv w:val="1"/>
      <w:marLeft w:val="0"/>
      <w:marRight w:val="0"/>
      <w:marTop w:val="0"/>
      <w:marBottom w:val="0"/>
      <w:divBdr>
        <w:top w:val="none" w:sz="0" w:space="0" w:color="auto"/>
        <w:left w:val="none" w:sz="0" w:space="0" w:color="auto"/>
        <w:bottom w:val="none" w:sz="0" w:space="0" w:color="auto"/>
        <w:right w:val="none" w:sz="0" w:space="0" w:color="auto"/>
      </w:divBdr>
    </w:div>
    <w:div w:id="414713825">
      <w:bodyDiv w:val="1"/>
      <w:marLeft w:val="0"/>
      <w:marRight w:val="0"/>
      <w:marTop w:val="0"/>
      <w:marBottom w:val="0"/>
      <w:divBdr>
        <w:top w:val="none" w:sz="0" w:space="0" w:color="auto"/>
        <w:left w:val="none" w:sz="0" w:space="0" w:color="auto"/>
        <w:bottom w:val="none" w:sz="0" w:space="0" w:color="auto"/>
        <w:right w:val="none" w:sz="0" w:space="0" w:color="auto"/>
      </w:divBdr>
    </w:div>
    <w:div w:id="419377097">
      <w:bodyDiv w:val="1"/>
      <w:marLeft w:val="0"/>
      <w:marRight w:val="0"/>
      <w:marTop w:val="0"/>
      <w:marBottom w:val="0"/>
      <w:divBdr>
        <w:top w:val="none" w:sz="0" w:space="0" w:color="auto"/>
        <w:left w:val="none" w:sz="0" w:space="0" w:color="auto"/>
        <w:bottom w:val="none" w:sz="0" w:space="0" w:color="auto"/>
        <w:right w:val="none" w:sz="0" w:space="0" w:color="auto"/>
      </w:divBdr>
    </w:div>
    <w:div w:id="422839085">
      <w:bodyDiv w:val="1"/>
      <w:marLeft w:val="0"/>
      <w:marRight w:val="0"/>
      <w:marTop w:val="0"/>
      <w:marBottom w:val="0"/>
      <w:divBdr>
        <w:top w:val="none" w:sz="0" w:space="0" w:color="auto"/>
        <w:left w:val="none" w:sz="0" w:space="0" w:color="auto"/>
        <w:bottom w:val="none" w:sz="0" w:space="0" w:color="auto"/>
        <w:right w:val="none" w:sz="0" w:space="0" w:color="auto"/>
      </w:divBdr>
    </w:div>
    <w:div w:id="425614567">
      <w:bodyDiv w:val="1"/>
      <w:marLeft w:val="0"/>
      <w:marRight w:val="0"/>
      <w:marTop w:val="0"/>
      <w:marBottom w:val="0"/>
      <w:divBdr>
        <w:top w:val="none" w:sz="0" w:space="0" w:color="auto"/>
        <w:left w:val="none" w:sz="0" w:space="0" w:color="auto"/>
        <w:bottom w:val="none" w:sz="0" w:space="0" w:color="auto"/>
        <w:right w:val="none" w:sz="0" w:space="0" w:color="auto"/>
      </w:divBdr>
    </w:div>
    <w:div w:id="750005642">
      <w:bodyDiv w:val="1"/>
      <w:marLeft w:val="0"/>
      <w:marRight w:val="0"/>
      <w:marTop w:val="0"/>
      <w:marBottom w:val="0"/>
      <w:divBdr>
        <w:top w:val="none" w:sz="0" w:space="0" w:color="auto"/>
        <w:left w:val="none" w:sz="0" w:space="0" w:color="auto"/>
        <w:bottom w:val="none" w:sz="0" w:space="0" w:color="auto"/>
        <w:right w:val="none" w:sz="0" w:space="0" w:color="auto"/>
      </w:divBdr>
    </w:div>
    <w:div w:id="825049051">
      <w:bodyDiv w:val="1"/>
      <w:marLeft w:val="0"/>
      <w:marRight w:val="0"/>
      <w:marTop w:val="0"/>
      <w:marBottom w:val="0"/>
      <w:divBdr>
        <w:top w:val="none" w:sz="0" w:space="0" w:color="auto"/>
        <w:left w:val="none" w:sz="0" w:space="0" w:color="auto"/>
        <w:bottom w:val="none" w:sz="0" w:space="0" w:color="auto"/>
        <w:right w:val="none" w:sz="0" w:space="0" w:color="auto"/>
      </w:divBdr>
    </w:div>
    <w:div w:id="831945513">
      <w:bodyDiv w:val="1"/>
      <w:marLeft w:val="0"/>
      <w:marRight w:val="0"/>
      <w:marTop w:val="0"/>
      <w:marBottom w:val="0"/>
      <w:divBdr>
        <w:top w:val="none" w:sz="0" w:space="0" w:color="auto"/>
        <w:left w:val="none" w:sz="0" w:space="0" w:color="auto"/>
        <w:bottom w:val="none" w:sz="0" w:space="0" w:color="auto"/>
        <w:right w:val="none" w:sz="0" w:space="0" w:color="auto"/>
      </w:divBdr>
    </w:div>
    <w:div w:id="955060427">
      <w:bodyDiv w:val="1"/>
      <w:marLeft w:val="0"/>
      <w:marRight w:val="0"/>
      <w:marTop w:val="0"/>
      <w:marBottom w:val="0"/>
      <w:divBdr>
        <w:top w:val="none" w:sz="0" w:space="0" w:color="auto"/>
        <w:left w:val="none" w:sz="0" w:space="0" w:color="auto"/>
        <w:bottom w:val="none" w:sz="0" w:space="0" w:color="auto"/>
        <w:right w:val="none" w:sz="0" w:space="0" w:color="auto"/>
      </w:divBdr>
    </w:div>
    <w:div w:id="1020281846">
      <w:bodyDiv w:val="1"/>
      <w:marLeft w:val="0"/>
      <w:marRight w:val="0"/>
      <w:marTop w:val="0"/>
      <w:marBottom w:val="0"/>
      <w:divBdr>
        <w:top w:val="none" w:sz="0" w:space="0" w:color="auto"/>
        <w:left w:val="none" w:sz="0" w:space="0" w:color="auto"/>
        <w:bottom w:val="none" w:sz="0" w:space="0" w:color="auto"/>
        <w:right w:val="none" w:sz="0" w:space="0" w:color="auto"/>
      </w:divBdr>
    </w:div>
    <w:div w:id="1137841753">
      <w:bodyDiv w:val="1"/>
      <w:marLeft w:val="0"/>
      <w:marRight w:val="0"/>
      <w:marTop w:val="0"/>
      <w:marBottom w:val="0"/>
      <w:divBdr>
        <w:top w:val="none" w:sz="0" w:space="0" w:color="auto"/>
        <w:left w:val="none" w:sz="0" w:space="0" w:color="auto"/>
        <w:bottom w:val="none" w:sz="0" w:space="0" w:color="auto"/>
        <w:right w:val="none" w:sz="0" w:space="0" w:color="auto"/>
      </w:divBdr>
    </w:div>
    <w:div w:id="1145925425">
      <w:bodyDiv w:val="1"/>
      <w:marLeft w:val="0"/>
      <w:marRight w:val="0"/>
      <w:marTop w:val="0"/>
      <w:marBottom w:val="0"/>
      <w:divBdr>
        <w:top w:val="none" w:sz="0" w:space="0" w:color="auto"/>
        <w:left w:val="none" w:sz="0" w:space="0" w:color="auto"/>
        <w:bottom w:val="none" w:sz="0" w:space="0" w:color="auto"/>
        <w:right w:val="none" w:sz="0" w:space="0" w:color="auto"/>
      </w:divBdr>
    </w:div>
    <w:div w:id="1154029676">
      <w:bodyDiv w:val="1"/>
      <w:marLeft w:val="0"/>
      <w:marRight w:val="0"/>
      <w:marTop w:val="0"/>
      <w:marBottom w:val="0"/>
      <w:divBdr>
        <w:top w:val="none" w:sz="0" w:space="0" w:color="auto"/>
        <w:left w:val="none" w:sz="0" w:space="0" w:color="auto"/>
        <w:bottom w:val="none" w:sz="0" w:space="0" w:color="auto"/>
        <w:right w:val="none" w:sz="0" w:space="0" w:color="auto"/>
      </w:divBdr>
    </w:div>
    <w:div w:id="1194074906">
      <w:bodyDiv w:val="1"/>
      <w:marLeft w:val="0"/>
      <w:marRight w:val="0"/>
      <w:marTop w:val="0"/>
      <w:marBottom w:val="0"/>
      <w:divBdr>
        <w:top w:val="none" w:sz="0" w:space="0" w:color="auto"/>
        <w:left w:val="none" w:sz="0" w:space="0" w:color="auto"/>
        <w:bottom w:val="none" w:sz="0" w:space="0" w:color="auto"/>
        <w:right w:val="none" w:sz="0" w:space="0" w:color="auto"/>
      </w:divBdr>
    </w:div>
    <w:div w:id="1262031817">
      <w:bodyDiv w:val="1"/>
      <w:marLeft w:val="0"/>
      <w:marRight w:val="0"/>
      <w:marTop w:val="0"/>
      <w:marBottom w:val="0"/>
      <w:divBdr>
        <w:top w:val="none" w:sz="0" w:space="0" w:color="auto"/>
        <w:left w:val="none" w:sz="0" w:space="0" w:color="auto"/>
        <w:bottom w:val="none" w:sz="0" w:space="0" w:color="auto"/>
        <w:right w:val="none" w:sz="0" w:space="0" w:color="auto"/>
      </w:divBdr>
    </w:div>
    <w:div w:id="1299650999">
      <w:bodyDiv w:val="1"/>
      <w:marLeft w:val="0"/>
      <w:marRight w:val="0"/>
      <w:marTop w:val="0"/>
      <w:marBottom w:val="0"/>
      <w:divBdr>
        <w:top w:val="none" w:sz="0" w:space="0" w:color="auto"/>
        <w:left w:val="none" w:sz="0" w:space="0" w:color="auto"/>
        <w:bottom w:val="none" w:sz="0" w:space="0" w:color="auto"/>
        <w:right w:val="none" w:sz="0" w:space="0" w:color="auto"/>
      </w:divBdr>
    </w:div>
    <w:div w:id="1332442699">
      <w:bodyDiv w:val="1"/>
      <w:marLeft w:val="0"/>
      <w:marRight w:val="0"/>
      <w:marTop w:val="0"/>
      <w:marBottom w:val="0"/>
      <w:divBdr>
        <w:top w:val="none" w:sz="0" w:space="0" w:color="auto"/>
        <w:left w:val="none" w:sz="0" w:space="0" w:color="auto"/>
        <w:bottom w:val="none" w:sz="0" w:space="0" w:color="auto"/>
        <w:right w:val="none" w:sz="0" w:space="0" w:color="auto"/>
      </w:divBdr>
    </w:div>
    <w:div w:id="1362433673">
      <w:bodyDiv w:val="1"/>
      <w:marLeft w:val="0"/>
      <w:marRight w:val="0"/>
      <w:marTop w:val="0"/>
      <w:marBottom w:val="0"/>
      <w:divBdr>
        <w:top w:val="none" w:sz="0" w:space="0" w:color="auto"/>
        <w:left w:val="none" w:sz="0" w:space="0" w:color="auto"/>
        <w:bottom w:val="none" w:sz="0" w:space="0" w:color="auto"/>
        <w:right w:val="none" w:sz="0" w:space="0" w:color="auto"/>
      </w:divBdr>
    </w:div>
    <w:div w:id="1369573113">
      <w:bodyDiv w:val="1"/>
      <w:marLeft w:val="0"/>
      <w:marRight w:val="0"/>
      <w:marTop w:val="0"/>
      <w:marBottom w:val="0"/>
      <w:divBdr>
        <w:top w:val="none" w:sz="0" w:space="0" w:color="auto"/>
        <w:left w:val="none" w:sz="0" w:space="0" w:color="auto"/>
        <w:bottom w:val="none" w:sz="0" w:space="0" w:color="auto"/>
        <w:right w:val="none" w:sz="0" w:space="0" w:color="auto"/>
      </w:divBdr>
    </w:div>
    <w:div w:id="1514765667">
      <w:bodyDiv w:val="1"/>
      <w:marLeft w:val="0"/>
      <w:marRight w:val="0"/>
      <w:marTop w:val="0"/>
      <w:marBottom w:val="0"/>
      <w:divBdr>
        <w:top w:val="none" w:sz="0" w:space="0" w:color="auto"/>
        <w:left w:val="none" w:sz="0" w:space="0" w:color="auto"/>
        <w:bottom w:val="none" w:sz="0" w:space="0" w:color="auto"/>
        <w:right w:val="none" w:sz="0" w:space="0" w:color="auto"/>
      </w:divBdr>
    </w:div>
    <w:div w:id="1527596982">
      <w:bodyDiv w:val="1"/>
      <w:marLeft w:val="0"/>
      <w:marRight w:val="0"/>
      <w:marTop w:val="0"/>
      <w:marBottom w:val="0"/>
      <w:divBdr>
        <w:top w:val="none" w:sz="0" w:space="0" w:color="auto"/>
        <w:left w:val="none" w:sz="0" w:space="0" w:color="auto"/>
        <w:bottom w:val="none" w:sz="0" w:space="0" w:color="auto"/>
        <w:right w:val="none" w:sz="0" w:space="0" w:color="auto"/>
      </w:divBdr>
    </w:div>
    <w:div w:id="1538201461">
      <w:bodyDiv w:val="1"/>
      <w:marLeft w:val="0"/>
      <w:marRight w:val="0"/>
      <w:marTop w:val="0"/>
      <w:marBottom w:val="0"/>
      <w:divBdr>
        <w:top w:val="none" w:sz="0" w:space="0" w:color="auto"/>
        <w:left w:val="none" w:sz="0" w:space="0" w:color="auto"/>
        <w:bottom w:val="none" w:sz="0" w:space="0" w:color="auto"/>
        <w:right w:val="none" w:sz="0" w:space="0" w:color="auto"/>
      </w:divBdr>
    </w:div>
    <w:div w:id="1587760903">
      <w:bodyDiv w:val="1"/>
      <w:marLeft w:val="0"/>
      <w:marRight w:val="0"/>
      <w:marTop w:val="0"/>
      <w:marBottom w:val="0"/>
      <w:divBdr>
        <w:top w:val="none" w:sz="0" w:space="0" w:color="auto"/>
        <w:left w:val="none" w:sz="0" w:space="0" w:color="auto"/>
        <w:bottom w:val="none" w:sz="0" w:space="0" w:color="auto"/>
        <w:right w:val="none" w:sz="0" w:space="0" w:color="auto"/>
      </w:divBdr>
    </w:div>
    <w:div w:id="1611275865">
      <w:bodyDiv w:val="1"/>
      <w:marLeft w:val="0"/>
      <w:marRight w:val="0"/>
      <w:marTop w:val="0"/>
      <w:marBottom w:val="0"/>
      <w:divBdr>
        <w:top w:val="none" w:sz="0" w:space="0" w:color="auto"/>
        <w:left w:val="none" w:sz="0" w:space="0" w:color="auto"/>
        <w:bottom w:val="none" w:sz="0" w:space="0" w:color="auto"/>
        <w:right w:val="none" w:sz="0" w:space="0" w:color="auto"/>
      </w:divBdr>
    </w:div>
    <w:div w:id="1633056647">
      <w:bodyDiv w:val="1"/>
      <w:marLeft w:val="0"/>
      <w:marRight w:val="0"/>
      <w:marTop w:val="0"/>
      <w:marBottom w:val="0"/>
      <w:divBdr>
        <w:top w:val="none" w:sz="0" w:space="0" w:color="auto"/>
        <w:left w:val="none" w:sz="0" w:space="0" w:color="auto"/>
        <w:bottom w:val="none" w:sz="0" w:space="0" w:color="auto"/>
        <w:right w:val="none" w:sz="0" w:space="0" w:color="auto"/>
      </w:divBdr>
    </w:div>
    <w:div w:id="1891844003">
      <w:bodyDiv w:val="1"/>
      <w:marLeft w:val="0"/>
      <w:marRight w:val="0"/>
      <w:marTop w:val="0"/>
      <w:marBottom w:val="0"/>
      <w:divBdr>
        <w:top w:val="none" w:sz="0" w:space="0" w:color="auto"/>
        <w:left w:val="none" w:sz="0" w:space="0" w:color="auto"/>
        <w:bottom w:val="none" w:sz="0" w:space="0" w:color="auto"/>
        <w:right w:val="none" w:sz="0" w:space="0" w:color="auto"/>
      </w:divBdr>
    </w:div>
    <w:div w:id="2032297061">
      <w:bodyDiv w:val="1"/>
      <w:marLeft w:val="0"/>
      <w:marRight w:val="0"/>
      <w:marTop w:val="0"/>
      <w:marBottom w:val="0"/>
      <w:divBdr>
        <w:top w:val="none" w:sz="0" w:space="0" w:color="auto"/>
        <w:left w:val="none" w:sz="0" w:space="0" w:color="auto"/>
        <w:bottom w:val="none" w:sz="0" w:space="0" w:color="auto"/>
        <w:right w:val="none" w:sz="0" w:space="0" w:color="auto"/>
      </w:divBdr>
    </w:div>
    <w:div w:id="2069765688">
      <w:bodyDiv w:val="1"/>
      <w:marLeft w:val="0"/>
      <w:marRight w:val="0"/>
      <w:marTop w:val="0"/>
      <w:marBottom w:val="0"/>
      <w:divBdr>
        <w:top w:val="none" w:sz="0" w:space="0" w:color="auto"/>
        <w:left w:val="none" w:sz="0" w:space="0" w:color="auto"/>
        <w:bottom w:val="none" w:sz="0" w:space="0" w:color="auto"/>
        <w:right w:val="none" w:sz="0" w:space="0" w:color="auto"/>
      </w:divBdr>
    </w:div>
    <w:div w:id="2082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c9_v xmlns="cb7eed14-1ed6-4f4f-9464-e9d73fc2f8e9">2025</_x00c9_v>
    <T_x00e9_ma xmlns="cb7eed14-1ed6-4f4f-9464-e9d73fc2f8e9">Monitoring</T_x00e9_ma>
    <L_x00e1_that_x00f3_s_x00e1_g xmlns="cb7eed14-1ed6-4f4f-9464-e9d73fc2f8e9">Publikus</L_x00e1_that_x00f3_s_x00e1_g>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CDF1BD466E83E842902559549E0F08F2" ma:contentTypeVersion="5" ma:contentTypeDescription="Új dokumentum létrehozása." ma:contentTypeScope="" ma:versionID="4b44a68e156a5b79248640aeafc70798">
  <xsd:schema xmlns:xsd="http://www.w3.org/2001/XMLSchema" xmlns:xs="http://www.w3.org/2001/XMLSchema" xmlns:p="http://schemas.microsoft.com/office/2006/metadata/properties" xmlns:ns2="cb7eed14-1ed6-4f4f-9464-e9d73fc2f8e9" xmlns:ns3="9669010e-b829-4d86-87dd-cdce11b02043" targetNamespace="http://schemas.microsoft.com/office/2006/metadata/properties" ma:root="true" ma:fieldsID="bd0071a6f26b893e5271513f12c665f5" ns2:_="" ns3:_="">
    <xsd:import namespace="cb7eed14-1ed6-4f4f-9464-e9d73fc2f8e9"/>
    <xsd:import namespace="9669010e-b829-4d86-87dd-cdce11b02043"/>
    <xsd:element name="properties">
      <xsd:complexType>
        <xsd:sequence>
          <xsd:element name="documentManagement">
            <xsd:complexType>
              <xsd:all>
                <xsd:element ref="ns2:T_x00e9_ma" minOccurs="0"/>
                <xsd:element ref="ns2:_x00c9_v"/>
                <xsd:element ref="ns2:L_x00e1_that_x00f3_s_x00e1_g"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ed14-1ed6-4f4f-9464-e9d73fc2f8e9" elementFormDefault="qualified">
    <xsd:import namespace="http://schemas.microsoft.com/office/2006/documentManagement/types"/>
    <xsd:import namespace="http://schemas.microsoft.com/office/infopath/2007/PartnerControls"/>
    <xsd:element name="T_x00e9_ma" ma:index="2" nillable="true" ma:displayName="Téma" ma:format="Dropdown" ma:internalName="T_x00e9_ma">
      <xsd:simpleType>
        <xsd:restriction base="dms:Choice">
          <xsd:enumeration value="Tervezés"/>
          <xsd:enumeration value="Zárszámadás"/>
          <xsd:enumeration value="Törvénymódosítás"/>
          <xsd:enumeration value="ÁSZ ellenőrzés"/>
          <xsd:enumeration value="Gyorsjelentés"/>
          <xsd:enumeration value="Monitoring"/>
          <xsd:enumeration value="Tervezési tájékoztató"/>
          <xsd:enumeration value="Útmutató"/>
          <xsd:enumeration value="Munkaprogram"/>
          <xsd:enumeration value="Ütemterv"/>
          <xsd:enumeration value="Módosító"/>
          <xsd:enumeration value="Kormányülés"/>
          <xsd:enumeration value="Gazdasági kabinet"/>
          <xsd:enumeration value="Stratégiai kabinet"/>
          <xsd:enumeration value="IFMIS"/>
          <xsd:enumeration value="Fejezeten belüli átcsoportosítás"/>
          <xsd:enumeration value="Címlista"/>
          <xsd:enumeration value="BEÜ"/>
          <xsd:enumeration value="Koronavírus"/>
          <xsd:enumeration value="Tudásbázis"/>
          <xsd:enumeration value="Kiemelt fejlesztési igények"/>
          <xsd:enumeration value="Iktatás"/>
        </xsd:restriction>
      </xsd:simpleType>
    </xsd:element>
    <xsd:element name="_x00c9_v" ma:index="3" ma:displayName="Év" ma:default="2018" ma:format="Dropdown" ma:internalName="_x00c9_v">
      <xsd:simpleType>
        <xsd:restriction base="dms:Choice">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_x00e1_that_x00f3_s_x00e1_g" ma:index="4" nillable="true" ma:displayName="Láthatóság" ma:default="Publikus" ma:format="Dropdown" ma:internalName="L_x00e1_that_x00f3_s_x00e1_g">
      <xsd:simpleType>
        <xsd:restriction base="dms:Choice">
          <xsd:enumeration value="Publikus"/>
          <xsd:enumeration value="Csak admin látja (verziókat tartalmaz)"/>
        </xsd:restriction>
      </xsd:simpleType>
    </xsd:element>
  </xsd:schema>
  <xsd:schema xmlns:xsd="http://www.w3.org/2001/XMLSchema" xmlns:xs="http://www.w3.org/2001/XMLSchema" xmlns:dms="http://schemas.microsoft.com/office/2006/documentManagement/types" xmlns:pc="http://schemas.microsoft.com/office/infopath/2007/PartnerControls" targetNamespace="9669010e-b829-4d86-87dd-cdce11b02043" elementFormDefault="qualified">
    <xsd:import namespace="http://schemas.microsoft.com/office/2006/documentManagement/types"/>
    <xsd:import namespace="http://schemas.microsoft.com/office/infopath/2007/PartnerControls"/>
    <xsd:element name="SharedWithUsers" ma:index="11"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Tartalomtípus"/>
        <xsd:element ref="dc:title" minOccurs="0" maxOccurs="1" ma:index="1"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0F6AD-19C0-4D6B-ABDF-2564A2CC5C1F}">
  <ds:schemaRefs>
    <ds:schemaRef ds:uri="http://schemas.microsoft.com/sharepoint/v3/contenttype/forms"/>
  </ds:schemaRefs>
</ds:datastoreItem>
</file>

<file path=customXml/itemProps2.xml><?xml version="1.0" encoding="utf-8"?>
<ds:datastoreItem xmlns:ds="http://schemas.openxmlformats.org/officeDocument/2006/customXml" ds:itemID="{C84C958D-48DC-4564-B24D-56E63215790F}">
  <ds:schemaRefs>
    <ds:schemaRef ds:uri="http://purl.org/dc/terms/"/>
    <ds:schemaRef ds:uri="cb7eed14-1ed6-4f4f-9464-e9d73fc2f8e9"/>
    <ds:schemaRef ds:uri="http://schemas.microsoft.com/office/2006/documentManagement/types"/>
    <ds:schemaRef ds:uri="9669010e-b829-4d86-87dd-cdce11b02043"/>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AFD48C-7926-4BF1-87F7-A322FB813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ed14-1ed6-4f4f-9464-e9d73fc2f8e9"/>
    <ds:schemaRef ds:uri="9669010e-b829-4d86-87dd-cdce11b02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842B3-DB9A-46A6-9062-ECCA8C53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4606</Words>
  <Characters>31785</Characters>
  <Application>Microsoft Office Word</Application>
  <DocSecurity>0</DocSecurity>
  <Lines>264</Lines>
  <Paragraphs>72</Paragraphs>
  <ScaleCrop>false</ScaleCrop>
  <HeadingPairs>
    <vt:vector size="2" baseType="variant">
      <vt:variant>
        <vt:lpstr>Cím</vt:lpstr>
      </vt:variant>
      <vt:variant>
        <vt:i4>1</vt:i4>
      </vt:variant>
    </vt:vector>
  </HeadingPairs>
  <TitlesOfParts>
    <vt:vector size="1" baseType="lpstr">
      <vt:lpstr>monitoring_2025_03</vt:lpstr>
    </vt:vector>
  </TitlesOfParts>
  <Company>Egységes InfraStruktúra</Company>
  <LinksUpToDate>false</LinksUpToDate>
  <CharactersWithSpaces>36319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monitoring_2025_03</dc:title>
  <dc:creator>Kovács Márta</dc:creator>
  <cp:lastModifiedBy>Ivók Aurél Csaba</cp:lastModifiedBy>
  <cp:revision>6</cp:revision>
  <cp:lastPrinted>2025-01-15T11:42:00Z</cp:lastPrinted>
  <dcterms:created xsi:type="dcterms:W3CDTF">2025-04-16T13:35:00Z</dcterms:created>
  <dcterms:modified xsi:type="dcterms:W3CDTF">2025-04-17T06:50:00Z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0x010100CDF1BD466E83E842902559549E0F08F2</vt:lpwstr>
  </property>
</Properties>
</file>