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BEF3357" w:rsidR="005E3DB1" w:rsidRPr="003E3A1D" w:rsidRDefault="4AC3BDA3" w:rsidP="4AC3BDA3">
      <w:pPr>
        <w:tabs>
          <w:tab w:val="left" w:pos="6379"/>
        </w:tabs>
        <w:ind w:left="-142" w:right="-1" w:firstLine="142"/>
        <w:jc w:val="left"/>
        <w:rPr>
          <w:b/>
          <w:bCs/>
          <w:smallCaps/>
          <w:sz w:val="32"/>
          <w:szCs w:val="32"/>
        </w:rPr>
      </w:pPr>
      <w:r w:rsidRPr="003E3A1D">
        <w:rPr>
          <w:b/>
          <w:bCs/>
          <w:smallCaps/>
          <w:sz w:val="32"/>
          <w:szCs w:val="32"/>
        </w:rPr>
        <w:t>Pénzügyminisztérium</w:t>
      </w:r>
    </w:p>
    <w:p w14:paraId="5D4F0193" w14:textId="77777777" w:rsidR="005E3DB1" w:rsidRPr="003E3A1D" w:rsidRDefault="005E3DB1" w:rsidP="00BD2597">
      <w:pPr>
        <w:ind w:left="-142" w:firstLine="142"/>
      </w:pPr>
    </w:p>
    <w:p w14:paraId="5D4F0194" w14:textId="77777777" w:rsidR="005E3DB1" w:rsidRPr="003E3A1D" w:rsidRDefault="005E3DB1" w:rsidP="000556FC">
      <w:pPr>
        <w:pStyle w:val="Cm"/>
        <w:ind w:right="0"/>
      </w:pPr>
    </w:p>
    <w:p w14:paraId="5D4F0195" w14:textId="77777777" w:rsidR="005E3DB1" w:rsidRPr="003E3A1D" w:rsidRDefault="005E3DB1" w:rsidP="000556FC">
      <w:pPr>
        <w:pStyle w:val="Cm"/>
        <w:ind w:right="0"/>
      </w:pPr>
    </w:p>
    <w:p w14:paraId="5D4F0197" w14:textId="77777777" w:rsidR="005E3DB1" w:rsidRPr="003E3A1D" w:rsidRDefault="005E3DB1" w:rsidP="000556FC">
      <w:pPr>
        <w:pStyle w:val="Cm"/>
        <w:ind w:right="0"/>
      </w:pPr>
    </w:p>
    <w:p w14:paraId="79075E45" w14:textId="77777777" w:rsidR="00171DAF" w:rsidRPr="003E3A1D" w:rsidRDefault="00171DAF" w:rsidP="000556FC">
      <w:pPr>
        <w:pStyle w:val="Cm"/>
        <w:ind w:right="0"/>
      </w:pPr>
    </w:p>
    <w:p w14:paraId="5D4F0198" w14:textId="77777777" w:rsidR="005E3DB1" w:rsidRPr="003E3A1D" w:rsidRDefault="005E3DB1" w:rsidP="000556FC">
      <w:pPr>
        <w:pStyle w:val="Cm"/>
        <w:ind w:right="0"/>
      </w:pPr>
    </w:p>
    <w:p w14:paraId="5D4F0199" w14:textId="77777777" w:rsidR="008D430E" w:rsidRPr="003E3A1D" w:rsidRDefault="008D430E" w:rsidP="000556FC">
      <w:pPr>
        <w:pStyle w:val="Cm"/>
        <w:ind w:right="0"/>
        <w:rPr>
          <w:sz w:val="26"/>
          <w:szCs w:val="26"/>
        </w:rPr>
      </w:pPr>
    </w:p>
    <w:p w14:paraId="5D4F019A" w14:textId="77777777" w:rsidR="005E3DB1" w:rsidRPr="003E3A1D" w:rsidRDefault="005E3DB1" w:rsidP="000556FC">
      <w:pPr>
        <w:pStyle w:val="Cm"/>
        <w:ind w:right="0"/>
      </w:pPr>
    </w:p>
    <w:p w14:paraId="5D4F019B" w14:textId="77777777" w:rsidR="005E3DB1" w:rsidRPr="003E3A1D" w:rsidRDefault="005E3DB1" w:rsidP="000556FC">
      <w:pPr>
        <w:pStyle w:val="Cm"/>
        <w:ind w:right="0"/>
      </w:pPr>
    </w:p>
    <w:p w14:paraId="5D4F019C" w14:textId="77777777" w:rsidR="005E3DB1" w:rsidRPr="003E3A1D" w:rsidRDefault="005E3DB1" w:rsidP="000556FC">
      <w:pPr>
        <w:pStyle w:val="Cm"/>
        <w:ind w:right="0"/>
      </w:pPr>
    </w:p>
    <w:p w14:paraId="5D4F019D" w14:textId="77777777" w:rsidR="00F630A3" w:rsidRPr="003E3A1D" w:rsidRDefault="00F630A3" w:rsidP="000556FC">
      <w:pPr>
        <w:pStyle w:val="Cm"/>
        <w:ind w:right="0"/>
      </w:pPr>
    </w:p>
    <w:p w14:paraId="5D4F019E" w14:textId="77777777" w:rsidR="000C5968" w:rsidRPr="003E3A1D" w:rsidRDefault="000C5968" w:rsidP="000556FC">
      <w:pPr>
        <w:pStyle w:val="Cm"/>
        <w:ind w:right="0"/>
      </w:pPr>
    </w:p>
    <w:p w14:paraId="5D4F019F" w14:textId="77777777" w:rsidR="005E3DB1" w:rsidRPr="003E3A1D" w:rsidRDefault="005E3DB1" w:rsidP="000556FC">
      <w:pPr>
        <w:pStyle w:val="Cm"/>
        <w:ind w:right="0"/>
      </w:pPr>
      <w:r w:rsidRPr="003E3A1D">
        <w:t>Tájékoztató</w:t>
      </w:r>
      <w:r w:rsidRPr="003E3A1D">
        <w:footnoteReference w:customMarkFollows="1" w:id="2"/>
        <w:t>*</w:t>
      </w:r>
    </w:p>
    <w:p w14:paraId="5D4F01A0" w14:textId="7625CB10" w:rsidR="00B93477" w:rsidRPr="003E3A1D" w:rsidRDefault="4AC3BDA3" w:rsidP="4AC3BDA3">
      <w:pPr>
        <w:pStyle w:val="Cmsor2"/>
        <w:tabs>
          <w:tab w:val="left" w:pos="2694"/>
        </w:tabs>
        <w:spacing w:before="0" w:after="120"/>
        <w:ind w:right="-1"/>
        <w:rPr>
          <w:i/>
          <w:caps w:val="0"/>
        </w:rPr>
      </w:pPr>
      <w:r w:rsidRPr="003E3A1D">
        <w:rPr>
          <w:i/>
          <w:caps w:val="0"/>
        </w:rPr>
        <w:t>az államháztartás központi alrendszerének</w:t>
      </w:r>
      <w:r w:rsidR="443F750D" w:rsidRPr="003E3A1D">
        <w:rPr>
          <w:caps w:val="0"/>
        </w:rPr>
        <w:br/>
      </w:r>
      <w:r w:rsidRPr="003E3A1D">
        <w:rPr>
          <w:i/>
          <w:caps w:val="0"/>
        </w:rPr>
        <w:t>2022. március végi helyzetéről</w:t>
      </w:r>
    </w:p>
    <w:p w14:paraId="5D4F01A1" w14:textId="77777777" w:rsidR="005E3DB1" w:rsidRPr="003E3A1D" w:rsidRDefault="005E3DB1" w:rsidP="00275D19">
      <w:pPr>
        <w:pStyle w:val="Cmsor2"/>
        <w:tabs>
          <w:tab w:val="left" w:pos="2694"/>
        </w:tabs>
        <w:spacing w:before="0" w:after="120"/>
        <w:ind w:right="-1"/>
        <w:rPr>
          <w:i/>
          <w:caps w:val="0"/>
          <w:szCs w:val="26"/>
        </w:rPr>
      </w:pPr>
    </w:p>
    <w:p w14:paraId="5D4F01A2" w14:textId="77777777" w:rsidR="005E3DB1" w:rsidRPr="003E3A1D" w:rsidRDefault="005E3DB1" w:rsidP="000556FC">
      <w:pPr>
        <w:tabs>
          <w:tab w:val="left" w:pos="2694"/>
        </w:tabs>
      </w:pPr>
    </w:p>
    <w:p w14:paraId="5D4F01A3" w14:textId="77777777" w:rsidR="005E3DB1" w:rsidRPr="003E3A1D" w:rsidRDefault="005E3DB1" w:rsidP="000556FC">
      <w:pPr>
        <w:pStyle w:val="lfej"/>
        <w:tabs>
          <w:tab w:val="clear" w:pos="4153"/>
          <w:tab w:val="clear" w:pos="8306"/>
          <w:tab w:val="left" w:pos="2694"/>
        </w:tabs>
      </w:pPr>
    </w:p>
    <w:p w14:paraId="5D4F01A4" w14:textId="77777777" w:rsidR="005E3DB1" w:rsidRPr="003E3A1D" w:rsidRDefault="005E3DB1" w:rsidP="000556FC">
      <w:pPr>
        <w:tabs>
          <w:tab w:val="left" w:pos="2694"/>
        </w:tabs>
      </w:pPr>
    </w:p>
    <w:p w14:paraId="5D4F01A5" w14:textId="77777777" w:rsidR="005E3DB1" w:rsidRPr="003E3A1D" w:rsidRDefault="005E3DB1" w:rsidP="000556FC">
      <w:pPr>
        <w:tabs>
          <w:tab w:val="left" w:pos="2694"/>
        </w:tabs>
      </w:pPr>
    </w:p>
    <w:p w14:paraId="5D4F01A6" w14:textId="77777777" w:rsidR="005E3DB1" w:rsidRPr="003E3A1D" w:rsidRDefault="005E3DB1" w:rsidP="000556FC">
      <w:pPr>
        <w:tabs>
          <w:tab w:val="left" w:pos="2694"/>
        </w:tabs>
      </w:pPr>
    </w:p>
    <w:p w14:paraId="5D4F01A7" w14:textId="77777777" w:rsidR="005E3DB1" w:rsidRPr="003E3A1D" w:rsidRDefault="005E3DB1" w:rsidP="000556FC"/>
    <w:p w14:paraId="5D4F01A8" w14:textId="77777777" w:rsidR="00771455" w:rsidRPr="003E3A1D" w:rsidRDefault="00771455" w:rsidP="000556FC"/>
    <w:p w14:paraId="5D4F01A9" w14:textId="77777777" w:rsidR="00C37774" w:rsidRPr="003E3A1D" w:rsidRDefault="00C37774" w:rsidP="000556FC"/>
    <w:p w14:paraId="5D4F01AA" w14:textId="77777777" w:rsidR="00C37774" w:rsidRPr="003E3A1D" w:rsidRDefault="00C37774" w:rsidP="000556FC"/>
    <w:p w14:paraId="5D4F01AB" w14:textId="77777777" w:rsidR="00C37774" w:rsidRPr="003E3A1D" w:rsidRDefault="00C37774" w:rsidP="000556FC"/>
    <w:p w14:paraId="5D4F01AC" w14:textId="58AB1852" w:rsidR="007E4053" w:rsidRPr="003E3A1D" w:rsidRDefault="00FA7AFF" w:rsidP="4AC3BDA3">
      <w:pPr>
        <w:tabs>
          <w:tab w:val="left" w:pos="2694"/>
        </w:tabs>
        <w:jc w:val="center"/>
        <w:rPr>
          <w:b/>
          <w:bCs/>
          <w:sz w:val="22"/>
          <w:szCs w:val="22"/>
        </w:rPr>
      </w:pPr>
      <w:r w:rsidRPr="003E3A1D">
        <w:rPr>
          <w:b/>
          <w:bCs/>
          <w:noProof/>
          <w:sz w:val="22"/>
          <w:szCs w:val="22"/>
        </w:rPr>
        <mc:AlternateContent>
          <mc:Choice Requires="wps">
            <w:drawing>
              <wp:anchor distT="0" distB="0" distL="114300" distR="114300" simplePos="0" relativeHeight="251657216"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ED4B" id="Rectangle 2" o:spid="_x0000_s1026" style="position:absolute;margin-left:184pt;margin-top:77.2pt;width:76.5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3E3A1D">
        <w:rPr>
          <w:b/>
          <w:bCs/>
          <w:sz w:val="22"/>
          <w:szCs w:val="22"/>
        </w:rPr>
        <w:t>20</w:t>
      </w:r>
      <w:r w:rsidR="00C90993" w:rsidRPr="003E3A1D">
        <w:rPr>
          <w:b/>
          <w:bCs/>
          <w:sz w:val="22"/>
          <w:szCs w:val="22"/>
        </w:rPr>
        <w:t>2</w:t>
      </w:r>
      <w:r w:rsidR="001E46F9" w:rsidRPr="003E3A1D">
        <w:rPr>
          <w:b/>
          <w:bCs/>
          <w:sz w:val="22"/>
          <w:szCs w:val="22"/>
        </w:rPr>
        <w:t>2</w:t>
      </w:r>
      <w:r w:rsidR="007E4053" w:rsidRPr="003E3A1D">
        <w:rPr>
          <w:b/>
          <w:bCs/>
          <w:sz w:val="22"/>
          <w:szCs w:val="22"/>
        </w:rPr>
        <w:t>.</w:t>
      </w:r>
      <w:r w:rsidR="00F30C75" w:rsidRPr="003E3A1D">
        <w:rPr>
          <w:b/>
          <w:bCs/>
          <w:sz w:val="22"/>
          <w:szCs w:val="22"/>
        </w:rPr>
        <w:t xml:space="preserve"> </w:t>
      </w:r>
      <w:r w:rsidR="007544C7" w:rsidRPr="003E3A1D">
        <w:rPr>
          <w:b/>
          <w:bCs/>
          <w:sz w:val="22"/>
          <w:szCs w:val="22"/>
        </w:rPr>
        <w:t>április</w:t>
      </w:r>
    </w:p>
    <w:p w14:paraId="5D4F01AD" w14:textId="77777777" w:rsidR="007E4053" w:rsidRPr="003E3A1D" w:rsidRDefault="007E4053" w:rsidP="000556FC">
      <w:pPr>
        <w:tabs>
          <w:tab w:val="left" w:pos="2694"/>
        </w:tabs>
        <w:jc w:val="center"/>
        <w:rPr>
          <w:b/>
          <w:bCs/>
          <w:szCs w:val="28"/>
        </w:rPr>
        <w:sectPr w:rsidR="007E4053" w:rsidRPr="003E3A1D"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Pr="003E3A1D" w:rsidRDefault="4AC3BDA3" w:rsidP="4AC3BDA3">
      <w:pPr>
        <w:pStyle w:val="Cmsor4"/>
        <w:jc w:val="center"/>
        <w:rPr>
          <w:caps/>
        </w:rPr>
      </w:pPr>
      <w:r w:rsidRPr="003E3A1D">
        <w:rPr>
          <w:caps/>
        </w:rPr>
        <w:lastRenderedPageBreak/>
        <w:t>Összefoglalás</w:t>
      </w:r>
    </w:p>
    <w:p w14:paraId="330B3C6F" w14:textId="77777777" w:rsidR="00EE7E8D" w:rsidRPr="003E3A1D" w:rsidRDefault="00EE7E8D" w:rsidP="000E338E">
      <w:pPr>
        <w:keepNext/>
        <w:jc w:val="left"/>
        <w:rPr>
          <w:szCs w:val="26"/>
        </w:rPr>
      </w:pPr>
    </w:p>
    <w:p w14:paraId="313EC396" w14:textId="77777777" w:rsidR="004812D3" w:rsidRPr="003E3A1D" w:rsidRDefault="4AC3BDA3" w:rsidP="4AC3BDA3">
      <w:pPr>
        <w:rPr>
          <w:b/>
          <w:bCs/>
        </w:rPr>
      </w:pPr>
      <w:r w:rsidRPr="003E3A1D">
        <w:rPr>
          <w:b/>
          <w:bCs/>
        </w:rPr>
        <w:t>A friss adatok szerint a magyar államadósság a vártnál jobban, 76,8%-ra csökkent 2021-ben, míg a költségvetés hiánya 6,8%-os lett. A jelenlegi háborús helyzetben kiemelkedően fontos, hogy hazánk gazdasága és költségvetése stabil maradjon, és a háború terheit ne a lakosságnak kelljen viselni.</w:t>
      </w:r>
    </w:p>
    <w:p w14:paraId="2E441FFD" w14:textId="77777777" w:rsidR="004812D3" w:rsidRPr="003E3A1D" w:rsidRDefault="4AC3BDA3" w:rsidP="4AC3BDA3">
      <w:pPr>
        <w:rPr>
          <w:b/>
          <w:bCs/>
        </w:rPr>
      </w:pPr>
      <w:r w:rsidRPr="003E3A1D">
        <w:rPr>
          <w:b/>
          <w:bCs/>
        </w:rPr>
        <w:t>A költségvetésnek továbbra is prioritásként kell kezelnie a határvédelmet, a menekültek megsegítését, a családok támogatását és az adócsökkentések megtartását. A költségvetés stabilitásának fenntartása a jelenlegi helyzetben így kiemelten fontos feladat a kormány számára.</w:t>
      </w:r>
    </w:p>
    <w:p w14:paraId="443F4D2E" w14:textId="77777777" w:rsidR="004812D3" w:rsidRPr="003E3A1D" w:rsidRDefault="4AC3BDA3" w:rsidP="004812D3">
      <w:r w:rsidRPr="003E3A1D">
        <w:t>A központi alrendszer március végi hiánya 2309,4 milliárd forint volt. Ezen belül a központi költségvetés 2331,4 milliárd forintos hiányt, az elkülönített állami pénzalapok 39,2 milliárd forintos többletet, a társadalombiztosítás pénzügyi alapjai 17,2 milliárd forintos hiányt értek el.</w:t>
      </w:r>
    </w:p>
    <w:p w14:paraId="268C9130" w14:textId="77777777" w:rsidR="004812D3" w:rsidRPr="003E3A1D" w:rsidRDefault="4AC3BDA3" w:rsidP="004812D3">
      <w:r w:rsidRPr="003E3A1D">
        <w:t>Magasabban teljesültek az egy évvel korábbihoz képest többek között a lakástámogatások, de meghaladták az egy évvel korábbi kifizetést a nyugellátásokra fordított összegek is. Nyugellátásokra 1340,4 milliárd forintot, a gyógyító-megelőző ellátásra 531,4 milliárd forintot biztosított a költségvetés március végéig.</w:t>
      </w:r>
    </w:p>
    <w:p w14:paraId="7CCAB3A7" w14:textId="207B865F" w:rsidR="007A7049" w:rsidRPr="003E3A1D" w:rsidRDefault="4AC3BDA3" w:rsidP="004812D3">
      <w:r w:rsidRPr="003E3A1D">
        <w:t>A családi adóvisszatérítés keretében, azoknak a gyermeket nevelő szülőknek, akik a május 20-ig esedékes adóbevallásukban érvényesítik az adókedvezményt, a második körös kiutalási szakasz március 1-jén kezdődött.</w:t>
      </w:r>
      <w:r w:rsidR="443F750D" w:rsidRPr="003E3A1D">
        <w:br w:type="page"/>
      </w:r>
    </w:p>
    <w:p w14:paraId="73FFC378" w14:textId="59474284" w:rsidR="00CF2C49" w:rsidRPr="003E3A1D" w:rsidRDefault="4AC3BDA3" w:rsidP="00CF2C49">
      <w:pPr>
        <w:keepNext/>
      </w:pPr>
      <w:r w:rsidRPr="003E3A1D">
        <w:lastRenderedPageBreak/>
        <w:t>Az államháztartás központi alrendszerének 2022. március végi főbb pénzforgalmi adatai a következők:</w:t>
      </w:r>
    </w:p>
    <w:p w14:paraId="44F948F8" w14:textId="77777777" w:rsidR="005D30CF" w:rsidRPr="003E3A1D" w:rsidRDefault="005D30CF" w:rsidP="00CF2C49">
      <w:pPr>
        <w:keepNext/>
      </w:pPr>
    </w:p>
    <w:tbl>
      <w:tblPr>
        <w:tblW w:w="9382" w:type="dxa"/>
        <w:tblInd w:w="70" w:type="dxa"/>
        <w:tblLayout w:type="fixed"/>
        <w:tblCellMar>
          <w:left w:w="70" w:type="dxa"/>
          <w:right w:w="70" w:type="dxa"/>
        </w:tblCellMar>
        <w:tblLook w:val="04A0" w:firstRow="1" w:lastRow="0" w:firstColumn="1" w:lastColumn="0" w:noHBand="0" w:noVBand="1"/>
      </w:tblPr>
      <w:tblGrid>
        <w:gridCol w:w="1843"/>
        <w:gridCol w:w="1077"/>
        <w:gridCol w:w="1077"/>
        <w:gridCol w:w="1077"/>
        <w:gridCol w:w="1077"/>
        <w:gridCol w:w="1077"/>
        <w:gridCol w:w="1077"/>
        <w:gridCol w:w="1077"/>
      </w:tblGrid>
      <w:tr w:rsidR="003E3A1D" w:rsidRPr="003E3A1D" w14:paraId="70B10677" w14:textId="77777777" w:rsidTr="4AC3BDA3">
        <w:trPr>
          <w:trHeight w:val="183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98D" w14:textId="77777777" w:rsidR="00B959E3" w:rsidRPr="003E3A1D" w:rsidRDefault="4AC3BDA3" w:rsidP="4AC3BDA3">
            <w:pPr>
              <w:spacing w:after="0"/>
              <w:jc w:val="left"/>
              <w:rPr>
                <w:sz w:val="18"/>
                <w:szCs w:val="18"/>
              </w:rPr>
            </w:pPr>
            <w:r w:rsidRPr="003E3A1D">
              <w:rPr>
                <w:sz w:val="18"/>
                <w:szCs w:val="18"/>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E98DA4A" w14:textId="384D5F41" w:rsidR="00B959E3" w:rsidRPr="003E3A1D" w:rsidRDefault="4AC3BDA3" w:rsidP="4AC3BDA3">
            <w:pPr>
              <w:spacing w:after="0"/>
              <w:jc w:val="center"/>
              <w:rPr>
                <w:sz w:val="18"/>
                <w:szCs w:val="18"/>
              </w:rPr>
            </w:pPr>
            <w:r w:rsidRPr="003E3A1D">
              <w:rPr>
                <w:sz w:val="18"/>
                <w:szCs w:val="18"/>
              </w:rPr>
              <w:t xml:space="preserve">2021. évi előzetes </w:t>
            </w:r>
            <w:r w:rsidR="443F750D" w:rsidRPr="003E3A1D">
              <w:br/>
            </w:r>
            <w:r w:rsidRPr="003E3A1D">
              <w:rPr>
                <w:sz w:val="18"/>
                <w:szCs w:val="18"/>
              </w:rPr>
              <w:t>tény</w:t>
            </w:r>
            <w:r w:rsidR="443F750D" w:rsidRPr="003E3A1D">
              <w:br/>
            </w:r>
            <w:r w:rsidRPr="003E3A1D">
              <w:rPr>
                <w:sz w:val="18"/>
                <w:szCs w:val="18"/>
              </w:rPr>
              <w:t>milliárd forintban</w:t>
            </w:r>
            <w:r w:rsidR="443F750D" w:rsidRPr="003E3A1D">
              <w:br/>
            </w:r>
            <w:r w:rsidRPr="003E3A1D">
              <w:rPr>
                <w:sz w:val="18"/>
                <w:szCs w:val="18"/>
              </w:rPr>
              <w:t>(1)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8104024" w14:textId="30CDF1C5" w:rsidR="00D3203A" w:rsidRPr="003E3A1D" w:rsidRDefault="4AC3BDA3" w:rsidP="4AC3BDA3">
            <w:pPr>
              <w:spacing w:after="0"/>
              <w:jc w:val="center"/>
              <w:rPr>
                <w:sz w:val="18"/>
                <w:szCs w:val="18"/>
              </w:rPr>
            </w:pPr>
            <w:r w:rsidRPr="003E3A1D">
              <w:rPr>
                <w:sz w:val="18"/>
                <w:szCs w:val="18"/>
              </w:rPr>
              <w:t>2021. I-III. hó tény</w:t>
            </w:r>
            <w:r w:rsidR="443F750D" w:rsidRPr="003E3A1D">
              <w:br/>
            </w:r>
            <w:r w:rsidRPr="003E3A1D">
              <w:rPr>
                <w:sz w:val="18"/>
                <w:szCs w:val="18"/>
              </w:rPr>
              <w:t>milliárd forintban</w:t>
            </w:r>
            <w:r w:rsidR="443F750D" w:rsidRPr="003E3A1D">
              <w:br/>
            </w:r>
          </w:p>
          <w:p w14:paraId="68FB0A4B" w14:textId="02FB91AD" w:rsidR="00B959E3" w:rsidRPr="003E3A1D" w:rsidRDefault="4AC3BDA3" w:rsidP="4AC3BDA3">
            <w:pPr>
              <w:spacing w:after="0"/>
              <w:jc w:val="center"/>
              <w:rPr>
                <w:sz w:val="18"/>
                <w:szCs w:val="18"/>
              </w:rPr>
            </w:pPr>
            <w:r w:rsidRPr="003E3A1D">
              <w:rPr>
                <w:sz w:val="18"/>
                <w:szCs w:val="18"/>
              </w:rPr>
              <w:t>(2)</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94B8EF9" w14:textId="00FEAD0F" w:rsidR="00D3203A" w:rsidRPr="003E3A1D" w:rsidRDefault="4AC3BDA3" w:rsidP="4AC3BDA3">
            <w:pPr>
              <w:spacing w:after="0"/>
              <w:jc w:val="center"/>
              <w:rPr>
                <w:sz w:val="18"/>
                <w:szCs w:val="18"/>
              </w:rPr>
            </w:pPr>
            <w:r w:rsidRPr="003E3A1D">
              <w:rPr>
                <w:sz w:val="18"/>
                <w:szCs w:val="18"/>
              </w:rPr>
              <w:t>éves előzetes tény=100%</w:t>
            </w:r>
            <w:r w:rsidR="443F750D" w:rsidRPr="003E3A1D">
              <w:br/>
            </w:r>
            <w:r w:rsidRPr="003E3A1D">
              <w:rPr>
                <w:sz w:val="18"/>
                <w:szCs w:val="18"/>
              </w:rPr>
              <w:t>Index (%)</w:t>
            </w:r>
            <w:r w:rsidR="443F750D" w:rsidRPr="003E3A1D">
              <w:br/>
            </w:r>
          </w:p>
          <w:p w14:paraId="01C6CF0B" w14:textId="333BD448" w:rsidR="00B959E3" w:rsidRPr="003E3A1D" w:rsidRDefault="4AC3BDA3" w:rsidP="4AC3BDA3">
            <w:pPr>
              <w:spacing w:after="0"/>
              <w:jc w:val="center"/>
              <w:rPr>
                <w:sz w:val="18"/>
                <w:szCs w:val="18"/>
              </w:rPr>
            </w:pPr>
            <w:r w:rsidRPr="003E3A1D">
              <w:rPr>
                <w:sz w:val="18"/>
                <w:szCs w:val="18"/>
              </w:rPr>
              <w:t>(2/1)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3018CC6" w14:textId="4541CC13" w:rsidR="00B959E3" w:rsidRPr="003E3A1D" w:rsidRDefault="4AC3BDA3" w:rsidP="4AC3BDA3">
            <w:pPr>
              <w:spacing w:after="0"/>
              <w:jc w:val="center"/>
              <w:rPr>
                <w:sz w:val="18"/>
                <w:szCs w:val="18"/>
              </w:rPr>
            </w:pPr>
            <w:r w:rsidRPr="003E3A1D">
              <w:rPr>
                <w:sz w:val="18"/>
                <w:szCs w:val="18"/>
              </w:rPr>
              <w:t>2022. évi törvényi előirányzat</w:t>
            </w:r>
            <w:r w:rsidR="443F750D" w:rsidRPr="003E3A1D">
              <w:br/>
            </w:r>
            <w:r w:rsidRPr="003E3A1D">
              <w:rPr>
                <w:sz w:val="18"/>
                <w:szCs w:val="18"/>
              </w:rPr>
              <w:t>milliárd forintban</w:t>
            </w:r>
            <w:r w:rsidR="443F750D" w:rsidRPr="003E3A1D">
              <w:br/>
            </w:r>
            <w:r w:rsidRPr="003E3A1D">
              <w:rPr>
                <w:sz w:val="18"/>
                <w:szCs w:val="18"/>
              </w:rPr>
              <w:t>(3)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0B4F9FB" w14:textId="67C0E86F" w:rsidR="00D3203A" w:rsidRPr="003E3A1D" w:rsidRDefault="4AC3BDA3" w:rsidP="4AC3BDA3">
            <w:pPr>
              <w:spacing w:after="0"/>
              <w:jc w:val="center"/>
              <w:rPr>
                <w:sz w:val="18"/>
                <w:szCs w:val="18"/>
              </w:rPr>
            </w:pPr>
            <w:r w:rsidRPr="003E3A1D">
              <w:rPr>
                <w:sz w:val="18"/>
                <w:szCs w:val="18"/>
              </w:rPr>
              <w:t>2022. I-III. hó tény</w:t>
            </w:r>
            <w:r w:rsidR="443F750D" w:rsidRPr="003E3A1D">
              <w:br/>
            </w:r>
            <w:r w:rsidRPr="003E3A1D">
              <w:rPr>
                <w:sz w:val="18"/>
                <w:szCs w:val="18"/>
              </w:rPr>
              <w:t>milliárd forintban</w:t>
            </w:r>
            <w:r w:rsidR="443F750D" w:rsidRPr="003E3A1D">
              <w:br/>
            </w:r>
          </w:p>
          <w:p w14:paraId="2D824F1E" w14:textId="79E6D637" w:rsidR="00B959E3" w:rsidRPr="003E3A1D" w:rsidRDefault="4AC3BDA3" w:rsidP="4AC3BDA3">
            <w:pPr>
              <w:spacing w:after="0"/>
              <w:jc w:val="center"/>
              <w:rPr>
                <w:sz w:val="18"/>
                <w:szCs w:val="18"/>
              </w:rPr>
            </w:pPr>
            <w:r w:rsidRPr="003E3A1D">
              <w:rPr>
                <w:sz w:val="18"/>
                <w:szCs w:val="18"/>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4D3ED7A" w14:textId="77777777" w:rsidR="00D3203A" w:rsidRPr="003E3A1D" w:rsidRDefault="4AC3BDA3" w:rsidP="4AC3BDA3">
            <w:pPr>
              <w:spacing w:after="0"/>
              <w:jc w:val="center"/>
              <w:rPr>
                <w:sz w:val="18"/>
                <w:szCs w:val="18"/>
              </w:rPr>
            </w:pPr>
            <w:r w:rsidRPr="003E3A1D">
              <w:rPr>
                <w:sz w:val="18"/>
                <w:szCs w:val="18"/>
              </w:rPr>
              <w:t>előirányzat=</w:t>
            </w:r>
            <w:r w:rsidR="443F750D" w:rsidRPr="003E3A1D">
              <w:br/>
            </w:r>
            <w:r w:rsidRPr="003E3A1D">
              <w:rPr>
                <w:sz w:val="18"/>
                <w:szCs w:val="18"/>
              </w:rPr>
              <w:t>100%</w:t>
            </w:r>
            <w:r w:rsidR="443F750D" w:rsidRPr="003E3A1D">
              <w:br/>
            </w:r>
            <w:r w:rsidRPr="003E3A1D">
              <w:rPr>
                <w:sz w:val="18"/>
                <w:szCs w:val="18"/>
              </w:rPr>
              <w:t>Index (%)</w:t>
            </w:r>
            <w:r w:rsidR="443F750D" w:rsidRPr="003E3A1D">
              <w:br/>
            </w:r>
          </w:p>
          <w:p w14:paraId="0803031D" w14:textId="77777777" w:rsidR="00D3203A" w:rsidRPr="003E3A1D" w:rsidRDefault="00D3203A" w:rsidP="0B7D5CF2">
            <w:pPr>
              <w:spacing w:after="0"/>
              <w:jc w:val="center"/>
              <w:rPr>
                <w:sz w:val="18"/>
                <w:szCs w:val="18"/>
              </w:rPr>
            </w:pPr>
          </w:p>
          <w:p w14:paraId="7B21EB71" w14:textId="314A3C96" w:rsidR="00B959E3" w:rsidRPr="003E3A1D" w:rsidRDefault="4AC3BDA3" w:rsidP="4AC3BDA3">
            <w:pPr>
              <w:spacing w:after="0"/>
              <w:jc w:val="center"/>
              <w:rPr>
                <w:sz w:val="18"/>
                <w:szCs w:val="18"/>
              </w:rPr>
            </w:pPr>
            <w:r w:rsidRPr="003E3A1D">
              <w:rPr>
                <w:sz w:val="18"/>
                <w:szCs w:val="18"/>
              </w:rPr>
              <w:t>(4/3)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83ED484" w14:textId="77777777" w:rsidR="00D3203A" w:rsidRPr="003E3A1D" w:rsidRDefault="4AC3BDA3" w:rsidP="4AC3BDA3">
            <w:pPr>
              <w:spacing w:after="0"/>
              <w:jc w:val="center"/>
              <w:rPr>
                <w:sz w:val="18"/>
                <w:szCs w:val="18"/>
              </w:rPr>
            </w:pPr>
            <w:r w:rsidRPr="003E3A1D">
              <w:rPr>
                <w:sz w:val="18"/>
                <w:szCs w:val="18"/>
              </w:rPr>
              <w:t>előző év=</w:t>
            </w:r>
            <w:r w:rsidR="443F750D" w:rsidRPr="003E3A1D">
              <w:br/>
            </w:r>
            <w:r w:rsidRPr="003E3A1D">
              <w:rPr>
                <w:sz w:val="18"/>
                <w:szCs w:val="18"/>
              </w:rPr>
              <w:t>100%</w:t>
            </w:r>
            <w:r w:rsidR="443F750D" w:rsidRPr="003E3A1D">
              <w:br/>
            </w:r>
            <w:r w:rsidRPr="003E3A1D">
              <w:rPr>
                <w:sz w:val="18"/>
                <w:szCs w:val="18"/>
              </w:rPr>
              <w:t>Index (%)</w:t>
            </w:r>
            <w:r w:rsidR="443F750D" w:rsidRPr="003E3A1D">
              <w:br/>
            </w:r>
          </w:p>
          <w:p w14:paraId="506ECBD9" w14:textId="77777777" w:rsidR="00D3203A" w:rsidRPr="003E3A1D" w:rsidRDefault="00D3203A" w:rsidP="0B7D5CF2">
            <w:pPr>
              <w:spacing w:after="0"/>
              <w:jc w:val="center"/>
              <w:rPr>
                <w:sz w:val="18"/>
                <w:szCs w:val="18"/>
              </w:rPr>
            </w:pPr>
          </w:p>
          <w:p w14:paraId="5F523B12" w14:textId="6D6B8233" w:rsidR="00B959E3" w:rsidRPr="003E3A1D" w:rsidRDefault="4AC3BDA3" w:rsidP="4AC3BDA3">
            <w:pPr>
              <w:spacing w:after="0"/>
              <w:jc w:val="center"/>
              <w:rPr>
                <w:sz w:val="18"/>
                <w:szCs w:val="18"/>
              </w:rPr>
            </w:pPr>
            <w:r w:rsidRPr="003E3A1D">
              <w:rPr>
                <w:sz w:val="18"/>
                <w:szCs w:val="18"/>
              </w:rPr>
              <w:t>(4/2)</w:t>
            </w:r>
          </w:p>
        </w:tc>
      </w:tr>
      <w:tr w:rsidR="003E3A1D" w:rsidRPr="003E3A1D" w14:paraId="1088129E" w14:textId="77777777" w:rsidTr="4AC3BDA3">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251F6C5" w14:textId="77777777" w:rsidR="001A0814" w:rsidRPr="003E3A1D" w:rsidRDefault="001A0814" w:rsidP="001A0814">
            <w:pPr>
              <w:spacing w:after="0"/>
              <w:jc w:val="left"/>
              <w:rPr>
                <w:b/>
                <w:bCs/>
                <w:sz w:val="18"/>
                <w:szCs w:val="18"/>
              </w:rPr>
            </w:pPr>
            <w:r w:rsidRPr="003E3A1D">
              <w:rPr>
                <w:b/>
                <w:bCs/>
                <w:sz w:val="18"/>
                <w:szCs w:val="18"/>
              </w:rPr>
              <w:t>Központi költségvetés egyenlege</w:t>
            </w:r>
          </w:p>
        </w:tc>
        <w:tc>
          <w:tcPr>
            <w:tcW w:w="1077" w:type="dxa"/>
            <w:tcBorders>
              <w:top w:val="nil"/>
              <w:left w:val="nil"/>
              <w:bottom w:val="single" w:sz="4" w:space="0" w:color="auto"/>
              <w:right w:val="single" w:sz="4" w:space="0" w:color="auto"/>
            </w:tcBorders>
            <w:shd w:val="clear" w:color="auto" w:fill="auto"/>
            <w:noWrap/>
            <w:vAlign w:val="center"/>
          </w:tcPr>
          <w:p w14:paraId="2D74C101" w14:textId="7107D475" w:rsidR="001A0814" w:rsidRPr="003E3A1D" w:rsidRDefault="001A0814" w:rsidP="001A0814">
            <w:pPr>
              <w:spacing w:after="0"/>
              <w:jc w:val="right"/>
              <w:rPr>
                <w:b/>
                <w:bCs/>
                <w:sz w:val="18"/>
                <w:szCs w:val="18"/>
              </w:rPr>
            </w:pPr>
            <w:r w:rsidRPr="003E3A1D">
              <w:rPr>
                <w:b/>
                <w:bCs/>
                <w:sz w:val="18"/>
                <w:szCs w:val="18"/>
              </w:rPr>
              <w:t xml:space="preserve">-4 662,3 </w:t>
            </w:r>
          </w:p>
        </w:tc>
        <w:tc>
          <w:tcPr>
            <w:tcW w:w="1077" w:type="dxa"/>
            <w:tcBorders>
              <w:top w:val="nil"/>
              <w:left w:val="nil"/>
              <w:bottom w:val="single" w:sz="4" w:space="0" w:color="auto"/>
              <w:right w:val="single" w:sz="4" w:space="0" w:color="auto"/>
            </w:tcBorders>
            <w:shd w:val="clear" w:color="auto" w:fill="auto"/>
            <w:noWrap/>
            <w:vAlign w:val="center"/>
          </w:tcPr>
          <w:p w14:paraId="731D0A3E" w14:textId="546E92B3" w:rsidR="001A0814" w:rsidRPr="003E3A1D" w:rsidRDefault="001A0814" w:rsidP="001A0814">
            <w:pPr>
              <w:spacing w:after="0"/>
              <w:jc w:val="right"/>
              <w:rPr>
                <w:b/>
                <w:bCs/>
                <w:sz w:val="18"/>
                <w:szCs w:val="18"/>
              </w:rPr>
            </w:pPr>
            <w:r w:rsidRPr="003E3A1D">
              <w:rPr>
                <w:b/>
                <w:bCs/>
                <w:sz w:val="18"/>
                <w:szCs w:val="18"/>
              </w:rPr>
              <w:t xml:space="preserve">-943,0 </w:t>
            </w:r>
          </w:p>
        </w:tc>
        <w:tc>
          <w:tcPr>
            <w:tcW w:w="1077" w:type="dxa"/>
            <w:tcBorders>
              <w:top w:val="nil"/>
              <w:left w:val="nil"/>
              <w:bottom w:val="single" w:sz="4" w:space="0" w:color="auto"/>
              <w:right w:val="single" w:sz="4" w:space="0" w:color="auto"/>
            </w:tcBorders>
            <w:shd w:val="clear" w:color="auto" w:fill="auto"/>
            <w:noWrap/>
            <w:vAlign w:val="center"/>
          </w:tcPr>
          <w:p w14:paraId="3C1EE648" w14:textId="30FEC328" w:rsidR="001A0814" w:rsidRPr="003E3A1D" w:rsidRDefault="001A0814" w:rsidP="001A0814">
            <w:pPr>
              <w:spacing w:after="0"/>
              <w:jc w:val="right"/>
              <w:rPr>
                <w:sz w:val="18"/>
                <w:szCs w:val="18"/>
              </w:rPr>
            </w:pPr>
            <w:r w:rsidRPr="003E3A1D">
              <w:rPr>
                <w:sz w:val="18"/>
                <w:szCs w:val="18"/>
              </w:rPr>
              <w:t xml:space="preserve">20,2 </w:t>
            </w:r>
          </w:p>
        </w:tc>
        <w:tc>
          <w:tcPr>
            <w:tcW w:w="1077" w:type="dxa"/>
            <w:tcBorders>
              <w:top w:val="nil"/>
              <w:left w:val="nil"/>
              <w:bottom w:val="single" w:sz="4" w:space="0" w:color="auto"/>
              <w:right w:val="single" w:sz="4" w:space="0" w:color="auto"/>
            </w:tcBorders>
            <w:shd w:val="clear" w:color="auto" w:fill="auto"/>
            <w:noWrap/>
            <w:vAlign w:val="center"/>
          </w:tcPr>
          <w:p w14:paraId="08753871" w14:textId="38919F1D" w:rsidR="001A0814" w:rsidRPr="003E3A1D" w:rsidRDefault="001A0814" w:rsidP="001A0814">
            <w:pPr>
              <w:spacing w:after="0"/>
              <w:jc w:val="right"/>
              <w:rPr>
                <w:b/>
                <w:bCs/>
                <w:sz w:val="18"/>
                <w:szCs w:val="18"/>
              </w:rPr>
            </w:pPr>
            <w:r w:rsidRPr="003E3A1D">
              <w:rPr>
                <w:b/>
                <w:bCs/>
                <w:sz w:val="18"/>
                <w:szCs w:val="18"/>
              </w:rPr>
              <w:t xml:space="preserve">-3 131,3 </w:t>
            </w:r>
          </w:p>
        </w:tc>
        <w:tc>
          <w:tcPr>
            <w:tcW w:w="1077" w:type="dxa"/>
            <w:tcBorders>
              <w:top w:val="nil"/>
              <w:left w:val="nil"/>
              <w:bottom w:val="single" w:sz="4" w:space="0" w:color="auto"/>
              <w:right w:val="single" w:sz="4" w:space="0" w:color="auto"/>
            </w:tcBorders>
            <w:shd w:val="clear" w:color="auto" w:fill="auto"/>
            <w:noWrap/>
            <w:vAlign w:val="center"/>
          </w:tcPr>
          <w:p w14:paraId="14030A31" w14:textId="4591DD3F" w:rsidR="001A0814" w:rsidRPr="003E3A1D" w:rsidRDefault="001A0814" w:rsidP="001A0814">
            <w:pPr>
              <w:spacing w:after="0"/>
              <w:jc w:val="right"/>
              <w:rPr>
                <w:b/>
                <w:bCs/>
                <w:sz w:val="18"/>
                <w:szCs w:val="18"/>
              </w:rPr>
            </w:pPr>
            <w:r w:rsidRPr="003E3A1D">
              <w:rPr>
                <w:b/>
                <w:bCs/>
                <w:sz w:val="18"/>
                <w:szCs w:val="18"/>
              </w:rPr>
              <w:t xml:space="preserve">-2 331,4 </w:t>
            </w:r>
          </w:p>
        </w:tc>
        <w:tc>
          <w:tcPr>
            <w:tcW w:w="1077" w:type="dxa"/>
            <w:tcBorders>
              <w:top w:val="nil"/>
              <w:left w:val="nil"/>
              <w:bottom w:val="single" w:sz="4" w:space="0" w:color="auto"/>
              <w:right w:val="single" w:sz="4" w:space="0" w:color="auto"/>
            </w:tcBorders>
            <w:shd w:val="clear" w:color="auto" w:fill="auto"/>
            <w:noWrap/>
            <w:vAlign w:val="center"/>
          </w:tcPr>
          <w:p w14:paraId="53AAA3AF" w14:textId="07E19F32" w:rsidR="001A0814" w:rsidRPr="003E3A1D" w:rsidRDefault="001A0814" w:rsidP="001A0814">
            <w:pPr>
              <w:spacing w:after="0"/>
              <w:jc w:val="right"/>
              <w:rPr>
                <w:sz w:val="18"/>
                <w:szCs w:val="18"/>
              </w:rPr>
            </w:pPr>
            <w:r w:rsidRPr="003E3A1D">
              <w:rPr>
                <w:sz w:val="18"/>
                <w:szCs w:val="18"/>
              </w:rPr>
              <w:t xml:space="preserve">74,5 </w:t>
            </w:r>
          </w:p>
        </w:tc>
        <w:tc>
          <w:tcPr>
            <w:tcW w:w="1077" w:type="dxa"/>
            <w:tcBorders>
              <w:top w:val="nil"/>
              <w:left w:val="nil"/>
              <w:bottom w:val="single" w:sz="4" w:space="0" w:color="auto"/>
              <w:right w:val="single" w:sz="4" w:space="0" w:color="auto"/>
            </w:tcBorders>
            <w:shd w:val="clear" w:color="auto" w:fill="auto"/>
            <w:noWrap/>
            <w:vAlign w:val="center"/>
          </w:tcPr>
          <w:p w14:paraId="54565F05" w14:textId="75A4E474" w:rsidR="001A0814" w:rsidRPr="003E3A1D" w:rsidRDefault="001A0814" w:rsidP="001A0814">
            <w:pPr>
              <w:spacing w:after="0"/>
              <w:jc w:val="right"/>
              <w:rPr>
                <w:sz w:val="18"/>
                <w:szCs w:val="18"/>
              </w:rPr>
            </w:pPr>
            <w:r w:rsidRPr="003E3A1D">
              <w:rPr>
                <w:sz w:val="18"/>
                <w:szCs w:val="18"/>
              </w:rPr>
              <w:t xml:space="preserve">247,2 </w:t>
            </w:r>
          </w:p>
        </w:tc>
      </w:tr>
      <w:tr w:rsidR="003E3A1D" w:rsidRPr="003E3A1D" w14:paraId="6DC30B00"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F3EFC08" w14:textId="77777777" w:rsidR="001A0814" w:rsidRPr="003E3A1D" w:rsidRDefault="001A0814" w:rsidP="001A0814">
            <w:pPr>
              <w:spacing w:after="0"/>
              <w:jc w:val="right"/>
              <w:rPr>
                <w:sz w:val="18"/>
                <w:szCs w:val="18"/>
              </w:rPr>
            </w:pPr>
            <w:r w:rsidRPr="003E3A1D">
              <w:rPr>
                <w:sz w:val="18"/>
                <w:szCs w:val="18"/>
              </w:rPr>
              <w:t>bevétel:</w:t>
            </w:r>
          </w:p>
        </w:tc>
        <w:tc>
          <w:tcPr>
            <w:tcW w:w="1077" w:type="dxa"/>
            <w:tcBorders>
              <w:top w:val="nil"/>
              <w:left w:val="nil"/>
              <w:bottom w:val="single" w:sz="4" w:space="0" w:color="auto"/>
              <w:right w:val="single" w:sz="4" w:space="0" w:color="auto"/>
            </w:tcBorders>
            <w:shd w:val="clear" w:color="auto" w:fill="auto"/>
            <w:noWrap/>
            <w:vAlign w:val="center"/>
          </w:tcPr>
          <w:p w14:paraId="3E57A76F" w14:textId="51DD252F" w:rsidR="001A0814" w:rsidRPr="003E3A1D" w:rsidRDefault="001A0814" w:rsidP="001A0814">
            <w:pPr>
              <w:spacing w:after="0"/>
              <w:jc w:val="right"/>
              <w:rPr>
                <w:sz w:val="18"/>
                <w:szCs w:val="18"/>
              </w:rPr>
            </w:pPr>
            <w:r w:rsidRPr="003E3A1D">
              <w:rPr>
                <w:sz w:val="18"/>
                <w:szCs w:val="18"/>
              </w:rPr>
              <w:t xml:space="preserve">17 350,6 </w:t>
            </w:r>
          </w:p>
        </w:tc>
        <w:tc>
          <w:tcPr>
            <w:tcW w:w="1077" w:type="dxa"/>
            <w:tcBorders>
              <w:top w:val="nil"/>
              <w:left w:val="nil"/>
              <w:bottom w:val="single" w:sz="4" w:space="0" w:color="auto"/>
              <w:right w:val="single" w:sz="4" w:space="0" w:color="auto"/>
            </w:tcBorders>
            <w:shd w:val="clear" w:color="auto" w:fill="auto"/>
            <w:noWrap/>
            <w:vAlign w:val="center"/>
          </w:tcPr>
          <w:p w14:paraId="43BF0FB6" w14:textId="2BE85D68" w:rsidR="001A0814" w:rsidRPr="003E3A1D" w:rsidRDefault="001A0814" w:rsidP="001A0814">
            <w:pPr>
              <w:spacing w:after="0"/>
              <w:jc w:val="right"/>
              <w:rPr>
                <w:sz w:val="18"/>
                <w:szCs w:val="18"/>
              </w:rPr>
            </w:pPr>
            <w:r w:rsidRPr="003E3A1D">
              <w:rPr>
                <w:sz w:val="18"/>
                <w:szCs w:val="18"/>
              </w:rPr>
              <w:t xml:space="preserve">3 970,9 </w:t>
            </w:r>
          </w:p>
        </w:tc>
        <w:tc>
          <w:tcPr>
            <w:tcW w:w="1077" w:type="dxa"/>
            <w:tcBorders>
              <w:top w:val="nil"/>
              <w:left w:val="nil"/>
              <w:bottom w:val="single" w:sz="4" w:space="0" w:color="auto"/>
              <w:right w:val="single" w:sz="4" w:space="0" w:color="auto"/>
            </w:tcBorders>
            <w:shd w:val="clear" w:color="auto" w:fill="auto"/>
            <w:noWrap/>
            <w:vAlign w:val="center"/>
          </w:tcPr>
          <w:p w14:paraId="13CA9069" w14:textId="0C5436C0" w:rsidR="001A0814" w:rsidRPr="003E3A1D" w:rsidRDefault="001A0814" w:rsidP="001A0814">
            <w:pPr>
              <w:spacing w:after="0"/>
              <w:jc w:val="right"/>
              <w:rPr>
                <w:sz w:val="18"/>
                <w:szCs w:val="18"/>
              </w:rPr>
            </w:pPr>
            <w:r w:rsidRPr="003E3A1D">
              <w:rPr>
                <w:sz w:val="18"/>
                <w:szCs w:val="18"/>
              </w:rPr>
              <w:t xml:space="preserve">22,9 </w:t>
            </w:r>
          </w:p>
        </w:tc>
        <w:tc>
          <w:tcPr>
            <w:tcW w:w="1077" w:type="dxa"/>
            <w:tcBorders>
              <w:top w:val="nil"/>
              <w:left w:val="nil"/>
              <w:bottom w:val="single" w:sz="4" w:space="0" w:color="auto"/>
              <w:right w:val="single" w:sz="4" w:space="0" w:color="auto"/>
            </w:tcBorders>
            <w:shd w:val="clear" w:color="auto" w:fill="auto"/>
            <w:noWrap/>
            <w:vAlign w:val="center"/>
          </w:tcPr>
          <w:p w14:paraId="5D12D712" w14:textId="15C520AB" w:rsidR="001A0814" w:rsidRPr="003E3A1D" w:rsidRDefault="001A0814" w:rsidP="001A0814">
            <w:pPr>
              <w:spacing w:after="0"/>
              <w:jc w:val="right"/>
              <w:rPr>
                <w:sz w:val="18"/>
                <w:szCs w:val="18"/>
              </w:rPr>
            </w:pPr>
            <w:r w:rsidRPr="003E3A1D">
              <w:rPr>
                <w:sz w:val="18"/>
                <w:szCs w:val="18"/>
              </w:rPr>
              <w:t xml:space="preserve">17 066,8 </w:t>
            </w:r>
          </w:p>
        </w:tc>
        <w:tc>
          <w:tcPr>
            <w:tcW w:w="1077" w:type="dxa"/>
            <w:tcBorders>
              <w:top w:val="nil"/>
              <w:left w:val="nil"/>
              <w:bottom w:val="single" w:sz="4" w:space="0" w:color="auto"/>
              <w:right w:val="single" w:sz="4" w:space="0" w:color="auto"/>
            </w:tcBorders>
            <w:shd w:val="clear" w:color="auto" w:fill="auto"/>
            <w:noWrap/>
            <w:vAlign w:val="center"/>
          </w:tcPr>
          <w:p w14:paraId="36D1BFF5" w14:textId="46830D72" w:rsidR="001A0814" w:rsidRPr="003E3A1D" w:rsidRDefault="001A0814" w:rsidP="001A0814">
            <w:pPr>
              <w:spacing w:after="0"/>
              <w:jc w:val="right"/>
              <w:rPr>
                <w:sz w:val="18"/>
                <w:szCs w:val="18"/>
              </w:rPr>
            </w:pPr>
            <w:r w:rsidRPr="003E3A1D">
              <w:rPr>
                <w:sz w:val="18"/>
                <w:szCs w:val="18"/>
              </w:rPr>
              <w:t xml:space="preserve">4 609,9 </w:t>
            </w:r>
          </w:p>
        </w:tc>
        <w:tc>
          <w:tcPr>
            <w:tcW w:w="1077" w:type="dxa"/>
            <w:tcBorders>
              <w:top w:val="nil"/>
              <w:left w:val="nil"/>
              <w:bottom w:val="single" w:sz="4" w:space="0" w:color="auto"/>
              <w:right w:val="single" w:sz="4" w:space="0" w:color="auto"/>
            </w:tcBorders>
            <w:shd w:val="clear" w:color="auto" w:fill="auto"/>
            <w:noWrap/>
            <w:vAlign w:val="center"/>
          </w:tcPr>
          <w:p w14:paraId="27BDDB7E" w14:textId="2CA7B9A3" w:rsidR="001A0814" w:rsidRPr="003E3A1D" w:rsidRDefault="001A0814" w:rsidP="001A0814">
            <w:pPr>
              <w:spacing w:after="0"/>
              <w:jc w:val="right"/>
              <w:rPr>
                <w:sz w:val="18"/>
                <w:szCs w:val="18"/>
              </w:rPr>
            </w:pPr>
            <w:r w:rsidRPr="003E3A1D">
              <w:rPr>
                <w:sz w:val="18"/>
                <w:szCs w:val="18"/>
              </w:rPr>
              <w:t xml:space="preserve">27,0 </w:t>
            </w:r>
          </w:p>
        </w:tc>
        <w:tc>
          <w:tcPr>
            <w:tcW w:w="1077" w:type="dxa"/>
            <w:tcBorders>
              <w:top w:val="nil"/>
              <w:left w:val="nil"/>
              <w:bottom w:val="single" w:sz="4" w:space="0" w:color="auto"/>
              <w:right w:val="single" w:sz="4" w:space="0" w:color="auto"/>
            </w:tcBorders>
            <w:shd w:val="clear" w:color="auto" w:fill="auto"/>
            <w:noWrap/>
            <w:vAlign w:val="center"/>
          </w:tcPr>
          <w:p w14:paraId="399A412C" w14:textId="39897948" w:rsidR="001A0814" w:rsidRPr="003E3A1D" w:rsidRDefault="001A0814" w:rsidP="001A0814">
            <w:pPr>
              <w:spacing w:after="0"/>
              <w:jc w:val="right"/>
              <w:rPr>
                <w:sz w:val="18"/>
                <w:szCs w:val="18"/>
              </w:rPr>
            </w:pPr>
            <w:r w:rsidRPr="003E3A1D">
              <w:rPr>
                <w:sz w:val="18"/>
                <w:szCs w:val="18"/>
              </w:rPr>
              <w:t xml:space="preserve">116,1 </w:t>
            </w:r>
          </w:p>
        </w:tc>
      </w:tr>
      <w:tr w:rsidR="003E3A1D" w:rsidRPr="003E3A1D" w14:paraId="74D58A88"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E89ECEB" w14:textId="77777777" w:rsidR="001A0814" w:rsidRPr="003E3A1D" w:rsidRDefault="001A0814" w:rsidP="001A0814">
            <w:pPr>
              <w:spacing w:after="0"/>
              <w:jc w:val="right"/>
              <w:rPr>
                <w:sz w:val="18"/>
                <w:szCs w:val="18"/>
              </w:rPr>
            </w:pPr>
            <w:r w:rsidRPr="003E3A1D">
              <w:rPr>
                <w:sz w:val="18"/>
                <w:szCs w:val="18"/>
              </w:rPr>
              <w:t>kiadás:</w:t>
            </w:r>
          </w:p>
        </w:tc>
        <w:tc>
          <w:tcPr>
            <w:tcW w:w="1077" w:type="dxa"/>
            <w:tcBorders>
              <w:top w:val="nil"/>
              <w:left w:val="nil"/>
              <w:bottom w:val="single" w:sz="4" w:space="0" w:color="auto"/>
              <w:right w:val="single" w:sz="4" w:space="0" w:color="auto"/>
            </w:tcBorders>
            <w:shd w:val="clear" w:color="auto" w:fill="auto"/>
            <w:noWrap/>
            <w:vAlign w:val="center"/>
          </w:tcPr>
          <w:p w14:paraId="3C52DF32" w14:textId="69FE9B8A" w:rsidR="001A0814" w:rsidRPr="003E3A1D" w:rsidRDefault="001A0814" w:rsidP="001A0814">
            <w:pPr>
              <w:spacing w:after="0"/>
              <w:jc w:val="right"/>
              <w:rPr>
                <w:sz w:val="18"/>
                <w:szCs w:val="18"/>
              </w:rPr>
            </w:pPr>
            <w:r w:rsidRPr="003E3A1D">
              <w:rPr>
                <w:sz w:val="18"/>
                <w:szCs w:val="18"/>
              </w:rPr>
              <w:t xml:space="preserve">22 012,9 </w:t>
            </w:r>
          </w:p>
        </w:tc>
        <w:tc>
          <w:tcPr>
            <w:tcW w:w="1077" w:type="dxa"/>
            <w:tcBorders>
              <w:top w:val="nil"/>
              <w:left w:val="nil"/>
              <w:bottom w:val="single" w:sz="4" w:space="0" w:color="auto"/>
              <w:right w:val="single" w:sz="4" w:space="0" w:color="auto"/>
            </w:tcBorders>
            <w:shd w:val="clear" w:color="auto" w:fill="auto"/>
            <w:noWrap/>
            <w:vAlign w:val="center"/>
          </w:tcPr>
          <w:p w14:paraId="52494353" w14:textId="67A1FBE9" w:rsidR="001A0814" w:rsidRPr="003E3A1D" w:rsidRDefault="001A0814" w:rsidP="001A0814">
            <w:pPr>
              <w:spacing w:after="0"/>
              <w:jc w:val="right"/>
              <w:rPr>
                <w:sz w:val="18"/>
                <w:szCs w:val="18"/>
              </w:rPr>
            </w:pPr>
            <w:r w:rsidRPr="003E3A1D">
              <w:rPr>
                <w:sz w:val="18"/>
                <w:szCs w:val="18"/>
              </w:rPr>
              <w:t xml:space="preserve">4 913,8 </w:t>
            </w:r>
          </w:p>
        </w:tc>
        <w:tc>
          <w:tcPr>
            <w:tcW w:w="1077" w:type="dxa"/>
            <w:tcBorders>
              <w:top w:val="nil"/>
              <w:left w:val="nil"/>
              <w:bottom w:val="single" w:sz="4" w:space="0" w:color="auto"/>
              <w:right w:val="single" w:sz="4" w:space="0" w:color="auto"/>
            </w:tcBorders>
            <w:shd w:val="clear" w:color="auto" w:fill="auto"/>
            <w:noWrap/>
            <w:vAlign w:val="center"/>
          </w:tcPr>
          <w:p w14:paraId="5FA8AFE7" w14:textId="4C4A005F" w:rsidR="001A0814" w:rsidRPr="003E3A1D" w:rsidRDefault="001A0814" w:rsidP="001A0814">
            <w:pPr>
              <w:spacing w:after="0"/>
              <w:jc w:val="right"/>
              <w:rPr>
                <w:sz w:val="18"/>
                <w:szCs w:val="18"/>
              </w:rPr>
            </w:pPr>
            <w:r w:rsidRPr="003E3A1D">
              <w:rPr>
                <w:sz w:val="18"/>
                <w:szCs w:val="18"/>
              </w:rPr>
              <w:t xml:space="preserve">22,3 </w:t>
            </w:r>
          </w:p>
        </w:tc>
        <w:tc>
          <w:tcPr>
            <w:tcW w:w="1077" w:type="dxa"/>
            <w:tcBorders>
              <w:top w:val="nil"/>
              <w:left w:val="nil"/>
              <w:bottom w:val="single" w:sz="4" w:space="0" w:color="auto"/>
              <w:right w:val="single" w:sz="4" w:space="0" w:color="auto"/>
            </w:tcBorders>
            <w:shd w:val="clear" w:color="auto" w:fill="auto"/>
            <w:noWrap/>
            <w:vAlign w:val="center"/>
          </w:tcPr>
          <w:p w14:paraId="65710835" w14:textId="4DFD1779" w:rsidR="001A0814" w:rsidRPr="003E3A1D" w:rsidRDefault="001A0814" w:rsidP="001A0814">
            <w:pPr>
              <w:spacing w:after="0"/>
              <w:jc w:val="right"/>
              <w:rPr>
                <w:sz w:val="18"/>
                <w:szCs w:val="18"/>
              </w:rPr>
            </w:pPr>
            <w:r w:rsidRPr="003E3A1D">
              <w:rPr>
                <w:sz w:val="18"/>
                <w:szCs w:val="18"/>
              </w:rPr>
              <w:t xml:space="preserve">20 198,1 </w:t>
            </w:r>
          </w:p>
        </w:tc>
        <w:tc>
          <w:tcPr>
            <w:tcW w:w="1077" w:type="dxa"/>
            <w:tcBorders>
              <w:top w:val="nil"/>
              <w:left w:val="nil"/>
              <w:bottom w:val="single" w:sz="4" w:space="0" w:color="auto"/>
              <w:right w:val="single" w:sz="4" w:space="0" w:color="auto"/>
            </w:tcBorders>
            <w:shd w:val="clear" w:color="auto" w:fill="auto"/>
            <w:noWrap/>
            <w:vAlign w:val="center"/>
          </w:tcPr>
          <w:p w14:paraId="3C54CA8C" w14:textId="017A6A6E" w:rsidR="001A0814" w:rsidRPr="003E3A1D" w:rsidRDefault="001A0814" w:rsidP="001A0814">
            <w:pPr>
              <w:spacing w:after="0"/>
              <w:jc w:val="right"/>
              <w:rPr>
                <w:sz w:val="18"/>
                <w:szCs w:val="18"/>
              </w:rPr>
            </w:pPr>
            <w:r w:rsidRPr="003E3A1D">
              <w:rPr>
                <w:sz w:val="18"/>
                <w:szCs w:val="18"/>
              </w:rPr>
              <w:t xml:space="preserve">6 941,3 </w:t>
            </w:r>
          </w:p>
        </w:tc>
        <w:tc>
          <w:tcPr>
            <w:tcW w:w="1077" w:type="dxa"/>
            <w:tcBorders>
              <w:top w:val="nil"/>
              <w:left w:val="nil"/>
              <w:bottom w:val="single" w:sz="4" w:space="0" w:color="auto"/>
              <w:right w:val="single" w:sz="4" w:space="0" w:color="auto"/>
            </w:tcBorders>
            <w:shd w:val="clear" w:color="auto" w:fill="auto"/>
            <w:noWrap/>
            <w:vAlign w:val="center"/>
          </w:tcPr>
          <w:p w14:paraId="1BEB28EA" w14:textId="5051BFE6" w:rsidR="001A0814" w:rsidRPr="003E3A1D" w:rsidRDefault="001A0814" w:rsidP="001A0814">
            <w:pPr>
              <w:spacing w:after="0"/>
              <w:jc w:val="right"/>
              <w:rPr>
                <w:sz w:val="18"/>
                <w:szCs w:val="18"/>
              </w:rPr>
            </w:pPr>
            <w:r w:rsidRPr="003E3A1D">
              <w:rPr>
                <w:sz w:val="18"/>
                <w:szCs w:val="18"/>
              </w:rPr>
              <w:t xml:space="preserve">34,4 </w:t>
            </w:r>
          </w:p>
        </w:tc>
        <w:tc>
          <w:tcPr>
            <w:tcW w:w="1077" w:type="dxa"/>
            <w:tcBorders>
              <w:top w:val="nil"/>
              <w:left w:val="nil"/>
              <w:bottom w:val="single" w:sz="4" w:space="0" w:color="auto"/>
              <w:right w:val="single" w:sz="4" w:space="0" w:color="auto"/>
            </w:tcBorders>
            <w:shd w:val="clear" w:color="auto" w:fill="auto"/>
            <w:noWrap/>
            <w:vAlign w:val="center"/>
          </w:tcPr>
          <w:p w14:paraId="278D5A7F" w14:textId="6B3BAE66" w:rsidR="001A0814" w:rsidRPr="003E3A1D" w:rsidRDefault="001A0814" w:rsidP="001A0814">
            <w:pPr>
              <w:spacing w:after="0"/>
              <w:jc w:val="right"/>
              <w:rPr>
                <w:sz w:val="18"/>
                <w:szCs w:val="18"/>
              </w:rPr>
            </w:pPr>
            <w:r w:rsidRPr="003E3A1D">
              <w:rPr>
                <w:sz w:val="18"/>
                <w:szCs w:val="18"/>
              </w:rPr>
              <w:t xml:space="preserve">141,3 </w:t>
            </w:r>
          </w:p>
        </w:tc>
      </w:tr>
      <w:tr w:rsidR="003E3A1D" w:rsidRPr="003E3A1D" w14:paraId="655361EB" w14:textId="77777777" w:rsidTr="4AC3BDA3">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F307FCA" w14:textId="77777777" w:rsidR="001A0814" w:rsidRPr="003E3A1D" w:rsidRDefault="001A0814" w:rsidP="001A0814">
            <w:pPr>
              <w:spacing w:after="0"/>
              <w:jc w:val="left"/>
              <w:rPr>
                <w:b/>
                <w:bCs/>
                <w:sz w:val="18"/>
                <w:szCs w:val="18"/>
              </w:rPr>
            </w:pPr>
            <w:r w:rsidRPr="003E3A1D">
              <w:rPr>
                <w:b/>
                <w:bCs/>
                <w:sz w:val="18"/>
                <w:szCs w:val="18"/>
              </w:rPr>
              <w:t>Elkülönített állami pénzalapok egyenlege</w:t>
            </w:r>
          </w:p>
        </w:tc>
        <w:tc>
          <w:tcPr>
            <w:tcW w:w="1077" w:type="dxa"/>
            <w:tcBorders>
              <w:top w:val="nil"/>
              <w:left w:val="nil"/>
              <w:bottom w:val="single" w:sz="4" w:space="0" w:color="auto"/>
              <w:right w:val="single" w:sz="4" w:space="0" w:color="auto"/>
            </w:tcBorders>
            <w:shd w:val="clear" w:color="auto" w:fill="auto"/>
            <w:noWrap/>
            <w:vAlign w:val="center"/>
          </w:tcPr>
          <w:p w14:paraId="42A32FF1" w14:textId="6B9E6E2C" w:rsidR="001A0814" w:rsidRPr="003E3A1D" w:rsidRDefault="001A0814" w:rsidP="001A0814">
            <w:pPr>
              <w:spacing w:after="0"/>
              <w:jc w:val="right"/>
              <w:rPr>
                <w:b/>
                <w:bCs/>
                <w:sz w:val="18"/>
                <w:szCs w:val="18"/>
              </w:rPr>
            </w:pPr>
            <w:r w:rsidRPr="003E3A1D">
              <w:rPr>
                <w:b/>
                <w:bCs/>
                <w:sz w:val="18"/>
                <w:szCs w:val="18"/>
              </w:rPr>
              <w:t xml:space="preserve">-19,8 </w:t>
            </w:r>
          </w:p>
        </w:tc>
        <w:tc>
          <w:tcPr>
            <w:tcW w:w="1077" w:type="dxa"/>
            <w:tcBorders>
              <w:top w:val="nil"/>
              <w:left w:val="nil"/>
              <w:bottom w:val="single" w:sz="4" w:space="0" w:color="auto"/>
              <w:right w:val="single" w:sz="4" w:space="0" w:color="auto"/>
            </w:tcBorders>
            <w:shd w:val="clear" w:color="auto" w:fill="auto"/>
            <w:noWrap/>
            <w:vAlign w:val="center"/>
          </w:tcPr>
          <w:p w14:paraId="0972F5F0" w14:textId="37F57636" w:rsidR="001A0814" w:rsidRPr="003E3A1D" w:rsidRDefault="001A0814" w:rsidP="001A0814">
            <w:pPr>
              <w:spacing w:after="0"/>
              <w:jc w:val="right"/>
              <w:rPr>
                <w:b/>
                <w:bCs/>
                <w:sz w:val="18"/>
                <w:szCs w:val="18"/>
              </w:rPr>
            </w:pPr>
            <w:r w:rsidRPr="003E3A1D">
              <w:rPr>
                <w:b/>
                <w:bCs/>
                <w:sz w:val="18"/>
                <w:szCs w:val="18"/>
              </w:rPr>
              <w:t xml:space="preserve">-18,4 </w:t>
            </w:r>
          </w:p>
        </w:tc>
        <w:tc>
          <w:tcPr>
            <w:tcW w:w="1077" w:type="dxa"/>
            <w:tcBorders>
              <w:top w:val="nil"/>
              <w:left w:val="nil"/>
              <w:bottom w:val="single" w:sz="4" w:space="0" w:color="auto"/>
              <w:right w:val="single" w:sz="4" w:space="0" w:color="auto"/>
            </w:tcBorders>
            <w:shd w:val="clear" w:color="auto" w:fill="auto"/>
            <w:noWrap/>
            <w:vAlign w:val="center"/>
          </w:tcPr>
          <w:p w14:paraId="1A51B34F" w14:textId="5EC4C291" w:rsidR="001A0814" w:rsidRPr="003E3A1D" w:rsidRDefault="001A0814" w:rsidP="001A0814">
            <w:pPr>
              <w:spacing w:after="0"/>
              <w:jc w:val="right"/>
              <w:rPr>
                <w:sz w:val="18"/>
                <w:szCs w:val="18"/>
              </w:rPr>
            </w:pPr>
            <w:r w:rsidRPr="003E3A1D">
              <w:rPr>
                <w:sz w:val="18"/>
                <w:szCs w:val="18"/>
              </w:rPr>
              <w:t>92,9 </w:t>
            </w:r>
          </w:p>
        </w:tc>
        <w:tc>
          <w:tcPr>
            <w:tcW w:w="1077" w:type="dxa"/>
            <w:tcBorders>
              <w:top w:val="nil"/>
              <w:left w:val="nil"/>
              <w:bottom w:val="single" w:sz="4" w:space="0" w:color="auto"/>
              <w:right w:val="single" w:sz="4" w:space="0" w:color="auto"/>
            </w:tcBorders>
            <w:shd w:val="clear" w:color="auto" w:fill="auto"/>
            <w:noWrap/>
            <w:vAlign w:val="center"/>
          </w:tcPr>
          <w:p w14:paraId="4B589D3D" w14:textId="3D69236C" w:rsidR="001A0814" w:rsidRPr="003E3A1D" w:rsidRDefault="001A0814" w:rsidP="001A0814">
            <w:pPr>
              <w:spacing w:after="0"/>
              <w:jc w:val="right"/>
              <w:rPr>
                <w:b/>
                <w:bCs/>
                <w:sz w:val="18"/>
                <w:szCs w:val="18"/>
              </w:rPr>
            </w:pPr>
            <w:r w:rsidRPr="003E3A1D">
              <w:rPr>
                <w:b/>
                <w:bCs/>
                <w:sz w:val="18"/>
                <w:szCs w:val="18"/>
              </w:rPr>
              <w:t xml:space="preserve">125,4 </w:t>
            </w:r>
          </w:p>
        </w:tc>
        <w:tc>
          <w:tcPr>
            <w:tcW w:w="1077" w:type="dxa"/>
            <w:tcBorders>
              <w:top w:val="nil"/>
              <w:left w:val="nil"/>
              <w:bottom w:val="single" w:sz="4" w:space="0" w:color="auto"/>
              <w:right w:val="single" w:sz="4" w:space="0" w:color="auto"/>
            </w:tcBorders>
            <w:shd w:val="clear" w:color="auto" w:fill="auto"/>
            <w:noWrap/>
            <w:vAlign w:val="center"/>
          </w:tcPr>
          <w:p w14:paraId="21950833" w14:textId="0580AB8C" w:rsidR="001A0814" w:rsidRPr="003E3A1D" w:rsidRDefault="001A0814" w:rsidP="001A0814">
            <w:pPr>
              <w:spacing w:after="0"/>
              <w:jc w:val="right"/>
              <w:rPr>
                <w:b/>
                <w:bCs/>
                <w:sz w:val="18"/>
                <w:szCs w:val="18"/>
              </w:rPr>
            </w:pPr>
            <w:r w:rsidRPr="003E3A1D">
              <w:rPr>
                <w:b/>
                <w:bCs/>
                <w:sz w:val="18"/>
                <w:szCs w:val="18"/>
              </w:rPr>
              <w:t xml:space="preserve">39,2 </w:t>
            </w:r>
          </w:p>
        </w:tc>
        <w:tc>
          <w:tcPr>
            <w:tcW w:w="1077" w:type="dxa"/>
            <w:tcBorders>
              <w:top w:val="nil"/>
              <w:left w:val="nil"/>
              <w:bottom w:val="single" w:sz="4" w:space="0" w:color="auto"/>
              <w:right w:val="single" w:sz="4" w:space="0" w:color="auto"/>
            </w:tcBorders>
            <w:shd w:val="clear" w:color="auto" w:fill="auto"/>
            <w:noWrap/>
            <w:vAlign w:val="center"/>
          </w:tcPr>
          <w:p w14:paraId="6D685A9A" w14:textId="3441CE03" w:rsidR="001A0814" w:rsidRPr="003E3A1D" w:rsidRDefault="001A0814" w:rsidP="001A0814">
            <w:pPr>
              <w:spacing w:after="0"/>
              <w:jc w:val="right"/>
              <w:rPr>
                <w:sz w:val="18"/>
                <w:szCs w:val="18"/>
              </w:rPr>
            </w:pPr>
            <w:r w:rsidRPr="003E3A1D">
              <w:rPr>
                <w:sz w:val="18"/>
                <w:szCs w:val="18"/>
              </w:rPr>
              <w:t xml:space="preserve">31,3 </w:t>
            </w:r>
          </w:p>
        </w:tc>
        <w:tc>
          <w:tcPr>
            <w:tcW w:w="1077" w:type="dxa"/>
            <w:tcBorders>
              <w:top w:val="nil"/>
              <w:left w:val="nil"/>
              <w:bottom w:val="single" w:sz="4" w:space="0" w:color="auto"/>
              <w:right w:val="single" w:sz="4" w:space="0" w:color="auto"/>
            </w:tcBorders>
            <w:shd w:val="clear" w:color="auto" w:fill="auto"/>
            <w:noWrap/>
            <w:vAlign w:val="center"/>
          </w:tcPr>
          <w:p w14:paraId="5768AA20" w14:textId="4482D38E" w:rsidR="001A0814" w:rsidRPr="003E3A1D" w:rsidRDefault="001A0814" w:rsidP="001A0814">
            <w:pPr>
              <w:spacing w:after="0"/>
              <w:jc w:val="right"/>
              <w:rPr>
                <w:sz w:val="18"/>
                <w:szCs w:val="18"/>
              </w:rPr>
            </w:pPr>
          </w:p>
        </w:tc>
      </w:tr>
      <w:tr w:rsidR="003E3A1D" w:rsidRPr="003E3A1D" w14:paraId="5A1A66AD"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AE05B79" w14:textId="77777777" w:rsidR="001A0814" w:rsidRPr="003E3A1D" w:rsidRDefault="001A0814" w:rsidP="001A0814">
            <w:pPr>
              <w:spacing w:after="0"/>
              <w:jc w:val="right"/>
              <w:rPr>
                <w:sz w:val="18"/>
                <w:szCs w:val="18"/>
              </w:rPr>
            </w:pPr>
            <w:r w:rsidRPr="003E3A1D">
              <w:rPr>
                <w:sz w:val="18"/>
                <w:szCs w:val="18"/>
              </w:rPr>
              <w:t>bevétel:</w:t>
            </w:r>
          </w:p>
        </w:tc>
        <w:tc>
          <w:tcPr>
            <w:tcW w:w="1077" w:type="dxa"/>
            <w:tcBorders>
              <w:top w:val="nil"/>
              <w:left w:val="nil"/>
              <w:bottom w:val="single" w:sz="4" w:space="0" w:color="auto"/>
              <w:right w:val="single" w:sz="4" w:space="0" w:color="auto"/>
            </w:tcBorders>
            <w:shd w:val="clear" w:color="auto" w:fill="auto"/>
            <w:noWrap/>
            <w:vAlign w:val="center"/>
          </w:tcPr>
          <w:p w14:paraId="1C220867" w14:textId="5B890CC0" w:rsidR="001A0814" w:rsidRPr="003E3A1D" w:rsidRDefault="001A0814" w:rsidP="001A0814">
            <w:pPr>
              <w:spacing w:after="0"/>
              <w:jc w:val="right"/>
              <w:rPr>
                <w:sz w:val="18"/>
                <w:szCs w:val="18"/>
              </w:rPr>
            </w:pPr>
            <w:r w:rsidRPr="003E3A1D">
              <w:rPr>
                <w:sz w:val="18"/>
                <w:szCs w:val="18"/>
              </w:rPr>
              <w:t xml:space="preserve">690,9 </w:t>
            </w:r>
          </w:p>
        </w:tc>
        <w:tc>
          <w:tcPr>
            <w:tcW w:w="1077" w:type="dxa"/>
            <w:tcBorders>
              <w:top w:val="nil"/>
              <w:left w:val="nil"/>
              <w:bottom w:val="single" w:sz="4" w:space="0" w:color="auto"/>
              <w:right w:val="single" w:sz="4" w:space="0" w:color="auto"/>
            </w:tcBorders>
            <w:shd w:val="clear" w:color="auto" w:fill="auto"/>
            <w:noWrap/>
            <w:vAlign w:val="center"/>
          </w:tcPr>
          <w:p w14:paraId="60A909EB" w14:textId="33BAFC6A" w:rsidR="001A0814" w:rsidRPr="003E3A1D" w:rsidRDefault="001A0814" w:rsidP="001A0814">
            <w:pPr>
              <w:spacing w:after="0"/>
              <w:jc w:val="right"/>
              <w:rPr>
                <w:sz w:val="18"/>
                <w:szCs w:val="18"/>
              </w:rPr>
            </w:pPr>
            <w:r w:rsidRPr="003E3A1D">
              <w:rPr>
                <w:sz w:val="18"/>
                <w:szCs w:val="18"/>
              </w:rPr>
              <w:t xml:space="preserve">166,5 </w:t>
            </w:r>
          </w:p>
        </w:tc>
        <w:tc>
          <w:tcPr>
            <w:tcW w:w="1077" w:type="dxa"/>
            <w:tcBorders>
              <w:top w:val="nil"/>
              <w:left w:val="nil"/>
              <w:bottom w:val="single" w:sz="4" w:space="0" w:color="auto"/>
              <w:right w:val="single" w:sz="4" w:space="0" w:color="auto"/>
            </w:tcBorders>
            <w:shd w:val="clear" w:color="auto" w:fill="auto"/>
            <w:noWrap/>
            <w:vAlign w:val="center"/>
          </w:tcPr>
          <w:p w14:paraId="4FEE668B" w14:textId="2772401B" w:rsidR="001A0814" w:rsidRPr="003E3A1D" w:rsidRDefault="001A0814" w:rsidP="001A0814">
            <w:pPr>
              <w:spacing w:after="0"/>
              <w:jc w:val="right"/>
              <w:rPr>
                <w:sz w:val="18"/>
                <w:szCs w:val="18"/>
              </w:rPr>
            </w:pPr>
            <w:r w:rsidRPr="003E3A1D">
              <w:rPr>
                <w:sz w:val="18"/>
                <w:szCs w:val="18"/>
              </w:rPr>
              <w:t xml:space="preserve">24,1 </w:t>
            </w:r>
          </w:p>
        </w:tc>
        <w:tc>
          <w:tcPr>
            <w:tcW w:w="1077" w:type="dxa"/>
            <w:tcBorders>
              <w:top w:val="nil"/>
              <w:left w:val="nil"/>
              <w:bottom w:val="single" w:sz="4" w:space="0" w:color="auto"/>
              <w:right w:val="single" w:sz="4" w:space="0" w:color="auto"/>
            </w:tcBorders>
            <w:shd w:val="clear" w:color="auto" w:fill="auto"/>
            <w:noWrap/>
            <w:vAlign w:val="center"/>
          </w:tcPr>
          <w:p w14:paraId="07E0CB1A" w14:textId="65121E3A" w:rsidR="001A0814" w:rsidRPr="003E3A1D" w:rsidRDefault="001A0814" w:rsidP="001A0814">
            <w:pPr>
              <w:spacing w:after="0"/>
              <w:jc w:val="right"/>
              <w:rPr>
                <w:sz w:val="18"/>
                <w:szCs w:val="18"/>
              </w:rPr>
            </w:pPr>
            <w:r w:rsidRPr="003E3A1D">
              <w:rPr>
                <w:sz w:val="18"/>
                <w:szCs w:val="18"/>
              </w:rPr>
              <w:t xml:space="preserve">703,3 </w:t>
            </w:r>
          </w:p>
        </w:tc>
        <w:tc>
          <w:tcPr>
            <w:tcW w:w="1077" w:type="dxa"/>
            <w:tcBorders>
              <w:top w:val="nil"/>
              <w:left w:val="nil"/>
              <w:bottom w:val="single" w:sz="4" w:space="0" w:color="auto"/>
              <w:right w:val="single" w:sz="4" w:space="0" w:color="auto"/>
            </w:tcBorders>
            <w:shd w:val="clear" w:color="auto" w:fill="auto"/>
            <w:noWrap/>
            <w:vAlign w:val="center"/>
          </w:tcPr>
          <w:p w14:paraId="55DC4770" w14:textId="031E8FC9" w:rsidR="001A0814" w:rsidRPr="003E3A1D" w:rsidRDefault="001A0814" w:rsidP="001A0814">
            <w:pPr>
              <w:spacing w:after="0"/>
              <w:jc w:val="right"/>
              <w:rPr>
                <w:sz w:val="18"/>
                <w:szCs w:val="18"/>
              </w:rPr>
            </w:pPr>
            <w:r w:rsidRPr="003E3A1D">
              <w:rPr>
                <w:sz w:val="18"/>
                <w:szCs w:val="18"/>
              </w:rPr>
              <w:t xml:space="preserve">199,2 </w:t>
            </w:r>
          </w:p>
        </w:tc>
        <w:tc>
          <w:tcPr>
            <w:tcW w:w="1077" w:type="dxa"/>
            <w:tcBorders>
              <w:top w:val="nil"/>
              <w:left w:val="nil"/>
              <w:bottom w:val="single" w:sz="4" w:space="0" w:color="auto"/>
              <w:right w:val="single" w:sz="4" w:space="0" w:color="auto"/>
            </w:tcBorders>
            <w:shd w:val="clear" w:color="auto" w:fill="auto"/>
            <w:noWrap/>
            <w:vAlign w:val="center"/>
          </w:tcPr>
          <w:p w14:paraId="7EAD66DB" w14:textId="467EB709" w:rsidR="001A0814" w:rsidRPr="003E3A1D" w:rsidRDefault="001A0814" w:rsidP="001A0814">
            <w:pPr>
              <w:spacing w:after="0"/>
              <w:jc w:val="right"/>
              <w:rPr>
                <w:sz w:val="18"/>
                <w:szCs w:val="18"/>
              </w:rPr>
            </w:pPr>
            <w:r w:rsidRPr="003E3A1D">
              <w:rPr>
                <w:sz w:val="18"/>
                <w:szCs w:val="18"/>
              </w:rPr>
              <w:t xml:space="preserve">28,3 </w:t>
            </w:r>
          </w:p>
        </w:tc>
        <w:tc>
          <w:tcPr>
            <w:tcW w:w="1077" w:type="dxa"/>
            <w:tcBorders>
              <w:top w:val="nil"/>
              <w:left w:val="nil"/>
              <w:bottom w:val="single" w:sz="4" w:space="0" w:color="auto"/>
              <w:right w:val="single" w:sz="4" w:space="0" w:color="auto"/>
            </w:tcBorders>
            <w:shd w:val="clear" w:color="auto" w:fill="auto"/>
            <w:noWrap/>
            <w:vAlign w:val="center"/>
          </w:tcPr>
          <w:p w14:paraId="5D4FD139" w14:textId="0640A3C6" w:rsidR="001A0814" w:rsidRPr="003E3A1D" w:rsidRDefault="001A0814" w:rsidP="001A0814">
            <w:pPr>
              <w:spacing w:after="0"/>
              <w:jc w:val="right"/>
              <w:rPr>
                <w:sz w:val="18"/>
                <w:szCs w:val="18"/>
              </w:rPr>
            </w:pPr>
            <w:r w:rsidRPr="003E3A1D">
              <w:rPr>
                <w:sz w:val="18"/>
                <w:szCs w:val="18"/>
              </w:rPr>
              <w:t xml:space="preserve">119,6 </w:t>
            </w:r>
          </w:p>
        </w:tc>
      </w:tr>
      <w:tr w:rsidR="003E3A1D" w:rsidRPr="003E3A1D" w14:paraId="2386841A"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1E1D510" w14:textId="77777777" w:rsidR="001A0814" w:rsidRPr="003E3A1D" w:rsidRDefault="001A0814" w:rsidP="001A0814">
            <w:pPr>
              <w:spacing w:after="0"/>
              <w:jc w:val="right"/>
              <w:rPr>
                <w:sz w:val="18"/>
                <w:szCs w:val="18"/>
              </w:rPr>
            </w:pPr>
            <w:r w:rsidRPr="003E3A1D">
              <w:rPr>
                <w:sz w:val="18"/>
                <w:szCs w:val="18"/>
              </w:rPr>
              <w:t>kiadás:</w:t>
            </w:r>
          </w:p>
        </w:tc>
        <w:tc>
          <w:tcPr>
            <w:tcW w:w="1077" w:type="dxa"/>
            <w:tcBorders>
              <w:top w:val="nil"/>
              <w:left w:val="nil"/>
              <w:bottom w:val="single" w:sz="4" w:space="0" w:color="auto"/>
              <w:right w:val="single" w:sz="4" w:space="0" w:color="auto"/>
            </w:tcBorders>
            <w:shd w:val="clear" w:color="auto" w:fill="auto"/>
            <w:noWrap/>
            <w:vAlign w:val="center"/>
          </w:tcPr>
          <w:p w14:paraId="0FB794F7" w14:textId="78D7A2B1" w:rsidR="001A0814" w:rsidRPr="003E3A1D" w:rsidRDefault="001A0814" w:rsidP="001A0814">
            <w:pPr>
              <w:spacing w:after="0"/>
              <w:jc w:val="right"/>
              <w:rPr>
                <w:sz w:val="18"/>
                <w:szCs w:val="18"/>
              </w:rPr>
            </w:pPr>
            <w:r w:rsidRPr="003E3A1D">
              <w:rPr>
                <w:sz w:val="18"/>
                <w:szCs w:val="18"/>
              </w:rPr>
              <w:t xml:space="preserve">710,7 </w:t>
            </w:r>
          </w:p>
        </w:tc>
        <w:tc>
          <w:tcPr>
            <w:tcW w:w="1077" w:type="dxa"/>
            <w:tcBorders>
              <w:top w:val="nil"/>
              <w:left w:val="nil"/>
              <w:bottom w:val="single" w:sz="4" w:space="0" w:color="auto"/>
              <w:right w:val="single" w:sz="4" w:space="0" w:color="auto"/>
            </w:tcBorders>
            <w:shd w:val="clear" w:color="auto" w:fill="auto"/>
            <w:noWrap/>
            <w:vAlign w:val="center"/>
          </w:tcPr>
          <w:p w14:paraId="10DA8C85" w14:textId="0389503F" w:rsidR="001A0814" w:rsidRPr="003E3A1D" w:rsidRDefault="001A0814" w:rsidP="001A0814">
            <w:pPr>
              <w:spacing w:after="0"/>
              <w:jc w:val="right"/>
              <w:rPr>
                <w:sz w:val="18"/>
                <w:szCs w:val="18"/>
              </w:rPr>
            </w:pPr>
            <w:r w:rsidRPr="003E3A1D">
              <w:rPr>
                <w:sz w:val="18"/>
                <w:szCs w:val="18"/>
              </w:rPr>
              <w:t xml:space="preserve">184,9 </w:t>
            </w:r>
          </w:p>
        </w:tc>
        <w:tc>
          <w:tcPr>
            <w:tcW w:w="1077" w:type="dxa"/>
            <w:tcBorders>
              <w:top w:val="nil"/>
              <w:left w:val="nil"/>
              <w:bottom w:val="single" w:sz="4" w:space="0" w:color="auto"/>
              <w:right w:val="single" w:sz="4" w:space="0" w:color="auto"/>
            </w:tcBorders>
            <w:shd w:val="clear" w:color="auto" w:fill="auto"/>
            <w:noWrap/>
            <w:vAlign w:val="center"/>
          </w:tcPr>
          <w:p w14:paraId="2B4D740E" w14:textId="45D842C0" w:rsidR="001A0814" w:rsidRPr="003E3A1D" w:rsidRDefault="001A0814" w:rsidP="001A0814">
            <w:pPr>
              <w:spacing w:after="0"/>
              <w:jc w:val="right"/>
              <w:rPr>
                <w:sz w:val="18"/>
                <w:szCs w:val="18"/>
              </w:rPr>
            </w:pPr>
            <w:r w:rsidRPr="003E3A1D">
              <w:rPr>
                <w:sz w:val="18"/>
                <w:szCs w:val="18"/>
              </w:rPr>
              <w:t xml:space="preserve">26,0 </w:t>
            </w:r>
          </w:p>
        </w:tc>
        <w:tc>
          <w:tcPr>
            <w:tcW w:w="1077" w:type="dxa"/>
            <w:tcBorders>
              <w:top w:val="nil"/>
              <w:left w:val="nil"/>
              <w:bottom w:val="single" w:sz="4" w:space="0" w:color="auto"/>
              <w:right w:val="single" w:sz="4" w:space="0" w:color="auto"/>
            </w:tcBorders>
            <w:shd w:val="clear" w:color="auto" w:fill="auto"/>
            <w:noWrap/>
            <w:vAlign w:val="center"/>
          </w:tcPr>
          <w:p w14:paraId="5569F73B" w14:textId="14858CA1" w:rsidR="001A0814" w:rsidRPr="003E3A1D" w:rsidRDefault="001A0814" w:rsidP="001A0814">
            <w:pPr>
              <w:spacing w:after="0"/>
              <w:jc w:val="right"/>
              <w:rPr>
                <w:sz w:val="18"/>
                <w:szCs w:val="18"/>
              </w:rPr>
            </w:pPr>
            <w:r w:rsidRPr="003E3A1D">
              <w:rPr>
                <w:sz w:val="18"/>
                <w:szCs w:val="18"/>
              </w:rPr>
              <w:t xml:space="preserve">577,9 </w:t>
            </w:r>
          </w:p>
        </w:tc>
        <w:tc>
          <w:tcPr>
            <w:tcW w:w="1077" w:type="dxa"/>
            <w:tcBorders>
              <w:top w:val="nil"/>
              <w:left w:val="nil"/>
              <w:bottom w:val="single" w:sz="4" w:space="0" w:color="auto"/>
              <w:right w:val="single" w:sz="4" w:space="0" w:color="auto"/>
            </w:tcBorders>
            <w:shd w:val="clear" w:color="auto" w:fill="auto"/>
            <w:noWrap/>
            <w:vAlign w:val="center"/>
          </w:tcPr>
          <w:p w14:paraId="5D3E6A79" w14:textId="6270BDE6" w:rsidR="001A0814" w:rsidRPr="003E3A1D" w:rsidRDefault="001A0814" w:rsidP="001A0814">
            <w:pPr>
              <w:spacing w:after="0"/>
              <w:jc w:val="right"/>
              <w:rPr>
                <w:sz w:val="18"/>
                <w:szCs w:val="18"/>
              </w:rPr>
            </w:pPr>
            <w:r w:rsidRPr="003E3A1D">
              <w:rPr>
                <w:sz w:val="18"/>
                <w:szCs w:val="18"/>
              </w:rPr>
              <w:t xml:space="preserve">160,0 </w:t>
            </w:r>
          </w:p>
        </w:tc>
        <w:tc>
          <w:tcPr>
            <w:tcW w:w="1077" w:type="dxa"/>
            <w:tcBorders>
              <w:top w:val="nil"/>
              <w:left w:val="nil"/>
              <w:bottom w:val="single" w:sz="4" w:space="0" w:color="auto"/>
              <w:right w:val="single" w:sz="4" w:space="0" w:color="auto"/>
            </w:tcBorders>
            <w:shd w:val="clear" w:color="auto" w:fill="auto"/>
            <w:noWrap/>
            <w:vAlign w:val="center"/>
          </w:tcPr>
          <w:p w14:paraId="3E878E35" w14:textId="1A32105A" w:rsidR="001A0814" w:rsidRPr="003E3A1D" w:rsidRDefault="001A0814" w:rsidP="001A0814">
            <w:pPr>
              <w:spacing w:after="0"/>
              <w:jc w:val="right"/>
              <w:rPr>
                <w:sz w:val="18"/>
                <w:szCs w:val="18"/>
              </w:rPr>
            </w:pPr>
            <w:r w:rsidRPr="003E3A1D">
              <w:rPr>
                <w:sz w:val="18"/>
                <w:szCs w:val="18"/>
              </w:rPr>
              <w:t xml:space="preserve">27,7 </w:t>
            </w:r>
          </w:p>
        </w:tc>
        <w:tc>
          <w:tcPr>
            <w:tcW w:w="1077" w:type="dxa"/>
            <w:tcBorders>
              <w:top w:val="nil"/>
              <w:left w:val="nil"/>
              <w:bottom w:val="single" w:sz="4" w:space="0" w:color="auto"/>
              <w:right w:val="single" w:sz="4" w:space="0" w:color="auto"/>
            </w:tcBorders>
            <w:shd w:val="clear" w:color="auto" w:fill="auto"/>
            <w:noWrap/>
            <w:vAlign w:val="center"/>
          </w:tcPr>
          <w:p w14:paraId="71675075" w14:textId="0DAA0079" w:rsidR="001A0814" w:rsidRPr="003E3A1D" w:rsidRDefault="001A0814" w:rsidP="001A0814">
            <w:pPr>
              <w:spacing w:after="0"/>
              <w:jc w:val="right"/>
              <w:rPr>
                <w:sz w:val="18"/>
                <w:szCs w:val="18"/>
              </w:rPr>
            </w:pPr>
            <w:r w:rsidRPr="003E3A1D">
              <w:rPr>
                <w:sz w:val="18"/>
                <w:szCs w:val="18"/>
              </w:rPr>
              <w:t xml:space="preserve">86,5 </w:t>
            </w:r>
          </w:p>
        </w:tc>
      </w:tr>
      <w:tr w:rsidR="003E3A1D" w:rsidRPr="003E3A1D" w14:paraId="30E4B94C" w14:textId="77777777" w:rsidTr="4AC3BDA3">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86ACFD" w14:textId="76CDF02F" w:rsidR="001A0814" w:rsidRPr="003E3A1D" w:rsidRDefault="001A0814" w:rsidP="001A0814">
            <w:pPr>
              <w:spacing w:after="0"/>
              <w:jc w:val="left"/>
              <w:rPr>
                <w:b/>
                <w:bCs/>
                <w:sz w:val="18"/>
                <w:szCs w:val="18"/>
              </w:rPr>
            </w:pPr>
            <w:r w:rsidRPr="003E3A1D">
              <w:rPr>
                <w:b/>
                <w:bCs/>
                <w:sz w:val="18"/>
                <w:szCs w:val="18"/>
              </w:rPr>
              <w:t>Társadalombiztosítás pénzügyi alapjainak egyenlege</w:t>
            </w:r>
          </w:p>
        </w:tc>
        <w:tc>
          <w:tcPr>
            <w:tcW w:w="1077" w:type="dxa"/>
            <w:tcBorders>
              <w:top w:val="nil"/>
              <w:left w:val="nil"/>
              <w:bottom w:val="single" w:sz="4" w:space="0" w:color="auto"/>
              <w:right w:val="single" w:sz="4" w:space="0" w:color="auto"/>
            </w:tcBorders>
            <w:shd w:val="clear" w:color="auto" w:fill="auto"/>
            <w:noWrap/>
            <w:vAlign w:val="center"/>
          </w:tcPr>
          <w:p w14:paraId="1BA7540F" w14:textId="4DE0E923" w:rsidR="001A0814" w:rsidRPr="003E3A1D" w:rsidRDefault="001A0814" w:rsidP="001A0814">
            <w:pPr>
              <w:spacing w:after="0"/>
              <w:jc w:val="right"/>
              <w:rPr>
                <w:b/>
                <w:bCs/>
                <w:sz w:val="18"/>
                <w:szCs w:val="18"/>
              </w:rPr>
            </w:pPr>
            <w:r w:rsidRPr="003E3A1D">
              <w:rPr>
                <w:b/>
                <w:bCs/>
                <w:sz w:val="18"/>
                <w:szCs w:val="18"/>
              </w:rPr>
              <w:t xml:space="preserve">-419,4 </w:t>
            </w:r>
          </w:p>
        </w:tc>
        <w:tc>
          <w:tcPr>
            <w:tcW w:w="1077" w:type="dxa"/>
            <w:tcBorders>
              <w:top w:val="nil"/>
              <w:left w:val="nil"/>
              <w:bottom w:val="single" w:sz="4" w:space="0" w:color="auto"/>
              <w:right w:val="single" w:sz="4" w:space="0" w:color="auto"/>
            </w:tcBorders>
            <w:shd w:val="clear" w:color="auto" w:fill="auto"/>
            <w:noWrap/>
            <w:vAlign w:val="center"/>
          </w:tcPr>
          <w:p w14:paraId="7D507785" w14:textId="485CD2FC" w:rsidR="001A0814" w:rsidRPr="003E3A1D" w:rsidRDefault="001A0814" w:rsidP="001A0814">
            <w:pPr>
              <w:spacing w:after="0"/>
              <w:jc w:val="right"/>
              <w:rPr>
                <w:b/>
                <w:bCs/>
                <w:sz w:val="18"/>
                <w:szCs w:val="18"/>
              </w:rPr>
            </w:pPr>
            <w:r w:rsidRPr="003E3A1D">
              <w:rPr>
                <w:b/>
                <w:bCs/>
                <w:sz w:val="18"/>
                <w:szCs w:val="18"/>
              </w:rPr>
              <w:t xml:space="preserve">-182,7 </w:t>
            </w:r>
          </w:p>
        </w:tc>
        <w:tc>
          <w:tcPr>
            <w:tcW w:w="1077" w:type="dxa"/>
            <w:tcBorders>
              <w:top w:val="nil"/>
              <w:left w:val="nil"/>
              <w:bottom w:val="single" w:sz="4" w:space="0" w:color="auto"/>
              <w:right w:val="single" w:sz="4" w:space="0" w:color="auto"/>
            </w:tcBorders>
            <w:shd w:val="clear" w:color="auto" w:fill="auto"/>
            <w:noWrap/>
            <w:vAlign w:val="center"/>
          </w:tcPr>
          <w:p w14:paraId="130632BD" w14:textId="2C16DD46" w:rsidR="001A0814" w:rsidRPr="003E3A1D" w:rsidRDefault="001A0814" w:rsidP="001A0814">
            <w:pPr>
              <w:spacing w:after="0"/>
              <w:jc w:val="right"/>
              <w:rPr>
                <w:sz w:val="18"/>
                <w:szCs w:val="18"/>
              </w:rPr>
            </w:pPr>
            <w:r w:rsidRPr="003E3A1D">
              <w:rPr>
                <w:sz w:val="18"/>
                <w:szCs w:val="18"/>
              </w:rPr>
              <w:t xml:space="preserve">43,6 </w:t>
            </w:r>
          </w:p>
        </w:tc>
        <w:tc>
          <w:tcPr>
            <w:tcW w:w="1077" w:type="dxa"/>
            <w:tcBorders>
              <w:top w:val="nil"/>
              <w:left w:val="nil"/>
              <w:bottom w:val="single" w:sz="4" w:space="0" w:color="auto"/>
              <w:right w:val="single" w:sz="4" w:space="0" w:color="auto"/>
            </w:tcBorders>
            <w:shd w:val="clear" w:color="auto" w:fill="auto"/>
            <w:noWrap/>
            <w:vAlign w:val="center"/>
          </w:tcPr>
          <w:p w14:paraId="6FD5353A" w14:textId="0433841A" w:rsidR="001A0814" w:rsidRPr="003E3A1D" w:rsidRDefault="001A0814" w:rsidP="001A0814">
            <w:pPr>
              <w:spacing w:after="0"/>
              <w:jc w:val="right"/>
              <w:rPr>
                <w:b/>
                <w:bCs/>
                <w:sz w:val="18"/>
                <w:szCs w:val="18"/>
              </w:rPr>
            </w:pPr>
            <w:r w:rsidRPr="003E3A1D">
              <w:rPr>
                <w:b/>
                <w:bCs/>
                <w:sz w:val="18"/>
                <w:szCs w:val="18"/>
              </w:rPr>
              <w:t xml:space="preserve">-146,8 </w:t>
            </w:r>
          </w:p>
        </w:tc>
        <w:tc>
          <w:tcPr>
            <w:tcW w:w="1077" w:type="dxa"/>
            <w:tcBorders>
              <w:top w:val="nil"/>
              <w:left w:val="nil"/>
              <w:bottom w:val="single" w:sz="4" w:space="0" w:color="auto"/>
              <w:right w:val="single" w:sz="4" w:space="0" w:color="auto"/>
            </w:tcBorders>
            <w:shd w:val="clear" w:color="auto" w:fill="auto"/>
            <w:noWrap/>
            <w:vAlign w:val="center"/>
          </w:tcPr>
          <w:p w14:paraId="6167F797" w14:textId="475F795D" w:rsidR="001A0814" w:rsidRPr="003E3A1D" w:rsidRDefault="001A0814" w:rsidP="001A0814">
            <w:pPr>
              <w:spacing w:after="0"/>
              <w:jc w:val="right"/>
              <w:rPr>
                <w:b/>
                <w:bCs/>
                <w:sz w:val="18"/>
                <w:szCs w:val="18"/>
              </w:rPr>
            </w:pPr>
            <w:r w:rsidRPr="003E3A1D">
              <w:rPr>
                <w:b/>
                <w:bCs/>
                <w:sz w:val="18"/>
                <w:szCs w:val="18"/>
              </w:rPr>
              <w:t xml:space="preserve">-17,2 </w:t>
            </w:r>
          </w:p>
        </w:tc>
        <w:tc>
          <w:tcPr>
            <w:tcW w:w="1077" w:type="dxa"/>
            <w:tcBorders>
              <w:top w:val="nil"/>
              <w:left w:val="nil"/>
              <w:bottom w:val="single" w:sz="4" w:space="0" w:color="auto"/>
              <w:right w:val="single" w:sz="4" w:space="0" w:color="auto"/>
            </w:tcBorders>
            <w:shd w:val="clear" w:color="auto" w:fill="auto"/>
            <w:noWrap/>
            <w:vAlign w:val="center"/>
          </w:tcPr>
          <w:p w14:paraId="6C925011" w14:textId="34BFCD29" w:rsidR="001A0814" w:rsidRPr="003E3A1D" w:rsidRDefault="001A0814" w:rsidP="001A0814">
            <w:pPr>
              <w:spacing w:after="0"/>
              <w:jc w:val="right"/>
              <w:rPr>
                <w:sz w:val="18"/>
                <w:szCs w:val="18"/>
              </w:rPr>
            </w:pPr>
            <w:r w:rsidRPr="003E3A1D">
              <w:rPr>
                <w:sz w:val="18"/>
                <w:szCs w:val="18"/>
              </w:rPr>
              <w:t xml:space="preserve">11,7 </w:t>
            </w:r>
          </w:p>
        </w:tc>
        <w:tc>
          <w:tcPr>
            <w:tcW w:w="1077" w:type="dxa"/>
            <w:tcBorders>
              <w:top w:val="nil"/>
              <w:left w:val="nil"/>
              <w:bottom w:val="single" w:sz="4" w:space="0" w:color="auto"/>
              <w:right w:val="single" w:sz="4" w:space="0" w:color="auto"/>
            </w:tcBorders>
            <w:shd w:val="clear" w:color="auto" w:fill="auto"/>
            <w:noWrap/>
            <w:vAlign w:val="center"/>
          </w:tcPr>
          <w:p w14:paraId="441691D0" w14:textId="3D2E78B5" w:rsidR="001A0814" w:rsidRPr="003E3A1D" w:rsidRDefault="001A0814" w:rsidP="001A0814">
            <w:pPr>
              <w:spacing w:after="0"/>
              <w:jc w:val="right"/>
              <w:rPr>
                <w:sz w:val="18"/>
                <w:szCs w:val="18"/>
              </w:rPr>
            </w:pPr>
            <w:r w:rsidRPr="003E3A1D">
              <w:rPr>
                <w:sz w:val="18"/>
                <w:szCs w:val="18"/>
              </w:rPr>
              <w:t xml:space="preserve">9,4 </w:t>
            </w:r>
          </w:p>
        </w:tc>
      </w:tr>
      <w:tr w:rsidR="003E3A1D" w:rsidRPr="003E3A1D" w14:paraId="24D38D01"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A55F31" w14:textId="77777777" w:rsidR="001A0814" w:rsidRPr="003E3A1D" w:rsidRDefault="001A0814" w:rsidP="001A0814">
            <w:pPr>
              <w:spacing w:after="0"/>
              <w:jc w:val="right"/>
              <w:rPr>
                <w:sz w:val="18"/>
                <w:szCs w:val="18"/>
              </w:rPr>
            </w:pPr>
            <w:r w:rsidRPr="003E3A1D">
              <w:rPr>
                <w:sz w:val="18"/>
                <w:szCs w:val="18"/>
              </w:rPr>
              <w:t>bevétel:</w:t>
            </w:r>
          </w:p>
        </w:tc>
        <w:tc>
          <w:tcPr>
            <w:tcW w:w="1077" w:type="dxa"/>
            <w:tcBorders>
              <w:top w:val="nil"/>
              <w:left w:val="nil"/>
              <w:bottom w:val="single" w:sz="4" w:space="0" w:color="auto"/>
              <w:right w:val="single" w:sz="4" w:space="0" w:color="auto"/>
            </w:tcBorders>
            <w:shd w:val="clear" w:color="auto" w:fill="auto"/>
            <w:noWrap/>
            <w:vAlign w:val="center"/>
          </w:tcPr>
          <w:p w14:paraId="5041B8AF" w14:textId="3AD9974A" w:rsidR="001A0814" w:rsidRPr="003E3A1D" w:rsidRDefault="001A0814" w:rsidP="001A0814">
            <w:pPr>
              <w:spacing w:after="0"/>
              <w:jc w:val="right"/>
              <w:rPr>
                <w:sz w:val="18"/>
                <w:szCs w:val="18"/>
              </w:rPr>
            </w:pPr>
            <w:r w:rsidRPr="003E3A1D">
              <w:rPr>
                <w:sz w:val="18"/>
                <w:szCs w:val="18"/>
              </w:rPr>
              <w:t xml:space="preserve">6 952,9 </w:t>
            </w:r>
          </w:p>
        </w:tc>
        <w:tc>
          <w:tcPr>
            <w:tcW w:w="1077" w:type="dxa"/>
            <w:tcBorders>
              <w:top w:val="nil"/>
              <w:left w:val="nil"/>
              <w:bottom w:val="single" w:sz="4" w:space="0" w:color="auto"/>
              <w:right w:val="single" w:sz="4" w:space="0" w:color="auto"/>
            </w:tcBorders>
            <w:shd w:val="clear" w:color="auto" w:fill="auto"/>
            <w:noWrap/>
            <w:vAlign w:val="center"/>
          </w:tcPr>
          <w:p w14:paraId="04570245" w14:textId="488DBC10" w:rsidR="001A0814" w:rsidRPr="003E3A1D" w:rsidRDefault="001A0814" w:rsidP="001A0814">
            <w:pPr>
              <w:spacing w:after="0"/>
              <w:jc w:val="right"/>
              <w:rPr>
                <w:sz w:val="18"/>
                <w:szCs w:val="18"/>
              </w:rPr>
            </w:pPr>
            <w:r w:rsidRPr="003E3A1D">
              <w:rPr>
                <w:sz w:val="18"/>
                <w:szCs w:val="18"/>
              </w:rPr>
              <w:t xml:space="preserve">1 671,5 </w:t>
            </w:r>
          </w:p>
        </w:tc>
        <w:tc>
          <w:tcPr>
            <w:tcW w:w="1077" w:type="dxa"/>
            <w:tcBorders>
              <w:top w:val="nil"/>
              <w:left w:val="nil"/>
              <w:bottom w:val="single" w:sz="4" w:space="0" w:color="auto"/>
              <w:right w:val="single" w:sz="4" w:space="0" w:color="auto"/>
            </w:tcBorders>
            <w:shd w:val="clear" w:color="auto" w:fill="auto"/>
            <w:noWrap/>
            <w:vAlign w:val="center"/>
          </w:tcPr>
          <w:p w14:paraId="18FECBBD" w14:textId="007484EA" w:rsidR="001A0814" w:rsidRPr="003E3A1D" w:rsidRDefault="001A0814" w:rsidP="001A0814">
            <w:pPr>
              <w:spacing w:after="0"/>
              <w:jc w:val="right"/>
              <w:rPr>
                <w:sz w:val="18"/>
                <w:szCs w:val="18"/>
              </w:rPr>
            </w:pPr>
            <w:r w:rsidRPr="003E3A1D">
              <w:rPr>
                <w:sz w:val="18"/>
                <w:szCs w:val="18"/>
              </w:rPr>
              <w:t xml:space="preserve">24,0 </w:t>
            </w:r>
          </w:p>
        </w:tc>
        <w:tc>
          <w:tcPr>
            <w:tcW w:w="1077" w:type="dxa"/>
            <w:tcBorders>
              <w:top w:val="nil"/>
              <w:left w:val="nil"/>
              <w:bottom w:val="single" w:sz="4" w:space="0" w:color="auto"/>
              <w:right w:val="single" w:sz="4" w:space="0" w:color="auto"/>
            </w:tcBorders>
            <w:shd w:val="clear" w:color="auto" w:fill="auto"/>
            <w:noWrap/>
            <w:vAlign w:val="center"/>
          </w:tcPr>
          <w:p w14:paraId="01DACDC2" w14:textId="111BA2FB" w:rsidR="001A0814" w:rsidRPr="003E3A1D" w:rsidRDefault="001A0814" w:rsidP="001A0814">
            <w:pPr>
              <w:spacing w:after="0"/>
              <w:jc w:val="right"/>
              <w:rPr>
                <w:sz w:val="18"/>
                <w:szCs w:val="18"/>
              </w:rPr>
            </w:pPr>
            <w:r w:rsidRPr="003E3A1D">
              <w:rPr>
                <w:sz w:val="18"/>
                <w:szCs w:val="18"/>
              </w:rPr>
              <w:t xml:space="preserve">7 623,7 </w:t>
            </w:r>
          </w:p>
        </w:tc>
        <w:tc>
          <w:tcPr>
            <w:tcW w:w="1077" w:type="dxa"/>
            <w:tcBorders>
              <w:top w:val="nil"/>
              <w:left w:val="nil"/>
              <w:bottom w:val="single" w:sz="4" w:space="0" w:color="auto"/>
              <w:right w:val="single" w:sz="4" w:space="0" w:color="auto"/>
            </w:tcBorders>
            <w:shd w:val="clear" w:color="auto" w:fill="auto"/>
            <w:noWrap/>
            <w:vAlign w:val="center"/>
          </w:tcPr>
          <w:p w14:paraId="42143284" w14:textId="6C4843D6" w:rsidR="001A0814" w:rsidRPr="003E3A1D" w:rsidRDefault="001A0814" w:rsidP="001A0814">
            <w:pPr>
              <w:spacing w:after="0"/>
              <w:jc w:val="right"/>
              <w:rPr>
                <w:sz w:val="18"/>
                <w:szCs w:val="18"/>
              </w:rPr>
            </w:pPr>
            <w:r w:rsidRPr="003E3A1D">
              <w:rPr>
                <w:sz w:val="18"/>
                <w:szCs w:val="18"/>
              </w:rPr>
              <w:t xml:space="preserve">2 248,5 </w:t>
            </w:r>
          </w:p>
        </w:tc>
        <w:tc>
          <w:tcPr>
            <w:tcW w:w="1077" w:type="dxa"/>
            <w:tcBorders>
              <w:top w:val="nil"/>
              <w:left w:val="nil"/>
              <w:bottom w:val="single" w:sz="4" w:space="0" w:color="auto"/>
              <w:right w:val="single" w:sz="4" w:space="0" w:color="auto"/>
            </w:tcBorders>
            <w:shd w:val="clear" w:color="auto" w:fill="auto"/>
            <w:noWrap/>
            <w:vAlign w:val="center"/>
          </w:tcPr>
          <w:p w14:paraId="1BE2BDC9" w14:textId="2B5F471E" w:rsidR="001A0814" w:rsidRPr="003E3A1D" w:rsidRDefault="001A0814" w:rsidP="001A0814">
            <w:pPr>
              <w:spacing w:after="0"/>
              <w:jc w:val="right"/>
              <w:rPr>
                <w:sz w:val="18"/>
                <w:szCs w:val="18"/>
              </w:rPr>
            </w:pPr>
            <w:r w:rsidRPr="003E3A1D">
              <w:rPr>
                <w:sz w:val="18"/>
                <w:szCs w:val="18"/>
              </w:rPr>
              <w:t xml:space="preserve">29,5 </w:t>
            </w:r>
          </w:p>
        </w:tc>
        <w:tc>
          <w:tcPr>
            <w:tcW w:w="1077" w:type="dxa"/>
            <w:tcBorders>
              <w:top w:val="nil"/>
              <w:left w:val="nil"/>
              <w:bottom w:val="single" w:sz="4" w:space="0" w:color="auto"/>
              <w:right w:val="single" w:sz="4" w:space="0" w:color="auto"/>
            </w:tcBorders>
            <w:shd w:val="clear" w:color="auto" w:fill="auto"/>
            <w:noWrap/>
            <w:vAlign w:val="center"/>
          </w:tcPr>
          <w:p w14:paraId="64978B9A" w14:textId="01380805" w:rsidR="001A0814" w:rsidRPr="003E3A1D" w:rsidRDefault="001A0814" w:rsidP="001A0814">
            <w:pPr>
              <w:spacing w:after="0"/>
              <w:jc w:val="right"/>
              <w:rPr>
                <w:sz w:val="18"/>
                <w:szCs w:val="18"/>
              </w:rPr>
            </w:pPr>
            <w:r w:rsidRPr="003E3A1D">
              <w:rPr>
                <w:sz w:val="18"/>
                <w:szCs w:val="18"/>
              </w:rPr>
              <w:t xml:space="preserve">134,5 </w:t>
            </w:r>
          </w:p>
        </w:tc>
      </w:tr>
      <w:tr w:rsidR="003E3A1D" w:rsidRPr="003E3A1D" w14:paraId="718BFEFC"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2D53514" w14:textId="77777777" w:rsidR="001A0814" w:rsidRPr="003E3A1D" w:rsidRDefault="001A0814" w:rsidP="001A0814">
            <w:pPr>
              <w:spacing w:after="0"/>
              <w:jc w:val="right"/>
              <w:rPr>
                <w:sz w:val="18"/>
                <w:szCs w:val="18"/>
              </w:rPr>
            </w:pPr>
            <w:r w:rsidRPr="003E3A1D">
              <w:rPr>
                <w:sz w:val="18"/>
                <w:szCs w:val="18"/>
              </w:rPr>
              <w:t>kiadás:</w:t>
            </w:r>
          </w:p>
        </w:tc>
        <w:tc>
          <w:tcPr>
            <w:tcW w:w="1077" w:type="dxa"/>
            <w:tcBorders>
              <w:top w:val="nil"/>
              <w:left w:val="nil"/>
              <w:bottom w:val="single" w:sz="4" w:space="0" w:color="auto"/>
              <w:right w:val="single" w:sz="4" w:space="0" w:color="auto"/>
            </w:tcBorders>
            <w:shd w:val="clear" w:color="auto" w:fill="auto"/>
            <w:noWrap/>
            <w:vAlign w:val="center"/>
          </w:tcPr>
          <w:p w14:paraId="286238AD" w14:textId="5D984B2E" w:rsidR="001A0814" w:rsidRPr="003E3A1D" w:rsidRDefault="001A0814" w:rsidP="001A0814">
            <w:pPr>
              <w:spacing w:after="0"/>
              <w:jc w:val="right"/>
              <w:rPr>
                <w:sz w:val="18"/>
                <w:szCs w:val="18"/>
              </w:rPr>
            </w:pPr>
            <w:r w:rsidRPr="003E3A1D">
              <w:rPr>
                <w:sz w:val="18"/>
                <w:szCs w:val="18"/>
              </w:rPr>
              <w:t xml:space="preserve">7 372,3 </w:t>
            </w:r>
          </w:p>
        </w:tc>
        <w:tc>
          <w:tcPr>
            <w:tcW w:w="1077" w:type="dxa"/>
            <w:tcBorders>
              <w:top w:val="nil"/>
              <w:left w:val="nil"/>
              <w:bottom w:val="single" w:sz="4" w:space="0" w:color="auto"/>
              <w:right w:val="single" w:sz="4" w:space="0" w:color="auto"/>
            </w:tcBorders>
            <w:shd w:val="clear" w:color="auto" w:fill="auto"/>
            <w:noWrap/>
            <w:vAlign w:val="center"/>
          </w:tcPr>
          <w:p w14:paraId="5B251AB7" w14:textId="368919BA" w:rsidR="001A0814" w:rsidRPr="003E3A1D" w:rsidRDefault="001A0814" w:rsidP="001A0814">
            <w:pPr>
              <w:spacing w:after="0"/>
              <w:jc w:val="right"/>
              <w:rPr>
                <w:sz w:val="18"/>
                <w:szCs w:val="18"/>
              </w:rPr>
            </w:pPr>
            <w:r w:rsidRPr="003E3A1D">
              <w:rPr>
                <w:sz w:val="18"/>
                <w:szCs w:val="18"/>
              </w:rPr>
              <w:t xml:space="preserve">1 854,2 </w:t>
            </w:r>
          </w:p>
        </w:tc>
        <w:tc>
          <w:tcPr>
            <w:tcW w:w="1077" w:type="dxa"/>
            <w:tcBorders>
              <w:top w:val="nil"/>
              <w:left w:val="nil"/>
              <w:bottom w:val="single" w:sz="4" w:space="0" w:color="auto"/>
              <w:right w:val="single" w:sz="4" w:space="0" w:color="auto"/>
            </w:tcBorders>
            <w:shd w:val="clear" w:color="auto" w:fill="auto"/>
            <w:noWrap/>
            <w:vAlign w:val="center"/>
          </w:tcPr>
          <w:p w14:paraId="397EBE77" w14:textId="44ACB6BB" w:rsidR="001A0814" w:rsidRPr="003E3A1D" w:rsidRDefault="001A0814" w:rsidP="001A0814">
            <w:pPr>
              <w:spacing w:after="0"/>
              <w:jc w:val="right"/>
              <w:rPr>
                <w:sz w:val="18"/>
                <w:szCs w:val="18"/>
              </w:rPr>
            </w:pPr>
            <w:r w:rsidRPr="003E3A1D">
              <w:rPr>
                <w:sz w:val="18"/>
                <w:szCs w:val="18"/>
              </w:rPr>
              <w:t xml:space="preserve">25,2 </w:t>
            </w:r>
          </w:p>
        </w:tc>
        <w:tc>
          <w:tcPr>
            <w:tcW w:w="1077" w:type="dxa"/>
            <w:tcBorders>
              <w:top w:val="nil"/>
              <w:left w:val="nil"/>
              <w:bottom w:val="single" w:sz="4" w:space="0" w:color="auto"/>
              <w:right w:val="single" w:sz="4" w:space="0" w:color="auto"/>
            </w:tcBorders>
            <w:shd w:val="clear" w:color="auto" w:fill="auto"/>
            <w:noWrap/>
            <w:vAlign w:val="center"/>
          </w:tcPr>
          <w:p w14:paraId="4E5DA8DB" w14:textId="30EB0CAF" w:rsidR="001A0814" w:rsidRPr="003E3A1D" w:rsidRDefault="001A0814" w:rsidP="001A0814">
            <w:pPr>
              <w:spacing w:after="0"/>
              <w:jc w:val="right"/>
              <w:rPr>
                <w:sz w:val="18"/>
                <w:szCs w:val="18"/>
              </w:rPr>
            </w:pPr>
            <w:r w:rsidRPr="003E3A1D">
              <w:rPr>
                <w:sz w:val="18"/>
                <w:szCs w:val="18"/>
              </w:rPr>
              <w:t xml:space="preserve">7 770,5 </w:t>
            </w:r>
          </w:p>
        </w:tc>
        <w:tc>
          <w:tcPr>
            <w:tcW w:w="1077" w:type="dxa"/>
            <w:tcBorders>
              <w:top w:val="nil"/>
              <w:left w:val="nil"/>
              <w:bottom w:val="single" w:sz="4" w:space="0" w:color="auto"/>
              <w:right w:val="single" w:sz="4" w:space="0" w:color="auto"/>
            </w:tcBorders>
            <w:shd w:val="clear" w:color="auto" w:fill="auto"/>
            <w:noWrap/>
            <w:vAlign w:val="center"/>
          </w:tcPr>
          <w:p w14:paraId="7A23BA4A" w14:textId="44526CDE" w:rsidR="001A0814" w:rsidRPr="003E3A1D" w:rsidRDefault="001A0814" w:rsidP="001A0814">
            <w:pPr>
              <w:spacing w:after="0"/>
              <w:jc w:val="right"/>
              <w:rPr>
                <w:sz w:val="18"/>
                <w:szCs w:val="18"/>
              </w:rPr>
            </w:pPr>
            <w:r w:rsidRPr="003E3A1D">
              <w:rPr>
                <w:sz w:val="18"/>
                <w:szCs w:val="18"/>
              </w:rPr>
              <w:t xml:space="preserve">2 265,7 </w:t>
            </w:r>
          </w:p>
        </w:tc>
        <w:tc>
          <w:tcPr>
            <w:tcW w:w="1077" w:type="dxa"/>
            <w:tcBorders>
              <w:top w:val="nil"/>
              <w:left w:val="nil"/>
              <w:bottom w:val="single" w:sz="4" w:space="0" w:color="auto"/>
              <w:right w:val="single" w:sz="4" w:space="0" w:color="auto"/>
            </w:tcBorders>
            <w:shd w:val="clear" w:color="auto" w:fill="auto"/>
            <w:noWrap/>
            <w:vAlign w:val="center"/>
          </w:tcPr>
          <w:p w14:paraId="47AE95D4" w14:textId="29274B94" w:rsidR="001A0814" w:rsidRPr="003E3A1D" w:rsidRDefault="001A0814" w:rsidP="001A0814">
            <w:pPr>
              <w:spacing w:after="0"/>
              <w:jc w:val="right"/>
              <w:rPr>
                <w:sz w:val="18"/>
                <w:szCs w:val="18"/>
              </w:rPr>
            </w:pPr>
            <w:r w:rsidRPr="003E3A1D">
              <w:rPr>
                <w:sz w:val="18"/>
                <w:szCs w:val="18"/>
              </w:rPr>
              <w:t xml:space="preserve">29,2 </w:t>
            </w:r>
          </w:p>
        </w:tc>
        <w:tc>
          <w:tcPr>
            <w:tcW w:w="1077" w:type="dxa"/>
            <w:tcBorders>
              <w:top w:val="nil"/>
              <w:left w:val="nil"/>
              <w:bottom w:val="single" w:sz="4" w:space="0" w:color="auto"/>
              <w:right w:val="single" w:sz="4" w:space="0" w:color="auto"/>
            </w:tcBorders>
            <w:shd w:val="clear" w:color="auto" w:fill="auto"/>
            <w:noWrap/>
            <w:vAlign w:val="center"/>
          </w:tcPr>
          <w:p w14:paraId="0FB6C40E" w14:textId="638B38D1" w:rsidR="001A0814" w:rsidRPr="003E3A1D" w:rsidRDefault="001A0814" w:rsidP="001A0814">
            <w:pPr>
              <w:spacing w:after="0"/>
              <w:jc w:val="right"/>
              <w:rPr>
                <w:sz w:val="18"/>
                <w:szCs w:val="18"/>
              </w:rPr>
            </w:pPr>
            <w:r w:rsidRPr="003E3A1D">
              <w:rPr>
                <w:sz w:val="18"/>
                <w:szCs w:val="18"/>
              </w:rPr>
              <w:t xml:space="preserve">122,2 </w:t>
            </w:r>
          </w:p>
        </w:tc>
      </w:tr>
      <w:tr w:rsidR="003E3A1D" w:rsidRPr="003E3A1D" w14:paraId="1C0801EE" w14:textId="77777777" w:rsidTr="4AC3BDA3">
        <w:trPr>
          <w:trHeight w:val="96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2C208B4" w14:textId="77777777" w:rsidR="001A0814" w:rsidRPr="003E3A1D" w:rsidRDefault="001A0814" w:rsidP="001A0814">
            <w:pPr>
              <w:spacing w:after="0"/>
              <w:jc w:val="left"/>
              <w:rPr>
                <w:b/>
                <w:bCs/>
                <w:sz w:val="18"/>
                <w:szCs w:val="18"/>
              </w:rPr>
            </w:pPr>
            <w:r w:rsidRPr="003E3A1D">
              <w:rPr>
                <w:b/>
                <w:bCs/>
                <w:sz w:val="18"/>
                <w:szCs w:val="18"/>
              </w:rPr>
              <w:t>Egyenleg összesen</w:t>
            </w:r>
          </w:p>
        </w:tc>
        <w:tc>
          <w:tcPr>
            <w:tcW w:w="1077" w:type="dxa"/>
            <w:tcBorders>
              <w:top w:val="nil"/>
              <w:left w:val="nil"/>
              <w:bottom w:val="single" w:sz="4" w:space="0" w:color="auto"/>
              <w:right w:val="single" w:sz="4" w:space="0" w:color="auto"/>
            </w:tcBorders>
            <w:shd w:val="clear" w:color="auto" w:fill="auto"/>
            <w:noWrap/>
            <w:vAlign w:val="center"/>
          </w:tcPr>
          <w:p w14:paraId="08D49E50" w14:textId="6F0F91C6" w:rsidR="001A0814" w:rsidRPr="003E3A1D" w:rsidRDefault="001A0814" w:rsidP="001A0814">
            <w:pPr>
              <w:spacing w:after="0"/>
              <w:jc w:val="right"/>
              <w:rPr>
                <w:b/>
                <w:bCs/>
                <w:sz w:val="18"/>
                <w:szCs w:val="18"/>
              </w:rPr>
            </w:pPr>
            <w:r w:rsidRPr="003E3A1D">
              <w:rPr>
                <w:b/>
                <w:bCs/>
                <w:sz w:val="18"/>
                <w:szCs w:val="18"/>
              </w:rPr>
              <w:t xml:space="preserve">-5 101,5 </w:t>
            </w:r>
          </w:p>
        </w:tc>
        <w:tc>
          <w:tcPr>
            <w:tcW w:w="1077" w:type="dxa"/>
            <w:tcBorders>
              <w:top w:val="nil"/>
              <w:left w:val="nil"/>
              <w:bottom w:val="single" w:sz="4" w:space="0" w:color="auto"/>
              <w:right w:val="single" w:sz="4" w:space="0" w:color="auto"/>
            </w:tcBorders>
            <w:shd w:val="clear" w:color="auto" w:fill="auto"/>
            <w:noWrap/>
            <w:vAlign w:val="center"/>
          </w:tcPr>
          <w:p w14:paraId="5FCA0A06" w14:textId="43584FB1" w:rsidR="001A0814" w:rsidRPr="003E3A1D" w:rsidRDefault="001A0814" w:rsidP="001A0814">
            <w:pPr>
              <w:spacing w:after="0"/>
              <w:jc w:val="right"/>
              <w:rPr>
                <w:b/>
                <w:bCs/>
                <w:sz w:val="18"/>
                <w:szCs w:val="18"/>
              </w:rPr>
            </w:pPr>
            <w:r w:rsidRPr="003E3A1D">
              <w:rPr>
                <w:b/>
                <w:bCs/>
                <w:sz w:val="18"/>
                <w:szCs w:val="18"/>
              </w:rPr>
              <w:t xml:space="preserve">-1 144,1 </w:t>
            </w:r>
          </w:p>
        </w:tc>
        <w:tc>
          <w:tcPr>
            <w:tcW w:w="1077" w:type="dxa"/>
            <w:tcBorders>
              <w:top w:val="nil"/>
              <w:left w:val="nil"/>
              <w:bottom w:val="single" w:sz="4" w:space="0" w:color="auto"/>
              <w:right w:val="single" w:sz="4" w:space="0" w:color="auto"/>
            </w:tcBorders>
            <w:shd w:val="clear" w:color="auto" w:fill="auto"/>
            <w:noWrap/>
            <w:vAlign w:val="center"/>
          </w:tcPr>
          <w:p w14:paraId="64EF7366" w14:textId="2DF60F65" w:rsidR="001A0814" w:rsidRPr="003E3A1D" w:rsidRDefault="001A0814" w:rsidP="001A0814">
            <w:pPr>
              <w:spacing w:after="0"/>
              <w:jc w:val="right"/>
              <w:rPr>
                <w:sz w:val="18"/>
                <w:szCs w:val="18"/>
              </w:rPr>
            </w:pPr>
            <w:r w:rsidRPr="003E3A1D">
              <w:rPr>
                <w:sz w:val="18"/>
                <w:szCs w:val="18"/>
              </w:rPr>
              <w:t xml:space="preserve">22,4 </w:t>
            </w:r>
          </w:p>
        </w:tc>
        <w:tc>
          <w:tcPr>
            <w:tcW w:w="1077" w:type="dxa"/>
            <w:tcBorders>
              <w:top w:val="nil"/>
              <w:left w:val="nil"/>
              <w:bottom w:val="single" w:sz="4" w:space="0" w:color="auto"/>
              <w:right w:val="single" w:sz="4" w:space="0" w:color="auto"/>
            </w:tcBorders>
            <w:shd w:val="clear" w:color="auto" w:fill="auto"/>
            <w:noWrap/>
            <w:vAlign w:val="center"/>
          </w:tcPr>
          <w:p w14:paraId="512B0D7C" w14:textId="53B96437" w:rsidR="001A0814" w:rsidRPr="003E3A1D" w:rsidRDefault="001A0814" w:rsidP="001A0814">
            <w:pPr>
              <w:spacing w:after="0"/>
              <w:jc w:val="right"/>
              <w:rPr>
                <w:b/>
                <w:bCs/>
                <w:sz w:val="18"/>
                <w:szCs w:val="18"/>
              </w:rPr>
            </w:pPr>
            <w:r w:rsidRPr="003E3A1D">
              <w:rPr>
                <w:b/>
                <w:bCs/>
                <w:sz w:val="18"/>
                <w:szCs w:val="18"/>
              </w:rPr>
              <w:t xml:space="preserve">-3 152,7 </w:t>
            </w:r>
          </w:p>
        </w:tc>
        <w:tc>
          <w:tcPr>
            <w:tcW w:w="1077" w:type="dxa"/>
            <w:tcBorders>
              <w:top w:val="nil"/>
              <w:left w:val="nil"/>
              <w:bottom w:val="single" w:sz="4" w:space="0" w:color="auto"/>
              <w:right w:val="single" w:sz="4" w:space="0" w:color="auto"/>
            </w:tcBorders>
            <w:shd w:val="clear" w:color="auto" w:fill="auto"/>
            <w:noWrap/>
            <w:vAlign w:val="center"/>
          </w:tcPr>
          <w:p w14:paraId="7BB12A6E" w14:textId="0A46799C" w:rsidR="001A0814" w:rsidRPr="003E3A1D" w:rsidRDefault="001A0814" w:rsidP="001A0814">
            <w:pPr>
              <w:spacing w:after="0"/>
              <w:jc w:val="right"/>
              <w:rPr>
                <w:b/>
                <w:bCs/>
                <w:sz w:val="18"/>
                <w:szCs w:val="18"/>
              </w:rPr>
            </w:pPr>
            <w:r w:rsidRPr="003E3A1D">
              <w:rPr>
                <w:b/>
                <w:bCs/>
                <w:sz w:val="18"/>
                <w:szCs w:val="18"/>
              </w:rPr>
              <w:t xml:space="preserve">-2 309,4 </w:t>
            </w:r>
          </w:p>
        </w:tc>
        <w:tc>
          <w:tcPr>
            <w:tcW w:w="1077" w:type="dxa"/>
            <w:tcBorders>
              <w:top w:val="nil"/>
              <w:left w:val="nil"/>
              <w:bottom w:val="single" w:sz="4" w:space="0" w:color="auto"/>
              <w:right w:val="single" w:sz="4" w:space="0" w:color="auto"/>
            </w:tcBorders>
            <w:shd w:val="clear" w:color="auto" w:fill="auto"/>
            <w:noWrap/>
            <w:vAlign w:val="center"/>
          </w:tcPr>
          <w:p w14:paraId="56B5BCBD" w14:textId="4CB4112A" w:rsidR="001A0814" w:rsidRPr="003E3A1D" w:rsidRDefault="001A0814" w:rsidP="001A0814">
            <w:pPr>
              <w:spacing w:after="0"/>
              <w:jc w:val="right"/>
              <w:rPr>
                <w:sz w:val="18"/>
                <w:szCs w:val="18"/>
              </w:rPr>
            </w:pPr>
            <w:r w:rsidRPr="003E3A1D">
              <w:rPr>
                <w:sz w:val="18"/>
                <w:szCs w:val="18"/>
              </w:rPr>
              <w:t xml:space="preserve">73,3 </w:t>
            </w:r>
          </w:p>
        </w:tc>
        <w:tc>
          <w:tcPr>
            <w:tcW w:w="1077" w:type="dxa"/>
            <w:tcBorders>
              <w:top w:val="nil"/>
              <w:left w:val="nil"/>
              <w:bottom w:val="single" w:sz="4" w:space="0" w:color="auto"/>
              <w:right w:val="single" w:sz="4" w:space="0" w:color="auto"/>
            </w:tcBorders>
            <w:shd w:val="clear" w:color="auto" w:fill="auto"/>
            <w:noWrap/>
            <w:vAlign w:val="center"/>
          </w:tcPr>
          <w:p w14:paraId="15168564" w14:textId="33035AA4" w:rsidR="001A0814" w:rsidRPr="003E3A1D" w:rsidRDefault="001A0814" w:rsidP="001A0814">
            <w:pPr>
              <w:spacing w:after="0"/>
              <w:jc w:val="right"/>
              <w:rPr>
                <w:sz w:val="18"/>
                <w:szCs w:val="18"/>
              </w:rPr>
            </w:pPr>
            <w:r w:rsidRPr="003E3A1D">
              <w:rPr>
                <w:sz w:val="18"/>
                <w:szCs w:val="18"/>
              </w:rPr>
              <w:t xml:space="preserve">201,9 </w:t>
            </w:r>
          </w:p>
        </w:tc>
      </w:tr>
      <w:tr w:rsidR="003E3A1D" w:rsidRPr="003E3A1D" w14:paraId="3D085499"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A3ECE91" w14:textId="77777777" w:rsidR="001A0814" w:rsidRPr="003E3A1D" w:rsidRDefault="001A0814" w:rsidP="001A0814">
            <w:pPr>
              <w:spacing w:after="0"/>
              <w:jc w:val="right"/>
              <w:rPr>
                <w:sz w:val="18"/>
                <w:szCs w:val="18"/>
              </w:rPr>
            </w:pPr>
            <w:r w:rsidRPr="003E3A1D">
              <w:rPr>
                <w:sz w:val="18"/>
                <w:szCs w:val="18"/>
              </w:rPr>
              <w:t>bevétel:</w:t>
            </w:r>
          </w:p>
        </w:tc>
        <w:tc>
          <w:tcPr>
            <w:tcW w:w="1077" w:type="dxa"/>
            <w:tcBorders>
              <w:top w:val="nil"/>
              <w:left w:val="nil"/>
              <w:bottom w:val="single" w:sz="4" w:space="0" w:color="auto"/>
              <w:right w:val="single" w:sz="4" w:space="0" w:color="auto"/>
            </w:tcBorders>
            <w:shd w:val="clear" w:color="auto" w:fill="auto"/>
            <w:noWrap/>
            <w:vAlign w:val="center"/>
          </w:tcPr>
          <w:p w14:paraId="568778FA" w14:textId="22B90C03" w:rsidR="001A0814" w:rsidRPr="003E3A1D" w:rsidRDefault="001A0814" w:rsidP="001A0814">
            <w:pPr>
              <w:spacing w:after="0"/>
              <w:jc w:val="right"/>
              <w:rPr>
                <w:sz w:val="18"/>
                <w:szCs w:val="18"/>
              </w:rPr>
            </w:pPr>
            <w:r w:rsidRPr="003E3A1D">
              <w:rPr>
                <w:sz w:val="18"/>
                <w:szCs w:val="18"/>
              </w:rPr>
              <w:t xml:space="preserve">24 994,4 </w:t>
            </w:r>
          </w:p>
        </w:tc>
        <w:tc>
          <w:tcPr>
            <w:tcW w:w="1077" w:type="dxa"/>
            <w:tcBorders>
              <w:top w:val="nil"/>
              <w:left w:val="nil"/>
              <w:bottom w:val="single" w:sz="4" w:space="0" w:color="auto"/>
              <w:right w:val="single" w:sz="4" w:space="0" w:color="auto"/>
            </w:tcBorders>
            <w:shd w:val="clear" w:color="auto" w:fill="auto"/>
            <w:noWrap/>
            <w:vAlign w:val="center"/>
          </w:tcPr>
          <w:p w14:paraId="2638E2AB" w14:textId="300E9F0A" w:rsidR="001A0814" w:rsidRPr="003E3A1D" w:rsidRDefault="001A0814" w:rsidP="001A0814">
            <w:pPr>
              <w:spacing w:after="0"/>
              <w:jc w:val="right"/>
              <w:rPr>
                <w:sz w:val="18"/>
                <w:szCs w:val="18"/>
              </w:rPr>
            </w:pPr>
            <w:r w:rsidRPr="003E3A1D">
              <w:rPr>
                <w:sz w:val="18"/>
                <w:szCs w:val="18"/>
              </w:rPr>
              <w:t xml:space="preserve">5 808,9 </w:t>
            </w:r>
          </w:p>
        </w:tc>
        <w:tc>
          <w:tcPr>
            <w:tcW w:w="1077" w:type="dxa"/>
            <w:tcBorders>
              <w:top w:val="nil"/>
              <w:left w:val="nil"/>
              <w:bottom w:val="single" w:sz="4" w:space="0" w:color="auto"/>
              <w:right w:val="single" w:sz="4" w:space="0" w:color="auto"/>
            </w:tcBorders>
            <w:shd w:val="clear" w:color="auto" w:fill="auto"/>
            <w:noWrap/>
            <w:vAlign w:val="center"/>
          </w:tcPr>
          <w:p w14:paraId="6F5C7769" w14:textId="3BF81534" w:rsidR="001A0814" w:rsidRPr="003E3A1D" w:rsidRDefault="001A0814" w:rsidP="001A0814">
            <w:pPr>
              <w:spacing w:after="0"/>
              <w:jc w:val="right"/>
              <w:rPr>
                <w:sz w:val="18"/>
                <w:szCs w:val="18"/>
              </w:rPr>
            </w:pPr>
            <w:r w:rsidRPr="003E3A1D">
              <w:rPr>
                <w:sz w:val="18"/>
                <w:szCs w:val="18"/>
              </w:rPr>
              <w:t xml:space="preserve">23,2 </w:t>
            </w:r>
          </w:p>
        </w:tc>
        <w:tc>
          <w:tcPr>
            <w:tcW w:w="1077" w:type="dxa"/>
            <w:tcBorders>
              <w:top w:val="nil"/>
              <w:left w:val="nil"/>
              <w:bottom w:val="single" w:sz="4" w:space="0" w:color="auto"/>
              <w:right w:val="single" w:sz="4" w:space="0" w:color="auto"/>
            </w:tcBorders>
            <w:shd w:val="clear" w:color="auto" w:fill="auto"/>
            <w:noWrap/>
            <w:vAlign w:val="center"/>
          </w:tcPr>
          <w:p w14:paraId="495DE750" w14:textId="37524C2D" w:rsidR="001A0814" w:rsidRPr="003E3A1D" w:rsidRDefault="001A0814" w:rsidP="001A0814">
            <w:pPr>
              <w:spacing w:after="0"/>
              <w:jc w:val="right"/>
              <w:rPr>
                <w:sz w:val="18"/>
                <w:szCs w:val="18"/>
              </w:rPr>
            </w:pPr>
            <w:r w:rsidRPr="003E3A1D">
              <w:rPr>
                <w:sz w:val="18"/>
                <w:szCs w:val="18"/>
              </w:rPr>
              <w:t xml:space="preserve">25 393,8 </w:t>
            </w:r>
          </w:p>
        </w:tc>
        <w:tc>
          <w:tcPr>
            <w:tcW w:w="1077" w:type="dxa"/>
            <w:tcBorders>
              <w:top w:val="nil"/>
              <w:left w:val="nil"/>
              <w:bottom w:val="single" w:sz="4" w:space="0" w:color="auto"/>
              <w:right w:val="single" w:sz="4" w:space="0" w:color="auto"/>
            </w:tcBorders>
            <w:shd w:val="clear" w:color="auto" w:fill="auto"/>
            <w:noWrap/>
            <w:vAlign w:val="center"/>
          </w:tcPr>
          <w:p w14:paraId="327FBEC1" w14:textId="6B411D7B" w:rsidR="001A0814" w:rsidRPr="003E3A1D" w:rsidRDefault="001A0814" w:rsidP="001A0814">
            <w:pPr>
              <w:spacing w:after="0"/>
              <w:jc w:val="right"/>
              <w:rPr>
                <w:sz w:val="18"/>
                <w:szCs w:val="18"/>
              </w:rPr>
            </w:pPr>
            <w:r w:rsidRPr="003E3A1D">
              <w:rPr>
                <w:sz w:val="18"/>
                <w:szCs w:val="18"/>
              </w:rPr>
              <w:t xml:space="preserve">7 057,6 </w:t>
            </w:r>
          </w:p>
        </w:tc>
        <w:tc>
          <w:tcPr>
            <w:tcW w:w="1077" w:type="dxa"/>
            <w:tcBorders>
              <w:top w:val="nil"/>
              <w:left w:val="nil"/>
              <w:bottom w:val="single" w:sz="4" w:space="0" w:color="auto"/>
              <w:right w:val="single" w:sz="4" w:space="0" w:color="auto"/>
            </w:tcBorders>
            <w:shd w:val="clear" w:color="auto" w:fill="auto"/>
            <w:noWrap/>
            <w:vAlign w:val="center"/>
          </w:tcPr>
          <w:p w14:paraId="69C5D205" w14:textId="3C14EE4C" w:rsidR="001A0814" w:rsidRPr="003E3A1D" w:rsidRDefault="001A0814" w:rsidP="001A0814">
            <w:pPr>
              <w:spacing w:after="0"/>
              <w:jc w:val="right"/>
              <w:rPr>
                <w:sz w:val="18"/>
                <w:szCs w:val="18"/>
              </w:rPr>
            </w:pPr>
            <w:r w:rsidRPr="003E3A1D">
              <w:rPr>
                <w:sz w:val="18"/>
                <w:szCs w:val="18"/>
              </w:rPr>
              <w:t xml:space="preserve">27,8 </w:t>
            </w:r>
          </w:p>
        </w:tc>
        <w:tc>
          <w:tcPr>
            <w:tcW w:w="1077" w:type="dxa"/>
            <w:tcBorders>
              <w:top w:val="nil"/>
              <w:left w:val="nil"/>
              <w:bottom w:val="single" w:sz="4" w:space="0" w:color="auto"/>
              <w:right w:val="single" w:sz="4" w:space="0" w:color="auto"/>
            </w:tcBorders>
            <w:shd w:val="clear" w:color="auto" w:fill="auto"/>
            <w:noWrap/>
            <w:vAlign w:val="center"/>
          </w:tcPr>
          <w:p w14:paraId="6516F6D6" w14:textId="0A06A1C5" w:rsidR="001A0814" w:rsidRPr="003E3A1D" w:rsidRDefault="001A0814" w:rsidP="001A0814">
            <w:pPr>
              <w:spacing w:after="0"/>
              <w:jc w:val="right"/>
              <w:rPr>
                <w:sz w:val="18"/>
                <w:szCs w:val="18"/>
              </w:rPr>
            </w:pPr>
            <w:r w:rsidRPr="003E3A1D">
              <w:rPr>
                <w:sz w:val="18"/>
                <w:szCs w:val="18"/>
              </w:rPr>
              <w:t xml:space="preserve">121,5 </w:t>
            </w:r>
          </w:p>
        </w:tc>
      </w:tr>
      <w:tr w:rsidR="003E3A1D" w:rsidRPr="003E3A1D" w14:paraId="46862983" w14:textId="77777777" w:rsidTr="4AC3BDA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3A237CB" w14:textId="77777777" w:rsidR="001A0814" w:rsidRPr="003E3A1D" w:rsidRDefault="001A0814" w:rsidP="001A0814">
            <w:pPr>
              <w:spacing w:after="0"/>
              <w:jc w:val="right"/>
              <w:rPr>
                <w:sz w:val="18"/>
                <w:szCs w:val="18"/>
              </w:rPr>
            </w:pPr>
            <w:r w:rsidRPr="003E3A1D">
              <w:rPr>
                <w:sz w:val="18"/>
                <w:szCs w:val="18"/>
              </w:rPr>
              <w:t>kiadás:</w:t>
            </w:r>
          </w:p>
        </w:tc>
        <w:tc>
          <w:tcPr>
            <w:tcW w:w="1077" w:type="dxa"/>
            <w:tcBorders>
              <w:top w:val="nil"/>
              <w:left w:val="nil"/>
              <w:bottom w:val="single" w:sz="4" w:space="0" w:color="auto"/>
              <w:right w:val="single" w:sz="4" w:space="0" w:color="auto"/>
            </w:tcBorders>
            <w:shd w:val="clear" w:color="auto" w:fill="auto"/>
            <w:noWrap/>
            <w:vAlign w:val="center"/>
          </w:tcPr>
          <w:p w14:paraId="014321CB" w14:textId="3B78B2F8" w:rsidR="001A0814" w:rsidRPr="003E3A1D" w:rsidRDefault="001A0814" w:rsidP="001A0814">
            <w:pPr>
              <w:spacing w:after="0"/>
              <w:jc w:val="right"/>
              <w:rPr>
                <w:sz w:val="18"/>
                <w:szCs w:val="18"/>
              </w:rPr>
            </w:pPr>
            <w:r w:rsidRPr="003E3A1D">
              <w:rPr>
                <w:sz w:val="18"/>
                <w:szCs w:val="18"/>
              </w:rPr>
              <w:t xml:space="preserve">30 095,9 </w:t>
            </w:r>
          </w:p>
        </w:tc>
        <w:tc>
          <w:tcPr>
            <w:tcW w:w="1077" w:type="dxa"/>
            <w:tcBorders>
              <w:top w:val="nil"/>
              <w:left w:val="nil"/>
              <w:bottom w:val="single" w:sz="4" w:space="0" w:color="auto"/>
              <w:right w:val="single" w:sz="4" w:space="0" w:color="auto"/>
            </w:tcBorders>
            <w:shd w:val="clear" w:color="auto" w:fill="auto"/>
            <w:noWrap/>
            <w:vAlign w:val="center"/>
          </w:tcPr>
          <w:p w14:paraId="07742152" w14:textId="2076BAF9" w:rsidR="001A0814" w:rsidRPr="003E3A1D" w:rsidRDefault="001A0814" w:rsidP="001A0814">
            <w:pPr>
              <w:spacing w:after="0"/>
              <w:jc w:val="right"/>
              <w:rPr>
                <w:sz w:val="18"/>
                <w:szCs w:val="18"/>
              </w:rPr>
            </w:pPr>
            <w:r w:rsidRPr="003E3A1D">
              <w:rPr>
                <w:sz w:val="18"/>
                <w:szCs w:val="18"/>
              </w:rPr>
              <w:t xml:space="preserve">6 953,0 </w:t>
            </w:r>
          </w:p>
        </w:tc>
        <w:tc>
          <w:tcPr>
            <w:tcW w:w="1077" w:type="dxa"/>
            <w:tcBorders>
              <w:top w:val="nil"/>
              <w:left w:val="nil"/>
              <w:bottom w:val="single" w:sz="4" w:space="0" w:color="auto"/>
              <w:right w:val="single" w:sz="4" w:space="0" w:color="auto"/>
            </w:tcBorders>
            <w:shd w:val="clear" w:color="auto" w:fill="auto"/>
            <w:noWrap/>
            <w:vAlign w:val="center"/>
          </w:tcPr>
          <w:p w14:paraId="0D2EFF97" w14:textId="05EFA4FF" w:rsidR="001A0814" w:rsidRPr="003E3A1D" w:rsidRDefault="001A0814" w:rsidP="001A0814">
            <w:pPr>
              <w:spacing w:after="0"/>
              <w:jc w:val="right"/>
              <w:rPr>
                <w:sz w:val="18"/>
                <w:szCs w:val="18"/>
              </w:rPr>
            </w:pPr>
            <w:r w:rsidRPr="003E3A1D">
              <w:rPr>
                <w:sz w:val="18"/>
                <w:szCs w:val="18"/>
              </w:rPr>
              <w:t xml:space="preserve">23,1 </w:t>
            </w:r>
          </w:p>
        </w:tc>
        <w:tc>
          <w:tcPr>
            <w:tcW w:w="1077" w:type="dxa"/>
            <w:tcBorders>
              <w:top w:val="nil"/>
              <w:left w:val="nil"/>
              <w:bottom w:val="single" w:sz="4" w:space="0" w:color="auto"/>
              <w:right w:val="single" w:sz="4" w:space="0" w:color="auto"/>
            </w:tcBorders>
            <w:shd w:val="clear" w:color="auto" w:fill="auto"/>
            <w:noWrap/>
            <w:vAlign w:val="center"/>
          </w:tcPr>
          <w:p w14:paraId="5F0FF6B1" w14:textId="55998980" w:rsidR="001A0814" w:rsidRPr="003E3A1D" w:rsidRDefault="001A0814" w:rsidP="001A0814">
            <w:pPr>
              <w:spacing w:after="0"/>
              <w:jc w:val="right"/>
              <w:rPr>
                <w:sz w:val="18"/>
                <w:szCs w:val="18"/>
              </w:rPr>
            </w:pPr>
            <w:r w:rsidRPr="003E3A1D">
              <w:rPr>
                <w:sz w:val="18"/>
                <w:szCs w:val="18"/>
              </w:rPr>
              <w:t xml:space="preserve">28 546,5 </w:t>
            </w:r>
          </w:p>
        </w:tc>
        <w:tc>
          <w:tcPr>
            <w:tcW w:w="1077" w:type="dxa"/>
            <w:tcBorders>
              <w:top w:val="nil"/>
              <w:left w:val="nil"/>
              <w:bottom w:val="single" w:sz="4" w:space="0" w:color="auto"/>
              <w:right w:val="single" w:sz="4" w:space="0" w:color="auto"/>
            </w:tcBorders>
            <w:shd w:val="clear" w:color="auto" w:fill="auto"/>
            <w:noWrap/>
            <w:vAlign w:val="center"/>
          </w:tcPr>
          <w:p w14:paraId="0277DAA7" w14:textId="7E3CDC8C" w:rsidR="001A0814" w:rsidRPr="003E3A1D" w:rsidRDefault="001A0814" w:rsidP="001A0814">
            <w:pPr>
              <w:spacing w:after="0"/>
              <w:jc w:val="right"/>
              <w:rPr>
                <w:sz w:val="18"/>
                <w:szCs w:val="18"/>
              </w:rPr>
            </w:pPr>
            <w:r w:rsidRPr="003E3A1D">
              <w:rPr>
                <w:sz w:val="18"/>
                <w:szCs w:val="18"/>
              </w:rPr>
              <w:t xml:space="preserve">9 367,0 </w:t>
            </w:r>
          </w:p>
        </w:tc>
        <w:tc>
          <w:tcPr>
            <w:tcW w:w="1077" w:type="dxa"/>
            <w:tcBorders>
              <w:top w:val="nil"/>
              <w:left w:val="nil"/>
              <w:bottom w:val="single" w:sz="4" w:space="0" w:color="auto"/>
              <w:right w:val="single" w:sz="4" w:space="0" w:color="auto"/>
            </w:tcBorders>
            <w:shd w:val="clear" w:color="auto" w:fill="auto"/>
            <w:noWrap/>
            <w:vAlign w:val="center"/>
          </w:tcPr>
          <w:p w14:paraId="4B0BFB81" w14:textId="7FE5DA05" w:rsidR="001A0814" w:rsidRPr="003E3A1D" w:rsidRDefault="001A0814" w:rsidP="001A0814">
            <w:pPr>
              <w:spacing w:after="0"/>
              <w:jc w:val="right"/>
              <w:rPr>
                <w:sz w:val="18"/>
                <w:szCs w:val="18"/>
              </w:rPr>
            </w:pPr>
            <w:r w:rsidRPr="003E3A1D">
              <w:rPr>
                <w:sz w:val="18"/>
                <w:szCs w:val="18"/>
              </w:rPr>
              <w:t xml:space="preserve">32,8 </w:t>
            </w:r>
          </w:p>
        </w:tc>
        <w:tc>
          <w:tcPr>
            <w:tcW w:w="1077" w:type="dxa"/>
            <w:tcBorders>
              <w:top w:val="nil"/>
              <w:left w:val="nil"/>
              <w:bottom w:val="single" w:sz="4" w:space="0" w:color="auto"/>
              <w:right w:val="single" w:sz="4" w:space="0" w:color="auto"/>
            </w:tcBorders>
            <w:shd w:val="clear" w:color="auto" w:fill="auto"/>
            <w:noWrap/>
            <w:vAlign w:val="center"/>
          </w:tcPr>
          <w:p w14:paraId="25BC5E9B" w14:textId="2FE9F910" w:rsidR="001A0814" w:rsidRPr="003E3A1D" w:rsidRDefault="001A0814" w:rsidP="001A0814">
            <w:pPr>
              <w:spacing w:after="0"/>
              <w:jc w:val="right"/>
              <w:rPr>
                <w:sz w:val="18"/>
                <w:szCs w:val="18"/>
              </w:rPr>
            </w:pPr>
            <w:r w:rsidRPr="003E3A1D">
              <w:rPr>
                <w:sz w:val="18"/>
                <w:szCs w:val="18"/>
              </w:rPr>
              <w:t xml:space="preserve">134,7 </w:t>
            </w:r>
          </w:p>
        </w:tc>
      </w:tr>
    </w:tbl>
    <w:p w14:paraId="475BFD86" w14:textId="0F00C463" w:rsidR="009B7DC5" w:rsidRPr="003E3A1D" w:rsidRDefault="009B7DC5" w:rsidP="008D2B71">
      <w:pPr>
        <w:rPr>
          <w:b/>
          <w:bCs/>
        </w:rPr>
      </w:pPr>
      <w:r w:rsidRPr="003E3A1D">
        <w:rPr>
          <w:b/>
          <w:bCs/>
        </w:rPr>
        <w:br w:type="page"/>
      </w:r>
    </w:p>
    <w:p w14:paraId="5D4F01B7" w14:textId="6839E02E" w:rsidR="000D0735" w:rsidRPr="003E3A1D" w:rsidRDefault="4AC3BDA3" w:rsidP="4AC3BDA3">
      <w:pPr>
        <w:jc w:val="center"/>
        <w:rPr>
          <w:b/>
          <w:bCs/>
        </w:rPr>
      </w:pPr>
      <w:r w:rsidRPr="003E3A1D">
        <w:rPr>
          <w:b/>
          <w:bCs/>
        </w:rPr>
        <w:lastRenderedPageBreak/>
        <w:t>I.</w:t>
      </w:r>
    </w:p>
    <w:p w14:paraId="5D4F01B8" w14:textId="77777777" w:rsidR="003C135C" w:rsidRPr="003E3A1D" w:rsidRDefault="4AC3BDA3" w:rsidP="003C135C">
      <w:pPr>
        <w:pStyle w:val="Cmsor2"/>
        <w:spacing w:before="0" w:after="120"/>
      </w:pPr>
      <w:r w:rsidRPr="003E3A1D">
        <w:t xml:space="preserve">A központi alrendszer pénzügyi folyamatainak </w:t>
      </w:r>
      <w:r w:rsidR="443F750D" w:rsidRPr="003E3A1D">
        <w:br/>
      </w:r>
      <w:r w:rsidRPr="003E3A1D">
        <w:t>alakulása</w:t>
      </w:r>
    </w:p>
    <w:p w14:paraId="16926C64" w14:textId="71016927" w:rsidR="00D05D14" w:rsidRPr="003E3A1D" w:rsidRDefault="4AC3BDA3" w:rsidP="00D05D14">
      <w:pPr>
        <w:pStyle w:val="Cmsor3"/>
        <w:numPr>
          <w:ilvl w:val="0"/>
          <w:numId w:val="8"/>
        </w:numPr>
        <w:spacing w:before="0" w:after="120"/>
        <w:jc w:val="left"/>
      </w:pPr>
      <w:r w:rsidRPr="003E3A1D">
        <w:rPr>
          <w:sz w:val="26"/>
          <w:szCs w:val="26"/>
        </w:rPr>
        <w:t>A főbb bevételek</w:t>
      </w:r>
    </w:p>
    <w:p w14:paraId="46305D32" w14:textId="0877301C" w:rsidR="005359D0" w:rsidRPr="003E3A1D" w:rsidRDefault="4AC3BDA3" w:rsidP="4AC3BDA3">
      <w:pPr>
        <w:rPr>
          <w:b/>
          <w:bCs/>
        </w:rPr>
      </w:pPr>
      <w:r w:rsidRPr="003E3A1D">
        <w:rPr>
          <w:b/>
          <w:bCs/>
        </w:rPr>
        <w:t>A központi alrendszer 2022. március végi 7057,6 milliárd forint összegű bevételei az előző év azonos időszakához képest 1248,7 milliárd forinttal, 21,5%-kal magasabb összegben alakultak. A bevételek kapcsán kiemelendő, hogy 2022 első három hónapjában – a</w:t>
      </w:r>
      <w:r w:rsidR="003E3A1D">
        <w:rPr>
          <w:b/>
          <w:bCs/>
        </w:rPr>
        <w:t xml:space="preserve"> </w:t>
      </w:r>
      <w:r w:rsidR="003E3A1D" w:rsidRPr="003E3A1D">
        <w:rPr>
          <w:b/>
          <w:bCs/>
        </w:rPr>
        <w:t>személyijövedelemadó-visszatérítés</w:t>
      </w:r>
      <w:r w:rsidR="003E3A1D">
        <w:rPr>
          <w:b/>
          <w:bCs/>
        </w:rPr>
        <w:t xml:space="preserve">sel </w:t>
      </w:r>
      <w:r w:rsidRPr="003E3A1D">
        <w:rPr>
          <w:b/>
          <w:bCs/>
        </w:rPr>
        <w:t>korrigálva – az előző év azonos időszakához képest magasabban teljesültek az adó- és járulékbevételek (többek között a társasági adóból, a kisvállalati adóból, az általános forgalmi adóból és a társadalombiztosítási járulékból származó bevételek).  Ugyancsak meghaladták az egy évvel korábbi teljesítést a költségvetési szervek bevételei is.</w:t>
      </w:r>
    </w:p>
    <w:p w14:paraId="1A455D5C" w14:textId="77777777" w:rsidR="00D3203A" w:rsidRPr="003E3A1D" w:rsidRDefault="00D3203A" w:rsidP="00483A53">
      <w:pPr>
        <w:rPr>
          <w:szCs w:val="26"/>
        </w:rPr>
      </w:pPr>
    </w:p>
    <w:p w14:paraId="721B4226" w14:textId="7BD4A0C0" w:rsidR="00D3203A" w:rsidRPr="003E3A1D" w:rsidRDefault="007B63BD" w:rsidP="00483A53">
      <w:pPr>
        <w:rPr>
          <w:szCs w:val="26"/>
        </w:rPr>
      </w:pPr>
      <w:r w:rsidRPr="003E3A1D">
        <w:rPr>
          <w:noProof/>
          <w:szCs w:val="26"/>
        </w:rPr>
        <w:drawing>
          <wp:inline distT="0" distB="0" distL="0" distR="0" wp14:anchorId="68CB6BB6" wp14:editId="3045276A">
            <wp:extent cx="5940425" cy="2132993"/>
            <wp:effectExtent l="0" t="0" r="3175" b="635"/>
            <wp:docPr id="1" name="Kép 1" descr="Z:\Áht_gyors_moni\2022_03_márc\0_feljegyzés_monitoring\ábrák\___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ht_gyors_moni\2022_03_márc\0_feljegyzés_monitoring\ábrák\___bevétel_megoszlá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32993"/>
                    </a:xfrm>
                    <a:prstGeom prst="rect">
                      <a:avLst/>
                    </a:prstGeom>
                    <a:noFill/>
                    <a:ln>
                      <a:noFill/>
                    </a:ln>
                  </pic:spPr>
                </pic:pic>
              </a:graphicData>
            </a:graphic>
          </wp:inline>
        </w:drawing>
      </w:r>
    </w:p>
    <w:p w14:paraId="52C5064F" w14:textId="7F755F3A" w:rsidR="008D2DF3" w:rsidRPr="003E3A1D" w:rsidRDefault="008D2DF3" w:rsidP="00483A53">
      <w:pPr>
        <w:rPr>
          <w:szCs w:val="26"/>
        </w:rPr>
      </w:pPr>
    </w:p>
    <w:p w14:paraId="78792053" w14:textId="1F2FD838" w:rsidR="00B91971" w:rsidRPr="003E3A1D" w:rsidRDefault="4AC3BDA3" w:rsidP="00EB00F3">
      <w:r w:rsidRPr="003E3A1D">
        <w:rPr>
          <w:b/>
          <w:bCs/>
        </w:rPr>
        <w:t xml:space="preserve">Társasági adó </w:t>
      </w:r>
      <w:r w:rsidRPr="003E3A1D">
        <w:t xml:space="preserve">jogcímen 2022 első </w:t>
      </w:r>
      <w:r w:rsidR="00AE012E" w:rsidRPr="003E3A1D">
        <w:t xml:space="preserve">három hónapjában 142,9 milliárd forint realizálódott, amely az előző év azonos időszakának egyenlegét 28,9 milliárd forinttal haladta meg. A bázisévhez viszonyítva az eltérést a felkönyvelt előlegek előző évinél magasabb szintje, valamint egy egyedi </w:t>
      </w:r>
      <w:r w:rsidR="00ED4194" w:rsidRPr="003E3A1D">
        <w:t xml:space="preserve">befizetés </w:t>
      </w:r>
      <w:r w:rsidR="00AE012E" w:rsidRPr="003E3A1D">
        <w:t>és</w:t>
      </w:r>
      <w:r w:rsidR="00ED4194" w:rsidRPr="003E3A1D">
        <w:t xml:space="preserve"> az</w:t>
      </w:r>
      <w:r w:rsidR="00AE012E" w:rsidRPr="003E3A1D">
        <w:t xml:space="preserve"> eltérő üzleti éves adózók elszámolásához köthető befizetések okozták</w:t>
      </w:r>
      <w:r w:rsidRPr="003E3A1D">
        <w:t>.</w:t>
      </w:r>
    </w:p>
    <w:p w14:paraId="6FFBEE4D" w14:textId="3E45D25C" w:rsidR="00FA2934" w:rsidRPr="003E3A1D" w:rsidRDefault="4AC3BDA3" w:rsidP="00EB00F3">
      <w:r w:rsidRPr="003E3A1D">
        <w:t>A</w:t>
      </w:r>
      <w:r w:rsidRPr="003E3A1D">
        <w:rPr>
          <w:b/>
          <w:bCs/>
        </w:rPr>
        <w:t xml:space="preserve"> pénzügyi szervezetek különadójából</w:t>
      </w:r>
      <w:r w:rsidRPr="003E3A1D">
        <w:t xml:space="preserve"> származó bevétel 2022 első </w:t>
      </w:r>
      <w:r w:rsidR="00AE012E" w:rsidRPr="003E3A1D">
        <w:t>három hónapjában 19,3 milliárd forint volt, mely az előző év azonos időszakának egyenlegét 3,9 milliárd forinttal haladta meg. Ennek oka a bevallási adatok alapján előírt magasabb előlegkötelezettségek</w:t>
      </w:r>
      <w:r w:rsidRPr="003E3A1D">
        <w:t>.</w:t>
      </w:r>
    </w:p>
    <w:p w14:paraId="79232D36" w14:textId="7FC66855" w:rsidR="00FA2934" w:rsidRPr="003E3A1D" w:rsidRDefault="4AC3BDA3" w:rsidP="00EB00F3">
      <w:r w:rsidRPr="003E3A1D">
        <w:t>A</w:t>
      </w:r>
      <w:r w:rsidRPr="003E3A1D">
        <w:rPr>
          <w:b/>
          <w:bCs/>
        </w:rPr>
        <w:t xml:space="preserve"> kisadózók tételes adójából</w:t>
      </w:r>
      <w:r w:rsidRPr="003E3A1D">
        <w:t xml:space="preserve"> 2022 első </w:t>
      </w:r>
      <w:r w:rsidR="00AE012E" w:rsidRPr="003E3A1D">
        <w:t>három hónapjában a költségvetésnek 55,1</w:t>
      </w:r>
      <w:r w:rsidR="00253663" w:rsidRPr="003E3A1D">
        <w:t> </w:t>
      </w:r>
      <w:r w:rsidR="00AE012E" w:rsidRPr="003E3A1D">
        <w:t>milliárd forint bevétele keletkezett, mely 3,3 milliárd forinttal magasabb az egy évvel korábbinál. Ennek legfőbb oka az adóalanyok számának bővülése az előző év azonos időszakához képest, illetve a kifizetők által megfizetett 40%-os adóból származó bevétel</w:t>
      </w:r>
      <w:r w:rsidRPr="003E3A1D">
        <w:t>.</w:t>
      </w:r>
    </w:p>
    <w:p w14:paraId="3BD54B80" w14:textId="09B6B155" w:rsidR="00FA2934" w:rsidRPr="003E3A1D" w:rsidRDefault="4AC3BDA3" w:rsidP="00EB00F3">
      <w:r w:rsidRPr="003E3A1D">
        <w:t>A</w:t>
      </w:r>
      <w:r w:rsidRPr="003E3A1D">
        <w:rPr>
          <w:b/>
          <w:bCs/>
        </w:rPr>
        <w:t xml:space="preserve"> kisvállalati adóból</w:t>
      </w:r>
      <w:r w:rsidRPr="003E3A1D">
        <w:t xml:space="preserve"> származó bevétel 2022 első </w:t>
      </w:r>
      <w:r w:rsidR="00AE012E" w:rsidRPr="003E3A1D">
        <w:t>három hónapjában 30,9 milliárd forint volt, mely 8,2 milliárd forinttal magasabb az egy évvel korábbinál. Ennek oka az adóalanyok számának jelentős mértékű növekedése.</w:t>
      </w:r>
    </w:p>
    <w:p w14:paraId="36F2DF75" w14:textId="3C247FB7" w:rsidR="000851FF" w:rsidRPr="003E3A1D" w:rsidRDefault="4AC3BDA3" w:rsidP="00EB00F3">
      <w:r w:rsidRPr="003E3A1D">
        <w:lastRenderedPageBreak/>
        <w:t xml:space="preserve">Az </w:t>
      </w:r>
      <w:r w:rsidRPr="003E3A1D">
        <w:rPr>
          <w:b/>
          <w:bCs/>
        </w:rPr>
        <w:t>egyéb központosított bevételek</w:t>
      </w:r>
      <w:r w:rsidRPr="003E3A1D">
        <w:t xml:space="preserve">ből </w:t>
      </w:r>
      <w:r w:rsidR="00AE012E" w:rsidRPr="003E3A1D">
        <w:t>március</w:t>
      </w:r>
      <w:r w:rsidRPr="003E3A1D">
        <w:t xml:space="preserve"> végéig összesen </w:t>
      </w:r>
      <w:r w:rsidR="00AE012E" w:rsidRPr="003E3A1D">
        <w:t>127,9</w:t>
      </w:r>
      <w:r w:rsidRPr="003E3A1D">
        <w:t xml:space="preserve"> milliárd forint bevétel teljesült, amely a törvényi előirányzat </w:t>
      </w:r>
      <w:r w:rsidR="00AE012E" w:rsidRPr="003E3A1D">
        <w:t>24</w:t>
      </w:r>
      <w:r w:rsidRPr="003E3A1D">
        <w:t>,</w:t>
      </w:r>
      <w:r w:rsidR="00AE012E" w:rsidRPr="003E3A1D">
        <w:t>6</w:t>
      </w:r>
      <w:r w:rsidRPr="003E3A1D">
        <w:t xml:space="preserve">%-ának felel meg. Ezen belül kiemelendő az elektronikus útdíj </w:t>
      </w:r>
      <w:r w:rsidR="00AE012E" w:rsidRPr="003E3A1D">
        <w:t>61,2</w:t>
      </w:r>
      <w:r w:rsidRPr="003E3A1D">
        <w:t> milliárd forintot kitevő összege.</w:t>
      </w:r>
    </w:p>
    <w:p w14:paraId="49000C85" w14:textId="2D1A4108" w:rsidR="005B1DC1" w:rsidRPr="003E3A1D" w:rsidRDefault="4AC3BDA3" w:rsidP="00EB00F3">
      <w:r w:rsidRPr="003E3A1D">
        <w:rPr>
          <w:b/>
          <w:bCs/>
        </w:rPr>
        <w:t xml:space="preserve">Kiskereskedelmi adó </w:t>
      </w:r>
      <w:r w:rsidRPr="003E3A1D">
        <w:t xml:space="preserve">jogcímen 2022 első </w:t>
      </w:r>
      <w:r w:rsidR="00AE012E" w:rsidRPr="003E3A1D">
        <w:t>három hónapjában 1,7 milliárd forint bevétel teljesült, amely az előző évi azonos időszaki bevételnél 1,2 milliárd forinttal magasabb. Az adóból elszámolásokhoz köthető pénzforgalom prognosztizálható az év első felében, mivel az első előlegfizetési kötelezettség július hónapra esik</w:t>
      </w:r>
      <w:r w:rsidRPr="003E3A1D">
        <w:t>.</w:t>
      </w:r>
    </w:p>
    <w:p w14:paraId="3AEEFE1C" w14:textId="36A35195" w:rsidR="005B1DC1" w:rsidRPr="003E3A1D" w:rsidRDefault="4AC3BDA3" w:rsidP="000900E7">
      <w:pPr>
        <w:widowControl w:val="0"/>
      </w:pPr>
      <w:r w:rsidRPr="003E3A1D">
        <w:t xml:space="preserve">A </w:t>
      </w:r>
      <w:r w:rsidRPr="003E3A1D">
        <w:rPr>
          <w:b/>
          <w:bCs/>
        </w:rPr>
        <w:t>rehabilitációs hozzájárulásból</w:t>
      </w:r>
      <w:r w:rsidRPr="003E3A1D">
        <w:t xml:space="preserve"> származó bevétel az év</w:t>
      </w:r>
      <w:r w:rsidR="005620F2" w:rsidRPr="003E3A1D">
        <w:t xml:space="preserve"> első</w:t>
      </w:r>
      <w:r w:rsidRPr="003E3A1D">
        <w:t xml:space="preserve"> </w:t>
      </w:r>
      <w:r w:rsidR="00AE012E" w:rsidRPr="003E3A1D">
        <w:t>három hónapjában 28,3</w:t>
      </w:r>
      <w:r w:rsidR="00253663" w:rsidRPr="003E3A1D">
        <w:t> </w:t>
      </w:r>
      <w:r w:rsidR="00AE012E" w:rsidRPr="003E3A1D">
        <w:t>milliárd forint volt, amely 0,5 milliárd forinttal magasabb az egy évvel korábbi összegnél</w:t>
      </w:r>
      <w:r w:rsidRPr="003E3A1D">
        <w:t>.</w:t>
      </w:r>
    </w:p>
    <w:p w14:paraId="7B1412D1" w14:textId="62C3B4EF" w:rsidR="000900E7" w:rsidRPr="003E3A1D" w:rsidRDefault="00AE012E" w:rsidP="000900E7">
      <w:pPr>
        <w:widowControl w:val="0"/>
        <w:tabs>
          <w:tab w:val="left" w:pos="3105"/>
        </w:tabs>
      </w:pPr>
      <w:r w:rsidRPr="003E3A1D">
        <w:t>Március</w:t>
      </w:r>
      <w:r w:rsidR="4AC3BDA3" w:rsidRPr="003E3A1D">
        <w:t xml:space="preserve"> végéig az </w:t>
      </w:r>
      <w:r w:rsidR="4AC3BDA3" w:rsidRPr="003E3A1D">
        <w:rPr>
          <w:b/>
          <w:bCs/>
        </w:rPr>
        <w:t>általános forgalmi adóból</w:t>
      </w:r>
      <w:r w:rsidR="4AC3BDA3" w:rsidRPr="003E3A1D">
        <w:t xml:space="preserve"> </w:t>
      </w:r>
      <w:r w:rsidRPr="003E3A1D">
        <w:t xml:space="preserve">1495,7 milliárd forint bevétele keletkezett a költségvetésnek, ami az egy évvel korábbi bevételt 299,3 milliárd forinttal haladta </w:t>
      </w:r>
      <w:r w:rsidR="4AC3BDA3" w:rsidRPr="003E3A1D">
        <w:t>meg.</w:t>
      </w:r>
    </w:p>
    <w:tbl>
      <w:tblPr>
        <w:tblW w:w="6374" w:type="dxa"/>
        <w:jc w:val="center"/>
        <w:tblCellMar>
          <w:left w:w="70" w:type="dxa"/>
          <w:right w:w="70" w:type="dxa"/>
        </w:tblCellMar>
        <w:tblLook w:val="04A0" w:firstRow="1" w:lastRow="0" w:firstColumn="1" w:lastColumn="0" w:noHBand="0" w:noVBand="1"/>
      </w:tblPr>
      <w:tblGrid>
        <w:gridCol w:w="1448"/>
        <w:gridCol w:w="1134"/>
        <w:gridCol w:w="1134"/>
        <w:gridCol w:w="1134"/>
        <w:gridCol w:w="1173"/>
        <w:gridCol w:w="351"/>
      </w:tblGrid>
      <w:tr w:rsidR="003E3A1D" w:rsidRPr="003E3A1D" w14:paraId="2CDE1D04" w14:textId="77777777" w:rsidTr="4AC3BDA3">
        <w:trPr>
          <w:trHeight w:val="255"/>
          <w:jc w:val="center"/>
        </w:trPr>
        <w:tc>
          <w:tcPr>
            <w:tcW w:w="6374" w:type="dxa"/>
            <w:gridSpan w:val="6"/>
            <w:tcBorders>
              <w:top w:val="nil"/>
              <w:left w:val="nil"/>
              <w:bottom w:val="nil"/>
              <w:right w:val="nil"/>
            </w:tcBorders>
            <w:shd w:val="clear" w:color="auto" w:fill="auto"/>
            <w:noWrap/>
            <w:vAlign w:val="bottom"/>
            <w:hideMark/>
          </w:tcPr>
          <w:p w14:paraId="193F4F9E" w14:textId="77777777" w:rsidR="004702E7" w:rsidRPr="003E3A1D" w:rsidRDefault="4AC3BDA3" w:rsidP="4AC3BDA3">
            <w:pPr>
              <w:widowControl w:val="0"/>
              <w:jc w:val="center"/>
              <w:rPr>
                <w:b/>
                <w:bCs/>
                <w:sz w:val="20"/>
              </w:rPr>
            </w:pPr>
            <w:r w:rsidRPr="003E3A1D">
              <w:rPr>
                <w:b/>
                <w:bCs/>
                <w:sz w:val="20"/>
              </w:rPr>
              <w:t>Általános forgalmi adó bevétel alakulása (milliárd forint)</w:t>
            </w:r>
          </w:p>
        </w:tc>
      </w:tr>
      <w:tr w:rsidR="003E3A1D" w:rsidRPr="003E3A1D" w14:paraId="6088BDF7" w14:textId="77777777" w:rsidTr="4AC3BDA3">
        <w:trPr>
          <w:gridAfter w:val="1"/>
          <w:wAfter w:w="351" w:type="dxa"/>
          <w:trHeight w:val="433"/>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3E3A1D" w:rsidRDefault="4AC3BDA3" w:rsidP="4AC3BDA3">
            <w:pPr>
              <w:spacing w:after="0"/>
              <w:jc w:val="center"/>
              <w:rPr>
                <w:b/>
                <w:bCs/>
                <w:sz w:val="20"/>
              </w:rPr>
            </w:pPr>
            <w:r w:rsidRPr="003E3A1D">
              <w:rPr>
                <w:b/>
                <w:bCs/>
                <w:sz w:val="20"/>
              </w:rPr>
              <w:t>Megnevezés</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09012CDD" w:rsidR="004702E7" w:rsidRPr="003E3A1D" w:rsidRDefault="4AC3BDA3" w:rsidP="4AC3BDA3">
            <w:pPr>
              <w:spacing w:after="0"/>
              <w:jc w:val="center"/>
              <w:rPr>
                <w:b/>
                <w:bCs/>
                <w:sz w:val="20"/>
              </w:rPr>
            </w:pPr>
            <w:r w:rsidRPr="003E3A1D">
              <w:rPr>
                <w:b/>
                <w:bCs/>
                <w:sz w:val="20"/>
              </w:rPr>
              <w:t>2021.</w:t>
            </w:r>
            <w:r w:rsidR="443F750D" w:rsidRPr="003E3A1D">
              <w:br/>
            </w:r>
            <w:r w:rsidRPr="003E3A1D">
              <w:rPr>
                <w:b/>
                <w:bCs/>
                <w:sz w:val="20"/>
              </w:rPr>
              <w:t>I-II</w:t>
            </w:r>
            <w:r w:rsidR="00AE012E" w:rsidRPr="003E3A1D">
              <w:rPr>
                <w:b/>
                <w:bCs/>
                <w:sz w:val="20"/>
              </w:rPr>
              <w:t>I</w:t>
            </w:r>
            <w:r w:rsidRPr="003E3A1D">
              <w:rPr>
                <w:b/>
                <w:bCs/>
                <w:sz w:val="20"/>
              </w:rPr>
              <w:t>. hó</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15E796A3" w:rsidR="004702E7" w:rsidRPr="003E3A1D" w:rsidRDefault="4AC3BDA3" w:rsidP="4AC3BDA3">
            <w:pPr>
              <w:spacing w:after="0"/>
              <w:jc w:val="center"/>
              <w:rPr>
                <w:b/>
                <w:bCs/>
                <w:sz w:val="20"/>
              </w:rPr>
            </w:pPr>
            <w:r w:rsidRPr="003E3A1D">
              <w:rPr>
                <w:b/>
                <w:bCs/>
                <w:sz w:val="20"/>
              </w:rPr>
              <w:t>2022.</w:t>
            </w:r>
            <w:r w:rsidR="443F750D" w:rsidRPr="003E3A1D">
              <w:br/>
            </w:r>
            <w:r w:rsidRPr="003E3A1D">
              <w:rPr>
                <w:b/>
                <w:bCs/>
                <w:sz w:val="20"/>
              </w:rPr>
              <w:t>I-I</w:t>
            </w:r>
            <w:r w:rsidR="00AE012E" w:rsidRPr="003E3A1D">
              <w:rPr>
                <w:b/>
                <w:bCs/>
                <w:sz w:val="20"/>
              </w:rPr>
              <w:t>I</w:t>
            </w:r>
            <w:r w:rsidRPr="003E3A1D">
              <w:rPr>
                <w:b/>
                <w:bCs/>
                <w:sz w:val="20"/>
              </w:rPr>
              <w:t>I. hó</w:t>
            </w:r>
          </w:p>
        </w:tc>
        <w:tc>
          <w:tcPr>
            <w:tcW w:w="2307"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3E3A1D" w:rsidRDefault="4AC3BDA3" w:rsidP="4AC3BDA3">
            <w:pPr>
              <w:spacing w:after="0"/>
              <w:jc w:val="center"/>
              <w:rPr>
                <w:b/>
                <w:bCs/>
                <w:sz w:val="20"/>
              </w:rPr>
            </w:pPr>
            <w:r w:rsidRPr="003E3A1D">
              <w:rPr>
                <w:b/>
                <w:bCs/>
                <w:sz w:val="20"/>
              </w:rPr>
              <w:t>Eltérés</w:t>
            </w:r>
          </w:p>
        </w:tc>
      </w:tr>
      <w:tr w:rsidR="003E3A1D" w:rsidRPr="003E3A1D" w14:paraId="6FBF33D6" w14:textId="77777777" w:rsidTr="0046096E">
        <w:trPr>
          <w:gridAfter w:val="1"/>
          <w:wAfter w:w="351" w:type="dxa"/>
          <w:trHeight w:val="359"/>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3E3A1D" w:rsidRDefault="004702E7" w:rsidP="00B91971">
            <w:pPr>
              <w:spacing w:after="0"/>
              <w:jc w:val="left"/>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3E3A1D" w:rsidRDefault="004702E7" w:rsidP="00B91971">
            <w:pPr>
              <w:spacing w:after="0"/>
              <w:jc w:val="left"/>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3E3A1D" w:rsidRDefault="004702E7" w:rsidP="00B91971">
            <w:pPr>
              <w:spacing w:after="0"/>
              <w:jc w:val="left"/>
              <w:rPr>
                <w:b/>
                <w:bCs/>
                <w:sz w:val="20"/>
              </w:rPr>
            </w:pPr>
          </w:p>
        </w:tc>
        <w:tc>
          <w:tcPr>
            <w:tcW w:w="1134"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3E3A1D" w:rsidRDefault="4AC3BDA3" w:rsidP="4AC3BDA3">
            <w:pPr>
              <w:spacing w:after="0"/>
              <w:jc w:val="center"/>
              <w:rPr>
                <w:b/>
                <w:bCs/>
                <w:sz w:val="20"/>
              </w:rPr>
            </w:pPr>
            <w:r w:rsidRPr="003E3A1D">
              <w:rPr>
                <w:b/>
                <w:bCs/>
                <w:sz w:val="20"/>
              </w:rPr>
              <w:t>Mrd Ft</w:t>
            </w:r>
          </w:p>
        </w:tc>
        <w:tc>
          <w:tcPr>
            <w:tcW w:w="1173"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3E3A1D" w:rsidRDefault="4AC3BDA3" w:rsidP="4AC3BDA3">
            <w:pPr>
              <w:spacing w:after="0"/>
              <w:jc w:val="center"/>
              <w:rPr>
                <w:b/>
                <w:bCs/>
                <w:sz w:val="20"/>
              </w:rPr>
            </w:pPr>
            <w:r w:rsidRPr="003E3A1D">
              <w:rPr>
                <w:b/>
                <w:bCs/>
                <w:sz w:val="20"/>
              </w:rPr>
              <w:t>%</w:t>
            </w:r>
          </w:p>
        </w:tc>
      </w:tr>
      <w:tr w:rsidR="003E3A1D" w:rsidRPr="003E3A1D" w14:paraId="696B4B9D" w14:textId="77777777" w:rsidTr="00906175">
        <w:trPr>
          <w:gridAfter w:val="1"/>
          <w:wAfter w:w="351" w:type="dxa"/>
          <w:trHeight w:val="283"/>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AE012E" w:rsidRPr="003E3A1D" w:rsidRDefault="00AE012E" w:rsidP="00906175">
            <w:pPr>
              <w:spacing w:after="0"/>
              <w:jc w:val="left"/>
              <w:rPr>
                <w:b/>
                <w:bCs/>
                <w:sz w:val="20"/>
              </w:rPr>
            </w:pPr>
            <w:r w:rsidRPr="003E3A1D">
              <w:rPr>
                <w:b/>
                <w:bCs/>
                <w:sz w:val="20"/>
              </w:rPr>
              <w:t>Befizetés</w:t>
            </w:r>
          </w:p>
        </w:tc>
        <w:tc>
          <w:tcPr>
            <w:tcW w:w="1134" w:type="dxa"/>
            <w:tcBorders>
              <w:top w:val="nil"/>
              <w:left w:val="nil"/>
              <w:bottom w:val="single" w:sz="4" w:space="0" w:color="auto"/>
              <w:right w:val="single" w:sz="8" w:space="0" w:color="auto"/>
            </w:tcBorders>
            <w:shd w:val="clear" w:color="auto" w:fill="auto"/>
            <w:noWrap/>
            <w:vAlign w:val="center"/>
          </w:tcPr>
          <w:p w14:paraId="1B136DBC" w14:textId="6E0CD55D" w:rsidR="00AE012E" w:rsidRPr="003E3A1D" w:rsidRDefault="00AE012E" w:rsidP="00906175">
            <w:pPr>
              <w:spacing w:after="0"/>
              <w:jc w:val="right"/>
              <w:rPr>
                <w:sz w:val="20"/>
              </w:rPr>
            </w:pPr>
            <w:r w:rsidRPr="003E3A1D">
              <w:rPr>
                <w:sz w:val="20"/>
              </w:rPr>
              <w:t>2082,9</w:t>
            </w:r>
          </w:p>
        </w:tc>
        <w:tc>
          <w:tcPr>
            <w:tcW w:w="1134" w:type="dxa"/>
            <w:tcBorders>
              <w:top w:val="nil"/>
              <w:left w:val="nil"/>
              <w:bottom w:val="single" w:sz="4" w:space="0" w:color="auto"/>
              <w:right w:val="single" w:sz="8" w:space="0" w:color="auto"/>
            </w:tcBorders>
            <w:shd w:val="clear" w:color="auto" w:fill="auto"/>
            <w:noWrap/>
            <w:vAlign w:val="center"/>
          </w:tcPr>
          <w:p w14:paraId="536597DE" w14:textId="3E655BB2" w:rsidR="00AE012E" w:rsidRPr="003E3A1D" w:rsidRDefault="00AE012E" w:rsidP="00906175">
            <w:pPr>
              <w:spacing w:after="0"/>
              <w:jc w:val="right"/>
              <w:rPr>
                <w:sz w:val="20"/>
              </w:rPr>
            </w:pPr>
            <w:r w:rsidRPr="003E3A1D">
              <w:rPr>
                <w:sz w:val="20"/>
              </w:rPr>
              <w:t>2564,6</w:t>
            </w:r>
          </w:p>
        </w:tc>
        <w:tc>
          <w:tcPr>
            <w:tcW w:w="1134" w:type="dxa"/>
            <w:tcBorders>
              <w:top w:val="nil"/>
              <w:left w:val="nil"/>
              <w:bottom w:val="single" w:sz="4" w:space="0" w:color="auto"/>
              <w:right w:val="single" w:sz="4" w:space="0" w:color="auto"/>
            </w:tcBorders>
            <w:shd w:val="clear" w:color="auto" w:fill="auto"/>
            <w:noWrap/>
            <w:vAlign w:val="center"/>
          </w:tcPr>
          <w:p w14:paraId="7B7FFFEE" w14:textId="0A37E92A" w:rsidR="00AE012E" w:rsidRPr="003E3A1D" w:rsidRDefault="00AE012E" w:rsidP="00906175">
            <w:pPr>
              <w:spacing w:after="0"/>
              <w:jc w:val="right"/>
              <w:rPr>
                <w:sz w:val="20"/>
              </w:rPr>
            </w:pPr>
            <w:r w:rsidRPr="003E3A1D">
              <w:rPr>
                <w:sz w:val="20"/>
              </w:rPr>
              <w:t>481,7</w:t>
            </w:r>
          </w:p>
        </w:tc>
        <w:tc>
          <w:tcPr>
            <w:tcW w:w="1173" w:type="dxa"/>
            <w:tcBorders>
              <w:top w:val="nil"/>
              <w:left w:val="nil"/>
              <w:bottom w:val="single" w:sz="4" w:space="0" w:color="auto"/>
              <w:right w:val="single" w:sz="8" w:space="0" w:color="auto"/>
            </w:tcBorders>
            <w:shd w:val="clear" w:color="auto" w:fill="auto"/>
            <w:noWrap/>
            <w:vAlign w:val="center"/>
          </w:tcPr>
          <w:p w14:paraId="788A36F5" w14:textId="66357A66" w:rsidR="00AE012E" w:rsidRPr="003E3A1D" w:rsidRDefault="00AE012E" w:rsidP="00906175">
            <w:pPr>
              <w:spacing w:after="0"/>
              <w:jc w:val="right"/>
              <w:rPr>
                <w:sz w:val="20"/>
              </w:rPr>
            </w:pPr>
            <w:r w:rsidRPr="003E3A1D">
              <w:rPr>
                <w:sz w:val="20"/>
              </w:rPr>
              <w:t>123,1</w:t>
            </w:r>
          </w:p>
        </w:tc>
      </w:tr>
      <w:tr w:rsidR="003E3A1D" w:rsidRPr="003E3A1D" w14:paraId="6B18998E" w14:textId="77777777" w:rsidTr="00906175">
        <w:trPr>
          <w:gridAfter w:val="1"/>
          <w:wAfter w:w="351" w:type="dxa"/>
          <w:trHeight w:val="283"/>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AE012E" w:rsidRPr="003E3A1D" w:rsidRDefault="00AE012E" w:rsidP="00906175">
            <w:pPr>
              <w:spacing w:after="0"/>
              <w:jc w:val="left"/>
              <w:rPr>
                <w:b/>
                <w:bCs/>
                <w:sz w:val="20"/>
              </w:rPr>
            </w:pPr>
            <w:r w:rsidRPr="003E3A1D">
              <w:rPr>
                <w:b/>
                <w:bCs/>
                <w:sz w:val="20"/>
              </w:rPr>
              <w:t>Kiutalás</w:t>
            </w:r>
          </w:p>
        </w:tc>
        <w:tc>
          <w:tcPr>
            <w:tcW w:w="1134" w:type="dxa"/>
            <w:tcBorders>
              <w:top w:val="nil"/>
              <w:left w:val="nil"/>
              <w:bottom w:val="single" w:sz="4" w:space="0" w:color="auto"/>
              <w:right w:val="single" w:sz="8" w:space="0" w:color="auto"/>
            </w:tcBorders>
            <w:shd w:val="clear" w:color="auto" w:fill="auto"/>
            <w:noWrap/>
            <w:vAlign w:val="center"/>
          </w:tcPr>
          <w:p w14:paraId="515B825A" w14:textId="656225C1" w:rsidR="00AE012E" w:rsidRPr="003E3A1D" w:rsidRDefault="00AE012E" w:rsidP="00906175">
            <w:pPr>
              <w:spacing w:after="0"/>
              <w:jc w:val="right"/>
              <w:rPr>
                <w:sz w:val="20"/>
              </w:rPr>
            </w:pPr>
            <w:r w:rsidRPr="003E3A1D">
              <w:rPr>
                <w:sz w:val="20"/>
              </w:rPr>
              <w:t>886,5</w:t>
            </w:r>
          </w:p>
        </w:tc>
        <w:tc>
          <w:tcPr>
            <w:tcW w:w="1134" w:type="dxa"/>
            <w:tcBorders>
              <w:top w:val="nil"/>
              <w:left w:val="nil"/>
              <w:bottom w:val="single" w:sz="4" w:space="0" w:color="auto"/>
              <w:right w:val="single" w:sz="8" w:space="0" w:color="auto"/>
            </w:tcBorders>
            <w:shd w:val="clear" w:color="auto" w:fill="auto"/>
            <w:noWrap/>
            <w:vAlign w:val="center"/>
          </w:tcPr>
          <w:p w14:paraId="3EA49D92" w14:textId="59CA9FFB" w:rsidR="00AE012E" w:rsidRPr="003E3A1D" w:rsidRDefault="00AE012E" w:rsidP="00906175">
            <w:pPr>
              <w:spacing w:after="0"/>
              <w:jc w:val="right"/>
              <w:rPr>
                <w:sz w:val="20"/>
              </w:rPr>
            </w:pPr>
            <w:r w:rsidRPr="003E3A1D">
              <w:rPr>
                <w:sz w:val="20"/>
              </w:rPr>
              <w:t>1068,9</w:t>
            </w:r>
          </w:p>
        </w:tc>
        <w:tc>
          <w:tcPr>
            <w:tcW w:w="1134" w:type="dxa"/>
            <w:tcBorders>
              <w:top w:val="nil"/>
              <w:left w:val="nil"/>
              <w:bottom w:val="single" w:sz="4" w:space="0" w:color="auto"/>
              <w:right w:val="single" w:sz="4" w:space="0" w:color="auto"/>
            </w:tcBorders>
            <w:shd w:val="clear" w:color="auto" w:fill="auto"/>
            <w:noWrap/>
            <w:vAlign w:val="center"/>
          </w:tcPr>
          <w:p w14:paraId="4C3DD2F0" w14:textId="334A4C86" w:rsidR="00AE012E" w:rsidRPr="003E3A1D" w:rsidRDefault="00AE012E" w:rsidP="00906175">
            <w:pPr>
              <w:spacing w:after="0"/>
              <w:jc w:val="right"/>
              <w:rPr>
                <w:sz w:val="20"/>
              </w:rPr>
            </w:pPr>
            <w:r w:rsidRPr="003E3A1D">
              <w:rPr>
                <w:sz w:val="20"/>
              </w:rPr>
              <w:t>182,4</w:t>
            </w:r>
          </w:p>
        </w:tc>
        <w:tc>
          <w:tcPr>
            <w:tcW w:w="1173" w:type="dxa"/>
            <w:tcBorders>
              <w:top w:val="nil"/>
              <w:left w:val="nil"/>
              <w:bottom w:val="single" w:sz="4" w:space="0" w:color="auto"/>
              <w:right w:val="single" w:sz="8" w:space="0" w:color="auto"/>
            </w:tcBorders>
            <w:shd w:val="clear" w:color="auto" w:fill="auto"/>
            <w:noWrap/>
            <w:vAlign w:val="center"/>
          </w:tcPr>
          <w:p w14:paraId="7AD2266A" w14:textId="29D7A4C7" w:rsidR="00AE012E" w:rsidRPr="003E3A1D" w:rsidRDefault="00AE012E" w:rsidP="00906175">
            <w:pPr>
              <w:spacing w:after="0"/>
              <w:jc w:val="right"/>
              <w:rPr>
                <w:sz w:val="20"/>
              </w:rPr>
            </w:pPr>
            <w:r w:rsidRPr="003E3A1D">
              <w:rPr>
                <w:sz w:val="20"/>
              </w:rPr>
              <w:t>120,6</w:t>
            </w:r>
          </w:p>
        </w:tc>
      </w:tr>
      <w:tr w:rsidR="00AE012E" w:rsidRPr="003E3A1D" w14:paraId="6B4C6B67" w14:textId="77777777" w:rsidTr="00906175">
        <w:trPr>
          <w:gridAfter w:val="1"/>
          <w:wAfter w:w="351" w:type="dxa"/>
          <w:trHeight w:val="283"/>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77777777" w:rsidR="00AE012E" w:rsidRPr="003E3A1D" w:rsidRDefault="00AE012E" w:rsidP="00906175">
            <w:pPr>
              <w:spacing w:after="0"/>
              <w:jc w:val="left"/>
              <w:rPr>
                <w:b/>
                <w:bCs/>
                <w:sz w:val="20"/>
              </w:rPr>
            </w:pPr>
            <w:r w:rsidRPr="003E3A1D">
              <w:rPr>
                <w:b/>
                <w:bCs/>
                <w:sz w:val="20"/>
              </w:rPr>
              <w:t>Egyenleg</w:t>
            </w:r>
          </w:p>
        </w:tc>
        <w:tc>
          <w:tcPr>
            <w:tcW w:w="1134" w:type="dxa"/>
            <w:tcBorders>
              <w:top w:val="nil"/>
              <w:left w:val="nil"/>
              <w:bottom w:val="single" w:sz="8" w:space="0" w:color="auto"/>
              <w:right w:val="single" w:sz="8" w:space="0" w:color="auto"/>
            </w:tcBorders>
            <w:shd w:val="clear" w:color="auto" w:fill="auto"/>
            <w:noWrap/>
            <w:vAlign w:val="center"/>
          </w:tcPr>
          <w:p w14:paraId="717F995F" w14:textId="38D491A8" w:rsidR="00AE012E" w:rsidRPr="003E3A1D" w:rsidRDefault="00AE012E" w:rsidP="00906175">
            <w:pPr>
              <w:spacing w:after="0"/>
              <w:jc w:val="right"/>
              <w:rPr>
                <w:b/>
                <w:bCs/>
                <w:sz w:val="20"/>
              </w:rPr>
            </w:pPr>
            <w:r w:rsidRPr="003E3A1D">
              <w:rPr>
                <w:b/>
                <w:sz w:val="20"/>
              </w:rPr>
              <w:t>1196,4</w:t>
            </w:r>
          </w:p>
        </w:tc>
        <w:tc>
          <w:tcPr>
            <w:tcW w:w="1134" w:type="dxa"/>
            <w:tcBorders>
              <w:top w:val="nil"/>
              <w:left w:val="nil"/>
              <w:bottom w:val="single" w:sz="8" w:space="0" w:color="auto"/>
              <w:right w:val="single" w:sz="8" w:space="0" w:color="auto"/>
            </w:tcBorders>
            <w:shd w:val="clear" w:color="auto" w:fill="auto"/>
            <w:noWrap/>
            <w:vAlign w:val="center"/>
          </w:tcPr>
          <w:p w14:paraId="472BC427" w14:textId="55F5904D" w:rsidR="00AE012E" w:rsidRPr="003E3A1D" w:rsidRDefault="00AE012E" w:rsidP="00906175">
            <w:pPr>
              <w:spacing w:after="0"/>
              <w:jc w:val="right"/>
              <w:rPr>
                <w:b/>
                <w:bCs/>
                <w:sz w:val="20"/>
              </w:rPr>
            </w:pPr>
            <w:r w:rsidRPr="003E3A1D">
              <w:rPr>
                <w:b/>
                <w:sz w:val="20"/>
              </w:rPr>
              <w:t>1495,7</w:t>
            </w:r>
          </w:p>
        </w:tc>
        <w:tc>
          <w:tcPr>
            <w:tcW w:w="1134" w:type="dxa"/>
            <w:tcBorders>
              <w:top w:val="nil"/>
              <w:left w:val="nil"/>
              <w:bottom w:val="single" w:sz="8" w:space="0" w:color="auto"/>
              <w:right w:val="single" w:sz="4" w:space="0" w:color="auto"/>
            </w:tcBorders>
            <w:shd w:val="clear" w:color="auto" w:fill="auto"/>
            <w:noWrap/>
            <w:vAlign w:val="center"/>
          </w:tcPr>
          <w:p w14:paraId="7510E2B5" w14:textId="4B1FE100" w:rsidR="00AE012E" w:rsidRPr="003E3A1D" w:rsidRDefault="00AE012E" w:rsidP="00906175">
            <w:pPr>
              <w:spacing w:after="0"/>
              <w:jc w:val="right"/>
              <w:rPr>
                <w:b/>
                <w:bCs/>
                <w:sz w:val="20"/>
              </w:rPr>
            </w:pPr>
            <w:r w:rsidRPr="003E3A1D">
              <w:rPr>
                <w:b/>
                <w:sz w:val="20"/>
              </w:rPr>
              <w:t>299,3</w:t>
            </w:r>
          </w:p>
        </w:tc>
        <w:tc>
          <w:tcPr>
            <w:tcW w:w="1173" w:type="dxa"/>
            <w:tcBorders>
              <w:top w:val="nil"/>
              <w:left w:val="nil"/>
              <w:bottom w:val="single" w:sz="8" w:space="0" w:color="auto"/>
              <w:right w:val="single" w:sz="8" w:space="0" w:color="auto"/>
            </w:tcBorders>
            <w:shd w:val="clear" w:color="auto" w:fill="auto"/>
            <w:noWrap/>
            <w:vAlign w:val="center"/>
          </w:tcPr>
          <w:p w14:paraId="23D63217" w14:textId="3CF013BB" w:rsidR="00AE012E" w:rsidRPr="003E3A1D" w:rsidRDefault="00AE012E" w:rsidP="00906175">
            <w:pPr>
              <w:spacing w:after="0"/>
              <w:jc w:val="right"/>
              <w:rPr>
                <w:b/>
                <w:bCs/>
                <w:sz w:val="20"/>
              </w:rPr>
            </w:pPr>
            <w:r w:rsidRPr="003E3A1D">
              <w:rPr>
                <w:b/>
                <w:sz w:val="20"/>
              </w:rPr>
              <w:t>125,0</w:t>
            </w:r>
          </w:p>
        </w:tc>
      </w:tr>
    </w:tbl>
    <w:p w14:paraId="7BEB9E1A" w14:textId="77777777" w:rsidR="0046096E" w:rsidRPr="003E3D99" w:rsidRDefault="0046096E" w:rsidP="00370645">
      <w:pPr>
        <w:widowControl w:val="0"/>
        <w:rPr>
          <w:sz w:val="22"/>
        </w:rPr>
      </w:pPr>
    </w:p>
    <w:p w14:paraId="28F8F84E" w14:textId="5B0ED42C" w:rsidR="006C4AB2" w:rsidRPr="003E3A1D" w:rsidRDefault="0050522C" w:rsidP="00370645">
      <w:pPr>
        <w:widowControl w:val="0"/>
      </w:pPr>
      <w:r w:rsidRPr="003E3A1D">
        <w:t>A belföldi, az imp</w:t>
      </w:r>
      <w:r w:rsidR="00370645" w:rsidRPr="003E3A1D">
        <w:t>ort és dohánytermékek utáni áfa</w:t>
      </w:r>
      <w:r w:rsidRPr="003E3A1D">
        <w:t>bevétel egyaránt növekedett. A belföldi befizetések növekedése elsősorban a kereskedelemhez köthető. Az import utáni befizetések növekedéséhez hozzájárult az importált termékek volumenének és beszerzési árának növekedése. A dohánytermékek utáni bevételek előző év azonos időszakához viszonyított alakulását befolyásolja a 2021.</w:t>
      </w:r>
      <w:r w:rsidR="0046096E" w:rsidRPr="003E3A1D">
        <w:t> </w:t>
      </w:r>
      <w:r w:rsidRPr="003E3A1D">
        <w:t xml:space="preserve">januári adóemelések miatti bázisévi készletezés. A kiutalások növekedéséhez hozzájárult a köztes ágazatok magasabb </w:t>
      </w:r>
      <w:r w:rsidR="00370645" w:rsidRPr="003E3A1D">
        <w:t>b</w:t>
      </w:r>
      <w:r w:rsidRPr="003E3A1D">
        <w:t>efizetése</w:t>
      </w:r>
      <w:r w:rsidR="4AC3BDA3" w:rsidRPr="003E3A1D">
        <w:t>.</w:t>
      </w:r>
      <w:r w:rsidR="00906175" w:rsidRPr="003E3A1D">
        <w:rPr>
          <w:noProof/>
        </w:rPr>
        <w:drawing>
          <wp:inline distT="0" distB="0" distL="0" distR="0" wp14:anchorId="0D9EDED4" wp14:editId="7737A9F2">
            <wp:extent cx="5448300" cy="3504275"/>
            <wp:effectExtent l="0" t="0" r="0" b="1270"/>
            <wp:docPr id="11" name="Kép 11" descr="Z:\Áht_gyors_moni\2022_03_márc\0_feljegyzés_monitoring\ábrák\___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2_03_márc\0_feljegyzés_monitoring\ábrák\___á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995" cy="3508581"/>
                    </a:xfrm>
                    <a:prstGeom prst="rect">
                      <a:avLst/>
                    </a:prstGeom>
                    <a:noFill/>
                    <a:ln>
                      <a:noFill/>
                    </a:ln>
                  </pic:spPr>
                </pic:pic>
              </a:graphicData>
            </a:graphic>
          </wp:inline>
        </w:drawing>
      </w:r>
    </w:p>
    <w:p w14:paraId="1E1ECE73" w14:textId="5F6D862A" w:rsidR="008F2B1F" w:rsidRPr="003E3A1D" w:rsidRDefault="4AC3BDA3" w:rsidP="00E75B9B">
      <w:pPr>
        <w:spacing w:before="120"/>
      </w:pPr>
      <w:r w:rsidRPr="003E3A1D">
        <w:lastRenderedPageBreak/>
        <w:t xml:space="preserve">A </w:t>
      </w:r>
      <w:r w:rsidRPr="003E3A1D">
        <w:rPr>
          <w:b/>
          <w:bCs/>
        </w:rPr>
        <w:t>jövedéki adóból</w:t>
      </w:r>
      <w:r w:rsidRPr="003E3A1D">
        <w:t xml:space="preserve"> származó bevétel az év első</w:t>
      </w:r>
      <w:r w:rsidR="0050522C" w:rsidRPr="003E3A1D">
        <w:t xml:space="preserve"> három hónapjában 266,6 milliárd forintot tett ki, amely 7,</w:t>
      </w:r>
      <w:r w:rsidR="00E26292" w:rsidRPr="003E3A1D">
        <w:t>2</w:t>
      </w:r>
      <w:r w:rsidR="0050522C" w:rsidRPr="003E3A1D">
        <w:t xml:space="preserve"> milliárd forinttal magasabb az egy évvel korábbi bevételnél</w:t>
      </w:r>
      <w:r w:rsidR="0046096E" w:rsidRPr="003E3A1D">
        <w:t>.</w:t>
      </w:r>
    </w:p>
    <w:tbl>
      <w:tblPr>
        <w:tblW w:w="7655" w:type="dxa"/>
        <w:jc w:val="center"/>
        <w:tblCellMar>
          <w:left w:w="70" w:type="dxa"/>
          <w:right w:w="70" w:type="dxa"/>
        </w:tblCellMar>
        <w:tblLook w:val="04A0" w:firstRow="1" w:lastRow="0" w:firstColumn="1" w:lastColumn="0" w:noHBand="0" w:noVBand="1"/>
      </w:tblPr>
      <w:tblGrid>
        <w:gridCol w:w="3118"/>
        <w:gridCol w:w="1134"/>
        <w:gridCol w:w="1134"/>
        <w:gridCol w:w="1134"/>
        <w:gridCol w:w="1135"/>
      </w:tblGrid>
      <w:tr w:rsidR="003E3A1D" w:rsidRPr="003E3A1D" w14:paraId="3A81EA80" w14:textId="77777777" w:rsidTr="4AC3BDA3">
        <w:trPr>
          <w:trHeight w:val="255"/>
          <w:jc w:val="center"/>
        </w:trPr>
        <w:tc>
          <w:tcPr>
            <w:tcW w:w="7655" w:type="dxa"/>
            <w:gridSpan w:val="5"/>
            <w:tcBorders>
              <w:top w:val="nil"/>
              <w:left w:val="nil"/>
              <w:bottom w:val="nil"/>
              <w:right w:val="nil"/>
            </w:tcBorders>
            <w:shd w:val="clear" w:color="auto" w:fill="auto"/>
            <w:noWrap/>
            <w:vAlign w:val="bottom"/>
            <w:hideMark/>
          </w:tcPr>
          <w:p w14:paraId="6E79320C" w14:textId="77777777" w:rsidR="00024A56" w:rsidRPr="003E3A1D" w:rsidRDefault="4AC3BDA3" w:rsidP="4AC3BDA3">
            <w:pPr>
              <w:spacing w:before="120"/>
              <w:jc w:val="center"/>
              <w:rPr>
                <w:b/>
                <w:bCs/>
                <w:sz w:val="20"/>
              </w:rPr>
            </w:pPr>
            <w:r w:rsidRPr="003E3A1D">
              <w:rPr>
                <w:b/>
                <w:bCs/>
                <w:sz w:val="20"/>
              </w:rPr>
              <w:t>Jövedéki adó bevétel alakulása (milliárd forint)</w:t>
            </w:r>
          </w:p>
        </w:tc>
      </w:tr>
      <w:tr w:rsidR="003E3A1D" w:rsidRPr="003E3A1D" w14:paraId="34A1C44D" w14:textId="77777777" w:rsidTr="4AC3BDA3">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3E3A1D" w:rsidRDefault="4AC3BDA3" w:rsidP="4AC3BDA3">
            <w:pPr>
              <w:spacing w:after="0"/>
              <w:jc w:val="center"/>
              <w:rPr>
                <w:b/>
                <w:bCs/>
                <w:sz w:val="20"/>
              </w:rPr>
            </w:pPr>
            <w:r w:rsidRPr="003E3A1D">
              <w:rPr>
                <w:b/>
                <w:bCs/>
                <w:sz w:val="20"/>
              </w:rPr>
              <w:t>Megnevezés</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3F1EC882" w:rsidR="00024A56" w:rsidRPr="003E3A1D" w:rsidRDefault="4AC3BDA3" w:rsidP="4AC3BDA3">
            <w:pPr>
              <w:spacing w:after="0"/>
              <w:jc w:val="center"/>
              <w:rPr>
                <w:b/>
                <w:bCs/>
                <w:sz w:val="20"/>
              </w:rPr>
            </w:pPr>
            <w:r w:rsidRPr="003E3A1D">
              <w:rPr>
                <w:b/>
                <w:bCs/>
                <w:sz w:val="20"/>
              </w:rPr>
              <w:t>2021.</w:t>
            </w:r>
            <w:r w:rsidR="443F750D" w:rsidRPr="003E3A1D">
              <w:br/>
            </w:r>
            <w:r w:rsidRPr="003E3A1D">
              <w:rPr>
                <w:b/>
                <w:bCs/>
                <w:sz w:val="20"/>
              </w:rPr>
              <w:t>I-II</w:t>
            </w:r>
            <w:r w:rsidR="0050522C" w:rsidRPr="003E3A1D">
              <w:rPr>
                <w:b/>
                <w:bCs/>
                <w:sz w:val="20"/>
              </w:rPr>
              <w:t>I</w:t>
            </w:r>
            <w:r w:rsidRPr="003E3A1D">
              <w:rPr>
                <w:b/>
                <w:bCs/>
                <w:sz w:val="20"/>
              </w:rPr>
              <w:t>. hó</w:t>
            </w:r>
          </w:p>
        </w:tc>
        <w:tc>
          <w:tcPr>
            <w:tcW w:w="11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642A7502" w:rsidR="00024A56" w:rsidRPr="003E3A1D" w:rsidRDefault="4AC3BDA3" w:rsidP="4AC3BDA3">
            <w:pPr>
              <w:spacing w:after="0"/>
              <w:jc w:val="center"/>
              <w:rPr>
                <w:b/>
                <w:bCs/>
                <w:sz w:val="20"/>
              </w:rPr>
            </w:pPr>
            <w:r w:rsidRPr="003E3A1D">
              <w:rPr>
                <w:b/>
                <w:bCs/>
                <w:sz w:val="20"/>
              </w:rPr>
              <w:t>2022.</w:t>
            </w:r>
            <w:r w:rsidR="443F750D" w:rsidRPr="003E3A1D">
              <w:br/>
            </w:r>
            <w:r w:rsidRPr="003E3A1D">
              <w:rPr>
                <w:b/>
                <w:bCs/>
                <w:sz w:val="20"/>
              </w:rPr>
              <w:t>I-II</w:t>
            </w:r>
            <w:r w:rsidR="0050522C" w:rsidRPr="003E3A1D">
              <w:rPr>
                <w:b/>
                <w:bCs/>
                <w:sz w:val="20"/>
              </w:rPr>
              <w:t>I</w:t>
            </w:r>
            <w:r w:rsidRPr="003E3A1D">
              <w:rPr>
                <w:b/>
                <w:bCs/>
                <w:sz w:val="20"/>
              </w:rPr>
              <w:t>. hó</w:t>
            </w:r>
          </w:p>
        </w:tc>
        <w:tc>
          <w:tcPr>
            <w:tcW w:w="2269"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3E3A1D" w:rsidRDefault="4AC3BDA3" w:rsidP="4AC3BDA3">
            <w:pPr>
              <w:spacing w:after="0"/>
              <w:jc w:val="center"/>
              <w:rPr>
                <w:b/>
                <w:bCs/>
                <w:sz w:val="20"/>
              </w:rPr>
            </w:pPr>
            <w:r w:rsidRPr="003E3A1D">
              <w:rPr>
                <w:b/>
                <w:bCs/>
                <w:sz w:val="20"/>
              </w:rPr>
              <w:t>Eltérés</w:t>
            </w:r>
          </w:p>
        </w:tc>
      </w:tr>
      <w:tr w:rsidR="003E3A1D" w:rsidRPr="003E3A1D" w14:paraId="0A0EA470" w14:textId="77777777" w:rsidTr="0050522C">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3E3A1D" w:rsidRDefault="00024A56" w:rsidP="00024A56">
            <w:pPr>
              <w:spacing w:after="0"/>
              <w:jc w:val="left"/>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3E3A1D" w:rsidRDefault="00024A56" w:rsidP="00024A56">
            <w:pPr>
              <w:spacing w:after="0"/>
              <w:jc w:val="left"/>
              <w:rPr>
                <w:b/>
                <w:bCs/>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3E3A1D" w:rsidRDefault="00024A56" w:rsidP="00024A56">
            <w:pPr>
              <w:spacing w:after="0"/>
              <w:jc w:val="left"/>
              <w:rPr>
                <w:b/>
                <w:bCs/>
                <w:sz w:val="20"/>
              </w:rPr>
            </w:pPr>
          </w:p>
        </w:tc>
        <w:tc>
          <w:tcPr>
            <w:tcW w:w="1134"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3E3A1D" w:rsidRDefault="4AC3BDA3" w:rsidP="4AC3BDA3">
            <w:pPr>
              <w:spacing w:after="0"/>
              <w:jc w:val="center"/>
              <w:rPr>
                <w:b/>
                <w:bCs/>
                <w:sz w:val="20"/>
              </w:rPr>
            </w:pPr>
            <w:r w:rsidRPr="003E3A1D">
              <w:rPr>
                <w:b/>
                <w:bCs/>
                <w:sz w:val="20"/>
              </w:rPr>
              <w:t>Mrd Ft</w:t>
            </w:r>
          </w:p>
        </w:tc>
        <w:tc>
          <w:tcPr>
            <w:tcW w:w="1135"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3E3A1D" w:rsidRDefault="4AC3BDA3" w:rsidP="4AC3BDA3">
            <w:pPr>
              <w:spacing w:after="0"/>
              <w:jc w:val="center"/>
              <w:rPr>
                <w:b/>
                <w:bCs/>
                <w:sz w:val="20"/>
              </w:rPr>
            </w:pPr>
            <w:r w:rsidRPr="003E3A1D">
              <w:rPr>
                <w:b/>
                <w:bCs/>
                <w:sz w:val="20"/>
              </w:rPr>
              <w:t>%</w:t>
            </w:r>
          </w:p>
        </w:tc>
      </w:tr>
      <w:tr w:rsidR="003E3A1D" w:rsidRPr="003E3A1D" w14:paraId="508557F8" w14:textId="77777777" w:rsidTr="00906175">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50522C" w:rsidRPr="003E3A1D" w:rsidRDefault="0050522C" w:rsidP="0050522C">
            <w:pPr>
              <w:spacing w:after="0"/>
              <w:jc w:val="left"/>
              <w:rPr>
                <w:sz w:val="20"/>
              </w:rPr>
            </w:pPr>
            <w:r w:rsidRPr="003E3A1D">
              <w:rPr>
                <w:sz w:val="20"/>
              </w:rPr>
              <w:t>Üzemanyag jövedéki adó</w:t>
            </w:r>
          </w:p>
        </w:tc>
        <w:tc>
          <w:tcPr>
            <w:tcW w:w="1134" w:type="dxa"/>
            <w:tcBorders>
              <w:top w:val="nil"/>
              <w:left w:val="nil"/>
              <w:bottom w:val="single" w:sz="4" w:space="0" w:color="auto"/>
              <w:right w:val="single" w:sz="8" w:space="0" w:color="auto"/>
            </w:tcBorders>
            <w:shd w:val="clear" w:color="auto" w:fill="auto"/>
            <w:noWrap/>
            <w:vAlign w:val="center"/>
          </w:tcPr>
          <w:p w14:paraId="68AF4B4E" w14:textId="2A24A4E8" w:rsidR="0050522C" w:rsidRPr="003E3A1D" w:rsidRDefault="0050522C" w:rsidP="00906175">
            <w:pPr>
              <w:spacing w:after="0"/>
              <w:jc w:val="right"/>
              <w:rPr>
                <w:sz w:val="20"/>
              </w:rPr>
            </w:pPr>
            <w:r w:rsidRPr="003E3A1D">
              <w:rPr>
                <w:sz w:val="20"/>
              </w:rPr>
              <w:t>146,7</w:t>
            </w:r>
          </w:p>
        </w:tc>
        <w:tc>
          <w:tcPr>
            <w:tcW w:w="1134" w:type="dxa"/>
            <w:tcBorders>
              <w:top w:val="nil"/>
              <w:left w:val="nil"/>
              <w:bottom w:val="single" w:sz="4" w:space="0" w:color="auto"/>
              <w:right w:val="single" w:sz="8" w:space="0" w:color="auto"/>
            </w:tcBorders>
            <w:shd w:val="clear" w:color="auto" w:fill="auto"/>
            <w:noWrap/>
            <w:vAlign w:val="center"/>
          </w:tcPr>
          <w:p w14:paraId="27E8CB93" w14:textId="0971A60E" w:rsidR="0050522C" w:rsidRPr="003E3A1D" w:rsidRDefault="0050522C" w:rsidP="00906175">
            <w:pPr>
              <w:spacing w:after="0"/>
              <w:jc w:val="right"/>
              <w:rPr>
                <w:sz w:val="20"/>
              </w:rPr>
            </w:pPr>
            <w:r w:rsidRPr="003E3A1D">
              <w:rPr>
                <w:sz w:val="20"/>
              </w:rPr>
              <w:t>152,6</w:t>
            </w:r>
          </w:p>
        </w:tc>
        <w:tc>
          <w:tcPr>
            <w:tcW w:w="1134" w:type="dxa"/>
            <w:tcBorders>
              <w:top w:val="nil"/>
              <w:left w:val="nil"/>
              <w:bottom w:val="single" w:sz="4" w:space="0" w:color="auto"/>
              <w:right w:val="single" w:sz="4" w:space="0" w:color="auto"/>
            </w:tcBorders>
            <w:shd w:val="clear" w:color="auto" w:fill="auto"/>
            <w:noWrap/>
            <w:vAlign w:val="center"/>
          </w:tcPr>
          <w:p w14:paraId="28D690E2" w14:textId="4C888403" w:rsidR="0050522C" w:rsidRPr="003E3A1D" w:rsidRDefault="0050522C" w:rsidP="00906175">
            <w:pPr>
              <w:spacing w:after="0"/>
              <w:jc w:val="right"/>
              <w:rPr>
                <w:sz w:val="20"/>
              </w:rPr>
            </w:pPr>
            <w:r w:rsidRPr="003E3A1D">
              <w:rPr>
                <w:sz w:val="20"/>
              </w:rPr>
              <w:t>5,9</w:t>
            </w:r>
          </w:p>
        </w:tc>
        <w:tc>
          <w:tcPr>
            <w:tcW w:w="1135" w:type="dxa"/>
            <w:tcBorders>
              <w:top w:val="nil"/>
              <w:left w:val="nil"/>
              <w:bottom w:val="single" w:sz="4" w:space="0" w:color="auto"/>
              <w:right w:val="single" w:sz="8" w:space="0" w:color="auto"/>
            </w:tcBorders>
            <w:shd w:val="clear" w:color="auto" w:fill="auto"/>
            <w:noWrap/>
            <w:vAlign w:val="center"/>
          </w:tcPr>
          <w:p w14:paraId="4A80F6B5" w14:textId="7C61E631" w:rsidR="0050522C" w:rsidRPr="003E3A1D" w:rsidRDefault="0050522C" w:rsidP="00906175">
            <w:pPr>
              <w:spacing w:after="0"/>
              <w:jc w:val="right"/>
              <w:rPr>
                <w:sz w:val="20"/>
              </w:rPr>
            </w:pPr>
            <w:r w:rsidRPr="003E3A1D">
              <w:rPr>
                <w:sz w:val="20"/>
              </w:rPr>
              <w:t>104,0</w:t>
            </w:r>
          </w:p>
        </w:tc>
      </w:tr>
      <w:tr w:rsidR="003E3A1D" w:rsidRPr="003E3A1D" w14:paraId="57AD209F" w14:textId="77777777" w:rsidTr="00906175">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50522C" w:rsidRPr="003E3A1D" w:rsidRDefault="0050522C" w:rsidP="0050522C">
            <w:pPr>
              <w:spacing w:after="0"/>
              <w:jc w:val="left"/>
              <w:rPr>
                <w:sz w:val="20"/>
              </w:rPr>
            </w:pPr>
            <w:r w:rsidRPr="003E3A1D">
              <w:rPr>
                <w:sz w:val="20"/>
              </w:rPr>
              <w:t>Dohánygyártmány jövedéki adó</w:t>
            </w:r>
          </w:p>
        </w:tc>
        <w:tc>
          <w:tcPr>
            <w:tcW w:w="1134" w:type="dxa"/>
            <w:tcBorders>
              <w:top w:val="nil"/>
              <w:left w:val="nil"/>
              <w:bottom w:val="single" w:sz="4" w:space="0" w:color="auto"/>
              <w:right w:val="single" w:sz="8" w:space="0" w:color="auto"/>
            </w:tcBorders>
            <w:shd w:val="clear" w:color="auto" w:fill="auto"/>
            <w:noWrap/>
            <w:vAlign w:val="center"/>
          </w:tcPr>
          <w:p w14:paraId="79F99CAB" w14:textId="15FBFE05" w:rsidR="0050522C" w:rsidRPr="003E3A1D" w:rsidRDefault="0050522C" w:rsidP="00906175">
            <w:pPr>
              <w:spacing w:after="0"/>
              <w:jc w:val="right"/>
              <w:rPr>
                <w:sz w:val="20"/>
              </w:rPr>
            </w:pPr>
            <w:r w:rsidRPr="003E3A1D">
              <w:rPr>
                <w:sz w:val="20"/>
              </w:rPr>
              <w:t>88,3</w:t>
            </w:r>
          </w:p>
        </w:tc>
        <w:tc>
          <w:tcPr>
            <w:tcW w:w="1134" w:type="dxa"/>
            <w:tcBorders>
              <w:top w:val="nil"/>
              <w:left w:val="nil"/>
              <w:bottom w:val="single" w:sz="4" w:space="0" w:color="auto"/>
              <w:right w:val="single" w:sz="8" w:space="0" w:color="auto"/>
            </w:tcBorders>
            <w:shd w:val="clear" w:color="auto" w:fill="auto"/>
            <w:noWrap/>
            <w:vAlign w:val="center"/>
          </w:tcPr>
          <w:p w14:paraId="77FC4294" w14:textId="411EF95F" w:rsidR="0050522C" w:rsidRPr="003E3A1D" w:rsidRDefault="0050522C" w:rsidP="00906175">
            <w:pPr>
              <w:spacing w:after="0"/>
              <w:jc w:val="right"/>
              <w:rPr>
                <w:sz w:val="20"/>
              </w:rPr>
            </w:pPr>
            <w:r w:rsidRPr="003E3A1D">
              <w:rPr>
                <w:sz w:val="20"/>
              </w:rPr>
              <w:t>85,8</w:t>
            </w:r>
          </w:p>
        </w:tc>
        <w:tc>
          <w:tcPr>
            <w:tcW w:w="1134" w:type="dxa"/>
            <w:tcBorders>
              <w:top w:val="nil"/>
              <w:left w:val="nil"/>
              <w:bottom w:val="single" w:sz="4" w:space="0" w:color="auto"/>
              <w:right w:val="single" w:sz="4" w:space="0" w:color="auto"/>
            </w:tcBorders>
            <w:shd w:val="clear" w:color="auto" w:fill="auto"/>
            <w:noWrap/>
            <w:vAlign w:val="center"/>
          </w:tcPr>
          <w:p w14:paraId="23932EB7" w14:textId="3D5664A5" w:rsidR="0050522C" w:rsidRPr="003E3A1D" w:rsidRDefault="0050522C" w:rsidP="00906175">
            <w:pPr>
              <w:spacing w:after="0"/>
              <w:jc w:val="right"/>
              <w:rPr>
                <w:sz w:val="20"/>
              </w:rPr>
            </w:pPr>
            <w:r w:rsidRPr="003E3A1D">
              <w:rPr>
                <w:sz w:val="20"/>
              </w:rPr>
              <w:t>-2,5</w:t>
            </w:r>
          </w:p>
        </w:tc>
        <w:tc>
          <w:tcPr>
            <w:tcW w:w="1135" w:type="dxa"/>
            <w:tcBorders>
              <w:top w:val="nil"/>
              <w:left w:val="nil"/>
              <w:bottom w:val="single" w:sz="4" w:space="0" w:color="auto"/>
              <w:right w:val="single" w:sz="8" w:space="0" w:color="auto"/>
            </w:tcBorders>
            <w:shd w:val="clear" w:color="auto" w:fill="auto"/>
            <w:noWrap/>
            <w:vAlign w:val="center"/>
          </w:tcPr>
          <w:p w14:paraId="6073DB33" w14:textId="7E653D16" w:rsidR="0050522C" w:rsidRPr="003E3A1D" w:rsidRDefault="0050522C" w:rsidP="00C50A08">
            <w:pPr>
              <w:spacing w:after="0"/>
              <w:jc w:val="right"/>
              <w:rPr>
                <w:sz w:val="20"/>
              </w:rPr>
            </w:pPr>
            <w:r w:rsidRPr="003E3A1D">
              <w:rPr>
                <w:sz w:val="20"/>
              </w:rPr>
              <w:t>97,</w:t>
            </w:r>
            <w:r w:rsidR="00C50A08" w:rsidRPr="003E3A1D">
              <w:rPr>
                <w:sz w:val="20"/>
              </w:rPr>
              <w:t>2</w:t>
            </w:r>
          </w:p>
        </w:tc>
      </w:tr>
      <w:tr w:rsidR="003E3A1D" w:rsidRPr="003E3A1D" w14:paraId="2E89E7E2" w14:textId="77777777" w:rsidTr="00906175">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50522C" w:rsidRPr="003E3A1D" w:rsidRDefault="0050522C" w:rsidP="0050522C">
            <w:pPr>
              <w:spacing w:after="0"/>
              <w:jc w:val="left"/>
              <w:rPr>
                <w:sz w:val="20"/>
              </w:rPr>
            </w:pPr>
            <w:r w:rsidRPr="003E3A1D">
              <w:rPr>
                <w:sz w:val="20"/>
              </w:rPr>
              <w:t>Egyéb termék jövedéki adó</w:t>
            </w:r>
          </w:p>
        </w:tc>
        <w:tc>
          <w:tcPr>
            <w:tcW w:w="1134" w:type="dxa"/>
            <w:tcBorders>
              <w:top w:val="nil"/>
              <w:left w:val="nil"/>
              <w:bottom w:val="nil"/>
              <w:right w:val="single" w:sz="8" w:space="0" w:color="auto"/>
            </w:tcBorders>
            <w:shd w:val="clear" w:color="auto" w:fill="auto"/>
            <w:noWrap/>
            <w:vAlign w:val="center"/>
          </w:tcPr>
          <w:p w14:paraId="7364BF93" w14:textId="52C8EC12" w:rsidR="0050522C" w:rsidRPr="003E3A1D" w:rsidRDefault="0050522C" w:rsidP="00906175">
            <w:pPr>
              <w:spacing w:after="0"/>
              <w:jc w:val="right"/>
              <w:rPr>
                <w:sz w:val="20"/>
              </w:rPr>
            </w:pPr>
            <w:r w:rsidRPr="003E3A1D">
              <w:rPr>
                <w:sz w:val="20"/>
              </w:rPr>
              <w:t>19,0</w:t>
            </w:r>
          </w:p>
        </w:tc>
        <w:tc>
          <w:tcPr>
            <w:tcW w:w="1134" w:type="dxa"/>
            <w:tcBorders>
              <w:top w:val="nil"/>
              <w:left w:val="nil"/>
              <w:bottom w:val="nil"/>
              <w:right w:val="single" w:sz="8" w:space="0" w:color="auto"/>
            </w:tcBorders>
            <w:shd w:val="clear" w:color="auto" w:fill="auto"/>
            <w:noWrap/>
            <w:vAlign w:val="center"/>
          </w:tcPr>
          <w:p w14:paraId="7B16728B" w14:textId="669BCBA1" w:rsidR="0050522C" w:rsidRPr="003E3A1D" w:rsidRDefault="0050522C" w:rsidP="00906175">
            <w:pPr>
              <w:spacing w:after="0"/>
              <w:jc w:val="right"/>
              <w:rPr>
                <w:sz w:val="20"/>
              </w:rPr>
            </w:pPr>
            <w:r w:rsidRPr="003E3A1D">
              <w:rPr>
                <w:sz w:val="20"/>
              </w:rPr>
              <w:t>23,1</w:t>
            </w:r>
          </w:p>
        </w:tc>
        <w:tc>
          <w:tcPr>
            <w:tcW w:w="1134" w:type="dxa"/>
            <w:tcBorders>
              <w:top w:val="nil"/>
              <w:left w:val="nil"/>
              <w:bottom w:val="nil"/>
              <w:right w:val="single" w:sz="4" w:space="0" w:color="auto"/>
            </w:tcBorders>
            <w:shd w:val="clear" w:color="auto" w:fill="auto"/>
            <w:noWrap/>
            <w:vAlign w:val="center"/>
          </w:tcPr>
          <w:p w14:paraId="27354059" w14:textId="007F0A0D" w:rsidR="0050522C" w:rsidRPr="003E3A1D" w:rsidRDefault="0050522C" w:rsidP="00906175">
            <w:pPr>
              <w:spacing w:after="0"/>
              <w:jc w:val="right"/>
              <w:rPr>
                <w:sz w:val="20"/>
              </w:rPr>
            </w:pPr>
            <w:r w:rsidRPr="003E3A1D">
              <w:rPr>
                <w:sz w:val="20"/>
              </w:rPr>
              <w:t>4,1</w:t>
            </w:r>
          </w:p>
        </w:tc>
        <w:tc>
          <w:tcPr>
            <w:tcW w:w="1135" w:type="dxa"/>
            <w:tcBorders>
              <w:top w:val="nil"/>
              <w:left w:val="nil"/>
              <w:bottom w:val="nil"/>
              <w:right w:val="single" w:sz="8" w:space="0" w:color="auto"/>
            </w:tcBorders>
            <w:shd w:val="clear" w:color="auto" w:fill="auto"/>
            <w:noWrap/>
            <w:vAlign w:val="center"/>
          </w:tcPr>
          <w:p w14:paraId="40F267EE" w14:textId="40AFEF3F" w:rsidR="0050522C" w:rsidRPr="003E3A1D" w:rsidRDefault="0050522C" w:rsidP="00906175">
            <w:pPr>
              <w:spacing w:after="0"/>
              <w:jc w:val="right"/>
              <w:rPr>
                <w:sz w:val="20"/>
              </w:rPr>
            </w:pPr>
            <w:r w:rsidRPr="003E3A1D">
              <w:rPr>
                <w:sz w:val="20"/>
              </w:rPr>
              <w:t>121,6</w:t>
            </w:r>
          </w:p>
        </w:tc>
      </w:tr>
      <w:tr w:rsidR="003E3A1D" w:rsidRPr="003E3A1D" w14:paraId="664D47E1" w14:textId="77777777" w:rsidTr="00906175">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D059BE1" w:rsidR="0050522C" w:rsidRPr="003E3A1D" w:rsidRDefault="0050522C" w:rsidP="0050522C">
            <w:pPr>
              <w:spacing w:after="0"/>
              <w:jc w:val="left"/>
              <w:rPr>
                <w:sz w:val="20"/>
              </w:rPr>
            </w:pPr>
            <w:r w:rsidRPr="003E3A1D">
              <w:rPr>
                <w:sz w:val="20"/>
              </w:rPr>
              <w:t>Import jövedéki adó és energiaadó</w:t>
            </w:r>
          </w:p>
        </w:tc>
        <w:tc>
          <w:tcPr>
            <w:tcW w:w="1134" w:type="dxa"/>
            <w:tcBorders>
              <w:top w:val="single" w:sz="4" w:space="0" w:color="auto"/>
              <w:left w:val="nil"/>
              <w:bottom w:val="nil"/>
              <w:right w:val="single" w:sz="8" w:space="0" w:color="auto"/>
            </w:tcBorders>
            <w:shd w:val="clear" w:color="auto" w:fill="auto"/>
            <w:noWrap/>
            <w:vAlign w:val="center"/>
          </w:tcPr>
          <w:p w14:paraId="1C055628" w14:textId="419DB5A7" w:rsidR="0050522C" w:rsidRPr="003E3A1D" w:rsidRDefault="0050522C" w:rsidP="00906175">
            <w:pPr>
              <w:spacing w:after="0"/>
              <w:jc w:val="right"/>
              <w:rPr>
                <w:sz w:val="20"/>
              </w:rPr>
            </w:pPr>
            <w:r w:rsidRPr="003E3A1D">
              <w:rPr>
                <w:sz w:val="20"/>
              </w:rPr>
              <w:t>5,4</w:t>
            </w:r>
          </w:p>
        </w:tc>
        <w:tc>
          <w:tcPr>
            <w:tcW w:w="1134" w:type="dxa"/>
            <w:tcBorders>
              <w:top w:val="single" w:sz="4" w:space="0" w:color="auto"/>
              <w:left w:val="nil"/>
              <w:bottom w:val="nil"/>
              <w:right w:val="single" w:sz="8" w:space="0" w:color="auto"/>
            </w:tcBorders>
            <w:shd w:val="clear" w:color="auto" w:fill="auto"/>
            <w:noWrap/>
            <w:vAlign w:val="center"/>
          </w:tcPr>
          <w:p w14:paraId="13C70C2F" w14:textId="15464D86" w:rsidR="0050522C" w:rsidRPr="003E3A1D" w:rsidRDefault="0050522C" w:rsidP="00906175">
            <w:pPr>
              <w:spacing w:after="0"/>
              <w:jc w:val="right"/>
              <w:rPr>
                <w:sz w:val="20"/>
              </w:rPr>
            </w:pPr>
            <w:r w:rsidRPr="003E3A1D">
              <w:rPr>
                <w:sz w:val="20"/>
              </w:rPr>
              <w:t>5,1</w:t>
            </w:r>
          </w:p>
        </w:tc>
        <w:tc>
          <w:tcPr>
            <w:tcW w:w="1134" w:type="dxa"/>
            <w:tcBorders>
              <w:top w:val="single" w:sz="4" w:space="0" w:color="auto"/>
              <w:left w:val="nil"/>
              <w:bottom w:val="nil"/>
              <w:right w:val="single" w:sz="4" w:space="0" w:color="auto"/>
            </w:tcBorders>
            <w:shd w:val="clear" w:color="auto" w:fill="auto"/>
            <w:noWrap/>
            <w:vAlign w:val="center"/>
          </w:tcPr>
          <w:p w14:paraId="562B1DC5" w14:textId="7A67D07D" w:rsidR="0050522C" w:rsidRPr="003E3A1D" w:rsidRDefault="0050522C" w:rsidP="00906175">
            <w:pPr>
              <w:spacing w:after="0"/>
              <w:jc w:val="right"/>
              <w:rPr>
                <w:sz w:val="20"/>
              </w:rPr>
            </w:pPr>
            <w:r w:rsidRPr="003E3A1D">
              <w:rPr>
                <w:sz w:val="20"/>
              </w:rPr>
              <w:t>-0,3</w:t>
            </w:r>
          </w:p>
        </w:tc>
        <w:tc>
          <w:tcPr>
            <w:tcW w:w="1135" w:type="dxa"/>
            <w:tcBorders>
              <w:top w:val="single" w:sz="4" w:space="0" w:color="auto"/>
              <w:left w:val="nil"/>
              <w:bottom w:val="nil"/>
              <w:right w:val="single" w:sz="8" w:space="0" w:color="auto"/>
            </w:tcBorders>
            <w:shd w:val="clear" w:color="auto" w:fill="auto"/>
            <w:noWrap/>
            <w:vAlign w:val="center"/>
          </w:tcPr>
          <w:p w14:paraId="4F21FF55" w14:textId="737F7DAF" w:rsidR="0050522C" w:rsidRPr="003E3A1D" w:rsidRDefault="0050522C" w:rsidP="00906175">
            <w:pPr>
              <w:spacing w:after="0"/>
              <w:jc w:val="right"/>
              <w:rPr>
                <w:sz w:val="20"/>
              </w:rPr>
            </w:pPr>
            <w:r w:rsidRPr="003E3A1D">
              <w:rPr>
                <w:sz w:val="20"/>
              </w:rPr>
              <w:t>94,4</w:t>
            </w:r>
          </w:p>
        </w:tc>
      </w:tr>
      <w:tr w:rsidR="0050522C" w:rsidRPr="003E3A1D" w14:paraId="65DFBFEE" w14:textId="77777777" w:rsidTr="00906175">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36BFD6F0" w:rsidR="0050522C" w:rsidRPr="003E3A1D" w:rsidRDefault="0050522C" w:rsidP="0050522C">
            <w:pPr>
              <w:spacing w:after="0"/>
              <w:jc w:val="left"/>
              <w:rPr>
                <w:b/>
                <w:bCs/>
                <w:sz w:val="20"/>
              </w:rPr>
            </w:pPr>
            <w:r w:rsidRPr="003E3A1D">
              <w:rPr>
                <w:b/>
                <w:bCs/>
                <w:sz w:val="20"/>
              </w:rPr>
              <w:t>Jövedéki adók összesen</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312362D3" w14:textId="6383A139" w:rsidR="0050522C" w:rsidRPr="003E3A1D" w:rsidRDefault="0050522C" w:rsidP="00906175">
            <w:pPr>
              <w:spacing w:after="0"/>
              <w:jc w:val="right"/>
              <w:rPr>
                <w:b/>
                <w:bCs/>
                <w:sz w:val="20"/>
              </w:rPr>
            </w:pPr>
            <w:r w:rsidRPr="003E3A1D">
              <w:rPr>
                <w:b/>
                <w:sz w:val="20"/>
              </w:rPr>
              <w:t>259,4</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35930993" w14:textId="0E7403D8" w:rsidR="0050522C" w:rsidRPr="003E3A1D" w:rsidRDefault="0050522C" w:rsidP="00906175">
            <w:pPr>
              <w:spacing w:after="0"/>
              <w:jc w:val="right"/>
              <w:rPr>
                <w:b/>
                <w:bCs/>
                <w:sz w:val="20"/>
              </w:rPr>
            </w:pPr>
            <w:r w:rsidRPr="003E3A1D">
              <w:rPr>
                <w:b/>
                <w:sz w:val="20"/>
              </w:rPr>
              <w:t>266,6</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64E32CD5" w14:textId="0C946A91" w:rsidR="0050522C" w:rsidRPr="003E3A1D" w:rsidRDefault="0050522C" w:rsidP="00E26292">
            <w:pPr>
              <w:spacing w:after="0"/>
              <w:jc w:val="right"/>
              <w:rPr>
                <w:b/>
                <w:bCs/>
                <w:sz w:val="20"/>
              </w:rPr>
            </w:pPr>
            <w:r w:rsidRPr="003E3A1D">
              <w:rPr>
                <w:b/>
                <w:sz w:val="20"/>
              </w:rPr>
              <w:t>7,</w:t>
            </w:r>
            <w:r w:rsidR="00E26292" w:rsidRPr="003E3A1D">
              <w:rPr>
                <w:b/>
                <w:sz w:val="20"/>
              </w:rPr>
              <w:t>2</w:t>
            </w:r>
          </w:p>
        </w:tc>
        <w:tc>
          <w:tcPr>
            <w:tcW w:w="1135" w:type="dxa"/>
            <w:tcBorders>
              <w:top w:val="single" w:sz="8" w:space="0" w:color="auto"/>
              <w:left w:val="nil"/>
              <w:bottom w:val="single" w:sz="8" w:space="0" w:color="auto"/>
              <w:right w:val="single" w:sz="8" w:space="0" w:color="auto"/>
            </w:tcBorders>
            <w:shd w:val="clear" w:color="auto" w:fill="auto"/>
            <w:noWrap/>
            <w:vAlign w:val="center"/>
          </w:tcPr>
          <w:p w14:paraId="7A3BDED0" w14:textId="4A67137F" w:rsidR="0050522C" w:rsidRPr="003E3A1D" w:rsidRDefault="0050522C" w:rsidP="00906175">
            <w:pPr>
              <w:spacing w:after="0"/>
              <w:jc w:val="right"/>
              <w:rPr>
                <w:b/>
                <w:bCs/>
                <w:sz w:val="20"/>
              </w:rPr>
            </w:pPr>
            <w:r w:rsidRPr="003E3A1D">
              <w:rPr>
                <w:b/>
                <w:sz w:val="20"/>
              </w:rPr>
              <w:t>102,8</w:t>
            </w:r>
          </w:p>
        </w:tc>
      </w:tr>
    </w:tbl>
    <w:p w14:paraId="10743248" w14:textId="77777777" w:rsidR="001E4959" w:rsidRPr="003E3A1D" w:rsidRDefault="001E4959" w:rsidP="00F9316E">
      <w:pPr>
        <w:spacing w:after="0" w:line="259" w:lineRule="auto"/>
      </w:pPr>
    </w:p>
    <w:p w14:paraId="29039E25" w14:textId="7DCEB24F" w:rsidR="00560FAE" w:rsidRPr="003E3A1D" w:rsidRDefault="4AC3BDA3" w:rsidP="4AC3BDA3">
      <w:r w:rsidRPr="003E3A1D">
        <w:t xml:space="preserve">Az üzemanyagok utáni bevételek növekedésének hátterében a magasabb üzemanyag-forgalom és a 2021. első negyedévi magasabb adómértékek állnak. A dohánytermékek utáni bevételek csökkenésének oka az alacsonyabb forgalom, mely a 2021 januárjában megvalósult adómérték-emelés miatti bázisévi készletezéssel magyarázható. A szeszesitalok és egyéb termékek esetében a bevételek növekedését a magasabb forgalom indokolja. Az energiaadó bevételek csökkenése adónem-elszámoláshoz köthető. </w:t>
      </w:r>
    </w:p>
    <w:p w14:paraId="4D1B958B" w14:textId="2D75FD58" w:rsidR="00C20494" w:rsidRPr="003E3A1D" w:rsidRDefault="008808DE" w:rsidP="4AC3BDA3">
      <w:r w:rsidRPr="003E3A1D">
        <w:t xml:space="preserve">A </w:t>
      </w:r>
      <w:r w:rsidRPr="003E3A1D">
        <w:rPr>
          <w:b/>
          <w:bCs/>
        </w:rPr>
        <w:t>személyi jövedelemadó</w:t>
      </w:r>
      <w:r w:rsidRPr="003E3A1D">
        <w:t xml:space="preserve"> államháztartási szintű bev</w:t>
      </w:r>
      <w:r w:rsidR="00B938E8" w:rsidRPr="003E3A1D">
        <w:t xml:space="preserve">étele az év első </w:t>
      </w:r>
      <w:r w:rsidR="00400FC2" w:rsidRPr="003E3A1D">
        <w:t>három hónapjában 172,5 milliárd forint volt, amely 505,5 milliárd forinttal alacsonyabb az egy évvel korábbi összegnél. A bázisidőszaktól való eltérést a bérek növekedése és a gyermeket nevelő szülők részére történő egyszeri adóvisszatérítés együttes hatása magyarázza.</w:t>
      </w:r>
    </w:p>
    <w:tbl>
      <w:tblPr>
        <w:tblW w:w="5098" w:type="dxa"/>
        <w:jc w:val="center"/>
        <w:tblCellMar>
          <w:left w:w="70" w:type="dxa"/>
          <w:right w:w="70" w:type="dxa"/>
        </w:tblCellMar>
        <w:tblLook w:val="04A0" w:firstRow="1" w:lastRow="0" w:firstColumn="1" w:lastColumn="0" w:noHBand="0" w:noVBand="1"/>
      </w:tblPr>
      <w:tblGrid>
        <w:gridCol w:w="70"/>
        <w:gridCol w:w="1484"/>
        <w:gridCol w:w="1134"/>
        <w:gridCol w:w="1134"/>
        <w:gridCol w:w="1269"/>
        <w:gridCol w:w="7"/>
      </w:tblGrid>
      <w:tr w:rsidR="003E3A1D" w:rsidRPr="003E3A1D" w14:paraId="5211C734" w14:textId="77777777" w:rsidTr="4AC3BDA3">
        <w:trPr>
          <w:gridAfter w:val="1"/>
          <w:wAfter w:w="7" w:type="dxa"/>
          <w:trHeight w:val="270"/>
          <w:jc w:val="center"/>
        </w:trPr>
        <w:tc>
          <w:tcPr>
            <w:tcW w:w="5091" w:type="dxa"/>
            <w:gridSpan w:val="5"/>
            <w:tcBorders>
              <w:top w:val="nil"/>
              <w:left w:val="nil"/>
              <w:bottom w:val="nil"/>
              <w:right w:val="nil"/>
            </w:tcBorders>
            <w:shd w:val="clear" w:color="auto" w:fill="auto"/>
            <w:noWrap/>
            <w:vAlign w:val="bottom"/>
            <w:hideMark/>
          </w:tcPr>
          <w:p w14:paraId="14F6907D" w14:textId="24853F38" w:rsidR="00C20494" w:rsidRPr="003E3A1D" w:rsidRDefault="4AC3BDA3" w:rsidP="4AC3BDA3">
            <w:pPr>
              <w:keepNext/>
              <w:keepLines/>
              <w:spacing w:before="120"/>
              <w:rPr>
                <w:b/>
                <w:bCs/>
                <w:sz w:val="20"/>
              </w:rPr>
            </w:pPr>
            <w:r w:rsidRPr="003E3A1D">
              <w:rPr>
                <w:b/>
                <w:bCs/>
                <w:sz w:val="20"/>
              </w:rPr>
              <w:t>Személyi jövedelemadó bevétel alakulása (milliárd forint)</w:t>
            </w:r>
          </w:p>
        </w:tc>
      </w:tr>
      <w:tr w:rsidR="003E3A1D" w:rsidRPr="003E3A1D" w14:paraId="467A7C80" w14:textId="77777777" w:rsidTr="4AC3BDA3">
        <w:trPr>
          <w:gridBefore w:val="1"/>
          <w:wBefore w:w="70" w:type="dxa"/>
          <w:trHeight w:val="255"/>
          <w:jc w:val="center"/>
        </w:trPr>
        <w:tc>
          <w:tcPr>
            <w:tcW w:w="148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73C5629" w14:textId="77777777" w:rsidR="000A2CB2" w:rsidRPr="003E3A1D" w:rsidRDefault="4AC3BDA3" w:rsidP="4AC3BDA3">
            <w:pPr>
              <w:spacing w:after="0"/>
              <w:jc w:val="center"/>
              <w:rPr>
                <w:b/>
                <w:bCs/>
                <w:sz w:val="20"/>
              </w:rPr>
            </w:pPr>
            <w:r w:rsidRPr="003E3A1D">
              <w:rPr>
                <w:b/>
                <w:bCs/>
                <w:sz w:val="20"/>
              </w:rPr>
              <w:t>Megnevezés</w:t>
            </w:r>
          </w:p>
        </w:tc>
        <w:tc>
          <w:tcPr>
            <w:tcW w:w="1134" w:type="dxa"/>
            <w:tcBorders>
              <w:top w:val="single" w:sz="8" w:space="0" w:color="auto"/>
              <w:left w:val="nil"/>
              <w:bottom w:val="nil"/>
              <w:right w:val="single" w:sz="8" w:space="0" w:color="auto"/>
            </w:tcBorders>
            <w:shd w:val="clear" w:color="auto" w:fill="auto"/>
            <w:vAlign w:val="center"/>
            <w:hideMark/>
          </w:tcPr>
          <w:p w14:paraId="60C24B45" w14:textId="77777777" w:rsidR="000A2CB2" w:rsidRPr="003E3A1D" w:rsidRDefault="4AC3BDA3" w:rsidP="4AC3BDA3">
            <w:pPr>
              <w:keepNext/>
              <w:keepLines/>
              <w:spacing w:after="0"/>
              <w:jc w:val="center"/>
              <w:rPr>
                <w:b/>
                <w:bCs/>
                <w:sz w:val="20"/>
              </w:rPr>
            </w:pPr>
            <w:r w:rsidRPr="003E3A1D">
              <w:rPr>
                <w:b/>
                <w:bCs/>
                <w:sz w:val="20"/>
              </w:rPr>
              <w:t>2021.</w:t>
            </w:r>
          </w:p>
        </w:tc>
        <w:tc>
          <w:tcPr>
            <w:tcW w:w="1134" w:type="dxa"/>
            <w:tcBorders>
              <w:top w:val="single" w:sz="8" w:space="0" w:color="auto"/>
              <w:left w:val="nil"/>
              <w:bottom w:val="nil"/>
              <w:right w:val="single" w:sz="8" w:space="0" w:color="auto"/>
            </w:tcBorders>
            <w:shd w:val="clear" w:color="auto" w:fill="auto"/>
            <w:vAlign w:val="center"/>
            <w:hideMark/>
          </w:tcPr>
          <w:p w14:paraId="18CE70F5" w14:textId="77777777" w:rsidR="000A2CB2" w:rsidRPr="003E3A1D" w:rsidRDefault="4AC3BDA3" w:rsidP="4AC3BDA3">
            <w:pPr>
              <w:keepNext/>
              <w:keepLines/>
              <w:spacing w:after="0"/>
              <w:jc w:val="center"/>
              <w:rPr>
                <w:b/>
                <w:bCs/>
                <w:sz w:val="20"/>
              </w:rPr>
            </w:pPr>
            <w:r w:rsidRPr="003E3A1D">
              <w:rPr>
                <w:b/>
                <w:bCs/>
                <w:sz w:val="20"/>
              </w:rPr>
              <w:t>2022.</w:t>
            </w:r>
          </w:p>
        </w:tc>
        <w:tc>
          <w:tcPr>
            <w:tcW w:w="1276" w:type="dxa"/>
            <w:gridSpan w:val="2"/>
            <w:vMerge w:val="restart"/>
            <w:tcBorders>
              <w:top w:val="single" w:sz="8" w:space="0" w:color="auto"/>
              <w:left w:val="nil"/>
              <w:right w:val="single" w:sz="8" w:space="0" w:color="auto"/>
            </w:tcBorders>
            <w:shd w:val="clear" w:color="auto" w:fill="auto"/>
            <w:vAlign w:val="center"/>
            <w:hideMark/>
          </w:tcPr>
          <w:p w14:paraId="42D02725" w14:textId="77777777" w:rsidR="000A2CB2" w:rsidRPr="003E3A1D" w:rsidRDefault="4AC3BDA3" w:rsidP="4AC3BDA3">
            <w:pPr>
              <w:keepNext/>
              <w:keepLines/>
              <w:spacing w:after="0"/>
              <w:jc w:val="center"/>
              <w:rPr>
                <w:b/>
                <w:bCs/>
                <w:sz w:val="20"/>
              </w:rPr>
            </w:pPr>
            <w:r w:rsidRPr="003E3A1D">
              <w:rPr>
                <w:b/>
                <w:bCs/>
                <w:sz w:val="20"/>
              </w:rPr>
              <w:t>Eltérés</w:t>
            </w:r>
          </w:p>
        </w:tc>
      </w:tr>
      <w:tr w:rsidR="003E3A1D" w:rsidRPr="003E3A1D" w14:paraId="4E43685C" w14:textId="77777777" w:rsidTr="4AC3BDA3">
        <w:trPr>
          <w:gridBefore w:val="1"/>
          <w:wBefore w:w="70" w:type="dxa"/>
          <w:trHeight w:val="270"/>
          <w:jc w:val="center"/>
        </w:trPr>
        <w:tc>
          <w:tcPr>
            <w:tcW w:w="1484" w:type="dxa"/>
            <w:vMerge/>
            <w:tcBorders>
              <w:top w:val="single" w:sz="8" w:space="0" w:color="auto"/>
              <w:left w:val="single" w:sz="8" w:space="0" w:color="auto"/>
              <w:bottom w:val="nil"/>
              <w:right w:val="single" w:sz="8" w:space="0" w:color="auto"/>
            </w:tcBorders>
            <w:vAlign w:val="center"/>
            <w:hideMark/>
          </w:tcPr>
          <w:p w14:paraId="64070DF8" w14:textId="77777777" w:rsidR="000A2CB2" w:rsidRPr="003E3A1D" w:rsidRDefault="000A2CB2" w:rsidP="00C20494">
            <w:pPr>
              <w:spacing w:after="0"/>
              <w:jc w:val="left"/>
              <w:rPr>
                <w:b/>
                <w:bCs/>
                <w:sz w:val="20"/>
              </w:rPr>
            </w:pPr>
          </w:p>
        </w:tc>
        <w:tc>
          <w:tcPr>
            <w:tcW w:w="1134" w:type="dxa"/>
            <w:tcBorders>
              <w:top w:val="nil"/>
              <w:left w:val="nil"/>
              <w:bottom w:val="nil"/>
              <w:right w:val="single" w:sz="8" w:space="0" w:color="auto"/>
            </w:tcBorders>
            <w:shd w:val="clear" w:color="auto" w:fill="auto"/>
            <w:vAlign w:val="center"/>
            <w:hideMark/>
          </w:tcPr>
          <w:p w14:paraId="7DAFCA44" w14:textId="2284F189" w:rsidR="000A2CB2" w:rsidRPr="003E3A1D" w:rsidRDefault="4AC3BDA3" w:rsidP="4AC3BDA3">
            <w:pPr>
              <w:spacing w:after="0"/>
              <w:jc w:val="center"/>
              <w:rPr>
                <w:b/>
                <w:bCs/>
                <w:sz w:val="20"/>
              </w:rPr>
            </w:pPr>
            <w:r w:rsidRPr="003E3A1D">
              <w:rPr>
                <w:b/>
                <w:bCs/>
                <w:sz w:val="20"/>
              </w:rPr>
              <w:t>I-I</w:t>
            </w:r>
            <w:r w:rsidR="00400FC2" w:rsidRPr="003E3A1D">
              <w:rPr>
                <w:b/>
                <w:bCs/>
                <w:sz w:val="20"/>
              </w:rPr>
              <w:t>I</w:t>
            </w:r>
            <w:r w:rsidRPr="003E3A1D">
              <w:rPr>
                <w:b/>
                <w:bCs/>
                <w:sz w:val="20"/>
              </w:rPr>
              <w:t>I. hó</w:t>
            </w:r>
          </w:p>
        </w:tc>
        <w:tc>
          <w:tcPr>
            <w:tcW w:w="1134" w:type="dxa"/>
            <w:tcBorders>
              <w:top w:val="nil"/>
              <w:left w:val="nil"/>
              <w:bottom w:val="nil"/>
              <w:right w:val="single" w:sz="8" w:space="0" w:color="auto"/>
            </w:tcBorders>
            <w:shd w:val="clear" w:color="auto" w:fill="auto"/>
            <w:vAlign w:val="center"/>
            <w:hideMark/>
          </w:tcPr>
          <w:p w14:paraId="5BEF977A" w14:textId="7D035E31" w:rsidR="000A2CB2" w:rsidRPr="003E3A1D" w:rsidRDefault="4AC3BDA3" w:rsidP="4AC3BDA3">
            <w:pPr>
              <w:spacing w:after="0"/>
              <w:jc w:val="center"/>
              <w:rPr>
                <w:b/>
                <w:bCs/>
                <w:sz w:val="20"/>
              </w:rPr>
            </w:pPr>
            <w:r w:rsidRPr="003E3A1D">
              <w:rPr>
                <w:b/>
                <w:bCs/>
                <w:sz w:val="20"/>
              </w:rPr>
              <w:t>I-I</w:t>
            </w:r>
            <w:r w:rsidR="00400FC2" w:rsidRPr="003E3A1D">
              <w:rPr>
                <w:b/>
                <w:bCs/>
                <w:sz w:val="20"/>
              </w:rPr>
              <w:t>I</w:t>
            </w:r>
            <w:r w:rsidRPr="003E3A1D">
              <w:rPr>
                <w:b/>
                <w:bCs/>
                <w:sz w:val="20"/>
              </w:rPr>
              <w:t>I. hó</w:t>
            </w:r>
          </w:p>
        </w:tc>
        <w:tc>
          <w:tcPr>
            <w:tcW w:w="1276" w:type="dxa"/>
            <w:gridSpan w:val="2"/>
            <w:vMerge/>
            <w:tcBorders>
              <w:left w:val="nil"/>
              <w:bottom w:val="nil"/>
              <w:right w:val="single" w:sz="8" w:space="0" w:color="auto"/>
            </w:tcBorders>
            <w:shd w:val="clear" w:color="auto" w:fill="auto"/>
            <w:vAlign w:val="center"/>
            <w:hideMark/>
          </w:tcPr>
          <w:p w14:paraId="1192F811" w14:textId="0F13EDC9" w:rsidR="000A2CB2" w:rsidRPr="003E3A1D" w:rsidRDefault="000A2CB2" w:rsidP="00C20494">
            <w:pPr>
              <w:spacing w:after="0"/>
              <w:jc w:val="center"/>
              <w:rPr>
                <w:b/>
                <w:bCs/>
                <w:sz w:val="20"/>
              </w:rPr>
            </w:pPr>
          </w:p>
        </w:tc>
      </w:tr>
      <w:tr w:rsidR="003E3A1D" w:rsidRPr="003E3A1D" w14:paraId="51A906E5" w14:textId="77777777" w:rsidTr="00906175">
        <w:trPr>
          <w:gridBefore w:val="1"/>
          <w:wBefore w:w="70" w:type="dxa"/>
          <w:trHeight w:val="270"/>
          <w:jc w:val="center"/>
        </w:trPr>
        <w:tc>
          <w:tcPr>
            <w:tcW w:w="14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77681" w14:textId="77777777" w:rsidR="00400FC2" w:rsidRPr="003E3A1D" w:rsidRDefault="00400FC2" w:rsidP="00400FC2">
            <w:pPr>
              <w:spacing w:after="0"/>
              <w:jc w:val="left"/>
              <w:rPr>
                <w:b/>
                <w:bCs/>
                <w:sz w:val="20"/>
              </w:rPr>
            </w:pPr>
            <w:r w:rsidRPr="003E3A1D">
              <w:rPr>
                <w:b/>
                <w:bCs/>
                <w:sz w:val="20"/>
              </w:rPr>
              <w:t>Befizetés</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3859E79D" w14:textId="5FBE4277" w:rsidR="00400FC2" w:rsidRPr="003E3A1D" w:rsidRDefault="00400FC2" w:rsidP="00906175">
            <w:pPr>
              <w:spacing w:after="0"/>
              <w:jc w:val="right"/>
              <w:rPr>
                <w:sz w:val="20"/>
              </w:rPr>
            </w:pPr>
            <w:r w:rsidRPr="003E3A1D">
              <w:rPr>
                <w:sz w:val="20"/>
              </w:rPr>
              <w:t>707,2</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6C174714" w14:textId="643CA0DC" w:rsidR="00400FC2" w:rsidRPr="003E3A1D" w:rsidRDefault="00400FC2" w:rsidP="00906175">
            <w:pPr>
              <w:spacing w:after="0"/>
              <w:jc w:val="right"/>
              <w:rPr>
                <w:sz w:val="20"/>
              </w:rPr>
            </w:pPr>
            <w:r w:rsidRPr="003E3A1D">
              <w:rPr>
                <w:sz w:val="20"/>
              </w:rPr>
              <w:t>856,6</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tcPr>
          <w:p w14:paraId="540EAA53" w14:textId="1F380460" w:rsidR="00400FC2" w:rsidRPr="003E3A1D" w:rsidRDefault="00400FC2" w:rsidP="00906175">
            <w:pPr>
              <w:spacing w:after="0"/>
              <w:jc w:val="right"/>
              <w:rPr>
                <w:sz w:val="20"/>
              </w:rPr>
            </w:pPr>
            <w:r w:rsidRPr="003E3A1D">
              <w:rPr>
                <w:sz w:val="20"/>
              </w:rPr>
              <w:t>149,4</w:t>
            </w:r>
          </w:p>
        </w:tc>
      </w:tr>
      <w:tr w:rsidR="003E3A1D" w:rsidRPr="003E3A1D" w14:paraId="0524D185" w14:textId="77777777" w:rsidTr="00906175">
        <w:trPr>
          <w:gridBefore w:val="1"/>
          <w:wBefore w:w="70" w:type="dxa"/>
          <w:trHeight w:val="270"/>
          <w:jc w:val="center"/>
        </w:trPr>
        <w:tc>
          <w:tcPr>
            <w:tcW w:w="1484" w:type="dxa"/>
            <w:tcBorders>
              <w:top w:val="nil"/>
              <w:left w:val="single" w:sz="8" w:space="0" w:color="auto"/>
              <w:bottom w:val="single" w:sz="8" w:space="0" w:color="auto"/>
              <w:right w:val="single" w:sz="8" w:space="0" w:color="auto"/>
            </w:tcBorders>
            <w:shd w:val="clear" w:color="auto" w:fill="auto"/>
            <w:noWrap/>
            <w:vAlign w:val="center"/>
            <w:hideMark/>
          </w:tcPr>
          <w:p w14:paraId="5C7A69BD" w14:textId="77777777" w:rsidR="00400FC2" w:rsidRPr="003E3A1D" w:rsidRDefault="00400FC2" w:rsidP="00400FC2">
            <w:pPr>
              <w:spacing w:after="0"/>
              <w:jc w:val="left"/>
              <w:rPr>
                <w:b/>
                <w:bCs/>
                <w:sz w:val="20"/>
              </w:rPr>
            </w:pPr>
            <w:r w:rsidRPr="003E3A1D">
              <w:rPr>
                <w:b/>
                <w:bCs/>
                <w:sz w:val="20"/>
              </w:rPr>
              <w:t>Kiutalás</w:t>
            </w:r>
          </w:p>
        </w:tc>
        <w:tc>
          <w:tcPr>
            <w:tcW w:w="1134" w:type="dxa"/>
            <w:tcBorders>
              <w:top w:val="nil"/>
              <w:left w:val="nil"/>
              <w:bottom w:val="single" w:sz="8" w:space="0" w:color="auto"/>
              <w:right w:val="single" w:sz="8" w:space="0" w:color="auto"/>
            </w:tcBorders>
            <w:shd w:val="clear" w:color="auto" w:fill="auto"/>
            <w:noWrap/>
            <w:vAlign w:val="center"/>
          </w:tcPr>
          <w:p w14:paraId="5F375CBD" w14:textId="53A8AA6B" w:rsidR="00400FC2" w:rsidRPr="003E3A1D" w:rsidRDefault="00400FC2" w:rsidP="00906175">
            <w:pPr>
              <w:spacing w:after="0"/>
              <w:jc w:val="right"/>
              <w:rPr>
                <w:sz w:val="20"/>
              </w:rPr>
            </w:pPr>
            <w:r w:rsidRPr="003E3A1D">
              <w:rPr>
                <w:sz w:val="20"/>
              </w:rPr>
              <w:t>29,2</w:t>
            </w:r>
          </w:p>
        </w:tc>
        <w:tc>
          <w:tcPr>
            <w:tcW w:w="1134" w:type="dxa"/>
            <w:tcBorders>
              <w:top w:val="nil"/>
              <w:left w:val="nil"/>
              <w:bottom w:val="single" w:sz="8" w:space="0" w:color="auto"/>
              <w:right w:val="nil"/>
            </w:tcBorders>
            <w:shd w:val="clear" w:color="auto" w:fill="auto"/>
            <w:noWrap/>
            <w:vAlign w:val="center"/>
          </w:tcPr>
          <w:p w14:paraId="69ED99C5" w14:textId="4966A8AF" w:rsidR="00400FC2" w:rsidRPr="003E3A1D" w:rsidRDefault="00400FC2" w:rsidP="00906175">
            <w:pPr>
              <w:spacing w:after="0"/>
              <w:jc w:val="right"/>
              <w:rPr>
                <w:sz w:val="20"/>
              </w:rPr>
            </w:pPr>
            <w:r w:rsidRPr="003E3A1D">
              <w:rPr>
                <w:sz w:val="20"/>
              </w:rPr>
              <w:t>684,1</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5B3115F9" w14:textId="0B1E2806" w:rsidR="00400FC2" w:rsidRPr="003E3A1D" w:rsidRDefault="00400FC2" w:rsidP="00906175">
            <w:pPr>
              <w:spacing w:after="0"/>
              <w:jc w:val="right"/>
              <w:rPr>
                <w:sz w:val="20"/>
              </w:rPr>
            </w:pPr>
            <w:r w:rsidRPr="003E3A1D">
              <w:rPr>
                <w:sz w:val="20"/>
              </w:rPr>
              <w:t>654,9</w:t>
            </w:r>
          </w:p>
        </w:tc>
      </w:tr>
      <w:tr w:rsidR="00400FC2" w:rsidRPr="003E3A1D" w14:paraId="188A8B79" w14:textId="77777777" w:rsidTr="00906175">
        <w:trPr>
          <w:gridBefore w:val="1"/>
          <w:wBefore w:w="70" w:type="dxa"/>
          <w:trHeight w:val="270"/>
          <w:jc w:val="center"/>
        </w:trPr>
        <w:tc>
          <w:tcPr>
            <w:tcW w:w="1484" w:type="dxa"/>
            <w:tcBorders>
              <w:top w:val="nil"/>
              <w:left w:val="single" w:sz="8" w:space="0" w:color="auto"/>
              <w:bottom w:val="single" w:sz="8" w:space="0" w:color="auto"/>
              <w:right w:val="single" w:sz="8" w:space="0" w:color="auto"/>
            </w:tcBorders>
            <w:shd w:val="clear" w:color="auto" w:fill="auto"/>
            <w:noWrap/>
            <w:vAlign w:val="center"/>
            <w:hideMark/>
          </w:tcPr>
          <w:p w14:paraId="7086898B" w14:textId="77777777" w:rsidR="00400FC2" w:rsidRPr="003E3A1D" w:rsidRDefault="00400FC2" w:rsidP="00400FC2">
            <w:pPr>
              <w:spacing w:after="0"/>
              <w:jc w:val="left"/>
              <w:rPr>
                <w:b/>
                <w:bCs/>
                <w:sz w:val="20"/>
              </w:rPr>
            </w:pPr>
            <w:r w:rsidRPr="003E3A1D">
              <w:rPr>
                <w:b/>
                <w:bCs/>
                <w:sz w:val="20"/>
              </w:rPr>
              <w:t>Egyenleg</w:t>
            </w:r>
          </w:p>
        </w:tc>
        <w:tc>
          <w:tcPr>
            <w:tcW w:w="1134" w:type="dxa"/>
            <w:tcBorders>
              <w:top w:val="nil"/>
              <w:left w:val="nil"/>
              <w:bottom w:val="single" w:sz="8" w:space="0" w:color="auto"/>
              <w:right w:val="single" w:sz="8" w:space="0" w:color="auto"/>
            </w:tcBorders>
            <w:shd w:val="clear" w:color="auto" w:fill="auto"/>
            <w:noWrap/>
            <w:vAlign w:val="center"/>
          </w:tcPr>
          <w:p w14:paraId="74579C78" w14:textId="4C7A763F" w:rsidR="00400FC2" w:rsidRPr="003E3A1D" w:rsidRDefault="00400FC2" w:rsidP="00906175">
            <w:pPr>
              <w:spacing w:after="0"/>
              <w:jc w:val="right"/>
              <w:rPr>
                <w:b/>
                <w:bCs/>
                <w:sz w:val="20"/>
              </w:rPr>
            </w:pPr>
            <w:r w:rsidRPr="003E3A1D">
              <w:rPr>
                <w:b/>
                <w:sz w:val="20"/>
              </w:rPr>
              <w:t>678,0</w:t>
            </w:r>
          </w:p>
        </w:tc>
        <w:tc>
          <w:tcPr>
            <w:tcW w:w="1134" w:type="dxa"/>
            <w:tcBorders>
              <w:top w:val="nil"/>
              <w:left w:val="nil"/>
              <w:bottom w:val="single" w:sz="8" w:space="0" w:color="auto"/>
              <w:right w:val="nil"/>
            </w:tcBorders>
            <w:shd w:val="clear" w:color="auto" w:fill="auto"/>
            <w:noWrap/>
            <w:vAlign w:val="center"/>
          </w:tcPr>
          <w:p w14:paraId="601A94EA" w14:textId="3EE89BB5" w:rsidR="00400FC2" w:rsidRPr="003E3A1D" w:rsidRDefault="00400FC2" w:rsidP="00906175">
            <w:pPr>
              <w:spacing w:after="0"/>
              <w:jc w:val="right"/>
              <w:rPr>
                <w:b/>
                <w:bCs/>
                <w:sz w:val="20"/>
              </w:rPr>
            </w:pPr>
            <w:r w:rsidRPr="003E3A1D">
              <w:rPr>
                <w:b/>
                <w:sz w:val="20"/>
              </w:rPr>
              <w:t>172,5</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6CFAF71" w14:textId="2DE8E749" w:rsidR="00400FC2" w:rsidRPr="003E3A1D" w:rsidRDefault="00400FC2" w:rsidP="00906175">
            <w:pPr>
              <w:spacing w:after="0"/>
              <w:jc w:val="right"/>
              <w:rPr>
                <w:b/>
                <w:bCs/>
                <w:sz w:val="20"/>
              </w:rPr>
            </w:pPr>
            <w:r w:rsidRPr="003E3A1D">
              <w:rPr>
                <w:b/>
                <w:sz w:val="20"/>
              </w:rPr>
              <w:t>-505,5</w:t>
            </w:r>
          </w:p>
        </w:tc>
      </w:tr>
    </w:tbl>
    <w:p w14:paraId="51D07399" w14:textId="77777777" w:rsidR="00C20494" w:rsidRPr="003E3A1D" w:rsidRDefault="00C20494" w:rsidP="007C4E05"/>
    <w:p w14:paraId="7470C2BE" w14:textId="319426D1" w:rsidR="28C51222" w:rsidRPr="003E3A1D" w:rsidRDefault="4AC3BDA3" w:rsidP="4AC3BDA3">
      <w:r w:rsidRPr="003E3A1D">
        <w:t xml:space="preserve">A </w:t>
      </w:r>
      <w:r w:rsidRPr="003E3A1D">
        <w:rPr>
          <w:b/>
          <w:bCs/>
        </w:rPr>
        <w:t>Központi Maradványelszámolási Alapba történő befizetések</w:t>
      </w:r>
      <w:r w:rsidRPr="003E3A1D">
        <w:t xml:space="preserve"> mérlegsorra a költségvetési szervek előirányzatai terhére 2022 első három hónapjában összesen 64,5 milliárd forint maradvány került befizetésre, szemben az előző évi január-március havi 176,1 milliárd forintos összeggel, mivel 2021 decemberében a maradványbefizetés szabályrendszere módosult. Ennek értelmében </w:t>
      </w:r>
      <w:r w:rsidRPr="003E3A1D">
        <w:rPr>
          <w:b/>
          <w:bCs/>
        </w:rPr>
        <w:t>–</w:t>
      </w:r>
      <w:r w:rsidRPr="003E3A1D">
        <w:t xml:space="preserve"> a kivételektől eltekintve </w:t>
      </w:r>
      <w:r w:rsidRPr="003E3A1D">
        <w:rPr>
          <w:b/>
          <w:bCs/>
        </w:rPr>
        <w:t>–</w:t>
      </w:r>
      <w:r w:rsidRPr="003E3A1D">
        <w:t xml:space="preserve"> a fejezeti kezelésű előirányzatok kötelezettségvállalással nem terhelt maradványát már nem a Központi Maradványelszámolási Alapba, hanem a Megtakarítási Alapba kell befizetni. </w:t>
      </w:r>
    </w:p>
    <w:p w14:paraId="3BB50EC2" w14:textId="40BA6C99" w:rsidR="28C51222" w:rsidRPr="003E3A1D" w:rsidRDefault="4AC3BDA3" w:rsidP="4AC3BDA3">
      <w:r w:rsidRPr="003E3A1D">
        <w:t xml:space="preserve">A </w:t>
      </w:r>
      <w:r w:rsidRPr="003E3A1D">
        <w:rPr>
          <w:b/>
          <w:bCs/>
        </w:rPr>
        <w:t>Megtakarítási Alapba történő befizetések</w:t>
      </w:r>
      <w:r w:rsidRPr="003E3A1D">
        <w:t xml:space="preserve"> mérlegsorra a szakmai fejezeti kezelésű előirányzatok terhére 2022 első három hónapjában összesen 487,8 milliárd forint maradvány került befizetésre. A 2022. évben </w:t>
      </w:r>
      <w:r w:rsidRPr="003E3A1D">
        <w:rPr>
          <w:b/>
          <w:bCs/>
        </w:rPr>
        <w:t xml:space="preserve">– </w:t>
      </w:r>
      <w:r w:rsidRPr="003E3A1D">
        <w:t xml:space="preserve">államháztartási szabályváltozás miatt </w:t>
      </w:r>
      <w:r w:rsidRPr="003E3A1D">
        <w:rPr>
          <w:b/>
          <w:bCs/>
        </w:rPr>
        <w:t xml:space="preserve">– </w:t>
      </w:r>
      <w:r w:rsidRPr="003E3A1D">
        <w:t>új előirányzatként szerepel a mérlegben ez a sor, mely alapján a kormány irányítása alá tartozó fejezetbe sorolt fejezeti kezelésű előirányzatok kötelezettségvállalással nem terhelt maradványát a Megtakarítási Alapba kell befizetni.</w:t>
      </w:r>
    </w:p>
    <w:p w14:paraId="3DDC46E8" w14:textId="3169AE97" w:rsidR="28C51222" w:rsidRPr="003E3A1D" w:rsidRDefault="4AC3BDA3" w:rsidP="511CC280">
      <w:r w:rsidRPr="003E3A1D">
        <w:lastRenderedPageBreak/>
        <w:t xml:space="preserve">Az </w:t>
      </w:r>
      <w:r w:rsidRPr="003E3A1D">
        <w:rPr>
          <w:b/>
          <w:bCs/>
        </w:rPr>
        <w:t>állami vagyonnal kapcsolatos befizetések</w:t>
      </w:r>
      <w:r w:rsidRPr="003E3A1D">
        <w:t xml:space="preserve"> </w:t>
      </w:r>
      <w:r w:rsidR="61588ECA" w:rsidRPr="003E3A1D">
        <w:t>március</w:t>
      </w:r>
      <w:r w:rsidRPr="003E3A1D">
        <w:t xml:space="preserve"> végéig </w:t>
      </w:r>
      <w:r w:rsidR="61588ECA" w:rsidRPr="003E3A1D">
        <w:t>109</w:t>
      </w:r>
      <w:r w:rsidRPr="003E3A1D">
        <w:t xml:space="preserve">,3 milliárd forintot tettek ki, melynek meghatározó </w:t>
      </w:r>
      <w:r w:rsidR="715DB526" w:rsidRPr="003E3A1D">
        <w:t>tételei</w:t>
      </w:r>
      <w:r w:rsidRPr="003E3A1D">
        <w:t xml:space="preserve"> a kvótaértékesítésből származó </w:t>
      </w:r>
      <w:r w:rsidR="61588ECA" w:rsidRPr="003E3A1D">
        <w:t>35,2</w:t>
      </w:r>
      <w:r w:rsidRPr="003E3A1D">
        <w:t xml:space="preserve"> milliárd </w:t>
      </w:r>
      <w:r w:rsidR="61588ECA" w:rsidRPr="003E3A1D">
        <w:t>forint</w:t>
      </w:r>
      <w:r w:rsidR="715DB526" w:rsidRPr="003E3A1D">
        <w:t xml:space="preserve"> és a frekvenciahasználati jogosultság értékesítéséből származó 56,9 milliárd forintos</w:t>
      </w:r>
      <w:r w:rsidRPr="003E3A1D">
        <w:t xml:space="preserve"> összeg. A befizetések összetételét a következő diagram szemlélteti:</w:t>
      </w:r>
    </w:p>
    <w:p w14:paraId="31E6D991" w14:textId="7096CF8A" w:rsidR="003E1945" w:rsidRPr="003E3A1D" w:rsidRDefault="00886B79" w:rsidP="511CC280">
      <w:r w:rsidRPr="003E3A1D">
        <w:rPr>
          <w:noProof/>
        </w:rPr>
        <w:drawing>
          <wp:inline distT="0" distB="0" distL="0" distR="0" wp14:anchorId="0992E55C" wp14:editId="447FBC22">
            <wp:extent cx="5940425" cy="3764799"/>
            <wp:effectExtent l="0" t="0" r="3175" b="7620"/>
            <wp:docPr id="12" name="Kép 12" descr="Z:\Áht_gyors_moni\2022_03_márc\0_feljegyzés_monitoring\ábrák\___Vagyon_befizeté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2_03_márc\0_feljegyzés_monitoring\ábrák\___Vagyon_befizetése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64799"/>
                    </a:xfrm>
                    <a:prstGeom prst="rect">
                      <a:avLst/>
                    </a:prstGeom>
                    <a:noFill/>
                    <a:ln>
                      <a:noFill/>
                    </a:ln>
                  </pic:spPr>
                </pic:pic>
              </a:graphicData>
            </a:graphic>
          </wp:inline>
        </w:drawing>
      </w:r>
    </w:p>
    <w:p w14:paraId="3ACE6ED3" w14:textId="227E2C67" w:rsidR="443F750D" w:rsidRPr="003E3A1D" w:rsidRDefault="4AC3BDA3" w:rsidP="443F750D">
      <w:r w:rsidRPr="003E3A1D">
        <w:rPr>
          <w:rFonts w:eastAsia="Calibri"/>
        </w:rPr>
        <w:t xml:space="preserve">Az </w:t>
      </w:r>
      <w:r w:rsidRPr="003E3A1D">
        <w:rPr>
          <w:rFonts w:eastAsia="Calibri"/>
          <w:b/>
          <w:bCs/>
        </w:rPr>
        <w:t>Uniós programok bevételei</w:t>
      </w:r>
      <w:r w:rsidR="00736313" w:rsidRPr="003E3A1D">
        <w:rPr>
          <w:rFonts w:eastAsia="Calibri"/>
        </w:rPr>
        <w:t xml:space="preserve"> mérlegsoron</w:t>
      </w:r>
      <w:r w:rsidRPr="003E3A1D">
        <w:rPr>
          <w:rFonts w:eastAsia="Calibri"/>
        </w:rPr>
        <w:t xml:space="preserve"> 2022. március végéig 200,1 milliárd forint bevétel keletkezett. Ez az ö</w:t>
      </w:r>
      <w:r w:rsidR="00552B1E" w:rsidRPr="003E3A1D">
        <w:rPr>
          <w:rFonts w:eastAsia="Calibri"/>
        </w:rPr>
        <w:t>sszeg a törvényi előirányzat (2</w:t>
      </w:r>
      <w:r w:rsidRPr="003E3A1D">
        <w:rPr>
          <w:rFonts w:eastAsia="Calibri"/>
        </w:rPr>
        <w:t>363,3 milliárd forint) 8,5%-át teszi ki.</w:t>
      </w:r>
    </w:p>
    <w:p w14:paraId="7763203A" w14:textId="4E39FF56" w:rsidR="443F750D" w:rsidRPr="003E3A1D" w:rsidRDefault="00736313" w:rsidP="443F750D">
      <w:r w:rsidRPr="003E3A1D">
        <w:rPr>
          <w:rFonts w:eastAsia="Calibri"/>
        </w:rPr>
        <w:t xml:space="preserve">Az </w:t>
      </w:r>
      <w:r w:rsidR="4AC3BDA3" w:rsidRPr="003E3A1D">
        <w:rPr>
          <w:rFonts w:eastAsia="Calibri"/>
          <w:b/>
          <w:bCs/>
        </w:rPr>
        <w:t>Egyéb uniós bevételek</w:t>
      </w:r>
      <w:r w:rsidR="4AC3BDA3" w:rsidRPr="003E3A1D">
        <w:rPr>
          <w:rFonts w:eastAsia="Calibri"/>
        </w:rPr>
        <w:t xml:space="preserve"> soron belül a </w:t>
      </w:r>
      <w:r w:rsidR="4AC3BDA3" w:rsidRPr="003E3A1D">
        <w:rPr>
          <w:rFonts w:eastAsia="Calibri"/>
          <w:iCs/>
        </w:rPr>
        <w:t>Vámbeszedési költség megtérítése</w:t>
      </w:r>
      <w:r w:rsidR="4AC3BDA3" w:rsidRPr="003E3A1D">
        <w:rPr>
          <w:rFonts w:eastAsia="Calibri"/>
        </w:rPr>
        <w:t xml:space="preserve"> 7,5 milliárd forintot tett ki március végéig. Ez az összeg a törvényi előirányzat 33,</w:t>
      </w:r>
      <w:r w:rsidR="00CD2816" w:rsidRPr="003E3A1D">
        <w:rPr>
          <w:rFonts w:eastAsia="Calibri"/>
        </w:rPr>
        <w:t>5</w:t>
      </w:r>
      <w:r w:rsidR="4AC3BDA3" w:rsidRPr="003E3A1D">
        <w:rPr>
          <w:rFonts w:eastAsia="Calibri"/>
        </w:rPr>
        <w:t>%-a, és 3,1</w:t>
      </w:r>
      <w:r w:rsidR="000A5B61" w:rsidRPr="003E3A1D">
        <w:rPr>
          <w:rFonts w:eastAsia="Calibri"/>
        </w:rPr>
        <w:t> </w:t>
      </w:r>
      <w:r w:rsidR="4AC3BDA3" w:rsidRPr="003E3A1D">
        <w:rPr>
          <w:rFonts w:eastAsia="Calibri"/>
        </w:rPr>
        <w:t>milliárd forinttal halad</w:t>
      </w:r>
      <w:r w:rsidR="00CD2816" w:rsidRPr="003E3A1D">
        <w:rPr>
          <w:rFonts w:eastAsia="Calibri"/>
        </w:rPr>
        <w:t>t</w:t>
      </w:r>
      <w:r w:rsidR="4AC3BDA3" w:rsidRPr="003E3A1D">
        <w:rPr>
          <w:rFonts w:eastAsia="Calibri"/>
        </w:rPr>
        <w:t xml:space="preserve">a meg a 2021. év azonos időszakában keletkezett bevételt. </w:t>
      </w:r>
    </w:p>
    <w:p w14:paraId="657C7112" w14:textId="4565CE9B" w:rsidR="003A1352" w:rsidRPr="003E3A1D" w:rsidRDefault="4AC3BDA3" w:rsidP="4AC3BDA3">
      <w:pPr>
        <w:rPr>
          <w:rFonts w:eastAsia="Calibri"/>
        </w:rPr>
      </w:pPr>
      <w:r w:rsidRPr="003E3A1D">
        <w:rPr>
          <w:rFonts w:eastAsia="Calibri"/>
        </w:rPr>
        <w:t xml:space="preserve">A befizetett társadalombiztosítási járulék 8,1%-át az állami adóhatóság a foglalkoztatási programokkal kapcsolatos elkülönített állami pénzalapnak utalja át. 2022. </w:t>
      </w:r>
      <w:r w:rsidR="002F33AC" w:rsidRPr="003E3A1D">
        <w:rPr>
          <w:rFonts w:eastAsia="Calibri"/>
        </w:rPr>
        <w:t>március</w:t>
      </w:r>
      <w:r w:rsidRPr="003E3A1D">
        <w:rPr>
          <w:rFonts w:eastAsia="Calibri"/>
        </w:rPr>
        <w:t xml:space="preserve"> végéig a </w:t>
      </w:r>
      <w:r w:rsidRPr="003E3A1D">
        <w:rPr>
          <w:rFonts w:eastAsia="Calibri"/>
          <w:b/>
          <w:bCs/>
        </w:rPr>
        <w:t xml:space="preserve">társadalombiztosítási járulék </w:t>
      </w:r>
      <w:r w:rsidRPr="003E3A1D">
        <w:rPr>
          <w:b/>
          <w:bCs/>
        </w:rPr>
        <w:t xml:space="preserve">Gazdaság-újraindítási Foglalkoztatási </w:t>
      </w:r>
      <w:r w:rsidRPr="003E3A1D">
        <w:rPr>
          <w:rFonts w:eastAsia="Calibri"/>
          <w:b/>
          <w:bCs/>
        </w:rPr>
        <w:t>Alapot megillető része</w:t>
      </w:r>
      <w:r w:rsidR="002F33AC" w:rsidRPr="003E3A1D">
        <w:rPr>
          <w:rFonts w:eastAsia="Calibri"/>
          <w:b/>
          <w:bCs/>
        </w:rPr>
        <w:t xml:space="preserve"> </w:t>
      </w:r>
      <w:r w:rsidR="002F33AC" w:rsidRPr="003E3A1D">
        <w:rPr>
          <w:rFonts w:eastAsia="Calibri"/>
          <w:bCs/>
        </w:rPr>
        <w:t>72,8 milliárd forintban teljesült, az előző év azonos időszakában befolyt bevételt 12,7 milliárd forinttal, 21,1%-kal haladta meg. A bevételnövekedés oka az átlagkereset növekedése.</w:t>
      </w:r>
    </w:p>
    <w:p w14:paraId="5B451A9E" w14:textId="0C27CE8F" w:rsidR="007024F4" w:rsidRPr="003E3A1D" w:rsidRDefault="4AC3BDA3" w:rsidP="00995E55">
      <w:pPr>
        <w:rPr>
          <w:szCs w:val="26"/>
        </w:rPr>
      </w:pPr>
      <w:r w:rsidRPr="003E3A1D">
        <w:t xml:space="preserve">2022 első </w:t>
      </w:r>
      <w:r w:rsidR="002F33AC" w:rsidRPr="003E3A1D">
        <w:t>három</w:t>
      </w:r>
      <w:r w:rsidRPr="003E3A1D">
        <w:t xml:space="preserve"> hónapjában a </w:t>
      </w:r>
      <w:r w:rsidRPr="003E3A1D">
        <w:rPr>
          <w:b/>
          <w:bCs/>
        </w:rPr>
        <w:t>szociális hozzájárulási adó Nyugdíjbiztosítási Alapot megillető része</w:t>
      </w:r>
      <w:r w:rsidRPr="003E3A1D">
        <w:t xml:space="preserve"> </w:t>
      </w:r>
      <w:r w:rsidR="002F33AC" w:rsidRPr="003E3A1D">
        <w:t>(437,2 milliárd forint) 7,2%-kal, 29,4 milliárd forinttal haladta meg az előző év azono</w:t>
      </w:r>
      <w:r w:rsidR="00CD2816" w:rsidRPr="003E3A1D">
        <w:t>s időszakában befolyt bevétel</w:t>
      </w:r>
      <w:r w:rsidR="002F33AC" w:rsidRPr="003E3A1D">
        <w:t>t. A bevétel változása az átlagkereset növekedésével és a szociális hozzájárulási adó kulcs</w:t>
      </w:r>
      <w:r w:rsidR="00CD2816" w:rsidRPr="003E3A1D">
        <w:t>a</w:t>
      </w:r>
      <w:r w:rsidR="002F33AC" w:rsidRPr="003E3A1D">
        <w:t xml:space="preserve"> csökkentésének együttes hatásával magyarázható.</w:t>
      </w:r>
    </w:p>
    <w:p w14:paraId="7CB9AC38" w14:textId="24D5C6DD" w:rsidR="002F33AC" w:rsidRPr="003E3A1D" w:rsidRDefault="4AC3BDA3" w:rsidP="00995E55">
      <w:pPr>
        <w:rPr>
          <w:szCs w:val="26"/>
        </w:rPr>
      </w:pPr>
      <w:r w:rsidRPr="003E3A1D">
        <w:t>A befizetett társadalombiztosítási járulék 54%-át az állami adóhatóság a Nyugdíjbiztosítási Alapnak utalja át. 2022. </w:t>
      </w:r>
      <w:r w:rsidR="002F33AC" w:rsidRPr="003E3A1D">
        <w:t>március</w:t>
      </w:r>
      <w:r w:rsidRPr="003E3A1D">
        <w:t xml:space="preserve"> végéig a </w:t>
      </w:r>
      <w:r w:rsidRPr="003E3A1D">
        <w:rPr>
          <w:b/>
          <w:bCs/>
        </w:rPr>
        <w:t>társadalombiztosítási járulék Nyugdíjbiztosítási Alapot megillető része és nyugdíjjárulék</w:t>
      </w:r>
      <w:r w:rsidRPr="003E3A1D">
        <w:t xml:space="preserve"> </w:t>
      </w:r>
      <w:r w:rsidR="002F33AC" w:rsidRPr="003E3A1D">
        <w:t xml:space="preserve">497,5 milliárd </w:t>
      </w:r>
      <w:r w:rsidR="002F33AC" w:rsidRPr="003E3A1D">
        <w:lastRenderedPageBreak/>
        <w:t>forintban teljesült, az előző év azonos időszakában befolyt bevételt 8</w:t>
      </w:r>
      <w:r w:rsidR="00D32BF2" w:rsidRPr="003E3A1D">
        <w:t>5</w:t>
      </w:r>
      <w:r w:rsidR="002F33AC" w:rsidRPr="003E3A1D">
        <w:t>,</w:t>
      </w:r>
      <w:r w:rsidR="00D32BF2" w:rsidRPr="003E3A1D">
        <w:t>9</w:t>
      </w:r>
      <w:r w:rsidR="002F33AC" w:rsidRPr="003E3A1D">
        <w:t xml:space="preserve"> milliárd forinttal, 20,9%-kal haladta meg. A bevételnövekedés oka az átlagkereset növekedése.</w:t>
      </w:r>
    </w:p>
    <w:p w14:paraId="16D8032A" w14:textId="0AB87C9B" w:rsidR="00342585" w:rsidRPr="003E3A1D" w:rsidRDefault="4AC3BDA3" w:rsidP="00995E55">
      <w:pPr>
        <w:rPr>
          <w:szCs w:val="26"/>
        </w:rPr>
      </w:pPr>
      <w:r w:rsidRPr="003E3A1D">
        <w:t xml:space="preserve">A </w:t>
      </w:r>
      <w:r w:rsidRPr="003E3A1D">
        <w:rPr>
          <w:b/>
          <w:bCs/>
        </w:rPr>
        <w:t>Nyugdíjbiztosítási Alap</w:t>
      </w:r>
      <w:r w:rsidRPr="003E3A1D">
        <w:t xml:space="preserve"> 2022.</w:t>
      </w:r>
      <w:r w:rsidR="00EE3165" w:rsidRPr="003E3A1D">
        <w:t> </w:t>
      </w:r>
      <w:r w:rsidRPr="003E3A1D">
        <w:t xml:space="preserve">évi költségvetése az ellátási kiadások támogatására 554,4 milliárd forint </w:t>
      </w:r>
      <w:r w:rsidRPr="003E3A1D">
        <w:rPr>
          <w:b/>
          <w:bCs/>
        </w:rPr>
        <w:t>központi költségvetési hozzájárulást</w:t>
      </w:r>
      <w:r w:rsidRPr="003E3A1D">
        <w:t xml:space="preserve"> tartalmaz. Ebből 325,6 milliárd forintot a XLII. A költségvetés közvetlen bevételei és kiadásai fejezet biztosít pénzeszközátadás útján az alap részére, míg további 228,8 milliárd forintot – a 13. havi nyugdíj, illetve a nyugdíjprémium fedezeteként címzett támogatás formájában – a XLVII. Gazdaság-újraindítási Alap bocsát a Nyugdíjbiztosítási Alap rendelkezésére február, illetve november hónapokban. A nyugdíjprémium és a 13. havi ellátás támogatásának előirányzatai – a költségvetési törvény 4. melléklete alapján – módosítás nélkül túlléphetőek. </w:t>
      </w:r>
    </w:p>
    <w:p w14:paraId="7B1F7C11" w14:textId="71B9A3EF" w:rsidR="004B1960" w:rsidRPr="003E3A1D" w:rsidRDefault="4AC3BDA3" w:rsidP="00995E55">
      <w:pPr>
        <w:rPr>
          <w:szCs w:val="26"/>
        </w:rPr>
      </w:pPr>
      <w:r w:rsidRPr="003E3A1D">
        <w:t>2022 első három hónapjában a Magyar Államkincstár az éves előirányzat felhasználási terv ütemezésének megfelelően 403,0 milliárd forint központi támogatást utalt át a Nyugdíjbiztosítási Alap részére, amiből 81,4 milliárd forint volt a kiadásokat támogató pénzeszközátadás és 321,6 milliárd forint a 13. havi ellátás visszaépítésének a  Nyugdíjbiztosítási Alapból finanszírozott része. Az első háromhavi költségvetési hozzájárulás 24</w:t>
      </w:r>
      <w:r w:rsidR="00EE3165" w:rsidRPr="003E3A1D">
        <w:t xml:space="preserve">7,0 </w:t>
      </w:r>
      <w:r w:rsidRPr="003E3A1D">
        <w:t>milliárd forinttal haladta meg az előző év azonos időszakában átutalt támogatás összegét.</w:t>
      </w:r>
    </w:p>
    <w:p w14:paraId="2A970225" w14:textId="16F021EE" w:rsidR="003B190B" w:rsidRPr="003E3A1D" w:rsidRDefault="002F33AC" w:rsidP="4AC3BDA3">
      <w:pPr>
        <w:rPr>
          <w:rFonts w:eastAsia="Calibri"/>
        </w:rPr>
      </w:pPr>
      <w:r w:rsidRPr="003E3A1D">
        <w:rPr>
          <w:rFonts w:eastAsia="Calibri"/>
        </w:rPr>
        <w:t>2022. március</w:t>
      </w:r>
      <w:r w:rsidR="4AC3BDA3" w:rsidRPr="003E3A1D">
        <w:rPr>
          <w:rFonts w:eastAsia="Calibri"/>
        </w:rPr>
        <w:t xml:space="preserve"> végéig a </w:t>
      </w:r>
      <w:r w:rsidR="4AC3BDA3" w:rsidRPr="003E3A1D">
        <w:rPr>
          <w:rFonts w:eastAsia="Calibri"/>
          <w:b/>
          <w:bCs/>
        </w:rPr>
        <w:t>szociális hozzájárulási adó Egészségbiztosítási Alapot megillető része</w:t>
      </w:r>
      <w:r w:rsidR="4AC3BDA3" w:rsidRPr="003E3A1D">
        <w:rPr>
          <w:rFonts w:eastAsia="Calibri"/>
        </w:rPr>
        <w:t xml:space="preserve"> </w:t>
      </w:r>
      <w:r w:rsidRPr="003E3A1D">
        <w:rPr>
          <w:rFonts w:eastAsia="Calibri"/>
        </w:rPr>
        <w:t>(173,1 milliárd forint) 7,2%-kal, 11,6 milliárd forinttal haladta meg az előző év azonos időszakában befolyt bevételt. A bevétel változása az átlagkereset növekedésével és a szociális hozzájárulási adó kulcsának csökkentésével magyarázható</w:t>
      </w:r>
      <w:r w:rsidR="4AC3BDA3" w:rsidRPr="003E3A1D">
        <w:t>.</w:t>
      </w:r>
    </w:p>
    <w:p w14:paraId="2AA83621" w14:textId="6E1C6C59" w:rsidR="003A1352" w:rsidRPr="003E3A1D" w:rsidRDefault="4AC3BDA3" w:rsidP="4AC3BDA3">
      <w:pPr>
        <w:rPr>
          <w:rFonts w:eastAsia="Calibri"/>
        </w:rPr>
      </w:pPr>
      <w:r w:rsidRPr="003E3A1D">
        <w:rPr>
          <w:rFonts w:eastAsia="Calibri"/>
        </w:rPr>
        <w:t xml:space="preserve">A befizetett társadalombiztosítási járulék 37,9%-át az állami adóhatóság az Egészségbiztosítási Alapnak utalja át. 2022. </w:t>
      </w:r>
      <w:r w:rsidR="002F33AC" w:rsidRPr="003E3A1D">
        <w:rPr>
          <w:rFonts w:eastAsia="Calibri"/>
        </w:rPr>
        <w:t>március</w:t>
      </w:r>
      <w:r w:rsidRPr="003E3A1D">
        <w:rPr>
          <w:rFonts w:eastAsia="Calibri"/>
        </w:rPr>
        <w:t xml:space="preserve"> végéig a </w:t>
      </w:r>
      <w:r w:rsidRPr="003E3A1D">
        <w:rPr>
          <w:rFonts w:eastAsia="Calibri"/>
          <w:b/>
          <w:bCs/>
        </w:rPr>
        <w:t>társadalombiztosítási járulék Egészségbiztosítási Alapot megillető része és egészségbiztosítási járulék</w:t>
      </w:r>
      <w:r w:rsidRPr="003E3A1D">
        <w:rPr>
          <w:rFonts w:eastAsia="Calibri"/>
        </w:rPr>
        <w:t xml:space="preserve"> </w:t>
      </w:r>
      <w:r w:rsidR="001F5964" w:rsidRPr="003E3A1D">
        <w:rPr>
          <w:rFonts w:eastAsia="Calibri"/>
        </w:rPr>
        <w:t>339,8 milliárd forintban teljesült, az előző év azonos időszakában befolyt bevételt 59,3</w:t>
      </w:r>
      <w:r w:rsidR="000A5B61" w:rsidRPr="003E3A1D">
        <w:rPr>
          <w:rFonts w:eastAsia="Calibri"/>
        </w:rPr>
        <w:t> </w:t>
      </w:r>
      <w:r w:rsidR="001F5964" w:rsidRPr="003E3A1D">
        <w:rPr>
          <w:rFonts w:eastAsia="Calibri"/>
        </w:rPr>
        <w:t>milliárd forinttal, 21,1%-kal haladta meg. A bevételnövekedés oka az átlagkereset növekedése</w:t>
      </w:r>
      <w:r w:rsidRPr="003E3A1D">
        <w:rPr>
          <w:rFonts w:eastAsia="Calibri"/>
        </w:rPr>
        <w:t>.</w:t>
      </w:r>
    </w:p>
    <w:p w14:paraId="6B5F607E" w14:textId="75364527" w:rsidR="0077720B" w:rsidRPr="003E3A1D" w:rsidRDefault="4AC3BDA3" w:rsidP="4AC3BDA3">
      <w:pPr>
        <w:rPr>
          <w:b/>
          <w:bCs/>
          <w:smallCaps/>
        </w:rPr>
      </w:pPr>
      <w:r w:rsidRPr="003E3A1D">
        <w:t xml:space="preserve">Az </w:t>
      </w:r>
      <w:r w:rsidRPr="003E3A1D">
        <w:rPr>
          <w:b/>
          <w:bCs/>
        </w:rPr>
        <w:t>Egészségbiztosítási Alap költségvetési hozzájárulásai</w:t>
      </w:r>
      <w:r w:rsidRPr="003E3A1D">
        <w:t xml:space="preserve"> 2022. első három hónapjában összesen 309,1 milliárd forintot tettek ki, amely 129,4 milliárd forinttal magasabb, mint az előző év azonos időszakában átutalt összeg. Március végéig az Egészségbiztosítási Alap járulék címen átvett pénz</w:t>
      </w:r>
      <w:r w:rsidR="000A5B61" w:rsidRPr="003E3A1D">
        <w:t>eszközként 122,8 milliárd forint</w:t>
      </w:r>
      <w:r w:rsidRPr="003E3A1D">
        <w:t xml:space="preserve"> támogatást kapott, szemben a tavalyi év azonos időszakában átutalt 119,3 milliárd forintos összeggel. Az alap kiadásainak támogatására szolgáló tervezett pénzeszközátvétel és az egészségügyi feladatok ellátásával kapcsolatos hozzájárulás együttes összege 2022. március végéig 71,</w:t>
      </w:r>
      <w:r w:rsidR="00971D3A" w:rsidRPr="003E3A1D">
        <w:t>5</w:t>
      </w:r>
      <w:r w:rsidRPr="003E3A1D">
        <w:t> milliárd forintot tett ki, amely 11,</w:t>
      </w:r>
      <w:r w:rsidR="00971D3A" w:rsidRPr="003E3A1D">
        <w:t>1</w:t>
      </w:r>
      <w:r w:rsidRPr="003E3A1D">
        <w:t> milliárd forinttal haladta meg a tavalyi év azonos időszakában átutalt összeget. Az egészségügyi béremelés támogatására átvett pénzeszköz címen március végéig 114,7 milliárd forint került átutalásra az alap részére, 2021-ben nem volt ilyen bevétele az alapnak.</w:t>
      </w:r>
      <w:r w:rsidR="443F750D" w:rsidRPr="003E3A1D">
        <w:rPr>
          <w:b/>
          <w:bCs/>
          <w:smallCaps/>
        </w:rPr>
        <w:br w:type="page"/>
      </w:r>
    </w:p>
    <w:p w14:paraId="5D4F02CB" w14:textId="5640B4D4" w:rsidR="006E4EA6" w:rsidRPr="003E3A1D" w:rsidRDefault="4AC3BDA3" w:rsidP="4AC3BDA3">
      <w:pPr>
        <w:pStyle w:val="Cmsor3"/>
        <w:numPr>
          <w:ilvl w:val="0"/>
          <w:numId w:val="8"/>
        </w:numPr>
        <w:spacing w:before="0" w:after="120"/>
        <w:jc w:val="left"/>
        <w:rPr>
          <w:sz w:val="26"/>
          <w:szCs w:val="26"/>
        </w:rPr>
      </w:pPr>
      <w:r w:rsidRPr="003E3A1D">
        <w:rPr>
          <w:sz w:val="26"/>
          <w:szCs w:val="26"/>
        </w:rPr>
        <w:lastRenderedPageBreak/>
        <w:t xml:space="preserve">A főbb kiadások </w:t>
      </w:r>
    </w:p>
    <w:p w14:paraId="79E84C39" w14:textId="77777777" w:rsidR="00093B0E" w:rsidRPr="003E3A1D" w:rsidRDefault="4AC3BDA3" w:rsidP="4AC3BDA3">
      <w:pPr>
        <w:rPr>
          <w:b/>
          <w:bCs/>
        </w:rPr>
      </w:pPr>
      <w:r w:rsidRPr="003E3A1D">
        <w:rPr>
          <w:b/>
          <w:bCs/>
        </w:rPr>
        <w:t xml:space="preserve">A központi alrendszer 2022. március végi 9367,0 milliárd forint összegű kiadásai 2414,0 milliárd forinttal, 34,7%-kal haladták meg az előző év azonos időszakának teljesítését. </w:t>
      </w:r>
    </w:p>
    <w:p w14:paraId="4879FA76" w14:textId="17213B07" w:rsidR="00093B0E" w:rsidRPr="003E3A1D" w:rsidRDefault="4AC3BDA3" w:rsidP="4AC3BDA3">
      <w:pPr>
        <w:rPr>
          <w:b/>
          <w:bCs/>
        </w:rPr>
      </w:pPr>
      <w:r w:rsidRPr="003E3A1D">
        <w:rPr>
          <w:b/>
          <w:bCs/>
        </w:rPr>
        <w:t>Magasabban teljesültek az egy évvel korábbihoz képest – többek között – a lakástámogatások, a szakmai fejezeti kezelésű előirányzatok kiadásai, az uniós programok kiadása</w:t>
      </w:r>
      <w:r w:rsidR="0007516A" w:rsidRPr="003E3A1D">
        <w:rPr>
          <w:b/>
          <w:bCs/>
        </w:rPr>
        <w:t>i</w:t>
      </w:r>
      <w:r w:rsidRPr="003E3A1D">
        <w:rPr>
          <w:b/>
          <w:bCs/>
        </w:rPr>
        <w:t>, valamint az állami vagyonnal kapcsolatos kiadások is. Meghaladták az egy évvel korábbi kifizetést a nyugellátásokra fordított összegek is, nyugellátásokra 1340,4 milliárd forint, a gyógyító-megelőző ellátásra 531,4 milliárd forint került kifizetésre március végéig. Alacsonyabban teljesültek viszont az előző év azonos időszakához képest – többek között – a költségvetési szervek kiadásai.</w:t>
      </w:r>
    </w:p>
    <w:p w14:paraId="23DC6ECB" w14:textId="77777777" w:rsidR="00483F9E" w:rsidRPr="003E3D99" w:rsidRDefault="00483F9E" w:rsidP="4AC3BDA3">
      <w:pPr>
        <w:rPr>
          <w:bCs/>
        </w:rPr>
      </w:pPr>
    </w:p>
    <w:p w14:paraId="01254130" w14:textId="4E82BB02" w:rsidR="007E61F9" w:rsidRPr="003E3A1D" w:rsidRDefault="00483F9E" w:rsidP="00000980">
      <w:pPr>
        <w:jc w:val="center"/>
      </w:pPr>
      <w:r w:rsidRPr="003E3A1D">
        <w:rPr>
          <w:noProof/>
        </w:rPr>
        <w:drawing>
          <wp:inline distT="0" distB="0" distL="0" distR="0" wp14:anchorId="7DBB35D3" wp14:editId="5BFF6BA1">
            <wp:extent cx="5940425" cy="2167447"/>
            <wp:effectExtent l="0" t="0" r="3175" b="4445"/>
            <wp:docPr id="13" name="Kép 13" descr="Z:\Áht_gyors_moni\2022_03_márc\0_feljegyzés_monitoring\ábrák\___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ht_gyors_moni\2022_03_márc\0_feljegyzés_monitoring\ábrák\___kiadás_megoszlá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67447"/>
                    </a:xfrm>
                    <a:prstGeom prst="rect">
                      <a:avLst/>
                    </a:prstGeom>
                    <a:noFill/>
                    <a:ln>
                      <a:noFill/>
                    </a:ln>
                  </pic:spPr>
                </pic:pic>
              </a:graphicData>
            </a:graphic>
          </wp:inline>
        </w:drawing>
      </w:r>
    </w:p>
    <w:p w14:paraId="1F359FD4" w14:textId="3AC6F4F2" w:rsidR="00554325" w:rsidRPr="003E3A1D" w:rsidRDefault="4AC3BDA3" w:rsidP="4AC3BDA3">
      <w:pPr>
        <w:rPr>
          <w:rFonts w:eastAsia="Calibri"/>
        </w:rPr>
      </w:pPr>
      <w:r w:rsidRPr="003E3A1D">
        <w:rPr>
          <w:rFonts w:eastAsia="Calibri"/>
        </w:rPr>
        <w:t xml:space="preserve">Az </w:t>
      </w:r>
      <w:r w:rsidRPr="003E3A1D">
        <w:rPr>
          <w:rFonts w:eastAsia="Calibri"/>
          <w:b/>
          <w:bCs/>
        </w:rPr>
        <w:t>egyedi és normatív támogatásokra</w:t>
      </w:r>
      <w:r w:rsidRPr="003E3A1D">
        <w:rPr>
          <w:rFonts w:eastAsia="Calibri"/>
        </w:rPr>
        <w:t xml:space="preserve"> fordított kiadások március végéig 113,9 milliárd forintot tettek ki, amely </w:t>
      </w:r>
      <w:r w:rsidR="00806EE8">
        <w:rPr>
          <w:rFonts w:eastAsia="Calibri"/>
        </w:rPr>
        <w:t xml:space="preserve">magasabb </w:t>
      </w:r>
      <w:r w:rsidRPr="003E3A1D">
        <w:rPr>
          <w:rFonts w:eastAsia="Calibri"/>
        </w:rPr>
        <w:t xml:space="preserve">az előző év azonos időszakának teljesítésénél. Az eltérés fő oka, hogy a </w:t>
      </w:r>
      <w:r w:rsidR="003D0EDD" w:rsidRPr="003E3A1D">
        <w:rPr>
          <w:rFonts w:eastAsia="Calibri"/>
        </w:rPr>
        <w:t>közösségi közlekedés</w:t>
      </w:r>
      <w:r w:rsidRPr="003E3A1D">
        <w:rPr>
          <w:rFonts w:eastAsia="Calibri"/>
        </w:rPr>
        <w:t xml:space="preserve"> személyszállítás</w:t>
      </w:r>
      <w:r w:rsidR="003D0EDD" w:rsidRPr="003E3A1D">
        <w:rPr>
          <w:rFonts w:eastAsia="Calibri"/>
        </w:rPr>
        <w:t>i</w:t>
      </w:r>
      <w:r w:rsidRPr="003E3A1D">
        <w:rPr>
          <w:rFonts w:eastAsia="Calibri"/>
        </w:rPr>
        <w:t xml:space="preserve"> költségtérítése címén 25,6  milliárd forinttal több támogatás került átutalásra, mint egy évvel korábban.</w:t>
      </w:r>
    </w:p>
    <w:p w14:paraId="215712C9" w14:textId="2AEA4864" w:rsidR="009E3FF5" w:rsidRPr="003E3A1D" w:rsidRDefault="00483F9E" w:rsidP="00000980">
      <w:pPr>
        <w:jc w:val="center"/>
      </w:pPr>
      <w:r w:rsidRPr="003E3A1D">
        <w:rPr>
          <w:noProof/>
        </w:rPr>
        <w:drawing>
          <wp:inline distT="0" distB="0" distL="0" distR="0" wp14:anchorId="7ED2ADDB" wp14:editId="7EB54A41">
            <wp:extent cx="5353050" cy="3096992"/>
            <wp:effectExtent l="0" t="0" r="0" b="8255"/>
            <wp:docPr id="15" name="Kép 15" descr="Z:\Áht_gyors_moni\2022_03_márc\0_feljegyzés_monitoring\ábrák\___egyedi_és_normatív_tá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ht_gyors_moni\2022_03_márc\0_feljegyzés_monitoring\ábrák\___egyedi_és_normatív_tá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1753" cy="3107812"/>
                    </a:xfrm>
                    <a:prstGeom prst="rect">
                      <a:avLst/>
                    </a:prstGeom>
                    <a:noFill/>
                    <a:ln>
                      <a:noFill/>
                    </a:ln>
                  </pic:spPr>
                </pic:pic>
              </a:graphicData>
            </a:graphic>
          </wp:inline>
        </w:drawing>
      </w:r>
    </w:p>
    <w:p w14:paraId="3DE65A94" w14:textId="3674B20C" w:rsidR="24F6FC56" w:rsidRPr="003E3A1D" w:rsidRDefault="4AC3BDA3" w:rsidP="00F7538D">
      <w:r w:rsidRPr="003E3A1D">
        <w:lastRenderedPageBreak/>
        <w:t xml:space="preserve">A </w:t>
      </w:r>
      <w:r w:rsidRPr="003E3A1D">
        <w:rPr>
          <w:b/>
          <w:bCs/>
        </w:rPr>
        <w:t>lakástámogatásokra</w:t>
      </w:r>
      <w:r w:rsidRPr="003E3A1D">
        <w:t xml:space="preserve"> fordított kiadások összege az év első három hónapjában 132,1 milliárd forint volt, mely az előző év azonos időszakához viszonyítva 82,0 milliárd forinttal teljesült magasabban. Az eltérésben szerepet játszik a 2021. január</w:t>
      </w:r>
      <w:r w:rsidR="00C857E1" w:rsidRPr="003E3A1D">
        <w:t> </w:t>
      </w:r>
      <w:r w:rsidRPr="003E3A1D">
        <w:t>1-jétől bevezetett otthonfelújítási támogatás és az ehhez februártól kapcsolódó kölcsön meghirdetése, valamint az egyes meglévő konstrukciók, a családi otthonteremtési kedvezmény, adó-visszatérítési támogatás és a többgyermekes családok lakáscélú jelzáloghitel-tartozásának csökkentésére nyújtott támogatás igénybevételi lehetőségeinek további kiszélesítése, ezen felül pedig a falusi támogatások esetében az érintett preferált kistelepülések körének a kibővítése. Emellett az árfolyam- és a referenciahozamok, valamint a további konstrukciókat igénybe vevők létszámának alakulása is befolyásolta a kifizetéseket.</w:t>
      </w:r>
    </w:p>
    <w:p w14:paraId="423FBFA3" w14:textId="52056EBF" w:rsidR="21FBDE87" w:rsidRPr="003E3A1D" w:rsidRDefault="4AC3BDA3" w:rsidP="21FBDE87">
      <w:r w:rsidRPr="003E3A1D">
        <w:t xml:space="preserve">A </w:t>
      </w:r>
      <w:r w:rsidRPr="003E3A1D">
        <w:rPr>
          <w:b/>
          <w:bCs/>
        </w:rPr>
        <w:t>Nemzeti Család- és Szociálpolitikai Alap</w:t>
      </w:r>
      <w:r w:rsidRPr="003E3A1D">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250" w:type="dxa"/>
        <w:jc w:val="center"/>
        <w:tblCellMar>
          <w:left w:w="70" w:type="dxa"/>
          <w:right w:w="70" w:type="dxa"/>
        </w:tblCellMar>
        <w:tblLook w:val="04A0" w:firstRow="1" w:lastRow="0" w:firstColumn="1" w:lastColumn="0" w:noHBand="0" w:noVBand="1"/>
      </w:tblPr>
      <w:tblGrid>
        <w:gridCol w:w="6196"/>
        <w:gridCol w:w="833"/>
        <w:gridCol w:w="833"/>
        <w:gridCol w:w="679"/>
        <w:gridCol w:w="709"/>
      </w:tblGrid>
      <w:tr w:rsidR="003E3A1D" w:rsidRPr="003E3A1D" w14:paraId="5FDA538E" w14:textId="77777777" w:rsidTr="0001020A">
        <w:trPr>
          <w:trHeight w:val="375"/>
          <w:jc w:val="center"/>
        </w:trPr>
        <w:tc>
          <w:tcPr>
            <w:tcW w:w="9250" w:type="dxa"/>
            <w:gridSpan w:val="5"/>
            <w:tcBorders>
              <w:top w:val="nil"/>
              <w:left w:val="nil"/>
              <w:bottom w:val="single" w:sz="4" w:space="0" w:color="auto"/>
              <w:right w:val="nil"/>
            </w:tcBorders>
            <w:shd w:val="clear" w:color="auto" w:fill="auto"/>
            <w:noWrap/>
            <w:vAlign w:val="center"/>
            <w:hideMark/>
          </w:tcPr>
          <w:p w14:paraId="0AD31BB3" w14:textId="77777777" w:rsidR="006D4BFC" w:rsidRPr="003E3A1D" w:rsidRDefault="4AC3BDA3" w:rsidP="4AC3BDA3">
            <w:pPr>
              <w:spacing w:after="0"/>
              <w:jc w:val="center"/>
              <w:rPr>
                <w:b/>
                <w:bCs/>
                <w:sz w:val="22"/>
                <w:szCs w:val="22"/>
              </w:rPr>
            </w:pPr>
            <w:r w:rsidRPr="003E3A1D">
              <w:rPr>
                <w:b/>
                <w:bCs/>
                <w:sz w:val="22"/>
                <w:szCs w:val="22"/>
              </w:rPr>
              <w:t>A Nemzeti Család-és Szociálpolitikai Alap kiadásainak alakulása (milliárd forint)</w:t>
            </w:r>
          </w:p>
        </w:tc>
      </w:tr>
      <w:tr w:rsidR="003E3A1D" w:rsidRPr="003E3A1D" w14:paraId="75930DEF" w14:textId="77777777" w:rsidTr="0001020A">
        <w:trPr>
          <w:trHeight w:val="270"/>
          <w:jc w:val="center"/>
        </w:trPr>
        <w:tc>
          <w:tcPr>
            <w:tcW w:w="6196"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5C44AE6" w14:textId="77777777" w:rsidR="006D4BFC" w:rsidRPr="003E3A1D" w:rsidRDefault="4AC3BDA3" w:rsidP="4AC3BDA3">
            <w:pPr>
              <w:spacing w:after="0"/>
              <w:jc w:val="center"/>
              <w:rPr>
                <w:b/>
                <w:bCs/>
                <w:sz w:val="22"/>
                <w:szCs w:val="22"/>
              </w:rPr>
            </w:pPr>
            <w:r w:rsidRPr="003E3A1D">
              <w:rPr>
                <w:b/>
                <w:bCs/>
                <w:sz w:val="22"/>
                <w:szCs w:val="22"/>
              </w:rPr>
              <w:t>Megnevezés</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14:paraId="667A2B00" w14:textId="77777777" w:rsidR="006D4BFC" w:rsidRPr="003E3A1D" w:rsidRDefault="4AC3BDA3" w:rsidP="0001020A">
            <w:pPr>
              <w:spacing w:after="0"/>
              <w:jc w:val="center"/>
              <w:rPr>
                <w:b/>
                <w:bCs/>
                <w:sz w:val="22"/>
                <w:szCs w:val="22"/>
              </w:rPr>
            </w:pPr>
            <w:r w:rsidRPr="003E3A1D">
              <w:rPr>
                <w:b/>
                <w:bCs/>
                <w:sz w:val="22"/>
                <w:szCs w:val="22"/>
              </w:rPr>
              <w:t>2021.</w:t>
            </w:r>
            <w:r w:rsidR="443F750D" w:rsidRPr="003E3A1D">
              <w:rPr>
                <w:sz w:val="22"/>
                <w:szCs w:val="22"/>
              </w:rPr>
              <w:br/>
            </w:r>
            <w:r w:rsidRPr="003E3A1D">
              <w:rPr>
                <w:b/>
                <w:bCs/>
                <w:sz w:val="22"/>
                <w:szCs w:val="22"/>
              </w:rPr>
              <w:t>I-III. hó</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14:paraId="77D089D8" w14:textId="77777777" w:rsidR="006D4BFC" w:rsidRPr="003E3A1D" w:rsidRDefault="4AC3BDA3" w:rsidP="0001020A">
            <w:pPr>
              <w:spacing w:after="0"/>
              <w:jc w:val="center"/>
              <w:rPr>
                <w:b/>
                <w:bCs/>
                <w:sz w:val="22"/>
                <w:szCs w:val="22"/>
              </w:rPr>
            </w:pPr>
            <w:r w:rsidRPr="003E3A1D">
              <w:rPr>
                <w:b/>
                <w:bCs/>
                <w:sz w:val="22"/>
                <w:szCs w:val="22"/>
              </w:rPr>
              <w:t>2022.</w:t>
            </w:r>
            <w:r w:rsidR="443F750D" w:rsidRPr="003E3A1D">
              <w:rPr>
                <w:sz w:val="22"/>
                <w:szCs w:val="22"/>
              </w:rPr>
              <w:br/>
            </w:r>
            <w:r w:rsidRPr="003E3A1D">
              <w:rPr>
                <w:b/>
                <w:bCs/>
                <w:sz w:val="22"/>
                <w:szCs w:val="22"/>
              </w:rPr>
              <w:t>I-III. hó</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45246C" w14:textId="77777777" w:rsidR="006D4BFC" w:rsidRPr="003E3A1D" w:rsidRDefault="4AC3BDA3" w:rsidP="0001020A">
            <w:pPr>
              <w:spacing w:after="0"/>
              <w:jc w:val="center"/>
              <w:rPr>
                <w:b/>
                <w:bCs/>
                <w:sz w:val="22"/>
                <w:szCs w:val="22"/>
              </w:rPr>
            </w:pPr>
            <w:r w:rsidRPr="003E3A1D">
              <w:rPr>
                <w:b/>
                <w:bCs/>
                <w:sz w:val="22"/>
                <w:szCs w:val="22"/>
              </w:rPr>
              <w:t>Eltérés</w:t>
            </w:r>
          </w:p>
        </w:tc>
      </w:tr>
      <w:tr w:rsidR="003E3A1D" w:rsidRPr="003E3A1D" w14:paraId="4F4FAFE6" w14:textId="77777777" w:rsidTr="0001020A">
        <w:trPr>
          <w:trHeight w:val="225"/>
          <w:jc w:val="center"/>
        </w:trPr>
        <w:tc>
          <w:tcPr>
            <w:tcW w:w="6196" w:type="dxa"/>
            <w:vMerge/>
            <w:tcBorders>
              <w:top w:val="nil"/>
              <w:left w:val="single" w:sz="4" w:space="0" w:color="auto"/>
              <w:bottom w:val="single" w:sz="4" w:space="0" w:color="000000"/>
              <w:right w:val="single" w:sz="4" w:space="0" w:color="auto"/>
            </w:tcBorders>
            <w:vAlign w:val="center"/>
            <w:hideMark/>
          </w:tcPr>
          <w:p w14:paraId="258A8DB3" w14:textId="77777777" w:rsidR="006D4BFC" w:rsidRPr="003E3A1D" w:rsidRDefault="006D4BFC" w:rsidP="00B207EB">
            <w:pPr>
              <w:spacing w:after="0"/>
              <w:jc w:val="left"/>
              <w:rPr>
                <w:b/>
                <w:bCs/>
                <w:sz w:val="22"/>
                <w:szCs w:val="22"/>
              </w:rPr>
            </w:pPr>
          </w:p>
        </w:tc>
        <w:tc>
          <w:tcPr>
            <w:tcW w:w="833" w:type="dxa"/>
            <w:vMerge/>
            <w:tcBorders>
              <w:top w:val="nil"/>
              <w:left w:val="single" w:sz="4" w:space="0" w:color="auto"/>
              <w:bottom w:val="single" w:sz="4" w:space="0" w:color="auto"/>
              <w:right w:val="single" w:sz="4" w:space="0" w:color="auto"/>
            </w:tcBorders>
            <w:vAlign w:val="center"/>
            <w:hideMark/>
          </w:tcPr>
          <w:p w14:paraId="4F6AD9E1" w14:textId="77777777" w:rsidR="006D4BFC" w:rsidRPr="003E3A1D" w:rsidRDefault="006D4BFC" w:rsidP="0001020A">
            <w:pPr>
              <w:spacing w:after="0"/>
              <w:jc w:val="center"/>
              <w:rPr>
                <w:b/>
                <w:bCs/>
                <w:sz w:val="22"/>
                <w:szCs w:val="22"/>
              </w:rPr>
            </w:pPr>
          </w:p>
        </w:tc>
        <w:tc>
          <w:tcPr>
            <w:tcW w:w="833" w:type="dxa"/>
            <w:vMerge/>
            <w:tcBorders>
              <w:top w:val="nil"/>
              <w:left w:val="single" w:sz="4" w:space="0" w:color="auto"/>
              <w:bottom w:val="single" w:sz="4" w:space="0" w:color="auto"/>
              <w:right w:val="single" w:sz="4" w:space="0" w:color="auto"/>
            </w:tcBorders>
            <w:vAlign w:val="center"/>
            <w:hideMark/>
          </w:tcPr>
          <w:p w14:paraId="51355C03" w14:textId="77777777" w:rsidR="006D4BFC" w:rsidRPr="003E3A1D" w:rsidRDefault="006D4BFC" w:rsidP="0001020A">
            <w:pPr>
              <w:spacing w:after="0"/>
              <w:jc w:val="center"/>
              <w:rPr>
                <w:b/>
                <w:bCs/>
                <w:sz w:val="22"/>
                <w:szCs w:val="22"/>
              </w:rPr>
            </w:pPr>
          </w:p>
        </w:tc>
        <w:tc>
          <w:tcPr>
            <w:tcW w:w="679" w:type="dxa"/>
            <w:tcBorders>
              <w:top w:val="nil"/>
              <w:left w:val="nil"/>
              <w:bottom w:val="single" w:sz="4" w:space="0" w:color="auto"/>
              <w:right w:val="single" w:sz="4" w:space="0" w:color="auto"/>
            </w:tcBorders>
            <w:shd w:val="clear" w:color="auto" w:fill="auto"/>
            <w:noWrap/>
            <w:vAlign w:val="center"/>
            <w:hideMark/>
          </w:tcPr>
          <w:p w14:paraId="0717BFAD" w14:textId="77777777" w:rsidR="006D4BFC" w:rsidRPr="003E3A1D" w:rsidRDefault="4AC3BDA3" w:rsidP="0001020A">
            <w:pPr>
              <w:spacing w:after="0"/>
              <w:jc w:val="center"/>
              <w:rPr>
                <w:b/>
                <w:bCs/>
                <w:sz w:val="22"/>
                <w:szCs w:val="22"/>
              </w:rPr>
            </w:pPr>
            <w:r w:rsidRPr="003E3A1D">
              <w:rPr>
                <w:b/>
                <w:bCs/>
                <w:sz w:val="22"/>
                <w:szCs w:val="22"/>
              </w:rPr>
              <w:t>Mrd Ft</w:t>
            </w:r>
          </w:p>
        </w:tc>
        <w:tc>
          <w:tcPr>
            <w:tcW w:w="709" w:type="dxa"/>
            <w:tcBorders>
              <w:top w:val="nil"/>
              <w:left w:val="nil"/>
              <w:bottom w:val="single" w:sz="4" w:space="0" w:color="auto"/>
              <w:right w:val="single" w:sz="4" w:space="0" w:color="auto"/>
            </w:tcBorders>
            <w:shd w:val="clear" w:color="auto" w:fill="auto"/>
            <w:noWrap/>
            <w:vAlign w:val="center"/>
            <w:hideMark/>
          </w:tcPr>
          <w:p w14:paraId="3521087F" w14:textId="77777777" w:rsidR="006D4BFC" w:rsidRPr="003E3A1D" w:rsidRDefault="4AC3BDA3" w:rsidP="0001020A">
            <w:pPr>
              <w:spacing w:after="0"/>
              <w:jc w:val="center"/>
              <w:rPr>
                <w:b/>
                <w:bCs/>
                <w:sz w:val="22"/>
                <w:szCs w:val="22"/>
              </w:rPr>
            </w:pPr>
            <w:r w:rsidRPr="003E3A1D">
              <w:rPr>
                <w:b/>
                <w:bCs/>
                <w:sz w:val="22"/>
                <w:szCs w:val="22"/>
              </w:rPr>
              <w:t>%</w:t>
            </w:r>
          </w:p>
        </w:tc>
      </w:tr>
      <w:tr w:rsidR="003E3A1D" w:rsidRPr="003E3A1D" w14:paraId="15688BC8"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3F1BFA7F" w14:textId="77777777" w:rsidR="006D4BFC" w:rsidRPr="003E3A1D" w:rsidRDefault="4AC3BDA3" w:rsidP="4AC3BDA3">
            <w:pPr>
              <w:spacing w:after="0"/>
              <w:jc w:val="left"/>
              <w:rPr>
                <w:b/>
                <w:bCs/>
                <w:sz w:val="22"/>
                <w:szCs w:val="22"/>
              </w:rPr>
            </w:pPr>
            <w:r w:rsidRPr="003E3A1D">
              <w:rPr>
                <w:b/>
                <w:bCs/>
                <w:sz w:val="22"/>
                <w:szCs w:val="22"/>
              </w:rPr>
              <w:t>Családi támogatások</w:t>
            </w:r>
          </w:p>
        </w:tc>
        <w:tc>
          <w:tcPr>
            <w:tcW w:w="833" w:type="dxa"/>
            <w:tcBorders>
              <w:top w:val="nil"/>
              <w:left w:val="nil"/>
              <w:bottom w:val="single" w:sz="4" w:space="0" w:color="auto"/>
              <w:right w:val="single" w:sz="4" w:space="0" w:color="auto"/>
            </w:tcBorders>
            <w:shd w:val="clear" w:color="auto" w:fill="auto"/>
            <w:noWrap/>
            <w:vAlign w:val="center"/>
            <w:hideMark/>
          </w:tcPr>
          <w:p w14:paraId="2F65C237" w14:textId="77777777" w:rsidR="006D4BFC" w:rsidRPr="003E3A1D" w:rsidRDefault="4AC3BDA3" w:rsidP="4AC3BDA3">
            <w:pPr>
              <w:spacing w:after="0"/>
              <w:jc w:val="right"/>
              <w:rPr>
                <w:b/>
                <w:bCs/>
                <w:sz w:val="22"/>
                <w:szCs w:val="22"/>
              </w:rPr>
            </w:pPr>
            <w:r w:rsidRPr="003E3A1D">
              <w:rPr>
                <w:b/>
                <w:bCs/>
                <w:sz w:val="22"/>
                <w:szCs w:val="22"/>
              </w:rPr>
              <w:t>133,4</w:t>
            </w:r>
          </w:p>
        </w:tc>
        <w:tc>
          <w:tcPr>
            <w:tcW w:w="833" w:type="dxa"/>
            <w:tcBorders>
              <w:top w:val="nil"/>
              <w:left w:val="nil"/>
              <w:bottom w:val="single" w:sz="4" w:space="0" w:color="auto"/>
              <w:right w:val="single" w:sz="4" w:space="0" w:color="auto"/>
            </w:tcBorders>
            <w:shd w:val="clear" w:color="auto" w:fill="auto"/>
            <w:noWrap/>
            <w:vAlign w:val="center"/>
            <w:hideMark/>
          </w:tcPr>
          <w:p w14:paraId="6DD876EB" w14:textId="77777777" w:rsidR="006D4BFC" w:rsidRPr="003E3A1D" w:rsidRDefault="4AC3BDA3" w:rsidP="4AC3BDA3">
            <w:pPr>
              <w:spacing w:after="0"/>
              <w:jc w:val="right"/>
              <w:rPr>
                <w:b/>
                <w:bCs/>
                <w:sz w:val="22"/>
                <w:szCs w:val="22"/>
              </w:rPr>
            </w:pPr>
            <w:r w:rsidRPr="003E3A1D">
              <w:rPr>
                <w:b/>
                <w:bCs/>
                <w:sz w:val="22"/>
                <w:szCs w:val="22"/>
              </w:rPr>
              <w:t>102,5</w:t>
            </w:r>
          </w:p>
        </w:tc>
        <w:tc>
          <w:tcPr>
            <w:tcW w:w="679" w:type="dxa"/>
            <w:tcBorders>
              <w:top w:val="nil"/>
              <w:left w:val="nil"/>
              <w:bottom w:val="single" w:sz="4" w:space="0" w:color="auto"/>
              <w:right w:val="single" w:sz="4" w:space="0" w:color="auto"/>
            </w:tcBorders>
            <w:shd w:val="clear" w:color="auto" w:fill="auto"/>
            <w:noWrap/>
            <w:vAlign w:val="center"/>
            <w:hideMark/>
          </w:tcPr>
          <w:p w14:paraId="24570564" w14:textId="77777777" w:rsidR="006D4BFC" w:rsidRPr="003E3A1D" w:rsidRDefault="4AC3BDA3" w:rsidP="4AC3BDA3">
            <w:pPr>
              <w:spacing w:after="0"/>
              <w:jc w:val="right"/>
              <w:rPr>
                <w:b/>
                <w:bCs/>
                <w:sz w:val="22"/>
                <w:szCs w:val="22"/>
              </w:rPr>
            </w:pPr>
            <w:r w:rsidRPr="003E3A1D">
              <w:rPr>
                <w:b/>
                <w:bCs/>
                <w:sz w:val="22"/>
                <w:szCs w:val="22"/>
              </w:rPr>
              <w:t>-30,9</w:t>
            </w:r>
          </w:p>
        </w:tc>
        <w:tc>
          <w:tcPr>
            <w:tcW w:w="709" w:type="dxa"/>
            <w:tcBorders>
              <w:top w:val="nil"/>
              <w:left w:val="nil"/>
              <w:bottom w:val="single" w:sz="4" w:space="0" w:color="auto"/>
              <w:right w:val="single" w:sz="4" w:space="0" w:color="auto"/>
            </w:tcBorders>
            <w:shd w:val="clear" w:color="auto" w:fill="auto"/>
            <w:noWrap/>
            <w:vAlign w:val="center"/>
            <w:hideMark/>
          </w:tcPr>
          <w:p w14:paraId="39769616" w14:textId="77777777" w:rsidR="006D4BFC" w:rsidRPr="003E3A1D" w:rsidRDefault="4AC3BDA3" w:rsidP="4AC3BDA3">
            <w:pPr>
              <w:spacing w:after="0"/>
              <w:jc w:val="right"/>
              <w:rPr>
                <w:b/>
                <w:bCs/>
                <w:sz w:val="22"/>
                <w:szCs w:val="22"/>
              </w:rPr>
            </w:pPr>
            <w:r w:rsidRPr="003E3A1D">
              <w:rPr>
                <w:b/>
                <w:bCs/>
                <w:sz w:val="22"/>
                <w:szCs w:val="22"/>
              </w:rPr>
              <w:t>76,8</w:t>
            </w:r>
          </w:p>
        </w:tc>
      </w:tr>
      <w:tr w:rsidR="003E3A1D" w:rsidRPr="003E3A1D" w14:paraId="4CCC2677"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66C73D90" w14:textId="77777777" w:rsidR="006D4BFC" w:rsidRPr="003E3A1D" w:rsidRDefault="4AC3BDA3" w:rsidP="4AC3BDA3">
            <w:pPr>
              <w:spacing w:after="0"/>
              <w:ind w:firstLineChars="100" w:firstLine="220"/>
              <w:jc w:val="left"/>
              <w:rPr>
                <w:i/>
                <w:iCs/>
                <w:sz w:val="22"/>
                <w:szCs w:val="22"/>
              </w:rPr>
            </w:pPr>
            <w:r w:rsidRPr="003E3A1D">
              <w:rPr>
                <w:i/>
                <w:iCs/>
                <w:sz w:val="22"/>
                <w:szCs w:val="22"/>
              </w:rPr>
              <w:t>Ebből:</w:t>
            </w:r>
          </w:p>
        </w:tc>
        <w:tc>
          <w:tcPr>
            <w:tcW w:w="833" w:type="dxa"/>
            <w:tcBorders>
              <w:top w:val="nil"/>
              <w:left w:val="nil"/>
              <w:bottom w:val="single" w:sz="4" w:space="0" w:color="auto"/>
              <w:right w:val="single" w:sz="4" w:space="0" w:color="auto"/>
            </w:tcBorders>
            <w:shd w:val="clear" w:color="auto" w:fill="auto"/>
            <w:noWrap/>
            <w:vAlign w:val="center"/>
            <w:hideMark/>
          </w:tcPr>
          <w:p w14:paraId="0491A937" w14:textId="77777777" w:rsidR="006D4BFC" w:rsidRPr="003E3A1D" w:rsidRDefault="4AC3BDA3" w:rsidP="4AC3BDA3">
            <w:pPr>
              <w:spacing w:after="0"/>
              <w:jc w:val="right"/>
              <w:rPr>
                <w:sz w:val="22"/>
                <w:szCs w:val="22"/>
              </w:rPr>
            </w:pPr>
            <w:r w:rsidRPr="003E3A1D">
              <w:rPr>
                <w:sz w:val="22"/>
                <w:szCs w:val="22"/>
              </w:rPr>
              <w:t> </w:t>
            </w:r>
          </w:p>
        </w:tc>
        <w:tc>
          <w:tcPr>
            <w:tcW w:w="833" w:type="dxa"/>
            <w:tcBorders>
              <w:top w:val="nil"/>
              <w:left w:val="nil"/>
              <w:bottom w:val="single" w:sz="4" w:space="0" w:color="auto"/>
              <w:right w:val="single" w:sz="4" w:space="0" w:color="auto"/>
            </w:tcBorders>
            <w:shd w:val="clear" w:color="auto" w:fill="auto"/>
            <w:noWrap/>
            <w:vAlign w:val="center"/>
            <w:hideMark/>
          </w:tcPr>
          <w:p w14:paraId="631545AC" w14:textId="77777777" w:rsidR="006D4BFC" w:rsidRPr="003E3A1D" w:rsidRDefault="4AC3BDA3" w:rsidP="4AC3BDA3">
            <w:pPr>
              <w:spacing w:after="0"/>
              <w:jc w:val="right"/>
              <w:rPr>
                <w:sz w:val="22"/>
                <w:szCs w:val="22"/>
              </w:rPr>
            </w:pPr>
            <w:r w:rsidRPr="003E3A1D">
              <w:rPr>
                <w:sz w:val="22"/>
                <w:szCs w:val="22"/>
              </w:rPr>
              <w:t> </w:t>
            </w:r>
          </w:p>
        </w:tc>
        <w:tc>
          <w:tcPr>
            <w:tcW w:w="679" w:type="dxa"/>
            <w:tcBorders>
              <w:top w:val="nil"/>
              <w:left w:val="nil"/>
              <w:bottom w:val="single" w:sz="4" w:space="0" w:color="auto"/>
              <w:right w:val="single" w:sz="4" w:space="0" w:color="auto"/>
            </w:tcBorders>
            <w:shd w:val="clear" w:color="auto" w:fill="auto"/>
            <w:noWrap/>
            <w:vAlign w:val="center"/>
            <w:hideMark/>
          </w:tcPr>
          <w:p w14:paraId="421EB525" w14:textId="77777777" w:rsidR="006D4BFC" w:rsidRPr="003E3A1D" w:rsidRDefault="4AC3BDA3" w:rsidP="4AC3BDA3">
            <w:pPr>
              <w:spacing w:after="0"/>
              <w:jc w:val="right"/>
              <w:rPr>
                <w:sz w:val="22"/>
                <w:szCs w:val="22"/>
              </w:rPr>
            </w:pPr>
            <w:r w:rsidRPr="003E3A1D">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2F18283B" w14:textId="77777777" w:rsidR="006D4BFC" w:rsidRPr="003E3A1D" w:rsidRDefault="4AC3BDA3" w:rsidP="4AC3BDA3">
            <w:pPr>
              <w:spacing w:after="0"/>
              <w:jc w:val="right"/>
              <w:rPr>
                <w:sz w:val="22"/>
                <w:szCs w:val="22"/>
              </w:rPr>
            </w:pPr>
            <w:r w:rsidRPr="003E3A1D">
              <w:rPr>
                <w:sz w:val="22"/>
                <w:szCs w:val="22"/>
              </w:rPr>
              <w:t> </w:t>
            </w:r>
          </w:p>
        </w:tc>
      </w:tr>
      <w:tr w:rsidR="003E3A1D" w:rsidRPr="003E3A1D" w14:paraId="7653194F"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4EEC8490" w14:textId="77777777" w:rsidR="006D4BFC" w:rsidRPr="003E3A1D" w:rsidRDefault="4AC3BDA3" w:rsidP="4AC3BDA3">
            <w:pPr>
              <w:spacing w:after="0"/>
              <w:ind w:firstLineChars="400" w:firstLine="880"/>
              <w:jc w:val="left"/>
              <w:rPr>
                <w:i/>
                <w:iCs/>
                <w:sz w:val="22"/>
                <w:szCs w:val="22"/>
              </w:rPr>
            </w:pPr>
            <w:r w:rsidRPr="003E3A1D">
              <w:rPr>
                <w:i/>
                <w:iCs/>
                <w:sz w:val="22"/>
                <w:szCs w:val="22"/>
              </w:rPr>
              <w:t>családi pótlék</w:t>
            </w:r>
          </w:p>
        </w:tc>
        <w:tc>
          <w:tcPr>
            <w:tcW w:w="833" w:type="dxa"/>
            <w:tcBorders>
              <w:top w:val="nil"/>
              <w:left w:val="nil"/>
              <w:bottom w:val="single" w:sz="4" w:space="0" w:color="auto"/>
              <w:right w:val="single" w:sz="4" w:space="0" w:color="auto"/>
            </w:tcBorders>
            <w:shd w:val="clear" w:color="auto" w:fill="auto"/>
            <w:noWrap/>
            <w:vAlign w:val="center"/>
            <w:hideMark/>
          </w:tcPr>
          <w:p w14:paraId="62A66047" w14:textId="77777777" w:rsidR="006D4BFC" w:rsidRPr="003E3A1D" w:rsidRDefault="4AC3BDA3" w:rsidP="4AC3BDA3">
            <w:pPr>
              <w:spacing w:after="0"/>
              <w:jc w:val="right"/>
              <w:rPr>
                <w:sz w:val="22"/>
                <w:szCs w:val="22"/>
              </w:rPr>
            </w:pPr>
            <w:r w:rsidRPr="003E3A1D">
              <w:rPr>
                <w:sz w:val="22"/>
                <w:szCs w:val="22"/>
              </w:rPr>
              <w:t>103,4</w:t>
            </w:r>
          </w:p>
        </w:tc>
        <w:tc>
          <w:tcPr>
            <w:tcW w:w="833" w:type="dxa"/>
            <w:tcBorders>
              <w:top w:val="nil"/>
              <w:left w:val="nil"/>
              <w:bottom w:val="single" w:sz="4" w:space="0" w:color="auto"/>
              <w:right w:val="single" w:sz="4" w:space="0" w:color="auto"/>
            </w:tcBorders>
            <w:shd w:val="clear" w:color="auto" w:fill="auto"/>
            <w:noWrap/>
            <w:vAlign w:val="center"/>
            <w:hideMark/>
          </w:tcPr>
          <w:p w14:paraId="23C86713" w14:textId="77777777" w:rsidR="006D4BFC" w:rsidRPr="003E3A1D" w:rsidRDefault="4AC3BDA3" w:rsidP="4AC3BDA3">
            <w:pPr>
              <w:spacing w:after="0"/>
              <w:jc w:val="right"/>
              <w:rPr>
                <w:sz w:val="22"/>
                <w:szCs w:val="22"/>
              </w:rPr>
            </w:pPr>
            <w:r w:rsidRPr="003E3A1D">
              <w:rPr>
                <w:sz w:val="22"/>
                <w:szCs w:val="22"/>
              </w:rPr>
              <w:t>77,7</w:t>
            </w:r>
          </w:p>
        </w:tc>
        <w:tc>
          <w:tcPr>
            <w:tcW w:w="679" w:type="dxa"/>
            <w:tcBorders>
              <w:top w:val="nil"/>
              <w:left w:val="nil"/>
              <w:bottom w:val="single" w:sz="4" w:space="0" w:color="auto"/>
              <w:right w:val="single" w:sz="4" w:space="0" w:color="auto"/>
            </w:tcBorders>
            <w:shd w:val="clear" w:color="auto" w:fill="auto"/>
            <w:noWrap/>
            <w:vAlign w:val="center"/>
            <w:hideMark/>
          </w:tcPr>
          <w:p w14:paraId="5A27113A" w14:textId="77777777" w:rsidR="006D4BFC" w:rsidRPr="003E3A1D" w:rsidRDefault="4AC3BDA3" w:rsidP="4AC3BDA3">
            <w:pPr>
              <w:spacing w:after="0"/>
              <w:jc w:val="right"/>
              <w:rPr>
                <w:sz w:val="22"/>
                <w:szCs w:val="22"/>
              </w:rPr>
            </w:pPr>
            <w:r w:rsidRPr="003E3A1D">
              <w:rPr>
                <w:sz w:val="22"/>
                <w:szCs w:val="22"/>
              </w:rPr>
              <w:t>-25,7</w:t>
            </w:r>
          </w:p>
        </w:tc>
        <w:tc>
          <w:tcPr>
            <w:tcW w:w="709" w:type="dxa"/>
            <w:tcBorders>
              <w:top w:val="nil"/>
              <w:left w:val="nil"/>
              <w:bottom w:val="single" w:sz="4" w:space="0" w:color="auto"/>
              <w:right w:val="single" w:sz="4" w:space="0" w:color="auto"/>
            </w:tcBorders>
            <w:shd w:val="clear" w:color="auto" w:fill="auto"/>
            <w:noWrap/>
            <w:vAlign w:val="center"/>
            <w:hideMark/>
          </w:tcPr>
          <w:p w14:paraId="27CCC94B" w14:textId="77777777" w:rsidR="006D4BFC" w:rsidRPr="003E3A1D" w:rsidRDefault="4AC3BDA3" w:rsidP="4AC3BDA3">
            <w:pPr>
              <w:spacing w:after="0"/>
              <w:jc w:val="right"/>
              <w:rPr>
                <w:sz w:val="22"/>
                <w:szCs w:val="22"/>
              </w:rPr>
            </w:pPr>
            <w:r w:rsidRPr="003E3A1D">
              <w:rPr>
                <w:sz w:val="22"/>
                <w:szCs w:val="22"/>
              </w:rPr>
              <w:t>75,1</w:t>
            </w:r>
          </w:p>
        </w:tc>
      </w:tr>
      <w:tr w:rsidR="003E3A1D" w:rsidRPr="003E3A1D" w14:paraId="201E0841"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6CFEEE72" w14:textId="77777777" w:rsidR="006D4BFC" w:rsidRPr="003E3A1D" w:rsidRDefault="4AC3BDA3" w:rsidP="4AC3BDA3">
            <w:pPr>
              <w:spacing w:after="0"/>
              <w:ind w:firstLineChars="400" w:firstLine="880"/>
              <w:jc w:val="left"/>
              <w:rPr>
                <w:i/>
                <w:iCs/>
                <w:sz w:val="22"/>
                <w:szCs w:val="22"/>
              </w:rPr>
            </w:pPr>
            <w:r w:rsidRPr="003E3A1D">
              <w:rPr>
                <w:i/>
                <w:iCs/>
                <w:sz w:val="22"/>
                <w:szCs w:val="22"/>
              </w:rPr>
              <w:t>anyasági támogatás</w:t>
            </w:r>
          </w:p>
        </w:tc>
        <w:tc>
          <w:tcPr>
            <w:tcW w:w="833" w:type="dxa"/>
            <w:tcBorders>
              <w:top w:val="nil"/>
              <w:left w:val="nil"/>
              <w:bottom w:val="single" w:sz="4" w:space="0" w:color="auto"/>
              <w:right w:val="single" w:sz="4" w:space="0" w:color="auto"/>
            </w:tcBorders>
            <w:shd w:val="clear" w:color="auto" w:fill="auto"/>
            <w:noWrap/>
            <w:vAlign w:val="center"/>
            <w:hideMark/>
          </w:tcPr>
          <w:p w14:paraId="0B0E8A45" w14:textId="77777777" w:rsidR="006D4BFC" w:rsidRPr="003E3A1D" w:rsidRDefault="4AC3BDA3" w:rsidP="4AC3BDA3">
            <w:pPr>
              <w:spacing w:after="0"/>
              <w:jc w:val="right"/>
              <w:rPr>
                <w:sz w:val="22"/>
                <w:szCs w:val="22"/>
              </w:rPr>
            </w:pPr>
            <w:r w:rsidRPr="003E3A1D">
              <w:rPr>
                <w:sz w:val="22"/>
                <w:szCs w:val="22"/>
              </w:rPr>
              <w:t>2,3</w:t>
            </w:r>
          </w:p>
        </w:tc>
        <w:tc>
          <w:tcPr>
            <w:tcW w:w="833" w:type="dxa"/>
            <w:tcBorders>
              <w:top w:val="nil"/>
              <w:left w:val="nil"/>
              <w:bottom w:val="single" w:sz="4" w:space="0" w:color="auto"/>
              <w:right w:val="single" w:sz="4" w:space="0" w:color="auto"/>
            </w:tcBorders>
            <w:shd w:val="clear" w:color="auto" w:fill="auto"/>
            <w:noWrap/>
            <w:vAlign w:val="center"/>
            <w:hideMark/>
          </w:tcPr>
          <w:p w14:paraId="47DB4079" w14:textId="77777777" w:rsidR="006D4BFC" w:rsidRPr="003E3A1D" w:rsidRDefault="4AC3BDA3" w:rsidP="4AC3BDA3">
            <w:pPr>
              <w:spacing w:after="0"/>
              <w:jc w:val="right"/>
              <w:rPr>
                <w:sz w:val="22"/>
                <w:szCs w:val="22"/>
              </w:rPr>
            </w:pPr>
            <w:r w:rsidRPr="003E3A1D">
              <w:rPr>
                <w:sz w:val="22"/>
                <w:szCs w:val="22"/>
              </w:rPr>
              <w:t>1,3</w:t>
            </w:r>
          </w:p>
        </w:tc>
        <w:tc>
          <w:tcPr>
            <w:tcW w:w="679" w:type="dxa"/>
            <w:tcBorders>
              <w:top w:val="nil"/>
              <w:left w:val="nil"/>
              <w:bottom w:val="single" w:sz="4" w:space="0" w:color="auto"/>
              <w:right w:val="single" w:sz="4" w:space="0" w:color="auto"/>
            </w:tcBorders>
            <w:shd w:val="clear" w:color="auto" w:fill="auto"/>
            <w:noWrap/>
            <w:vAlign w:val="center"/>
            <w:hideMark/>
          </w:tcPr>
          <w:p w14:paraId="41453FC4" w14:textId="77777777" w:rsidR="006D4BFC" w:rsidRPr="003E3A1D" w:rsidRDefault="4AC3BDA3" w:rsidP="4AC3BDA3">
            <w:pPr>
              <w:spacing w:after="0"/>
              <w:jc w:val="right"/>
              <w:rPr>
                <w:sz w:val="22"/>
                <w:szCs w:val="22"/>
              </w:rPr>
            </w:pPr>
            <w:r w:rsidRPr="003E3A1D">
              <w:rPr>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14:paraId="18AC2BEE" w14:textId="77777777" w:rsidR="006D4BFC" w:rsidRPr="003E3A1D" w:rsidRDefault="4AC3BDA3" w:rsidP="4AC3BDA3">
            <w:pPr>
              <w:spacing w:after="0"/>
              <w:jc w:val="right"/>
              <w:rPr>
                <w:sz w:val="22"/>
                <w:szCs w:val="22"/>
              </w:rPr>
            </w:pPr>
            <w:r w:rsidRPr="003E3A1D">
              <w:rPr>
                <w:sz w:val="22"/>
                <w:szCs w:val="22"/>
              </w:rPr>
              <w:t>56,5</w:t>
            </w:r>
          </w:p>
        </w:tc>
      </w:tr>
      <w:tr w:rsidR="003E3A1D" w:rsidRPr="003E3A1D" w14:paraId="6E311301"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vAlign w:val="center"/>
            <w:hideMark/>
          </w:tcPr>
          <w:p w14:paraId="3B2F6155" w14:textId="77777777" w:rsidR="006D4BFC" w:rsidRPr="003E3A1D" w:rsidRDefault="4AC3BDA3" w:rsidP="4AC3BDA3">
            <w:pPr>
              <w:spacing w:after="0"/>
              <w:ind w:firstLineChars="400" w:firstLine="880"/>
              <w:jc w:val="left"/>
              <w:rPr>
                <w:i/>
                <w:iCs/>
                <w:sz w:val="22"/>
                <w:szCs w:val="22"/>
              </w:rPr>
            </w:pPr>
            <w:r w:rsidRPr="003E3A1D">
              <w:rPr>
                <w:i/>
                <w:iCs/>
                <w:sz w:val="22"/>
                <w:szCs w:val="22"/>
              </w:rPr>
              <w:t>gyermekgondozást segítő ellátás</w:t>
            </w:r>
          </w:p>
        </w:tc>
        <w:tc>
          <w:tcPr>
            <w:tcW w:w="833" w:type="dxa"/>
            <w:tcBorders>
              <w:top w:val="nil"/>
              <w:left w:val="nil"/>
              <w:bottom w:val="single" w:sz="4" w:space="0" w:color="auto"/>
              <w:right w:val="single" w:sz="4" w:space="0" w:color="auto"/>
            </w:tcBorders>
            <w:shd w:val="clear" w:color="auto" w:fill="auto"/>
            <w:noWrap/>
            <w:vAlign w:val="center"/>
            <w:hideMark/>
          </w:tcPr>
          <w:p w14:paraId="23B5CACE" w14:textId="77777777" w:rsidR="006D4BFC" w:rsidRPr="003E3A1D" w:rsidRDefault="4AC3BDA3" w:rsidP="4AC3BDA3">
            <w:pPr>
              <w:spacing w:after="0"/>
              <w:jc w:val="right"/>
              <w:rPr>
                <w:sz w:val="22"/>
                <w:szCs w:val="22"/>
              </w:rPr>
            </w:pPr>
            <w:r w:rsidRPr="003E3A1D">
              <w:rPr>
                <w:sz w:val="22"/>
                <w:szCs w:val="22"/>
              </w:rPr>
              <w:t>18,9</w:t>
            </w:r>
          </w:p>
        </w:tc>
        <w:tc>
          <w:tcPr>
            <w:tcW w:w="833" w:type="dxa"/>
            <w:tcBorders>
              <w:top w:val="nil"/>
              <w:left w:val="nil"/>
              <w:bottom w:val="single" w:sz="4" w:space="0" w:color="auto"/>
              <w:right w:val="single" w:sz="4" w:space="0" w:color="auto"/>
            </w:tcBorders>
            <w:shd w:val="clear" w:color="auto" w:fill="auto"/>
            <w:noWrap/>
            <w:vAlign w:val="center"/>
            <w:hideMark/>
          </w:tcPr>
          <w:p w14:paraId="1031FAE9" w14:textId="77777777" w:rsidR="006D4BFC" w:rsidRPr="003E3A1D" w:rsidRDefault="4AC3BDA3" w:rsidP="4AC3BDA3">
            <w:pPr>
              <w:spacing w:after="0"/>
              <w:jc w:val="right"/>
              <w:rPr>
                <w:sz w:val="22"/>
                <w:szCs w:val="22"/>
              </w:rPr>
            </w:pPr>
            <w:r w:rsidRPr="003E3A1D">
              <w:rPr>
                <w:sz w:val="22"/>
                <w:szCs w:val="22"/>
              </w:rPr>
              <w:t>14,0</w:t>
            </w:r>
          </w:p>
        </w:tc>
        <w:tc>
          <w:tcPr>
            <w:tcW w:w="679" w:type="dxa"/>
            <w:tcBorders>
              <w:top w:val="nil"/>
              <w:left w:val="nil"/>
              <w:bottom w:val="single" w:sz="4" w:space="0" w:color="auto"/>
              <w:right w:val="single" w:sz="4" w:space="0" w:color="auto"/>
            </w:tcBorders>
            <w:shd w:val="clear" w:color="auto" w:fill="auto"/>
            <w:noWrap/>
            <w:vAlign w:val="center"/>
            <w:hideMark/>
          </w:tcPr>
          <w:p w14:paraId="6873675A" w14:textId="77777777" w:rsidR="006D4BFC" w:rsidRPr="003E3A1D" w:rsidRDefault="4AC3BDA3" w:rsidP="4AC3BDA3">
            <w:pPr>
              <w:spacing w:after="0"/>
              <w:jc w:val="right"/>
              <w:rPr>
                <w:sz w:val="22"/>
                <w:szCs w:val="22"/>
              </w:rPr>
            </w:pPr>
            <w:r w:rsidRPr="003E3A1D">
              <w:rPr>
                <w:sz w:val="22"/>
                <w:szCs w:val="22"/>
              </w:rPr>
              <w:t>-4,9</w:t>
            </w:r>
          </w:p>
        </w:tc>
        <w:tc>
          <w:tcPr>
            <w:tcW w:w="709" w:type="dxa"/>
            <w:tcBorders>
              <w:top w:val="nil"/>
              <w:left w:val="nil"/>
              <w:bottom w:val="single" w:sz="4" w:space="0" w:color="auto"/>
              <w:right w:val="single" w:sz="4" w:space="0" w:color="auto"/>
            </w:tcBorders>
            <w:shd w:val="clear" w:color="auto" w:fill="auto"/>
            <w:noWrap/>
            <w:vAlign w:val="center"/>
            <w:hideMark/>
          </w:tcPr>
          <w:p w14:paraId="2E50D611" w14:textId="77777777" w:rsidR="006D4BFC" w:rsidRPr="003E3A1D" w:rsidRDefault="4AC3BDA3" w:rsidP="4AC3BDA3">
            <w:pPr>
              <w:spacing w:after="0"/>
              <w:jc w:val="right"/>
              <w:rPr>
                <w:sz w:val="22"/>
                <w:szCs w:val="22"/>
              </w:rPr>
            </w:pPr>
            <w:r w:rsidRPr="003E3A1D">
              <w:rPr>
                <w:sz w:val="22"/>
                <w:szCs w:val="22"/>
              </w:rPr>
              <w:t>74,1</w:t>
            </w:r>
          </w:p>
        </w:tc>
      </w:tr>
      <w:tr w:rsidR="003E3A1D" w:rsidRPr="003E3A1D" w14:paraId="287D9126"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vAlign w:val="center"/>
            <w:hideMark/>
          </w:tcPr>
          <w:p w14:paraId="6BB2FC7B" w14:textId="77777777" w:rsidR="006D4BFC" w:rsidRPr="003E3A1D" w:rsidRDefault="4AC3BDA3" w:rsidP="4AC3BDA3">
            <w:pPr>
              <w:spacing w:after="0"/>
              <w:ind w:firstLineChars="400" w:firstLine="880"/>
              <w:jc w:val="left"/>
              <w:rPr>
                <w:i/>
                <w:iCs/>
                <w:sz w:val="22"/>
                <w:szCs w:val="22"/>
              </w:rPr>
            </w:pPr>
            <w:r w:rsidRPr="003E3A1D">
              <w:rPr>
                <w:i/>
                <w:iCs/>
                <w:sz w:val="22"/>
                <w:szCs w:val="22"/>
              </w:rPr>
              <w:t>gyermeknevelési támogatás</w:t>
            </w:r>
          </w:p>
        </w:tc>
        <w:tc>
          <w:tcPr>
            <w:tcW w:w="833" w:type="dxa"/>
            <w:tcBorders>
              <w:top w:val="nil"/>
              <w:left w:val="nil"/>
              <w:bottom w:val="single" w:sz="4" w:space="0" w:color="auto"/>
              <w:right w:val="single" w:sz="4" w:space="0" w:color="auto"/>
            </w:tcBorders>
            <w:shd w:val="clear" w:color="auto" w:fill="auto"/>
            <w:noWrap/>
            <w:vAlign w:val="center"/>
            <w:hideMark/>
          </w:tcPr>
          <w:p w14:paraId="4C8CE2E9" w14:textId="77777777" w:rsidR="006D4BFC" w:rsidRPr="003E3A1D" w:rsidRDefault="4AC3BDA3" w:rsidP="4AC3BDA3">
            <w:pPr>
              <w:spacing w:after="0"/>
              <w:jc w:val="right"/>
              <w:rPr>
                <w:sz w:val="22"/>
                <w:szCs w:val="22"/>
              </w:rPr>
            </w:pPr>
            <w:r w:rsidRPr="003E3A1D">
              <w:rPr>
                <w:sz w:val="22"/>
                <w:szCs w:val="22"/>
              </w:rPr>
              <w:t>3,7</w:t>
            </w:r>
          </w:p>
        </w:tc>
        <w:tc>
          <w:tcPr>
            <w:tcW w:w="833" w:type="dxa"/>
            <w:tcBorders>
              <w:top w:val="nil"/>
              <w:left w:val="nil"/>
              <w:bottom w:val="single" w:sz="4" w:space="0" w:color="auto"/>
              <w:right w:val="single" w:sz="4" w:space="0" w:color="auto"/>
            </w:tcBorders>
            <w:shd w:val="clear" w:color="auto" w:fill="auto"/>
            <w:noWrap/>
            <w:vAlign w:val="center"/>
            <w:hideMark/>
          </w:tcPr>
          <w:p w14:paraId="53E9D198" w14:textId="77777777" w:rsidR="006D4BFC" w:rsidRPr="003E3A1D" w:rsidRDefault="4AC3BDA3" w:rsidP="4AC3BDA3">
            <w:pPr>
              <w:spacing w:after="0"/>
              <w:jc w:val="right"/>
              <w:rPr>
                <w:sz w:val="22"/>
                <w:szCs w:val="22"/>
              </w:rPr>
            </w:pPr>
            <w:r w:rsidRPr="003E3A1D">
              <w:rPr>
                <w:sz w:val="22"/>
                <w:szCs w:val="22"/>
              </w:rPr>
              <w:t>2,6</w:t>
            </w:r>
          </w:p>
        </w:tc>
        <w:tc>
          <w:tcPr>
            <w:tcW w:w="679" w:type="dxa"/>
            <w:tcBorders>
              <w:top w:val="nil"/>
              <w:left w:val="nil"/>
              <w:bottom w:val="single" w:sz="4" w:space="0" w:color="auto"/>
              <w:right w:val="single" w:sz="4" w:space="0" w:color="auto"/>
            </w:tcBorders>
            <w:shd w:val="clear" w:color="auto" w:fill="auto"/>
            <w:noWrap/>
            <w:vAlign w:val="center"/>
            <w:hideMark/>
          </w:tcPr>
          <w:p w14:paraId="4C1AA2F6" w14:textId="77777777" w:rsidR="006D4BFC" w:rsidRPr="003E3A1D" w:rsidRDefault="4AC3BDA3" w:rsidP="4AC3BDA3">
            <w:pPr>
              <w:spacing w:after="0"/>
              <w:jc w:val="right"/>
              <w:rPr>
                <w:sz w:val="22"/>
                <w:szCs w:val="22"/>
              </w:rPr>
            </w:pPr>
            <w:r w:rsidRPr="003E3A1D">
              <w:rPr>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14:paraId="34EAA30A" w14:textId="77777777" w:rsidR="006D4BFC" w:rsidRPr="003E3A1D" w:rsidRDefault="4AC3BDA3" w:rsidP="4AC3BDA3">
            <w:pPr>
              <w:spacing w:after="0"/>
              <w:jc w:val="right"/>
              <w:rPr>
                <w:sz w:val="22"/>
                <w:szCs w:val="22"/>
              </w:rPr>
            </w:pPr>
            <w:r w:rsidRPr="003E3A1D">
              <w:rPr>
                <w:sz w:val="22"/>
                <w:szCs w:val="22"/>
              </w:rPr>
              <w:t>70,3</w:t>
            </w:r>
          </w:p>
        </w:tc>
      </w:tr>
      <w:tr w:rsidR="003E3A1D" w:rsidRPr="003E3A1D" w14:paraId="7AA8D5DB"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vAlign w:val="center"/>
            <w:hideMark/>
          </w:tcPr>
          <w:p w14:paraId="74362276" w14:textId="77777777" w:rsidR="006D4BFC" w:rsidRPr="003E3A1D" w:rsidRDefault="4AC3BDA3" w:rsidP="4AC3BDA3">
            <w:pPr>
              <w:spacing w:after="0"/>
              <w:ind w:firstLineChars="400" w:firstLine="880"/>
              <w:jc w:val="left"/>
              <w:rPr>
                <w:i/>
                <w:iCs/>
                <w:sz w:val="22"/>
                <w:szCs w:val="22"/>
              </w:rPr>
            </w:pPr>
            <w:r w:rsidRPr="003E3A1D">
              <w:rPr>
                <w:i/>
                <w:iCs/>
                <w:sz w:val="22"/>
                <w:szCs w:val="22"/>
              </w:rPr>
              <w:t>gyermekek születésével kapcsolatos szabadság megtérítése</w:t>
            </w:r>
          </w:p>
        </w:tc>
        <w:tc>
          <w:tcPr>
            <w:tcW w:w="833" w:type="dxa"/>
            <w:tcBorders>
              <w:top w:val="nil"/>
              <w:left w:val="nil"/>
              <w:bottom w:val="single" w:sz="4" w:space="0" w:color="auto"/>
              <w:right w:val="single" w:sz="4" w:space="0" w:color="auto"/>
            </w:tcBorders>
            <w:shd w:val="clear" w:color="auto" w:fill="auto"/>
            <w:noWrap/>
            <w:vAlign w:val="center"/>
            <w:hideMark/>
          </w:tcPr>
          <w:p w14:paraId="5BD509E4" w14:textId="77777777" w:rsidR="006D4BFC" w:rsidRPr="003E3A1D" w:rsidRDefault="4AC3BDA3" w:rsidP="4AC3BDA3">
            <w:pPr>
              <w:spacing w:after="0"/>
              <w:jc w:val="right"/>
              <w:rPr>
                <w:sz w:val="22"/>
                <w:szCs w:val="22"/>
              </w:rPr>
            </w:pPr>
            <w:r w:rsidRPr="003E3A1D">
              <w:rPr>
                <w:sz w:val="22"/>
                <w:szCs w:val="22"/>
              </w:rPr>
              <w:t>1,0</w:t>
            </w:r>
          </w:p>
        </w:tc>
        <w:tc>
          <w:tcPr>
            <w:tcW w:w="833" w:type="dxa"/>
            <w:tcBorders>
              <w:top w:val="nil"/>
              <w:left w:val="nil"/>
              <w:bottom w:val="single" w:sz="4" w:space="0" w:color="auto"/>
              <w:right w:val="single" w:sz="4" w:space="0" w:color="auto"/>
            </w:tcBorders>
            <w:shd w:val="clear" w:color="auto" w:fill="auto"/>
            <w:noWrap/>
            <w:vAlign w:val="center"/>
            <w:hideMark/>
          </w:tcPr>
          <w:p w14:paraId="16E967F1" w14:textId="77777777" w:rsidR="006D4BFC" w:rsidRPr="003E3A1D" w:rsidRDefault="4AC3BDA3" w:rsidP="4AC3BDA3">
            <w:pPr>
              <w:spacing w:after="0"/>
              <w:jc w:val="right"/>
              <w:rPr>
                <w:sz w:val="22"/>
                <w:szCs w:val="22"/>
              </w:rPr>
            </w:pPr>
            <w:r w:rsidRPr="003E3A1D">
              <w:rPr>
                <w:sz w:val="22"/>
                <w:szCs w:val="22"/>
              </w:rPr>
              <w:t>1,1</w:t>
            </w:r>
          </w:p>
        </w:tc>
        <w:tc>
          <w:tcPr>
            <w:tcW w:w="679" w:type="dxa"/>
            <w:tcBorders>
              <w:top w:val="nil"/>
              <w:left w:val="nil"/>
              <w:bottom w:val="single" w:sz="4" w:space="0" w:color="auto"/>
              <w:right w:val="single" w:sz="4" w:space="0" w:color="auto"/>
            </w:tcBorders>
            <w:shd w:val="clear" w:color="auto" w:fill="auto"/>
            <w:noWrap/>
            <w:vAlign w:val="center"/>
            <w:hideMark/>
          </w:tcPr>
          <w:p w14:paraId="1345428C" w14:textId="77777777" w:rsidR="006D4BFC" w:rsidRPr="003E3A1D" w:rsidRDefault="4AC3BDA3" w:rsidP="4AC3BDA3">
            <w:pPr>
              <w:spacing w:after="0"/>
              <w:jc w:val="right"/>
              <w:rPr>
                <w:sz w:val="22"/>
                <w:szCs w:val="22"/>
              </w:rPr>
            </w:pPr>
            <w:r w:rsidRPr="003E3A1D">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14:paraId="6316BEF6" w14:textId="77777777" w:rsidR="006D4BFC" w:rsidRPr="003E3A1D" w:rsidRDefault="4AC3BDA3" w:rsidP="4AC3BDA3">
            <w:pPr>
              <w:spacing w:after="0"/>
              <w:jc w:val="right"/>
              <w:rPr>
                <w:sz w:val="22"/>
                <w:szCs w:val="22"/>
              </w:rPr>
            </w:pPr>
            <w:r w:rsidRPr="003E3A1D">
              <w:rPr>
                <w:sz w:val="22"/>
                <w:szCs w:val="22"/>
              </w:rPr>
              <w:t>110,0</w:t>
            </w:r>
          </w:p>
        </w:tc>
      </w:tr>
      <w:tr w:rsidR="003E3A1D" w:rsidRPr="003E3A1D" w14:paraId="7CDD5C9A"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vAlign w:val="center"/>
            <w:hideMark/>
          </w:tcPr>
          <w:p w14:paraId="3A212161" w14:textId="77777777" w:rsidR="006D4BFC" w:rsidRPr="003E3A1D" w:rsidRDefault="4AC3BDA3" w:rsidP="4AC3BDA3">
            <w:pPr>
              <w:spacing w:after="0"/>
              <w:ind w:firstLineChars="400" w:firstLine="880"/>
              <w:jc w:val="left"/>
              <w:rPr>
                <w:i/>
                <w:iCs/>
                <w:sz w:val="22"/>
                <w:szCs w:val="22"/>
              </w:rPr>
            </w:pPr>
            <w:r w:rsidRPr="003E3A1D">
              <w:rPr>
                <w:i/>
                <w:iCs/>
                <w:sz w:val="22"/>
                <w:szCs w:val="22"/>
              </w:rPr>
              <w:t>életkezdési támogatás</w:t>
            </w:r>
          </w:p>
        </w:tc>
        <w:tc>
          <w:tcPr>
            <w:tcW w:w="833" w:type="dxa"/>
            <w:tcBorders>
              <w:top w:val="nil"/>
              <w:left w:val="nil"/>
              <w:bottom w:val="single" w:sz="4" w:space="0" w:color="auto"/>
              <w:right w:val="single" w:sz="4" w:space="0" w:color="auto"/>
            </w:tcBorders>
            <w:shd w:val="clear" w:color="auto" w:fill="auto"/>
            <w:noWrap/>
            <w:vAlign w:val="center"/>
            <w:hideMark/>
          </w:tcPr>
          <w:p w14:paraId="240A5298" w14:textId="77777777" w:rsidR="006D4BFC" w:rsidRPr="003E3A1D" w:rsidRDefault="4AC3BDA3" w:rsidP="4AC3BDA3">
            <w:pPr>
              <w:spacing w:after="0"/>
              <w:jc w:val="right"/>
              <w:rPr>
                <w:sz w:val="22"/>
                <w:szCs w:val="22"/>
              </w:rPr>
            </w:pPr>
            <w:r w:rsidRPr="003E3A1D">
              <w:rPr>
                <w:sz w:val="22"/>
                <w:szCs w:val="22"/>
              </w:rPr>
              <w:t>4,1</w:t>
            </w:r>
          </w:p>
        </w:tc>
        <w:tc>
          <w:tcPr>
            <w:tcW w:w="833" w:type="dxa"/>
            <w:tcBorders>
              <w:top w:val="nil"/>
              <w:left w:val="nil"/>
              <w:bottom w:val="single" w:sz="4" w:space="0" w:color="auto"/>
              <w:right w:val="single" w:sz="4" w:space="0" w:color="auto"/>
            </w:tcBorders>
            <w:shd w:val="clear" w:color="auto" w:fill="auto"/>
            <w:noWrap/>
            <w:vAlign w:val="center"/>
            <w:hideMark/>
          </w:tcPr>
          <w:p w14:paraId="3B0F4837" w14:textId="77777777" w:rsidR="006D4BFC" w:rsidRPr="003E3A1D" w:rsidRDefault="4AC3BDA3" w:rsidP="4AC3BDA3">
            <w:pPr>
              <w:spacing w:after="0"/>
              <w:jc w:val="right"/>
              <w:rPr>
                <w:sz w:val="22"/>
                <w:szCs w:val="22"/>
              </w:rPr>
            </w:pPr>
            <w:r w:rsidRPr="003E3A1D">
              <w:rPr>
                <w:sz w:val="22"/>
                <w:szCs w:val="22"/>
              </w:rPr>
              <w:t>5,7</w:t>
            </w:r>
          </w:p>
        </w:tc>
        <w:tc>
          <w:tcPr>
            <w:tcW w:w="679" w:type="dxa"/>
            <w:tcBorders>
              <w:top w:val="nil"/>
              <w:left w:val="nil"/>
              <w:bottom w:val="single" w:sz="4" w:space="0" w:color="auto"/>
              <w:right w:val="single" w:sz="4" w:space="0" w:color="auto"/>
            </w:tcBorders>
            <w:shd w:val="clear" w:color="auto" w:fill="auto"/>
            <w:noWrap/>
            <w:vAlign w:val="center"/>
            <w:hideMark/>
          </w:tcPr>
          <w:p w14:paraId="54524C42" w14:textId="77777777" w:rsidR="006D4BFC" w:rsidRPr="003E3A1D" w:rsidRDefault="4AC3BDA3" w:rsidP="4AC3BDA3">
            <w:pPr>
              <w:spacing w:after="0"/>
              <w:jc w:val="right"/>
              <w:rPr>
                <w:sz w:val="22"/>
                <w:szCs w:val="22"/>
              </w:rPr>
            </w:pPr>
            <w:r w:rsidRPr="003E3A1D">
              <w:rPr>
                <w:sz w:val="22"/>
                <w:szCs w:val="22"/>
              </w:rPr>
              <w:t>1,6</w:t>
            </w:r>
          </w:p>
        </w:tc>
        <w:tc>
          <w:tcPr>
            <w:tcW w:w="709" w:type="dxa"/>
            <w:tcBorders>
              <w:top w:val="nil"/>
              <w:left w:val="nil"/>
              <w:bottom w:val="single" w:sz="4" w:space="0" w:color="auto"/>
              <w:right w:val="single" w:sz="4" w:space="0" w:color="auto"/>
            </w:tcBorders>
            <w:shd w:val="clear" w:color="auto" w:fill="auto"/>
            <w:noWrap/>
            <w:vAlign w:val="center"/>
            <w:hideMark/>
          </w:tcPr>
          <w:p w14:paraId="7444577D" w14:textId="77777777" w:rsidR="006D4BFC" w:rsidRPr="003E3A1D" w:rsidRDefault="4AC3BDA3" w:rsidP="4AC3BDA3">
            <w:pPr>
              <w:spacing w:after="0"/>
              <w:jc w:val="right"/>
              <w:rPr>
                <w:sz w:val="22"/>
                <w:szCs w:val="22"/>
              </w:rPr>
            </w:pPr>
            <w:r w:rsidRPr="003E3A1D">
              <w:rPr>
                <w:sz w:val="22"/>
                <w:szCs w:val="22"/>
              </w:rPr>
              <w:t>139,0</w:t>
            </w:r>
          </w:p>
        </w:tc>
      </w:tr>
      <w:tr w:rsidR="003E3A1D" w:rsidRPr="003E3A1D" w14:paraId="71710823"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53368C6F" w14:textId="77777777" w:rsidR="006D4BFC" w:rsidRPr="003E3A1D" w:rsidRDefault="4AC3BDA3" w:rsidP="4AC3BDA3">
            <w:pPr>
              <w:spacing w:after="0"/>
              <w:jc w:val="left"/>
              <w:rPr>
                <w:b/>
                <w:bCs/>
                <w:sz w:val="22"/>
                <w:szCs w:val="22"/>
              </w:rPr>
            </w:pPr>
            <w:r w:rsidRPr="003E3A1D">
              <w:rPr>
                <w:b/>
                <w:bCs/>
                <w:sz w:val="22"/>
                <w:szCs w:val="22"/>
              </w:rPr>
              <w:t>Korhatár alatti ellátások</w:t>
            </w:r>
          </w:p>
        </w:tc>
        <w:tc>
          <w:tcPr>
            <w:tcW w:w="833" w:type="dxa"/>
            <w:tcBorders>
              <w:top w:val="nil"/>
              <w:left w:val="nil"/>
              <w:bottom w:val="single" w:sz="4" w:space="0" w:color="auto"/>
              <w:right w:val="single" w:sz="4" w:space="0" w:color="auto"/>
            </w:tcBorders>
            <w:shd w:val="clear" w:color="auto" w:fill="auto"/>
            <w:noWrap/>
            <w:vAlign w:val="center"/>
            <w:hideMark/>
          </w:tcPr>
          <w:p w14:paraId="6EB66E57" w14:textId="77777777" w:rsidR="006D4BFC" w:rsidRPr="003E3A1D" w:rsidRDefault="4AC3BDA3" w:rsidP="4AC3BDA3">
            <w:pPr>
              <w:spacing w:after="0"/>
              <w:jc w:val="right"/>
              <w:rPr>
                <w:b/>
                <w:bCs/>
                <w:sz w:val="22"/>
                <w:szCs w:val="22"/>
              </w:rPr>
            </w:pPr>
            <w:r w:rsidRPr="003E3A1D">
              <w:rPr>
                <w:b/>
                <w:bCs/>
                <w:sz w:val="22"/>
                <w:szCs w:val="22"/>
              </w:rPr>
              <w:t>25,6</w:t>
            </w:r>
          </w:p>
        </w:tc>
        <w:tc>
          <w:tcPr>
            <w:tcW w:w="833" w:type="dxa"/>
            <w:tcBorders>
              <w:top w:val="nil"/>
              <w:left w:val="nil"/>
              <w:bottom w:val="single" w:sz="4" w:space="0" w:color="auto"/>
              <w:right w:val="single" w:sz="4" w:space="0" w:color="auto"/>
            </w:tcBorders>
            <w:shd w:val="clear" w:color="auto" w:fill="auto"/>
            <w:noWrap/>
            <w:vAlign w:val="center"/>
            <w:hideMark/>
          </w:tcPr>
          <w:p w14:paraId="67B3EEA6" w14:textId="77777777" w:rsidR="006D4BFC" w:rsidRPr="003E3A1D" w:rsidRDefault="4AC3BDA3" w:rsidP="4AC3BDA3">
            <w:pPr>
              <w:spacing w:after="0"/>
              <w:jc w:val="right"/>
              <w:rPr>
                <w:b/>
                <w:bCs/>
                <w:sz w:val="22"/>
                <w:szCs w:val="22"/>
              </w:rPr>
            </w:pPr>
            <w:r w:rsidRPr="003E3A1D">
              <w:rPr>
                <w:b/>
                <w:bCs/>
                <w:sz w:val="22"/>
                <w:szCs w:val="22"/>
              </w:rPr>
              <w:t>33,5</w:t>
            </w:r>
          </w:p>
        </w:tc>
        <w:tc>
          <w:tcPr>
            <w:tcW w:w="679" w:type="dxa"/>
            <w:tcBorders>
              <w:top w:val="nil"/>
              <w:left w:val="nil"/>
              <w:bottom w:val="single" w:sz="4" w:space="0" w:color="auto"/>
              <w:right w:val="single" w:sz="4" w:space="0" w:color="auto"/>
            </w:tcBorders>
            <w:shd w:val="clear" w:color="auto" w:fill="auto"/>
            <w:noWrap/>
            <w:vAlign w:val="center"/>
            <w:hideMark/>
          </w:tcPr>
          <w:p w14:paraId="7CD737A2" w14:textId="77777777" w:rsidR="006D4BFC" w:rsidRPr="003E3A1D" w:rsidRDefault="4AC3BDA3" w:rsidP="4AC3BDA3">
            <w:pPr>
              <w:spacing w:after="0"/>
              <w:jc w:val="right"/>
              <w:rPr>
                <w:sz w:val="22"/>
                <w:szCs w:val="22"/>
              </w:rPr>
            </w:pPr>
            <w:r w:rsidRPr="003E3A1D">
              <w:rPr>
                <w:sz w:val="22"/>
                <w:szCs w:val="22"/>
              </w:rPr>
              <w:t>7,9</w:t>
            </w:r>
          </w:p>
        </w:tc>
        <w:tc>
          <w:tcPr>
            <w:tcW w:w="709" w:type="dxa"/>
            <w:tcBorders>
              <w:top w:val="nil"/>
              <w:left w:val="nil"/>
              <w:bottom w:val="single" w:sz="4" w:space="0" w:color="auto"/>
              <w:right w:val="single" w:sz="4" w:space="0" w:color="auto"/>
            </w:tcBorders>
            <w:shd w:val="clear" w:color="auto" w:fill="auto"/>
            <w:noWrap/>
            <w:vAlign w:val="center"/>
            <w:hideMark/>
          </w:tcPr>
          <w:p w14:paraId="677E402E" w14:textId="77777777" w:rsidR="006D4BFC" w:rsidRPr="003E3A1D" w:rsidRDefault="4AC3BDA3" w:rsidP="4AC3BDA3">
            <w:pPr>
              <w:spacing w:after="0"/>
              <w:jc w:val="right"/>
              <w:rPr>
                <w:sz w:val="22"/>
                <w:szCs w:val="22"/>
              </w:rPr>
            </w:pPr>
            <w:r w:rsidRPr="003E3A1D">
              <w:rPr>
                <w:sz w:val="22"/>
                <w:szCs w:val="22"/>
              </w:rPr>
              <w:t>130,9</w:t>
            </w:r>
          </w:p>
        </w:tc>
      </w:tr>
      <w:tr w:rsidR="003E3A1D" w:rsidRPr="003E3A1D" w14:paraId="41913686"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18522858" w14:textId="77777777" w:rsidR="006D4BFC" w:rsidRPr="003E3A1D" w:rsidRDefault="4AC3BDA3" w:rsidP="4AC3BDA3">
            <w:pPr>
              <w:spacing w:after="0"/>
              <w:jc w:val="left"/>
              <w:rPr>
                <w:b/>
                <w:bCs/>
                <w:sz w:val="22"/>
                <w:szCs w:val="22"/>
              </w:rPr>
            </w:pPr>
            <w:r w:rsidRPr="003E3A1D">
              <w:rPr>
                <w:b/>
                <w:bCs/>
                <w:sz w:val="22"/>
                <w:szCs w:val="22"/>
              </w:rPr>
              <w:t>Jövedelempótló és jövedelemkiegészítő szociális támogatások</w:t>
            </w:r>
          </w:p>
        </w:tc>
        <w:tc>
          <w:tcPr>
            <w:tcW w:w="833" w:type="dxa"/>
            <w:tcBorders>
              <w:top w:val="nil"/>
              <w:left w:val="nil"/>
              <w:bottom w:val="single" w:sz="4" w:space="0" w:color="auto"/>
              <w:right w:val="single" w:sz="4" w:space="0" w:color="auto"/>
            </w:tcBorders>
            <w:shd w:val="clear" w:color="auto" w:fill="auto"/>
            <w:noWrap/>
            <w:vAlign w:val="center"/>
            <w:hideMark/>
          </w:tcPr>
          <w:p w14:paraId="22E274BD" w14:textId="77777777" w:rsidR="006D4BFC" w:rsidRPr="003E3A1D" w:rsidRDefault="4AC3BDA3" w:rsidP="4AC3BDA3">
            <w:pPr>
              <w:spacing w:after="0"/>
              <w:jc w:val="right"/>
              <w:rPr>
                <w:b/>
                <w:bCs/>
                <w:sz w:val="22"/>
                <w:szCs w:val="22"/>
              </w:rPr>
            </w:pPr>
            <w:r w:rsidRPr="003E3A1D">
              <w:rPr>
                <w:b/>
                <w:bCs/>
                <w:sz w:val="22"/>
                <w:szCs w:val="22"/>
              </w:rPr>
              <w:t>41,8</w:t>
            </w:r>
          </w:p>
        </w:tc>
        <w:tc>
          <w:tcPr>
            <w:tcW w:w="833" w:type="dxa"/>
            <w:tcBorders>
              <w:top w:val="nil"/>
              <w:left w:val="nil"/>
              <w:bottom w:val="single" w:sz="4" w:space="0" w:color="auto"/>
              <w:right w:val="single" w:sz="4" w:space="0" w:color="auto"/>
            </w:tcBorders>
            <w:shd w:val="clear" w:color="auto" w:fill="auto"/>
            <w:noWrap/>
            <w:vAlign w:val="center"/>
            <w:hideMark/>
          </w:tcPr>
          <w:p w14:paraId="64A5360C" w14:textId="77777777" w:rsidR="006D4BFC" w:rsidRPr="003E3A1D" w:rsidRDefault="4AC3BDA3" w:rsidP="4AC3BDA3">
            <w:pPr>
              <w:spacing w:after="0"/>
              <w:jc w:val="right"/>
              <w:rPr>
                <w:b/>
                <w:bCs/>
                <w:sz w:val="22"/>
                <w:szCs w:val="22"/>
              </w:rPr>
            </w:pPr>
            <w:r w:rsidRPr="003E3A1D">
              <w:rPr>
                <w:b/>
                <w:bCs/>
                <w:sz w:val="22"/>
                <w:szCs w:val="22"/>
              </w:rPr>
              <w:t>46,8</w:t>
            </w:r>
          </w:p>
        </w:tc>
        <w:tc>
          <w:tcPr>
            <w:tcW w:w="679" w:type="dxa"/>
            <w:tcBorders>
              <w:top w:val="nil"/>
              <w:left w:val="nil"/>
              <w:bottom w:val="single" w:sz="4" w:space="0" w:color="auto"/>
              <w:right w:val="single" w:sz="4" w:space="0" w:color="auto"/>
            </w:tcBorders>
            <w:shd w:val="clear" w:color="auto" w:fill="auto"/>
            <w:noWrap/>
            <w:vAlign w:val="center"/>
            <w:hideMark/>
          </w:tcPr>
          <w:p w14:paraId="31175DD3" w14:textId="77777777" w:rsidR="006D4BFC" w:rsidRPr="003E3A1D" w:rsidRDefault="4AC3BDA3" w:rsidP="4AC3BDA3">
            <w:pPr>
              <w:spacing w:after="0"/>
              <w:jc w:val="right"/>
              <w:rPr>
                <w:sz w:val="22"/>
                <w:szCs w:val="22"/>
              </w:rPr>
            </w:pPr>
            <w:r w:rsidRPr="003E3A1D">
              <w:rPr>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14:paraId="68773DF8" w14:textId="77777777" w:rsidR="006D4BFC" w:rsidRPr="003E3A1D" w:rsidRDefault="4AC3BDA3" w:rsidP="4AC3BDA3">
            <w:pPr>
              <w:spacing w:after="0"/>
              <w:jc w:val="right"/>
              <w:rPr>
                <w:sz w:val="22"/>
                <w:szCs w:val="22"/>
              </w:rPr>
            </w:pPr>
            <w:r w:rsidRPr="003E3A1D">
              <w:rPr>
                <w:sz w:val="22"/>
                <w:szCs w:val="22"/>
              </w:rPr>
              <w:t>112,0</w:t>
            </w:r>
          </w:p>
        </w:tc>
      </w:tr>
      <w:tr w:rsidR="003E3A1D" w:rsidRPr="003E3A1D" w14:paraId="6159FF8F"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7AE58DF0" w14:textId="77777777" w:rsidR="006D4BFC" w:rsidRPr="003E3A1D" w:rsidRDefault="4AC3BDA3" w:rsidP="4AC3BDA3">
            <w:pPr>
              <w:spacing w:after="0"/>
              <w:ind w:firstLineChars="100" w:firstLine="220"/>
              <w:jc w:val="left"/>
              <w:rPr>
                <w:i/>
                <w:iCs/>
                <w:sz w:val="22"/>
                <w:szCs w:val="22"/>
              </w:rPr>
            </w:pPr>
            <w:r w:rsidRPr="003E3A1D">
              <w:rPr>
                <w:i/>
                <w:iCs/>
                <w:sz w:val="22"/>
                <w:szCs w:val="22"/>
              </w:rPr>
              <w:t>Ebből:</w:t>
            </w:r>
          </w:p>
        </w:tc>
        <w:tc>
          <w:tcPr>
            <w:tcW w:w="833" w:type="dxa"/>
            <w:tcBorders>
              <w:top w:val="nil"/>
              <w:left w:val="nil"/>
              <w:bottom w:val="single" w:sz="4" w:space="0" w:color="auto"/>
              <w:right w:val="single" w:sz="4" w:space="0" w:color="auto"/>
            </w:tcBorders>
            <w:shd w:val="clear" w:color="auto" w:fill="auto"/>
            <w:noWrap/>
            <w:vAlign w:val="center"/>
            <w:hideMark/>
          </w:tcPr>
          <w:p w14:paraId="53833988" w14:textId="77777777" w:rsidR="006D4BFC" w:rsidRPr="003E3A1D" w:rsidRDefault="4AC3BDA3" w:rsidP="4AC3BDA3">
            <w:pPr>
              <w:spacing w:after="0"/>
              <w:jc w:val="right"/>
              <w:rPr>
                <w:sz w:val="22"/>
                <w:szCs w:val="22"/>
              </w:rPr>
            </w:pPr>
            <w:r w:rsidRPr="003E3A1D">
              <w:rPr>
                <w:sz w:val="22"/>
                <w:szCs w:val="22"/>
              </w:rPr>
              <w:t> </w:t>
            </w:r>
          </w:p>
        </w:tc>
        <w:tc>
          <w:tcPr>
            <w:tcW w:w="833" w:type="dxa"/>
            <w:tcBorders>
              <w:top w:val="nil"/>
              <w:left w:val="nil"/>
              <w:bottom w:val="single" w:sz="4" w:space="0" w:color="auto"/>
              <w:right w:val="single" w:sz="4" w:space="0" w:color="auto"/>
            </w:tcBorders>
            <w:shd w:val="clear" w:color="auto" w:fill="auto"/>
            <w:noWrap/>
            <w:vAlign w:val="center"/>
            <w:hideMark/>
          </w:tcPr>
          <w:p w14:paraId="6C42EE4B" w14:textId="77777777" w:rsidR="006D4BFC" w:rsidRPr="003E3A1D" w:rsidRDefault="4AC3BDA3" w:rsidP="4AC3BDA3">
            <w:pPr>
              <w:spacing w:after="0"/>
              <w:jc w:val="right"/>
              <w:rPr>
                <w:sz w:val="22"/>
                <w:szCs w:val="22"/>
              </w:rPr>
            </w:pPr>
            <w:r w:rsidRPr="003E3A1D">
              <w:rPr>
                <w:sz w:val="22"/>
                <w:szCs w:val="22"/>
              </w:rPr>
              <w:t> </w:t>
            </w:r>
          </w:p>
        </w:tc>
        <w:tc>
          <w:tcPr>
            <w:tcW w:w="679" w:type="dxa"/>
            <w:tcBorders>
              <w:top w:val="nil"/>
              <w:left w:val="nil"/>
              <w:bottom w:val="single" w:sz="4" w:space="0" w:color="auto"/>
              <w:right w:val="single" w:sz="4" w:space="0" w:color="auto"/>
            </w:tcBorders>
            <w:shd w:val="clear" w:color="auto" w:fill="auto"/>
            <w:noWrap/>
            <w:vAlign w:val="center"/>
            <w:hideMark/>
          </w:tcPr>
          <w:p w14:paraId="5EBCB5EB" w14:textId="77777777" w:rsidR="006D4BFC" w:rsidRPr="003E3A1D" w:rsidRDefault="4AC3BDA3" w:rsidP="4AC3BDA3">
            <w:pPr>
              <w:spacing w:after="0"/>
              <w:jc w:val="right"/>
              <w:rPr>
                <w:sz w:val="22"/>
                <w:szCs w:val="22"/>
              </w:rPr>
            </w:pPr>
            <w:r w:rsidRPr="003E3A1D">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89BF02F" w14:textId="77777777" w:rsidR="006D4BFC" w:rsidRPr="003E3A1D" w:rsidRDefault="4AC3BDA3" w:rsidP="4AC3BDA3">
            <w:pPr>
              <w:spacing w:after="0"/>
              <w:jc w:val="right"/>
              <w:rPr>
                <w:b/>
                <w:bCs/>
                <w:sz w:val="22"/>
                <w:szCs w:val="22"/>
              </w:rPr>
            </w:pPr>
            <w:r w:rsidRPr="003E3A1D">
              <w:rPr>
                <w:b/>
                <w:bCs/>
                <w:sz w:val="22"/>
                <w:szCs w:val="22"/>
              </w:rPr>
              <w:t> </w:t>
            </w:r>
          </w:p>
        </w:tc>
      </w:tr>
      <w:tr w:rsidR="003E3A1D" w:rsidRPr="003E3A1D" w14:paraId="2E154727"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54ADEB89" w14:textId="0C10ECE7" w:rsidR="006D4BFC" w:rsidRPr="003E3A1D" w:rsidRDefault="001F22AD" w:rsidP="4AC3BDA3">
            <w:pPr>
              <w:spacing w:after="0"/>
              <w:ind w:firstLineChars="400" w:firstLine="880"/>
              <w:jc w:val="left"/>
              <w:rPr>
                <w:i/>
                <w:iCs/>
                <w:sz w:val="22"/>
                <w:szCs w:val="22"/>
              </w:rPr>
            </w:pPr>
            <w:r w:rsidRPr="003E3A1D">
              <w:rPr>
                <w:i/>
                <w:iCs/>
                <w:sz w:val="22"/>
                <w:szCs w:val="22"/>
              </w:rPr>
              <w:t>j</w:t>
            </w:r>
            <w:r w:rsidR="4AC3BDA3" w:rsidRPr="003E3A1D">
              <w:rPr>
                <w:i/>
                <w:iCs/>
                <w:sz w:val="22"/>
                <w:szCs w:val="22"/>
              </w:rPr>
              <w:t>övedelempótló és jövedelemkiegészítő ellátások</w:t>
            </w:r>
          </w:p>
        </w:tc>
        <w:tc>
          <w:tcPr>
            <w:tcW w:w="833" w:type="dxa"/>
            <w:tcBorders>
              <w:top w:val="nil"/>
              <w:left w:val="nil"/>
              <w:bottom w:val="single" w:sz="4" w:space="0" w:color="auto"/>
              <w:right w:val="single" w:sz="4" w:space="0" w:color="auto"/>
            </w:tcBorders>
            <w:shd w:val="clear" w:color="auto" w:fill="auto"/>
            <w:noWrap/>
            <w:vAlign w:val="center"/>
            <w:hideMark/>
          </w:tcPr>
          <w:p w14:paraId="2F31D7C3" w14:textId="77777777" w:rsidR="006D4BFC" w:rsidRPr="003E3A1D" w:rsidRDefault="4AC3BDA3" w:rsidP="4AC3BDA3">
            <w:pPr>
              <w:spacing w:after="0"/>
              <w:jc w:val="right"/>
              <w:rPr>
                <w:sz w:val="22"/>
                <w:szCs w:val="22"/>
              </w:rPr>
            </w:pPr>
            <w:r w:rsidRPr="003E3A1D">
              <w:rPr>
                <w:sz w:val="22"/>
                <w:szCs w:val="22"/>
              </w:rPr>
              <w:t>18,3</w:t>
            </w:r>
          </w:p>
        </w:tc>
        <w:tc>
          <w:tcPr>
            <w:tcW w:w="833" w:type="dxa"/>
            <w:tcBorders>
              <w:top w:val="nil"/>
              <w:left w:val="nil"/>
              <w:bottom w:val="single" w:sz="4" w:space="0" w:color="auto"/>
              <w:right w:val="single" w:sz="4" w:space="0" w:color="auto"/>
            </w:tcBorders>
            <w:shd w:val="clear" w:color="auto" w:fill="auto"/>
            <w:noWrap/>
            <w:vAlign w:val="center"/>
            <w:hideMark/>
          </w:tcPr>
          <w:p w14:paraId="262F2A62" w14:textId="77777777" w:rsidR="006D4BFC" w:rsidRPr="003E3A1D" w:rsidRDefault="4AC3BDA3" w:rsidP="4AC3BDA3">
            <w:pPr>
              <w:spacing w:after="0"/>
              <w:jc w:val="right"/>
              <w:rPr>
                <w:sz w:val="22"/>
                <w:szCs w:val="22"/>
              </w:rPr>
            </w:pPr>
            <w:r w:rsidRPr="003E3A1D">
              <w:rPr>
                <w:sz w:val="22"/>
                <w:szCs w:val="22"/>
              </w:rPr>
              <w:t>18,3</w:t>
            </w:r>
          </w:p>
        </w:tc>
        <w:tc>
          <w:tcPr>
            <w:tcW w:w="679" w:type="dxa"/>
            <w:tcBorders>
              <w:top w:val="nil"/>
              <w:left w:val="nil"/>
              <w:bottom w:val="single" w:sz="4" w:space="0" w:color="auto"/>
              <w:right w:val="single" w:sz="4" w:space="0" w:color="auto"/>
            </w:tcBorders>
            <w:shd w:val="clear" w:color="auto" w:fill="auto"/>
            <w:noWrap/>
            <w:vAlign w:val="center"/>
            <w:hideMark/>
          </w:tcPr>
          <w:p w14:paraId="7A79C392" w14:textId="77777777" w:rsidR="006D4BFC" w:rsidRPr="003E3A1D" w:rsidRDefault="4AC3BDA3" w:rsidP="4AC3BDA3">
            <w:pPr>
              <w:spacing w:after="0"/>
              <w:jc w:val="right"/>
              <w:rPr>
                <w:sz w:val="22"/>
                <w:szCs w:val="22"/>
              </w:rPr>
            </w:pPr>
            <w:r w:rsidRPr="003E3A1D">
              <w:rPr>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14:paraId="2C50AD4E" w14:textId="77777777" w:rsidR="006D4BFC" w:rsidRPr="003E3A1D" w:rsidRDefault="4AC3BDA3" w:rsidP="4AC3BDA3">
            <w:pPr>
              <w:spacing w:after="0"/>
              <w:jc w:val="right"/>
              <w:rPr>
                <w:sz w:val="22"/>
                <w:szCs w:val="22"/>
              </w:rPr>
            </w:pPr>
            <w:r w:rsidRPr="003E3A1D">
              <w:rPr>
                <w:sz w:val="22"/>
                <w:szCs w:val="22"/>
              </w:rPr>
              <w:t>100,0</w:t>
            </w:r>
          </w:p>
        </w:tc>
      </w:tr>
      <w:tr w:rsidR="003E3A1D" w:rsidRPr="003E3A1D" w14:paraId="3DCB5BE5"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01577764" w14:textId="0E8F7994" w:rsidR="006D4BFC" w:rsidRPr="003E3A1D" w:rsidRDefault="001F22AD" w:rsidP="4AC3BDA3">
            <w:pPr>
              <w:spacing w:after="0"/>
              <w:ind w:firstLineChars="400" w:firstLine="880"/>
              <w:jc w:val="left"/>
              <w:rPr>
                <w:i/>
                <w:iCs/>
                <w:sz w:val="22"/>
                <w:szCs w:val="22"/>
              </w:rPr>
            </w:pPr>
            <w:r w:rsidRPr="003E3A1D">
              <w:rPr>
                <w:i/>
                <w:iCs/>
                <w:sz w:val="22"/>
                <w:szCs w:val="22"/>
              </w:rPr>
              <w:t>j</w:t>
            </w:r>
            <w:r w:rsidR="4AC3BDA3" w:rsidRPr="003E3A1D">
              <w:rPr>
                <w:i/>
                <w:iCs/>
                <w:sz w:val="22"/>
                <w:szCs w:val="22"/>
              </w:rPr>
              <w:t>árási szociális feladatok ellátása</w:t>
            </w:r>
          </w:p>
        </w:tc>
        <w:tc>
          <w:tcPr>
            <w:tcW w:w="833" w:type="dxa"/>
            <w:tcBorders>
              <w:top w:val="nil"/>
              <w:left w:val="nil"/>
              <w:bottom w:val="single" w:sz="4" w:space="0" w:color="auto"/>
              <w:right w:val="single" w:sz="4" w:space="0" w:color="auto"/>
            </w:tcBorders>
            <w:shd w:val="clear" w:color="auto" w:fill="auto"/>
            <w:noWrap/>
            <w:vAlign w:val="center"/>
            <w:hideMark/>
          </w:tcPr>
          <w:p w14:paraId="138BF11A" w14:textId="77777777" w:rsidR="006D4BFC" w:rsidRPr="003E3A1D" w:rsidRDefault="4AC3BDA3" w:rsidP="4AC3BDA3">
            <w:pPr>
              <w:spacing w:after="0"/>
              <w:jc w:val="right"/>
              <w:rPr>
                <w:sz w:val="22"/>
                <w:szCs w:val="22"/>
              </w:rPr>
            </w:pPr>
            <w:r w:rsidRPr="003E3A1D">
              <w:rPr>
                <w:sz w:val="22"/>
                <w:szCs w:val="22"/>
              </w:rPr>
              <w:t>23,5</w:t>
            </w:r>
          </w:p>
        </w:tc>
        <w:tc>
          <w:tcPr>
            <w:tcW w:w="833" w:type="dxa"/>
            <w:tcBorders>
              <w:top w:val="nil"/>
              <w:left w:val="nil"/>
              <w:bottom w:val="single" w:sz="4" w:space="0" w:color="auto"/>
              <w:right w:val="single" w:sz="4" w:space="0" w:color="auto"/>
            </w:tcBorders>
            <w:shd w:val="clear" w:color="auto" w:fill="auto"/>
            <w:noWrap/>
            <w:vAlign w:val="center"/>
            <w:hideMark/>
          </w:tcPr>
          <w:p w14:paraId="7AAD27A4" w14:textId="77777777" w:rsidR="006D4BFC" w:rsidRPr="003E3A1D" w:rsidRDefault="4AC3BDA3" w:rsidP="4AC3BDA3">
            <w:pPr>
              <w:spacing w:after="0"/>
              <w:jc w:val="right"/>
              <w:rPr>
                <w:sz w:val="22"/>
                <w:szCs w:val="22"/>
              </w:rPr>
            </w:pPr>
            <w:r w:rsidRPr="003E3A1D">
              <w:rPr>
                <w:sz w:val="22"/>
                <w:szCs w:val="22"/>
              </w:rPr>
              <w:t>28,5</w:t>
            </w:r>
          </w:p>
        </w:tc>
        <w:tc>
          <w:tcPr>
            <w:tcW w:w="679" w:type="dxa"/>
            <w:tcBorders>
              <w:top w:val="nil"/>
              <w:left w:val="nil"/>
              <w:bottom w:val="single" w:sz="4" w:space="0" w:color="auto"/>
              <w:right w:val="single" w:sz="4" w:space="0" w:color="auto"/>
            </w:tcBorders>
            <w:shd w:val="clear" w:color="auto" w:fill="auto"/>
            <w:noWrap/>
            <w:vAlign w:val="center"/>
            <w:hideMark/>
          </w:tcPr>
          <w:p w14:paraId="5FD6C8EE" w14:textId="77777777" w:rsidR="006D4BFC" w:rsidRPr="003E3A1D" w:rsidRDefault="4AC3BDA3" w:rsidP="4AC3BDA3">
            <w:pPr>
              <w:spacing w:after="0"/>
              <w:jc w:val="right"/>
              <w:rPr>
                <w:sz w:val="22"/>
                <w:szCs w:val="22"/>
              </w:rPr>
            </w:pPr>
            <w:r w:rsidRPr="003E3A1D">
              <w:rPr>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14:paraId="4DE74EEB" w14:textId="77777777" w:rsidR="006D4BFC" w:rsidRPr="003E3A1D" w:rsidRDefault="4AC3BDA3" w:rsidP="4AC3BDA3">
            <w:pPr>
              <w:spacing w:after="0"/>
              <w:jc w:val="right"/>
              <w:rPr>
                <w:sz w:val="22"/>
                <w:szCs w:val="22"/>
              </w:rPr>
            </w:pPr>
            <w:r w:rsidRPr="003E3A1D">
              <w:rPr>
                <w:sz w:val="22"/>
                <w:szCs w:val="22"/>
              </w:rPr>
              <w:t>121,3</w:t>
            </w:r>
          </w:p>
        </w:tc>
      </w:tr>
      <w:tr w:rsidR="003E3A1D" w:rsidRPr="003E3A1D" w14:paraId="065CA533"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3D9147D1" w14:textId="77777777" w:rsidR="006D4BFC" w:rsidRPr="003E3A1D" w:rsidRDefault="4AC3BDA3" w:rsidP="4AC3BDA3">
            <w:pPr>
              <w:spacing w:after="0"/>
              <w:jc w:val="left"/>
              <w:rPr>
                <w:b/>
                <w:bCs/>
                <w:sz w:val="22"/>
                <w:szCs w:val="22"/>
              </w:rPr>
            </w:pPr>
            <w:r w:rsidRPr="003E3A1D">
              <w:rPr>
                <w:b/>
                <w:bCs/>
                <w:sz w:val="22"/>
                <w:szCs w:val="22"/>
              </w:rPr>
              <w:t>Különféle jogcímen adott térítések</w:t>
            </w:r>
          </w:p>
        </w:tc>
        <w:tc>
          <w:tcPr>
            <w:tcW w:w="833" w:type="dxa"/>
            <w:tcBorders>
              <w:top w:val="nil"/>
              <w:left w:val="nil"/>
              <w:bottom w:val="single" w:sz="4" w:space="0" w:color="auto"/>
              <w:right w:val="single" w:sz="4" w:space="0" w:color="auto"/>
            </w:tcBorders>
            <w:shd w:val="clear" w:color="auto" w:fill="auto"/>
            <w:noWrap/>
            <w:vAlign w:val="center"/>
            <w:hideMark/>
          </w:tcPr>
          <w:p w14:paraId="097CFEC9" w14:textId="77777777" w:rsidR="006D4BFC" w:rsidRPr="003E3A1D" w:rsidRDefault="4AC3BDA3" w:rsidP="4AC3BDA3">
            <w:pPr>
              <w:spacing w:after="0"/>
              <w:jc w:val="right"/>
              <w:rPr>
                <w:b/>
                <w:bCs/>
                <w:sz w:val="22"/>
                <w:szCs w:val="22"/>
              </w:rPr>
            </w:pPr>
            <w:r w:rsidRPr="003E3A1D">
              <w:rPr>
                <w:b/>
                <w:bCs/>
                <w:sz w:val="22"/>
                <w:szCs w:val="22"/>
              </w:rPr>
              <w:t>6,2</w:t>
            </w:r>
          </w:p>
        </w:tc>
        <w:tc>
          <w:tcPr>
            <w:tcW w:w="833" w:type="dxa"/>
            <w:tcBorders>
              <w:top w:val="nil"/>
              <w:left w:val="nil"/>
              <w:bottom w:val="single" w:sz="4" w:space="0" w:color="auto"/>
              <w:right w:val="single" w:sz="4" w:space="0" w:color="auto"/>
            </w:tcBorders>
            <w:shd w:val="clear" w:color="auto" w:fill="auto"/>
            <w:noWrap/>
            <w:vAlign w:val="center"/>
            <w:hideMark/>
          </w:tcPr>
          <w:p w14:paraId="1B47210A" w14:textId="77777777" w:rsidR="006D4BFC" w:rsidRPr="003E3A1D" w:rsidRDefault="4AC3BDA3" w:rsidP="4AC3BDA3">
            <w:pPr>
              <w:spacing w:after="0"/>
              <w:jc w:val="right"/>
              <w:rPr>
                <w:b/>
                <w:bCs/>
                <w:sz w:val="22"/>
                <w:szCs w:val="22"/>
              </w:rPr>
            </w:pPr>
            <w:r w:rsidRPr="003E3A1D">
              <w:rPr>
                <w:b/>
                <w:bCs/>
                <w:sz w:val="22"/>
                <w:szCs w:val="22"/>
              </w:rPr>
              <w:t>6,2</w:t>
            </w:r>
          </w:p>
        </w:tc>
        <w:tc>
          <w:tcPr>
            <w:tcW w:w="679" w:type="dxa"/>
            <w:tcBorders>
              <w:top w:val="nil"/>
              <w:left w:val="nil"/>
              <w:bottom w:val="single" w:sz="4" w:space="0" w:color="auto"/>
              <w:right w:val="single" w:sz="4" w:space="0" w:color="auto"/>
            </w:tcBorders>
            <w:shd w:val="clear" w:color="auto" w:fill="auto"/>
            <w:noWrap/>
            <w:vAlign w:val="center"/>
            <w:hideMark/>
          </w:tcPr>
          <w:p w14:paraId="12CB4312" w14:textId="77777777" w:rsidR="006D4BFC" w:rsidRPr="003E3A1D" w:rsidRDefault="4AC3BDA3" w:rsidP="4AC3BDA3">
            <w:pPr>
              <w:spacing w:after="0"/>
              <w:jc w:val="right"/>
              <w:rPr>
                <w:b/>
                <w:bCs/>
                <w:sz w:val="22"/>
                <w:szCs w:val="22"/>
              </w:rPr>
            </w:pPr>
            <w:r w:rsidRPr="003E3A1D">
              <w:rPr>
                <w:b/>
                <w:bCs/>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14:paraId="1AD8B320" w14:textId="77777777" w:rsidR="006D4BFC" w:rsidRPr="003E3A1D" w:rsidRDefault="4AC3BDA3" w:rsidP="4AC3BDA3">
            <w:pPr>
              <w:spacing w:after="0"/>
              <w:jc w:val="right"/>
              <w:rPr>
                <w:b/>
                <w:bCs/>
                <w:sz w:val="22"/>
                <w:szCs w:val="22"/>
              </w:rPr>
            </w:pPr>
            <w:r w:rsidRPr="003E3A1D">
              <w:rPr>
                <w:b/>
                <w:bCs/>
                <w:sz w:val="22"/>
                <w:szCs w:val="22"/>
              </w:rPr>
              <w:t>100,0</w:t>
            </w:r>
          </w:p>
        </w:tc>
      </w:tr>
      <w:tr w:rsidR="003E3A1D" w:rsidRPr="003E3A1D" w14:paraId="503D2AC6"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2B3A4F73" w14:textId="77777777" w:rsidR="006D4BFC" w:rsidRPr="003E3A1D" w:rsidRDefault="4AC3BDA3" w:rsidP="4AC3BDA3">
            <w:pPr>
              <w:spacing w:after="0"/>
              <w:ind w:firstLineChars="100" w:firstLine="220"/>
              <w:jc w:val="left"/>
              <w:rPr>
                <w:i/>
                <w:iCs/>
                <w:sz w:val="22"/>
                <w:szCs w:val="22"/>
              </w:rPr>
            </w:pPr>
            <w:r w:rsidRPr="003E3A1D">
              <w:rPr>
                <w:i/>
                <w:iCs/>
                <w:sz w:val="22"/>
                <w:szCs w:val="22"/>
              </w:rPr>
              <w:t xml:space="preserve">Ebből: </w:t>
            </w:r>
          </w:p>
        </w:tc>
        <w:tc>
          <w:tcPr>
            <w:tcW w:w="833" w:type="dxa"/>
            <w:tcBorders>
              <w:top w:val="nil"/>
              <w:left w:val="nil"/>
              <w:bottom w:val="single" w:sz="4" w:space="0" w:color="auto"/>
              <w:right w:val="single" w:sz="4" w:space="0" w:color="auto"/>
            </w:tcBorders>
            <w:shd w:val="clear" w:color="auto" w:fill="auto"/>
            <w:noWrap/>
            <w:vAlign w:val="center"/>
            <w:hideMark/>
          </w:tcPr>
          <w:p w14:paraId="7706B1E9" w14:textId="77777777" w:rsidR="006D4BFC" w:rsidRPr="003E3A1D" w:rsidRDefault="4AC3BDA3" w:rsidP="4AC3BDA3">
            <w:pPr>
              <w:spacing w:after="0"/>
              <w:jc w:val="right"/>
              <w:rPr>
                <w:sz w:val="22"/>
                <w:szCs w:val="22"/>
              </w:rPr>
            </w:pPr>
            <w:r w:rsidRPr="003E3A1D">
              <w:rPr>
                <w:sz w:val="22"/>
                <w:szCs w:val="22"/>
              </w:rPr>
              <w:t> </w:t>
            </w:r>
          </w:p>
        </w:tc>
        <w:tc>
          <w:tcPr>
            <w:tcW w:w="833" w:type="dxa"/>
            <w:tcBorders>
              <w:top w:val="nil"/>
              <w:left w:val="nil"/>
              <w:bottom w:val="single" w:sz="4" w:space="0" w:color="auto"/>
              <w:right w:val="single" w:sz="4" w:space="0" w:color="auto"/>
            </w:tcBorders>
            <w:shd w:val="clear" w:color="auto" w:fill="auto"/>
            <w:noWrap/>
            <w:vAlign w:val="center"/>
            <w:hideMark/>
          </w:tcPr>
          <w:p w14:paraId="56E42E41" w14:textId="77777777" w:rsidR="006D4BFC" w:rsidRPr="003E3A1D" w:rsidRDefault="4AC3BDA3" w:rsidP="4AC3BDA3">
            <w:pPr>
              <w:spacing w:after="0"/>
              <w:jc w:val="right"/>
              <w:rPr>
                <w:sz w:val="22"/>
                <w:szCs w:val="22"/>
              </w:rPr>
            </w:pPr>
            <w:r w:rsidRPr="003E3A1D">
              <w:rPr>
                <w:sz w:val="22"/>
                <w:szCs w:val="22"/>
              </w:rPr>
              <w:t> </w:t>
            </w:r>
          </w:p>
        </w:tc>
        <w:tc>
          <w:tcPr>
            <w:tcW w:w="679" w:type="dxa"/>
            <w:tcBorders>
              <w:top w:val="nil"/>
              <w:left w:val="nil"/>
              <w:bottom w:val="single" w:sz="4" w:space="0" w:color="auto"/>
              <w:right w:val="single" w:sz="4" w:space="0" w:color="auto"/>
            </w:tcBorders>
            <w:shd w:val="clear" w:color="auto" w:fill="auto"/>
            <w:noWrap/>
            <w:vAlign w:val="center"/>
            <w:hideMark/>
          </w:tcPr>
          <w:p w14:paraId="0ACF6223" w14:textId="77777777" w:rsidR="006D4BFC" w:rsidRPr="003E3A1D" w:rsidRDefault="4AC3BDA3" w:rsidP="4AC3BDA3">
            <w:pPr>
              <w:spacing w:after="0"/>
              <w:jc w:val="right"/>
              <w:rPr>
                <w:sz w:val="22"/>
                <w:szCs w:val="22"/>
              </w:rPr>
            </w:pPr>
            <w:r w:rsidRPr="003E3A1D">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F4891E" w14:textId="77777777" w:rsidR="006D4BFC" w:rsidRPr="003E3A1D" w:rsidRDefault="4AC3BDA3" w:rsidP="4AC3BDA3">
            <w:pPr>
              <w:spacing w:after="0"/>
              <w:jc w:val="right"/>
              <w:rPr>
                <w:sz w:val="22"/>
                <w:szCs w:val="22"/>
              </w:rPr>
            </w:pPr>
            <w:r w:rsidRPr="003E3A1D">
              <w:rPr>
                <w:sz w:val="22"/>
                <w:szCs w:val="22"/>
              </w:rPr>
              <w:t> </w:t>
            </w:r>
          </w:p>
        </w:tc>
      </w:tr>
      <w:tr w:rsidR="003E3A1D" w:rsidRPr="003E3A1D" w14:paraId="61401A94"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559ED6D4" w14:textId="77777777" w:rsidR="006D4BFC" w:rsidRPr="003E3A1D" w:rsidRDefault="4AC3BDA3" w:rsidP="4AC3BDA3">
            <w:pPr>
              <w:spacing w:after="0"/>
              <w:ind w:firstLineChars="400" w:firstLine="880"/>
              <w:jc w:val="left"/>
              <w:rPr>
                <w:i/>
                <w:iCs/>
                <w:sz w:val="22"/>
                <w:szCs w:val="22"/>
              </w:rPr>
            </w:pPr>
            <w:r w:rsidRPr="003E3A1D">
              <w:rPr>
                <w:i/>
                <w:iCs/>
                <w:sz w:val="22"/>
                <w:szCs w:val="22"/>
              </w:rPr>
              <w:t>közgyógyellátás</w:t>
            </w:r>
          </w:p>
        </w:tc>
        <w:tc>
          <w:tcPr>
            <w:tcW w:w="833" w:type="dxa"/>
            <w:tcBorders>
              <w:top w:val="nil"/>
              <w:left w:val="nil"/>
              <w:bottom w:val="single" w:sz="4" w:space="0" w:color="auto"/>
              <w:right w:val="single" w:sz="4" w:space="0" w:color="auto"/>
            </w:tcBorders>
            <w:shd w:val="clear" w:color="auto" w:fill="auto"/>
            <w:noWrap/>
            <w:vAlign w:val="center"/>
            <w:hideMark/>
          </w:tcPr>
          <w:p w14:paraId="49A4683E" w14:textId="77777777" w:rsidR="006D4BFC" w:rsidRPr="003E3A1D" w:rsidRDefault="4AC3BDA3" w:rsidP="4AC3BDA3">
            <w:pPr>
              <w:spacing w:after="0"/>
              <w:jc w:val="right"/>
              <w:rPr>
                <w:sz w:val="22"/>
                <w:szCs w:val="22"/>
              </w:rPr>
            </w:pPr>
            <w:r w:rsidRPr="003E3A1D">
              <w:rPr>
                <w:sz w:val="22"/>
                <w:szCs w:val="22"/>
              </w:rPr>
              <w:t>4,3</w:t>
            </w:r>
          </w:p>
        </w:tc>
        <w:tc>
          <w:tcPr>
            <w:tcW w:w="833" w:type="dxa"/>
            <w:tcBorders>
              <w:top w:val="nil"/>
              <w:left w:val="nil"/>
              <w:bottom w:val="single" w:sz="4" w:space="0" w:color="auto"/>
              <w:right w:val="single" w:sz="4" w:space="0" w:color="auto"/>
            </w:tcBorders>
            <w:shd w:val="clear" w:color="auto" w:fill="auto"/>
            <w:noWrap/>
            <w:vAlign w:val="center"/>
            <w:hideMark/>
          </w:tcPr>
          <w:p w14:paraId="433FFB93" w14:textId="77777777" w:rsidR="006D4BFC" w:rsidRPr="003E3A1D" w:rsidRDefault="4AC3BDA3" w:rsidP="4AC3BDA3">
            <w:pPr>
              <w:spacing w:after="0"/>
              <w:jc w:val="right"/>
              <w:rPr>
                <w:sz w:val="22"/>
                <w:szCs w:val="22"/>
              </w:rPr>
            </w:pPr>
            <w:r w:rsidRPr="003E3A1D">
              <w:rPr>
                <w:sz w:val="22"/>
                <w:szCs w:val="22"/>
              </w:rPr>
              <w:t>4,3</w:t>
            </w:r>
          </w:p>
        </w:tc>
        <w:tc>
          <w:tcPr>
            <w:tcW w:w="679" w:type="dxa"/>
            <w:tcBorders>
              <w:top w:val="nil"/>
              <w:left w:val="nil"/>
              <w:bottom w:val="single" w:sz="4" w:space="0" w:color="auto"/>
              <w:right w:val="single" w:sz="4" w:space="0" w:color="auto"/>
            </w:tcBorders>
            <w:shd w:val="clear" w:color="auto" w:fill="auto"/>
            <w:noWrap/>
            <w:vAlign w:val="center"/>
            <w:hideMark/>
          </w:tcPr>
          <w:p w14:paraId="08A30335" w14:textId="77777777" w:rsidR="006D4BFC" w:rsidRPr="003E3A1D" w:rsidRDefault="4AC3BDA3" w:rsidP="4AC3BDA3">
            <w:pPr>
              <w:spacing w:after="0"/>
              <w:jc w:val="right"/>
              <w:rPr>
                <w:sz w:val="22"/>
                <w:szCs w:val="22"/>
              </w:rPr>
            </w:pPr>
            <w:r w:rsidRPr="003E3A1D">
              <w:rPr>
                <w:sz w:val="22"/>
                <w:szCs w:val="22"/>
              </w:rPr>
              <w:t>0,0</w:t>
            </w:r>
          </w:p>
        </w:tc>
        <w:tc>
          <w:tcPr>
            <w:tcW w:w="709" w:type="dxa"/>
            <w:tcBorders>
              <w:top w:val="nil"/>
              <w:left w:val="nil"/>
              <w:bottom w:val="single" w:sz="4" w:space="0" w:color="auto"/>
              <w:right w:val="single" w:sz="4" w:space="0" w:color="auto"/>
            </w:tcBorders>
            <w:shd w:val="clear" w:color="auto" w:fill="auto"/>
            <w:noWrap/>
            <w:vAlign w:val="center"/>
            <w:hideMark/>
          </w:tcPr>
          <w:p w14:paraId="70BEC2B2" w14:textId="77777777" w:rsidR="006D4BFC" w:rsidRPr="003E3A1D" w:rsidRDefault="4AC3BDA3" w:rsidP="4AC3BDA3">
            <w:pPr>
              <w:spacing w:after="0"/>
              <w:jc w:val="right"/>
              <w:rPr>
                <w:sz w:val="22"/>
                <w:szCs w:val="22"/>
              </w:rPr>
            </w:pPr>
            <w:r w:rsidRPr="003E3A1D">
              <w:rPr>
                <w:sz w:val="22"/>
                <w:szCs w:val="22"/>
              </w:rPr>
              <w:t>100,0</w:t>
            </w:r>
          </w:p>
        </w:tc>
      </w:tr>
      <w:tr w:rsidR="003E3A1D" w:rsidRPr="003E3A1D" w14:paraId="59B4FDE8" w14:textId="77777777" w:rsidTr="0001020A">
        <w:trPr>
          <w:trHeight w:val="210"/>
          <w:jc w:val="center"/>
        </w:trPr>
        <w:tc>
          <w:tcPr>
            <w:tcW w:w="6196" w:type="dxa"/>
            <w:tcBorders>
              <w:top w:val="nil"/>
              <w:left w:val="single" w:sz="4" w:space="0" w:color="auto"/>
              <w:bottom w:val="single" w:sz="4" w:space="0" w:color="auto"/>
              <w:right w:val="single" w:sz="4" w:space="0" w:color="auto"/>
            </w:tcBorders>
            <w:shd w:val="clear" w:color="auto" w:fill="auto"/>
            <w:noWrap/>
            <w:vAlign w:val="center"/>
            <w:hideMark/>
          </w:tcPr>
          <w:p w14:paraId="7348799A" w14:textId="77777777" w:rsidR="006D4BFC" w:rsidRPr="003E3A1D" w:rsidRDefault="4AC3BDA3" w:rsidP="4AC3BDA3">
            <w:pPr>
              <w:spacing w:after="0"/>
              <w:jc w:val="left"/>
              <w:rPr>
                <w:b/>
                <w:bCs/>
                <w:sz w:val="22"/>
                <w:szCs w:val="22"/>
              </w:rPr>
            </w:pPr>
            <w:r w:rsidRPr="003E3A1D">
              <w:rPr>
                <w:b/>
                <w:bCs/>
                <w:sz w:val="22"/>
                <w:szCs w:val="22"/>
              </w:rPr>
              <w:t>Összesen</w:t>
            </w:r>
          </w:p>
        </w:tc>
        <w:tc>
          <w:tcPr>
            <w:tcW w:w="833" w:type="dxa"/>
            <w:tcBorders>
              <w:top w:val="nil"/>
              <w:left w:val="nil"/>
              <w:bottom w:val="single" w:sz="4" w:space="0" w:color="auto"/>
              <w:right w:val="single" w:sz="4" w:space="0" w:color="auto"/>
            </w:tcBorders>
            <w:shd w:val="clear" w:color="auto" w:fill="auto"/>
            <w:noWrap/>
            <w:vAlign w:val="center"/>
            <w:hideMark/>
          </w:tcPr>
          <w:p w14:paraId="3E6E00FB" w14:textId="77777777" w:rsidR="006D4BFC" w:rsidRPr="003E3A1D" w:rsidRDefault="4AC3BDA3" w:rsidP="4AC3BDA3">
            <w:pPr>
              <w:spacing w:after="0"/>
              <w:jc w:val="right"/>
              <w:rPr>
                <w:b/>
                <w:bCs/>
                <w:sz w:val="22"/>
                <w:szCs w:val="22"/>
              </w:rPr>
            </w:pPr>
            <w:r w:rsidRPr="003E3A1D">
              <w:rPr>
                <w:b/>
                <w:bCs/>
                <w:sz w:val="22"/>
                <w:szCs w:val="22"/>
              </w:rPr>
              <w:t>207,0</w:t>
            </w:r>
          </w:p>
        </w:tc>
        <w:tc>
          <w:tcPr>
            <w:tcW w:w="833" w:type="dxa"/>
            <w:tcBorders>
              <w:top w:val="nil"/>
              <w:left w:val="nil"/>
              <w:bottom w:val="single" w:sz="4" w:space="0" w:color="auto"/>
              <w:right w:val="single" w:sz="4" w:space="0" w:color="auto"/>
            </w:tcBorders>
            <w:shd w:val="clear" w:color="auto" w:fill="auto"/>
            <w:noWrap/>
            <w:vAlign w:val="center"/>
            <w:hideMark/>
          </w:tcPr>
          <w:p w14:paraId="1D2876BA" w14:textId="77777777" w:rsidR="006D4BFC" w:rsidRPr="003E3A1D" w:rsidRDefault="4AC3BDA3" w:rsidP="4AC3BDA3">
            <w:pPr>
              <w:spacing w:after="0"/>
              <w:jc w:val="right"/>
              <w:rPr>
                <w:b/>
                <w:bCs/>
                <w:sz w:val="22"/>
                <w:szCs w:val="22"/>
              </w:rPr>
            </w:pPr>
            <w:r w:rsidRPr="003E3A1D">
              <w:rPr>
                <w:b/>
                <w:bCs/>
                <w:sz w:val="22"/>
                <w:szCs w:val="22"/>
              </w:rPr>
              <w:t>189,0</w:t>
            </w:r>
          </w:p>
        </w:tc>
        <w:tc>
          <w:tcPr>
            <w:tcW w:w="679" w:type="dxa"/>
            <w:tcBorders>
              <w:top w:val="nil"/>
              <w:left w:val="nil"/>
              <w:bottom w:val="single" w:sz="4" w:space="0" w:color="auto"/>
              <w:right w:val="single" w:sz="4" w:space="0" w:color="auto"/>
            </w:tcBorders>
            <w:shd w:val="clear" w:color="auto" w:fill="auto"/>
            <w:noWrap/>
            <w:vAlign w:val="center"/>
            <w:hideMark/>
          </w:tcPr>
          <w:p w14:paraId="345F735F" w14:textId="77777777" w:rsidR="006D4BFC" w:rsidRPr="003E3A1D" w:rsidRDefault="4AC3BDA3" w:rsidP="4AC3BDA3">
            <w:pPr>
              <w:spacing w:after="0"/>
              <w:jc w:val="right"/>
              <w:rPr>
                <w:sz w:val="22"/>
                <w:szCs w:val="22"/>
              </w:rPr>
            </w:pPr>
            <w:r w:rsidRPr="003E3A1D">
              <w:rPr>
                <w:sz w:val="22"/>
                <w:szCs w:val="22"/>
              </w:rPr>
              <w:t>-18,0</w:t>
            </w:r>
          </w:p>
        </w:tc>
        <w:tc>
          <w:tcPr>
            <w:tcW w:w="709" w:type="dxa"/>
            <w:tcBorders>
              <w:top w:val="nil"/>
              <w:left w:val="nil"/>
              <w:bottom w:val="single" w:sz="4" w:space="0" w:color="auto"/>
              <w:right w:val="single" w:sz="4" w:space="0" w:color="auto"/>
            </w:tcBorders>
            <w:shd w:val="clear" w:color="auto" w:fill="auto"/>
            <w:noWrap/>
            <w:vAlign w:val="center"/>
            <w:hideMark/>
          </w:tcPr>
          <w:p w14:paraId="4CD9C706" w14:textId="77777777" w:rsidR="006D4BFC" w:rsidRPr="003E3A1D" w:rsidRDefault="4AC3BDA3" w:rsidP="4AC3BDA3">
            <w:pPr>
              <w:spacing w:after="0"/>
              <w:jc w:val="right"/>
              <w:rPr>
                <w:b/>
                <w:bCs/>
                <w:sz w:val="22"/>
                <w:szCs w:val="22"/>
              </w:rPr>
            </w:pPr>
            <w:r w:rsidRPr="003E3A1D">
              <w:rPr>
                <w:b/>
                <w:bCs/>
                <w:sz w:val="22"/>
                <w:szCs w:val="22"/>
              </w:rPr>
              <w:t>91,3</w:t>
            </w:r>
          </w:p>
        </w:tc>
      </w:tr>
    </w:tbl>
    <w:p w14:paraId="0899A99F" w14:textId="7678AA00" w:rsidR="21FBDE87" w:rsidRPr="003E3A1D" w:rsidRDefault="21FBDE87" w:rsidP="006D4BFC"/>
    <w:p w14:paraId="46FCEF3B" w14:textId="4E5F7B14" w:rsidR="21FBDE87" w:rsidRPr="003E3A1D" w:rsidRDefault="4AC3BDA3" w:rsidP="21FBDE87">
      <w:pPr>
        <w:rPr>
          <w:szCs w:val="26"/>
        </w:rPr>
      </w:pPr>
      <w:r w:rsidRPr="003E3A1D">
        <w:t xml:space="preserve">A </w:t>
      </w:r>
      <w:r w:rsidRPr="003E3A1D">
        <w:rPr>
          <w:b/>
          <w:bCs/>
        </w:rPr>
        <w:t>családi támogatásokra</w:t>
      </w:r>
      <w:r w:rsidRPr="003E3A1D">
        <w:t xml:space="preserve"> a 2022. évi első háromhavi kiadás az előző év azonos időszakához képest alacsonyabb volt, ez döntő részben annak a következménye, hogy 2021-ben egyes családi támogatások (családi pótlék, gyermekgondozást segítő ellátás, gyermeknevelési támogatás, anyasági támogatás) áprilisi összegét előrehozva, már március végén kifizették. Az életkezdési támogatás 1,6 milliárd forinttal haladta meg az előző évi március végi teljesítést. Ennek oka az, hogy 2022-ben az életkezdési letéti számlákon nyilvántartott követelés összegére tekintettel fizetett kamat mértéke 5,2% volt (a 2021. évi infláció mértékének megfelelőe</w:t>
      </w:r>
      <w:r w:rsidR="00D120EC" w:rsidRPr="003E3A1D">
        <w:t xml:space="preserve">n), ami meghaladta a 2021-ben </w:t>
      </w:r>
      <w:r w:rsidRPr="003E3A1D">
        <w:t>fizetett kamat mértékét (3,3%-ot). Ezen kívül az életkezdési letéti számlákon nyilvántartott összeg is nőtt a tavalyihoz képest.</w:t>
      </w:r>
    </w:p>
    <w:p w14:paraId="1AAD4585" w14:textId="210B0BDF" w:rsidR="21FBDE87" w:rsidRPr="003E3A1D" w:rsidRDefault="4AC3BDA3" w:rsidP="21FBDE87">
      <w:pPr>
        <w:rPr>
          <w:szCs w:val="26"/>
        </w:rPr>
      </w:pPr>
      <w:r w:rsidRPr="003E3A1D">
        <w:lastRenderedPageBreak/>
        <w:t xml:space="preserve">A </w:t>
      </w:r>
      <w:r w:rsidRPr="003E3A1D">
        <w:rPr>
          <w:b/>
          <w:bCs/>
        </w:rPr>
        <w:t>korhatár alatti ellátások</w:t>
      </w:r>
      <w:r w:rsidRPr="003E3A1D">
        <w:t xml:space="preserve"> esetében a kiadások növekedését elsősorban az okozta, hogy a 13. havi nyugdíjhoz hasonlóan februárban a korhatár előtti ellátásban részesülő személyek is részesültek 13. havi ellátásban. Ezen túlmenően januárban sor került az ellátások 5,0%‑os emelésére is. </w:t>
      </w:r>
    </w:p>
    <w:p w14:paraId="3D2D4FB0" w14:textId="5C0AA817" w:rsidR="21FBDE87" w:rsidRPr="003E3A1D" w:rsidRDefault="4AC3BDA3" w:rsidP="21FBDE87">
      <w:pPr>
        <w:rPr>
          <w:szCs w:val="26"/>
        </w:rPr>
      </w:pPr>
      <w:r w:rsidRPr="003E3A1D">
        <w:t>2022.</w:t>
      </w:r>
      <w:r w:rsidR="00FA50CB" w:rsidRPr="003E3A1D">
        <w:t> </w:t>
      </w:r>
      <w:r w:rsidRPr="003E3A1D">
        <w:t xml:space="preserve">március végéig a </w:t>
      </w:r>
      <w:r w:rsidRPr="003E3A1D">
        <w:rPr>
          <w:b/>
          <w:bCs/>
        </w:rPr>
        <w:t>jövedelempótló és jövedelemkiegészítő szociális támogatásokra</w:t>
      </w:r>
      <w:r w:rsidRPr="003E3A1D">
        <w:t xml:space="preserve"> biztosított kiadások</w:t>
      </w:r>
      <w:r w:rsidR="00FA50CB" w:rsidRPr="003E3A1D">
        <w:t>on</w:t>
      </w:r>
      <w:r w:rsidRPr="003E3A1D">
        <w:t xml:space="preserve"> belül a járási szociális feladatok ellátására (gyermekek otthongondozási díja, ápolási díj, időskorúak járadéka, foglalkoztatást helyettesítő támogatás, egészségkárosodási és gyermekfelügyeleti támogatás) 28,5</w:t>
      </w:r>
      <w:r w:rsidR="00FA50CB" w:rsidRPr="003E3A1D">
        <w:t> </w:t>
      </w:r>
      <w:r w:rsidRPr="003E3A1D">
        <w:t xml:space="preserve">milliárd forintot fordítottak, mely </w:t>
      </w:r>
      <w:r w:rsidR="003E3A1D" w:rsidRPr="003E3A1D">
        <w:t>5,0 </w:t>
      </w:r>
      <w:r w:rsidRPr="003E3A1D">
        <w:t>milliárd forinttal magasabb az előző évi március végi adatnál. Ennek oka, hogy 2022. januártól a gyermekek otthongondozási díjának összege a minimálbér 88%-áról annak 100%-ára (147</w:t>
      </w:r>
      <w:r w:rsidR="008A5119" w:rsidRPr="003E3A1D">
        <w:t> </w:t>
      </w:r>
      <w:r w:rsidRPr="003E3A1D">
        <w:t>315 forintról 200</w:t>
      </w:r>
      <w:r w:rsidR="008A5119" w:rsidRPr="003E3A1D">
        <w:t> </w:t>
      </w:r>
      <w:r w:rsidRPr="003E3A1D">
        <w:t>000</w:t>
      </w:r>
      <w:r w:rsidR="008A5119" w:rsidRPr="003E3A1D">
        <w:t> </w:t>
      </w:r>
      <w:r w:rsidRPr="003E3A1D">
        <w:t xml:space="preserve">forintra) emelkedett, az ápolási díj összege pedig 5,0%-kal nőtt. </w:t>
      </w:r>
    </w:p>
    <w:p w14:paraId="5BCDF9F6" w14:textId="09CDE945" w:rsidR="21FBDE87" w:rsidRPr="003E3A1D" w:rsidRDefault="008A5119" w:rsidP="21FBDE87">
      <w:pPr>
        <w:rPr>
          <w:szCs w:val="26"/>
        </w:rPr>
      </w:pPr>
      <w:r w:rsidRPr="003E3A1D">
        <w:t xml:space="preserve">A </w:t>
      </w:r>
      <w:r w:rsidR="4AC3BDA3" w:rsidRPr="003E3A1D">
        <w:t>Jövedelempótló és jövedelemkiegészítő ellát</w:t>
      </w:r>
      <w:r w:rsidRPr="003E3A1D">
        <w:t>ások</w:t>
      </w:r>
      <w:r w:rsidR="4AC3BDA3" w:rsidRPr="003E3A1D">
        <w:t xml:space="preserve">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18,3 milliárd forintot fizettek ki, mely az előző évi azonos időszaki kifizetésével azonos. Az adatok tartalmazzák egyes ellátások januárban végrehajtott 5,0%-os emelésének, valamint a 2022 februárjában kifizetett 13.</w:t>
      </w:r>
      <w:r w:rsidR="001F22AD" w:rsidRPr="003E3A1D">
        <w:t> </w:t>
      </w:r>
      <w:r w:rsidR="4AC3BDA3" w:rsidRPr="003E3A1D">
        <w:t>havi ellátás</w:t>
      </w:r>
      <w:r w:rsidR="001F22AD" w:rsidRPr="003E3A1D">
        <w:t>nak a</w:t>
      </w:r>
      <w:r w:rsidR="4AC3BDA3" w:rsidRPr="003E3A1D">
        <w:t xml:space="preserve"> hatását. A kiadások ennek ellenére nem magasabbak az előző év azonos i</w:t>
      </w:r>
      <w:r w:rsidR="001F22AD" w:rsidRPr="003E3A1D">
        <w:t>dőszakához képest, aminek oka</w:t>
      </w:r>
      <w:r w:rsidR="4AC3BDA3" w:rsidRPr="003E3A1D">
        <w:t xml:space="preserve">, hogy 2021-ben a fogyatékossági támogatásra és a vakok személyi járadékára jogosultak </w:t>
      </w:r>
      <w:r w:rsidR="001F22AD" w:rsidRPr="003E3A1D">
        <w:t xml:space="preserve">az </w:t>
      </w:r>
      <w:r w:rsidR="4AC3BDA3" w:rsidRPr="003E3A1D">
        <w:t>áprilisi ellátásukat (3,0 milliárd forint) előrehozva, már március végén megkapták.</w:t>
      </w:r>
    </w:p>
    <w:p w14:paraId="79838082" w14:textId="10403563" w:rsidR="21FBDE87" w:rsidRPr="003E3A1D" w:rsidRDefault="4AC3BDA3" w:rsidP="21FBDE87">
      <w:r w:rsidRPr="003E3A1D">
        <w:t xml:space="preserve">A </w:t>
      </w:r>
      <w:r w:rsidRPr="003E3A1D">
        <w:rPr>
          <w:b/>
          <w:bCs/>
        </w:rPr>
        <w:t xml:space="preserve">különféle jogcímen adott </w:t>
      </w:r>
      <w:r w:rsidRPr="003E3A1D">
        <w:rPr>
          <w:b/>
        </w:rPr>
        <w:t>térítések</w:t>
      </w:r>
      <w:r w:rsidRPr="003E3A1D">
        <w:t xml:space="preserve"> 2022.</w:t>
      </w:r>
      <w:r w:rsidR="008A5119" w:rsidRPr="003E3A1D">
        <w:t> </w:t>
      </w:r>
      <w:r w:rsidRPr="003E3A1D">
        <w:t>évi első háromhavi összege nagyságrendjében hasonló volt az előző év azonos időszakához viszonyítva. A térítéseken belül a legnagyobb összeget, 4,3 milliárd forintot a közgyógyellátásra fizették ki.</w:t>
      </w:r>
    </w:p>
    <w:p w14:paraId="2D99D10D" w14:textId="00F5B54C" w:rsidR="00F7538D" w:rsidRPr="003E3A1D" w:rsidRDefault="4AC3BDA3" w:rsidP="00F7538D">
      <w:r w:rsidRPr="003E3A1D">
        <w:t xml:space="preserve">A </w:t>
      </w:r>
      <w:r w:rsidRPr="003E3A1D">
        <w:rPr>
          <w:b/>
          <w:bCs/>
        </w:rPr>
        <w:t>helyi önkormányzatok</w:t>
      </w:r>
      <w:r w:rsidRPr="003E3A1D">
        <w:t xml:space="preserve"> 2022. évi feladataihoz a hatályos költségvetési törvény 873,4 milliárd forint állami </w:t>
      </w:r>
      <w:r w:rsidRPr="003E3A1D">
        <w:rPr>
          <w:b/>
          <w:bCs/>
        </w:rPr>
        <w:t>támogatást</w:t>
      </w:r>
      <w:r w:rsidRPr="003E3A1D">
        <w:t xml:space="preserve"> biztosít. A jelentősebb tételek alakulását a következő táblázat mutatja:</w:t>
      </w:r>
    </w:p>
    <w:p w14:paraId="1724E90A" w14:textId="3F124D55" w:rsidR="003B2DFD" w:rsidRPr="003E3A1D" w:rsidRDefault="4AC3BDA3" w:rsidP="4AC3BDA3">
      <w:pPr>
        <w:keepNext/>
        <w:jc w:val="center"/>
        <w:rPr>
          <w:b/>
          <w:bCs/>
          <w:sz w:val="20"/>
        </w:rPr>
      </w:pPr>
      <w:r w:rsidRPr="003E3A1D">
        <w:rPr>
          <w:b/>
          <w:bCs/>
          <w:sz w:val="20"/>
        </w:rPr>
        <w:t>A helyi önkormányzatok támogatásának alakulása milliárd forint</w:t>
      </w:r>
    </w:p>
    <w:tbl>
      <w:tblPr>
        <w:tblW w:w="9072" w:type="dxa"/>
        <w:jc w:val="center"/>
        <w:tblCellMar>
          <w:left w:w="70" w:type="dxa"/>
          <w:right w:w="70" w:type="dxa"/>
        </w:tblCellMar>
        <w:tblLook w:val="04A0" w:firstRow="1" w:lastRow="0" w:firstColumn="1" w:lastColumn="0" w:noHBand="0" w:noVBand="1"/>
      </w:tblPr>
      <w:tblGrid>
        <w:gridCol w:w="4962"/>
        <w:gridCol w:w="1134"/>
        <w:gridCol w:w="993"/>
        <w:gridCol w:w="992"/>
        <w:gridCol w:w="991"/>
      </w:tblGrid>
      <w:tr w:rsidR="003E3A1D" w:rsidRPr="003E3A1D" w14:paraId="652D1932" w14:textId="77777777" w:rsidTr="0001020A">
        <w:trPr>
          <w:trHeight w:val="268"/>
          <w:jc w:val="center"/>
        </w:trPr>
        <w:tc>
          <w:tcPr>
            <w:tcW w:w="4962"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53492FC" w14:textId="77777777" w:rsidR="003B2DFD" w:rsidRPr="003E3A1D" w:rsidRDefault="4AC3BDA3" w:rsidP="4AC3BDA3">
            <w:pPr>
              <w:spacing w:after="0"/>
              <w:jc w:val="center"/>
              <w:rPr>
                <w:b/>
                <w:bCs/>
                <w:sz w:val="20"/>
              </w:rPr>
            </w:pPr>
            <w:r w:rsidRPr="003E3A1D">
              <w:rPr>
                <w:b/>
                <w:bCs/>
                <w:sz w:val="20"/>
              </w:rPr>
              <w:t>Megnevezés</w:t>
            </w:r>
          </w:p>
        </w:tc>
        <w:tc>
          <w:tcPr>
            <w:tcW w:w="1134" w:type="dxa"/>
            <w:vMerge w:val="restart"/>
            <w:tcBorders>
              <w:top w:val="single" w:sz="8" w:space="0" w:color="auto"/>
              <w:left w:val="nil"/>
              <w:right w:val="single" w:sz="8" w:space="0" w:color="auto"/>
            </w:tcBorders>
            <w:shd w:val="clear" w:color="auto" w:fill="auto"/>
            <w:vAlign w:val="center"/>
            <w:hideMark/>
          </w:tcPr>
          <w:p w14:paraId="59FB1584" w14:textId="77777777" w:rsidR="003B2DFD" w:rsidRPr="003E3A1D" w:rsidRDefault="4AC3BDA3" w:rsidP="4AC3BDA3">
            <w:pPr>
              <w:spacing w:after="0"/>
              <w:jc w:val="center"/>
              <w:rPr>
                <w:b/>
                <w:bCs/>
                <w:sz w:val="20"/>
              </w:rPr>
            </w:pPr>
            <w:r w:rsidRPr="003E3A1D">
              <w:rPr>
                <w:b/>
                <w:bCs/>
                <w:sz w:val="20"/>
              </w:rPr>
              <w:t>2021.</w:t>
            </w:r>
          </w:p>
          <w:p w14:paraId="1CF77855" w14:textId="0FEB1BDD" w:rsidR="003B2DFD" w:rsidRPr="003E3A1D" w:rsidRDefault="4AC3BDA3" w:rsidP="4AC3BDA3">
            <w:pPr>
              <w:spacing w:after="0"/>
              <w:jc w:val="center"/>
              <w:rPr>
                <w:b/>
                <w:bCs/>
                <w:sz w:val="20"/>
              </w:rPr>
            </w:pPr>
            <w:r w:rsidRPr="003E3A1D">
              <w:rPr>
                <w:b/>
                <w:bCs/>
                <w:sz w:val="20"/>
              </w:rPr>
              <w:t>I-III. hó</w:t>
            </w:r>
          </w:p>
        </w:tc>
        <w:tc>
          <w:tcPr>
            <w:tcW w:w="993" w:type="dxa"/>
            <w:vMerge w:val="restart"/>
            <w:tcBorders>
              <w:top w:val="single" w:sz="8" w:space="0" w:color="auto"/>
              <w:left w:val="nil"/>
              <w:right w:val="single" w:sz="8" w:space="0" w:color="auto"/>
            </w:tcBorders>
            <w:shd w:val="clear" w:color="auto" w:fill="auto"/>
            <w:vAlign w:val="center"/>
            <w:hideMark/>
          </w:tcPr>
          <w:p w14:paraId="573E7223" w14:textId="77777777" w:rsidR="003B2DFD" w:rsidRPr="003E3A1D" w:rsidRDefault="4AC3BDA3" w:rsidP="4AC3BDA3">
            <w:pPr>
              <w:spacing w:after="0"/>
              <w:jc w:val="center"/>
              <w:rPr>
                <w:b/>
                <w:bCs/>
                <w:sz w:val="20"/>
              </w:rPr>
            </w:pPr>
            <w:r w:rsidRPr="003E3A1D">
              <w:rPr>
                <w:b/>
                <w:bCs/>
                <w:sz w:val="20"/>
              </w:rPr>
              <w:t>2022.</w:t>
            </w:r>
          </w:p>
          <w:p w14:paraId="5CD023DA" w14:textId="7DA7B39C" w:rsidR="003B2DFD" w:rsidRPr="003E3A1D" w:rsidRDefault="4AC3BDA3" w:rsidP="4AC3BDA3">
            <w:pPr>
              <w:spacing w:after="0"/>
              <w:jc w:val="center"/>
              <w:rPr>
                <w:b/>
                <w:bCs/>
                <w:sz w:val="20"/>
              </w:rPr>
            </w:pPr>
            <w:r w:rsidRPr="003E3A1D">
              <w:rPr>
                <w:b/>
                <w:bCs/>
                <w:sz w:val="20"/>
              </w:rPr>
              <w:t>I-III. hó</w:t>
            </w:r>
          </w:p>
        </w:tc>
        <w:tc>
          <w:tcPr>
            <w:tcW w:w="1983"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37FC4D45" w14:textId="77777777" w:rsidR="003B2DFD" w:rsidRPr="003E3A1D" w:rsidRDefault="4AC3BDA3" w:rsidP="4AC3BDA3">
            <w:pPr>
              <w:spacing w:after="0"/>
              <w:jc w:val="center"/>
              <w:rPr>
                <w:b/>
                <w:bCs/>
                <w:sz w:val="20"/>
              </w:rPr>
            </w:pPr>
            <w:r w:rsidRPr="003E3A1D">
              <w:rPr>
                <w:b/>
                <w:bCs/>
                <w:sz w:val="20"/>
              </w:rPr>
              <w:t>Eltérés</w:t>
            </w:r>
          </w:p>
        </w:tc>
      </w:tr>
      <w:tr w:rsidR="003E3A1D" w:rsidRPr="003E3A1D" w14:paraId="2DBD3D76" w14:textId="77777777" w:rsidTr="0001020A">
        <w:trPr>
          <w:trHeight w:val="129"/>
          <w:jc w:val="center"/>
        </w:trPr>
        <w:tc>
          <w:tcPr>
            <w:tcW w:w="49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E2C77CC" w14:textId="77777777" w:rsidR="003B2DFD" w:rsidRPr="003E3A1D" w:rsidRDefault="003B2DFD" w:rsidP="00213054">
            <w:pPr>
              <w:spacing w:after="0"/>
              <w:jc w:val="left"/>
              <w:rPr>
                <w:b/>
                <w:bCs/>
                <w:sz w:val="20"/>
              </w:rPr>
            </w:pPr>
          </w:p>
        </w:tc>
        <w:tc>
          <w:tcPr>
            <w:tcW w:w="1134" w:type="dxa"/>
            <w:vMerge/>
            <w:tcBorders>
              <w:left w:val="nil"/>
              <w:bottom w:val="single" w:sz="8" w:space="0" w:color="auto"/>
              <w:right w:val="single" w:sz="8" w:space="0" w:color="auto"/>
            </w:tcBorders>
            <w:shd w:val="clear" w:color="auto" w:fill="auto"/>
            <w:vAlign w:val="center"/>
            <w:hideMark/>
          </w:tcPr>
          <w:p w14:paraId="5AFC7E69" w14:textId="6AABC03F" w:rsidR="003B2DFD" w:rsidRPr="003E3A1D" w:rsidRDefault="003B2DFD" w:rsidP="0B7D5CF2">
            <w:pPr>
              <w:spacing w:after="0"/>
              <w:jc w:val="center"/>
              <w:rPr>
                <w:b/>
                <w:bCs/>
                <w:sz w:val="20"/>
              </w:rPr>
            </w:pPr>
          </w:p>
        </w:tc>
        <w:tc>
          <w:tcPr>
            <w:tcW w:w="993" w:type="dxa"/>
            <w:vMerge/>
            <w:tcBorders>
              <w:left w:val="nil"/>
              <w:bottom w:val="single" w:sz="8" w:space="0" w:color="auto"/>
              <w:right w:val="single" w:sz="8" w:space="0" w:color="auto"/>
            </w:tcBorders>
            <w:shd w:val="clear" w:color="auto" w:fill="auto"/>
            <w:vAlign w:val="center"/>
            <w:hideMark/>
          </w:tcPr>
          <w:p w14:paraId="238A6FEB" w14:textId="5AE9D287" w:rsidR="003B2DFD" w:rsidRPr="003E3A1D" w:rsidRDefault="003B2DFD" w:rsidP="0B7D5CF2">
            <w:pPr>
              <w:spacing w:after="0"/>
              <w:jc w:val="center"/>
              <w:rPr>
                <w:b/>
                <w:bCs/>
                <w:sz w:val="20"/>
              </w:rPr>
            </w:pPr>
          </w:p>
        </w:tc>
        <w:tc>
          <w:tcPr>
            <w:tcW w:w="992" w:type="dxa"/>
            <w:tcBorders>
              <w:top w:val="nil"/>
              <w:left w:val="nil"/>
              <w:bottom w:val="single" w:sz="8" w:space="0" w:color="auto"/>
              <w:right w:val="single" w:sz="8" w:space="0" w:color="auto"/>
            </w:tcBorders>
            <w:shd w:val="clear" w:color="auto" w:fill="auto"/>
            <w:noWrap/>
            <w:vAlign w:val="center"/>
            <w:hideMark/>
          </w:tcPr>
          <w:p w14:paraId="10F441D2" w14:textId="77777777" w:rsidR="003B2DFD" w:rsidRPr="003E3A1D" w:rsidRDefault="4AC3BDA3" w:rsidP="4AC3BDA3">
            <w:pPr>
              <w:spacing w:after="0"/>
              <w:jc w:val="center"/>
              <w:rPr>
                <w:b/>
                <w:bCs/>
                <w:sz w:val="20"/>
              </w:rPr>
            </w:pPr>
            <w:r w:rsidRPr="003E3A1D">
              <w:rPr>
                <w:b/>
                <w:bCs/>
                <w:sz w:val="20"/>
              </w:rPr>
              <w:t>Mrd Ft</w:t>
            </w:r>
          </w:p>
        </w:tc>
        <w:tc>
          <w:tcPr>
            <w:tcW w:w="991" w:type="dxa"/>
            <w:tcBorders>
              <w:top w:val="nil"/>
              <w:left w:val="nil"/>
              <w:bottom w:val="single" w:sz="8" w:space="0" w:color="auto"/>
              <w:right w:val="single" w:sz="8" w:space="0" w:color="auto"/>
            </w:tcBorders>
            <w:shd w:val="clear" w:color="auto" w:fill="auto"/>
            <w:noWrap/>
            <w:vAlign w:val="center"/>
            <w:hideMark/>
          </w:tcPr>
          <w:p w14:paraId="058DD8A7" w14:textId="77777777" w:rsidR="003B2DFD" w:rsidRPr="003E3A1D" w:rsidRDefault="4AC3BDA3" w:rsidP="4AC3BDA3">
            <w:pPr>
              <w:spacing w:after="0"/>
              <w:jc w:val="center"/>
              <w:rPr>
                <w:b/>
                <w:bCs/>
                <w:sz w:val="20"/>
              </w:rPr>
            </w:pPr>
            <w:r w:rsidRPr="003E3A1D">
              <w:rPr>
                <w:b/>
                <w:bCs/>
                <w:sz w:val="20"/>
              </w:rPr>
              <w:t>%</w:t>
            </w:r>
          </w:p>
        </w:tc>
      </w:tr>
      <w:tr w:rsidR="003E3A1D" w:rsidRPr="003E3A1D" w14:paraId="7E81552E" w14:textId="77777777" w:rsidTr="0001020A">
        <w:trPr>
          <w:trHeight w:val="567"/>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FEB9396" w14:textId="77777777" w:rsidR="004C342A" w:rsidRPr="003E3A1D" w:rsidRDefault="4AC3BDA3" w:rsidP="4AC3BDA3">
            <w:pPr>
              <w:spacing w:after="0"/>
              <w:rPr>
                <w:b/>
                <w:bCs/>
                <w:sz w:val="20"/>
              </w:rPr>
            </w:pPr>
            <w:r w:rsidRPr="003E3A1D">
              <w:rPr>
                <w:b/>
                <w:bCs/>
                <w:sz w:val="20"/>
              </w:rPr>
              <w:t>A helyi önkormányzatok általános működésének és ágazati feladatainak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1B89B26B" w14:textId="0870A69B" w:rsidR="004C342A" w:rsidRPr="003E3A1D" w:rsidRDefault="4AC3BDA3" w:rsidP="4AC3BDA3">
            <w:pPr>
              <w:spacing w:after="0"/>
              <w:jc w:val="right"/>
              <w:rPr>
                <w:b/>
                <w:bCs/>
                <w:sz w:val="20"/>
              </w:rPr>
            </w:pPr>
            <w:r w:rsidRPr="003E3A1D">
              <w:rPr>
                <w:b/>
                <w:bCs/>
                <w:sz w:val="20"/>
              </w:rPr>
              <w:t>210,0</w:t>
            </w:r>
          </w:p>
        </w:tc>
        <w:tc>
          <w:tcPr>
            <w:tcW w:w="993" w:type="dxa"/>
            <w:tcBorders>
              <w:top w:val="nil"/>
              <w:left w:val="nil"/>
              <w:bottom w:val="single" w:sz="8" w:space="0" w:color="auto"/>
              <w:right w:val="single" w:sz="8" w:space="0" w:color="auto"/>
            </w:tcBorders>
            <w:shd w:val="clear" w:color="auto" w:fill="auto"/>
            <w:noWrap/>
            <w:vAlign w:val="center"/>
            <w:hideMark/>
          </w:tcPr>
          <w:p w14:paraId="0C8E6CF2" w14:textId="733DCA7B" w:rsidR="004C342A" w:rsidRPr="003E3A1D" w:rsidRDefault="4AC3BDA3" w:rsidP="4AC3BDA3">
            <w:pPr>
              <w:spacing w:after="0"/>
              <w:jc w:val="right"/>
              <w:rPr>
                <w:b/>
                <w:bCs/>
                <w:sz w:val="20"/>
              </w:rPr>
            </w:pPr>
            <w:r w:rsidRPr="003E3A1D">
              <w:rPr>
                <w:b/>
                <w:bCs/>
                <w:sz w:val="20"/>
              </w:rPr>
              <w:t>217,5</w:t>
            </w:r>
          </w:p>
        </w:tc>
        <w:tc>
          <w:tcPr>
            <w:tcW w:w="992" w:type="dxa"/>
            <w:tcBorders>
              <w:top w:val="nil"/>
              <w:left w:val="nil"/>
              <w:bottom w:val="single" w:sz="8" w:space="0" w:color="auto"/>
              <w:right w:val="single" w:sz="8" w:space="0" w:color="auto"/>
            </w:tcBorders>
            <w:shd w:val="clear" w:color="auto" w:fill="auto"/>
            <w:noWrap/>
            <w:vAlign w:val="center"/>
            <w:hideMark/>
          </w:tcPr>
          <w:p w14:paraId="4EF62A9F" w14:textId="6BF5CFDA" w:rsidR="004C342A" w:rsidRPr="003E3A1D" w:rsidRDefault="4AC3BDA3" w:rsidP="4AC3BDA3">
            <w:pPr>
              <w:spacing w:after="0"/>
              <w:jc w:val="right"/>
              <w:rPr>
                <w:b/>
                <w:bCs/>
                <w:sz w:val="20"/>
              </w:rPr>
            </w:pPr>
            <w:r w:rsidRPr="003E3A1D">
              <w:rPr>
                <w:b/>
                <w:bCs/>
                <w:sz w:val="20"/>
              </w:rPr>
              <w:t>7,5</w:t>
            </w:r>
          </w:p>
        </w:tc>
        <w:tc>
          <w:tcPr>
            <w:tcW w:w="991" w:type="dxa"/>
            <w:tcBorders>
              <w:top w:val="nil"/>
              <w:left w:val="nil"/>
              <w:bottom w:val="single" w:sz="8" w:space="0" w:color="auto"/>
              <w:right w:val="single" w:sz="8" w:space="0" w:color="auto"/>
            </w:tcBorders>
            <w:shd w:val="clear" w:color="auto" w:fill="auto"/>
            <w:noWrap/>
            <w:vAlign w:val="center"/>
            <w:hideMark/>
          </w:tcPr>
          <w:p w14:paraId="54CE0421" w14:textId="77777777" w:rsidR="004C342A" w:rsidRPr="003E3A1D" w:rsidRDefault="4AC3BDA3" w:rsidP="4AC3BDA3">
            <w:pPr>
              <w:spacing w:after="0"/>
              <w:jc w:val="right"/>
              <w:rPr>
                <w:b/>
                <w:bCs/>
                <w:sz w:val="20"/>
              </w:rPr>
            </w:pPr>
            <w:r w:rsidRPr="003E3A1D">
              <w:rPr>
                <w:b/>
                <w:bCs/>
                <w:sz w:val="20"/>
              </w:rPr>
              <w:t>103,6</w:t>
            </w:r>
          </w:p>
        </w:tc>
      </w:tr>
      <w:tr w:rsidR="003E3A1D" w:rsidRPr="003E3A1D" w14:paraId="302D55BA" w14:textId="77777777" w:rsidTr="0001020A">
        <w:trPr>
          <w:trHeight w:val="51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42ADB4D4" w14:textId="77777777" w:rsidR="004C342A" w:rsidRPr="003E3A1D" w:rsidRDefault="4AC3BDA3" w:rsidP="4AC3BDA3">
            <w:pPr>
              <w:spacing w:after="0"/>
              <w:rPr>
                <w:sz w:val="20"/>
              </w:rPr>
            </w:pPr>
            <w:r w:rsidRPr="003E3A1D">
              <w:rPr>
                <w:sz w:val="20"/>
              </w:rPr>
              <w:t>A helyi önkormányzatok működésének általános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1CFF113E" w14:textId="6D57BACD" w:rsidR="004C342A" w:rsidRPr="00E55812" w:rsidRDefault="4AC3BDA3" w:rsidP="4AC3BDA3">
            <w:pPr>
              <w:spacing w:after="0"/>
              <w:jc w:val="right"/>
              <w:rPr>
                <w:sz w:val="20"/>
              </w:rPr>
            </w:pPr>
            <w:r w:rsidRPr="00E55812">
              <w:rPr>
                <w:iCs/>
                <w:sz w:val="20"/>
              </w:rPr>
              <w:t>73,9</w:t>
            </w:r>
          </w:p>
        </w:tc>
        <w:tc>
          <w:tcPr>
            <w:tcW w:w="993" w:type="dxa"/>
            <w:tcBorders>
              <w:top w:val="nil"/>
              <w:left w:val="nil"/>
              <w:bottom w:val="single" w:sz="8" w:space="0" w:color="auto"/>
              <w:right w:val="single" w:sz="8" w:space="0" w:color="auto"/>
            </w:tcBorders>
            <w:shd w:val="clear" w:color="auto" w:fill="auto"/>
            <w:noWrap/>
            <w:vAlign w:val="center"/>
            <w:hideMark/>
          </w:tcPr>
          <w:p w14:paraId="00454467" w14:textId="57726FDF" w:rsidR="004C342A" w:rsidRPr="00E55812" w:rsidRDefault="4AC3BDA3" w:rsidP="4AC3BDA3">
            <w:pPr>
              <w:spacing w:after="0"/>
              <w:jc w:val="right"/>
              <w:rPr>
                <w:sz w:val="20"/>
              </w:rPr>
            </w:pPr>
            <w:r w:rsidRPr="00E55812">
              <w:rPr>
                <w:iCs/>
                <w:sz w:val="20"/>
              </w:rPr>
              <w:t>73,5</w:t>
            </w:r>
          </w:p>
        </w:tc>
        <w:tc>
          <w:tcPr>
            <w:tcW w:w="992" w:type="dxa"/>
            <w:tcBorders>
              <w:top w:val="nil"/>
              <w:left w:val="nil"/>
              <w:bottom w:val="single" w:sz="8" w:space="0" w:color="auto"/>
              <w:right w:val="single" w:sz="8" w:space="0" w:color="auto"/>
            </w:tcBorders>
            <w:shd w:val="clear" w:color="auto" w:fill="auto"/>
            <w:noWrap/>
            <w:vAlign w:val="center"/>
            <w:hideMark/>
          </w:tcPr>
          <w:p w14:paraId="7C5DE4D4" w14:textId="521952C0" w:rsidR="004C342A" w:rsidRPr="00E55812" w:rsidRDefault="4AC3BDA3" w:rsidP="4AC3BDA3">
            <w:pPr>
              <w:spacing w:after="0"/>
              <w:jc w:val="right"/>
              <w:rPr>
                <w:sz w:val="20"/>
              </w:rPr>
            </w:pPr>
            <w:r w:rsidRPr="00E55812">
              <w:rPr>
                <w:iCs/>
                <w:sz w:val="20"/>
              </w:rPr>
              <w:t>-0,4</w:t>
            </w:r>
          </w:p>
        </w:tc>
        <w:tc>
          <w:tcPr>
            <w:tcW w:w="991" w:type="dxa"/>
            <w:tcBorders>
              <w:top w:val="nil"/>
              <w:left w:val="nil"/>
              <w:bottom w:val="single" w:sz="8" w:space="0" w:color="auto"/>
              <w:right w:val="single" w:sz="8" w:space="0" w:color="auto"/>
            </w:tcBorders>
            <w:shd w:val="clear" w:color="auto" w:fill="auto"/>
            <w:noWrap/>
            <w:vAlign w:val="center"/>
            <w:hideMark/>
          </w:tcPr>
          <w:p w14:paraId="392088D0" w14:textId="7D306D0C" w:rsidR="004C342A" w:rsidRPr="00E55812" w:rsidRDefault="4AC3BDA3" w:rsidP="4AC3BDA3">
            <w:pPr>
              <w:spacing w:after="0"/>
              <w:jc w:val="right"/>
              <w:rPr>
                <w:sz w:val="20"/>
              </w:rPr>
            </w:pPr>
            <w:r w:rsidRPr="00E55812">
              <w:rPr>
                <w:iCs/>
                <w:sz w:val="20"/>
              </w:rPr>
              <w:t>99,5</w:t>
            </w:r>
          </w:p>
        </w:tc>
      </w:tr>
      <w:tr w:rsidR="003E3A1D" w:rsidRPr="003E3A1D" w14:paraId="460C367F" w14:textId="77777777" w:rsidTr="0001020A">
        <w:trPr>
          <w:trHeight w:val="51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63E82F5" w14:textId="77777777" w:rsidR="004C342A" w:rsidRPr="003E3A1D" w:rsidRDefault="4AC3BDA3" w:rsidP="4AC3BDA3">
            <w:pPr>
              <w:spacing w:after="0"/>
              <w:rPr>
                <w:sz w:val="20"/>
              </w:rPr>
            </w:pPr>
            <w:r w:rsidRPr="003E3A1D">
              <w:rPr>
                <w:sz w:val="20"/>
              </w:rPr>
              <w:t>A települési önkormányzatok egyes köznevelési feladatainak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3732C84C" w14:textId="01EFA421" w:rsidR="004C342A" w:rsidRPr="00E55812" w:rsidRDefault="4AC3BDA3" w:rsidP="4AC3BDA3">
            <w:pPr>
              <w:spacing w:after="0"/>
              <w:jc w:val="right"/>
              <w:rPr>
                <w:sz w:val="20"/>
              </w:rPr>
            </w:pPr>
            <w:r w:rsidRPr="00E55812">
              <w:rPr>
                <w:iCs/>
                <w:sz w:val="20"/>
              </w:rPr>
              <w:t>57,6</w:t>
            </w:r>
          </w:p>
        </w:tc>
        <w:tc>
          <w:tcPr>
            <w:tcW w:w="993" w:type="dxa"/>
            <w:tcBorders>
              <w:top w:val="nil"/>
              <w:left w:val="nil"/>
              <w:bottom w:val="single" w:sz="8" w:space="0" w:color="auto"/>
              <w:right w:val="single" w:sz="8" w:space="0" w:color="auto"/>
            </w:tcBorders>
            <w:shd w:val="clear" w:color="auto" w:fill="auto"/>
            <w:noWrap/>
            <w:vAlign w:val="center"/>
            <w:hideMark/>
          </w:tcPr>
          <w:p w14:paraId="323AD68A" w14:textId="59BA9900" w:rsidR="004C342A" w:rsidRPr="00E55812" w:rsidRDefault="4AC3BDA3" w:rsidP="4AC3BDA3">
            <w:pPr>
              <w:spacing w:after="0"/>
              <w:jc w:val="right"/>
              <w:rPr>
                <w:sz w:val="20"/>
              </w:rPr>
            </w:pPr>
            <w:r w:rsidRPr="00E55812">
              <w:rPr>
                <w:iCs/>
                <w:sz w:val="20"/>
              </w:rPr>
              <w:t>59,5</w:t>
            </w:r>
          </w:p>
        </w:tc>
        <w:tc>
          <w:tcPr>
            <w:tcW w:w="992" w:type="dxa"/>
            <w:tcBorders>
              <w:top w:val="nil"/>
              <w:left w:val="nil"/>
              <w:bottom w:val="single" w:sz="8" w:space="0" w:color="auto"/>
              <w:right w:val="single" w:sz="8" w:space="0" w:color="auto"/>
            </w:tcBorders>
            <w:shd w:val="clear" w:color="auto" w:fill="auto"/>
            <w:noWrap/>
            <w:vAlign w:val="center"/>
            <w:hideMark/>
          </w:tcPr>
          <w:p w14:paraId="16453830" w14:textId="38E04D9A" w:rsidR="004C342A" w:rsidRPr="00E55812" w:rsidRDefault="4AC3BDA3" w:rsidP="4AC3BDA3">
            <w:pPr>
              <w:spacing w:after="0"/>
              <w:jc w:val="right"/>
              <w:rPr>
                <w:sz w:val="20"/>
              </w:rPr>
            </w:pPr>
            <w:r w:rsidRPr="00E55812">
              <w:rPr>
                <w:iCs/>
                <w:sz w:val="20"/>
              </w:rPr>
              <w:t>1,9</w:t>
            </w:r>
          </w:p>
        </w:tc>
        <w:tc>
          <w:tcPr>
            <w:tcW w:w="991" w:type="dxa"/>
            <w:tcBorders>
              <w:top w:val="nil"/>
              <w:left w:val="nil"/>
              <w:bottom w:val="single" w:sz="8" w:space="0" w:color="auto"/>
              <w:right w:val="single" w:sz="8" w:space="0" w:color="auto"/>
            </w:tcBorders>
            <w:shd w:val="clear" w:color="auto" w:fill="auto"/>
            <w:noWrap/>
            <w:vAlign w:val="center"/>
            <w:hideMark/>
          </w:tcPr>
          <w:p w14:paraId="78894AEC" w14:textId="7C61EC78" w:rsidR="004C342A" w:rsidRPr="00E55812" w:rsidRDefault="4AC3BDA3" w:rsidP="4AC3BDA3">
            <w:pPr>
              <w:spacing w:after="0"/>
              <w:jc w:val="right"/>
              <w:rPr>
                <w:sz w:val="20"/>
              </w:rPr>
            </w:pPr>
            <w:r w:rsidRPr="00E55812">
              <w:rPr>
                <w:iCs/>
                <w:sz w:val="20"/>
              </w:rPr>
              <w:t>103,3</w:t>
            </w:r>
          </w:p>
        </w:tc>
      </w:tr>
      <w:tr w:rsidR="003E3A1D" w:rsidRPr="003E3A1D" w14:paraId="111E602C" w14:textId="77777777" w:rsidTr="0001020A">
        <w:trPr>
          <w:trHeight w:val="51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D937C3A" w14:textId="77777777" w:rsidR="004C342A" w:rsidRPr="003E3A1D" w:rsidRDefault="4AC3BDA3" w:rsidP="4AC3BDA3">
            <w:pPr>
              <w:spacing w:after="0"/>
              <w:rPr>
                <w:sz w:val="20"/>
              </w:rPr>
            </w:pPr>
            <w:r w:rsidRPr="003E3A1D">
              <w:rPr>
                <w:sz w:val="20"/>
              </w:rPr>
              <w:t>A települési önkormányzatok egyes szociális, gyermekjóléti és gyermekétkeztetési feladatainak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7E11B1F4" w14:textId="16E3DDD3" w:rsidR="004C342A" w:rsidRPr="00E55812" w:rsidRDefault="4AC3BDA3" w:rsidP="4AC3BDA3">
            <w:pPr>
              <w:spacing w:after="0"/>
              <w:jc w:val="right"/>
              <w:rPr>
                <w:sz w:val="20"/>
              </w:rPr>
            </w:pPr>
            <w:r w:rsidRPr="00E55812">
              <w:rPr>
                <w:iCs/>
                <w:sz w:val="20"/>
              </w:rPr>
              <w:t>72,2</w:t>
            </w:r>
          </w:p>
        </w:tc>
        <w:tc>
          <w:tcPr>
            <w:tcW w:w="993" w:type="dxa"/>
            <w:tcBorders>
              <w:top w:val="nil"/>
              <w:left w:val="nil"/>
              <w:bottom w:val="single" w:sz="8" w:space="0" w:color="auto"/>
              <w:right w:val="single" w:sz="8" w:space="0" w:color="auto"/>
            </w:tcBorders>
            <w:shd w:val="clear" w:color="auto" w:fill="auto"/>
            <w:noWrap/>
            <w:vAlign w:val="center"/>
            <w:hideMark/>
          </w:tcPr>
          <w:p w14:paraId="07E4EBA2" w14:textId="26321E19" w:rsidR="004C342A" w:rsidRPr="00E55812" w:rsidRDefault="4AC3BDA3" w:rsidP="4AC3BDA3">
            <w:pPr>
              <w:spacing w:after="0"/>
              <w:jc w:val="right"/>
              <w:rPr>
                <w:sz w:val="20"/>
              </w:rPr>
            </w:pPr>
            <w:r w:rsidRPr="00E55812">
              <w:rPr>
                <w:iCs/>
                <w:sz w:val="20"/>
              </w:rPr>
              <w:t>78,2</w:t>
            </w:r>
          </w:p>
        </w:tc>
        <w:tc>
          <w:tcPr>
            <w:tcW w:w="992" w:type="dxa"/>
            <w:tcBorders>
              <w:top w:val="nil"/>
              <w:left w:val="nil"/>
              <w:bottom w:val="single" w:sz="8" w:space="0" w:color="auto"/>
              <w:right w:val="single" w:sz="8" w:space="0" w:color="auto"/>
            </w:tcBorders>
            <w:shd w:val="clear" w:color="auto" w:fill="auto"/>
            <w:noWrap/>
            <w:vAlign w:val="center"/>
            <w:hideMark/>
          </w:tcPr>
          <w:p w14:paraId="7430616B" w14:textId="45BFDB7C" w:rsidR="004C342A" w:rsidRPr="00E55812" w:rsidRDefault="4AC3BDA3" w:rsidP="4AC3BDA3">
            <w:pPr>
              <w:spacing w:after="0"/>
              <w:jc w:val="right"/>
              <w:rPr>
                <w:sz w:val="20"/>
              </w:rPr>
            </w:pPr>
            <w:r w:rsidRPr="00E55812">
              <w:rPr>
                <w:iCs/>
                <w:sz w:val="20"/>
              </w:rPr>
              <w:t>6</w:t>
            </w:r>
          </w:p>
        </w:tc>
        <w:tc>
          <w:tcPr>
            <w:tcW w:w="991" w:type="dxa"/>
            <w:tcBorders>
              <w:top w:val="nil"/>
              <w:left w:val="nil"/>
              <w:bottom w:val="single" w:sz="8" w:space="0" w:color="auto"/>
              <w:right w:val="single" w:sz="8" w:space="0" w:color="auto"/>
            </w:tcBorders>
            <w:shd w:val="clear" w:color="auto" w:fill="auto"/>
            <w:noWrap/>
            <w:vAlign w:val="center"/>
            <w:hideMark/>
          </w:tcPr>
          <w:p w14:paraId="7F162F37" w14:textId="77777777" w:rsidR="004C342A" w:rsidRPr="00E55812" w:rsidRDefault="4AC3BDA3" w:rsidP="4AC3BDA3">
            <w:pPr>
              <w:spacing w:after="0"/>
              <w:jc w:val="right"/>
              <w:rPr>
                <w:sz w:val="20"/>
              </w:rPr>
            </w:pPr>
            <w:r w:rsidRPr="00E55812">
              <w:rPr>
                <w:iCs/>
                <w:sz w:val="20"/>
              </w:rPr>
              <w:t>108,3</w:t>
            </w:r>
          </w:p>
        </w:tc>
      </w:tr>
      <w:tr w:rsidR="003E3A1D" w:rsidRPr="003E3A1D" w14:paraId="0BC687A3" w14:textId="77777777" w:rsidTr="0001020A">
        <w:trPr>
          <w:trHeight w:val="510"/>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55C2FF4" w14:textId="77777777" w:rsidR="004C342A" w:rsidRPr="003E3A1D" w:rsidRDefault="4AC3BDA3" w:rsidP="4AC3BDA3">
            <w:pPr>
              <w:spacing w:after="0"/>
              <w:rPr>
                <w:sz w:val="20"/>
              </w:rPr>
            </w:pPr>
            <w:r w:rsidRPr="003E3A1D">
              <w:rPr>
                <w:sz w:val="20"/>
              </w:rPr>
              <w:t>A települési önkormányzatok kulturális feladatainak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4CA897C7" w14:textId="3A3F8CE8" w:rsidR="004C342A" w:rsidRPr="00E55812" w:rsidRDefault="4AC3BDA3" w:rsidP="4AC3BDA3">
            <w:pPr>
              <w:spacing w:after="0"/>
              <w:jc w:val="right"/>
              <w:rPr>
                <w:sz w:val="20"/>
              </w:rPr>
            </w:pPr>
            <w:r w:rsidRPr="00E55812">
              <w:rPr>
                <w:iCs/>
                <w:sz w:val="20"/>
              </w:rPr>
              <w:t>6,3</w:t>
            </w:r>
          </w:p>
        </w:tc>
        <w:tc>
          <w:tcPr>
            <w:tcW w:w="993" w:type="dxa"/>
            <w:tcBorders>
              <w:top w:val="nil"/>
              <w:left w:val="nil"/>
              <w:bottom w:val="single" w:sz="8" w:space="0" w:color="auto"/>
              <w:right w:val="single" w:sz="8" w:space="0" w:color="auto"/>
            </w:tcBorders>
            <w:shd w:val="clear" w:color="auto" w:fill="auto"/>
            <w:noWrap/>
            <w:vAlign w:val="center"/>
            <w:hideMark/>
          </w:tcPr>
          <w:p w14:paraId="7AD39BF5" w14:textId="25B6F895" w:rsidR="004C342A" w:rsidRPr="00E55812" w:rsidRDefault="4AC3BDA3" w:rsidP="4AC3BDA3">
            <w:pPr>
              <w:spacing w:after="0"/>
              <w:jc w:val="right"/>
              <w:rPr>
                <w:sz w:val="20"/>
              </w:rPr>
            </w:pPr>
            <w:r w:rsidRPr="00E55812">
              <w:rPr>
                <w:iCs/>
                <w:sz w:val="20"/>
              </w:rPr>
              <w:t>6,3</w:t>
            </w:r>
          </w:p>
        </w:tc>
        <w:tc>
          <w:tcPr>
            <w:tcW w:w="992" w:type="dxa"/>
            <w:tcBorders>
              <w:top w:val="nil"/>
              <w:left w:val="nil"/>
              <w:bottom w:val="single" w:sz="8" w:space="0" w:color="auto"/>
              <w:right w:val="single" w:sz="8" w:space="0" w:color="auto"/>
            </w:tcBorders>
            <w:shd w:val="clear" w:color="auto" w:fill="auto"/>
            <w:noWrap/>
            <w:vAlign w:val="center"/>
            <w:hideMark/>
          </w:tcPr>
          <w:p w14:paraId="23131113" w14:textId="77777777" w:rsidR="004C342A" w:rsidRPr="00E55812" w:rsidRDefault="4AC3BDA3" w:rsidP="4AC3BDA3">
            <w:pPr>
              <w:spacing w:after="0"/>
              <w:jc w:val="right"/>
              <w:rPr>
                <w:sz w:val="20"/>
              </w:rPr>
            </w:pPr>
            <w:r w:rsidRPr="00E55812">
              <w:rPr>
                <w:iCs/>
                <w:sz w:val="20"/>
              </w:rPr>
              <w:t>0,0</w:t>
            </w:r>
          </w:p>
        </w:tc>
        <w:tc>
          <w:tcPr>
            <w:tcW w:w="991" w:type="dxa"/>
            <w:tcBorders>
              <w:top w:val="nil"/>
              <w:left w:val="nil"/>
              <w:bottom w:val="single" w:sz="8" w:space="0" w:color="auto"/>
              <w:right w:val="single" w:sz="8" w:space="0" w:color="auto"/>
            </w:tcBorders>
            <w:shd w:val="clear" w:color="auto" w:fill="auto"/>
            <w:noWrap/>
            <w:vAlign w:val="center"/>
            <w:hideMark/>
          </w:tcPr>
          <w:p w14:paraId="2D82BE2D" w14:textId="77777777" w:rsidR="004C342A" w:rsidRPr="00E55812" w:rsidRDefault="4AC3BDA3" w:rsidP="4AC3BDA3">
            <w:pPr>
              <w:spacing w:after="0"/>
              <w:jc w:val="right"/>
              <w:rPr>
                <w:sz w:val="20"/>
              </w:rPr>
            </w:pPr>
            <w:r w:rsidRPr="00E55812">
              <w:rPr>
                <w:iCs/>
                <w:sz w:val="20"/>
              </w:rPr>
              <w:t>100,0</w:t>
            </w:r>
          </w:p>
        </w:tc>
      </w:tr>
      <w:tr w:rsidR="003E3A1D" w:rsidRPr="003E3A1D" w14:paraId="6A4F4C2E" w14:textId="77777777" w:rsidTr="0001020A">
        <w:trPr>
          <w:trHeight w:val="283"/>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5A4E3009" w14:textId="77777777" w:rsidR="004C342A" w:rsidRPr="003E3A1D" w:rsidRDefault="4AC3BDA3" w:rsidP="4AC3BDA3">
            <w:pPr>
              <w:spacing w:after="0"/>
              <w:rPr>
                <w:b/>
                <w:bCs/>
                <w:sz w:val="20"/>
              </w:rPr>
            </w:pPr>
            <w:r w:rsidRPr="003E3A1D">
              <w:rPr>
                <w:b/>
                <w:bCs/>
                <w:sz w:val="20"/>
              </w:rPr>
              <w:t>Helyi önkormányzatok kiegészítő támogatása</w:t>
            </w:r>
          </w:p>
        </w:tc>
        <w:tc>
          <w:tcPr>
            <w:tcW w:w="1134" w:type="dxa"/>
            <w:tcBorders>
              <w:top w:val="nil"/>
              <w:left w:val="nil"/>
              <w:bottom w:val="single" w:sz="8" w:space="0" w:color="auto"/>
              <w:right w:val="single" w:sz="8" w:space="0" w:color="auto"/>
            </w:tcBorders>
            <w:shd w:val="clear" w:color="auto" w:fill="auto"/>
            <w:noWrap/>
            <w:vAlign w:val="center"/>
            <w:hideMark/>
          </w:tcPr>
          <w:p w14:paraId="0495AF7A" w14:textId="421E5775" w:rsidR="004C342A" w:rsidRPr="003E3A1D" w:rsidRDefault="4AC3BDA3" w:rsidP="4AC3BDA3">
            <w:pPr>
              <w:spacing w:after="0"/>
              <w:jc w:val="right"/>
              <w:rPr>
                <w:b/>
                <w:bCs/>
                <w:sz w:val="20"/>
              </w:rPr>
            </w:pPr>
            <w:r w:rsidRPr="003E3A1D">
              <w:rPr>
                <w:b/>
                <w:bCs/>
                <w:sz w:val="20"/>
              </w:rPr>
              <w:t>12,5</w:t>
            </w:r>
          </w:p>
        </w:tc>
        <w:tc>
          <w:tcPr>
            <w:tcW w:w="993" w:type="dxa"/>
            <w:tcBorders>
              <w:top w:val="nil"/>
              <w:left w:val="nil"/>
              <w:bottom w:val="single" w:sz="8" w:space="0" w:color="auto"/>
              <w:right w:val="single" w:sz="8" w:space="0" w:color="auto"/>
            </w:tcBorders>
            <w:shd w:val="clear" w:color="auto" w:fill="auto"/>
            <w:noWrap/>
            <w:vAlign w:val="center"/>
            <w:hideMark/>
          </w:tcPr>
          <w:p w14:paraId="7D798580" w14:textId="2F4D1233" w:rsidR="004C342A" w:rsidRPr="003E3A1D" w:rsidRDefault="4AC3BDA3" w:rsidP="4AC3BDA3">
            <w:pPr>
              <w:spacing w:after="0"/>
              <w:jc w:val="right"/>
              <w:rPr>
                <w:b/>
                <w:bCs/>
                <w:sz w:val="20"/>
              </w:rPr>
            </w:pPr>
            <w:r w:rsidRPr="003E3A1D">
              <w:rPr>
                <w:b/>
                <w:bCs/>
                <w:sz w:val="20"/>
              </w:rPr>
              <w:t>13,8</w:t>
            </w:r>
          </w:p>
        </w:tc>
        <w:tc>
          <w:tcPr>
            <w:tcW w:w="992" w:type="dxa"/>
            <w:tcBorders>
              <w:top w:val="nil"/>
              <w:left w:val="nil"/>
              <w:bottom w:val="single" w:sz="8" w:space="0" w:color="auto"/>
              <w:right w:val="single" w:sz="8" w:space="0" w:color="auto"/>
            </w:tcBorders>
            <w:shd w:val="clear" w:color="auto" w:fill="auto"/>
            <w:noWrap/>
            <w:vAlign w:val="center"/>
            <w:hideMark/>
          </w:tcPr>
          <w:p w14:paraId="3A0389D1" w14:textId="7130D0CC" w:rsidR="004C342A" w:rsidRPr="003E3A1D" w:rsidRDefault="4AC3BDA3" w:rsidP="4AC3BDA3">
            <w:pPr>
              <w:spacing w:after="0"/>
              <w:jc w:val="right"/>
              <w:rPr>
                <w:b/>
                <w:bCs/>
                <w:sz w:val="20"/>
              </w:rPr>
            </w:pPr>
            <w:r w:rsidRPr="003E3A1D">
              <w:rPr>
                <w:b/>
                <w:bCs/>
                <w:sz w:val="20"/>
              </w:rPr>
              <w:t>1,3</w:t>
            </w:r>
          </w:p>
        </w:tc>
        <w:tc>
          <w:tcPr>
            <w:tcW w:w="991" w:type="dxa"/>
            <w:tcBorders>
              <w:top w:val="nil"/>
              <w:left w:val="nil"/>
              <w:bottom w:val="single" w:sz="8" w:space="0" w:color="auto"/>
              <w:right w:val="single" w:sz="8" w:space="0" w:color="auto"/>
            </w:tcBorders>
            <w:shd w:val="clear" w:color="auto" w:fill="auto"/>
            <w:noWrap/>
            <w:vAlign w:val="center"/>
            <w:hideMark/>
          </w:tcPr>
          <w:p w14:paraId="34CAFCC1" w14:textId="06ECF1E2" w:rsidR="004C342A" w:rsidRPr="003E3A1D" w:rsidRDefault="4AC3BDA3" w:rsidP="4AC3BDA3">
            <w:pPr>
              <w:spacing w:after="0"/>
              <w:jc w:val="right"/>
              <w:rPr>
                <w:b/>
                <w:bCs/>
                <w:sz w:val="20"/>
              </w:rPr>
            </w:pPr>
            <w:r w:rsidRPr="003E3A1D">
              <w:rPr>
                <w:b/>
                <w:bCs/>
                <w:sz w:val="20"/>
              </w:rPr>
              <w:t>110,4</w:t>
            </w:r>
          </w:p>
        </w:tc>
      </w:tr>
      <w:tr w:rsidR="003E3A1D" w:rsidRPr="003E3A1D" w14:paraId="7EAE7D40" w14:textId="77777777" w:rsidTr="0001020A">
        <w:trPr>
          <w:trHeight w:val="283"/>
          <w:jc w:val="center"/>
        </w:trPr>
        <w:tc>
          <w:tcPr>
            <w:tcW w:w="4962" w:type="dxa"/>
            <w:tcBorders>
              <w:top w:val="nil"/>
              <w:left w:val="single" w:sz="8" w:space="0" w:color="auto"/>
              <w:bottom w:val="single" w:sz="8" w:space="0" w:color="auto"/>
              <w:right w:val="single" w:sz="8" w:space="0" w:color="auto"/>
            </w:tcBorders>
            <w:shd w:val="clear" w:color="auto" w:fill="auto"/>
            <w:vAlign w:val="center"/>
            <w:hideMark/>
          </w:tcPr>
          <w:p w14:paraId="7F2A7944" w14:textId="77777777" w:rsidR="004C342A" w:rsidRPr="003E3A1D" w:rsidRDefault="4AC3BDA3" w:rsidP="4AC3BDA3">
            <w:pPr>
              <w:spacing w:after="0"/>
              <w:rPr>
                <w:b/>
                <w:bCs/>
                <w:sz w:val="20"/>
              </w:rPr>
            </w:pPr>
            <w:r w:rsidRPr="003E3A1D">
              <w:rPr>
                <w:b/>
                <w:bCs/>
                <w:sz w:val="20"/>
              </w:rPr>
              <w:t>Év közben létrejött új jogcímek kiadásai</w:t>
            </w:r>
          </w:p>
        </w:tc>
        <w:tc>
          <w:tcPr>
            <w:tcW w:w="1134" w:type="dxa"/>
            <w:tcBorders>
              <w:top w:val="nil"/>
              <w:left w:val="nil"/>
              <w:bottom w:val="single" w:sz="8" w:space="0" w:color="auto"/>
              <w:right w:val="single" w:sz="8" w:space="0" w:color="auto"/>
            </w:tcBorders>
            <w:shd w:val="clear" w:color="auto" w:fill="auto"/>
            <w:noWrap/>
            <w:vAlign w:val="center"/>
            <w:hideMark/>
          </w:tcPr>
          <w:p w14:paraId="1B7B2FE0" w14:textId="13DFCA8A" w:rsidR="004C342A" w:rsidRPr="003E3A1D" w:rsidRDefault="4AC3BDA3" w:rsidP="4AC3BDA3">
            <w:pPr>
              <w:spacing w:after="0"/>
              <w:jc w:val="right"/>
              <w:rPr>
                <w:b/>
                <w:bCs/>
                <w:sz w:val="20"/>
              </w:rPr>
            </w:pPr>
            <w:r w:rsidRPr="003E3A1D">
              <w:rPr>
                <w:b/>
                <w:bCs/>
                <w:sz w:val="20"/>
              </w:rPr>
              <w:t>1,8</w:t>
            </w:r>
          </w:p>
        </w:tc>
        <w:tc>
          <w:tcPr>
            <w:tcW w:w="993" w:type="dxa"/>
            <w:tcBorders>
              <w:top w:val="nil"/>
              <w:left w:val="nil"/>
              <w:bottom w:val="single" w:sz="8" w:space="0" w:color="auto"/>
              <w:right w:val="single" w:sz="8" w:space="0" w:color="auto"/>
            </w:tcBorders>
            <w:shd w:val="clear" w:color="auto" w:fill="auto"/>
            <w:noWrap/>
            <w:vAlign w:val="center"/>
            <w:hideMark/>
          </w:tcPr>
          <w:p w14:paraId="5FE855C0" w14:textId="77369EAA" w:rsidR="004C342A" w:rsidRPr="003E3A1D" w:rsidRDefault="4AC3BDA3" w:rsidP="4AC3BDA3">
            <w:pPr>
              <w:spacing w:after="0"/>
              <w:jc w:val="right"/>
              <w:rPr>
                <w:b/>
                <w:bCs/>
                <w:sz w:val="20"/>
              </w:rPr>
            </w:pPr>
            <w:r w:rsidRPr="003E3A1D">
              <w:rPr>
                <w:b/>
                <w:bCs/>
                <w:sz w:val="20"/>
              </w:rPr>
              <w:t>75,1</w:t>
            </w:r>
          </w:p>
        </w:tc>
        <w:tc>
          <w:tcPr>
            <w:tcW w:w="992" w:type="dxa"/>
            <w:tcBorders>
              <w:top w:val="nil"/>
              <w:left w:val="nil"/>
              <w:bottom w:val="single" w:sz="8" w:space="0" w:color="auto"/>
              <w:right w:val="single" w:sz="8" w:space="0" w:color="auto"/>
            </w:tcBorders>
            <w:shd w:val="clear" w:color="auto" w:fill="auto"/>
            <w:noWrap/>
            <w:vAlign w:val="center"/>
            <w:hideMark/>
          </w:tcPr>
          <w:p w14:paraId="6F2E9B7C" w14:textId="7A0350A2" w:rsidR="004C342A" w:rsidRPr="003E3A1D" w:rsidRDefault="4AC3BDA3" w:rsidP="4AC3BDA3">
            <w:pPr>
              <w:spacing w:after="0"/>
              <w:jc w:val="right"/>
              <w:rPr>
                <w:b/>
                <w:bCs/>
                <w:sz w:val="20"/>
              </w:rPr>
            </w:pPr>
            <w:r w:rsidRPr="003E3A1D">
              <w:rPr>
                <w:b/>
                <w:bCs/>
                <w:sz w:val="20"/>
              </w:rPr>
              <w:t>73,3</w:t>
            </w:r>
          </w:p>
        </w:tc>
        <w:tc>
          <w:tcPr>
            <w:tcW w:w="991" w:type="dxa"/>
            <w:tcBorders>
              <w:top w:val="nil"/>
              <w:left w:val="nil"/>
              <w:bottom w:val="single" w:sz="8" w:space="0" w:color="auto"/>
              <w:right w:val="single" w:sz="8" w:space="0" w:color="auto"/>
            </w:tcBorders>
            <w:shd w:val="clear" w:color="auto" w:fill="auto"/>
            <w:noWrap/>
            <w:vAlign w:val="center"/>
            <w:hideMark/>
          </w:tcPr>
          <w:p w14:paraId="6A0FE419" w14:textId="6C0D4597" w:rsidR="004C342A" w:rsidRPr="003E3A1D" w:rsidRDefault="4AC3BDA3" w:rsidP="4AC3BDA3">
            <w:pPr>
              <w:spacing w:after="0"/>
              <w:jc w:val="right"/>
              <w:rPr>
                <w:b/>
                <w:bCs/>
                <w:sz w:val="20"/>
              </w:rPr>
            </w:pPr>
            <w:r w:rsidRPr="003E3A1D">
              <w:rPr>
                <w:b/>
                <w:bCs/>
                <w:sz w:val="20"/>
              </w:rPr>
              <w:t>4172,2</w:t>
            </w:r>
          </w:p>
        </w:tc>
      </w:tr>
      <w:tr w:rsidR="004C342A" w:rsidRPr="003E3A1D" w14:paraId="39A30CF7" w14:textId="77777777" w:rsidTr="0001020A">
        <w:trPr>
          <w:trHeight w:val="283"/>
          <w:jc w:val="center"/>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7080F38" w14:textId="77777777" w:rsidR="004C342A" w:rsidRPr="003E3A1D" w:rsidRDefault="4AC3BDA3" w:rsidP="4AC3BDA3">
            <w:pPr>
              <w:spacing w:after="0"/>
              <w:jc w:val="left"/>
              <w:rPr>
                <w:b/>
                <w:bCs/>
                <w:sz w:val="20"/>
              </w:rPr>
            </w:pPr>
            <w:r w:rsidRPr="003E3A1D">
              <w:rPr>
                <w:b/>
                <w:bCs/>
                <w:sz w:val="20"/>
              </w:rPr>
              <w:t>Összesen</w:t>
            </w:r>
          </w:p>
        </w:tc>
        <w:tc>
          <w:tcPr>
            <w:tcW w:w="1134" w:type="dxa"/>
            <w:tcBorders>
              <w:top w:val="nil"/>
              <w:left w:val="nil"/>
              <w:bottom w:val="single" w:sz="8" w:space="0" w:color="auto"/>
              <w:right w:val="single" w:sz="8" w:space="0" w:color="auto"/>
            </w:tcBorders>
            <w:shd w:val="clear" w:color="auto" w:fill="auto"/>
            <w:noWrap/>
            <w:vAlign w:val="center"/>
            <w:hideMark/>
          </w:tcPr>
          <w:p w14:paraId="5B3C7A55" w14:textId="5C5FD0EC" w:rsidR="004C342A" w:rsidRPr="003E3A1D" w:rsidRDefault="4AC3BDA3" w:rsidP="4AC3BDA3">
            <w:pPr>
              <w:spacing w:after="0"/>
              <w:jc w:val="right"/>
              <w:rPr>
                <w:b/>
                <w:bCs/>
                <w:sz w:val="20"/>
              </w:rPr>
            </w:pPr>
            <w:r w:rsidRPr="003E3A1D">
              <w:rPr>
                <w:b/>
                <w:bCs/>
                <w:sz w:val="20"/>
              </w:rPr>
              <w:t>224,3</w:t>
            </w:r>
          </w:p>
        </w:tc>
        <w:tc>
          <w:tcPr>
            <w:tcW w:w="993" w:type="dxa"/>
            <w:tcBorders>
              <w:top w:val="nil"/>
              <w:left w:val="nil"/>
              <w:bottom w:val="single" w:sz="8" w:space="0" w:color="auto"/>
              <w:right w:val="single" w:sz="8" w:space="0" w:color="auto"/>
            </w:tcBorders>
            <w:shd w:val="clear" w:color="auto" w:fill="auto"/>
            <w:noWrap/>
            <w:vAlign w:val="center"/>
            <w:hideMark/>
          </w:tcPr>
          <w:p w14:paraId="3A2E086A" w14:textId="18DA35B9" w:rsidR="004C342A" w:rsidRPr="003E3A1D" w:rsidRDefault="4AC3BDA3" w:rsidP="4AC3BDA3">
            <w:pPr>
              <w:spacing w:after="0"/>
              <w:jc w:val="right"/>
              <w:rPr>
                <w:b/>
                <w:bCs/>
                <w:sz w:val="20"/>
              </w:rPr>
            </w:pPr>
            <w:r w:rsidRPr="003E3A1D">
              <w:rPr>
                <w:b/>
                <w:bCs/>
                <w:sz w:val="20"/>
              </w:rPr>
              <w:t>306,4</w:t>
            </w:r>
          </w:p>
        </w:tc>
        <w:tc>
          <w:tcPr>
            <w:tcW w:w="992" w:type="dxa"/>
            <w:tcBorders>
              <w:top w:val="nil"/>
              <w:left w:val="nil"/>
              <w:bottom w:val="single" w:sz="8" w:space="0" w:color="auto"/>
              <w:right w:val="single" w:sz="8" w:space="0" w:color="auto"/>
            </w:tcBorders>
            <w:shd w:val="clear" w:color="auto" w:fill="auto"/>
            <w:noWrap/>
            <w:vAlign w:val="center"/>
            <w:hideMark/>
          </w:tcPr>
          <w:p w14:paraId="130595D0" w14:textId="20B1BFFB" w:rsidR="004C342A" w:rsidRPr="003E3A1D" w:rsidRDefault="4AC3BDA3" w:rsidP="4AC3BDA3">
            <w:pPr>
              <w:spacing w:after="0"/>
              <w:jc w:val="right"/>
              <w:rPr>
                <w:b/>
                <w:bCs/>
                <w:sz w:val="20"/>
              </w:rPr>
            </w:pPr>
            <w:r w:rsidRPr="003E3A1D">
              <w:rPr>
                <w:b/>
                <w:bCs/>
                <w:sz w:val="20"/>
              </w:rPr>
              <w:t>82,1</w:t>
            </w:r>
          </w:p>
        </w:tc>
        <w:tc>
          <w:tcPr>
            <w:tcW w:w="991" w:type="dxa"/>
            <w:tcBorders>
              <w:top w:val="nil"/>
              <w:left w:val="nil"/>
              <w:bottom w:val="single" w:sz="8" w:space="0" w:color="auto"/>
              <w:right w:val="single" w:sz="8" w:space="0" w:color="auto"/>
            </w:tcBorders>
            <w:shd w:val="clear" w:color="auto" w:fill="auto"/>
            <w:noWrap/>
            <w:vAlign w:val="center"/>
            <w:hideMark/>
          </w:tcPr>
          <w:p w14:paraId="58511518" w14:textId="5D6BAEB5" w:rsidR="004C342A" w:rsidRPr="003E3A1D" w:rsidRDefault="4AC3BDA3" w:rsidP="4AC3BDA3">
            <w:pPr>
              <w:spacing w:after="0"/>
              <w:jc w:val="right"/>
              <w:rPr>
                <w:b/>
                <w:bCs/>
                <w:sz w:val="20"/>
              </w:rPr>
            </w:pPr>
            <w:r w:rsidRPr="003E3A1D">
              <w:rPr>
                <w:b/>
                <w:bCs/>
                <w:sz w:val="20"/>
              </w:rPr>
              <w:t>136,6</w:t>
            </w:r>
          </w:p>
        </w:tc>
      </w:tr>
    </w:tbl>
    <w:p w14:paraId="18DE6499" w14:textId="30B75481" w:rsidR="443F750D" w:rsidRPr="003E3A1D" w:rsidRDefault="00785576" w:rsidP="443F750D">
      <w:r w:rsidRPr="003E3A1D">
        <w:lastRenderedPageBreak/>
        <w:t xml:space="preserve">Az </w:t>
      </w:r>
      <w:r w:rsidR="4AC3BDA3" w:rsidRPr="003E3A1D">
        <w:rPr>
          <w:b/>
          <w:bCs/>
        </w:rPr>
        <w:t>Uniós programok kiadásai</w:t>
      </w:r>
      <w:r w:rsidR="4AC3BDA3" w:rsidRPr="003E3A1D">
        <w:rPr>
          <w:i/>
          <w:iCs/>
        </w:rPr>
        <w:t xml:space="preserve"> </w:t>
      </w:r>
      <w:r w:rsidR="4AC3BDA3" w:rsidRPr="003E3A1D">
        <w:t>mér</w:t>
      </w:r>
      <w:r w:rsidRPr="003E3A1D">
        <w:t>legsoron 2022. március végéig 1</w:t>
      </w:r>
      <w:r w:rsidR="4AC3BDA3" w:rsidRPr="003E3A1D">
        <w:t xml:space="preserve">191,1 milliárd forint összegű kifizetés történt, </w:t>
      </w:r>
      <w:r w:rsidRPr="003E3A1D">
        <w:t>amely a törvényi előirányzat (3</w:t>
      </w:r>
      <w:r w:rsidR="4AC3BDA3" w:rsidRPr="003E3A1D">
        <w:t>001,2 milliárd forint) 39,7%-os teljesítését jelenti. A felmerült kiadások túlnyomó részét a Helyreállítási és Ellenállóképességi Eszköz (RRF), valamint a Széchenyi 2020 programjai adták. A legnagyobb összegű kifizetést teljesítő operatív program az Integrált Közlekedésfejlesztési Operatív Program, a Gazdaságfejlesztés és Innovációs Operatív Program, valamint a Környezeti és Energiahatékonysági Operatív Program. A Széchenyi Terv Plusz programjai közül a Terület- és Településfejlesztési Operatív Program Plusz, a Gazdaságfejlesztés és Innovációs Operatív Program Plusz, valamint a Végrehajtás Operatív Program Plusz esetében történt kifizetés a hónapban.</w:t>
      </w:r>
    </w:p>
    <w:p w14:paraId="154FEF6D" w14:textId="6AEB31F9" w:rsidR="28C51222" w:rsidRPr="003E3A1D" w:rsidRDefault="4AC3BDA3" w:rsidP="00F7538D">
      <w:pPr>
        <w:keepNext/>
      </w:pPr>
      <w:r w:rsidRPr="003E3A1D">
        <w:t xml:space="preserve">Az </w:t>
      </w:r>
      <w:r w:rsidRPr="003E3A1D">
        <w:rPr>
          <w:b/>
          <w:bCs/>
        </w:rPr>
        <w:t>állami vagyonnal kapcsolatos kiadások</w:t>
      </w:r>
      <w:r w:rsidRPr="003E3A1D">
        <w:t xml:space="preserve"> </w:t>
      </w:r>
      <w:r w:rsidR="715DB526" w:rsidRPr="003E3A1D">
        <w:t>március</w:t>
      </w:r>
      <w:r w:rsidRPr="003E3A1D">
        <w:t xml:space="preserve"> végi összege </w:t>
      </w:r>
      <w:r w:rsidR="715DB526" w:rsidRPr="003E3A1D">
        <w:t>267</w:t>
      </w:r>
      <w:r w:rsidRPr="003E3A1D">
        <w:t>,5 milliárd forint volt, amelynek összetételét az alábbi diagram mutatja be:</w:t>
      </w:r>
    </w:p>
    <w:p w14:paraId="4C29F5E2" w14:textId="75060740" w:rsidR="000900E7" w:rsidRPr="003E3A1D" w:rsidRDefault="000E0E98" w:rsidP="00000980">
      <w:pPr>
        <w:jc w:val="center"/>
        <w:rPr>
          <w:szCs w:val="26"/>
        </w:rPr>
      </w:pPr>
      <w:r w:rsidRPr="003E3A1D">
        <w:rPr>
          <w:noProof/>
          <w:szCs w:val="26"/>
        </w:rPr>
        <w:drawing>
          <wp:inline distT="0" distB="0" distL="0" distR="0" wp14:anchorId="441EC6A2" wp14:editId="42AB7D55">
            <wp:extent cx="5940425" cy="3827331"/>
            <wp:effectExtent l="0" t="0" r="3175" b="1905"/>
            <wp:docPr id="18" name="Kép 18" descr="Z:\Áht_gyors_moni\2022_03_márc\0_feljegyzés_monitoring\ábrák\___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2_03_márc\0_feljegyzés_monitoring\ábrák\___Vagyon_kiadás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827331"/>
                    </a:xfrm>
                    <a:prstGeom prst="rect">
                      <a:avLst/>
                    </a:prstGeom>
                    <a:noFill/>
                    <a:ln>
                      <a:noFill/>
                    </a:ln>
                  </pic:spPr>
                </pic:pic>
              </a:graphicData>
            </a:graphic>
          </wp:inline>
        </w:drawing>
      </w:r>
    </w:p>
    <w:p w14:paraId="6041FE38" w14:textId="184DA6A4" w:rsidR="443F750D" w:rsidRPr="003E3A1D" w:rsidRDefault="00785576" w:rsidP="443F750D">
      <w:r w:rsidRPr="003E3A1D">
        <w:t xml:space="preserve">A </w:t>
      </w:r>
      <w:r w:rsidR="4AC3BDA3" w:rsidRPr="003E3A1D">
        <w:rPr>
          <w:b/>
          <w:bCs/>
        </w:rPr>
        <w:t>Hozzájárulás az EU költségvetéséhez</w:t>
      </w:r>
      <w:r w:rsidR="4AC3BDA3" w:rsidRPr="003E3A1D">
        <w:t xml:space="preserve"> mérlegsoron 2022.</w:t>
      </w:r>
      <w:r w:rsidRPr="003E3A1D">
        <w:t> </w:t>
      </w:r>
      <w:r w:rsidR="4AC3BDA3" w:rsidRPr="003E3A1D">
        <w:t>március végéig 147,7</w:t>
      </w:r>
      <w:r w:rsidR="000A5B61" w:rsidRPr="003E3A1D">
        <w:t> </w:t>
      </w:r>
      <w:r w:rsidR="4AC3BDA3" w:rsidRPr="003E3A1D">
        <w:t>milliárd forint kiadás teljesült, ami a törvényi előirányzat 26,1%-a. E</w:t>
      </w:r>
      <w:r w:rsidR="0011549F">
        <w:t xml:space="preserve"> hozzájárulás </w:t>
      </w:r>
      <w:r w:rsidR="4AC3BDA3" w:rsidRPr="003E3A1D">
        <w:t>27,5 milliárd forinttal marad</w:t>
      </w:r>
      <w:r w:rsidR="00D234FE">
        <w:t>t</w:t>
      </w:r>
      <w:r w:rsidR="4AC3BDA3" w:rsidRPr="003E3A1D">
        <w:t xml:space="preserve"> el </w:t>
      </w:r>
      <w:r w:rsidR="001E0D45" w:rsidRPr="003E3A1D">
        <w:t xml:space="preserve">a </w:t>
      </w:r>
      <w:r w:rsidR="4AC3BDA3" w:rsidRPr="003E3A1D">
        <w:t>2021. év azonos időszakában teljesített kiadástól.</w:t>
      </w:r>
    </w:p>
    <w:p w14:paraId="01B222CA" w14:textId="5AFF51CF" w:rsidR="00EF44A6" w:rsidRPr="003E3A1D" w:rsidRDefault="00EF44A6" w:rsidP="00EF44A6">
      <w:r w:rsidRPr="003E3A1D">
        <w:t>A</w:t>
      </w:r>
      <w:r w:rsidRPr="003E3A1D">
        <w:rPr>
          <w:b/>
        </w:rPr>
        <w:t xml:space="preserve"> Nemzeti Kutatási, Fejlesztési és Innovációs</w:t>
      </w:r>
      <w:r w:rsidRPr="003E3A1D">
        <w:t xml:space="preserve"> </w:t>
      </w:r>
      <w:r w:rsidRPr="003E3A1D">
        <w:rPr>
          <w:b/>
        </w:rPr>
        <w:t>Alap</w:t>
      </w:r>
      <w:r w:rsidRPr="003E3A1D">
        <w:t>ból (NKFI Alap) összesen 48,7 milli</w:t>
      </w:r>
      <w:r w:rsidR="00EA5DD6" w:rsidRPr="003E3A1D">
        <w:t xml:space="preserve">árd forint teljesült, ami </w:t>
      </w:r>
      <w:r w:rsidRPr="003E3A1D">
        <w:t>18,0 milliárd forinttal magasabb kifizetést jelent a 2021.</w:t>
      </w:r>
      <w:r w:rsidR="00EA5DD6" w:rsidRPr="003E3A1D">
        <w:t> </w:t>
      </w:r>
      <w:r w:rsidRPr="003E3A1D">
        <w:t>évi azonos időszaki teljesítéshez képest. Az NKFI Alap rendelkezésére álló forrásokat 26,1 milliárd forint költségvetési támogatás egészítette ki.</w:t>
      </w:r>
    </w:p>
    <w:p w14:paraId="29ED45D3" w14:textId="182D0E91" w:rsidR="00EF44A6" w:rsidRPr="003E3A1D" w:rsidRDefault="00EF44A6" w:rsidP="00EF44A6">
      <w:r w:rsidRPr="003E3A1D">
        <w:t>A</w:t>
      </w:r>
      <w:r w:rsidRPr="003E3A1D">
        <w:rPr>
          <w:b/>
        </w:rPr>
        <w:t xml:space="preserve"> Gazdaság-újraindítási Foglalkoztatási Alap</w:t>
      </w:r>
      <w:r w:rsidRPr="003E3A1D">
        <w:t xml:space="preserve"> (GFA) kiadásai estében a </w:t>
      </w:r>
      <w:r w:rsidR="000A5B61" w:rsidRPr="003E3A1D">
        <w:t>S</w:t>
      </w:r>
      <w:r w:rsidRPr="003E3A1D">
        <w:t>tart</w:t>
      </w:r>
      <w:r w:rsidR="000A5B61" w:rsidRPr="003E3A1D">
        <w:t>-munka</w:t>
      </w:r>
      <w:r w:rsidRPr="003E3A1D">
        <w:t xml:space="preserve">programra eddig összesen 43,7 milliárd forint teljesült, ami 6,3 milliárd forinttal maradt el az előző évi értéktől. Az uniós elő- és társfinanszírozásra 6,9 milliárd forintot fordítottak. </w:t>
      </w:r>
    </w:p>
    <w:p w14:paraId="0E9C6A1A" w14:textId="77777777" w:rsidR="00EF44A6" w:rsidRPr="003E3A1D" w:rsidRDefault="00EF44A6" w:rsidP="00EF44A6">
      <w:r w:rsidRPr="003E3A1D">
        <w:lastRenderedPageBreak/>
        <w:t>A</w:t>
      </w:r>
      <w:r w:rsidRPr="003E3A1D">
        <w:rPr>
          <w:b/>
        </w:rPr>
        <w:t xml:space="preserve"> Bethlen Gábor Alapból</w:t>
      </w:r>
      <w:r w:rsidRPr="003E3A1D">
        <w:t xml:space="preserve"> (BGA) összesen 14,5 milliárd forint kiadás teljesült. Az alapból nyújtott támogatások a BGA irányítását ellátó Bizottság döntései alapján, ütemezetten kerültek kifizetésre.</w:t>
      </w:r>
    </w:p>
    <w:p w14:paraId="4ACAB54B" w14:textId="66A8E382" w:rsidR="00577443" w:rsidRPr="003E3A1D" w:rsidRDefault="4AC3BDA3" w:rsidP="00E1562E">
      <w:r w:rsidRPr="003E3A1D">
        <w:t xml:space="preserve">A 2022. év első háromhavi </w:t>
      </w:r>
      <w:r w:rsidRPr="003E3A1D">
        <w:rPr>
          <w:b/>
          <w:bCs/>
        </w:rPr>
        <w:t>nyugdíjkiadásai</w:t>
      </w:r>
      <w:r w:rsidR="0020118C" w:rsidRPr="003E3A1D">
        <w:t xml:space="preserve"> 1</w:t>
      </w:r>
      <w:r w:rsidRPr="003E3A1D">
        <w:t>340,4 milliárd forintban teljesültek, ami 316,</w:t>
      </w:r>
      <w:r w:rsidR="00AE61AB" w:rsidRPr="003E3A1D">
        <w:t>2</w:t>
      </w:r>
      <w:r w:rsidRPr="003E3A1D">
        <w:t xml:space="preserve"> milliárd forinttal haladta meg az előző év azonos időszakának kiadásait. A jelentős, 30,9%-os kiadásnövekedést a 13. havi ellátások februári kifizetése okozta. A kormány úgy döntött, hogy felgyorsítja a 13. havi nyugdíj teljes összegű visszaépítését és már 2022-ben biztosítja a jogosultaknak a négyheti ellátás összegét. A 13. havi nyugdíj (ellátás) összege 2022-től megegyezik a tárgyév január hónapjára a jogosultat megillető nyugellátás, nyugdíjszerű ellátások összegével. </w:t>
      </w:r>
    </w:p>
    <w:p w14:paraId="6C439923" w14:textId="7E45EC1B" w:rsidR="003152AF" w:rsidRPr="003E3A1D" w:rsidRDefault="4AC3BDA3" w:rsidP="00E1562E">
      <w:r w:rsidRPr="003E3A1D">
        <w:t>2022. február hónapban a 2,5 millió nyugdíjban és nyugdíjszerű ellátásban részesülő személy 371,3 milliárd forint 13. havi ellátásban részesült, amiből a Nyugdíjbiztosítási Alap kiadása 332,8 milliárd forint volt.</w:t>
      </w:r>
    </w:p>
    <w:p w14:paraId="128A9625" w14:textId="2938FF2E" w:rsidR="00D339FF" w:rsidRPr="003E3A1D" w:rsidRDefault="4AC3BDA3" w:rsidP="00E1562E">
      <w:r w:rsidRPr="003E3A1D">
        <w:t xml:space="preserve">A kifizetések az előzőeken túl tartalmazzák a tavalyi évben a magasabb inflációs hatás miatt két részletben végrehajtott 1,8%-os kiegészítő nyugdíjemelés idei évre áthúzódó, valamint az idén év elején végrehajtott 5,0%-os nyugdíjemelés összegét is. </w:t>
      </w:r>
    </w:p>
    <w:p w14:paraId="130F19C2" w14:textId="7409AA1F" w:rsidR="00E51DAC" w:rsidRPr="003E3A1D" w:rsidRDefault="000E0E98" w:rsidP="0001020A">
      <w:pPr>
        <w:jc w:val="center"/>
      </w:pPr>
      <w:r w:rsidRPr="003E3A1D">
        <w:rPr>
          <w:noProof/>
        </w:rPr>
        <w:drawing>
          <wp:inline distT="0" distB="0" distL="0" distR="0" wp14:anchorId="3A073CD4" wp14:editId="55A5C199">
            <wp:extent cx="5940425" cy="2264419"/>
            <wp:effectExtent l="0" t="0" r="3175" b="2540"/>
            <wp:docPr id="19" name="Kép 19" descr="Z:\Áht_gyors_moni\2022_03_márc\0_feljegyzés_monitoring\ábrák\___nyugellatasi_kiada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Áht_gyors_moni\2022_03_márc\0_feljegyzés_monitoring\ábrák\___nyugellatasi_kiadas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64419"/>
                    </a:xfrm>
                    <a:prstGeom prst="rect">
                      <a:avLst/>
                    </a:prstGeom>
                    <a:noFill/>
                    <a:ln>
                      <a:noFill/>
                    </a:ln>
                  </pic:spPr>
                </pic:pic>
              </a:graphicData>
            </a:graphic>
          </wp:inline>
        </w:drawing>
      </w:r>
    </w:p>
    <w:p w14:paraId="6C0C4BB4" w14:textId="77777777" w:rsidR="00000980" w:rsidRPr="003E3A1D" w:rsidRDefault="00000980" w:rsidP="00BE684B"/>
    <w:p w14:paraId="4FB5EA2A" w14:textId="428AB09E" w:rsidR="009B37F8" w:rsidRPr="003E3A1D" w:rsidRDefault="511CC280" w:rsidP="00BE684B">
      <w:r w:rsidRPr="003E3A1D">
        <w:t xml:space="preserve">A nyugellátási kiadásokon belül a korbetöltött öregségi nyugellátások </w:t>
      </w:r>
      <w:r w:rsidR="000A44CA" w:rsidRPr="003E3A1D">
        <w:t>5,8</w:t>
      </w:r>
      <w:r w:rsidRPr="003E3A1D">
        <w:t>%-kal, a nők 40</w:t>
      </w:r>
      <w:r w:rsidR="008F3CF9" w:rsidRPr="003E3A1D">
        <w:t> </w:t>
      </w:r>
      <w:r w:rsidRPr="003E3A1D">
        <w:t>éves jogosultsági idejével igénybe vehető korhatár alatti ellátások (nők40) pedig 17,</w:t>
      </w:r>
      <w:r w:rsidR="000A44CA" w:rsidRPr="003E3A1D">
        <w:t>1</w:t>
      </w:r>
      <w:r w:rsidRPr="003E3A1D">
        <w:t>%</w:t>
      </w:r>
      <w:r w:rsidR="0073171D" w:rsidRPr="003E3A1D">
        <w:noBreakHyphen/>
      </w:r>
      <w:r w:rsidRPr="003E3A1D">
        <w:t>kal haladták meg a</w:t>
      </w:r>
      <w:r w:rsidR="00577443" w:rsidRPr="003E3A1D">
        <w:t>z előző év azonos időszakának kiadásait.</w:t>
      </w:r>
      <w:r w:rsidRPr="003E3A1D">
        <w:t xml:space="preserve"> A kiadásnövekedés eltérő mértékét elsősorban az egyes ellátáscsoportok létszámainak változása </w:t>
      </w:r>
      <w:r w:rsidR="00577443" w:rsidRPr="003E3A1D">
        <w:t>és az új megállapítások magasabb induló összege</w:t>
      </w:r>
      <w:r w:rsidRPr="003E3A1D">
        <w:t xml:space="preserve"> magyarázza.</w:t>
      </w:r>
    </w:p>
    <w:p w14:paraId="5997B39A" w14:textId="0A88D147" w:rsidR="00752668" w:rsidRPr="003E3A1D" w:rsidRDefault="4AC3BDA3" w:rsidP="00BE684B">
      <w:r w:rsidRPr="003E3A1D">
        <w:t>A 2020. évben az öregségi nyugdíjkorhatár 64,5 évre emelkedett, így az 1956-ban születettek csak a 2020. év második felétől 2021. első félév végéig váltak jogosulttá öregségi nyugellátásra. Ennek következtében a korbetöltöttek létszáma 2021. második félévben jelentős csökkenésnek indult, a tendencia a 2022. év elején is tart. A 2022. márciusi korbetöltött létszám az előző év azonos időszakához képest 45 555 fővel csökkent. A nők kedvezményes nyugellátását a korhatáremelés nem érintette, így az ő létszámuk idé</w:t>
      </w:r>
      <w:r w:rsidR="00A60E9D" w:rsidRPr="003E3A1D">
        <w:t>n márciusra 7</w:t>
      </w:r>
      <w:r w:rsidRPr="003E3A1D">
        <w:t>745 fővel emelkedett tavaly márciushoz képest.</w:t>
      </w:r>
      <w:r w:rsidR="443F750D" w:rsidRPr="003E3A1D">
        <w:br/>
      </w:r>
      <w:r w:rsidRPr="003E3A1D">
        <w:t>2022. január 1-jétől a korbetöltött öregségi nyugdíjkorhatár egységesen 65 év, de 40 év jogszerző idővel továbbra is igényelhető a nők kedvezményes korhatár alatti öregségi nyugellátása.</w:t>
      </w:r>
    </w:p>
    <w:p w14:paraId="79FF04FF" w14:textId="3DD4AA7C" w:rsidR="00324FF8" w:rsidRPr="003E3A1D" w:rsidRDefault="000E0E98" w:rsidP="00000980">
      <w:pPr>
        <w:jc w:val="center"/>
      </w:pPr>
      <w:r w:rsidRPr="003E3A1D">
        <w:rPr>
          <w:noProof/>
        </w:rPr>
        <w:lastRenderedPageBreak/>
        <w:drawing>
          <wp:inline distT="0" distB="0" distL="0" distR="0" wp14:anchorId="33A98867" wp14:editId="0BEFBD75">
            <wp:extent cx="5940425" cy="3505601"/>
            <wp:effectExtent l="0" t="0" r="3175" b="0"/>
            <wp:docPr id="20" name="Kép 20" descr="Z:\Áht_gyors_moni\2022_03_márc\0_feljegyzés_monitoring\ábrák\___oregsegi_nyugdij_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2_03_márc\0_feljegyzés_monitoring\ábrák\___oregsegi_nyugdij_letsz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505601"/>
                    </a:xfrm>
                    <a:prstGeom prst="rect">
                      <a:avLst/>
                    </a:prstGeom>
                    <a:noFill/>
                    <a:ln>
                      <a:noFill/>
                    </a:ln>
                  </pic:spPr>
                </pic:pic>
              </a:graphicData>
            </a:graphic>
          </wp:inline>
        </w:drawing>
      </w:r>
    </w:p>
    <w:p w14:paraId="7C274F92" w14:textId="77777777" w:rsidR="00324FF8" w:rsidRPr="003E3A1D" w:rsidRDefault="00324FF8" w:rsidP="00BE684B"/>
    <w:p w14:paraId="1C78E577" w14:textId="1659357F" w:rsidR="00E7293F" w:rsidRPr="003E3A1D" w:rsidRDefault="4AC3BDA3" w:rsidP="00D93DBE">
      <w:r w:rsidRPr="003E3A1D">
        <w:t>A korhatáremelés lezárultával a 2022.</w:t>
      </w:r>
      <w:r w:rsidR="00253663" w:rsidRPr="003E3A1D">
        <w:t> </w:t>
      </w:r>
      <w:r w:rsidRPr="003E3A1D">
        <w:t>évben ismét megindult az új ellátások megállapítása, az öregségi nyugellátásra jogosultak állományi létszáma a második negyedévtől várhatóan fokozatosan növekedni fog, a nők40 jogcímen jogosultak esetében viszont – tekintve, hogy a korhatárt betöltők folyamatosan kerülnek át a korbetöltött öregségi nyugellátottak közé – folyamatos létszámcsökkenés várható.</w:t>
      </w:r>
    </w:p>
    <w:p w14:paraId="24C239F1" w14:textId="77777777" w:rsidR="0080719D" w:rsidRPr="003E3A1D" w:rsidRDefault="4AC3BDA3" w:rsidP="00D93DBE">
      <w:r w:rsidRPr="003E3A1D">
        <w:t xml:space="preserve">Az </w:t>
      </w:r>
      <w:r w:rsidRPr="003E3A1D">
        <w:rPr>
          <w:b/>
          <w:bCs/>
        </w:rPr>
        <w:t>Egészségbiztosítási Alap kiadásainak</w:t>
      </w:r>
      <w:r w:rsidRPr="003E3A1D">
        <w:t xml:space="preserve"> összetételét a következő ábra mutatja be:</w:t>
      </w:r>
    </w:p>
    <w:p w14:paraId="085D91EA" w14:textId="77777777" w:rsidR="00000980" w:rsidRPr="003E3A1D" w:rsidRDefault="00000980" w:rsidP="00D93DBE"/>
    <w:p w14:paraId="254C781B" w14:textId="38A62833" w:rsidR="00261DCE" w:rsidRPr="003E3A1D" w:rsidRDefault="000E0E98" w:rsidP="00000980">
      <w:pPr>
        <w:jc w:val="center"/>
      </w:pPr>
      <w:r w:rsidRPr="003E3A1D">
        <w:rPr>
          <w:noProof/>
        </w:rPr>
        <w:drawing>
          <wp:inline distT="0" distB="0" distL="0" distR="0" wp14:anchorId="29341C83" wp14:editId="656991DE">
            <wp:extent cx="5940425" cy="2376170"/>
            <wp:effectExtent l="0" t="0" r="3175" b="5080"/>
            <wp:docPr id="21" name="Kép 21" descr="Z:\Áht_gyors_moni\2022_03_márc\0_feljegyzés_monitoring\ábrák\___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Áht_gyors_moni\2022_03_márc\0_feljegyzés_monitoring\ábrák\___EAlap_kiadása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376170"/>
                    </a:xfrm>
                    <a:prstGeom prst="rect">
                      <a:avLst/>
                    </a:prstGeom>
                    <a:noFill/>
                    <a:ln>
                      <a:noFill/>
                    </a:ln>
                  </pic:spPr>
                </pic:pic>
              </a:graphicData>
            </a:graphic>
          </wp:inline>
        </w:drawing>
      </w:r>
    </w:p>
    <w:p w14:paraId="55C1532E" w14:textId="219A6FE3" w:rsidR="001C7D34" w:rsidRPr="003E3A1D" w:rsidRDefault="001C7D34" w:rsidP="00D93DBE">
      <w:r w:rsidRPr="003E3A1D">
        <w:br w:type="page"/>
      </w:r>
    </w:p>
    <w:p w14:paraId="6AD120FE" w14:textId="69F1A5F5" w:rsidR="511CC280" w:rsidRPr="003E3A1D" w:rsidRDefault="4AC3BDA3" w:rsidP="00E1562E">
      <w:pPr>
        <w:keepNext/>
      </w:pPr>
      <w:r w:rsidRPr="003E3A1D">
        <w:lastRenderedPageBreak/>
        <w:t>Az Egészségbiztosítási Alap</w:t>
      </w:r>
      <w:r w:rsidRPr="003E3A1D">
        <w:rPr>
          <w:b/>
          <w:bCs/>
        </w:rPr>
        <w:t xml:space="preserve"> </w:t>
      </w:r>
      <w:r w:rsidRPr="003E3A1D">
        <w:t xml:space="preserve">összes kiadásának 27,6%-át a </w:t>
      </w:r>
      <w:r w:rsidRPr="003E3A1D">
        <w:rPr>
          <w:b/>
          <w:bCs/>
        </w:rPr>
        <w:t>pénzbeli ellátásokra</w:t>
      </w:r>
      <w:r w:rsidRPr="003E3A1D">
        <w:t xml:space="preserve"> fordított összeg adta. Az ellátások részletes bemutatását a </w:t>
      </w:r>
      <w:r w:rsidR="003E3D99">
        <w:t>következő táblázat tartalmazza:</w:t>
      </w:r>
    </w:p>
    <w:p w14:paraId="4708C70E" w14:textId="77777777" w:rsidR="007035AA" w:rsidRPr="003E3A1D" w:rsidRDefault="007035AA" w:rsidP="003E3D99">
      <w:pPr>
        <w:widowControl w:val="0"/>
      </w:pPr>
    </w:p>
    <w:p w14:paraId="65FD4380" w14:textId="40137F55" w:rsidR="007035AA" w:rsidRPr="003E3A1D" w:rsidRDefault="4AC3BDA3" w:rsidP="007035AA">
      <w:pPr>
        <w:keepNext/>
        <w:jc w:val="center"/>
        <w:rPr>
          <w:szCs w:val="26"/>
        </w:rPr>
      </w:pPr>
      <w:r w:rsidRPr="003E3A1D">
        <w:rPr>
          <w:b/>
          <w:bCs/>
          <w:sz w:val="20"/>
        </w:rPr>
        <w:t>Az Egészségbiztosítási Alap pénzbeli ellátásokra fordított kiadásainak alakulása (milliárd forint)</w:t>
      </w:r>
    </w:p>
    <w:tbl>
      <w:tblPr>
        <w:tblW w:w="8365" w:type="dxa"/>
        <w:jc w:val="center"/>
        <w:tblLayout w:type="fixed"/>
        <w:tblCellMar>
          <w:left w:w="70" w:type="dxa"/>
          <w:right w:w="70" w:type="dxa"/>
        </w:tblCellMar>
        <w:tblLook w:val="04A0" w:firstRow="1" w:lastRow="0" w:firstColumn="1" w:lastColumn="0" w:noHBand="0" w:noVBand="1"/>
      </w:tblPr>
      <w:tblGrid>
        <w:gridCol w:w="3826"/>
        <w:gridCol w:w="1134"/>
        <w:gridCol w:w="1134"/>
        <w:gridCol w:w="1137"/>
        <w:gridCol w:w="1134"/>
      </w:tblGrid>
      <w:tr w:rsidR="003E3A1D" w:rsidRPr="003E3A1D" w14:paraId="3F602428" w14:textId="77777777" w:rsidTr="4AC3BDA3">
        <w:trPr>
          <w:gridAfter w:val="1"/>
          <w:wAfter w:w="1134" w:type="dxa"/>
          <w:trHeight w:val="227"/>
          <w:jc w:val="center"/>
        </w:trPr>
        <w:tc>
          <w:tcPr>
            <w:tcW w:w="7231" w:type="dxa"/>
            <w:gridSpan w:val="4"/>
            <w:tcBorders>
              <w:top w:val="nil"/>
              <w:left w:val="nil"/>
              <w:bottom w:val="nil"/>
              <w:right w:val="nil"/>
            </w:tcBorders>
            <w:shd w:val="clear" w:color="auto" w:fill="auto"/>
            <w:vAlign w:val="center"/>
            <w:hideMark/>
          </w:tcPr>
          <w:p w14:paraId="692EB199" w14:textId="79122FAA" w:rsidR="007A0A81" w:rsidRPr="003E3A1D" w:rsidRDefault="007A0A81" w:rsidP="007035AA">
            <w:pPr>
              <w:keepNext/>
              <w:jc w:val="center"/>
              <w:rPr>
                <w:b/>
                <w:bCs/>
                <w:sz w:val="20"/>
              </w:rPr>
            </w:pPr>
          </w:p>
        </w:tc>
      </w:tr>
      <w:tr w:rsidR="003E3A1D" w:rsidRPr="003E3A1D" w14:paraId="49990F57" w14:textId="77777777" w:rsidTr="4AC3BDA3">
        <w:trPr>
          <w:trHeight w:val="306"/>
          <w:jc w:val="center"/>
        </w:trPr>
        <w:tc>
          <w:tcPr>
            <w:tcW w:w="3826"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3E3A1D" w:rsidRDefault="4AC3BDA3" w:rsidP="4AC3BDA3">
            <w:pPr>
              <w:spacing w:after="0"/>
              <w:jc w:val="center"/>
              <w:rPr>
                <w:b/>
                <w:bCs/>
                <w:sz w:val="20"/>
              </w:rPr>
            </w:pPr>
            <w:r w:rsidRPr="003E3A1D">
              <w:rPr>
                <w:b/>
                <w:bCs/>
                <w:sz w:val="20"/>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61E500E6" w:rsidR="007A0A81" w:rsidRPr="003E3A1D" w:rsidRDefault="4AC3BDA3" w:rsidP="4AC3BDA3">
            <w:pPr>
              <w:spacing w:after="0"/>
              <w:jc w:val="center"/>
              <w:rPr>
                <w:b/>
                <w:bCs/>
                <w:sz w:val="20"/>
              </w:rPr>
            </w:pPr>
            <w:r w:rsidRPr="003E3A1D">
              <w:rPr>
                <w:b/>
                <w:bCs/>
                <w:sz w:val="20"/>
              </w:rPr>
              <w:t xml:space="preserve">2021. </w:t>
            </w:r>
            <w:r w:rsidR="443F750D" w:rsidRPr="003E3A1D">
              <w:br/>
            </w:r>
            <w:r w:rsidRPr="003E3A1D">
              <w:rPr>
                <w:b/>
                <w:bCs/>
                <w:sz w:val="20"/>
              </w:rPr>
              <w:t>I-III.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3B6179CA" w:rsidR="007A0A81" w:rsidRPr="003E3A1D" w:rsidRDefault="4AC3BDA3" w:rsidP="4AC3BDA3">
            <w:pPr>
              <w:spacing w:after="0"/>
              <w:jc w:val="center"/>
              <w:rPr>
                <w:b/>
                <w:bCs/>
                <w:sz w:val="20"/>
              </w:rPr>
            </w:pPr>
            <w:r w:rsidRPr="003E3A1D">
              <w:rPr>
                <w:b/>
                <w:bCs/>
                <w:sz w:val="20"/>
              </w:rPr>
              <w:t>2022.</w:t>
            </w:r>
            <w:r w:rsidR="443F750D" w:rsidRPr="003E3A1D">
              <w:br/>
            </w:r>
            <w:r w:rsidRPr="003E3A1D">
              <w:rPr>
                <w:b/>
                <w:bCs/>
                <w:sz w:val="20"/>
              </w:rPr>
              <w:t>I-III. hó</w:t>
            </w:r>
          </w:p>
        </w:tc>
        <w:tc>
          <w:tcPr>
            <w:tcW w:w="2271"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3E3A1D" w:rsidRDefault="4AC3BDA3" w:rsidP="4AC3BDA3">
            <w:pPr>
              <w:spacing w:after="0"/>
              <w:jc w:val="center"/>
              <w:rPr>
                <w:b/>
                <w:bCs/>
                <w:sz w:val="20"/>
              </w:rPr>
            </w:pPr>
            <w:r w:rsidRPr="003E3A1D">
              <w:rPr>
                <w:b/>
                <w:bCs/>
                <w:sz w:val="20"/>
              </w:rPr>
              <w:t>Eltérés</w:t>
            </w:r>
          </w:p>
        </w:tc>
      </w:tr>
      <w:tr w:rsidR="003E3A1D" w:rsidRPr="003E3A1D" w14:paraId="31743F96" w14:textId="77777777" w:rsidTr="4AC3BDA3">
        <w:trPr>
          <w:trHeight w:val="306"/>
          <w:jc w:val="center"/>
        </w:trPr>
        <w:tc>
          <w:tcPr>
            <w:tcW w:w="3826"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3E3A1D" w:rsidRDefault="007A0A81" w:rsidP="00CD6EB3">
            <w:pPr>
              <w:spacing w:after="0"/>
              <w:jc w:val="left"/>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3E3A1D" w:rsidRDefault="007A0A81" w:rsidP="006037ED">
            <w:pPr>
              <w:spacing w:after="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3E3A1D" w:rsidRDefault="007A0A81" w:rsidP="006037ED">
            <w:pPr>
              <w:spacing w:after="0"/>
              <w:jc w:val="center"/>
              <w:rPr>
                <w:b/>
                <w:bCs/>
                <w:sz w:val="20"/>
              </w:rPr>
            </w:pPr>
          </w:p>
        </w:tc>
        <w:tc>
          <w:tcPr>
            <w:tcW w:w="1137" w:type="dxa"/>
            <w:tcBorders>
              <w:top w:val="nil"/>
              <w:left w:val="nil"/>
              <w:bottom w:val="single" w:sz="4" w:space="0" w:color="auto"/>
              <w:right w:val="single" w:sz="4" w:space="0" w:color="auto"/>
            </w:tcBorders>
            <w:shd w:val="clear" w:color="auto" w:fill="auto"/>
            <w:noWrap/>
            <w:vAlign w:val="center"/>
            <w:hideMark/>
          </w:tcPr>
          <w:p w14:paraId="541A293F" w14:textId="77777777" w:rsidR="007A0A81" w:rsidRPr="003E3A1D" w:rsidRDefault="4AC3BDA3" w:rsidP="4AC3BDA3">
            <w:pPr>
              <w:spacing w:after="0"/>
              <w:jc w:val="center"/>
              <w:rPr>
                <w:b/>
                <w:bCs/>
                <w:sz w:val="20"/>
              </w:rPr>
            </w:pPr>
            <w:r w:rsidRPr="003E3A1D">
              <w:rPr>
                <w:b/>
                <w:bCs/>
                <w:sz w:val="20"/>
              </w:rPr>
              <w:t>Mrd Ft</w:t>
            </w:r>
          </w:p>
        </w:tc>
        <w:tc>
          <w:tcPr>
            <w:tcW w:w="1134" w:type="dxa"/>
            <w:tcBorders>
              <w:top w:val="nil"/>
              <w:left w:val="nil"/>
              <w:bottom w:val="single" w:sz="4" w:space="0" w:color="auto"/>
              <w:right w:val="single" w:sz="4" w:space="0" w:color="auto"/>
            </w:tcBorders>
            <w:shd w:val="clear" w:color="auto" w:fill="auto"/>
            <w:noWrap/>
            <w:vAlign w:val="center"/>
            <w:hideMark/>
          </w:tcPr>
          <w:p w14:paraId="0AAD326D" w14:textId="77777777" w:rsidR="007A0A81" w:rsidRPr="003E3A1D" w:rsidRDefault="4AC3BDA3" w:rsidP="4AC3BDA3">
            <w:pPr>
              <w:spacing w:after="0"/>
              <w:jc w:val="center"/>
              <w:rPr>
                <w:b/>
                <w:bCs/>
                <w:sz w:val="20"/>
              </w:rPr>
            </w:pPr>
            <w:r w:rsidRPr="003E3A1D">
              <w:rPr>
                <w:b/>
                <w:bCs/>
                <w:sz w:val="20"/>
              </w:rPr>
              <w:t>%</w:t>
            </w:r>
          </w:p>
        </w:tc>
      </w:tr>
      <w:tr w:rsidR="003E3A1D" w:rsidRPr="003E3A1D" w14:paraId="6113CEE5" w14:textId="77777777" w:rsidTr="4AC3BDA3">
        <w:trPr>
          <w:trHeight w:val="283"/>
          <w:jc w:val="center"/>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14:paraId="53B83BFA" w14:textId="77777777" w:rsidR="006037ED" w:rsidRPr="003E3A1D" w:rsidRDefault="4AC3BDA3" w:rsidP="4AC3BDA3">
            <w:pPr>
              <w:spacing w:after="0"/>
              <w:jc w:val="left"/>
              <w:rPr>
                <w:b/>
                <w:bCs/>
                <w:sz w:val="20"/>
              </w:rPr>
            </w:pPr>
            <w:r w:rsidRPr="003E3A1D">
              <w:rPr>
                <w:b/>
                <w:bCs/>
                <w:sz w:val="20"/>
              </w:rPr>
              <w:t>Pénzbeli ellátások</w:t>
            </w:r>
          </w:p>
        </w:tc>
        <w:tc>
          <w:tcPr>
            <w:tcW w:w="1134" w:type="dxa"/>
            <w:tcBorders>
              <w:top w:val="nil"/>
              <w:left w:val="nil"/>
              <w:bottom w:val="single" w:sz="4" w:space="0" w:color="auto"/>
              <w:right w:val="single" w:sz="4" w:space="0" w:color="auto"/>
            </w:tcBorders>
            <w:shd w:val="clear" w:color="auto" w:fill="auto"/>
            <w:vAlign w:val="center"/>
          </w:tcPr>
          <w:p w14:paraId="5DE1C188" w14:textId="636466EF" w:rsidR="006037ED" w:rsidRPr="003E3A1D" w:rsidRDefault="4AC3BDA3" w:rsidP="4AC3BDA3">
            <w:pPr>
              <w:spacing w:after="0"/>
              <w:jc w:val="right"/>
              <w:rPr>
                <w:b/>
                <w:bCs/>
                <w:sz w:val="20"/>
              </w:rPr>
            </w:pPr>
            <w:r w:rsidRPr="003E3A1D">
              <w:rPr>
                <w:b/>
                <w:bCs/>
                <w:sz w:val="20"/>
              </w:rPr>
              <w:t>199,4</w:t>
            </w:r>
          </w:p>
        </w:tc>
        <w:tc>
          <w:tcPr>
            <w:tcW w:w="1134" w:type="dxa"/>
            <w:tcBorders>
              <w:top w:val="nil"/>
              <w:left w:val="nil"/>
              <w:bottom w:val="single" w:sz="4" w:space="0" w:color="auto"/>
              <w:right w:val="single" w:sz="4" w:space="0" w:color="auto"/>
            </w:tcBorders>
            <w:shd w:val="clear" w:color="auto" w:fill="auto"/>
            <w:vAlign w:val="center"/>
          </w:tcPr>
          <w:p w14:paraId="38CA64D6" w14:textId="706D8CF6" w:rsidR="006037ED" w:rsidRPr="003E3A1D" w:rsidRDefault="4AC3BDA3" w:rsidP="4AC3BDA3">
            <w:pPr>
              <w:spacing w:after="0" w:line="259" w:lineRule="auto"/>
              <w:jc w:val="right"/>
              <w:rPr>
                <w:b/>
                <w:bCs/>
                <w:sz w:val="20"/>
              </w:rPr>
            </w:pPr>
            <w:r w:rsidRPr="003E3A1D">
              <w:rPr>
                <w:b/>
                <w:bCs/>
                <w:sz w:val="20"/>
              </w:rPr>
              <w:t>252,8</w:t>
            </w:r>
          </w:p>
        </w:tc>
        <w:tc>
          <w:tcPr>
            <w:tcW w:w="1137" w:type="dxa"/>
            <w:tcBorders>
              <w:top w:val="nil"/>
              <w:left w:val="nil"/>
              <w:bottom w:val="single" w:sz="4" w:space="0" w:color="auto"/>
              <w:right w:val="single" w:sz="4" w:space="0" w:color="auto"/>
            </w:tcBorders>
            <w:shd w:val="clear" w:color="auto" w:fill="auto"/>
            <w:noWrap/>
            <w:vAlign w:val="center"/>
          </w:tcPr>
          <w:p w14:paraId="478B24D5" w14:textId="03DB8A4C" w:rsidR="006037ED" w:rsidRPr="003E3A1D" w:rsidRDefault="4AC3BDA3" w:rsidP="4AC3BDA3">
            <w:pPr>
              <w:spacing w:after="0" w:line="259" w:lineRule="auto"/>
              <w:jc w:val="right"/>
              <w:rPr>
                <w:sz w:val="20"/>
              </w:rPr>
            </w:pPr>
            <w:r w:rsidRPr="003E3A1D">
              <w:rPr>
                <w:sz w:val="20"/>
              </w:rPr>
              <w:t>53,4</w:t>
            </w:r>
          </w:p>
        </w:tc>
        <w:tc>
          <w:tcPr>
            <w:tcW w:w="1134" w:type="dxa"/>
            <w:tcBorders>
              <w:top w:val="nil"/>
              <w:left w:val="nil"/>
              <w:bottom w:val="single" w:sz="4" w:space="0" w:color="auto"/>
              <w:right w:val="single" w:sz="4" w:space="0" w:color="auto"/>
            </w:tcBorders>
            <w:shd w:val="clear" w:color="auto" w:fill="auto"/>
            <w:noWrap/>
            <w:vAlign w:val="center"/>
          </w:tcPr>
          <w:p w14:paraId="4010D6F8" w14:textId="40578915" w:rsidR="006037ED" w:rsidRPr="003E3A1D" w:rsidRDefault="4AC3BDA3" w:rsidP="4AC3BDA3">
            <w:pPr>
              <w:spacing w:after="0" w:line="259" w:lineRule="auto"/>
              <w:jc w:val="right"/>
              <w:rPr>
                <w:sz w:val="20"/>
              </w:rPr>
            </w:pPr>
            <w:r w:rsidRPr="003E3A1D">
              <w:rPr>
                <w:sz w:val="20"/>
              </w:rPr>
              <w:t>126,8</w:t>
            </w:r>
          </w:p>
        </w:tc>
      </w:tr>
      <w:tr w:rsidR="003E3A1D" w:rsidRPr="003E3A1D" w14:paraId="16840362" w14:textId="77777777" w:rsidTr="4AC3BDA3">
        <w:trPr>
          <w:trHeight w:val="283"/>
          <w:jc w:val="center"/>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14:paraId="4FF5091F" w14:textId="77777777" w:rsidR="009B39F5" w:rsidRPr="003E3A1D" w:rsidRDefault="4AC3BDA3" w:rsidP="4AC3BDA3">
            <w:pPr>
              <w:spacing w:after="0"/>
              <w:ind w:firstLine="285"/>
              <w:jc w:val="left"/>
              <w:rPr>
                <w:i/>
                <w:iCs/>
                <w:sz w:val="20"/>
              </w:rPr>
            </w:pPr>
            <w:r w:rsidRPr="003E3A1D">
              <w:rPr>
                <w:i/>
                <w:iCs/>
                <w:sz w:val="20"/>
              </w:rPr>
              <w:t>Ebből:</w:t>
            </w:r>
          </w:p>
        </w:tc>
        <w:tc>
          <w:tcPr>
            <w:tcW w:w="4539" w:type="dxa"/>
            <w:gridSpan w:val="4"/>
            <w:tcBorders>
              <w:top w:val="nil"/>
              <w:left w:val="nil"/>
              <w:bottom w:val="single" w:sz="4" w:space="0" w:color="auto"/>
              <w:right w:val="single" w:sz="4" w:space="0" w:color="auto"/>
            </w:tcBorders>
            <w:shd w:val="clear" w:color="auto" w:fill="auto"/>
            <w:vAlign w:val="center"/>
          </w:tcPr>
          <w:p w14:paraId="2B9F3A15" w14:textId="08599DB8" w:rsidR="009B39F5" w:rsidRPr="003E3A1D" w:rsidRDefault="009B39F5" w:rsidP="006037ED">
            <w:pPr>
              <w:spacing w:after="0"/>
              <w:jc w:val="right"/>
              <w:rPr>
                <w:sz w:val="20"/>
              </w:rPr>
            </w:pPr>
          </w:p>
        </w:tc>
      </w:tr>
      <w:tr w:rsidR="003E3A1D" w:rsidRPr="003E3A1D" w14:paraId="7D052013" w14:textId="77777777" w:rsidTr="4AC3BDA3">
        <w:trPr>
          <w:trHeight w:val="283"/>
          <w:jc w:val="center"/>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14:paraId="61829294" w14:textId="77777777" w:rsidR="006037ED" w:rsidRPr="003E3A1D" w:rsidRDefault="4AC3BDA3" w:rsidP="4AC3BDA3">
            <w:pPr>
              <w:spacing w:after="0"/>
              <w:ind w:firstLineChars="284" w:firstLine="568"/>
              <w:jc w:val="left"/>
              <w:rPr>
                <w:i/>
                <w:iCs/>
                <w:sz w:val="20"/>
              </w:rPr>
            </w:pPr>
            <w:r w:rsidRPr="003E3A1D">
              <w:rPr>
                <w:i/>
                <w:iCs/>
                <w:sz w:val="20"/>
              </w:rPr>
              <w:t>Rokkantsági, rehabilitációs ellátások</w:t>
            </w:r>
          </w:p>
        </w:tc>
        <w:tc>
          <w:tcPr>
            <w:tcW w:w="1134" w:type="dxa"/>
            <w:tcBorders>
              <w:top w:val="nil"/>
              <w:left w:val="nil"/>
              <w:bottom w:val="single" w:sz="4" w:space="0" w:color="auto"/>
              <w:right w:val="single" w:sz="4" w:space="0" w:color="auto"/>
            </w:tcBorders>
            <w:shd w:val="clear" w:color="auto" w:fill="auto"/>
            <w:noWrap/>
            <w:vAlign w:val="center"/>
          </w:tcPr>
          <w:p w14:paraId="693E18A5" w14:textId="0B9F6739" w:rsidR="006037ED" w:rsidRPr="003E3A1D" w:rsidRDefault="4AC3BDA3" w:rsidP="4AC3BDA3">
            <w:pPr>
              <w:spacing w:after="0"/>
              <w:jc w:val="right"/>
              <w:rPr>
                <w:sz w:val="20"/>
              </w:rPr>
            </w:pPr>
            <w:r w:rsidRPr="003E3A1D">
              <w:rPr>
                <w:sz w:val="20"/>
              </w:rPr>
              <w:t>75,2</w:t>
            </w:r>
          </w:p>
        </w:tc>
        <w:tc>
          <w:tcPr>
            <w:tcW w:w="1134" w:type="dxa"/>
            <w:tcBorders>
              <w:top w:val="nil"/>
              <w:left w:val="nil"/>
              <w:bottom w:val="single" w:sz="4" w:space="0" w:color="auto"/>
              <w:right w:val="single" w:sz="4" w:space="0" w:color="auto"/>
            </w:tcBorders>
            <w:shd w:val="clear" w:color="auto" w:fill="auto"/>
            <w:noWrap/>
            <w:vAlign w:val="center"/>
          </w:tcPr>
          <w:p w14:paraId="0E446CD4" w14:textId="6F935C0B" w:rsidR="006037ED" w:rsidRPr="003E3A1D" w:rsidRDefault="4AC3BDA3" w:rsidP="4AC3BDA3">
            <w:pPr>
              <w:spacing w:after="0" w:line="259" w:lineRule="auto"/>
              <w:jc w:val="right"/>
              <w:rPr>
                <w:sz w:val="20"/>
              </w:rPr>
            </w:pPr>
            <w:r w:rsidRPr="003E3A1D">
              <w:rPr>
                <w:sz w:val="20"/>
              </w:rPr>
              <w:t>96,1</w:t>
            </w:r>
          </w:p>
        </w:tc>
        <w:tc>
          <w:tcPr>
            <w:tcW w:w="1137" w:type="dxa"/>
            <w:tcBorders>
              <w:top w:val="nil"/>
              <w:left w:val="nil"/>
              <w:bottom w:val="single" w:sz="4" w:space="0" w:color="auto"/>
              <w:right w:val="single" w:sz="4" w:space="0" w:color="auto"/>
            </w:tcBorders>
            <w:shd w:val="clear" w:color="auto" w:fill="auto"/>
            <w:noWrap/>
            <w:vAlign w:val="center"/>
          </w:tcPr>
          <w:p w14:paraId="720FB04B" w14:textId="270B1154" w:rsidR="006037ED" w:rsidRPr="003E3A1D" w:rsidRDefault="4AC3BDA3" w:rsidP="4AC3BDA3">
            <w:pPr>
              <w:spacing w:after="0" w:line="259" w:lineRule="auto"/>
              <w:jc w:val="right"/>
              <w:rPr>
                <w:sz w:val="20"/>
              </w:rPr>
            </w:pPr>
            <w:r w:rsidRPr="003E3A1D">
              <w:rPr>
                <w:sz w:val="20"/>
              </w:rPr>
              <w:t>20,9</w:t>
            </w:r>
          </w:p>
        </w:tc>
        <w:tc>
          <w:tcPr>
            <w:tcW w:w="1134" w:type="dxa"/>
            <w:tcBorders>
              <w:top w:val="nil"/>
              <w:left w:val="nil"/>
              <w:bottom w:val="single" w:sz="4" w:space="0" w:color="auto"/>
              <w:right w:val="single" w:sz="4" w:space="0" w:color="auto"/>
            </w:tcBorders>
            <w:shd w:val="clear" w:color="auto" w:fill="auto"/>
            <w:noWrap/>
            <w:vAlign w:val="center"/>
          </w:tcPr>
          <w:p w14:paraId="5EEB1EB0" w14:textId="1681524E" w:rsidR="006037ED" w:rsidRPr="003E3A1D" w:rsidRDefault="4AC3BDA3" w:rsidP="4AC3BDA3">
            <w:pPr>
              <w:spacing w:after="0" w:line="259" w:lineRule="auto"/>
              <w:jc w:val="right"/>
              <w:rPr>
                <w:sz w:val="20"/>
              </w:rPr>
            </w:pPr>
            <w:r w:rsidRPr="003E3A1D">
              <w:rPr>
                <w:sz w:val="20"/>
              </w:rPr>
              <w:t>127,8</w:t>
            </w:r>
          </w:p>
        </w:tc>
      </w:tr>
      <w:tr w:rsidR="003E3A1D" w:rsidRPr="003E3A1D" w14:paraId="1B1C820A" w14:textId="77777777" w:rsidTr="4AC3BDA3">
        <w:trPr>
          <w:trHeight w:val="283"/>
          <w:jc w:val="center"/>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14:paraId="48AC6673" w14:textId="77777777" w:rsidR="006037ED" w:rsidRPr="003E3A1D" w:rsidRDefault="4AC3BDA3" w:rsidP="4AC3BDA3">
            <w:pPr>
              <w:spacing w:after="0"/>
              <w:ind w:firstLineChars="284" w:firstLine="568"/>
              <w:jc w:val="left"/>
              <w:rPr>
                <w:i/>
                <w:iCs/>
                <w:sz w:val="20"/>
              </w:rPr>
            </w:pPr>
            <w:r w:rsidRPr="003E3A1D">
              <w:rPr>
                <w:i/>
                <w:iCs/>
                <w:sz w:val="20"/>
              </w:rPr>
              <w:t>Gyermekgondozási díj</w:t>
            </w:r>
          </w:p>
        </w:tc>
        <w:tc>
          <w:tcPr>
            <w:tcW w:w="1134" w:type="dxa"/>
            <w:tcBorders>
              <w:top w:val="nil"/>
              <w:left w:val="nil"/>
              <w:bottom w:val="single" w:sz="4" w:space="0" w:color="auto"/>
              <w:right w:val="single" w:sz="4" w:space="0" w:color="auto"/>
            </w:tcBorders>
            <w:shd w:val="clear" w:color="auto" w:fill="auto"/>
            <w:noWrap/>
            <w:vAlign w:val="center"/>
          </w:tcPr>
          <w:p w14:paraId="18E312D6" w14:textId="18A84F61" w:rsidR="006037ED" w:rsidRPr="003E3A1D" w:rsidRDefault="4AC3BDA3" w:rsidP="4AC3BDA3">
            <w:pPr>
              <w:spacing w:after="0"/>
              <w:jc w:val="right"/>
              <w:rPr>
                <w:sz w:val="20"/>
              </w:rPr>
            </w:pPr>
            <w:r w:rsidRPr="003E3A1D">
              <w:rPr>
                <w:sz w:val="20"/>
              </w:rPr>
              <w:t>58,6</w:t>
            </w:r>
          </w:p>
        </w:tc>
        <w:tc>
          <w:tcPr>
            <w:tcW w:w="1134" w:type="dxa"/>
            <w:tcBorders>
              <w:top w:val="nil"/>
              <w:left w:val="nil"/>
              <w:bottom w:val="single" w:sz="4" w:space="0" w:color="auto"/>
              <w:right w:val="single" w:sz="4" w:space="0" w:color="auto"/>
            </w:tcBorders>
            <w:shd w:val="clear" w:color="auto" w:fill="auto"/>
            <w:noWrap/>
            <w:vAlign w:val="center"/>
          </w:tcPr>
          <w:p w14:paraId="5A56530A" w14:textId="075293C8" w:rsidR="006037ED" w:rsidRPr="003E3A1D" w:rsidRDefault="4AC3BDA3" w:rsidP="4AC3BDA3">
            <w:pPr>
              <w:spacing w:after="0" w:line="259" w:lineRule="auto"/>
              <w:jc w:val="right"/>
              <w:rPr>
                <w:sz w:val="20"/>
              </w:rPr>
            </w:pPr>
            <w:r w:rsidRPr="003E3A1D">
              <w:rPr>
                <w:sz w:val="20"/>
              </w:rPr>
              <w:t>67,8</w:t>
            </w:r>
          </w:p>
        </w:tc>
        <w:tc>
          <w:tcPr>
            <w:tcW w:w="1137" w:type="dxa"/>
            <w:tcBorders>
              <w:top w:val="nil"/>
              <w:left w:val="nil"/>
              <w:bottom w:val="single" w:sz="4" w:space="0" w:color="auto"/>
              <w:right w:val="single" w:sz="4" w:space="0" w:color="auto"/>
            </w:tcBorders>
            <w:shd w:val="clear" w:color="auto" w:fill="auto"/>
            <w:noWrap/>
            <w:vAlign w:val="center"/>
          </w:tcPr>
          <w:p w14:paraId="3CBC826C" w14:textId="2282490F" w:rsidR="006037ED" w:rsidRPr="003E3A1D" w:rsidRDefault="4AC3BDA3" w:rsidP="008D6552">
            <w:pPr>
              <w:spacing w:after="0" w:line="259" w:lineRule="auto"/>
              <w:jc w:val="right"/>
              <w:rPr>
                <w:sz w:val="20"/>
              </w:rPr>
            </w:pPr>
            <w:r w:rsidRPr="003E3A1D">
              <w:rPr>
                <w:sz w:val="20"/>
              </w:rPr>
              <w:t>9,</w:t>
            </w:r>
            <w:r w:rsidR="008D6552" w:rsidRPr="003E3A1D">
              <w:rPr>
                <w:sz w:val="20"/>
              </w:rPr>
              <w:t>2</w:t>
            </w:r>
          </w:p>
        </w:tc>
        <w:tc>
          <w:tcPr>
            <w:tcW w:w="1134" w:type="dxa"/>
            <w:tcBorders>
              <w:top w:val="nil"/>
              <w:left w:val="nil"/>
              <w:bottom w:val="single" w:sz="4" w:space="0" w:color="auto"/>
              <w:right w:val="single" w:sz="4" w:space="0" w:color="auto"/>
            </w:tcBorders>
            <w:shd w:val="clear" w:color="auto" w:fill="auto"/>
            <w:noWrap/>
            <w:vAlign w:val="center"/>
          </w:tcPr>
          <w:p w14:paraId="26E43045" w14:textId="6A5DE6DE" w:rsidR="006037ED" w:rsidRPr="003E3A1D" w:rsidRDefault="4AC3BDA3" w:rsidP="008D6552">
            <w:pPr>
              <w:spacing w:after="0" w:line="259" w:lineRule="auto"/>
              <w:jc w:val="right"/>
              <w:rPr>
                <w:sz w:val="20"/>
              </w:rPr>
            </w:pPr>
            <w:r w:rsidRPr="003E3A1D">
              <w:rPr>
                <w:sz w:val="20"/>
              </w:rPr>
              <w:t>115,</w:t>
            </w:r>
            <w:r w:rsidR="008D6552" w:rsidRPr="003E3A1D">
              <w:rPr>
                <w:sz w:val="20"/>
              </w:rPr>
              <w:t>7</w:t>
            </w:r>
          </w:p>
        </w:tc>
      </w:tr>
      <w:tr w:rsidR="006037ED" w:rsidRPr="003E3A1D" w14:paraId="7780DF35" w14:textId="77777777" w:rsidTr="4AC3BDA3">
        <w:trPr>
          <w:trHeight w:val="283"/>
          <w:jc w:val="center"/>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6B3D" w14:textId="77777777" w:rsidR="006037ED" w:rsidRPr="003E3A1D" w:rsidRDefault="4AC3BDA3" w:rsidP="4AC3BDA3">
            <w:pPr>
              <w:spacing w:after="0"/>
              <w:ind w:firstLineChars="284" w:firstLine="568"/>
              <w:jc w:val="left"/>
              <w:rPr>
                <w:i/>
                <w:iCs/>
                <w:sz w:val="20"/>
              </w:rPr>
            </w:pPr>
            <w:r w:rsidRPr="003E3A1D">
              <w:rPr>
                <w:i/>
                <w:iCs/>
                <w:sz w:val="20"/>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DFC013" w14:textId="1983B68D" w:rsidR="006037ED" w:rsidRPr="003E3A1D" w:rsidRDefault="4AC3BDA3" w:rsidP="4AC3BDA3">
            <w:pPr>
              <w:spacing w:after="0"/>
              <w:jc w:val="right"/>
              <w:rPr>
                <w:sz w:val="20"/>
              </w:rPr>
            </w:pPr>
            <w:r w:rsidRPr="003E3A1D">
              <w:rPr>
                <w:sz w:val="20"/>
              </w:rPr>
              <w:t>43,1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88C97" w14:textId="367BFE6F" w:rsidR="006037ED" w:rsidRPr="003E3A1D" w:rsidRDefault="4AC3BDA3" w:rsidP="4AC3BDA3">
            <w:pPr>
              <w:spacing w:after="0" w:line="259" w:lineRule="auto"/>
              <w:jc w:val="right"/>
              <w:rPr>
                <w:sz w:val="20"/>
              </w:rPr>
            </w:pPr>
            <w:r w:rsidRPr="003E3A1D">
              <w:rPr>
                <w:sz w:val="20"/>
              </w:rPr>
              <w:t>53,3</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6D966813" w14:textId="0B5CBE9F" w:rsidR="006037ED" w:rsidRPr="003E3A1D" w:rsidRDefault="4AC3BDA3" w:rsidP="4AC3BDA3">
            <w:pPr>
              <w:spacing w:after="0" w:line="259" w:lineRule="auto"/>
              <w:jc w:val="right"/>
              <w:rPr>
                <w:sz w:val="20"/>
              </w:rPr>
            </w:pPr>
            <w:r w:rsidRPr="003E3A1D">
              <w:rPr>
                <w:sz w:val="20"/>
              </w:rPr>
              <w:t>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239E68" w14:textId="44EFFCAB" w:rsidR="006037ED" w:rsidRPr="003E3A1D" w:rsidRDefault="4AC3BDA3" w:rsidP="008D6552">
            <w:pPr>
              <w:spacing w:after="0" w:line="259" w:lineRule="auto"/>
              <w:jc w:val="right"/>
              <w:rPr>
                <w:sz w:val="20"/>
              </w:rPr>
            </w:pPr>
            <w:r w:rsidRPr="003E3A1D">
              <w:rPr>
                <w:sz w:val="20"/>
              </w:rPr>
              <w:t>123,</w:t>
            </w:r>
            <w:r w:rsidR="008D6552" w:rsidRPr="003E3A1D">
              <w:rPr>
                <w:sz w:val="20"/>
              </w:rPr>
              <w:t>7</w:t>
            </w:r>
          </w:p>
        </w:tc>
      </w:tr>
    </w:tbl>
    <w:p w14:paraId="0B67B6AB" w14:textId="1732B277" w:rsidR="511CC280" w:rsidRPr="003E3A1D" w:rsidRDefault="511CC280" w:rsidP="511CC280">
      <w:pPr>
        <w:rPr>
          <w:szCs w:val="26"/>
        </w:rPr>
      </w:pPr>
    </w:p>
    <w:p w14:paraId="371B969D" w14:textId="7172A327" w:rsidR="511CC280" w:rsidRPr="003E3A1D" w:rsidRDefault="4AC3BDA3" w:rsidP="00C036D0">
      <w:r w:rsidRPr="003E3A1D">
        <w:t xml:space="preserve">A </w:t>
      </w:r>
      <w:r w:rsidRPr="003E3A1D">
        <w:rPr>
          <w:b/>
          <w:bCs/>
        </w:rPr>
        <w:t>gyógyító-megelőző ellátásokra</w:t>
      </w:r>
      <w:r w:rsidR="00253663" w:rsidRPr="003E3A1D">
        <w:t xml:space="preserve"> fordított kiadás 2022</w:t>
      </w:r>
      <w:r w:rsidR="008D6552" w:rsidRPr="003E3A1D">
        <w:t>.</w:t>
      </w:r>
      <w:r w:rsidRPr="003E3A1D">
        <w:t xml:space="preserve"> </w:t>
      </w:r>
      <w:r w:rsidR="008D6552" w:rsidRPr="003E3A1D">
        <w:t>március végéig</w:t>
      </w:r>
      <w:r w:rsidRPr="003E3A1D">
        <w:t xml:space="preserve"> 531,4 milliárd forintot tett ki a 2021. évi azonos időszaki 507,1 milliárd forint összegű kiadás</w:t>
      </w:r>
      <w:r w:rsidR="008D6552" w:rsidRPr="003E3A1D">
        <w:t>sal</w:t>
      </w:r>
      <w:r w:rsidRPr="003E3A1D">
        <w:t xml:space="preserve"> szemben. Az előző évhez viszonyított magasabb összegű kiadás a 2021. januártól bevezetett, az állami és önkormányzati fekvő- és járóbeteg-ellátásban dolgozó orvosok béremelésével, valamint a háziorvosok, fogorvosok és szakdolgozóik bértámogatásával, az egészségügyi szakdolgozók 2022.</w:t>
      </w:r>
      <w:r w:rsidR="00253663" w:rsidRPr="003E3A1D">
        <w:t> </w:t>
      </w:r>
      <w:r w:rsidRPr="003E3A1D">
        <w:t>január 1-jei béremelésével, továbbá az „Összevont szakellátásból” megvalósuló többletfinanszírozással kapcsolatosan jelentkezik.</w:t>
      </w:r>
    </w:p>
    <w:p w14:paraId="4B4F3B70" w14:textId="6758CA26" w:rsidR="511CC280" w:rsidRPr="003E3A1D" w:rsidRDefault="4AC3BDA3" w:rsidP="00C036D0">
      <w:r w:rsidRPr="003E3A1D">
        <w:rPr>
          <w:b/>
          <w:bCs/>
        </w:rPr>
        <w:t>Gyógyszertámogatásra</w:t>
      </w:r>
      <w:r w:rsidR="00253663" w:rsidRPr="003E3A1D">
        <w:t xml:space="preserve"> 2022</w:t>
      </w:r>
      <w:r w:rsidRPr="003E3A1D">
        <w:t xml:space="preserve"> első három hónapjában 102,7 milliárd forintot fordítottak, amely 5,4 milliárd forinttal több az előző év azonos időszakában kifizetett összegnél.</w:t>
      </w:r>
    </w:p>
    <w:p w14:paraId="1AE546EF" w14:textId="37515BB5" w:rsidR="511CC280" w:rsidRPr="003E3A1D" w:rsidRDefault="511CC280" w:rsidP="00716265"/>
    <w:p w14:paraId="25FFF5E2" w14:textId="34BD2A95" w:rsidR="007A0A81" w:rsidRPr="003E3A1D" w:rsidRDefault="009F0C4E" w:rsidP="00716265">
      <w:r w:rsidRPr="003E3A1D">
        <w:br w:type="page"/>
      </w:r>
    </w:p>
    <w:p w14:paraId="5D4F03CB" w14:textId="6C116392" w:rsidR="003E5ED6" w:rsidRPr="003E3A1D" w:rsidRDefault="4AC3BDA3" w:rsidP="4AC3BDA3">
      <w:pPr>
        <w:pStyle w:val="Cmsor3"/>
        <w:numPr>
          <w:ilvl w:val="0"/>
          <w:numId w:val="8"/>
        </w:numPr>
        <w:spacing w:before="0" w:after="120"/>
        <w:jc w:val="both"/>
        <w:rPr>
          <w:sz w:val="26"/>
          <w:szCs w:val="26"/>
        </w:rPr>
      </w:pPr>
      <w:r w:rsidRPr="003E3A1D">
        <w:rPr>
          <w:sz w:val="26"/>
          <w:szCs w:val="26"/>
        </w:rPr>
        <w:lastRenderedPageBreak/>
        <w:t xml:space="preserve">A költségvetési szervek és fejezeti kezelésű előirányzatok alakulása </w:t>
      </w:r>
    </w:p>
    <w:p w14:paraId="46CF55D9" w14:textId="13C030A6" w:rsidR="002F3B45" w:rsidRPr="003E3A1D" w:rsidRDefault="4AC3BDA3" w:rsidP="4AC3BDA3">
      <w:r w:rsidRPr="003E3A1D">
        <w:t xml:space="preserve">2022 első három hónapjában a </w:t>
      </w:r>
      <w:r w:rsidRPr="003E3A1D">
        <w:rPr>
          <w:b/>
          <w:bCs/>
        </w:rPr>
        <w:t>költségvetési szervek bevételei</w:t>
      </w:r>
      <w:r w:rsidRPr="003E3A1D">
        <w:t xml:space="preserve"> összesen 768,6 milliárd forintot tettek ki, amely 191,7 milliárd forinttal magasabb az előző év azonos időszakához képest. Az intézmények bevételei közül 239,2 milliárd forintot tett ki a Nemzeti Egészségbiztosítási Alapkezelő által az egészségügyi intézményeknek utalt támogatás. Ezen felül 186,1 milliárd forintos jóváírás tört</w:t>
      </w:r>
      <w:r w:rsidR="007F74F7" w:rsidRPr="003E3A1D">
        <w:t>ént a Klebelsberg Központnál a „</w:t>
      </w:r>
      <w:r w:rsidRPr="003E3A1D">
        <w:t>Helyreállítási és Ellenállóképességi Eszkö</w:t>
      </w:r>
      <w:r w:rsidR="007F74F7" w:rsidRPr="003E3A1D">
        <w:t>z (RRF)”</w:t>
      </w:r>
      <w:r w:rsidRPr="003E3A1D">
        <w:t xml:space="preserve"> uniós központi kezelésű előirányzatról a digitális oktatáshoz való egyenlő hozzáférés feltételeinek biztosítása érdekében a tanulók és a pedagógusok számára.</w:t>
      </w:r>
    </w:p>
    <w:p w14:paraId="3BEBE3C9" w14:textId="457AB262" w:rsidR="00B34951" w:rsidRPr="003E3A1D" w:rsidRDefault="4AC3BDA3" w:rsidP="4AC3BDA3">
      <w:r w:rsidRPr="003E3A1D">
        <w:t>A</w:t>
      </w:r>
      <w:r w:rsidRPr="003E3A1D">
        <w:rPr>
          <w:b/>
          <w:bCs/>
        </w:rPr>
        <w:t xml:space="preserve"> </w:t>
      </w:r>
      <w:r w:rsidR="00EA346B">
        <w:rPr>
          <w:b/>
          <w:bCs/>
        </w:rPr>
        <w:t>S</w:t>
      </w:r>
      <w:r w:rsidRPr="003E3A1D">
        <w:rPr>
          <w:b/>
          <w:bCs/>
        </w:rPr>
        <w:t>zakmai fejezeti kezelésű előirányzatok saját bevételei</w:t>
      </w:r>
      <w:r w:rsidRPr="003E3A1D">
        <w:t xml:space="preserve"> mérlegsoron 2022 első három hónapjában 189,4 milliárd forint bevétel keletkezett, mely 8,7%-kal alacsonyabb az előző év azonos időszakának bevételeihez képest. A bevételek jelentős részét (50,5 milliárd forint) az „Alapok alapja GINOP pénzügyi eszközök” törvényi sorra befolyt összeg teszi ki, mely nem uniós bevételként jóváírt tétel.</w:t>
      </w:r>
    </w:p>
    <w:p w14:paraId="7341921A" w14:textId="7333BACA" w:rsidR="00B654A9" w:rsidRPr="003E3A1D" w:rsidRDefault="4AC3BDA3" w:rsidP="00716265">
      <w:r w:rsidRPr="003E3A1D">
        <w:rPr>
          <w:b/>
          <w:bCs/>
        </w:rPr>
        <w:t>A 2022. március végi, mintegy 958 milliárd forint összegű bevételek</w:t>
      </w:r>
      <w:r w:rsidRPr="003E3A1D">
        <w:t xml:space="preserve"> megoszlását a következő grafikon szemlélteti:</w:t>
      </w:r>
    </w:p>
    <w:p w14:paraId="1CFC1A26" w14:textId="36D13C0E" w:rsidR="00A6041E" w:rsidRPr="003E3A1D" w:rsidRDefault="000E0E98" w:rsidP="001B7FFC">
      <w:pPr>
        <w:spacing w:before="120"/>
        <w:jc w:val="center"/>
      </w:pPr>
      <w:r w:rsidRPr="003E3A1D">
        <w:rPr>
          <w:noProof/>
        </w:rPr>
        <w:drawing>
          <wp:inline distT="0" distB="0" distL="0" distR="0" wp14:anchorId="6E115701" wp14:editId="17B15A4A">
            <wp:extent cx="5940425" cy="3296739"/>
            <wp:effectExtent l="0" t="0" r="3175" b="0"/>
            <wp:docPr id="22" name="Kép 22" descr="Z:\Áht_gyors_moni\2022_03_márc\0_feljegyzés_monitoring\ábrák\____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2_03_márc\0_feljegyzés_monitoring\ábrák\____szervek_fejkezek_bevétele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296739"/>
                    </a:xfrm>
                    <a:prstGeom prst="rect">
                      <a:avLst/>
                    </a:prstGeom>
                    <a:noFill/>
                    <a:ln>
                      <a:noFill/>
                    </a:ln>
                  </pic:spPr>
                </pic:pic>
              </a:graphicData>
            </a:graphic>
          </wp:inline>
        </w:drawing>
      </w:r>
    </w:p>
    <w:p w14:paraId="2B6682A9" w14:textId="78BEC40B" w:rsidR="003D1AA1" w:rsidRPr="003E3A1D" w:rsidRDefault="4AC3BDA3" w:rsidP="008D5FD2">
      <w:pPr>
        <w:widowControl w:val="0"/>
      </w:pPr>
      <w:r w:rsidRPr="003E3A1D">
        <w:t xml:space="preserve">A </w:t>
      </w:r>
      <w:r w:rsidR="00EA346B">
        <w:rPr>
          <w:b/>
          <w:bCs/>
        </w:rPr>
        <w:t>K</w:t>
      </w:r>
      <w:r w:rsidRPr="003E3A1D">
        <w:rPr>
          <w:b/>
          <w:bCs/>
        </w:rPr>
        <w:t>öltségvetési szervek kiadásai</w:t>
      </w:r>
      <w:r w:rsidRPr="003E3A1D">
        <w:t xml:space="preserve"> mérlegsoron 2022 első három hónapjában 1727,5 milliárd forint kiadás teljesült, mely 3,6%-kal maradt el az előző év azonos időszakától. Az elmaradás oka, hogy a felsőoktatási intézmények jelentős része 2022-ben már teljes évben alapítványi formában működik, ezáltal a finanszírozásuk a fejezeti kezelésű előirányzatokról történik.</w:t>
      </w:r>
    </w:p>
    <w:p w14:paraId="773543EE" w14:textId="79BAE88C" w:rsidR="008D5FD2" w:rsidRPr="003E3A1D" w:rsidRDefault="4AC3BDA3" w:rsidP="008D5FD2">
      <w:pPr>
        <w:widowControl w:val="0"/>
      </w:pPr>
      <w:r w:rsidRPr="003E3A1D">
        <w:t xml:space="preserve">A </w:t>
      </w:r>
      <w:r w:rsidR="00EA346B">
        <w:rPr>
          <w:b/>
          <w:bCs/>
        </w:rPr>
        <w:t>S</w:t>
      </w:r>
      <w:r w:rsidRPr="003E3A1D">
        <w:rPr>
          <w:b/>
          <w:bCs/>
        </w:rPr>
        <w:t xml:space="preserve">zakmai fejezeti kezelésű előirányzatok kiadásai </w:t>
      </w:r>
      <w:r w:rsidRPr="003E3A1D">
        <w:t>mérlegsoron</w:t>
      </w:r>
      <w:r w:rsidRPr="003E3A1D">
        <w:rPr>
          <w:b/>
          <w:bCs/>
        </w:rPr>
        <w:t xml:space="preserve"> </w:t>
      </w:r>
      <w:r w:rsidRPr="003E3A1D">
        <w:t xml:space="preserve">2022 első három hónapjában 1748,0 milliárd forint kiadás teljesült, mely 690,3 milliárd forinttal magasabb volt, mint az előző év azonos hónapjainak kiadása. </w:t>
      </w:r>
    </w:p>
    <w:p w14:paraId="61D1DCC5" w14:textId="4CD93285" w:rsidR="00825F7A" w:rsidRPr="003E3A1D" w:rsidRDefault="4AC3BDA3" w:rsidP="006755DE">
      <w:pPr>
        <w:keepNext/>
        <w:rPr>
          <w:bCs/>
        </w:rPr>
      </w:pPr>
      <w:r w:rsidRPr="003E3A1D">
        <w:lastRenderedPageBreak/>
        <w:t>Ezen időszak teljesítéséből az alábbi kiadások emelhetők ki:</w:t>
      </w:r>
    </w:p>
    <w:p w14:paraId="08023EA2" w14:textId="77777777" w:rsidR="00825F7A" w:rsidRPr="003E3A1D" w:rsidRDefault="4AC3BDA3" w:rsidP="4AC3BDA3">
      <w:pPr>
        <w:keepNext/>
        <w:spacing w:before="120"/>
        <w:jc w:val="right"/>
        <w:rPr>
          <w:i/>
          <w:iCs/>
          <w:sz w:val="20"/>
        </w:rPr>
      </w:pPr>
      <w:r w:rsidRPr="003E3A1D">
        <w:rPr>
          <w:i/>
          <w:iCs/>
          <w:sz w:val="20"/>
        </w:rPr>
        <w:t>milliárd forint</w:t>
      </w:r>
    </w:p>
    <w:tbl>
      <w:tblPr>
        <w:tblStyle w:val="Rcsostblzat"/>
        <w:tblW w:w="0" w:type="auto"/>
        <w:jc w:val="center"/>
        <w:tblLayout w:type="fixed"/>
        <w:tblLook w:val="04A0" w:firstRow="1" w:lastRow="0" w:firstColumn="1" w:lastColumn="0" w:noHBand="0" w:noVBand="1"/>
      </w:tblPr>
      <w:tblGrid>
        <w:gridCol w:w="7797"/>
        <w:gridCol w:w="1559"/>
      </w:tblGrid>
      <w:tr w:rsidR="003E3A1D" w:rsidRPr="003E3A1D" w14:paraId="1C9E4F6B" w14:textId="77777777" w:rsidTr="4AC3BDA3">
        <w:trPr>
          <w:jc w:val="center"/>
        </w:trPr>
        <w:tc>
          <w:tcPr>
            <w:tcW w:w="7797" w:type="dxa"/>
          </w:tcPr>
          <w:p w14:paraId="7954DA09" w14:textId="77777777" w:rsidR="00E257F1" w:rsidRPr="003E3A1D" w:rsidRDefault="4AC3BDA3" w:rsidP="007F74F7">
            <w:pPr>
              <w:spacing w:before="60" w:after="60"/>
              <w:rPr>
                <w:sz w:val="20"/>
              </w:rPr>
            </w:pPr>
            <w:r w:rsidRPr="003E3A1D">
              <w:rPr>
                <w:sz w:val="20"/>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1559" w:type="dxa"/>
          </w:tcPr>
          <w:p w14:paraId="473D7AD6" w14:textId="77777777" w:rsidR="00E257F1" w:rsidRPr="003E3A1D" w:rsidRDefault="4AC3BDA3" w:rsidP="4AC3BDA3">
            <w:pPr>
              <w:spacing w:before="60" w:after="60"/>
              <w:jc w:val="right"/>
              <w:rPr>
                <w:sz w:val="20"/>
              </w:rPr>
            </w:pPr>
            <w:r w:rsidRPr="003E3A1D">
              <w:rPr>
                <w:sz w:val="20"/>
              </w:rPr>
              <w:t>137,8</w:t>
            </w:r>
          </w:p>
        </w:tc>
      </w:tr>
      <w:tr w:rsidR="003E3A1D" w:rsidRPr="003E3A1D" w14:paraId="539549ED" w14:textId="77777777" w:rsidTr="4AC3BDA3">
        <w:trPr>
          <w:jc w:val="center"/>
        </w:trPr>
        <w:tc>
          <w:tcPr>
            <w:tcW w:w="7797" w:type="dxa"/>
          </w:tcPr>
          <w:p w14:paraId="62EB538C" w14:textId="77777777" w:rsidR="00302AF5" w:rsidRPr="003E3A1D" w:rsidRDefault="4AC3BDA3" w:rsidP="4AC3BDA3">
            <w:pPr>
              <w:spacing w:before="60" w:after="60"/>
              <w:jc w:val="left"/>
              <w:rPr>
                <w:sz w:val="20"/>
              </w:rPr>
            </w:pPr>
            <w:r w:rsidRPr="003E3A1D">
              <w:rPr>
                <w:sz w:val="20"/>
              </w:rPr>
              <w:t>Közúti fejlesztések</w:t>
            </w:r>
          </w:p>
        </w:tc>
        <w:tc>
          <w:tcPr>
            <w:tcW w:w="1559" w:type="dxa"/>
          </w:tcPr>
          <w:p w14:paraId="78F113E6" w14:textId="39D6AFF6" w:rsidR="00302AF5" w:rsidRPr="003E3A1D" w:rsidRDefault="4AC3BDA3" w:rsidP="4AC3BDA3">
            <w:pPr>
              <w:spacing w:before="60" w:after="60"/>
              <w:jc w:val="right"/>
              <w:rPr>
                <w:sz w:val="20"/>
              </w:rPr>
            </w:pPr>
            <w:r w:rsidRPr="003E3A1D">
              <w:rPr>
                <w:sz w:val="20"/>
              </w:rPr>
              <w:t>111,0</w:t>
            </w:r>
          </w:p>
        </w:tc>
      </w:tr>
      <w:tr w:rsidR="003E3A1D" w:rsidRPr="003E3A1D" w14:paraId="730E2497" w14:textId="77777777" w:rsidTr="4AC3BDA3">
        <w:trPr>
          <w:jc w:val="center"/>
        </w:trPr>
        <w:tc>
          <w:tcPr>
            <w:tcW w:w="7797" w:type="dxa"/>
          </w:tcPr>
          <w:p w14:paraId="520DAE7B" w14:textId="77777777" w:rsidR="00B207EB" w:rsidRPr="003E3A1D" w:rsidRDefault="4AC3BDA3" w:rsidP="4AC3BDA3">
            <w:pPr>
              <w:spacing w:before="60" w:after="60"/>
              <w:jc w:val="left"/>
              <w:rPr>
                <w:sz w:val="20"/>
              </w:rPr>
            </w:pPr>
            <w:r w:rsidRPr="003E3A1D">
              <w:rPr>
                <w:sz w:val="20"/>
              </w:rPr>
              <w:t>Turisztikai fejlesztési célelőirányzat</w:t>
            </w:r>
          </w:p>
        </w:tc>
        <w:tc>
          <w:tcPr>
            <w:tcW w:w="1559" w:type="dxa"/>
          </w:tcPr>
          <w:p w14:paraId="71EB8304" w14:textId="470ACCC2" w:rsidR="00B207EB" w:rsidRPr="003E3A1D" w:rsidRDefault="4AC3BDA3" w:rsidP="4AC3BDA3">
            <w:pPr>
              <w:spacing w:before="60" w:after="60"/>
              <w:jc w:val="right"/>
              <w:rPr>
                <w:sz w:val="20"/>
              </w:rPr>
            </w:pPr>
            <w:r w:rsidRPr="003E3A1D">
              <w:rPr>
                <w:sz w:val="20"/>
              </w:rPr>
              <w:t>95,9</w:t>
            </w:r>
          </w:p>
        </w:tc>
      </w:tr>
      <w:tr w:rsidR="003E3A1D" w:rsidRPr="003E3A1D" w14:paraId="7E7A1222" w14:textId="77777777" w:rsidTr="4AC3BDA3">
        <w:trPr>
          <w:jc w:val="center"/>
        </w:trPr>
        <w:tc>
          <w:tcPr>
            <w:tcW w:w="7797" w:type="dxa"/>
          </w:tcPr>
          <w:p w14:paraId="279229AE" w14:textId="607B2EDC" w:rsidR="00D14E42" w:rsidRPr="003E3A1D" w:rsidRDefault="4AC3BDA3" w:rsidP="4AC3BDA3">
            <w:pPr>
              <w:spacing w:before="60" w:after="60"/>
              <w:jc w:val="left"/>
              <w:rPr>
                <w:sz w:val="20"/>
              </w:rPr>
            </w:pPr>
            <w:r w:rsidRPr="003E3A1D">
              <w:rPr>
                <w:sz w:val="20"/>
              </w:rPr>
              <w:t>Nem állami felsőoktatási intézmények támogatása</w:t>
            </w:r>
          </w:p>
        </w:tc>
        <w:tc>
          <w:tcPr>
            <w:tcW w:w="1559" w:type="dxa"/>
          </w:tcPr>
          <w:p w14:paraId="4DEFAAD8" w14:textId="2AEF1C76" w:rsidR="00D14E42" w:rsidRPr="003E3A1D" w:rsidRDefault="4AC3BDA3" w:rsidP="4AC3BDA3">
            <w:pPr>
              <w:spacing w:before="60" w:after="60"/>
              <w:jc w:val="right"/>
              <w:rPr>
                <w:sz w:val="20"/>
              </w:rPr>
            </w:pPr>
            <w:r w:rsidRPr="003E3A1D">
              <w:rPr>
                <w:sz w:val="20"/>
              </w:rPr>
              <w:t>79,7</w:t>
            </w:r>
          </w:p>
        </w:tc>
      </w:tr>
      <w:tr w:rsidR="003E3A1D" w:rsidRPr="003E3A1D" w14:paraId="403CF2ED" w14:textId="77777777" w:rsidTr="4AC3BDA3">
        <w:trPr>
          <w:jc w:val="center"/>
        </w:trPr>
        <w:tc>
          <w:tcPr>
            <w:tcW w:w="7797" w:type="dxa"/>
          </w:tcPr>
          <w:p w14:paraId="016902C0" w14:textId="77777777" w:rsidR="00E257F1" w:rsidRPr="003E3A1D" w:rsidRDefault="4AC3BDA3" w:rsidP="4AC3BDA3">
            <w:pPr>
              <w:spacing w:before="60" w:after="60"/>
              <w:jc w:val="left"/>
              <w:rPr>
                <w:sz w:val="20"/>
              </w:rPr>
            </w:pPr>
            <w:r w:rsidRPr="003E3A1D">
              <w:rPr>
                <w:sz w:val="20"/>
              </w:rPr>
              <w:t>Egyházi működési, program és fejlesztési támogatások</w:t>
            </w:r>
          </w:p>
        </w:tc>
        <w:tc>
          <w:tcPr>
            <w:tcW w:w="1559" w:type="dxa"/>
          </w:tcPr>
          <w:p w14:paraId="349B2DE8" w14:textId="77777777" w:rsidR="00E257F1" w:rsidRPr="003E3A1D" w:rsidRDefault="4AC3BDA3" w:rsidP="4AC3BDA3">
            <w:pPr>
              <w:spacing w:before="60" w:after="60"/>
              <w:jc w:val="right"/>
              <w:rPr>
                <w:sz w:val="20"/>
              </w:rPr>
            </w:pPr>
            <w:r w:rsidRPr="003E3A1D">
              <w:rPr>
                <w:sz w:val="20"/>
              </w:rPr>
              <w:t>57,5</w:t>
            </w:r>
          </w:p>
        </w:tc>
      </w:tr>
      <w:tr w:rsidR="003E3A1D" w:rsidRPr="003E3A1D" w14:paraId="7F585BAE" w14:textId="77777777" w:rsidTr="4AC3BDA3">
        <w:trPr>
          <w:jc w:val="center"/>
        </w:trPr>
        <w:tc>
          <w:tcPr>
            <w:tcW w:w="7797" w:type="dxa"/>
          </w:tcPr>
          <w:p w14:paraId="636A90B1" w14:textId="77777777" w:rsidR="00B30899" w:rsidRPr="003E3A1D" w:rsidRDefault="4AC3BDA3" w:rsidP="4AC3BDA3">
            <w:pPr>
              <w:spacing w:before="60" w:after="60"/>
              <w:jc w:val="left"/>
              <w:rPr>
                <w:sz w:val="20"/>
              </w:rPr>
            </w:pPr>
            <w:r w:rsidRPr="003E3A1D">
              <w:rPr>
                <w:sz w:val="20"/>
              </w:rPr>
              <w:t>Közlekedési ágazati programok</w:t>
            </w:r>
          </w:p>
        </w:tc>
        <w:tc>
          <w:tcPr>
            <w:tcW w:w="1559" w:type="dxa"/>
          </w:tcPr>
          <w:p w14:paraId="0A3DC918" w14:textId="6574F9E1" w:rsidR="00B30899" w:rsidRPr="003E3A1D" w:rsidRDefault="4AC3BDA3" w:rsidP="4AC3BDA3">
            <w:pPr>
              <w:spacing w:before="60" w:after="60"/>
              <w:jc w:val="right"/>
              <w:rPr>
                <w:sz w:val="20"/>
              </w:rPr>
            </w:pPr>
            <w:r w:rsidRPr="003E3A1D">
              <w:rPr>
                <w:sz w:val="20"/>
              </w:rPr>
              <w:t>52,9</w:t>
            </w:r>
          </w:p>
        </w:tc>
      </w:tr>
      <w:tr w:rsidR="003E3A1D" w:rsidRPr="003E3A1D" w14:paraId="76D2D414" w14:textId="77777777" w:rsidTr="4AC3BDA3">
        <w:trPr>
          <w:jc w:val="center"/>
        </w:trPr>
        <w:tc>
          <w:tcPr>
            <w:tcW w:w="7797" w:type="dxa"/>
          </w:tcPr>
          <w:p w14:paraId="7C7ED872" w14:textId="36F5FEA0" w:rsidR="00172024" w:rsidRPr="003E3A1D" w:rsidRDefault="4AC3BDA3" w:rsidP="4AC3BDA3">
            <w:pPr>
              <w:spacing w:before="60" w:after="60"/>
              <w:jc w:val="left"/>
              <w:rPr>
                <w:sz w:val="20"/>
              </w:rPr>
            </w:pPr>
            <w:r w:rsidRPr="003E3A1D">
              <w:rPr>
                <w:sz w:val="20"/>
              </w:rPr>
              <w:t>Beruházás ösztönzési célelőirányzat</w:t>
            </w:r>
          </w:p>
        </w:tc>
        <w:tc>
          <w:tcPr>
            <w:tcW w:w="1559" w:type="dxa"/>
          </w:tcPr>
          <w:p w14:paraId="29427D6F" w14:textId="163614DF" w:rsidR="00172024" w:rsidRPr="003E3A1D" w:rsidRDefault="4AC3BDA3" w:rsidP="4AC3BDA3">
            <w:pPr>
              <w:spacing w:before="60" w:after="60"/>
              <w:jc w:val="right"/>
              <w:rPr>
                <w:sz w:val="20"/>
              </w:rPr>
            </w:pPr>
            <w:r w:rsidRPr="003E3A1D">
              <w:rPr>
                <w:sz w:val="20"/>
              </w:rPr>
              <w:t>35,2</w:t>
            </w:r>
          </w:p>
        </w:tc>
      </w:tr>
      <w:tr w:rsidR="003E3A1D" w:rsidRPr="003E3A1D" w14:paraId="0308CDDB" w14:textId="77777777" w:rsidTr="4AC3BDA3">
        <w:trPr>
          <w:jc w:val="center"/>
        </w:trPr>
        <w:tc>
          <w:tcPr>
            <w:tcW w:w="7797" w:type="dxa"/>
          </w:tcPr>
          <w:p w14:paraId="2B98EEC7" w14:textId="77777777" w:rsidR="00E257F1" w:rsidRPr="003E3A1D" w:rsidRDefault="4AC3BDA3" w:rsidP="4AC3BDA3">
            <w:pPr>
              <w:spacing w:before="60" w:after="60"/>
              <w:jc w:val="left"/>
              <w:rPr>
                <w:sz w:val="20"/>
              </w:rPr>
            </w:pPr>
            <w:r w:rsidRPr="003E3A1D">
              <w:rPr>
                <w:sz w:val="20"/>
              </w:rPr>
              <w:t>Modern Városok Program</w:t>
            </w:r>
          </w:p>
        </w:tc>
        <w:tc>
          <w:tcPr>
            <w:tcW w:w="1559" w:type="dxa"/>
          </w:tcPr>
          <w:p w14:paraId="250D1C70" w14:textId="77777777" w:rsidR="00E257F1" w:rsidRPr="003E3A1D" w:rsidRDefault="4AC3BDA3" w:rsidP="4AC3BDA3">
            <w:pPr>
              <w:spacing w:before="60" w:after="60"/>
              <w:jc w:val="right"/>
              <w:rPr>
                <w:sz w:val="20"/>
              </w:rPr>
            </w:pPr>
            <w:r w:rsidRPr="003E3A1D">
              <w:rPr>
                <w:sz w:val="20"/>
              </w:rPr>
              <w:t>33,2</w:t>
            </w:r>
          </w:p>
        </w:tc>
      </w:tr>
      <w:tr w:rsidR="003E3A1D" w:rsidRPr="003E3A1D" w14:paraId="356E5A07" w14:textId="77777777" w:rsidTr="4AC3BDA3">
        <w:trPr>
          <w:jc w:val="center"/>
        </w:trPr>
        <w:tc>
          <w:tcPr>
            <w:tcW w:w="7797" w:type="dxa"/>
          </w:tcPr>
          <w:p w14:paraId="78B998E5" w14:textId="59CEA873" w:rsidR="00172024" w:rsidRPr="003E3A1D" w:rsidRDefault="4AC3BDA3" w:rsidP="4AC3BDA3">
            <w:pPr>
              <w:spacing w:before="60" w:after="60"/>
              <w:jc w:val="left"/>
              <w:rPr>
                <w:sz w:val="20"/>
              </w:rPr>
            </w:pPr>
            <w:r w:rsidRPr="003E3A1D">
              <w:rPr>
                <w:sz w:val="20"/>
              </w:rPr>
              <w:t>Művészeti tevékenységek és egyéb feladatok támogatása</w:t>
            </w:r>
          </w:p>
        </w:tc>
        <w:tc>
          <w:tcPr>
            <w:tcW w:w="1559" w:type="dxa"/>
          </w:tcPr>
          <w:p w14:paraId="032B7684" w14:textId="68213930" w:rsidR="00172024" w:rsidRPr="003E3A1D" w:rsidRDefault="4AC3BDA3" w:rsidP="4AC3BDA3">
            <w:pPr>
              <w:spacing w:before="60" w:after="60"/>
              <w:jc w:val="right"/>
              <w:rPr>
                <w:sz w:val="20"/>
              </w:rPr>
            </w:pPr>
            <w:r w:rsidRPr="003E3A1D">
              <w:rPr>
                <w:sz w:val="20"/>
              </w:rPr>
              <w:t>32,6</w:t>
            </w:r>
          </w:p>
        </w:tc>
      </w:tr>
      <w:tr w:rsidR="003E3A1D" w:rsidRPr="003E3A1D" w14:paraId="661F89C6" w14:textId="77777777" w:rsidTr="4AC3BDA3">
        <w:trPr>
          <w:jc w:val="center"/>
        </w:trPr>
        <w:tc>
          <w:tcPr>
            <w:tcW w:w="7797" w:type="dxa"/>
          </w:tcPr>
          <w:p w14:paraId="2053F112" w14:textId="2BF0437A" w:rsidR="00E257F1" w:rsidRPr="003E3A1D" w:rsidRDefault="4AC3BDA3" w:rsidP="4AC3BDA3">
            <w:pPr>
              <w:spacing w:before="60" w:after="60"/>
              <w:jc w:val="left"/>
              <w:rPr>
                <w:sz w:val="20"/>
              </w:rPr>
            </w:pPr>
            <w:r w:rsidRPr="003E3A1D">
              <w:rPr>
                <w:sz w:val="20"/>
              </w:rPr>
              <w:t>Autópálya rendelkezésre állási díj</w:t>
            </w:r>
          </w:p>
        </w:tc>
        <w:tc>
          <w:tcPr>
            <w:tcW w:w="1559" w:type="dxa"/>
          </w:tcPr>
          <w:p w14:paraId="4F540A64" w14:textId="12DA13B4" w:rsidR="00E257F1" w:rsidRPr="003E3A1D" w:rsidRDefault="4AC3BDA3" w:rsidP="4AC3BDA3">
            <w:pPr>
              <w:spacing w:before="60" w:after="60"/>
              <w:jc w:val="right"/>
              <w:rPr>
                <w:sz w:val="20"/>
              </w:rPr>
            </w:pPr>
            <w:r w:rsidRPr="003E3A1D">
              <w:rPr>
                <w:sz w:val="20"/>
              </w:rPr>
              <w:t>26,2</w:t>
            </w:r>
          </w:p>
        </w:tc>
      </w:tr>
      <w:tr w:rsidR="003E3A1D" w:rsidRPr="003E3A1D" w14:paraId="0394EE4A" w14:textId="77777777" w:rsidTr="4AC3BDA3">
        <w:trPr>
          <w:jc w:val="center"/>
        </w:trPr>
        <w:tc>
          <w:tcPr>
            <w:tcW w:w="7797" w:type="dxa"/>
          </w:tcPr>
          <w:p w14:paraId="03B4C36A" w14:textId="77777777" w:rsidR="00D14E42" w:rsidRPr="003E3A1D" w:rsidRDefault="4AC3BDA3" w:rsidP="4AC3BDA3">
            <w:pPr>
              <w:spacing w:before="60" w:after="60"/>
              <w:jc w:val="left"/>
              <w:rPr>
                <w:sz w:val="20"/>
              </w:rPr>
            </w:pPr>
            <w:r w:rsidRPr="003E3A1D">
              <w:rPr>
                <w:sz w:val="20"/>
              </w:rPr>
              <w:t>Kulturális értékmegőrző beruházások</w:t>
            </w:r>
          </w:p>
        </w:tc>
        <w:tc>
          <w:tcPr>
            <w:tcW w:w="1559" w:type="dxa"/>
          </w:tcPr>
          <w:p w14:paraId="09C271D0" w14:textId="4D17F015" w:rsidR="00D14E42" w:rsidRPr="003E3A1D" w:rsidRDefault="4AC3BDA3" w:rsidP="4AC3BDA3">
            <w:pPr>
              <w:spacing w:before="60" w:after="60"/>
              <w:jc w:val="right"/>
              <w:rPr>
                <w:sz w:val="20"/>
              </w:rPr>
            </w:pPr>
            <w:r w:rsidRPr="003E3A1D">
              <w:rPr>
                <w:sz w:val="20"/>
              </w:rPr>
              <w:t>26,0</w:t>
            </w:r>
          </w:p>
        </w:tc>
      </w:tr>
    </w:tbl>
    <w:p w14:paraId="050B222C" w14:textId="117880FE" w:rsidR="00677C49" w:rsidRPr="003E3A1D" w:rsidRDefault="00825F7A" w:rsidP="00C036D0">
      <w:r w:rsidRPr="003E3A1D">
        <w:br/>
      </w:r>
      <w:r w:rsidR="4AC3BDA3" w:rsidRPr="003E3A1D">
        <w:t>A két év első három hónapjának kiadásai közötti eltérést okozó tényezők közül kiemelhetők a közúti fejlesztésekre, a turisztikai fejlesztési célelőirányzatra, a nem állami felsőoktatási intézmények támogatására, valamint az egyházi működési, program és fejlesztési támogatásokra kifizetett összegek. Ezen felül ezen időszakban kiemelkedő összegűek voltak a Megtakarítási Alapba történő befizetések.</w:t>
      </w:r>
    </w:p>
    <w:p w14:paraId="32840DF9" w14:textId="00FD79A7" w:rsidR="009806EA" w:rsidRPr="003E3A1D" w:rsidRDefault="4AC3BDA3" w:rsidP="00C036D0">
      <w:r w:rsidRPr="003E3A1D">
        <w:t xml:space="preserve">A </w:t>
      </w:r>
      <w:r w:rsidRPr="003E3A1D">
        <w:rPr>
          <w:b/>
          <w:bCs/>
        </w:rPr>
        <w:t>2022. március végi, mintegy 3480 milliárd forint összegű kiadások</w:t>
      </w:r>
      <w:r w:rsidRPr="003E3A1D">
        <w:t xml:space="preserve"> megoszlását a következő grafikon szemlélteti:</w:t>
      </w:r>
    </w:p>
    <w:p w14:paraId="1D9225EC" w14:textId="77777777" w:rsidR="008D5FD2" w:rsidRPr="003E3A1D" w:rsidRDefault="008D5FD2" w:rsidP="0012048C"/>
    <w:p w14:paraId="7BBF8F82" w14:textId="4C0DA808" w:rsidR="00904220" w:rsidRPr="003E3A1D" w:rsidRDefault="00E12B46" w:rsidP="001B7FFC">
      <w:pPr>
        <w:jc w:val="center"/>
      </w:pPr>
      <w:r w:rsidRPr="003E3A1D">
        <w:rPr>
          <w:noProof/>
        </w:rPr>
        <w:drawing>
          <wp:inline distT="0" distB="0" distL="0" distR="0" wp14:anchorId="4DDAD8D7" wp14:editId="1DC64652">
            <wp:extent cx="5940425" cy="3231716"/>
            <wp:effectExtent l="0" t="0" r="3175" b="6985"/>
            <wp:docPr id="23" name="Kép 23" descr="Z:\Áht_gyors_moni\2022_03_márc\0_feljegyzés_monitoring\ábrák\___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2_03_márc\0_feljegyzés_monitoring\ábrák\___szervek_fejkezek_kiadása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231716"/>
                    </a:xfrm>
                    <a:prstGeom prst="rect">
                      <a:avLst/>
                    </a:prstGeom>
                    <a:noFill/>
                    <a:ln>
                      <a:noFill/>
                    </a:ln>
                  </pic:spPr>
                </pic:pic>
              </a:graphicData>
            </a:graphic>
          </wp:inline>
        </w:drawing>
      </w:r>
    </w:p>
    <w:p w14:paraId="5D4F03D6" w14:textId="0044AD01" w:rsidR="00325D3E" w:rsidRPr="003E3A1D" w:rsidRDefault="00325D3E" w:rsidP="004D057C">
      <w:r w:rsidRPr="003E3A1D">
        <w:br w:type="page"/>
      </w:r>
    </w:p>
    <w:p w14:paraId="5D4F03D8" w14:textId="77777777" w:rsidR="00A83A7D" w:rsidRPr="003E3A1D" w:rsidRDefault="4AC3BDA3" w:rsidP="4AC3BDA3">
      <w:pPr>
        <w:pStyle w:val="Cmsor3"/>
        <w:numPr>
          <w:ilvl w:val="0"/>
          <w:numId w:val="8"/>
        </w:numPr>
        <w:spacing w:before="0" w:after="120"/>
        <w:jc w:val="left"/>
        <w:rPr>
          <w:sz w:val="26"/>
          <w:szCs w:val="26"/>
        </w:rPr>
      </w:pPr>
      <w:r w:rsidRPr="003E3A1D">
        <w:rPr>
          <w:sz w:val="26"/>
          <w:szCs w:val="26"/>
        </w:rPr>
        <w:lastRenderedPageBreak/>
        <w:t>Kamategyenleg</w:t>
      </w:r>
    </w:p>
    <w:p w14:paraId="1827C763" w14:textId="4839A200" w:rsidR="003934EA" w:rsidRPr="003E3A1D" w:rsidRDefault="4AC3BDA3" w:rsidP="00C036D0">
      <w:pPr>
        <w:widowControl w:val="0"/>
      </w:pPr>
      <w:r w:rsidRPr="003E3A1D">
        <w:t xml:space="preserve">A bevételek és kiadások egyenlegeként adódó </w:t>
      </w:r>
      <w:r w:rsidR="00566428" w:rsidRPr="003E3A1D">
        <w:t>189,0</w:t>
      </w:r>
      <w:r w:rsidRPr="003E3A1D">
        <w:t xml:space="preserve"> milliárd forint összegű </w:t>
      </w:r>
      <w:r w:rsidRPr="003E3A1D">
        <w:rPr>
          <w:b/>
          <w:bCs/>
        </w:rPr>
        <w:t>nettó kamatkiadás</w:t>
      </w:r>
      <w:r w:rsidRPr="003E3A1D">
        <w:t xml:space="preserve"> </w:t>
      </w:r>
      <w:r w:rsidR="00566428" w:rsidRPr="003E3A1D">
        <w:t>60,7</w:t>
      </w:r>
      <w:r w:rsidRPr="003E3A1D">
        <w:t> milliárd forinttal lett több az előző év azonos időszakához képest, mely a kamatfizetések éven belüli eltérő lefutásával, az előző évitől különböző hozamokkal és finanszírozási szerkezettel magyarázható.</w:t>
      </w:r>
    </w:p>
    <w:p w14:paraId="4E88F94B" w14:textId="77777777" w:rsidR="008D5FD2" w:rsidRPr="003E3A1D" w:rsidRDefault="008D5FD2" w:rsidP="008D5FD2">
      <w:pPr>
        <w:widowControl w:val="0"/>
      </w:pPr>
    </w:p>
    <w:p w14:paraId="53E1E684" w14:textId="4CD2DD68" w:rsidR="004C30D8" w:rsidRPr="003E3A1D" w:rsidRDefault="4AC3BDA3" w:rsidP="4AC3BDA3">
      <w:pPr>
        <w:tabs>
          <w:tab w:val="left" w:pos="550"/>
        </w:tabs>
        <w:spacing w:before="120"/>
        <w:jc w:val="center"/>
        <w:rPr>
          <w:b/>
          <w:bCs/>
          <w:sz w:val="20"/>
        </w:rPr>
      </w:pPr>
      <w:r w:rsidRPr="003E3A1D">
        <w:rPr>
          <w:b/>
          <w:bCs/>
          <w:sz w:val="20"/>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4755"/>
        <w:gridCol w:w="1134"/>
        <w:gridCol w:w="1276"/>
      </w:tblGrid>
      <w:tr w:rsidR="003E3A1D" w:rsidRPr="003E3A1D" w14:paraId="50A6EC76" w14:textId="77777777" w:rsidTr="0011648B">
        <w:trPr>
          <w:trHeight w:val="397"/>
          <w:jc w:val="center"/>
        </w:trPr>
        <w:tc>
          <w:tcPr>
            <w:tcW w:w="4755"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3D1DD050" w14:textId="244AB689" w:rsidR="00285E8E" w:rsidRPr="003E3A1D" w:rsidRDefault="4AC3BDA3" w:rsidP="0011648B">
            <w:pPr>
              <w:spacing w:after="0"/>
              <w:contextualSpacing/>
              <w:jc w:val="center"/>
              <w:rPr>
                <w:b/>
                <w:bCs/>
                <w:sz w:val="22"/>
                <w:szCs w:val="24"/>
              </w:rPr>
            </w:pPr>
            <w:r w:rsidRPr="003E3A1D">
              <w:rPr>
                <w:b/>
                <w:bCs/>
                <w:sz w:val="22"/>
                <w:szCs w:val="24"/>
              </w:rPr>
              <w:t> </w:t>
            </w:r>
          </w:p>
        </w:tc>
        <w:tc>
          <w:tcPr>
            <w:tcW w:w="2410" w:type="dxa"/>
            <w:gridSpan w:val="2"/>
            <w:tcBorders>
              <w:top w:val="single" w:sz="4" w:space="0" w:color="auto"/>
              <w:left w:val="nil"/>
              <w:bottom w:val="nil"/>
              <w:right w:val="single" w:sz="4" w:space="0" w:color="000000" w:themeColor="text1"/>
            </w:tcBorders>
            <w:shd w:val="clear" w:color="auto" w:fill="auto"/>
            <w:noWrap/>
            <w:vAlign w:val="center"/>
            <w:hideMark/>
          </w:tcPr>
          <w:p w14:paraId="3BCD5E49" w14:textId="66BB796B" w:rsidR="00285E8E" w:rsidRPr="003E3A1D" w:rsidRDefault="4AC3BDA3" w:rsidP="0011648B">
            <w:pPr>
              <w:spacing w:after="0"/>
              <w:contextualSpacing/>
              <w:jc w:val="center"/>
              <w:rPr>
                <w:b/>
                <w:bCs/>
                <w:sz w:val="22"/>
                <w:szCs w:val="24"/>
              </w:rPr>
            </w:pPr>
            <w:r w:rsidRPr="003E3A1D">
              <w:rPr>
                <w:b/>
                <w:bCs/>
                <w:sz w:val="22"/>
                <w:szCs w:val="24"/>
              </w:rPr>
              <w:t>I-II</w:t>
            </w:r>
            <w:r w:rsidR="0011648B" w:rsidRPr="003E3A1D">
              <w:rPr>
                <w:b/>
                <w:bCs/>
                <w:sz w:val="22"/>
                <w:szCs w:val="24"/>
              </w:rPr>
              <w:t>I</w:t>
            </w:r>
            <w:r w:rsidRPr="003E3A1D">
              <w:rPr>
                <w:b/>
                <w:bCs/>
                <w:sz w:val="22"/>
                <w:szCs w:val="24"/>
              </w:rPr>
              <w:t>. hó</w:t>
            </w:r>
          </w:p>
        </w:tc>
      </w:tr>
      <w:tr w:rsidR="003E3A1D" w:rsidRPr="003E3A1D" w14:paraId="2427CE9F" w14:textId="77777777" w:rsidTr="0011648B">
        <w:trPr>
          <w:trHeight w:val="397"/>
          <w:jc w:val="center"/>
        </w:trPr>
        <w:tc>
          <w:tcPr>
            <w:tcW w:w="4755" w:type="dxa"/>
            <w:vMerge/>
            <w:tcBorders>
              <w:top w:val="single" w:sz="4" w:space="0" w:color="auto"/>
              <w:left w:val="single" w:sz="4" w:space="0" w:color="auto"/>
              <w:bottom w:val="single" w:sz="4" w:space="0" w:color="000000"/>
              <w:right w:val="single" w:sz="4" w:space="0" w:color="auto"/>
            </w:tcBorders>
            <w:vAlign w:val="center"/>
            <w:hideMark/>
          </w:tcPr>
          <w:p w14:paraId="2ECA51D2" w14:textId="77777777" w:rsidR="00285E8E" w:rsidRPr="003E3A1D" w:rsidRDefault="00285E8E" w:rsidP="0011648B">
            <w:pPr>
              <w:spacing w:after="0"/>
              <w:contextualSpacing/>
              <w:jc w:val="left"/>
              <w:rPr>
                <w:b/>
                <w:bCs/>
                <w:sz w:val="2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AECC" w14:textId="319E4340" w:rsidR="00285E8E" w:rsidRPr="003E3A1D" w:rsidRDefault="4AC3BDA3" w:rsidP="0011648B">
            <w:pPr>
              <w:spacing w:after="0"/>
              <w:contextualSpacing/>
              <w:jc w:val="center"/>
              <w:rPr>
                <w:b/>
                <w:bCs/>
                <w:sz w:val="22"/>
                <w:szCs w:val="24"/>
              </w:rPr>
            </w:pPr>
            <w:r w:rsidRPr="003E3A1D">
              <w:rPr>
                <w:b/>
                <w:bCs/>
                <w:sz w:val="22"/>
                <w:szCs w:val="24"/>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8B82DB" w14:textId="11BF6022" w:rsidR="00285E8E" w:rsidRPr="003E3A1D" w:rsidRDefault="4AC3BDA3" w:rsidP="0011648B">
            <w:pPr>
              <w:spacing w:after="0"/>
              <w:contextualSpacing/>
              <w:jc w:val="center"/>
              <w:rPr>
                <w:b/>
                <w:bCs/>
                <w:sz w:val="22"/>
                <w:szCs w:val="24"/>
              </w:rPr>
            </w:pPr>
            <w:r w:rsidRPr="003E3A1D">
              <w:rPr>
                <w:b/>
                <w:bCs/>
                <w:sz w:val="22"/>
                <w:szCs w:val="24"/>
              </w:rPr>
              <w:t>2022</w:t>
            </w:r>
          </w:p>
        </w:tc>
      </w:tr>
      <w:tr w:rsidR="003E3A1D" w:rsidRPr="003E3A1D" w14:paraId="42F2E0CC" w14:textId="77777777" w:rsidTr="001F0FFE">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E730B" w14:textId="77777777" w:rsidR="00EE1969" w:rsidRPr="003E3A1D" w:rsidRDefault="00EE1969" w:rsidP="0011648B">
            <w:pPr>
              <w:spacing w:after="0"/>
              <w:contextualSpacing/>
              <w:jc w:val="left"/>
              <w:rPr>
                <w:b/>
                <w:bCs/>
                <w:sz w:val="22"/>
                <w:szCs w:val="24"/>
              </w:rPr>
            </w:pPr>
            <w:r w:rsidRPr="003E3A1D">
              <w:rPr>
                <w:b/>
                <w:bCs/>
                <w:sz w:val="22"/>
                <w:szCs w:val="24"/>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3932" w14:textId="603FE021" w:rsidR="00EE1969" w:rsidRPr="003E3A1D" w:rsidRDefault="00EE1969" w:rsidP="001F0FFE">
            <w:pPr>
              <w:spacing w:after="0"/>
              <w:contextualSpacing/>
              <w:jc w:val="right"/>
              <w:rPr>
                <w:b/>
                <w:bCs/>
                <w:sz w:val="22"/>
                <w:szCs w:val="24"/>
              </w:rPr>
            </w:pPr>
            <w:r w:rsidRPr="003E3A1D">
              <w:rPr>
                <w:b/>
                <w:bCs/>
                <w:sz w:val="22"/>
                <w:szCs w:val="24"/>
              </w:rPr>
              <w:t>27,8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F28F4" w14:textId="7362869C" w:rsidR="00EE1969" w:rsidRPr="003E3A1D" w:rsidRDefault="00EE1969" w:rsidP="001F0FFE">
            <w:pPr>
              <w:spacing w:after="0"/>
              <w:contextualSpacing/>
              <w:jc w:val="right"/>
              <w:rPr>
                <w:b/>
                <w:bCs/>
                <w:sz w:val="22"/>
                <w:szCs w:val="24"/>
              </w:rPr>
            </w:pPr>
            <w:r w:rsidRPr="003E3A1D">
              <w:rPr>
                <w:b/>
                <w:bCs/>
                <w:sz w:val="22"/>
                <w:szCs w:val="24"/>
              </w:rPr>
              <w:t>30,2</w:t>
            </w:r>
          </w:p>
        </w:tc>
      </w:tr>
      <w:tr w:rsidR="003E3A1D" w:rsidRPr="003E3A1D" w14:paraId="00D816FC"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6C8E0" w14:textId="77777777" w:rsidR="00EE1969" w:rsidRPr="003E3A1D" w:rsidRDefault="00EE1969" w:rsidP="0011648B">
            <w:pPr>
              <w:spacing w:after="0"/>
              <w:ind w:firstLine="253"/>
              <w:contextualSpacing/>
              <w:jc w:val="left"/>
              <w:rPr>
                <w:b/>
                <w:bCs/>
                <w:sz w:val="22"/>
                <w:szCs w:val="24"/>
              </w:rPr>
            </w:pPr>
            <w:r w:rsidRPr="003E3A1D">
              <w:rPr>
                <w:b/>
                <w:bCs/>
                <w:sz w:val="22"/>
                <w:szCs w:val="24"/>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2040" w14:textId="2C47C0A0" w:rsidR="00EE1969" w:rsidRPr="003E3A1D" w:rsidRDefault="00EE1969" w:rsidP="001F0FFE">
            <w:pPr>
              <w:spacing w:after="0"/>
              <w:contextualSpacing/>
              <w:jc w:val="right"/>
              <w:rPr>
                <w:b/>
                <w:bCs/>
                <w:sz w:val="22"/>
                <w:szCs w:val="24"/>
              </w:rPr>
            </w:pPr>
            <w:r w:rsidRPr="003E3A1D">
              <w:rPr>
                <w:b/>
                <w:bCs/>
                <w:sz w:val="22"/>
                <w:szCs w:val="24"/>
              </w:rPr>
              <w:t>25,2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63203A" w14:textId="6887C41A" w:rsidR="00EE1969" w:rsidRPr="003E3A1D" w:rsidRDefault="00EE1969" w:rsidP="001F0FFE">
            <w:pPr>
              <w:spacing w:after="0"/>
              <w:contextualSpacing/>
              <w:jc w:val="right"/>
              <w:rPr>
                <w:b/>
                <w:bCs/>
                <w:sz w:val="22"/>
                <w:szCs w:val="24"/>
              </w:rPr>
            </w:pPr>
            <w:r w:rsidRPr="003E3A1D">
              <w:rPr>
                <w:b/>
                <w:bCs/>
                <w:sz w:val="22"/>
                <w:szCs w:val="24"/>
              </w:rPr>
              <w:t>9,8</w:t>
            </w:r>
          </w:p>
        </w:tc>
      </w:tr>
      <w:tr w:rsidR="003E3A1D" w:rsidRPr="003E3A1D" w14:paraId="1250D9BA"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7CF660B7" w14:textId="77777777" w:rsidR="00EE1969" w:rsidRPr="003E3A1D" w:rsidRDefault="00EE1969" w:rsidP="0011648B">
            <w:pPr>
              <w:spacing w:after="0"/>
              <w:ind w:firstLine="536"/>
              <w:contextualSpacing/>
              <w:jc w:val="left"/>
              <w:rPr>
                <w:i/>
                <w:iCs/>
                <w:sz w:val="22"/>
                <w:szCs w:val="24"/>
              </w:rPr>
            </w:pPr>
            <w:r w:rsidRPr="003E3A1D">
              <w:rPr>
                <w:i/>
                <w:iCs/>
                <w:sz w:val="22"/>
                <w:szCs w:val="24"/>
              </w:rPr>
              <w:t>1.1.1. Államkötvények kamata</w:t>
            </w:r>
          </w:p>
        </w:tc>
        <w:tc>
          <w:tcPr>
            <w:tcW w:w="1134" w:type="dxa"/>
            <w:tcBorders>
              <w:top w:val="nil"/>
              <w:left w:val="single" w:sz="4" w:space="0" w:color="auto"/>
              <w:bottom w:val="nil"/>
              <w:right w:val="single" w:sz="4" w:space="0" w:color="auto"/>
            </w:tcBorders>
            <w:shd w:val="clear" w:color="auto" w:fill="auto"/>
            <w:noWrap/>
            <w:vAlign w:val="center"/>
          </w:tcPr>
          <w:p w14:paraId="12E93BE7" w14:textId="7C62E92C" w:rsidR="00EE1969" w:rsidRPr="003E3A1D" w:rsidRDefault="00EE1969" w:rsidP="001F0FFE">
            <w:pPr>
              <w:spacing w:after="0"/>
              <w:contextualSpacing/>
              <w:jc w:val="right"/>
              <w:rPr>
                <w:i/>
                <w:iCs/>
                <w:sz w:val="22"/>
                <w:szCs w:val="24"/>
              </w:rPr>
            </w:pPr>
            <w:r w:rsidRPr="003E3A1D">
              <w:rPr>
                <w:i/>
                <w:iCs/>
                <w:sz w:val="22"/>
                <w:szCs w:val="24"/>
              </w:rPr>
              <w:t>22,9</w:t>
            </w:r>
          </w:p>
        </w:tc>
        <w:tc>
          <w:tcPr>
            <w:tcW w:w="1276" w:type="dxa"/>
            <w:tcBorders>
              <w:top w:val="nil"/>
              <w:left w:val="nil"/>
              <w:bottom w:val="nil"/>
              <w:right w:val="single" w:sz="4" w:space="0" w:color="auto"/>
            </w:tcBorders>
            <w:shd w:val="clear" w:color="auto" w:fill="auto"/>
            <w:noWrap/>
            <w:vAlign w:val="center"/>
          </w:tcPr>
          <w:p w14:paraId="18ABCFD5" w14:textId="5F5F1865" w:rsidR="00EE1969" w:rsidRPr="003E3A1D" w:rsidRDefault="00EE1969" w:rsidP="001F0FFE">
            <w:pPr>
              <w:spacing w:after="0"/>
              <w:contextualSpacing/>
              <w:jc w:val="right"/>
              <w:rPr>
                <w:i/>
                <w:iCs/>
                <w:sz w:val="22"/>
                <w:szCs w:val="24"/>
              </w:rPr>
            </w:pPr>
            <w:r w:rsidRPr="003E3A1D">
              <w:rPr>
                <w:i/>
                <w:iCs/>
                <w:sz w:val="22"/>
                <w:szCs w:val="24"/>
              </w:rPr>
              <w:t>0,0</w:t>
            </w:r>
          </w:p>
        </w:tc>
      </w:tr>
      <w:tr w:rsidR="003E3A1D" w:rsidRPr="003E3A1D" w14:paraId="01971550"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2BD62A7" w14:textId="77777777" w:rsidR="00EE1969" w:rsidRPr="003E3A1D" w:rsidRDefault="00EE1969" w:rsidP="0011648B">
            <w:pPr>
              <w:spacing w:after="0"/>
              <w:ind w:firstLine="536"/>
              <w:contextualSpacing/>
              <w:jc w:val="left"/>
              <w:rPr>
                <w:sz w:val="22"/>
                <w:szCs w:val="24"/>
              </w:rPr>
            </w:pPr>
            <w:r w:rsidRPr="003E3A1D">
              <w:rPr>
                <w:i/>
                <w:iCs/>
                <w:sz w:val="22"/>
                <w:szCs w:val="24"/>
              </w:rPr>
              <w:t>1.1.2. Kincstárjegyek kamata</w:t>
            </w:r>
          </w:p>
        </w:tc>
        <w:tc>
          <w:tcPr>
            <w:tcW w:w="1134" w:type="dxa"/>
            <w:tcBorders>
              <w:top w:val="nil"/>
              <w:left w:val="single" w:sz="4" w:space="0" w:color="auto"/>
              <w:bottom w:val="nil"/>
              <w:right w:val="single" w:sz="4" w:space="0" w:color="auto"/>
            </w:tcBorders>
            <w:shd w:val="clear" w:color="auto" w:fill="auto"/>
            <w:noWrap/>
            <w:vAlign w:val="center"/>
          </w:tcPr>
          <w:p w14:paraId="767E6F57" w14:textId="1B350A26" w:rsidR="00EE1969" w:rsidRPr="003E3A1D" w:rsidRDefault="00EE1969" w:rsidP="001F0FFE">
            <w:pPr>
              <w:spacing w:after="0"/>
              <w:contextualSpacing/>
              <w:jc w:val="right"/>
              <w:rPr>
                <w:i/>
                <w:iCs/>
                <w:sz w:val="22"/>
                <w:szCs w:val="24"/>
              </w:rPr>
            </w:pPr>
            <w:r w:rsidRPr="003E3A1D">
              <w:rPr>
                <w:i/>
                <w:iCs/>
                <w:sz w:val="22"/>
                <w:szCs w:val="24"/>
              </w:rPr>
              <w:t>0,0</w:t>
            </w:r>
          </w:p>
        </w:tc>
        <w:tc>
          <w:tcPr>
            <w:tcW w:w="1276" w:type="dxa"/>
            <w:tcBorders>
              <w:top w:val="nil"/>
              <w:left w:val="nil"/>
              <w:bottom w:val="nil"/>
              <w:right w:val="single" w:sz="4" w:space="0" w:color="auto"/>
            </w:tcBorders>
            <w:shd w:val="clear" w:color="auto" w:fill="auto"/>
            <w:noWrap/>
            <w:vAlign w:val="center"/>
          </w:tcPr>
          <w:p w14:paraId="6B82522A" w14:textId="28355689" w:rsidR="00EE1969" w:rsidRPr="003E3A1D" w:rsidRDefault="00EE1969" w:rsidP="001F0FFE">
            <w:pPr>
              <w:spacing w:after="0"/>
              <w:contextualSpacing/>
              <w:jc w:val="right"/>
              <w:rPr>
                <w:i/>
                <w:iCs/>
                <w:sz w:val="22"/>
                <w:szCs w:val="24"/>
              </w:rPr>
            </w:pPr>
            <w:r w:rsidRPr="003E3A1D">
              <w:rPr>
                <w:i/>
                <w:iCs/>
                <w:sz w:val="22"/>
                <w:szCs w:val="24"/>
              </w:rPr>
              <w:t>0,0</w:t>
            </w:r>
          </w:p>
        </w:tc>
      </w:tr>
      <w:tr w:rsidR="003E3A1D" w:rsidRPr="003E3A1D" w14:paraId="27D32BA6"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1C1961E0" w14:textId="77777777" w:rsidR="00EE1969" w:rsidRPr="003E3A1D" w:rsidRDefault="00EE1969" w:rsidP="0011648B">
            <w:pPr>
              <w:spacing w:after="0"/>
              <w:ind w:firstLine="536"/>
              <w:contextualSpacing/>
              <w:jc w:val="left"/>
              <w:rPr>
                <w:i/>
                <w:iCs/>
                <w:sz w:val="22"/>
                <w:szCs w:val="24"/>
              </w:rPr>
            </w:pPr>
            <w:r w:rsidRPr="003E3A1D">
              <w:rPr>
                <w:i/>
                <w:iCs/>
                <w:sz w:val="22"/>
                <w:szCs w:val="24"/>
              </w:rPr>
              <w:t>1.1.3. Repóügyletek kamata</w:t>
            </w:r>
          </w:p>
        </w:tc>
        <w:tc>
          <w:tcPr>
            <w:tcW w:w="1134" w:type="dxa"/>
            <w:tcBorders>
              <w:top w:val="nil"/>
              <w:left w:val="single" w:sz="4" w:space="0" w:color="auto"/>
              <w:bottom w:val="nil"/>
              <w:right w:val="single" w:sz="4" w:space="0" w:color="auto"/>
            </w:tcBorders>
            <w:shd w:val="clear" w:color="auto" w:fill="auto"/>
            <w:noWrap/>
            <w:vAlign w:val="center"/>
          </w:tcPr>
          <w:p w14:paraId="14CC909E" w14:textId="03E4198F" w:rsidR="00EE1969" w:rsidRPr="003E3A1D" w:rsidRDefault="00EE1969" w:rsidP="001F0FFE">
            <w:pPr>
              <w:spacing w:after="0"/>
              <w:contextualSpacing/>
              <w:jc w:val="right"/>
              <w:rPr>
                <w:i/>
                <w:iCs/>
                <w:sz w:val="22"/>
                <w:szCs w:val="24"/>
              </w:rPr>
            </w:pPr>
            <w:r w:rsidRPr="003E3A1D">
              <w:rPr>
                <w:i/>
                <w:iCs/>
                <w:sz w:val="22"/>
                <w:szCs w:val="24"/>
              </w:rPr>
              <w:t>0,3</w:t>
            </w:r>
          </w:p>
        </w:tc>
        <w:tc>
          <w:tcPr>
            <w:tcW w:w="1276" w:type="dxa"/>
            <w:tcBorders>
              <w:top w:val="nil"/>
              <w:left w:val="nil"/>
              <w:bottom w:val="nil"/>
              <w:right w:val="single" w:sz="4" w:space="0" w:color="auto"/>
            </w:tcBorders>
            <w:shd w:val="clear" w:color="auto" w:fill="auto"/>
            <w:noWrap/>
            <w:vAlign w:val="center"/>
          </w:tcPr>
          <w:p w14:paraId="06D4ABE5" w14:textId="235780E0" w:rsidR="00EE1969" w:rsidRPr="003E3A1D" w:rsidRDefault="00EE1969" w:rsidP="001F0FFE">
            <w:pPr>
              <w:spacing w:after="0"/>
              <w:contextualSpacing/>
              <w:jc w:val="right"/>
              <w:rPr>
                <w:i/>
                <w:iCs/>
                <w:sz w:val="22"/>
                <w:szCs w:val="24"/>
              </w:rPr>
            </w:pPr>
            <w:r w:rsidRPr="003E3A1D">
              <w:rPr>
                <w:i/>
                <w:iCs/>
                <w:sz w:val="22"/>
                <w:szCs w:val="24"/>
              </w:rPr>
              <w:t>0,0</w:t>
            </w:r>
          </w:p>
        </w:tc>
      </w:tr>
      <w:tr w:rsidR="003E3A1D" w:rsidRPr="003E3A1D" w14:paraId="2BD9430A"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3E4B04" w14:textId="77777777" w:rsidR="00EE1969" w:rsidRPr="003E3A1D" w:rsidRDefault="00EE1969" w:rsidP="0011648B">
            <w:pPr>
              <w:spacing w:after="0"/>
              <w:ind w:firstLine="536"/>
              <w:contextualSpacing/>
              <w:jc w:val="left"/>
              <w:rPr>
                <w:sz w:val="22"/>
                <w:szCs w:val="24"/>
              </w:rPr>
            </w:pPr>
            <w:r w:rsidRPr="003E3A1D">
              <w:rPr>
                <w:i/>
                <w:iCs/>
                <w:sz w:val="22"/>
                <w:szCs w:val="24"/>
              </w:rPr>
              <w:t>1.1.4. KESZ forint-betét kamata</w:t>
            </w:r>
          </w:p>
        </w:tc>
        <w:tc>
          <w:tcPr>
            <w:tcW w:w="1134" w:type="dxa"/>
            <w:tcBorders>
              <w:top w:val="nil"/>
              <w:left w:val="single" w:sz="4" w:space="0" w:color="auto"/>
              <w:bottom w:val="nil"/>
              <w:right w:val="single" w:sz="4" w:space="0" w:color="auto"/>
            </w:tcBorders>
            <w:shd w:val="clear" w:color="auto" w:fill="auto"/>
            <w:noWrap/>
            <w:vAlign w:val="center"/>
          </w:tcPr>
          <w:p w14:paraId="4FD0DA7E" w14:textId="34361AA0" w:rsidR="00EE1969" w:rsidRPr="003E3A1D" w:rsidRDefault="00EE1969" w:rsidP="001F0FFE">
            <w:pPr>
              <w:spacing w:after="0"/>
              <w:contextualSpacing/>
              <w:jc w:val="right"/>
              <w:rPr>
                <w:i/>
                <w:iCs/>
                <w:sz w:val="22"/>
                <w:szCs w:val="24"/>
              </w:rPr>
            </w:pPr>
            <w:r w:rsidRPr="003E3A1D">
              <w:rPr>
                <w:i/>
                <w:iCs/>
                <w:sz w:val="22"/>
                <w:szCs w:val="24"/>
              </w:rPr>
              <w:t>2,0</w:t>
            </w:r>
          </w:p>
        </w:tc>
        <w:tc>
          <w:tcPr>
            <w:tcW w:w="1276" w:type="dxa"/>
            <w:tcBorders>
              <w:top w:val="nil"/>
              <w:left w:val="nil"/>
              <w:bottom w:val="nil"/>
              <w:right w:val="single" w:sz="4" w:space="0" w:color="auto"/>
            </w:tcBorders>
            <w:shd w:val="clear" w:color="auto" w:fill="auto"/>
            <w:noWrap/>
            <w:vAlign w:val="center"/>
          </w:tcPr>
          <w:p w14:paraId="1A5AE393" w14:textId="41C8067A" w:rsidR="00EE1969" w:rsidRPr="003E3A1D" w:rsidRDefault="00EE1969" w:rsidP="001F0FFE">
            <w:pPr>
              <w:spacing w:after="0"/>
              <w:contextualSpacing/>
              <w:jc w:val="right"/>
              <w:rPr>
                <w:i/>
                <w:iCs/>
                <w:sz w:val="22"/>
                <w:szCs w:val="24"/>
              </w:rPr>
            </w:pPr>
            <w:r w:rsidRPr="003E3A1D">
              <w:rPr>
                <w:i/>
                <w:iCs/>
                <w:sz w:val="22"/>
                <w:szCs w:val="24"/>
              </w:rPr>
              <w:t>9,8</w:t>
            </w:r>
          </w:p>
        </w:tc>
      </w:tr>
      <w:tr w:rsidR="003E3A1D" w:rsidRPr="003E3A1D" w14:paraId="023835E5" w14:textId="77777777" w:rsidTr="001F0FFE">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D98CB" w14:textId="77777777" w:rsidR="00EE1969" w:rsidRPr="003E3A1D" w:rsidRDefault="00EE1969" w:rsidP="0011648B">
            <w:pPr>
              <w:spacing w:after="0"/>
              <w:ind w:firstLine="253"/>
              <w:contextualSpacing/>
              <w:jc w:val="left"/>
              <w:rPr>
                <w:sz w:val="22"/>
                <w:szCs w:val="24"/>
              </w:rPr>
            </w:pPr>
            <w:r w:rsidRPr="003E3A1D">
              <w:rPr>
                <w:b/>
                <w:bCs/>
                <w:sz w:val="22"/>
                <w:szCs w:val="24"/>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C7F" w14:textId="5EC6DF23" w:rsidR="00EE1969" w:rsidRPr="003E3A1D" w:rsidRDefault="00EE1969" w:rsidP="001F0FFE">
            <w:pPr>
              <w:spacing w:after="0"/>
              <w:contextualSpacing/>
              <w:jc w:val="right"/>
              <w:rPr>
                <w:b/>
                <w:bCs/>
                <w:sz w:val="22"/>
                <w:szCs w:val="24"/>
              </w:rPr>
            </w:pPr>
            <w:r w:rsidRPr="003E3A1D">
              <w:rPr>
                <w:b/>
                <w:bCs/>
                <w:sz w:val="22"/>
                <w:szCs w:val="24"/>
              </w:rPr>
              <w:t>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9BB6D" w14:textId="40574DE0" w:rsidR="00EE1969" w:rsidRPr="003E3A1D" w:rsidRDefault="00EE1969" w:rsidP="001F0FFE">
            <w:pPr>
              <w:spacing w:after="0"/>
              <w:contextualSpacing/>
              <w:jc w:val="right"/>
              <w:rPr>
                <w:b/>
                <w:bCs/>
                <w:sz w:val="22"/>
                <w:szCs w:val="24"/>
              </w:rPr>
            </w:pPr>
            <w:r w:rsidRPr="003E3A1D">
              <w:rPr>
                <w:b/>
                <w:bCs/>
                <w:sz w:val="22"/>
                <w:szCs w:val="24"/>
              </w:rPr>
              <w:t>-0,4</w:t>
            </w:r>
          </w:p>
        </w:tc>
        <w:bookmarkStart w:id="0" w:name="_GoBack"/>
        <w:bookmarkEnd w:id="0"/>
      </w:tr>
      <w:tr w:rsidR="003E3A1D" w:rsidRPr="003E3A1D" w14:paraId="287E02EE" w14:textId="77777777" w:rsidTr="001F0FFE">
        <w:trPr>
          <w:trHeight w:val="397"/>
          <w:jc w:val="center"/>
        </w:trPr>
        <w:tc>
          <w:tcPr>
            <w:tcW w:w="4755" w:type="dxa"/>
            <w:tcBorders>
              <w:top w:val="single" w:sz="4" w:space="0" w:color="auto"/>
              <w:left w:val="single" w:sz="4" w:space="0" w:color="auto"/>
              <w:right w:val="single" w:sz="4" w:space="0" w:color="auto"/>
            </w:tcBorders>
            <w:shd w:val="clear" w:color="auto" w:fill="FFFFFF" w:themeFill="background1"/>
            <w:noWrap/>
            <w:vAlign w:val="center"/>
            <w:hideMark/>
          </w:tcPr>
          <w:p w14:paraId="417837E1" w14:textId="51C98C62" w:rsidR="00EE1969" w:rsidRPr="003E3A1D" w:rsidRDefault="00EE1969" w:rsidP="0011648B">
            <w:pPr>
              <w:spacing w:after="0"/>
              <w:contextualSpacing/>
              <w:jc w:val="left"/>
              <w:rPr>
                <w:sz w:val="22"/>
                <w:szCs w:val="24"/>
              </w:rPr>
            </w:pPr>
            <w:r w:rsidRPr="003E3A1D">
              <w:rPr>
                <w:i/>
                <w:iCs/>
                <w:sz w:val="22"/>
                <w:szCs w:val="24"/>
              </w:rPr>
              <w:t xml:space="preserve">         1.2.1. Devizaműveletek kamatelszámolásai</w:t>
            </w:r>
          </w:p>
        </w:tc>
        <w:tc>
          <w:tcPr>
            <w:tcW w:w="1134" w:type="dxa"/>
            <w:tcBorders>
              <w:top w:val="nil"/>
              <w:left w:val="single" w:sz="4" w:space="0" w:color="auto"/>
              <w:right w:val="single" w:sz="4" w:space="0" w:color="auto"/>
            </w:tcBorders>
            <w:shd w:val="clear" w:color="auto" w:fill="auto"/>
            <w:noWrap/>
            <w:vAlign w:val="center"/>
          </w:tcPr>
          <w:p w14:paraId="3C049A98" w14:textId="4AA59EBD" w:rsidR="00EE1969" w:rsidRPr="003E3A1D" w:rsidRDefault="00EE1969" w:rsidP="001F0FFE">
            <w:pPr>
              <w:spacing w:after="0"/>
              <w:contextualSpacing/>
              <w:jc w:val="right"/>
              <w:rPr>
                <w:i/>
                <w:iCs/>
                <w:sz w:val="22"/>
                <w:szCs w:val="24"/>
              </w:rPr>
            </w:pPr>
            <w:r w:rsidRPr="003E3A1D">
              <w:rPr>
                <w:i/>
                <w:iCs/>
                <w:sz w:val="22"/>
                <w:szCs w:val="24"/>
              </w:rPr>
              <w:t>-1,8</w:t>
            </w:r>
          </w:p>
        </w:tc>
        <w:tc>
          <w:tcPr>
            <w:tcW w:w="1276" w:type="dxa"/>
            <w:tcBorders>
              <w:top w:val="nil"/>
              <w:left w:val="nil"/>
              <w:right w:val="single" w:sz="4" w:space="0" w:color="auto"/>
            </w:tcBorders>
            <w:shd w:val="clear" w:color="auto" w:fill="auto"/>
            <w:noWrap/>
            <w:vAlign w:val="center"/>
          </w:tcPr>
          <w:p w14:paraId="17AB7A42" w14:textId="58C21061" w:rsidR="00EE1969" w:rsidRPr="003E3A1D" w:rsidRDefault="00EE1969" w:rsidP="001F0FFE">
            <w:pPr>
              <w:spacing w:after="0"/>
              <w:contextualSpacing/>
              <w:jc w:val="right"/>
              <w:rPr>
                <w:i/>
                <w:iCs/>
                <w:sz w:val="22"/>
                <w:szCs w:val="24"/>
              </w:rPr>
            </w:pPr>
            <w:r w:rsidRPr="003E3A1D">
              <w:rPr>
                <w:i/>
                <w:iCs/>
                <w:sz w:val="22"/>
                <w:szCs w:val="24"/>
              </w:rPr>
              <w:t>-0,4</w:t>
            </w:r>
          </w:p>
        </w:tc>
      </w:tr>
      <w:tr w:rsidR="003E3A1D" w:rsidRPr="003E3A1D" w14:paraId="6E2B9BDB" w14:textId="77777777" w:rsidTr="001F0FFE">
        <w:trPr>
          <w:trHeight w:val="397"/>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center"/>
            <w:hideMark/>
          </w:tcPr>
          <w:p w14:paraId="05432CD8" w14:textId="3C1B7B2C" w:rsidR="00EE1969" w:rsidRPr="003E3A1D" w:rsidRDefault="00EE1969" w:rsidP="0011648B">
            <w:pPr>
              <w:spacing w:after="0"/>
              <w:contextualSpacing/>
              <w:jc w:val="left"/>
              <w:rPr>
                <w:i/>
                <w:iCs/>
                <w:sz w:val="22"/>
                <w:szCs w:val="24"/>
              </w:rPr>
            </w:pPr>
            <w:r w:rsidRPr="003E3A1D">
              <w:rPr>
                <w:i/>
                <w:iCs/>
                <w:sz w:val="22"/>
                <w:szCs w:val="24"/>
              </w:rPr>
              <w:t xml:space="preserve">         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1C1FC6" w14:textId="23AF8866" w:rsidR="00EE1969" w:rsidRPr="003E3A1D" w:rsidRDefault="00EE1969" w:rsidP="001F0FFE">
            <w:pPr>
              <w:spacing w:after="0"/>
              <w:contextualSpacing/>
              <w:jc w:val="right"/>
              <w:rPr>
                <w:i/>
                <w:iCs/>
                <w:sz w:val="22"/>
                <w:szCs w:val="24"/>
              </w:rPr>
            </w:pPr>
            <w:r w:rsidRPr="003E3A1D">
              <w:rPr>
                <w:i/>
                <w:iCs/>
                <w:sz w:val="22"/>
                <w:szCs w:val="24"/>
              </w:rPr>
              <w:t>4,</w:t>
            </w:r>
            <w:r w:rsidR="0011648B" w:rsidRPr="003E3A1D">
              <w:rPr>
                <w:i/>
                <w:iCs/>
                <w:sz w:val="22"/>
                <w:szCs w:val="24"/>
              </w:rPr>
              <w:t>4</w:t>
            </w:r>
          </w:p>
        </w:tc>
        <w:tc>
          <w:tcPr>
            <w:tcW w:w="1276" w:type="dxa"/>
            <w:tcBorders>
              <w:top w:val="nil"/>
              <w:left w:val="nil"/>
              <w:bottom w:val="single" w:sz="4" w:space="0" w:color="auto"/>
              <w:right w:val="single" w:sz="4" w:space="0" w:color="auto"/>
            </w:tcBorders>
            <w:shd w:val="clear" w:color="auto" w:fill="auto"/>
            <w:noWrap/>
            <w:vAlign w:val="center"/>
          </w:tcPr>
          <w:p w14:paraId="3AFBEFCF" w14:textId="5B880A12" w:rsidR="00EE1969" w:rsidRPr="003E3A1D" w:rsidRDefault="00EE1969" w:rsidP="001F0FFE">
            <w:pPr>
              <w:spacing w:after="0"/>
              <w:contextualSpacing/>
              <w:jc w:val="right"/>
              <w:rPr>
                <w:i/>
                <w:iCs/>
                <w:sz w:val="22"/>
                <w:szCs w:val="24"/>
              </w:rPr>
            </w:pPr>
            <w:r w:rsidRPr="003E3A1D">
              <w:rPr>
                <w:i/>
                <w:iCs/>
                <w:sz w:val="22"/>
                <w:szCs w:val="24"/>
              </w:rPr>
              <w:t>0,0</w:t>
            </w:r>
          </w:p>
        </w:tc>
      </w:tr>
      <w:tr w:rsidR="003E3A1D" w:rsidRPr="003E3A1D" w14:paraId="0F767D6C" w14:textId="77777777" w:rsidTr="001F0FFE">
        <w:trPr>
          <w:trHeight w:val="397"/>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center"/>
          </w:tcPr>
          <w:p w14:paraId="1A072196" w14:textId="353B14F8" w:rsidR="00EE1969" w:rsidRPr="003E3A1D" w:rsidRDefault="00EE1969" w:rsidP="0011648B">
            <w:pPr>
              <w:spacing w:after="0"/>
              <w:contextualSpacing/>
              <w:jc w:val="left"/>
              <w:rPr>
                <w:sz w:val="22"/>
                <w:szCs w:val="24"/>
              </w:rPr>
            </w:pPr>
            <w:r w:rsidRPr="003E3A1D">
              <w:rPr>
                <w:i/>
                <w:iCs/>
                <w:sz w:val="22"/>
                <w:szCs w:val="24"/>
              </w:rPr>
              <w:t xml:space="preserve">     </w:t>
            </w:r>
            <w:r w:rsidRPr="003E3A1D">
              <w:rPr>
                <w:sz w:val="22"/>
                <w:szCs w:val="24"/>
              </w:rPr>
              <w:t>1.3.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A0493E" w14:textId="31C388AE" w:rsidR="00EE1969" w:rsidRPr="003E3A1D" w:rsidRDefault="0011648B" w:rsidP="001F0FFE">
            <w:pPr>
              <w:spacing w:after="0"/>
              <w:contextualSpacing/>
              <w:jc w:val="right"/>
              <w:rPr>
                <w:sz w:val="22"/>
                <w:szCs w:val="24"/>
              </w:rPr>
            </w:pPr>
            <w:r w:rsidRPr="003E3A1D">
              <w:rPr>
                <w:i/>
                <w:iCs/>
                <w:sz w:val="22"/>
                <w:szCs w:val="24"/>
              </w:rPr>
              <w:t>0</w:t>
            </w:r>
            <w:r w:rsidR="00EE1969" w:rsidRPr="003E3A1D">
              <w:rPr>
                <w:i/>
                <w:iCs/>
                <w:sz w:val="22"/>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6268986" w14:textId="355F4039" w:rsidR="00EE1969" w:rsidRPr="003E3A1D" w:rsidRDefault="0011648B" w:rsidP="001F0FFE">
            <w:pPr>
              <w:spacing w:after="0"/>
              <w:contextualSpacing/>
              <w:jc w:val="right"/>
              <w:rPr>
                <w:sz w:val="22"/>
                <w:szCs w:val="24"/>
              </w:rPr>
            </w:pPr>
            <w:r w:rsidRPr="003E3A1D">
              <w:rPr>
                <w:i/>
                <w:iCs/>
                <w:sz w:val="22"/>
                <w:szCs w:val="24"/>
              </w:rPr>
              <w:t>20,8</w:t>
            </w:r>
            <w:r w:rsidR="00EE1969" w:rsidRPr="003E3A1D">
              <w:rPr>
                <w:i/>
                <w:iCs/>
                <w:sz w:val="22"/>
                <w:szCs w:val="24"/>
              </w:rPr>
              <w:t> </w:t>
            </w:r>
          </w:p>
        </w:tc>
      </w:tr>
      <w:tr w:rsidR="003E3A1D" w:rsidRPr="003E3A1D" w14:paraId="7BF7F8DD"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B6645C" w14:textId="77777777" w:rsidR="00EE1969" w:rsidRPr="003E3A1D" w:rsidRDefault="00EE1969" w:rsidP="0011648B">
            <w:pPr>
              <w:spacing w:after="0"/>
              <w:contextualSpacing/>
              <w:jc w:val="left"/>
              <w:rPr>
                <w:b/>
                <w:bCs/>
                <w:sz w:val="22"/>
                <w:szCs w:val="24"/>
              </w:rPr>
            </w:pPr>
            <w:r w:rsidRPr="003E3A1D">
              <w:rPr>
                <w:b/>
                <w:bCs/>
                <w:sz w:val="22"/>
                <w:szCs w:val="24"/>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0C3E" w14:textId="2B067913" w:rsidR="00EE1969" w:rsidRPr="003E3A1D" w:rsidRDefault="00EE1969" w:rsidP="001F0FFE">
            <w:pPr>
              <w:spacing w:after="0"/>
              <w:contextualSpacing/>
              <w:jc w:val="right"/>
              <w:rPr>
                <w:b/>
                <w:bCs/>
                <w:sz w:val="22"/>
                <w:szCs w:val="24"/>
              </w:rPr>
            </w:pPr>
            <w:r w:rsidRPr="003E3A1D">
              <w:rPr>
                <w:b/>
                <w:bCs/>
                <w:sz w:val="22"/>
                <w:szCs w:val="24"/>
              </w:rPr>
              <w:t>156,1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372CD" w14:textId="193786C5" w:rsidR="00EE1969" w:rsidRPr="003E3A1D" w:rsidRDefault="00EE1969" w:rsidP="001F0FFE">
            <w:pPr>
              <w:spacing w:after="0"/>
              <w:contextualSpacing/>
              <w:jc w:val="right"/>
              <w:rPr>
                <w:b/>
                <w:bCs/>
                <w:sz w:val="22"/>
                <w:szCs w:val="24"/>
              </w:rPr>
            </w:pPr>
            <w:r w:rsidRPr="003E3A1D">
              <w:rPr>
                <w:b/>
                <w:bCs/>
                <w:sz w:val="22"/>
                <w:szCs w:val="24"/>
              </w:rPr>
              <w:t>219,2</w:t>
            </w:r>
          </w:p>
        </w:tc>
      </w:tr>
      <w:tr w:rsidR="003E3A1D" w:rsidRPr="003E3A1D" w14:paraId="1D69A8E9"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1320AE" w14:textId="77777777" w:rsidR="00EE1969" w:rsidRPr="003E3A1D" w:rsidRDefault="00EE1969" w:rsidP="0011648B">
            <w:pPr>
              <w:spacing w:after="0"/>
              <w:ind w:firstLine="253"/>
              <w:contextualSpacing/>
              <w:jc w:val="left"/>
              <w:rPr>
                <w:sz w:val="22"/>
                <w:szCs w:val="24"/>
              </w:rPr>
            </w:pPr>
            <w:r w:rsidRPr="003E3A1D">
              <w:rPr>
                <w:b/>
                <w:bCs/>
                <w:sz w:val="22"/>
                <w:szCs w:val="24"/>
              </w:rPr>
              <w:t>2.1 Forint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D9B0B7" w14:textId="52E52CD5" w:rsidR="00EE1969" w:rsidRPr="003E3A1D" w:rsidRDefault="00EE1969" w:rsidP="001F0FFE">
            <w:pPr>
              <w:spacing w:after="0"/>
              <w:contextualSpacing/>
              <w:jc w:val="right"/>
              <w:rPr>
                <w:b/>
                <w:bCs/>
                <w:sz w:val="22"/>
                <w:szCs w:val="24"/>
              </w:rPr>
            </w:pPr>
            <w:r w:rsidRPr="003E3A1D">
              <w:rPr>
                <w:b/>
                <w:bCs/>
                <w:sz w:val="22"/>
                <w:szCs w:val="24"/>
              </w:rPr>
              <w:t>106,</w:t>
            </w:r>
            <w:r w:rsidR="0011648B" w:rsidRPr="003E3A1D">
              <w:rPr>
                <w:b/>
                <w:bCs/>
                <w:sz w:val="22"/>
                <w:szCs w:val="24"/>
              </w:rPr>
              <w:t>8</w:t>
            </w:r>
          </w:p>
        </w:tc>
        <w:tc>
          <w:tcPr>
            <w:tcW w:w="1276" w:type="dxa"/>
            <w:tcBorders>
              <w:top w:val="nil"/>
              <w:left w:val="nil"/>
              <w:bottom w:val="single" w:sz="4" w:space="0" w:color="auto"/>
              <w:right w:val="single" w:sz="4" w:space="0" w:color="auto"/>
            </w:tcBorders>
            <w:shd w:val="clear" w:color="auto" w:fill="auto"/>
            <w:noWrap/>
            <w:vAlign w:val="center"/>
          </w:tcPr>
          <w:p w14:paraId="1D5D3FEA" w14:textId="2B835F40" w:rsidR="00EE1969" w:rsidRPr="003E3A1D" w:rsidRDefault="00EE1969" w:rsidP="001F0FFE">
            <w:pPr>
              <w:spacing w:after="0"/>
              <w:contextualSpacing/>
              <w:jc w:val="right"/>
              <w:rPr>
                <w:b/>
                <w:bCs/>
                <w:sz w:val="22"/>
                <w:szCs w:val="24"/>
              </w:rPr>
            </w:pPr>
            <w:r w:rsidRPr="003E3A1D">
              <w:rPr>
                <w:b/>
                <w:bCs/>
                <w:sz w:val="22"/>
                <w:szCs w:val="24"/>
              </w:rPr>
              <w:t>112,9</w:t>
            </w:r>
          </w:p>
        </w:tc>
      </w:tr>
      <w:tr w:rsidR="003E3A1D" w:rsidRPr="003E3A1D" w14:paraId="7168EB04"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7981AF42" w14:textId="77777777" w:rsidR="00EE1969" w:rsidRPr="003E3A1D" w:rsidRDefault="00EE1969" w:rsidP="0011648B">
            <w:pPr>
              <w:spacing w:after="0"/>
              <w:ind w:firstLine="536"/>
              <w:contextualSpacing/>
              <w:jc w:val="left"/>
              <w:rPr>
                <w:i/>
                <w:iCs/>
                <w:sz w:val="22"/>
                <w:szCs w:val="24"/>
              </w:rPr>
            </w:pPr>
            <w:r w:rsidRPr="003E3A1D">
              <w:rPr>
                <w:i/>
                <w:iCs/>
                <w:sz w:val="22"/>
                <w:szCs w:val="24"/>
              </w:rPr>
              <w:t>2.1.1. Forinthitelek kamata</w:t>
            </w:r>
          </w:p>
        </w:tc>
        <w:tc>
          <w:tcPr>
            <w:tcW w:w="1134" w:type="dxa"/>
            <w:tcBorders>
              <w:top w:val="nil"/>
              <w:left w:val="single" w:sz="4" w:space="0" w:color="auto"/>
              <w:bottom w:val="nil"/>
              <w:right w:val="single" w:sz="4" w:space="0" w:color="auto"/>
            </w:tcBorders>
            <w:shd w:val="clear" w:color="auto" w:fill="auto"/>
            <w:noWrap/>
            <w:vAlign w:val="center"/>
          </w:tcPr>
          <w:p w14:paraId="7F2D7527" w14:textId="4A216342" w:rsidR="00EE1969" w:rsidRPr="003E3A1D" w:rsidRDefault="00EE1969" w:rsidP="001F0FFE">
            <w:pPr>
              <w:spacing w:after="0"/>
              <w:contextualSpacing/>
              <w:jc w:val="right"/>
              <w:rPr>
                <w:i/>
                <w:iCs/>
                <w:sz w:val="22"/>
                <w:szCs w:val="24"/>
              </w:rPr>
            </w:pPr>
            <w:r w:rsidRPr="003E3A1D">
              <w:rPr>
                <w:i/>
                <w:iCs/>
                <w:sz w:val="22"/>
                <w:szCs w:val="24"/>
              </w:rPr>
              <w:t>6,4</w:t>
            </w:r>
          </w:p>
        </w:tc>
        <w:tc>
          <w:tcPr>
            <w:tcW w:w="1276" w:type="dxa"/>
            <w:tcBorders>
              <w:top w:val="nil"/>
              <w:left w:val="nil"/>
              <w:bottom w:val="nil"/>
              <w:right w:val="single" w:sz="4" w:space="0" w:color="auto"/>
            </w:tcBorders>
            <w:shd w:val="clear" w:color="auto" w:fill="auto"/>
            <w:noWrap/>
            <w:vAlign w:val="center"/>
          </w:tcPr>
          <w:p w14:paraId="0DF454E1" w14:textId="0ADE7B30" w:rsidR="00EE1969" w:rsidRPr="003E3A1D" w:rsidRDefault="00EE1969" w:rsidP="001F0FFE">
            <w:pPr>
              <w:spacing w:after="0"/>
              <w:contextualSpacing/>
              <w:jc w:val="right"/>
              <w:rPr>
                <w:i/>
                <w:iCs/>
                <w:sz w:val="22"/>
                <w:szCs w:val="24"/>
              </w:rPr>
            </w:pPr>
            <w:r w:rsidRPr="003E3A1D">
              <w:rPr>
                <w:i/>
                <w:iCs/>
                <w:sz w:val="22"/>
                <w:szCs w:val="24"/>
              </w:rPr>
              <w:t>5,4</w:t>
            </w:r>
          </w:p>
        </w:tc>
      </w:tr>
      <w:tr w:rsidR="003E3A1D" w:rsidRPr="003E3A1D" w14:paraId="02FC72B9"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610CE9E5" w14:textId="77777777" w:rsidR="00EE1969" w:rsidRPr="003E3A1D" w:rsidRDefault="00EE1969" w:rsidP="0011648B">
            <w:pPr>
              <w:spacing w:after="0"/>
              <w:ind w:firstLine="536"/>
              <w:contextualSpacing/>
              <w:jc w:val="left"/>
              <w:rPr>
                <w:sz w:val="22"/>
                <w:szCs w:val="24"/>
              </w:rPr>
            </w:pPr>
            <w:r w:rsidRPr="003E3A1D">
              <w:rPr>
                <w:i/>
                <w:iCs/>
                <w:sz w:val="22"/>
                <w:szCs w:val="24"/>
              </w:rPr>
              <w:t>2.1.2. Államkötvények kamata</w:t>
            </w:r>
          </w:p>
        </w:tc>
        <w:tc>
          <w:tcPr>
            <w:tcW w:w="1134" w:type="dxa"/>
            <w:tcBorders>
              <w:top w:val="nil"/>
              <w:left w:val="single" w:sz="4" w:space="0" w:color="auto"/>
              <w:bottom w:val="nil"/>
              <w:right w:val="single" w:sz="4" w:space="0" w:color="auto"/>
            </w:tcBorders>
            <w:shd w:val="clear" w:color="auto" w:fill="auto"/>
            <w:noWrap/>
            <w:vAlign w:val="center"/>
          </w:tcPr>
          <w:p w14:paraId="4775D054" w14:textId="71E7DEE3" w:rsidR="00EE1969" w:rsidRPr="003E3A1D" w:rsidRDefault="00EE1969" w:rsidP="001F0FFE">
            <w:pPr>
              <w:spacing w:after="0"/>
              <w:contextualSpacing/>
              <w:jc w:val="right"/>
              <w:rPr>
                <w:i/>
                <w:iCs/>
                <w:sz w:val="22"/>
                <w:szCs w:val="24"/>
              </w:rPr>
            </w:pPr>
            <w:r w:rsidRPr="003E3A1D">
              <w:rPr>
                <w:i/>
                <w:iCs/>
                <w:sz w:val="22"/>
                <w:szCs w:val="24"/>
              </w:rPr>
              <w:t>92,0</w:t>
            </w:r>
          </w:p>
        </w:tc>
        <w:tc>
          <w:tcPr>
            <w:tcW w:w="1276" w:type="dxa"/>
            <w:tcBorders>
              <w:top w:val="nil"/>
              <w:left w:val="nil"/>
              <w:bottom w:val="nil"/>
              <w:right w:val="single" w:sz="4" w:space="0" w:color="auto"/>
            </w:tcBorders>
            <w:shd w:val="clear" w:color="auto" w:fill="auto"/>
            <w:noWrap/>
            <w:vAlign w:val="center"/>
          </w:tcPr>
          <w:p w14:paraId="0DC61410" w14:textId="33818DFE" w:rsidR="00EE1969" w:rsidRPr="003E3A1D" w:rsidRDefault="00EE1969" w:rsidP="001F0FFE">
            <w:pPr>
              <w:spacing w:after="0"/>
              <w:contextualSpacing/>
              <w:jc w:val="right"/>
              <w:rPr>
                <w:i/>
                <w:iCs/>
                <w:sz w:val="22"/>
                <w:szCs w:val="24"/>
              </w:rPr>
            </w:pPr>
            <w:r w:rsidRPr="003E3A1D">
              <w:rPr>
                <w:i/>
                <w:iCs/>
                <w:sz w:val="22"/>
                <w:szCs w:val="24"/>
              </w:rPr>
              <w:t>164,6</w:t>
            </w:r>
          </w:p>
        </w:tc>
      </w:tr>
      <w:tr w:rsidR="003E3A1D" w:rsidRPr="003E3A1D" w14:paraId="434851F1"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29C9CC92" w14:textId="77777777" w:rsidR="00EE1969" w:rsidRPr="003E3A1D" w:rsidRDefault="00EE1969" w:rsidP="0011648B">
            <w:pPr>
              <w:spacing w:after="0"/>
              <w:ind w:firstLine="536"/>
              <w:contextualSpacing/>
              <w:jc w:val="left"/>
              <w:rPr>
                <w:sz w:val="22"/>
                <w:szCs w:val="24"/>
              </w:rPr>
            </w:pPr>
            <w:r w:rsidRPr="003E3A1D">
              <w:rPr>
                <w:i/>
                <w:iCs/>
                <w:sz w:val="22"/>
                <w:szCs w:val="24"/>
              </w:rPr>
              <w:t>2.1.3. Kincstárjegyek kamata</w:t>
            </w:r>
          </w:p>
        </w:tc>
        <w:tc>
          <w:tcPr>
            <w:tcW w:w="1134" w:type="dxa"/>
            <w:tcBorders>
              <w:top w:val="nil"/>
              <w:left w:val="single" w:sz="4" w:space="0" w:color="auto"/>
              <w:bottom w:val="nil"/>
              <w:right w:val="single" w:sz="4" w:space="0" w:color="auto"/>
            </w:tcBorders>
            <w:shd w:val="clear" w:color="auto" w:fill="auto"/>
            <w:noWrap/>
            <w:vAlign w:val="center"/>
          </w:tcPr>
          <w:p w14:paraId="3DB9BAB5" w14:textId="535C49DF" w:rsidR="00EE1969" w:rsidRPr="003E3A1D" w:rsidRDefault="00EE1969" w:rsidP="001F0FFE">
            <w:pPr>
              <w:spacing w:after="0"/>
              <w:contextualSpacing/>
              <w:jc w:val="right"/>
              <w:rPr>
                <w:i/>
                <w:iCs/>
                <w:sz w:val="22"/>
                <w:szCs w:val="24"/>
              </w:rPr>
            </w:pPr>
            <w:r w:rsidRPr="003E3A1D">
              <w:rPr>
                <w:i/>
                <w:iCs/>
                <w:sz w:val="22"/>
                <w:szCs w:val="24"/>
              </w:rPr>
              <w:t>8,3</w:t>
            </w:r>
          </w:p>
        </w:tc>
        <w:tc>
          <w:tcPr>
            <w:tcW w:w="1276" w:type="dxa"/>
            <w:tcBorders>
              <w:top w:val="nil"/>
              <w:left w:val="nil"/>
              <w:bottom w:val="nil"/>
              <w:right w:val="single" w:sz="4" w:space="0" w:color="auto"/>
            </w:tcBorders>
            <w:shd w:val="clear" w:color="auto" w:fill="auto"/>
            <w:noWrap/>
            <w:vAlign w:val="center"/>
          </w:tcPr>
          <w:p w14:paraId="193C8F0B" w14:textId="667F9594" w:rsidR="00EE1969" w:rsidRPr="003E3A1D" w:rsidRDefault="00EE1969" w:rsidP="001F0FFE">
            <w:pPr>
              <w:spacing w:after="0"/>
              <w:contextualSpacing/>
              <w:jc w:val="right"/>
              <w:rPr>
                <w:i/>
                <w:iCs/>
                <w:sz w:val="22"/>
                <w:szCs w:val="24"/>
              </w:rPr>
            </w:pPr>
            <w:r w:rsidRPr="003E3A1D">
              <w:rPr>
                <w:i/>
                <w:iCs/>
                <w:sz w:val="22"/>
                <w:szCs w:val="24"/>
              </w:rPr>
              <w:t>8,2</w:t>
            </w:r>
          </w:p>
        </w:tc>
      </w:tr>
      <w:tr w:rsidR="003E3A1D" w:rsidRPr="003E3A1D" w14:paraId="2C9CD66C"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87C6630" w14:textId="77777777" w:rsidR="00EE1969" w:rsidRPr="003E3A1D" w:rsidRDefault="00EE1969" w:rsidP="0011648B">
            <w:pPr>
              <w:spacing w:after="0"/>
              <w:ind w:firstLine="536"/>
              <w:contextualSpacing/>
              <w:jc w:val="left"/>
              <w:rPr>
                <w:sz w:val="22"/>
                <w:szCs w:val="24"/>
              </w:rPr>
            </w:pPr>
            <w:r w:rsidRPr="003E3A1D">
              <w:rPr>
                <w:i/>
                <w:iCs/>
                <w:sz w:val="22"/>
                <w:szCs w:val="24"/>
              </w:rPr>
              <w:t>2.1.4. Repóügyletek kamata</w:t>
            </w:r>
          </w:p>
        </w:tc>
        <w:tc>
          <w:tcPr>
            <w:tcW w:w="1134" w:type="dxa"/>
            <w:tcBorders>
              <w:top w:val="nil"/>
              <w:left w:val="single" w:sz="4" w:space="0" w:color="auto"/>
              <w:bottom w:val="nil"/>
              <w:right w:val="single" w:sz="4" w:space="0" w:color="auto"/>
            </w:tcBorders>
            <w:shd w:val="clear" w:color="auto" w:fill="auto"/>
            <w:noWrap/>
            <w:vAlign w:val="center"/>
          </w:tcPr>
          <w:p w14:paraId="67691EE5" w14:textId="04954020" w:rsidR="00EE1969" w:rsidRPr="003E3A1D" w:rsidRDefault="00EE1969" w:rsidP="001F0FFE">
            <w:pPr>
              <w:spacing w:after="0"/>
              <w:contextualSpacing/>
              <w:jc w:val="right"/>
              <w:rPr>
                <w:i/>
                <w:iCs/>
                <w:sz w:val="22"/>
                <w:szCs w:val="24"/>
              </w:rPr>
            </w:pPr>
            <w:r w:rsidRPr="003E3A1D">
              <w:rPr>
                <w:i/>
                <w:iCs/>
                <w:sz w:val="22"/>
                <w:szCs w:val="24"/>
              </w:rPr>
              <w:t>0,1</w:t>
            </w:r>
          </w:p>
        </w:tc>
        <w:tc>
          <w:tcPr>
            <w:tcW w:w="1276" w:type="dxa"/>
            <w:tcBorders>
              <w:top w:val="nil"/>
              <w:left w:val="nil"/>
              <w:bottom w:val="nil"/>
              <w:right w:val="single" w:sz="4" w:space="0" w:color="auto"/>
            </w:tcBorders>
            <w:shd w:val="clear" w:color="auto" w:fill="auto"/>
            <w:noWrap/>
            <w:vAlign w:val="center"/>
          </w:tcPr>
          <w:p w14:paraId="46D320C4" w14:textId="1233BFF1" w:rsidR="00EE1969" w:rsidRPr="003E3A1D" w:rsidRDefault="00EE1969" w:rsidP="001F0FFE">
            <w:pPr>
              <w:spacing w:after="0"/>
              <w:contextualSpacing/>
              <w:jc w:val="right"/>
              <w:rPr>
                <w:i/>
                <w:iCs/>
                <w:sz w:val="22"/>
                <w:szCs w:val="24"/>
              </w:rPr>
            </w:pPr>
            <w:r w:rsidRPr="003E3A1D">
              <w:rPr>
                <w:i/>
                <w:iCs/>
                <w:sz w:val="22"/>
                <w:szCs w:val="24"/>
              </w:rPr>
              <w:t>0,5</w:t>
            </w:r>
          </w:p>
        </w:tc>
      </w:tr>
      <w:tr w:rsidR="003E3A1D" w:rsidRPr="003E3A1D" w14:paraId="6E977BC3"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DAB132" w14:textId="77777777" w:rsidR="00EE1969" w:rsidRPr="003E3A1D" w:rsidRDefault="00EE1969" w:rsidP="0011648B">
            <w:pPr>
              <w:spacing w:after="0"/>
              <w:ind w:firstLine="536"/>
              <w:contextualSpacing/>
              <w:jc w:val="left"/>
              <w:rPr>
                <w:i/>
                <w:iCs/>
                <w:sz w:val="22"/>
                <w:szCs w:val="24"/>
              </w:rPr>
            </w:pPr>
            <w:r w:rsidRPr="003E3A1D">
              <w:rPr>
                <w:i/>
                <w:iCs/>
                <w:sz w:val="22"/>
                <w:szCs w:val="24"/>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CC9B57" w14:textId="39710DDB" w:rsidR="00EE1969" w:rsidRPr="003E3A1D" w:rsidRDefault="00EE1969" w:rsidP="001F0FFE">
            <w:pPr>
              <w:spacing w:after="0"/>
              <w:contextualSpacing/>
              <w:jc w:val="right"/>
              <w:rPr>
                <w:i/>
                <w:iCs/>
                <w:sz w:val="22"/>
                <w:szCs w:val="24"/>
              </w:rPr>
            </w:pPr>
            <w:r w:rsidRPr="003E3A1D">
              <w:rPr>
                <w:i/>
                <w:iCs/>
                <w:sz w:val="22"/>
                <w:szCs w:val="24"/>
              </w:rPr>
              <w:t>0,0</w:t>
            </w:r>
          </w:p>
        </w:tc>
        <w:tc>
          <w:tcPr>
            <w:tcW w:w="1276" w:type="dxa"/>
            <w:tcBorders>
              <w:top w:val="nil"/>
              <w:left w:val="nil"/>
              <w:bottom w:val="single" w:sz="4" w:space="0" w:color="auto"/>
              <w:right w:val="single" w:sz="4" w:space="0" w:color="auto"/>
            </w:tcBorders>
            <w:shd w:val="clear" w:color="auto" w:fill="auto"/>
            <w:noWrap/>
            <w:vAlign w:val="center"/>
          </w:tcPr>
          <w:p w14:paraId="337019B8" w14:textId="0377857E" w:rsidR="00EE1969" w:rsidRPr="003E3A1D" w:rsidRDefault="00EE1969" w:rsidP="001F0FFE">
            <w:pPr>
              <w:spacing w:after="0"/>
              <w:contextualSpacing/>
              <w:jc w:val="right"/>
              <w:rPr>
                <w:i/>
                <w:iCs/>
                <w:sz w:val="22"/>
                <w:szCs w:val="24"/>
              </w:rPr>
            </w:pPr>
            <w:r w:rsidRPr="003E3A1D">
              <w:rPr>
                <w:i/>
                <w:iCs/>
                <w:sz w:val="22"/>
                <w:szCs w:val="24"/>
              </w:rPr>
              <w:t>-65,8</w:t>
            </w:r>
          </w:p>
        </w:tc>
      </w:tr>
      <w:tr w:rsidR="003E3A1D" w:rsidRPr="003E3A1D" w14:paraId="37368B4F"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73D276" w14:textId="77777777" w:rsidR="00EE1969" w:rsidRPr="003E3A1D" w:rsidRDefault="00EE1969" w:rsidP="0011648B">
            <w:pPr>
              <w:spacing w:after="0"/>
              <w:ind w:firstLine="253"/>
              <w:contextualSpacing/>
              <w:jc w:val="left"/>
              <w:rPr>
                <w:sz w:val="22"/>
                <w:szCs w:val="24"/>
              </w:rPr>
            </w:pPr>
            <w:r w:rsidRPr="003E3A1D">
              <w:rPr>
                <w:b/>
                <w:bCs/>
                <w:sz w:val="22"/>
                <w:szCs w:val="24"/>
              </w:rPr>
              <w:t>2.2. Deviza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5DE4FE" w14:textId="561ABDE8" w:rsidR="00EE1969" w:rsidRPr="003E3A1D" w:rsidRDefault="00EE1969" w:rsidP="001F0FFE">
            <w:pPr>
              <w:spacing w:after="0"/>
              <w:contextualSpacing/>
              <w:jc w:val="right"/>
              <w:rPr>
                <w:b/>
                <w:bCs/>
                <w:sz w:val="22"/>
                <w:szCs w:val="24"/>
              </w:rPr>
            </w:pPr>
            <w:r w:rsidRPr="003E3A1D">
              <w:rPr>
                <w:b/>
                <w:bCs/>
                <w:sz w:val="22"/>
                <w:szCs w:val="24"/>
              </w:rPr>
              <w:t>49,3</w:t>
            </w:r>
          </w:p>
        </w:tc>
        <w:tc>
          <w:tcPr>
            <w:tcW w:w="1276" w:type="dxa"/>
            <w:tcBorders>
              <w:top w:val="nil"/>
              <w:left w:val="nil"/>
              <w:bottom w:val="single" w:sz="4" w:space="0" w:color="auto"/>
              <w:right w:val="single" w:sz="4" w:space="0" w:color="auto"/>
            </w:tcBorders>
            <w:shd w:val="clear" w:color="auto" w:fill="auto"/>
            <w:noWrap/>
            <w:vAlign w:val="center"/>
          </w:tcPr>
          <w:p w14:paraId="6F269BDE" w14:textId="6722CFE6" w:rsidR="00EE1969" w:rsidRPr="003E3A1D" w:rsidRDefault="00EE1969" w:rsidP="001F0FFE">
            <w:pPr>
              <w:spacing w:after="0"/>
              <w:contextualSpacing/>
              <w:jc w:val="right"/>
              <w:rPr>
                <w:b/>
                <w:bCs/>
                <w:sz w:val="22"/>
                <w:szCs w:val="24"/>
              </w:rPr>
            </w:pPr>
            <w:r w:rsidRPr="003E3A1D">
              <w:rPr>
                <w:b/>
                <w:bCs/>
                <w:sz w:val="22"/>
                <w:szCs w:val="24"/>
              </w:rPr>
              <w:t>106,3</w:t>
            </w:r>
          </w:p>
        </w:tc>
      </w:tr>
      <w:tr w:rsidR="003E3A1D" w:rsidRPr="003E3A1D" w14:paraId="114C21E4"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428B32AF" w14:textId="77777777" w:rsidR="00EE1969" w:rsidRPr="003E3A1D" w:rsidRDefault="00EE1969" w:rsidP="0011648B">
            <w:pPr>
              <w:spacing w:after="0"/>
              <w:ind w:firstLine="536"/>
              <w:contextualSpacing/>
              <w:jc w:val="left"/>
              <w:rPr>
                <w:sz w:val="22"/>
                <w:szCs w:val="24"/>
              </w:rPr>
            </w:pPr>
            <w:r w:rsidRPr="003E3A1D">
              <w:rPr>
                <w:i/>
                <w:iCs/>
                <w:sz w:val="22"/>
                <w:szCs w:val="24"/>
              </w:rPr>
              <w:t>2.2.1. Devizahitelek kamata</w:t>
            </w:r>
          </w:p>
        </w:tc>
        <w:tc>
          <w:tcPr>
            <w:tcW w:w="1134" w:type="dxa"/>
            <w:tcBorders>
              <w:top w:val="nil"/>
              <w:left w:val="single" w:sz="4" w:space="0" w:color="auto"/>
              <w:bottom w:val="nil"/>
              <w:right w:val="single" w:sz="4" w:space="0" w:color="auto"/>
            </w:tcBorders>
            <w:shd w:val="clear" w:color="auto" w:fill="auto"/>
            <w:noWrap/>
            <w:vAlign w:val="center"/>
          </w:tcPr>
          <w:p w14:paraId="71244D5F" w14:textId="22DE014F" w:rsidR="00EE1969" w:rsidRPr="003E3A1D" w:rsidRDefault="00EE1969" w:rsidP="001F0FFE">
            <w:pPr>
              <w:spacing w:after="0"/>
              <w:contextualSpacing/>
              <w:jc w:val="right"/>
              <w:rPr>
                <w:i/>
                <w:iCs/>
                <w:sz w:val="22"/>
                <w:szCs w:val="24"/>
              </w:rPr>
            </w:pPr>
            <w:r w:rsidRPr="003E3A1D">
              <w:rPr>
                <w:i/>
                <w:iCs/>
                <w:sz w:val="22"/>
                <w:szCs w:val="24"/>
              </w:rPr>
              <w:t>3,8</w:t>
            </w:r>
          </w:p>
        </w:tc>
        <w:tc>
          <w:tcPr>
            <w:tcW w:w="1276" w:type="dxa"/>
            <w:tcBorders>
              <w:top w:val="nil"/>
              <w:left w:val="nil"/>
              <w:bottom w:val="nil"/>
              <w:right w:val="single" w:sz="4" w:space="0" w:color="auto"/>
            </w:tcBorders>
            <w:shd w:val="clear" w:color="auto" w:fill="auto"/>
            <w:noWrap/>
            <w:vAlign w:val="center"/>
          </w:tcPr>
          <w:p w14:paraId="18B921A3" w14:textId="20AA56CF" w:rsidR="00EE1969" w:rsidRPr="003E3A1D" w:rsidRDefault="00EE1969" w:rsidP="001F0FFE">
            <w:pPr>
              <w:spacing w:after="0"/>
              <w:contextualSpacing/>
              <w:jc w:val="right"/>
              <w:rPr>
                <w:i/>
                <w:iCs/>
                <w:sz w:val="22"/>
                <w:szCs w:val="24"/>
              </w:rPr>
            </w:pPr>
            <w:r w:rsidRPr="003E3A1D">
              <w:rPr>
                <w:i/>
                <w:iCs/>
                <w:sz w:val="22"/>
                <w:szCs w:val="24"/>
              </w:rPr>
              <w:t>3,8</w:t>
            </w:r>
          </w:p>
        </w:tc>
      </w:tr>
      <w:tr w:rsidR="003E3A1D" w:rsidRPr="003E3A1D" w14:paraId="7939DFDD" w14:textId="77777777" w:rsidTr="001F0FFE">
        <w:trPr>
          <w:trHeight w:val="397"/>
          <w:jc w:val="center"/>
        </w:trPr>
        <w:tc>
          <w:tcPr>
            <w:tcW w:w="4755" w:type="dxa"/>
            <w:tcBorders>
              <w:top w:val="nil"/>
              <w:left w:val="single" w:sz="4" w:space="0" w:color="auto"/>
              <w:bottom w:val="nil"/>
              <w:right w:val="single" w:sz="4" w:space="0" w:color="auto"/>
            </w:tcBorders>
            <w:shd w:val="clear" w:color="auto" w:fill="FFFFFF" w:themeFill="background1"/>
            <w:noWrap/>
            <w:vAlign w:val="center"/>
            <w:hideMark/>
          </w:tcPr>
          <w:p w14:paraId="30BCD9BB" w14:textId="77777777" w:rsidR="00EE1969" w:rsidRPr="003E3A1D" w:rsidRDefault="00EE1969" w:rsidP="0011648B">
            <w:pPr>
              <w:spacing w:after="0"/>
              <w:ind w:firstLine="536"/>
              <w:contextualSpacing/>
              <w:jc w:val="left"/>
              <w:rPr>
                <w:sz w:val="22"/>
                <w:szCs w:val="24"/>
              </w:rPr>
            </w:pPr>
            <w:r w:rsidRPr="003E3A1D">
              <w:rPr>
                <w:i/>
                <w:iCs/>
                <w:sz w:val="22"/>
                <w:szCs w:val="24"/>
              </w:rPr>
              <w:t>2.2.2. Devizakötvények kamata</w:t>
            </w:r>
          </w:p>
        </w:tc>
        <w:tc>
          <w:tcPr>
            <w:tcW w:w="1134" w:type="dxa"/>
            <w:tcBorders>
              <w:top w:val="nil"/>
              <w:left w:val="single" w:sz="4" w:space="0" w:color="auto"/>
              <w:bottom w:val="nil"/>
              <w:right w:val="single" w:sz="4" w:space="0" w:color="auto"/>
            </w:tcBorders>
            <w:shd w:val="clear" w:color="auto" w:fill="auto"/>
            <w:noWrap/>
            <w:vAlign w:val="center"/>
          </w:tcPr>
          <w:p w14:paraId="57F9B3B9" w14:textId="0DCFA042" w:rsidR="00EE1969" w:rsidRPr="003E3A1D" w:rsidRDefault="00EE1969" w:rsidP="001F0FFE">
            <w:pPr>
              <w:spacing w:after="0"/>
              <w:contextualSpacing/>
              <w:jc w:val="right"/>
              <w:rPr>
                <w:i/>
                <w:iCs/>
                <w:sz w:val="22"/>
                <w:szCs w:val="24"/>
              </w:rPr>
            </w:pPr>
            <w:r w:rsidRPr="003E3A1D">
              <w:rPr>
                <w:i/>
                <w:iCs/>
                <w:sz w:val="22"/>
                <w:szCs w:val="24"/>
              </w:rPr>
              <w:t>45,5</w:t>
            </w:r>
          </w:p>
        </w:tc>
        <w:tc>
          <w:tcPr>
            <w:tcW w:w="1276" w:type="dxa"/>
            <w:tcBorders>
              <w:top w:val="nil"/>
              <w:left w:val="nil"/>
              <w:bottom w:val="nil"/>
              <w:right w:val="single" w:sz="4" w:space="0" w:color="auto"/>
            </w:tcBorders>
            <w:shd w:val="clear" w:color="auto" w:fill="auto"/>
            <w:noWrap/>
            <w:vAlign w:val="center"/>
          </w:tcPr>
          <w:p w14:paraId="2170A36A" w14:textId="4D7A3378" w:rsidR="00EE1969" w:rsidRPr="003E3A1D" w:rsidRDefault="00EE1969" w:rsidP="001F0FFE">
            <w:pPr>
              <w:spacing w:after="0"/>
              <w:contextualSpacing/>
              <w:jc w:val="right"/>
              <w:rPr>
                <w:i/>
                <w:iCs/>
                <w:sz w:val="22"/>
                <w:szCs w:val="24"/>
              </w:rPr>
            </w:pPr>
            <w:r w:rsidRPr="003E3A1D">
              <w:rPr>
                <w:i/>
                <w:iCs/>
                <w:sz w:val="22"/>
                <w:szCs w:val="24"/>
              </w:rPr>
              <w:t>102,5</w:t>
            </w:r>
          </w:p>
        </w:tc>
      </w:tr>
      <w:tr w:rsidR="003E3A1D" w:rsidRPr="003E3A1D" w14:paraId="7A5EE132" w14:textId="77777777" w:rsidTr="001F0FFE">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4E10A1" w14:textId="77777777" w:rsidR="00EE1969" w:rsidRPr="003E3A1D" w:rsidRDefault="00EE1969" w:rsidP="0011648B">
            <w:pPr>
              <w:spacing w:after="0"/>
              <w:contextualSpacing/>
              <w:jc w:val="left"/>
              <w:rPr>
                <w:sz w:val="2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0C755" w14:textId="21B8E94F" w:rsidR="00EE1969" w:rsidRPr="003E3A1D" w:rsidRDefault="00EE1969" w:rsidP="001F0FFE">
            <w:pPr>
              <w:spacing w:after="0"/>
              <w:contextualSpacing/>
              <w:jc w:val="right"/>
              <w:rPr>
                <w:sz w:val="22"/>
                <w:szCs w:val="24"/>
              </w:rPr>
            </w:pPr>
            <w:r w:rsidRPr="003E3A1D">
              <w:rPr>
                <w:sz w:val="22"/>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4BCF5C" w14:textId="70D5332B" w:rsidR="00EE1969" w:rsidRPr="003E3A1D" w:rsidRDefault="00EE1969" w:rsidP="001F0FFE">
            <w:pPr>
              <w:spacing w:after="0"/>
              <w:contextualSpacing/>
              <w:jc w:val="right"/>
              <w:rPr>
                <w:sz w:val="22"/>
                <w:szCs w:val="24"/>
              </w:rPr>
            </w:pPr>
            <w:r w:rsidRPr="003E3A1D">
              <w:rPr>
                <w:sz w:val="22"/>
                <w:szCs w:val="24"/>
              </w:rPr>
              <w:t> </w:t>
            </w:r>
          </w:p>
        </w:tc>
      </w:tr>
      <w:tr w:rsidR="003E3A1D" w:rsidRPr="003E3A1D" w14:paraId="2991046C" w14:textId="77777777" w:rsidTr="001F0FFE">
        <w:trPr>
          <w:trHeight w:val="397"/>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F24722" w14:textId="77777777" w:rsidR="00EE1969" w:rsidRPr="003E3A1D" w:rsidRDefault="00EE1969" w:rsidP="0011648B">
            <w:pPr>
              <w:spacing w:after="0"/>
              <w:contextualSpacing/>
              <w:jc w:val="left"/>
              <w:rPr>
                <w:b/>
                <w:bCs/>
                <w:sz w:val="22"/>
                <w:szCs w:val="24"/>
              </w:rPr>
            </w:pPr>
            <w:r w:rsidRPr="003E3A1D">
              <w:rPr>
                <w:b/>
                <w:bCs/>
                <w:sz w:val="22"/>
                <w:szCs w:val="24"/>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9FA283" w14:textId="5AB33A94" w:rsidR="00EE1969" w:rsidRPr="003E3A1D" w:rsidRDefault="00EE1969" w:rsidP="001F0FFE">
            <w:pPr>
              <w:spacing w:after="0"/>
              <w:contextualSpacing/>
              <w:jc w:val="right"/>
              <w:rPr>
                <w:b/>
                <w:bCs/>
                <w:sz w:val="22"/>
                <w:szCs w:val="24"/>
              </w:rPr>
            </w:pPr>
            <w:r w:rsidRPr="003E3A1D">
              <w:rPr>
                <w:b/>
                <w:bCs/>
                <w:sz w:val="22"/>
                <w:szCs w:val="24"/>
              </w:rPr>
              <w:t>128,3</w:t>
            </w:r>
          </w:p>
        </w:tc>
        <w:tc>
          <w:tcPr>
            <w:tcW w:w="1276" w:type="dxa"/>
            <w:tcBorders>
              <w:top w:val="nil"/>
              <w:left w:val="nil"/>
              <w:bottom w:val="single" w:sz="4" w:space="0" w:color="auto"/>
              <w:right w:val="single" w:sz="4" w:space="0" w:color="auto"/>
            </w:tcBorders>
            <w:shd w:val="clear" w:color="auto" w:fill="auto"/>
            <w:noWrap/>
            <w:vAlign w:val="center"/>
          </w:tcPr>
          <w:p w14:paraId="702A8083" w14:textId="7794CAEF" w:rsidR="00EE1969" w:rsidRPr="003E3A1D" w:rsidRDefault="00EE1969" w:rsidP="001F0FFE">
            <w:pPr>
              <w:spacing w:after="0"/>
              <w:contextualSpacing/>
              <w:jc w:val="right"/>
              <w:rPr>
                <w:b/>
                <w:bCs/>
                <w:sz w:val="22"/>
                <w:szCs w:val="24"/>
              </w:rPr>
            </w:pPr>
            <w:r w:rsidRPr="003E3A1D">
              <w:rPr>
                <w:b/>
                <w:bCs/>
                <w:sz w:val="22"/>
                <w:szCs w:val="24"/>
              </w:rPr>
              <w:t>189,0</w:t>
            </w:r>
          </w:p>
        </w:tc>
      </w:tr>
    </w:tbl>
    <w:p w14:paraId="5D4F03D9" w14:textId="07AF30E8" w:rsidR="00D52A69" w:rsidRPr="003E3A1D" w:rsidRDefault="00E4079D" w:rsidP="00D52A69">
      <w:pPr>
        <w:tabs>
          <w:tab w:val="left" w:pos="550"/>
        </w:tabs>
        <w:spacing w:before="120"/>
        <w:rPr>
          <w:caps/>
        </w:rPr>
      </w:pPr>
      <w:r w:rsidRPr="003E3A1D">
        <w:rPr>
          <w:caps/>
        </w:rPr>
        <w:br w:type="page"/>
      </w:r>
    </w:p>
    <w:p w14:paraId="5D4F0440" w14:textId="417C1316" w:rsidR="00B93477" w:rsidRPr="003E3A1D" w:rsidRDefault="4AC3BDA3" w:rsidP="4AC3BDA3">
      <w:pPr>
        <w:pStyle w:val="Cmsor4"/>
        <w:ind w:right="-1"/>
        <w:jc w:val="center"/>
        <w:rPr>
          <w:caps/>
        </w:rPr>
      </w:pPr>
      <w:r w:rsidRPr="003E3A1D">
        <w:rPr>
          <w:caps/>
        </w:rPr>
        <w:lastRenderedPageBreak/>
        <w:t>II.</w:t>
      </w:r>
      <w:r w:rsidR="443F750D" w:rsidRPr="003E3A1D">
        <w:br/>
      </w:r>
      <w:r w:rsidRPr="003E3A1D">
        <w:rPr>
          <w:caps/>
        </w:rPr>
        <w:t>Az államháztartás központi alrendszerének finanszírozása</w:t>
      </w:r>
    </w:p>
    <w:p w14:paraId="64D3034E" w14:textId="77777777" w:rsidR="00650CB3" w:rsidRPr="003E3A1D" w:rsidRDefault="00650CB3" w:rsidP="00C036D0">
      <w:pPr>
        <w:widowControl w:val="0"/>
      </w:pPr>
    </w:p>
    <w:p w14:paraId="5D4F0441" w14:textId="77777777" w:rsidR="006E2559" w:rsidRPr="003E3A1D" w:rsidRDefault="4AC3BDA3" w:rsidP="00C036D0">
      <w:pPr>
        <w:pStyle w:val="Cmsor4"/>
      </w:pPr>
      <w:r w:rsidRPr="003E3A1D">
        <w:t xml:space="preserve">Állományi adatok </w:t>
      </w:r>
    </w:p>
    <w:p w14:paraId="589C55E4" w14:textId="77777777" w:rsidR="005D009C" w:rsidRPr="003E3A1D" w:rsidRDefault="005D009C" w:rsidP="00C036D0">
      <w:pPr>
        <w:keepNext/>
      </w:pPr>
    </w:p>
    <w:p w14:paraId="1631F35F" w14:textId="77777777" w:rsidR="00573AFF" w:rsidRPr="003E3A1D" w:rsidRDefault="00573AFF" w:rsidP="00573AFF">
      <w:pPr>
        <w:spacing w:after="240"/>
        <w:ind w:right="23"/>
        <w:rPr>
          <w:bCs/>
          <w:szCs w:val="26"/>
        </w:rPr>
      </w:pPr>
      <w:r w:rsidRPr="003E3A1D">
        <w:rPr>
          <w:b/>
          <w:bCs/>
          <w:szCs w:val="26"/>
        </w:rPr>
        <w:t>A központi költségvetés adóssága 2022. március végéig</w:t>
      </w:r>
      <w:r w:rsidRPr="003E3A1D">
        <w:rPr>
          <w:bCs/>
          <w:szCs w:val="26"/>
        </w:rPr>
        <w:t xml:space="preserve"> 1636,4 milliárd forinttal </w:t>
      </w:r>
      <w:r w:rsidRPr="003E3A1D">
        <w:rPr>
          <w:b/>
          <w:bCs/>
          <w:szCs w:val="26"/>
        </w:rPr>
        <w:t xml:space="preserve">növekedett </w:t>
      </w:r>
      <w:r w:rsidRPr="003E3A1D">
        <w:rPr>
          <w:bCs/>
          <w:szCs w:val="26"/>
        </w:rPr>
        <w:t>a következő négy tényező eredményeképpen:</w:t>
      </w:r>
    </w:p>
    <w:p w14:paraId="155250FE" w14:textId="77777777" w:rsidR="00573AFF" w:rsidRPr="003E3A1D" w:rsidRDefault="00573AFF" w:rsidP="00573AFF">
      <w:pPr>
        <w:numPr>
          <w:ilvl w:val="0"/>
          <w:numId w:val="7"/>
        </w:numPr>
        <w:spacing w:before="120" w:after="240"/>
        <w:ind w:left="714" w:right="23" w:hanging="357"/>
        <w:rPr>
          <w:bCs/>
          <w:szCs w:val="26"/>
        </w:rPr>
      </w:pPr>
      <w:r w:rsidRPr="003E3A1D">
        <w:rPr>
          <w:b/>
          <w:bCs/>
          <w:szCs w:val="26"/>
        </w:rPr>
        <w:t>Az első tényező,</w:t>
      </w:r>
      <w:r w:rsidRPr="003E3A1D">
        <w:rPr>
          <w:bCs/>
          <w:szCs w:val="26"/>
        </w:rPr>
        <w:t xml:space="preserve"> amely </w:t>
      </w:r>
      <w:r w:rsidRPr="003E3A1D">
        <w:rPr>
          <w:b/>
          <w:bCs/>
          <w:szCs w:val="26"/>
        </w:rPr>
        <w:t xml:space="preserve">növelte </w:t>
      </w:r>
      <w:r w:rsidRPr="003E3A1D">
        <w:rPr>
          <w:bCs/>
          <w:szCs w:val="26"/>
        </w:rPr>
        <w:t>az adósságot, a nettó forintkibocsátás 1349,3 milliárd forint összegben, ami a költségvetés hiányát finanszírozza.</w:t>
      </w:r>
    </w:p>
    <w:p w14:paraId="11F9CCB6" w14:textId="4CC24CED" w:rsidR="00573AFF" w:rsidRPr="003E3A1D" w:rsidRDefault="00573AFF" w:rsidP="00573AFF">
      <w:pPr>
        <w:numPr>
          <w:ilvl w:val="0"/>
          <w:numId w:val="7"/>
        </w:numPr>
        <w:spacing w:after="240"/>
        <w:ind w:right="23"/>
        <w:rPr>
          <w:bCs/>
          <w:szCs w:val="26"/>
        </w:rPr>
      </w:pPr>
      <w:r w:rsidRPr="003E3A1D">
        <w:rPr>
          <w:b/>
          <w:bCs/>
          <w:szCs w:val="26"/>
        </w:rPr>
        <w:t xml:space="preserve">A második – növelő hatású – tényező </w:t>
      </w:r>
      <w:r w:rsidRPr="003E3A1D">
        <w:rPr>
          <w:bCs/>
          <w:szCs w:val="26"/>
        </w:rPr>
        <w:t>a nettó devizakibocsátás, amely 256,</w:t>
      </w:r>
      <w:r w:rsidR="00EE1969" w:rsidRPr="003E3A1D">
        <w:rPr>
          <w:bCs/>
          <w:szCs w:val="26"/>
        </w:rPr>
        <w:t>2</w:t>
      </w:r>
      <w:r w:rsidRPr="003E3A1D">
        <w:rPr>
          <w:bCs/>
          <w:szCs w:val="26"/>
        </w:rPr>
        <w:t> milliárd forinttal növelte a költségvetés adósságát.</w:t>
      </w:r>
    </w:p>
    <w:p w14:paraId="372F0A94" w14:textId="77777777" w:rsidR="00573AFF" w:rsidRPr="003E3A1D" w:rsidRDefault="00573AFF" w:rsidP="00573AFF">
      <w:pPr>
        <w:numPr>
          <w:ilvl w:val="0"/>
          <w:numId w:val="7"/>
        </w:numPr>
        <w:spacing w:before="120" w:after="240"/>
        <w:ind w:left="714" w:right="23" w:hanging="357"/>
        <w:rPr>
          <w:bCs/>
          <w:szCs w:val="26"/>
        </w:rPr>
      </w:pPr>
      <w:r w:rsidRPr="003E3A1D">
        <w:rPr>
          <w:b/>
          <w:bCs/>
          <w:szCs w:val="26"/>
        </w:rPr>
        <w:t xml:space="preserve">A harmadik – szintén növelő hatású – tényező </w:t>
      </w:r>
      <w:r w:rsidRPr="003E3A1D">
        <w:rPr>
          <w:bCs/>
          <w:szCs w:val="26"/>
        </w:rPr>
        <w:t>a forint árfolyamának az elmúlt év végéhez képest bekövetkezett gyengülése, amely az adósság devizában fennálló részének forintban számított nyilvántartási értékét 24,7 milliárd forinttal növelte.</w:t>
      </w:r>
    </w:p>
    <w:p w14:paraId="009803F1" w14:textId="22B5ACE7" w:rsidR="005D009C" w:rsidRPr="003E3A1D" w:rsidRDefault="00573AFF" w:rsidP="00573AFF">
      <w:pPr>
        <w:widowControl w:val="0"/>
        <w:numPr>
          <w:ilvl w:val="0"/>
          <w:numId w:val="7"/>
        </w:numPr>
        <w:ind w:left="714" w:right="23" w:hanging="357"/>
      </w:pPr>
      <w:r w:rsidRPr="003E3A1D">
        <w:rPr>
          <w:b/>
          <w:bCs/>
          <w:szCs w:val="26"/>
        </w:rPr>
        <w:t xml:space="preserve">A negyedik – további növelő hatású – tényező </w:t>
      </w:r>
      <w:r w:rsidRPr="003E3A1D">
        <w:rPr>
          <w:bCs/>
          <w:szCs w:val="26"/>
        </w:rPr>
        <w:t>a deviza-keresztárfolyamok változása és egyéb tényezők miatt bekövetkezett mark-to-market betétállományok növekedése 6,2 milliárd forint összegben</w:t>
      </w:r>
      <w:r w:rsidR="4AC3BDA3" w:rsidRPr="003E3A1D">
        <w:t>.</w:t>
      </w:r>
    </w:p>
    <w:p w14:paraId="2A5B3AF7" w14:textId="77777777" w:rsidR="005D009C" w:rsidRPr="003E3A1D" w:rsidRDefault="005D009C" w:rsidP="00C036D0"/>
    <w:p w14:paraId="509339C9" w14:textId="77777777" w:rsidR="00427794" w:rsidRPr="003E3A1D" w:rsidRDefault="00427794" w:rsidP="00716265">
      <w:pPr>
        <w:ind w:right="23"/>
        <w:rPr>
          <w:bCs/>
          <w:szCs w:val="26"/>
        </w:rPr>
        <w:sectPr w:rsidR="00427794" w:rsidRPr="003E3A1D"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495FA4D0" w:rsidR="00256EE8" w:rsidRPr="003E3A1D" w:rsidRDefault="4AC3BDA3" w:rsidP="00D94F6F">
      <w:pPr>
        <w:ind w:right="23"/>
        <w:rPr>
          <w:bCs/>
          <w:szCs w:val="26"/>
        </w:rPr>
      </w:pPr>
      <w:r w:rsidRPr="003E3A1D">
        <w:lastRenderedPageBreak/>
        <w:t xml:space="preserve">Az előzetes adatok szerint </w:t>
      </w:r>
      <w:r w:rsidR="00573AFF" w:rsidRPr="003E3A1D">
        <w:t>március</w:t>
      </w:r>
      <w:r w:rsidRPr="003E3A1D">
        <w:t xml:space="preserve"> végén a </w:t>
      </w:r>
      <w:r w:rsidRPr="003E3A1D">
        <w:rPr>
          <w:b/>
          <w:bCs/>
        </w:rPr>
        <w:t xml:space="preserve">központi költségvetés forint- és devizaadóssága </w:t>
      </w:r>
      <w:r w:rsidRPr="003E3A1D">
        <w:t>az alábbiak szerint alakult:</w:t>
      </w:r>
    </w:p>
    <w:p w14:paraId="45726EA9" w14:textId="3A77F9A5" w:rsidR="00BF18EE" w:rsidRPr="003E3A1D" w:rsidRDefault="4AC3BDA3" w:rsidP="00D94F6F">
      <w:pPr>
        <w:overflowPunct w:val="0"/>
        <w:autoSpaceDE w:val="0"/>
        <w:autoSpaceDN w:val="0"/>
        <w:adjustRightInd w:val="0"/>
        <w:spacing w:before="240" w:after="240"/>
        <w:ind w:right="23"/>
        <w:jc w:val="center"/>
        <w:textAlignment w:val="baseline"/>
      </w:pPr>
      <w:r w:rsidRPr="003E3A1D">
        <w:t>A központi költségvetés adósságának alakulása 2022-ben, milliárd forint</w:t>
      </w:r>
    </w:p>
    <w:p w14:paraId="689D04B3" w14:textId="21F9E67B" w:rsidR="009773BE" w:rsidRPr="003E3A1D" w:rsidRDefault="00573AFF" w:rsidP="00D94F6F">
      <w:pPr>
        <w:overflowPunct w:val="0"/>
        <w:autoSpaceDE w:val="0"/>
        <w:autoSpaceDN w:val="0"/>
        <w:adjustRightInd w:val="0"/>
        <w:ind w:right="23"/>
        <w:jc w:val="center"/>
        <w:textAlignment w:val="baseline"/>
      </w:pPr>
      <w:r w:rsidRPr="003E3A1D">
        <w:rPr>
          <w:noProof/>
        </w:rPr>
        <w:drawing>
          <wp:inline distT="0" distB="0" distL="0" distR="0" wp14:anchorId="2E82ED11" wp14:editId="5055BF45">
            <wp:extent cx="9072880" cy="3824266"/>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824266"/>
                    </a:xfrm>
                    <a:prstGeom prst="rect">
                      <a:avLst/>
                    </a:prstGeom>
                    <a:noFill/>
                    <a:ln>
                      <a:noFill/>
                    </a:ln>
                  </pic:spPr>
                </pic:pic>
              </a:graphicData>
            </a:graphic>
          </wp:inline>
        </w:drawing>
      </w:r>
    </w:p>
    <w:p w14:paraId="6ECE2FDE" w14:textId="12A9786E" w:rsidR="00E6275A" w:rsidRPr="003E3A1D" w:rsidRDefault="4AC3BDA3" w:rsidP="4AC3BDA3">
      <w:pPr>
        <w:rPr>
          <w:sz w:val="20"/>
        </w:rPr>
      </w:pPr>
      <w:r w:rsidRPr="003E3A1D">
        <w:rPr>
          <w:i/>
          <w:iCs/>
          <w:sz w:val="20"/>
        </w:rPr>
        <w:t>Megjegyzés: a táblában szereplő tizedes eltérések kerekítésből adódnak.</w:t>
      </w:r>
    </w:p>
    <w:p w14:paraId="5D4F044B" w14:textId="77777777" w:rsidR="00881044" w:rsidRPr="003E3A1D" w:rsidRDefault="00881044" w:rsidP="00694CFA">
      <w:pPr>
        <w:overflowPunct w:val="0"/>
        <w:autoSpaceDE w:val="0"/>
        <w:autoSpaceDN w:val="0"/>
        <w:adjustRightInd w:val="0"/>
        <w:spacing w:before="120"/>
        <w:ind w:right="23"/>
        <w:textAlignment w:val="baseline"/>
        <w:rPr>
          <w:b/>
          <w:bCs/>
          <w:szCs w:val="26"/>
        </w:rPr>
        <w:sectPr w:rsidR="00881044" w:rsidRPr="003E3A1D"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1CE08257" w14:textId="24A3D1A5" w:rsidR="00573AFF" w:rsidRPr="003E3A1D" w:rsidRDefault="00573AFF" w:rsidP="00573AFF">
      <w:pPr>
        <w:pStyle w:val="Szvegtrzs"/>
        <w:rPr>
          <w:color w:val="auto"/>
          <w:szCs w:val="26"/>
        </w:rPr>
      </w:pPr>
      <w:r w:rsidRPr="003E3A1D">
        <w:rPr>
          <w:bCs/>
          <w:color w:val="auto"/>
          <w:szCs w:val="26"/>
        </w:rPr>
        <w:lastRenderedPageBreak/>
        <w:t xml:space="preserve">A </w:t>
      </w:r>
      <w:r w:rsidRPr="003E3A1D">
        <w:rPr>
          <w:b/>
          <w:bCs/>
          <w:color w:val="auto"/>
          <w:szCs w:val="26"/>
        </w:rPr>
        <w:t>központi költségvetés devizaadóssága</w:t>
      </w:r>
      <w:r w:rsidRPr="003E3A1D">
        <w:rPr>
          <w:color w:val="auto"/>
          <w:szCs w:val="26"/>
        </w:rPr>
        <w:t xml:space="preserve"> 2022-ben 281,0 milliárd forinttal 8676,1 milliárd forintra növekedett az elmúlt év végéhez képest. A devizaadósság részaránya a 2021. év végi 20,6%-os szintről 20,5%-os szintre mérséklő</w:t>
      </w:r>
      <w:r w:rsidR="00F12861" w:rsidRPr="003E3A1D">
        <w:rPr>
          <w:color w:val="auto"/>
          <w:szCs w:val="26"/>
        </w:rPr>
        <w:t>dött a teljes adósságon belül.</w:t>
      </w:r>
    </w:p>
    <w:p w14:paraId="78A03EC4" w14:textId="05CAD1C7" w:rsidR="00BF105F" w:rsidRPr="003E3A1D" w:rsidRDefault="00573AFF" w:rsidP="00573AFF">
      <w:pPr>
        <w:pStyle w:val="Szvegtrzs"/>
        <w:rPr>
          <w:color w:val="auto"/>
        </w:rPr>
      </w:pPr>
      <w:r w:rsidRPr="003E3A1D">
        <w:rPr>
          <w:color w:val="auto"/>
          <w:szCs w:val="26"/>
        </w:rPr>
        <w:t>A növekedés hátterében alapvetően a februárban kibocsátott, japán jenben denominált ún. Szamuráj kötvények állnak. A februári tranzakció során összesen 205,4 milliárd forint (75,3 milliárd jen) összegben négy különböző futamidejű sorozat került kibocsátásra. Egy hagyományos 3</w:t>
      </w:r>
      <w:r w:rsidR="000E1114">
        <w:rPr>
          <w:color w:val="auto"/>
          <w:szCs w:val="26"/>
        </w:rPr>
        <w:t> </w:t>
      </w:r>
      <w:r w:rsidRPr="003E3A1D">
        <w:rPr>
          <w:color w:val="auto"/>
          <w:szCs w:val="26"/>
        </w:rPr>
        <w:t>éves futamidejű devizakötvény és három hosszabb 5-7-10</w:t>
      </w:r>
      <w:r w:rsidR="000E1114">
        <w:rPr>
          <w:color w:val="auto"/>
          <w:szCs w:val="26"/>
        </w:rPr>
        <w:t> </w:t>
      </w:r>
      <w:r w:rsidRPr="003E3A1D">
        <w:rPr>
          <w:color w:val="auto"/>
          <w:szCs w:val="26"/>
        </w:rPr>
        <w:t>éves futamidejű zöld kötvény</w:t>
      </w:r>
      <w:r w:rsidR="4AC3BDA3" w:rsidRPr="003E3A1D">
        <w:rPr>
          <w:color w:val="auto"/>
        </w:rPr>
        <w:t>.</w:t>
      </w:r>
    </w:p>
    <w:p w14:paraId="4F9C9553" w14:textId="77777777" w:rsidR="00573AFF" w:rsidRPr="003E3A1D" w:rsidRDefault="00573AFF" w:rsidP="00573AFF">
      <w:pPr>
        <w:spacing w:before="240"/>
        <w:rPr>
          <w:szCs w:val="26"/>
        </w:rPr>
      </w:pPr>
      <w:r w:rsidRPr="003E3A1D">
        <w:rPr>
          <w:b/>
          <w:bCs/>
          <w:szCs w:val="26"/>
        </w:rPr>
        <w:t>A költségvetés forintadóssága</w:t>
      </w:r>
      <w:r w:rsidRPr="003E3A1D">
        <w:rPr>
          <w:szCs w:val="26"/>
        </w:rPr>
        <w:t xml:space="preserve"> március</w:t>
      </w:r>
      <w:r w:rsidRPr="003E3A1D">
        <w:rPr>
          <w:bCs/>
          <w:szCs w:val="26"/>
        </w:rPr>
        <w:t xml:space="preserve"> végéig 1349,3 milliárd</w:t>
      </w:r>
      <w:r w:rsidRPr="003E3A1D">
        <w:rPr>
          <w:szCs w:val="26"/>
        </w:rPr>
        <w:t xml:space="preserve"> forinttal növekedett, és 33 470,5 milliárd forintot ért el, a forint adósság a teljes államadósság 79,1%-át teszi ki. 2021 decemberében ez az arány 78,9% volt.</w:t>
      </w:r>
    </w:p>
    <w:p w14:paraId="45196872" w14:textId="77777777" w:rsidR="00573AFF" w:rsidRPr="003E3A1D" w:rsidRDefault="00573AFF" w:rsidP="00573AFF">
      <w:pPr>
        <w:spacing w:before="120"/>
        <w:rPr>
          <w:szCs w:val="26"/>
        </w:rPr>
      </w:pPr>
      <w:r w:rsidRPr="003E3A1D">
        <w:rPr>
          <w:szCs w:val="26"/>
        </w:rPr>
        <w:t>2022.</w:t>
      </w:r>
      <w:r w:rsidRPr="003E3A1D">
        <w:rPr>
          <w:bCs/>
          <w:szCs w:val="26"/>
        </w:rPr>
        <w:t xml:space="preserve"> március </w:t>
      </w:r>
      <w:r w:rsidRPr="003E3A1D">
        <w:rPr>
          <w:szCs w:val="26"/>
        </w:rPr>
        <w:t>végén a forint lakossági állampapírok állománya 10 069,4 milliárd forintot tett ki, ami 59,2 milliárd forint növekedést jelent 2021. december vége óta.</w:t>
      </w:r>
    </w:p>
    <w:p w14:paraId="7AC8A857" w14:textId="55B6850D" w:rsidR="00573AFF" w:rsidRPr="003E3A1D" w:rsidRDefault="00573AFF" w:rsidP="00573AFF">
      <w:pPr>
        <w:spacing w:before="120"/>
        <w:rPr>
          <w:szCs w:val="26"/>
        </w:rPr>
      </w:pPr>
      <w:r w:rsidRPr="003E3A1D">
        <w:rPr>
          <w:bCs/>
          <w:szCs w:val="26"/>
        </w:rPr>
        <w:t xml:space="preserve">A </w:t>
      </w:r>
      <w:r w:rsidRPr="003E3A1D">
        <w:rPr>
          <w:szCs w:val="26"/>
        </w:rPr>
        <w:t>lakossági állampapír</w:t>
      </w:r>
      <w:r w:rsidR="007506C7">
        <w:rPr>
          <w:szCs w:val="26"/>
        </w:rPr>
        <w:t>-</w:t>
      </w:r>
      <w:r w:rsidRPr="003E3A1D">
        <w:rPr>
          <w:szCs w:val="26"/>
        </w:rPr>
        <w:t xml:space="preserve">kereslet döntő hányadát az egy évnél hosszabb futamidejű Prémium Magyar Állampapír </w:t>
      </w:r>
      <w:r w:rsidRPr="003E3A1D">
        <w:rPr>
          <w:bCs/>
          <w:szCs w:val="26"/>
        </w:rPr>
        <w:t>értékesítése képezte. A</w:t>
      </w:r>
      <w:r w:rsidRPr="003E3A1D">
        <w:rPr>
          <w:szCs w:val="26"/>
        </w:rPr>
        <w:t xml:space="preserve"> Prémium Magyar Állampapír állománya 2022. március végére 412,1 milliárd forinttal növekedett, amely így 2614,9 milliárd forintot tett ki. A </w:t>
      </w:r>
      <w:r w:rsidRPr="003E3A1D">
        <w:rPr>
          <w:bCs/>
          <w:szCs w:val="26"/>
        </w:rPr>
        <w:t>Magyar Állampapír Plusz állománya március végéig 443,2 milliárd forinttal 5503,2 milliárd forintra csökkent. A nyomdai úton előállított Magyar Állampapír Plusz állománya 17,8 milliárd forint növekedés következtében 432,8 milliárd forint volt hó végén.</w:t>
      </w:r>
    </w:p>
    <w:p w14:paraId="7EEF0404" w14:textId="08667D29" w:rsidR="00573AFF" w:rsidRPr="003E3A1D" w:rsidRDefault="00573AFF" w:rsidP="00573AFF">
      <w:pPr>
        <w:pStyle w:val="Default"/>
        <w:spacing w:before="120"/>
        <w:jc w:val="both"/>
        <w:rPr>
          <w:rFonts w:ascii="Times New Roman" w:hAnsi="Times New Roman" w:cs="Times New Roman"/>
          <w:color w:val="auto"/>
          <w:sz w:val="26"/>
          <w:szCs w:val="26"/>
        </w:rPr>
      </w:pPr>
      <w:r w:rsidRPr="003E3A1D">
        <w:rPr>
          <w:rFonts w:ascii="Times New Roman" w:hAnsi="Times New Roman" w:cs="Times New Roman"/>
          <w:color w:val="auto"/>
          <w:sz w:val="26"/>
          <w:szCs w:val="26"/>
        </w:rPr>
        <w:t>Az Egyéves Magyar Állampapír állománya 1066,3 milliárd forint volt március</w:t>
      </w:r>
      <w:r w:rsidRPr="003E3A1D">
        <w:rPr>
          <w:rFonts w:ascii="Times New Roman" w:hAnsi="Times New Roman" w:cs="Times New Roman"/>
          <w:bCs/>
          <w:color w:val="auto"/>
          <w:sz w:val="26"/>
          <w:szCs w:val="26"/>
        </w:rPr>
        <w:t xml:space="preserve"> </w:t>
      </w:r>
      <w:r w:rsidRPr="003E3A1D">
        <w:rPr>
          <w:rFonts w:ascii="Times New Roman" w:hAnsi="Times New Roman" w:cs="Times New Roman"/>
          <w:color w:val="auto"/>
          <w:sz w:val="26"/>
          <w:szCs w:val="26"/>
        </w:rPr>
        <w:t xml:space="preserve">végén, ami 64,7 milliárd forinttal magasabb a 2021. év végi állománynál. A gyermekek életkezdési támogatását szolgáló Babakötvény állománya 2022-ben 16,1 milliárd forinttal növekedett és március végére elérte a 164,9 milliárd forintot. Az </w:t>
      </w:r>
      <w:r w:rsidR="006E24F6" w:rsidRPr="003E3A1D">
        <w:rPr>
          <w:rFonts w:ascii="Times New Roman" w:hAnsi="Times New Roman" w:cs="Times New Roman"/>
          <w:color w:val="auto"/>
          <w:sz w:val="26"/>
          <w:szCs w:val="26"/>
        </w:rPr>
        <w:t>Államadósság Kezelő Központ Zrt. (</w:t>
      </w:r>
      <w:r w:rsidRPr="003E3A1D">
        <w:rPr>
          <w:rFonts w:ascii="Times New Roman" w:hAnsi="Times New Roman" w:cs="Times New Roman"/>
          <w:color w:val="auto"/>
          <w:sz w:val="26"/>
          <w:szCs w:val="26"/>
        </w:rPr>
        <w:t>ÁKK Zrt.</w:t>
      </w:r>
      <w:r w:rsidR="006E24F6" w:rsidRPr="003E3A1D">
        <w:rPr>
          <w:rFonts w:ascii="Times New Roman" w:hAnsi="Times New Roman" w:cs="Times New Roman"/>
          <w:color w:val="auto"/>
          <w:sz w:val="26"/>
          <w:szCs w:val="26"/>
        </w:rPr>
        <w:t>)</w:t>
      </w:r>
      <w:r w:rsidRPr="003E3A1D">
        <w:rPr>
          <w:rFonts w:ascii="Times New Roman" w:hAnsi="Times New Roman" w:cs="Times New Roman"/>
          <w:color w:val="auto"/>
          <w:sz w:val="26"/>
          <w:szCs w:val="26"/>
        </w:rPr>
        <w:t xml:space="preserve"> március hó folyamán összesen 298,5 milliárd forint összegben vásárolt vissza lakossági állampapírokat a forgalmazó bankoktól.</w:t>
      </w:r>
    </w:p>
    <w:p w14:paraId="327A1BBE" w14:textId="0F23B301" w:rsidR="00573AFF" w:rsidRPr="003E3A1D" w:rsidRDefault="00573AFF" w:rsidP="00573AFF">
      <w:pPr>
        <w:spacing w:before="240"/>
        <w:ind w:right="23"/>
        <w:rPr>
          <w:szCs w:val="26"/>
        </w:rPr>
      </w:pPr>
      <w:r w:rsidRPr="003E3A1D">
        <w:rPr>
          <w:szCs w:val="26"/>
        </w:rPr>
        <w:t xml:space="preserve">A </w:t>
      </w:r>
      <w:r w:rsidR="007506C7">
        <w:rPr>
          <w:iCs/>
          <w:szCs w:val="26"/>
        </w:rPr>
        <w:t>külföldi befektetők állampapír-</w:t>
      </w:r>
      <w:r w:rsidRPr="003E3A1D">
        <w:rPr>
          <w:iCs/>
          <w:szCs w:val="26"/>
        </w:rPr>
        <w:t>állománya márciusban</w:t>
      </w:r>
      <w:r w:rsidR="00F12861" w:rsidRPr="003E3A1D">
        <w:rPr>
          <w:szCs w:val="26"/>
        </w:rPr>
        <w:t xml:space="preserve"> 328,1 milliárd forinttal 4</w:t>
      </w:r>
      <w:r w:rsidRPr="003E3A1D">
        <w:rPr>
          <w:szCs w:val="26"/>
        </w:rPr>
        <w:t>520,0 milliárd forintra csökkent az előző hónap</w:t>
      </w:r>
      <w:r w:rsidR="006E24F6" w:rsidRPr="003E3A1D">
        <w:rPr>
          <w:szCs w:val="26"/>
        </w:rPr>
        <w:t xml:space="preserve">hoz képest. A külföldi állomány 99,3%-a, 4486,2 </w:t>
      </w:r>
      <w:r w:rsidRPr="003E3A1D">
        <w:rPr>
          <w:szCs w:val="26"/>
        </w:rPr>
        <w:t>milliárd forint államkötvény és 0,7%-a, 33,9</w:t>
      </w:r>
      <w:r w:rsidR="006E24F6" w:rsidRPr="003E3A1D">
        <w:rPr>
          <w:szCs w:val="26"/>
        </w:rPr>
        <w:t> </w:t>
      </w:r>
      <w:r w:rsidRPr="003E3A1D">
        <w:rPr>
          <w:szCs w:val="26"/>
        </w:rPr>
        <w:t>milliárd forint diszkontkincstárjegy. A külföldi állomány átlagos hátralévő futamideje március végén 6,5 év volt, amely kissé emelkedett az előző hónap végéhez képest.</w:t>
      </w:r>
    </w:p>
    <w:p w14:paraId="35876082" w14:textId="1A0C33E0" w:rsidR="00783FB5" w:rsidRPr="003E3A1D" w:rsidRDefault="00573AFF" w:rsidP="00573AFF">
      <w:pPr>
        <w:widowControl w:val="0"/>
        <w:ind w:right="23"/>
        <w:rPr>
          <w:szCs w:val="26"/>
        </w:rPr>
      </w:pPr>
      <w:r w:rsidRPr="003E3A1D">
        <w:rPr>
          <w:szCs w:val="26"/>
        </w:rPr>
        <w:t>A deviza-államadósság kockázatainak csökkentése érdekében az ÁKK Zrt. swap műveleteket köt, amiből az adósságállomány részét képezik az ezen ügyletek után az ÁKK Zrt.-nél elhelyezésre kerülő fedezeti összegek (az ún. mark-to-market betétek) az egyéb kötelezettségek</w:t>
      </w:r>
      <w:r w:rsidR="007506C7">
        <w:rPr>
          <w:szCs w:val="26"/>
        </w:rPr>
        <w:t xml:space="preserve"> soron. A korábbi dollárkötvény-</w:t>
      </w:r>
      <w:r w:rsidRPr="003E3A1D">
        <w:rPr>
          <w:szCs w:val="26"/>
        </w:rPr>
        <w:t>kibocsátások óta eltelt időszakban az egyéb devizák (főként az USD) jelentősen felértékelődtek az euróhoz képest, az emiatt keletkező többletadósságot viszont a swapkötéssel sikerült kizárni. A vizsgált időszakban az egyéb kötelezettségek állománya 6,2 milliárd forinttal növekedett. Március végén az állomány 186,8 milliárd forintot tett ki, ami a teljes államadósság 0,4%-át jelenti</w:t>
      </w:r>
      <w:r w:rsidR="4AC3BDA3" w:rsidRPr="003E3A1D">
        <w:t>.</w:t>
      </w:r>
    </w:p>
    <w:sectPr w:rsidR="00783FB5" w:rsidRPr="003E3A1D"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2923" w14:textId="77777777" w:rsidR="00FA50CB" w:rsidRDefault="00FA50CB">
      <w:r>
        <w:separator/>
      </w:r>
    </w:p>
  </w:endnote>
  <w:endnote w:type="continuationSeparator" w:id="0">
    <w:p w14:paraId="123A7E87" w14:textId="77777777" w:rsidR="00FA50CB" w:rsidRDefault="00FA50CB">
      <w:r>
        <w:continuationSeparator/>
      </w:r>
    </w:p>
  </w:endnote>
  <w:endnote w:type="continuationNotice" w:id="1">
    <w:p w14:paraId="5AA320E2" w14:textId="77777777" w:rsidR="00FA50CB" w:rsidRDefault="00FA5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8387"/>
      <w:docPartObj>
        <w:docPartGallery w:val="Page Numbers (Bottom of Page)"/>
        <w:docPartUnique/>
      </w:docPartObj>
    </w:sdtPr>
    <w:sdtEndPr/>
    <w:sdtContent>
      <w:p w14:paraId="2BEC4955" w14:textId="77777777" w:rsidR="00FA50CB" w:rsidRDefault="00FA50CB">
        <w:pPr>
          <w:pStyle w:val="llb"/>
          <w:jc w:val="center"/>
        </w:pPr>
      </w:p>
      <w:p w14:paraId="5D4F0473" w14:textId="7CE65423" w:rsidR="00FA50CB" w:rsidRPr="00B65D56" w:rsidRDefault="00FA50CB" w:rsidP="00F1795F">
        <w:pPr>
          <w:pStyle w:val="llb"/>
          <w:jc w:val="center"/>
        </w:pPr>
        <w:r>
          <w:fldChar w:fldCharType="begin"/>
        </w:r>
        <w:r>
          <w:instrText>PAGE   \* MERGEFORMAT</w:instrText>
        </w:r>
        <w:r>
          <w:fldChar w:fldCharType="separate"/>
        </w:r>
        <w:r w:rsidR="001F0FFE">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0635"/>
      <w:docPartObj>
        <w:docPartGallery w:val="Page Numbers (Bottom of Page)"/>
        <w:docPartUnique/>
      </w:docPartObj>
    </w:sdtPr>
    <w:sdtEndPr/>
    <w:sdtContent>
      <w:p w14:paraId="5FB57992" w14:textId="07DF7DE5" w:rsidR="00FA50CB" w:rsidRDefault="00FA50CB">
        <w:pPr>
          <w:pStyle w:val="llb"/>
          <w:jc w:val="center"/>
        </w:pPr>
        <w:r>
          <w:fldChar w:fldCharType="begin"/>
        </w:r>
        <w:r>
          <w:instrText>PAGE   \* MERGEFORMAT</w:instrText>
        </w:r>
        <w:r>
          <w:fldChar w:fldCharType="separate"/>
        </w:r>
        <w:r w:rsidR="001F0FFE">
          <w:rPr>
            <w:noProof/>
          </w:rPr>
          <w:t>- 0 -</w:t>
        </w:r>
        <w:r>
          <w:fldChar w:fldCharType="end"/>
        </w:r>
      </w:p>
    </w:sdtContent>
  </w:sdt>
  <w:p w14:paraId="2F25FF07" w14:textId="77777777" w:rsidR="00FA50CB" w:rsidRDefault="00FA50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24EC" w14:textId="77777777" w:rsidR="00FA50CB" w:rsidRDefault="00FA50CB">
      <w:r>
        <w:separator/>
      </w:r>
    </w:p>
  </w:footnote>
  <w:footnote w:type="continuationSeparator" w:id="0">
    <w:p w14:paraId="74626EFA" w14:textId="77777777" w:rsidR="00FA50CB" w:rsidRDefault="00FA50CB">
      <w:r>
        <w:continuationSeparator/>
      </w:r>
    </w:p>
  </w:footnote>
  <w:footnote w:type="continuationNotice" w:id="1">
    <w:p w14:paraId="1993C508" w14:textId="77777777" w:rsidR="00FA50CB" w:rsidRDefault="00FA50CB">
      <w:pPr>
        <w:spacing w:after="0"/>
      </w:pPr>
    </w:p>
  </w:footnote>
  <w:footnote w:id="2">
    <w:p w14:paraId="5D4F0478" w14:textId="77777777" w:rsidR="00FA50CB" w:rsidRDefault="00FA50CB" w:rsidP="4AC3BDA3">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FA50CB" w:rsidRPr="00881044" w:rsidRDefault="00FA50CB"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FA50CB" w:rsidRPr="00FE4DD1" w:rsidRDefault="00FA50CB"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FA50CB" w:rsidRPr="00881044" w:rsidRDefault="00FA50CB"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FA50CB" w:rsidRPr="00FE4DD1" w:rsidRDefault="00FA50CB"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hu-HU" w:vendorID="7" w:dllVersion="513" w:checkStyle="0"/>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122881"/>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262"/>
    <w:rsid w:val="0000053E"/>
    <w:rsid w:val="00000779"/>
    <w:rsid w:val="000007F2"/>
    <w:rsid w:val="00000980"/>
    <w:rsid w:val="00000AF7"/>
    <w:rsid w:val="00000B92"/>
    <w:rsid w:val="00000BD9"/>
    <w:rsid w:val="00000C70"/>
    <w:rsid w:val="00000FA7"/>
    <w:rsid w:val="0000167C"/>
    <w:rsid w:val="00001A1C"/>
    <w:rsid w:val="000024F5"/>
    <w:rsid w:val="00002D44"/>
    <w:rsid w:val="00002EBA"/>
    <w:rsid w:val="00002F1F"/>
    <w:rsid w:val="00002F32"/>
    <w:rsid w:val="0000319C"/>
    <w:rsid w:val="000031E7"/>
    <w:rsid w:val="0000346F"/>
    <w:rsid w:val="0000366C"/>
    <w:rsid w:val="000039C4"/>
    <w:rsid w:val="00003A0A"/>
    <w:rsid w:val="00003AB5"/>
    <w:rsid w:val="00003D71"/>
    <w:rsid w:val="00003DAA"/>
    <w:rsid w:val="00003E72"/>
    <w:rsid w:val="000040A1"/>
    <w:rsid w:val="00004153"/>
    <w:rsid w:val="000041CC"/>
    <w:rsid w:val="0000447C"/>
    <w:rsid w:val="00004A2B"/>
    <w:rsid w:val="00004B11"/>
    <w:rsid w:val="00004C60"/>
    <w:rsid w:val="000050A4"/>
    <w:rsid w:val="00005414"/>
    <w:rsid w:val="00005653"/>
    <w:rsid w:val="00006BEB"/>
    <w:rsid w:val="00006E83"/>
    <w:rsid w:val="00007429"/>
    <w:rsid w:val="0000786D"/>
    <w:rsid w:val="00007C32"/>
    <w:rsid w:val="0001020A"/>
    <w:rsid w:val="00010472"/>
    <w:rsid w:val="00010E9B"/>
    <w:rsid w:val="00010EF9"/>
    <w:rsid w:val="00010FD3"/>
    <w:rsid w:val="00010FED"/>
    <w:rsid w:val="000111EE"/>
    <w:rsid w:val="000115A7"/>
    <w:rsid w:val="00011735"/>
    <w:rsid w:val="000118A8"/>
    <w:rsid w:val="00011A1C"/>
    <w:rsid w:val="00011AEC"/>
    <w:rsid w:val="00011CA1"/>
    <w:rsid w:val="00011D84"/>
    <w:rsid w:val="000122E0"/>
    <w:rsid w:val="00012954"/>
    <w:rsid w:val="00012962"/>
    <w:rsid w:val="00012FB0"/>
    <w:rsid w:val="00012FE4"/>
    <w:rsid w:val="00013057"/>
    <w:rsid w:val="000133DD"/>
    <w:rsid w:val="000134F5"/>
    <w:rsid w:val="000138C1"/>
    <w:rsid w:val="00013907"/>
    <w:rsid w:val="00013A33"/>
    <w:rsid w:val="00013CD2"/>
    <w:rsid w:val="000140C0"/>
    <w:rsid w:val="00014401"/>
    <w:rsid w:val="000148D6"/>
    <w:rsid w:val="00014A69"/>
    <w:rsid w:val="00014D97"/>
    <w:rsid w:val="000150A0"/>
    <w:rsid w:val="00015137"/>
    <w:rsid w:val="000158B9"/>
    <w:rsid w:val="000159D2"/>
    <w:rsid w:val="000162DD"/>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0A40"/>
    <w:rsid w:val="00021491"/>
    <w:rsid w:val="00021768"/>
    <w:rsid w:val="00021A79"/>
    <w:rsid w:val="00022190"/>
    <w:rsid w:val="0002286F"/>
    <w:rsid w:val="000228D4"/>
    <w:rsid w:val="00022C6B"/>
    <w:rsid w:val="00022F1B"/>
    <w:rsid w:val="00022FBD"/>
    <w:rsid w:val="000230A1"/>
    <w:rsid w:val="0002313D"/>
    <w:rsid w:val="00023277"/>
    <w:rsid w:val="00023497"/>
    <w:rsid w:val="00023517"/>
    <w:rsid w:val="000235DE"/>
    <w:rsid w:val="00023977"/>
    <w:rsid w:val="00023B1E"/>
    <w:rsid w:val="00023D4A"/>
    <w:rsid w:val="000244AA"/>
    <w:rsid w:val="000249CF"/>
    <w:rsid w:val="00024A56"/>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35F"/>
    <w:rsid w:val="00027464"/>
    <w:rsid w:val="000274E3"/>
    <w:rsid w:val="000278D7"/>
    <w:rsid w:val="000301B5"/>
    <w:rsid w:val="000302F7"/>
    <w:rsid w:val="0003042E"/>
    <w:rsid w:val="00030BF8"/>
    <w:rsid w:val="00031079"/>
    <w:rsid w:val="00031114"/>
    <w:rsid w:val="00031212"/>
    <w:rsid w:val="00031A7F"/>
    <w:rsid w:val="00031EE0"/>
    <w:rsid w:val="00032036"/>
    <w:rsid w:val="0003206C"/>
    <w:rsid w:val="0003279A"/>
    <w:rsid w:val="000327EC"/>
    <w:rsid w:val="00032904"/>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A80"/>
    <w:rsid w:val="00036B13"/>
    <w:rsid w:val="00036CEF"/>
    <w:rsid w:val="000371AA"/>
    <w:rsid w:val="000374B0"/>
    <w:rsid w:val="000374D9"/>
    <w:rsid w:val="000375DB"/>
    <w:rsid w:val="0003779F"/>
    <w:rsid w:val="00037A25"/>
    <w:rsid w:val="00037DE9"/>
    <w:rsid w:val="00037E5D"/>
    <w:rsid w:val="00040071"/>
    <w:rsid w:val="00040819"/>
    <w:rsid w:val="00040D56"/>
    <w:rsid w:val="000411F7"/>
    <w:rsid w:val="00041242"/>
    <w:rsid w:val="00041496"/>
    <w:rsid w:val="000415D6"/>
    <w:rsid w:val="00041712"/>
    <w:rsid w:val="00041DA5"/>
    <w:rsid w:val="00041E51"/>
    <w:rsid w:val="00041F52"/>
    <w:rsid w:val="000424F9"/>
    <w:rsid w:val="0004255E"/>
    <w:rsid w:val="00042964"/>
    <w:rsid w:val="00042AAC"/>
    <w:rsid w:val="00042E08"/>
    <w:rsid w:val="00042F3F"/>
    <w:rsid w:val="0004309A"/>
    <w:rsid w:val="0004312B"/>
    <w:rsid w:val="00043F64"/>
    <w:rsid w:val="000444EE"/>
    <w:rsid w:val="0004453C"/>
    <w:rsid w:val="0004489D"/>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D83"/>
    <w:rsid w:val="00051E51"/>
    <w:rsid w:val="00051F8F"/>
    <w:rsid w:val="000521E9"/>
    <w:rsid w:val="00052378"/>
    <w:rsid w:val="0005257C"/>
    <w:rsid w:val="00052889"/>
    <w:rsid w:val="0005295B"/>
    <w:rsid w:val="00052C8F"/>
    <w:rsid w:val="00052DE7"/>
    <w:rsid w:val="00052E9D"/>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CF"/>
    <w:rsid w:val="00054FE3"/>
    <w:rsid w:val="00055097"/>
    <w:rsid w:val="000551F1"/>
    <w:rsid w:val="000556FC"/>
    <w:rsid w:val="000557AC"/>
    <w:rsid w:val="00055A48"/>
    <w:rsid w:val="00055D3F"/>
    <w:rsid w:val="00056922"/>
    <w:rsid w:val="00056BC3"/>
    <w:rsid w:val="00057672"/>
    <w:rsid w:val="0005769C"/>
    <w:rsid w:val="000577AA"/>
    <w:rsid w:val="00057912"/>
    <w:rsid w:val="00057F9F"/>
    <w:rsid w:val="0006001E"/>
    <w:rsid w:val="000604A5"/>
    <w:rsid w:val="00060784"/>
    <w:rsid w:val="00060826"/>
    <w:rsid w:val="00060844"/>
    <w:rsid w:val="00060866"/>
    <w:rsid w:val="00060AF3"/>
    <w:rsid w:val="00060D40"/>
    <w:rsid w:val="00060F82"/>
    <w:rsid w:val="000610CB"/>
    <w:rsid w:val="00061530"/>
    <w:rsid w:val="00061722"/>
    <w:rsid w:val="00061C42"/>
    <w:rsid w:val="00061DFB"/>
    <w:rsid w:val="00061E39"/>
    <w:rsid w:val="00061E89"/>
    <w:rsid w:val="00061FC3"/>
    <w:rsid w:val="000621F4"/>
    <w:rsid w:val="000622F9"/>
    <w:rsid w:val="00062332"/>
    <w:rsid w:val="000625BF"/>
    <w:rsid w:val="00062A7C"/>
    <w:rsid w:val="00062C73"/>
    <w:rsid w:val="0006326A"/>
    <w:rsid w:val="000632EB"/>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AAD"/>
    <w:rsid w:val="00065B27"/>
    <w:rsid w:val="00065B4D"/>
    <w:rsid w:val="00065C49"/>
    <w:rsid w:val="0006642A"/>
    <w:rsid w:val="0006644F"/>
    <w:rsid w:val="0006662A"/>
    <w:rsid w:val="00066A73"/>
    <w:rsid w:val="00066F74"/>
    <w:rsid w:val="000676EC"/>
    <w:rsid w:val="0006777F"/>
    <w:rsid w:val="00067BCE"/>
    <w:rsid w:val="00067C20"/>
    <w:rsid w:val="000702D0"/>
    <w:rsid w:val="000704E9"/>
    <w:rsid w:val="00071166"/>
    <w:rsid w:val="000712BF"/>
    <w:rsid w:val="0007134D"/>
    <w:rsid w:val="00071668"/>
    <w:rsid w:val="00071860"/>
    <w:rsid w:val="00071BE9"/>
    <w:rsid w:val="000720C3"/>
    <w:rsid w:val="0007223D"/>
    <w:rsid w:val="00073031"/>
    <w:rsid w:val="00073170"/>
    <w:rsid w:val="000736A3"/>
    <w:rsid w:val="000738A3"/>
    <w:rsid w:val="00073991"/>
    <w:rsid w:val="00073A61"/>
    <w:rsid w:val="00073D4B"/>
    <w:rsid w:val="00073EB1"/>
    <w:rsid w:val="00074329"/>
    <w:rsid w:val="00074544"/>
    <w:rsid w:val="0007454D"/>
    <w:rsid w:val="00074742"/>
    <w:rsid w:val="00074C6F"/>
    <w:rsid w:val="00074D2D"/>
    <w:rsid w:val="0007516A"/>
    <w:rsid w:val="0007523F"/>
    <w:rsid w:val="000754B7"/>
    <w:rsid w:val="000756AB"/>
    <w:rsid w:val="00075A68"/>
    <w:rsid w:val="00075EA6"/>
    <w:rsid w:val="00075FCE"/>
    <w:rsid w:val="00076374"/>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2C0"/>
    <w:rsid w:val="0008235E"/>
    <w:rsid w:val="0008236A"/>
    <w:rsid w:val="000827C1"/>
    <w:rsid w:val="000828B9"/>
    <w:rsid w:val="00082A5E"/>
    <w:rsid w:val="00083625"/>
    <w:rsid w:val="00083647"/>
    <w:rsid w:val="00083873"/>
    <w:rsid w:val="000838E8"/>
    <w:rsid w:val="00083928"/>
    <w:rsid w:val="000839C4"/>
    <w:rsid w:val="00083D48"/>
    <w:rsid w:val="00083DB7"/>
    <w:rsid w:val="0008442C"/>
    <w:rsid w:val="000846B0"/>
    <w:rsid w:val="00084C35"/>
    <w:rsid w:val="00084E94"/>
    <w:rsid w:val="00084F8F"/>
    <w:rsid w:val="0008512A"/>
    <w:rsid w:val="00085183"/>
    <w:rsid w:val="000851FF"/>
    <w:rsid w:val="00086040"/>
    <w:rsid w:val="0008659E"/>
    <w:rsid w:val="000865F4"/>
    <w:rsid w:val="00086830"/>
    <w:rsid w:val="00086F21"/>
    <w:rsid w:val="00086F64"/>
    <w:rsid w:val="00087150"/>
    <w:rsid w:val="00087423"/>
    <w:rsid w:val="00087444"/>
    <w:rsid w:val="000875CA"/>
    <w:rsid w:val="000876A5"/>
    <w:rsid w:val="00087987"/>
    <w:rsid w:val="00087CD3"/>
    <w:rsid w:val="000900CB"/>
    <w:rsid w:val="000900E7"/>
    <w:rsid w:val="0009025B"/>
    <w:rsid w:val="00090271"/>
    <w:rsid w:val="0009055D"/>
    <w:rsid w:val="0009067F"/>
    <w:rsid w:val="000908E7"/>
    <w:rsid w:val="00090AB4"/>
    <w:rsid w:val="00090C97"/>
    <w:rsid w:val="00090CE7"/>
    <w:rsid w:val="00091084"/>
    <w:rsid w:val="0009121C"/>
    <w:rsid w:val="00091B8D"/>
    <w:rsid w:val="00091B97"/>
    <w:rsid w:val="00091C45"/>
    <w:rsid w:val="00091E96"/>
    <w:rsid w:val="0009222C"/>
    <w:rsid w:val="0009228A"/>
    <w:rsid w:val="00092529"/>
    <w:rsid w:val="00092834"/>
    <w:rsid w:val="00092B62"/>
    <w:rsid w:val="0009307E"/>
    <w:rsid w:val="00093352"/>
    <w:rsid w:val="000933D7"/>
    <w:rsid w:val="0009352F"/>
    <w:rsid w:val="00093854"/>
    <w:rsid w:val="000938C6"/>
    <w:rsid w:val="00093B0E"/>
    <w:rsid w:val="00093B1E"/>
    <w:rsid w:val="00093CEC"/>
    <w:rsid w:val="00093D38"/>
    <w:rsid w:val="00094808"/>
    <w:rsid w:val="00094843"/>
    <w:rsid w:val="00095E87"/>
    <w:rsid w:val="000961B9"/>
    <w:rsid w:val="00096779"/>
    <w:rsid w:val="00096B6E"/>
    <w:rsid w:val="00096BD2"/>
    <w:rsid w:val="00096D11"/>
    <w:rsid w:val="00096F1F"/>
    <w:rsid w:val="00096FF2"/>
    <w:rsid w:val="00097EC8"/>
    <w:rsid w:val="00097ED1"/>
    <w:rsid w:val="000A0825"/>
    <w:rsid w:val="000A0935"/>
    <w:rsid w:val="000A0A12"/>
    <w:rsid w:val="000A0A38"/>
    <w:rsid w:val="000A10BA"/>
    <w:rsid w:val="000A10BD"/>
    <w:rsid w:val="000A1E01"/>
    <w:rsid w:val="000A1EE8"/>
    <w:rsid w:val="000A1FC2"/>
    <w:rsid w:val="000A209E"/>
    <w:rsid w:val="000A271A"/>
    <w:rsid w:val="000A2C9B"/>
    <w:rsid w:val="000A2CB2"/>
    <w:rsid w:val="000A30EA"/>
    <w:rsid w:val="000A3113"/>
    <w:rsid w:val="000A3214"/>
    <w:rsid w:val="000A3327"/>
    <w:rsid w:val="000A38EF"/>
    <w:rsid w:val="000A3BEE"/>
    <w:rsid w:val="000A3E99"/>
    <w:rsid w:val="000A4135"/>
    <w:rsid w:val="000A41AF"/>
    <w:rsid w:val="000A42B7"/>
    <w:rsid w:val="000A44CA"/>
    <w:rsid w:val="000A45CB"/>
    <w:rsid w:val="000A4F88"/>
    <w:rsid w:val="000A55BD"/>
    <w:rsid w:val="000A55D3"/>
    <w:rsid w:val="000A5B61"/>
    <w:rsid w:val="000A5E92"/>
    <w:rsid w:val="000A64D5"/>
    <w:rsid w:val="000A683F"/>
    <w:rsid w:val="000A6F73"/>
    <w:rsid w:val="000A741E"/>
    <w:rsid w:val="000A74A9"/>
    <w:rsid w:val="000A7E87"/>
    <w:rsid w:val="000B0206"/>
    <w:rsid w:val="000B0A30"/>
    <w:rsid w:val="000B0BC5"/>
    <w:rsid w:val="000B0CF3"/>
    <w:rsid w:val="000B0E2B"/>
    <w:rsid w:val="000B0FC9"/>
    <w:rsid w:val="000B1186"/>
    <w:rsid w:val="000B11F1"/>
    <w:rsid w:val="000B13EA"/>
    <w:rsid w:val="000B15CB"/>
    <w:rsid w:val="000B18F1"/>
    <w:rsid w:val="000B1EEB"/>
    <w:rsid w:val="000B2692"/>
    <w:rsid w:val="000B2A50"/>
    <w:rsid w:val="000B2ED2"/>
    <w:rsid w:val="000B379C"/>
    <w:rsid w:val="000B3C1C"/>
    <w:rsid w:val="000B3CFE"/>
    <w:rsid w:val="000B3DC8"/>
    <w:rsid w:val="000B3EC9"/>
    <w:rsid w:val="000B427F"/>
    <w:rsid w:val="000B459B"/>
    <w:rsid w:val="000B4A7E"/>
    <w:rsid w:val="000B5BB2"/>
    <w:rsid w:val="000B615B"/>
    <w:rsid w:val="000B65B0"/>
    <w:rsid w:val="000B66DA"/>
    <w:rsid w:val="000B6A3F"/>
    <w:rsid w:val="000B6AC4"/>
    <w:rsid w:val="000B6C0E"/>
    <w:rsid w:val="000B6C94"/>
    <w:rsid w:val="000B6E36"/>
    <w:rsid w:val="000B6ECD"/>
    <w:rsid w:val="000B6FDC"/>
    <w:rsid w:val="000B74D4"/>
    <w:rsid w:val="000B7925"/>
    <w:rsid w:val="000B79EC"/>
    <w:rsid w:val="000B7D3E"/>
    <w:rsid w:val="000C0263"/>
    <w:rsid w:val="000C037A"/>
    <w:rsid w:val="000C040F"/>
    <w:rsid w:val="000C0E4E"/>
    <w:rsid w:val="000C10AD"/>
    <w:rsid w:val="000C1110"/>
    <w:rsid w:val="000C11C6"/>
    <w:rsid w:val="000C17B1"/>
    <w:rsid w:val="000C18B6"/>
    <w:rsid w:val="000C22FD"/>
    <w:rsid w:val="000C23BC"/>
    <w:rsid w:val="000C243D"/>
    <w:rsid w:val="000C2553"/>
    <w:rsid w:val="000C2C75"/>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6061"/>
    <w:rsid w:val="000C624F"/>
    <w:rsid w:val="000C6BCD"/>
    <w:rsid w:val="000C6BD0"/>
    <w:rsid w:val="000C6FB4"/>
    <w:rsid w:val="000C733A"/>
    <w:rsid w:val="000C7391"/>
    <w:rsid w:val="000C7453"/>
    <w:rsid w:val="000C794C"/>
    <w:rsid w:val="000C7B8F"/>
    <w:rsid w:val="000D0012"/>
    <w:rsid w:val="000D02C7"/>
    <w:rsid w:val="000D0735"/>
    <w:rsid w:val="000D07ED"/>
    <w:rsid w:val="000D0B9E"/>
    <w:rsid w:val="000D0BC6"/>
    <w:rsid w:val="000D0CCF"/>
    <w:rsid w:val="000D0EC8"/>
    <w:rsid w:val="000D1080"/>
    <w:rsid w:val="000D143E"/>
    <w:rsid w:val="000D1AEC"/>
    <w:rsid w:val="000D20D0"/>
    <w:rsid w:val="000D2162"/>
    <w:rsid w:val="000D2222"/>
    <w:rsid w:val="000D22DD"/>
    <w:rsid w:val="000D2A91"/>
    <w:rsid w:val="000D2ACD"/>
    <w:rsid w:val="000D2BFD"/>
    <w:rsid w:val="000D3686"/>
    <w:rsid w:val="000D3CDF"/>
    <w:rsid w:val="000D3EB0"/>
    <w:rsid w:val="000D3F95"/>
    <w:rsid w:val="000D46AE"/>
    <w:rsid w:val="000D4BD6"/>
    <w:rsid w:val="000D4EF1"/>
    <w:rsid w:val="000D51E1"/>
    <w:rsid w:val="000D542F"/>
    <w:rsid w:val="000D54C4"/>
    <w:rsid w:val="000D577A"/>
    <w:rsid w:val="000D5CCD"/>
    <w:rsid w:val="000D5D99"/>
    <w:rsid w:val="000D6810"/>
    <w:rsid w:val="000D6C76"/>
    <w:rsid w:val="000D6E2E"/>
    <w:rsid w:val="000D6E87"/>
    <w:rsid w:val="000D6FE6"/>
    <w:rsid w:val="000D75C1"/>
    <w:rsid w:val="000D79F5"/>
    <w:rsid w:val="000D7C17"/>
    <w:rsid w:val="000D7D3C"/>
    <w:rsid w:val="000E0020"/>
    <w:rsid w:val="000E05E5"/>
    <w:rsid w:val="000E07AE"/>
    <w:rsid w:val="000E0B80"/>
    <w:rsid w:val="000E0E98"/>
    <w:rsid w:val="000E0F46"/>
    <w:rsid w:val="000E1114"/>
    <w:rsid w:val="000E12E5"/>
    <w:rsid w:val="000E12F9"/>
    <w:rsid w:val="000E1AFF"/>
    <w:rsid w:val="000E1DE7"/>
    <w:rsid w:val="000E20B0"/>
    <w:rsid w:val="000E223E"/>
    <w:rsid w:val="000E2466"/>
    <w:rsid w:val="000E26F1"/>
    <w:rsid w:val="000E2940"/>
    <w:rsid w:val="000E29A2"/>
    <w:rsid w:val="000E2DA0"/>
    <w:rsid w:val="000E312F"/>
    <w:rsid w:val="000E3278"/>
    <w:rsid w:val="000E338E"/>
    <w:rsid w:val="000E3420"/>
    <w:rsid w:val="000E3430"/>
    <w:rsid w:val="000E38E8"/>
    <w:rsid w:val="000E39FA"/>
    <w:rsid w:val="000E3D46"/>
    <w:rsid w:val="000E41DC"/>
    <w:rsid w:val="000E420F"/>
    <w:rsid w:val="000E4277"/>
    <w:rsid w:val="000E47AC"/>
    <w:rsid w:val="000E49CE"/>
    <w:rsid w:val="000E503A"/>
    <w:rsid w:val="000E5591"/>
    <w:rsid w:val="000E5A34"/>
    <w:rsid w:val="000E5F7D"/>
    <w:rsid w:val="000E6041"/>
    <w:rsid w:val="000E62B5"/>
    <w:rsid w:val="000E662E"/>
    <w:rsid w:val="000E6909"/>
    <w:rsid w:val="000E6B85"/>
    <w:rsid w:val="000E6BA9"/>
    <w:rsid w:val="000E6E60"/>
    <w:rsid w:val="000E6F1C"/>
    <w:rsid w:val="000E6FB7"/>
    <w:rsid w:val="000E7350"/>
    <w:rsid w:val="000E745B"/>
    <w:rsid w:val="000E76B8"/>
    <w:rsid w:val="000E7B7C"/>
    <w:rsid w:val="000F098D"/>
    <w:rsid w:val="000F0E46"/>
    <w:rsid w:val="000F10D0"/>
    <w:rsid w:val="000F154F"/>
    <w:rsid w:val="000F184F"/>
    <w:rsid w:val="000F1BD8"/>
    <w:rsid w:val="000F1E65"/>
    <w:rsid w:val="000F24A1"/>
    <w:rsid w:val="000F24A3"/>
    <w:rsid w:val="000F2784"/>
    <w:rsid w:val="000F2FB7"/>
    <w:rsid w:val="000F31F6"/>
    <w:rsid w:val="000F341F"/>
    <w:rsid w:val="000F363A"/>
    <w:rsid w:val="000F3838"/>
    <w:rsid w:val="000F3C2E"/>
    <w:rsid w:val="000F3DCE"/>
    <w:rsid w:val="000F3E1A"/>
    <w:rsid w:val="000F3F4D"/>
    <w:rsid w:val="000F4030"/>
    <w:rsid w:val="000F43D9"/>
    <w:rsid w:val="000F49B7"/>
    <w:rsid w:val="000F5CD3"/>
    <w:rsid w:val="000F5DF9"/>
    <w:rsid w:val="000F5FF7"/>
    <w:rsid w:val="000F6073"/>
    <w:rsid w:val="000F6D0F"/>
    <w:rsid w:val="000F7060"/>
    <w:rsid w:val="000F7170"/>
    <w:rsid w:val="000F744F"/>
    <w:rsid w:val="000F7849"/>
    <w:rsid w:val="000F7B58"/>
    <w:rsid w:val="000F7F23"/>
    <w:rsid w:val="001006F2"/>
    <w:rsid w:val="00100AED"/>
    <w:rsid w:val="00100E92"/>
    <w:rsid w:val="00100F23"/>
    <w:rsid w:val="00101701"/>
    <w:rsid w:val="0010181C"/>
    <w:rsid w:val="0010199E"/>
    <w:rsid w:val="00101B9B"/>
    <w:rsid w:val="00101BC2"/>
    <w:rsid w:val="00101BC3"/>
    <w:rsid w:val="00101FDA"/>
    <w:rsid w:val="0010208B"/>
    <w:rsid w:val="00102255"/>
    <w:rsid w:val="00102343"/>
    <w:rsid w:val="001024C6"/>
    <w:rsid w:val="001027C3"/>
    <w:rsid w:val="00102ABC"/>
    <w:rsid w:val="00102D54"/>
    <w:rsid w:val="00103A1E"/>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BAF"/>
    <w:rsid w:val="00112BB6"/>
    <w:rsid w:val="00112BE5"/>
    <w:rsid w:val="001136A2"/>
    <w:rsid w:val="001136F6"/>
    <w:rsid w:val="001139C5"/>
    <w:rsid w:val="00113ABD"/>
    <w:rsid w:val="00113B53"/>
    <w:rsid w:val="00113BAF"/>
    <w:rsid w:val="00113C91"/>
    <w:rsid w:val="001149F9"/>
    <w:rsid w:val="0011508B"/>
    <w:rsid w:val="001150A8"/>
    <w:rsid w:val="0011549F"/>
    <w:rsid w:val="00115546"/>
    <w:rsid w:val="00115750"/>
    <w:rsid w:val="0011595F"/>
    <w:rsid w:val="00116066"/>
    <w:rsid w:val="00116176"/>
    <w:rsid w:val="00116427"/>
    <w:rsid w:val="0011648B"/>
    <w:rsid w:val="00116AB1"/>
    <w:rsid w:val="00116DAD"/>
    <w:rsid w:val="00116DBB"/>
    <w:rsid w:val="00116E10"/>
    <w:rsid w:val="00116FB4"/>
    <w:rsid w:val="00117574"/>
    <w:rsid w:val="00117717"/>
    <w:rsid w:val="00117C41"/>
    <w:rsid w:val="00120104"/>
    <w:rsid w:val="0012048C"/>
    <w:rsid w:val="001204FC"/>
    <w:rsid w:val="00120A2C"/>
    <w:rsid w:val="00120F4A"/>
    <w:rsid w:val="00120FEB"/>
    <w:rsid w:val="001210AF"/>
    <w:rsid w:val="001212C9"/>
    <w:rsid w:val="0012135A"/>
    <w:rsid w:val="00121410"/>
    <w:rsid w:val="00121619"/>
    <w:rsid w:val="00121DE4"/>
    <w:rsid w:val="00121E1C"/>
    <w:rsid w:val="0012263B"/>
    <w:rsid w:val="001226AA"/>
    <w:rsid w:val="00122F03"/>
    <w:rsid w:val="001239CC"/>
    <w:rsid w:val="00123CD0"/>
    <w:rsid w:val="00124225"/>
    <w:rsid w:val="00124607"/>
    <w:rsid w:val="0012462D"/>
    <w:rsid w:val="0012476B"/>
    <w:rsid w:val="0012477D"/>
    <w:rsid w:val="00124897"/>
    <w:rsid w:val="00124967"/>
    <w:rsid w:val="00125076"/>
    <w:rsid w:val="0012513D"/>
    <w:rsid w:val="00125141"/>
    <w:rsid w:val="00125AC8"/>
    <w:rsid w:val="00125B76"/>
    <w:rsid w:val="00125D2F"/>
    <w:rsid w:val="00125D90"/>
    <w:rsid w:val="0012618A"/>
    <w:rsid w:val="00126262"/>
    <w:rsid w:val="00126620"/>
    <w:rsid w:val="0012679F"/>
    <w:rsid w:val="00126867"/>
    <w:rsid w:val="00126A1B"/>
    <w:rsid w:val="00126E1A"/>
    <w:rsid w:val="00126E66"/>
    <w:rsid w:val="00127139"/>
    <w:rsid w:val="0012794E"/>
    <w:rsid w:val="00127C84"/>
    <w:rsid w:val="0013003B"/>
    <w:rsid w:val="00130ABA"/>
    <w:rsid w:val="00130B55"/>
    <w:rsid w:val="001312D1"/>
    <w:rsid w:val="0013137D"/>
    <w:rsid w:val="00131485"/>
    <w:rsid w:val="00131900"/>
    <w:rsid w:val="001321D7"/>
    <w:rsid w:val="0013241C"/>
    <w:rsid w:val="00132592"/>
    <w:rsid w:val="00133101"/>
    <w:rsid w:val="00133884"/>
    <w:rsid w:val="00133D79"/>
    <w:rsid w:val="0013409A"/>
    <w:rsid w:val="0013447D"/>
    <w:rsid w:val="00134C90"/>
    <w:rsid w:val="00134F0C"/>
    <w:rsid w:val="00134F92"/>
    <w:rsid w:val="0013513D"/>
    <w:rsid w:val="00135169"/>
    <w:rsid w:val="0013527B"/>
    <w:rsid w:val="00135388"/>
    <w:rsid w:val="00135696"/>
    <w:rsid w:val="00135AEC"/>
    <w:rsid w:val="00135D7A"/>
    <w:rsid w:val="00135E8F"/>
    <w:rsid w:val="00136092"/>
    <w:rsid w:val="0013609D"/>
    <w:rsid w:val="00136531"/>
    <w:rsid w:val="001365AE"/>
    <w:rsid w:val="0013661D"/>
    <w:rsid w:val="00136AEA"/>
    <w:rsid w:val="00136CA2"/>
    <w:rsid w:val="00136DD0"/>
    <w:rsid w:val="00136DD3"/>
    <w:rsid w:val="00136EB9"/>
    <w:rsid w:val="00137097"/>
    <w:rsid w:val="001376D7"/>
    <w:rsid w:val="00137A21"/>
    <w:rsid w:val="00137B29"/>
    <w:rsid w:val="00137C45"/>
    <w:rsid w:val="00137D4B"/>
    <w:rsid w:val="00140219"/>
    <w:rsid w:val="001402FD"/>
    <w:rsid w:val="00140314"/>
    <w:rsid w:val="0014031C"/>
    <w:rsid w:val="0014082F"/>
    <w:rsid w:val="00140F6E"/>
    <w:rsid w:val="001411DD"/>
    <w:rsid w:val="0014126A"/>
    <w:rsid w:val="0014129D"/>
    <w:rsid w:val="0014148F"/>
    <w:rsid w:val="00142069"/>
    <w:rsid w:val="001423BA"/>
    <w:rsid w:val="0014298A"/>
    <w:rsid w:val="00142E30"/>
    <w:rsid w:val="00142F34"/>
    <w:rsid w:val="00142F57"/>
    <w:rsid w:val="00143002"/>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F36"/>
    <w:rsid w:val="001473C4"/>
    <w:rsid w:val="00147585"/>
    <w:rsid w:val="00147A25"/>
    <w:rsid w:val="00147C45"/>
    <w:rsid w:val="00147CB3"/>
    <w:rsid w:val="001501D7"/>
    <w:rsid w:val="0015045E"/>
    <w:rsid w:val="00150A96"/>
    <w:rsid w:val="00150EC6"/>
    <w:rsid w:val="00150ECC"/>
    <w:rsid w:val="00151165"/>
    <w:rsid w:val="001511CD"/>
    <w:rsid w:val="00151DFA"/>
    <w:rsid w:val="00151E44"/>
    <w:rsid w:val="00151F5E"/>
    <w:rsid w:val="0015205B"/>
    <w:rsid w:val="00152292"/>
    <w:rsid w:val="001522F1"/>
    <w:rsid w:val="001526E0"/>
    <w:rsid w:val="00152C6F"/>
    <w:rsid w:val="00152E35"/>
    <w:rsid w:val="00152EB0"/>
    <w:rsid w:val="00153027"/>
    <w:rsid w:val="0015307F"/>
    <w:rsid w:val="001532A4"/>
    <w:rsid w:val="0015383C"/>
    <w:rsid w:val="00153905"/>
    <w:rsid w:val="00154FFA"/>
    <w:rsid w:val="001550B9"/>
    <w:rsid w:val="00155223"/>
    <w:rsid w:val="0015540C"/>
    <w:rsid w:val="00155ED0"/>
    <w:rsid w:val="00155F30"/>
    <w:rsid w:val="001560DC"/>
    <w:rsid w:val="00156D2A"/>
    <w:rsid w:val="0015742E"/>
    <w:rsid w:val="00157964"/>
    <w:rsid w:val="00157E6F"/>
    <w:rsid w:val="00157ECB"/>
    <w:rsid w:val="00160175"/>
    <w:rsid w:val="00160607"/>
    <w:rsid w:val="0016092E"/>
    <w:rsid w:val="00160CEB"/>
    <w:rsid w:val="00160D8C"/>
    <w:rsid w:val="0016103C"/>
    <w:rsid w:val="001615B7"/>
    <w:rsid w:val="001616CB"/>
    <w:rsid w:val="001619E6"/>
    <w:rsid w:val="00161DA4"/>
    <w:rsid w:val="00161E2D"/>
    <w:rsid w:val="001621EF"/>
    <w:rsid w:val="001622C5"/>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436C"/>
    <w:rsid w:val="0016444F"/>
    <w:rsid w:val="00164878"/>
    <w:rsid w:val="00164A1E"/>
    <w:rsid w:val="00164F57"/>
    <w:rsid w:val="00164FAC"/>
    <w:rsid w:val="00165003"/>
    <w:rsid w:val="00166196"/>
    <w:rsid w:val="001664BB"/>
    <w:rsid w:val="00166F66"/>
    <w:rsid w:val="00167475"/>
    <w:rsid w:val="00167B8E"/>
    <w:rsid w:val="00167EA0"/>
    <w:rsid w:val="00167FF6"/>
    <w:rsid w:val="00170138"/>
    <w:rsid w:val="001701CA"/>
    <w:rsid w:val="001702A3"/>
    <w:rsid w:val="00170361"/>
    <w:rsid w:val="0017042D"/>
    <w:rsid w:val="0017098E"/>
    <w:rsid w:val="00171261"/>
    <w:rsid w:val="00171283"/>
    <w:rsid w:val="00171427"/>
    <w:rsid w:val="00171C3F"/>
    <w:rsid w:val="00171DAF"/>
    <w:rsid w:val="00171E2F"/>
    <w:rsid w:val="00172024"/>
    <w:rsid w:val="0017229E"/>
    <w:rsid w:val="0017242D"/>
    <w:rsid w:val="00172BE9"/>
    <w:rsid w:val="00172E1B"/>
    <w:rsid w:val="00173014"/>
    <w:rsid w:val="00173160"/>
    <w:rsid w:val="00173290"/>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426"/>
    <w:rsid w:val="00177593"/>
    <w:rsid w:val="00177711"/>
    <w:rsid w:val="00177B0B"/>
    <w:rsid w:val="00177C38"/>
    <w:rsid w:val="00177CFE"/>
    <w:rsid w:val="00177EE6"/>
    <w:rsid w:val="001808E8"/>
    <w:rsid w:val="0018091B"/>
    <w:rsid w:val="00180932"/>
    <w:rsid w:val="00180A1B"/>
    <w:rsid w:val="00180C76"/>
    <w:rsid w:val="00180CB2"/>
    <w:rsid w:val="00181096"/>
    <w:rsid w:val="001812A7"/>
    <w:rsid w:val="001813A7"/>
    <w:rsid w:val="001819C2"/>
    <w:rsid w:val="0018208B"/>
    <w:rsid w:val="00182593"/>
    <w:rsid w:val="001828D0"/>
    <w:rsid w:val="00182E26"/>
    <w:rsid w:val="00182EAC"/>
    <w:rsid w:val="00182F8D"/>
    <w:rsid w:val="00182FAF"/>
    <w:rsid w:val="00183087"/>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5AD"/>
    <w:rsid w:val="00185792"/>
    <w:rsid w:val="00185938"/>
    <w:rsid w:val="00185957"/>
    <w:rsid w:val="00185C47"/>
    <w:rsid w:val="0018608A"/>
    <w:rsid w:val="001863D5"/>
    <w:rsid w:val="00186629"/>
    <w:rsid w:val="00186FB8"/>
    <w:rsid w:val="00186FD4"/>
    <w:rsid w:val="001871F1"/>
    <w:rsid w:val="001872BD"/>
    <w:rsid w:val="0018754E"/>
    <w:rsid w:val="00187693"/>
    <w:rsid w:val="00187A34"/>
    <w:rsid w:val="00187DFE"/>
    <w:rsid w:val="001907A0"/>
    <w:rsid w:val="001909EA"/>
    <w:rsid w:val="00190A7E"/>
    <w:rsid w:val="00190BAC"/>
    <w:rsid w:val="00190F89"/>
    <w:rsid w:val="00191196"/>
    <w:rsid w:val="00191462"/>
    <w:rsid w:val="001916BE"/>
    <w:rsid w:val="00191925"/>
    <w:rsid w:val="00191C2B"/>
    <w:rsid w:val="00192427"/>
    <w:rsid w:val="00192667"/>
    <w:rsid w:val="001927BA"/>
    <w:rsid w:val="00193225"/>
    <w:rsid w:val="00193579"/>
    <w:rsid w:val="00193C6A"/>
    <w:rsid w:val="00194256"/>
    <w:rsid w:val="001943CB"/>
    <w:rsid w:val="00194B05"/>
    <w:rsid w:val="00194B3F"/>
    <w:rsid w:val="00195214"/>
    <w:rsid w:val="0019548C"/>
    <w:rsid w:val="001956D7"/>
    <w:rsid w:val="001960A1"/>
    <w:rsid w:val="001960EB"/>
    <w:rsid w:val="00196207"/>
    <w:rsid w:val="00196366"/>
    <w:rsid w:val="001963B1"/>
    <w:rsid w:val="001966C8"/>
    <w:rsid w:val="0019688A"/>
    <w:rsid w:val="00196C0C"/>
    <w:rsid w:val="00196EB7"/>
    <w:rsid w:val="0019705B"/>
    <w:rsid w:val="0019732A"/>
    <w:rsid w:val="001973AC"/>
    <w:rsid w:val="00197428"/>
    <w:rsid w:val="0019766B"/>
    <w:rsid w:val="00197758"/>
    <w:rsid w:val="0019780A"/>
    <w:rsid w:val="00197BF4"/>
    <w:rsid w:val="00197E5D"/>
    <w:rsid w:val="001A0137"/>
    <w:rsid w:val="001A0367"/>
    <w:rsid w:val="001A0814"/>
    <w:rsid w:val="001A084F"/>
    <w:rsid w:val="001A11AE"/>
    <w:rsid w:val="001A1324"/>
    <w:rsid w:val="001A1354"/>
    <w:rsid w:val="001A13B2"/>
    <w:rsid w:val="001A143D"/>
    <w:rsid w:val="001A1B7A"/>
    <w:rsid w:val="001A20AE"/>
    <w:rsid w:val="001A22C7"/>
    <w:rsid w:val="001A2601"/>
    <w:rsid w:val="001A27D2"/>
    <w:rsid w:val="001A298B"/>
    <w:rsid w:val="001A2BDC"/>
    <w:rsid w:val="001A2CC7"/>
    <w:rsid w:val="001A2E56"/>
    <w:rsid w:val="001A3540"/>
    <w:rsid w:val="001A3624"/>
    <w:rsid w:val="001A3CC8"/>
    <w:rsid w:val="001A3DC7"/>
    <w:rsid w:val="001A3E96"/>
    <w:rsid w:val="001A3EFD"/>
    <w:rsid w:val="001A40BE"/>
    <w:rsid w:val="001A42A0"/>
    <w:rsid w:val="001A4555"/>
    <w:rsid w:val="001A5268"/>
    <w:rsid w:val="001A56D0"/>
    <w:rsid w:val="001A570B"/>
    <w:rsid w:val="001A5A54"/>
    <w:rsid w:val="001A5F47"/>
    <w:rsid w:val="001A6102"/>
    <w:rsid w:val="001A6CE4"/>
    <w:rsid w:val="001A72C9"/>
    <w:rsid w:val="001A7A0E"/>
    <w:rsid w:val="001A7A40"/>
    <w:rsid w:val="001A7E52"/>
    <w:rsid w:val="001A7E84"/>
    <w:rsid w:val="001A7ECE"/>
    <w:rsid w:val="001B0B96"/>
    <w:rsid w:val="001B0F06"/>
    <w:rsid w:val="001B1635"/>
    <w:rsid w:val="001B188F"/>
    <w:rsid w:val="001B1A2F"/>
    <w:rsid w:val="001B1E31"/>
    <w:rsid w:val="001B20B6"/>
    <w:rsid w:val="001B21EB"/>
    <w:rsid w:val="001B22DA"/>
    <w:rsid w:val="001B2374"/>
    <w:rsid w:val="001B2540"/>
    <w:rsid w:val="001B2574"/>
    <w:rsid w:val="001B26F3"/>
    <w:rsid w:val="001B2772"/>
    <w:rsid w:val="001B27E4"/>
    <w:rsid w:val="001B2AA1"/>
    <w:rsid w:val="001B35F2"/>
    <w:rsid w:val="001B3D2F"/>
    <w:rsid w:val="001B3F9A"/>
    <w:rsid w:val="001B40BB"/>
    <w:rsid w:val="001B4158"/>
    <w:rsid w:val="001B4207"/>
    <w:rsid w:val="001B425B"/>
    <w:rsid w:val="001B474F"/>
    <w:rsid w:val="001B47A9"/>
    <w:rsid w:val="001B495D"/>
    <w:rsid w:val="001B4BE2"/>
    <w:rsid w:val="001B4E58"/>
    <w:rsid w:val="001B5764"/>
    <w:rsid w:val="001B59C2"/>
    <w:rsid w:val="001B59DA"/>
    <w:rsid w:val="001B5D7C"/>
    <w:rsid w:val="001B609D"/>
    <w:rsid w:val="001B6293"/>
    <w:rsid w:val="001B64BC"/>
    <w:rsid w:val="001B64E6"/>
    <w:rsid w:val="001B7291"/>
    <w:rsid w:val="001B79C0"/>
    <w:rsid w:val="001B7B2E"/>
    <w:rsid w:val="001B7EC3"/>
    <w:rsid w:val="001B7FFC"/>
    <w:rsid w:val="001C00FC"/>
    <w:rsid w:val="001C0822"/>
    <w:rsid w:val="001C097A"/>
    <w:rsid w:val="001C09F1"/>
    <w:rsid w:val="001C160A"/>
    <w:rsid w:val="001C185F"/>
    <w:rsid w:val="001C189D"/>
    <w:rsid w:val="001C196C"/>
    <w:rsid w:val="001C1A94"/>
    <w:rsid w:val="001C1EF5"/>
    <w:rsid w:val="001C202A"/>
    <w:rsid w:val="001C230B"/>
    <w:rsid w:val="001C255B"/>
    <w:rsid w:val="001C27A9"/>
    <w:rsid w:val="001C2D9E"/>
    <w:rsid w:val="001C2EA3"/>
    <w:rsid w:val="001C301E"/>
    <w:rsid w:val="001C313C"/>
    <w:rsid w:val="001C3E90"/>
    <w:rsid w:val="001C4050"/>
    <w:rsid w:val="001C4384"/>
    <w:rsid w:val="001C4AF1"/>
    <w:rsid w:val="001C4BE4"/>
    <w:rsid w:val="001C505A"/>
    <w:rsid w:val="001C5E20"/>
    <w:rsid w:val="001C5E6E"/>
    <w:rsid w:val="001C5F2E"/>
    <w:rsid w:val="001C694B"/>
    <w:rsid w:val="001C6C0E"/>
    <w:rsid w:val="001C6C81"/>
    <w:rsid w:val="001C6EC0"/>
    <w:rsid w:val="001C714E"/>
    <w:rsid w:val="001C7188"/>
    <w:rsid w:val="001C7231"/>
    <w:rsid w:val="001C77AE"/>
    <w:rsid w:val="001C7834"/>
    <w:rsid w:val="001C7D34"/>
    <w:rsid w:val="001D0049"/>
    <w:rsid w:val="001D01AE"/>
    <w:rsid w:val="001D024E"/>
    <w:rsid w:val="001D0563"/>
    <w:rsid w:val="001D1C7F"/>
    <w:rsid w:val="001D2067"/>
    <w:rsid w:val="001D21DA"/>
    <w:rsid w:val="001D3178"/>
    <w:rsid w:val="001D351B"/>
    <w:rsid w:val="001D3702"/>
    <w:rsid w:val="001D3709"/>
    <w:rsid w:val="001D3C35"/>
    <w:rsid w:val="001D42BF"/>
    <w:rsid w:val="001D48C1"/>
    <w:rsid w:val="001D4A12"/>
    <w:rsid w:val="001D4C9B"/>
    <w:rsid w:val="001D51CE"/>
    <w:rsid w:val="001D5317"/>
    <w:rsid w:val="001D5468"/>
    <w:rsid w:val="001D5C83"/>
    <w:rsid w:val="001D603C"/>
    <w:rsid w:val="001D627C"/>
    <w:rsid w:val="001D67C4"/>
    <w:rsid w:val="001D67FE"/>
    <w:rsid w:val="001D6B71"/>
    <w:rsid w:val="001D6C5B"/>
    <w:rsid w:val="001D6CAE"/>
    <w:rsid w:val="001D6DF6"/>
    <w:rsid w:val="001D6F83"/>
    <w:rsid w:val="001D70A4"/>
    <w:rsid w:val="001D73E3"/>
    <w:rsid w:val="001D758F"/>
    <w:rsid w:val="001D75F1"/>
    <w:rsid w:val="001D7682"/>
    <w:rsid w:val="001D76CB"/>
    <w:rsid w:val="001D7A65"/>
    <w:rsid w:val="001D7B57"/>
    <w:rsid w:val="001D7BE0"/>
    <w:rsid w:val="001D7E9D"/>
    <w:rsid w:val="001D7EBA"/>
    <w:rsid w:val="001E0026"/>
    <w:rsid w:val="001E005B"/>
    <w:rsid w:val="001E053A"/>
    <w:rsid w:val="001E0CA7"/>
    <w:rsid w:val="001E0D45"/>
    <w:rsid w:val="001E1334"/>
    <w:rsid w:val="001E142E"/>
    <w:rsid w:val="001E144D"/>
    <w:rsid w:val="001E155D"/>
    <w:rsid w:val="001E1848"/>
    <w:rsid w:val="001E19AD"/>
    <w:rsid w:val="001E20FE"/>
    <w:rsid w:val="001E259E"/>
    <w:rsid w:val="001E2C86"/>
    <w:rsid w:val="001E2DF0"/>
    <w:rsid w:val="001E3297"/>
    <w:rsid w:val="001E33F7"/>
    <w:rsid w:val="001E35C3"/>
    <w:rsid w:val="001E370A"/>
    <w:rsid w:val="001E37AA"/>
    <w:rsid w:val="001E37D3"/>
    <w:rsid w:val="001E43E5"/>
    <w:rsid w:val="001E46F9"/>
    <w:rsid w:val="001E4959"/>
    <w:rsid w:val="001E4AB1"/>
    <w:rsid w:val="001E4CCC"/>
    <w:rsid w:val="001E4DA2"/>
    <w:rsid w:val="001E4F63"/>
    <w:rsid w:val="001E5D38"/>
    <w:rsid w:val="001E5EA9"/>
    <w:rsid w:val="001E677B"/>
    <w:rsid w:val="001E6840"/>
    <w:rsid w:val="001E6BD1"/>
    <w:rsid w:val="001E6EDC"/>
    <w:rsid w:val="001E73DE"/>
    <w:rsid w:val="001E7962"/>
    <w:rsid w:val="001F0049"/>
    <w:rsid w:val="001F06B9"/>
    <w:rsid w:val="001F0997"/>
    <w:rsid w:val="001F0A97"/>
    <w:rsid w:val="001F0A99"/>
    <w:rsid w:val="001F0B90"/>
    <w:rsid w:val="001F0D8A"/>
    <w:rsid w:val="001F0DC5"/>
    <w:rsid w:val="001F0FFE"/>
    <w:rsid w:val="001F1095"/>
    <w:rsid w:val="001F1299"/>
    <w:rsid w:val="001F14DF"/>
    <w:rsid w:val="001F1507"/>
    <w:rsid w:val="001F207C"/>
    <w:rsid w:val="001F22AD"/>
    <w:rsid w:val="001F22F3"/>
    <w:rsid w:val="001F29AE"/>
    <w:rsid w:val="001F2CEA"/>
    <w:rsid w:val="001F32A7"/>
    <w:rsid w:val="001F3BFF"/>
    <w:rsid w:val="001F3CD9"/>
    <w:rsid w:val="001F3F4E"/>
    <w:rsid w:val="001F4520"/>
    <w:rsid w:val="001F4A79"/>
    <w:rsid w:val="001F4BF3"/>
    <w:rsid w:val="001F4C6C"/>
    <w:rsid w:val="001F4E40"/>
    <w:rsid w:val="001F57E2"/>
    <w:rsid w:val="001F5964"/>
    <w:rsid w:val="001F5CC3"/>
    <w:rsid w:val="001F5DB3"/>
    <w:rsid w:val="001F5F28"/>
    <w:rsid w:val="001F63F8"/>
    <w:rsid w:val="001F6543"/>
    <w:rsid w:val="001F6889"/>
    <w:rsid w:val="001F6E41"/>
    <w:rsid w:val="001F70CF"/>
    <w:rsid w:val="001F7308"/>
    <w:rsid w:val="001F7461"/>
    <w:rsid w:val="001F7742"/>
    <w:rsid w:val="001F78F1"/>
    <w:rsid w:val="001F7CAF"/>
    <w:rsid w:val="001F7E56"/>
    <w:rsid w:val="001F7F01"/>
    <w:rsid w:val="001F7FE0"/>
    <w:rsid w:val="002000F9"/>
    <w:rsid w:val="002003B0"/>
    <w:rsid w:val="00200654"/>
    <w:rsid w:val="002008DA"/>
    <w:rsid w:val="002009DE"/>
    <w:rsid w:val="0020118C"/>
    <w:rsid w:val="0020136C"/>
    <w:rsid w:val="0020142B"/>
    <w:rsid w:val="00201628"/>
    <w:rsid w:val="00201781"/>
    <w:rsid w:val="0020185F"/>
    <w:rsid w:val="00201A65"/>
    <w:rsid w:val="00201D02"/>
    <w:rsid w:val="00201F00"/>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50C"/>
    <w:rsid w:val="00206AF2"/>
    <w:rsid w:val="00206F45"/>
    <w:rsid w:val="00207E25"/>
    <w:rsid w:val="00207F81"/>
    <w:rsid w:val="00210147"/>
    <w:rsid w:val="002105C1"/>
    <w:rsid w:val="0021062E"/>
    <w:rsid w:val="002106A7"/>
    <w:rsid w:val="0021079F"/>
    <w:rsid w:val="00210948"/>
    <w:rsid w:val="002109BE"/>
    <w:rsid w:val="002109C0"/>
    <w:rsid w:val="002109F5"/>
    <w:rsid w:val="00210A98"/>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054"/>
    <w:rsid w:val="00213791"/>
    <w:rsid w:val="002139BD"/>
    <w:rsid w:val="00213A05"/>
    <w:rsid w:val="00214548"/>
    <w:rsid w:val="00214BF3"/>
    <w:rsid w:val="002153E3"/>
    <w:rsid w:val="00215474"/>
    <w:rsid w:val="002154AB"/>
    <w:rsid w:val="00215514"/>
    <w:rsid w:val="00215716"/>
    <w:rsid w:val="00216135"/>
    <w:rsid w:val="002163E0"/>
    <w:rsid w:val="00216571"/>
    <w:rsid w:val="00216A25"/>
    <w:rsid w:val="00216B10"/>
    <w:rsid w:val="00216BC3"/>
    <w:rsid w:val="00216FEB"/>
    <w:rsid w:val="00216FFE"/>
    <w:rsid w:val="002173DB"/>
    <w:rsid w:val="00217903"/>
    <w:rsid w:val="002179B2"/>
    <w:rsid w:val="00217BE8"/>
    <w:rsid w:val="00217F2A"/>
    <w:rsid w:val="00220093"/>
    <w:rsid w:val="0022065B"/>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51C6"/>
    <w:rsid w:val="002254D0"/>
    <w:rsid w:val="00225793"/>
    <w:rsid w:val="00225967"/>
    <w:rsid w:val="002259F3"/>
    <w:rsid w:val="00226188"/>
    <w:rsid w:val="002264DD"/>
    <w:rsid w:val="00226874"/>
    <w:rsid w:val="002269C1"/>
    <w:rsid w:val="00226C84"/>
    <w:rsid w:val="002272CF"/>
    <w:rsid w:val="00227320"/>
    <w:rsid w:val="00227424"/>
    <w:rsid w:val="002276C4"/>
    <w:rsid w:val="00230033"/>
    <w:rsid w:val="002300BB"/>
    <w:rsid w:val="002308BA"/>
    <w:rsid w:val="002309A7"/>
    <w:rsid w:val="00230A13"/>
    <w:rsid w:val="00230BF5"/>
    <w:rsid w:val="00230CE2"/>
    <w:rsid w:val="002311B8"/>
    <w:rsid w:val="002314D5"/>
    <w:rsid w:val="00231664"/>
    <w:rsid w:val="00231949"/>
    <w:rsid w:val="00231B39"/>
    <w:rsid w:val="00231BFE"/>
    <w:rsid w:val="00231F22"/>
    <w:rsid w:val="00231FBD"/>
    <w:rsid w:val="0023231A"/>
    <w:rsid w:val="002324E8"/>
    <w:rsid w:val="0023264A"/>
    <w:rsid w:val="00232763"/>
    <w:rsid w:val="00232A2E"/>
    <w:rsid w:val="00232FA9"/>
    <w:rsid w:val="00233082"/>
    <w:rsid w:val="00233180"/>
    <w:rsid w:val="00233474"/>
    <w:rsid w:val="00233674"/>
    <w:rsid w:val="002336C5"/>
    <w:rsid w:val="002339F0"/>
    <w:rsid w:val="00233E42"/>
    <w:rsid w:val="00233E7F"/>
    <w:rsid w:val="00234110"/>
    <w:rsid w:val="00234437"/>
    <w:rsid w:val="002349CF"/>
    <w:rsid w:val="002349ED"/>
    <w:rsid w:val="00234F4A"/>
    <w:rsid w:val="0023538F"/>
    <w:rsid w:val="002355D3"/>
    <w:rsid w:val="002358F8"/>
    <w:rsid w:val="00235A40"/>
    <w:rsid w:val="00235AE2"/>
    <w:rsid w:val="00236294"/>
    <w:rsid w:val="002368F6"/>
    <w:rsid w:val="00236F99"/>
    <w:rsid w:val="0023716E"/>
    <w:rsid w:val="0023731C"/>
    <w:rsid w:val="00237681"/>
    <w:rsid w:val="002377C2"/>
    <w:rsid w:val="002378CB"/>
    <w:rsid w:val="00237963"/>
    <w:rsid w:val="00240682"/>
    <w:rsid w:val="002406E0"/>
    <w:rsid w:val="00240D1D"/>
    <w:rsid w:val="0024119A"/>
    <w:rsid w:val="0024134E"/>
    <w:rsid w:val="002414B9"/>
    <w:rsid w:val="00241A63"/>
    <w:rsid w:val="00241C3E"/>
    <w:rsid w:val="00241CF4"/>
    <w:rsid w:val="00241E2B"/>
    <w:rsid w:val="00241FB3"/>
    <w:rsid w:val="00242439"/>
    <w:rsid w:val="00242605"/>
    <w:rsid w:val="00242A5F"/>
    <w:rsid w:val="00242BC3"/>
    <w:rsid w:val="00242C51"/>
    <w:rsid w:val="00242D3A"/>
    <w:rsid w:val="00242D74"/>
    <w:rsid w:val="002434A9"/>
    <w:rsid w:val="00243535"/>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8E0"/>
    <w:rsid w:val="00250A11"/>
    <w:rsid w:val="00250C9F"/>
    <w:rsid w:val="00251099"/>
    <w:rsid w:val="0025172B"/>
    <w:rsid w:val="00251984"/>
    <w:rsid w:val="00251A60"/>
    <w:rsid w:val="00251CDB"/>
    <w:rsid w:val="00251D1C"/>
    <w:rsid w:val="0025220B"/>
    <w:rsid w:val="002525C6"/>
    <w:rsid w:val="00252662"/>
    <w:rsid w:val="00252696"/>
    <w:rsid w:val="002528F9"/>
    <w:rsid w:val="00252B28"/>
    <w:rsid w:val="00252BAF"/>
    <w:rsid w:val="00252CF7"/>
    <w:rsid w:val="00252D36"/>
    <w:rsid w:val="002530F8"/>
    <w:rsid w:val="00253663"/>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4EE"/>
    <w:rsid w:val="00256E1E"/>
    <w:rsid w:val="00256EE8"/>
    <w:rsid w:val="00257080"/>
    <w:rsid w:val="002577A0"/>
    <w:rsid w:val="00257DF6"/>
    <w:rsid w:val="002601E8"/>
    <w:rsid w:val="00260386"/>
    <w:rsid w:val="00260651"/>
    <w:rsid w:val="00260742"/>
    <w:rsid w:val="0026078A"/>
    <w:rsid w:val="002609BB"/>
    <w:rsid w:val="002610F3"/>
    <w:rsid w:val="00261261"/>
    <w:rsid w:val="00261279"/>
    <w:rsid w:val="0026157A"/>
    <w:rsid w:val="0026187B"/>
    <w:rsid w:val="00261B90"/>
    <w:rsid w:val="00261C2C"/>
    <w:rsid w:val="00261DCE"/>
    <w:rsid w:val="0026201C"/>
    <w:rsid w:val="00262460"/>
    <w:rsid w:val="002624D5"/>
    <w:rsid w:val="0026266D"/>
    <w:rsid w:val="002626FB"/>
    <w:rsid w:val="0026278D"/>
    <w:rsid w:val="0026289F"/>
    <w:rsid w:val="00262D6D"/>
    <w:rsid w:val="00262EC5"/>
    <w:rsid w:val="002630DF"/>
    <w:rsid w:val="002637FC"/>
    <w:rsid w:val="00263A57"/>
    <w:rsid w:val="00263DC4"/>
    <w:rsid w:val="00264679"/>
    <w:rsid w:val="00264A3D"/>
    <w:rsid w:val="00264A5E"/>
    <w:rsid w:val="00264B01"/>
    <w:rsid w:val="00265193"/>
    <w:rsid w:val="00265249"/>
    <w:rsid w:val="002652AA"/>
    <w:rsid w:val="002652EE"/>
    <w:rsid w:val="002656F3"/>
    <w:rsid w:val="00265736"/>
    <w:rsid w:val="00265739"/>
    <w:rsid w:val="00265830"/>
    <w:rsid w:val="00265B2D"/>
    <w:rsid w:val="00265B74"/>
    <w:rsid w:val="00265CF4"/>
    <w:rsid w:val="00265D82"/>
    <w:rsid w:val="002660E7"/>
    <w:rsid w:val="00266436"/>
    <w:rsid w:val="002665F7"/>
    <w:rsid w:val="00266749"/>
    <w:rsid w:val="00266816"/>
    <w:rsid w:val="00266AE8"/>
    <w:rsid w:val="00266B7D"/>
    <w:rsid w:val="00266CF4"/>
    <w:rsid w:val="00266D0B"/>
    <w:rsid w:val="0026790D"/>
    <w:rsid w:val="00267A45"/>
    <w:rsid w:val="00267B57"/>
    <w:rsid w:val="00267F66"/>
    <w:rsid w:val="0027009D"/>
    <w:rsid w:val="00270562"/>
    <w:rsid w:val="002706AA"/>
    <w:rsid w:val="002708D5"/>
    <w:rsid w:val="00270C7F"/>
    <w:rsid w:val="002711E2"/>
    <w:rsid w:val="00271439"/>
    <w:rsid w:val="00272148"/>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E2"/>
    <w:rsid w:val="0028121E"/>
    <w:rsid w:val="002812DE"/>
    <w:rsid w:val="0028150E"/>
    <w:rsid w:val="00281636"/>
    <w:rsid w:val="0028181E"/>
    <w:rsid w:val="00281A9D"/>
    <w:rsid w:val="00281C3B"/>
    <w:rsid w:val="00281D7B"/>
    <w:rsid w:val="0028203D"/>
    <w:rsid w:val="002822F7"/>
    <w:rsid w:val="002829AF"/>
    <w:rsid w:val="00282A0E"/>
    <w:rsid w:val="00282B45"/>
    <w:rsid w:val="0028325B"/>
    <w:rsid w:val="00283527"/>
    <w:rsid w:val="00283599"/>
    <w:rsid w:val="002835EB"/>
    <w:rsid w:val="00283EC1"/>
    <w:rsid w:val="00284188"/>
    <w:rsid w:val="00284219"/>
    <w:rsid w:val="002842B4"/>
    <w:rsid w:val="002846D2"/>
    <w:rsid w:val="00284D48"/>
    <w:rsid w:val="00285259"/>
    <w:rsid w:val="00285296"/>
    <w:rsid w:val="002854A2"/>
    <w:rsid w:val="002859E6"/>
    <w:rsid w:val="00285E8E"/>
    <w:rsid w:val="00286081"/>
    <w:rsid w:val="002861AF"/>
    <w:rsid w:val="00286A48"/>
    <w:rsid w:val="00286FA6"/>
    <w:rsid w:val="00287011"/>
    <w:rsid w:val="00287165"/>
    <w:rsid w:val="00287236"/>
    <w:rsid w:val="0028743F"/>
    <w:rsid w:val="00287749"/>
    <w:rsid w:val="00287F4C"/>
    <w:rsid w:val="00290547"/>
    <w:rsid w:val="00290623"/>
    <w:rsid w:val="002908C3"/>
    <w:rsid w:val="00290921"/>
    <w:rsid w:val="00290D74"/>
    <w:rsid w:val="002913E1"/>
    <w:rsid w:val="0029193F"/>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69A"/>
    <w:rsid w:val="00293838"/>
    <w:rsid w:val="002938B3"/>
    <w:rsid w:val="00293C73"/>
    <w:rsid w:val="00293E30"/>
    <w:rsid w:val="00294001"/>
    <w:rsid w:val="00294019"/>
    <w:rsid w:val="002946B9"/>
    <w:rsid w:val="00294888"/>
    <w:rsid w:val="002949D6"/>
    <w:rsid w:val="00294B4F"/>
    <w:rsid w:val="00294B9E"/>
    <w:rsid w:val="00294CA7"/>
    <w:rsid w:val="00295095"/>
    <w:rsid w:val="00295E02"/>
    <w:rsid w:val="00295F5D"/>
    <w:rsid w:val="0029601F"/>
    <w:rsid w:val="00296320"/>
    <w:rsid w:val="00296476"/>
    <w:rsid w:val="00296BB7"/>
    <w:rsid w:val="0029743E"/>
    <w:rsid w:val="002974BF"/>
    <w:rsid w:val="002977F4"/>
    <w:rsid w:val="00297BE8"/>
    <w:rsid w:val="00297C51"/>
    <w:rsid w:val="00297D2B"/>
    <w:rsid w:val="002A081C"/>
    <w:rsid w:val="002A0DBF"/>
    <w:rsid w:val="002A11CD"/>
    <w:rsid w:val="002A15D0"/>
    <w:rsid w:val="002A1607"/>
    <w:rsid w:val="002A1668"/>
    <w:rsid w:val="002A2116"/>
    <w:rsid w:val="002A26CB"/>
    <w:rsid w:val="002A285F"/>
    <w:rsid w:val="002A2D70"/>
    <w:rsid w:val="002A2E02"/>
    <w:rsid w:val="002A343D"/>
    <w:rsid w:val="002A348C"/>
    <w:rsid w:val="002A3624"/>
    <w:rsid w:val="002A3678"/>
    <w:rsid w:val="002A381F"/>
    <w:rsid w:val="002A3A0B"/>
    <w:rsid w:val="002A3BC1"/>
    <w:rsid w:val="002A3DBC"/>
    <w:rsid w:val="002A4297"/>
    <w:rsid w:val="002A462A"/>
    <w:rsid w:val="002A46E0"/>
    <w:rsid w:val="002A4F06"/>
    <w:rsid w:val="002A536A"/>
    <w:rsid w:val="002A5CFF"/>
    <w:rsid w:val="002A5E7F"/>
    <w:rsid w:val="002A5F7A"/>
    <w:rsid w:val="002A66F5"/>
    <w:rsid w:val="002A6760"/>
    <w:rsid w:val="002A6AA5"/>
    <w:rsid w:val="002A6E34"/>
    <w:rsid w:val="002A71A3"/>
    <w:rsid w:val="002A77DD"/>
    <w:rsid w:val="002A7B06"/>
    <w:rsid w:val="002A7D24"/>
    <w:rsid w:val="002A7FB1"/>
    <w:rsid w:val="002B02B6"/>
    <w:rsid w:val="002B02C9"/>
    <w:rsid w:val="002B0473"/>
    <w:rsid w:val="002B0504"/>
    <w:rsid w:val="002B055D"/>
    <w:rsid w:val="002B05D4"/>
    <w:rsid w:val="002B0A1C"/>
    <w:rsid w:val="002B0D00"/>
    <w:rsid w:val="002B118B"/>
    <w:rsid w:val="002B122F"/>
    <w:rsid w:val="002B1646"/>
    <w:rsid w:val="002B1811"/>
    <w:rsid w:val="002B1E21"/>
    <w:rsid w:val="002B24E1"/>
    <w:rsid w:val="002B2CA1"/>
    <w:rsid w:val="002B2D5E"/>
    <w:rsid w:val="002B2FC3"/>
    <w:rsid w:val="002B316D"/>
    <w:rsid w:val="002B3201"/>
    <w:rsid w:val="002B37DA"/>
    <w:rsid w:val="002B3B31"/>
    <w:rsid w:val="002B400C"/>
    <w:rsid w:val="002B40E3"/>
    <w:rsid w:val="002B422A"/>
    <w:rsid w:val="002B4431"/>
    <w:rsid w:val="002B48C2"/>
    <w:rsid w:val="002B5037"/>
    <w:rsid w:val="002B51F5"/>
    <w:rsid w:val="002B5504"/>
    <w:rsid w:val="002B5A80"/>
    <w:rsid w:val="002B6141"/>
    <w:rsid w:val="002B6B28"/>
    <w:rsid w:val="002B6D04"/>
    <w:rsid w:val="002B7AB9"/>
    <w:rsid w:val="002C0826"/>
    <w:rsid w:val="002C0985"/>
    <w:rsid w:val="002C0BEF"/>
    <w:rsid w:val="002C0D29"/>
    <w:rsid w:val="002C109F"/>
    <w:rsid w:val="002C157F"/>
    <w:rsid w:val="002C1817"/>
    <w:rsid w:val="002C18AD"/>
    <w:rsid w:val="002C1E64"/>
    <w:rsid w:val="002C201C"/>
    <w:rsid w:val="002C216E"/>
    <w:rsid w:val="002C21B6"/>
    <w:rsid w:val="002C23EF"/>
    <w:rsid w:val="002C27F3"/>
    <w:rsid w:val="002C298C"/>
    <w:rsid w:val="002C2B8C"/>
    <w:rsid w:val="002C2BF9"/>
    <w:rsid w:val="002C2C23"/>
    <w:rsid w:val="002C30D0"/>
    <w:rsid w:val="002C3122"/>
    <w:rsid w:val="002C31DD"/>
    <w:rsid w:val="002C340D"/>
    <w:rsid w:val="002C350A"/>
    <w:rsid w:val="002C3F27"/>
    <w:rsid w:val="002C459B"/>
    <w:rsid w:val="002C481F"/>
    <w:rsid w:val="002C4A86"/>
    <w:rsid w:val="002C4DA2"/>
    <w:rsid w:val="002C4E4B"/>
    <w:rsid w:val="002C4E50"/>
    <w:rsid w:val="002C4FA3"/>
    <w:rsid w:val="002C50F7"/>
    <w:rsid w:val="002C5187"/>
    <w:rsid w:val="002C5996"/>
    <w:rsid w:val="002C5F6E"/>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0F8A"/>
    <w:rsid w:val="002D10E8"/>
    <w:rsid w:val="002D17C2"/>
    <w:rsid w:val="002D1BA4"/>
    <w:rsid w:val="002D1E69"/>
    <w:rsid w:val="002D211F"/>
    <w:rsid w:val="002D2222"/>
    <w:rsid w:val="002D22FB"/>
    <w:rsid w:val="002D23D5"/>
    <w:rsid w:val="002D26E7"/>
    <w:rsid w:val="002D2918"/>
    <w:rsid w:val="002D2B2C"/>
    <w:rsid w:val="002D30B3"/>
    <w:rsid w:val="002D31B3"/>
    <w:rsid w:val="002D328A"/>
    <w:rsid w:val="002D3E79"/>
    <w:rsid w:val="002D4087"/>
    <w:rsid w:val="002D40C3"/>
    <w:rsid w:val="002D512D"/>
    <w:rsid w:val="002D5373"/>
    <w:rsid w:val="002D550F"/>
    <w:rsid w:val="002D5790"/>
    <w:rsid w:val="002D5A48"/>
    <w:rsid w:val="002D5E76"/>
    <w:rsid w:val="002D5F18"/>
    <w:rsid w:val="002D6296"/>
    <w:rsid w:val="002D659B"/>
    <w:rsid w:val="002D666A"/>
    <w:rsid w:val="002D683A"/>
    <w:rsid w:val="002D69FC"/>
    <w:rsid w:val="002D6B72"/>
    <w:rsid w:val="002D6D39"/>
    <w:rsid w:val="002D72DF"/>
    <w:rsid w:val="002D7306"/>
    <w:rsid w:val="002D748D"/>
    <w:rsid w:val="002D7D04"/>
    <w:rsid w:val="002E0082"/>
    <w:rsid w:val="002E058F"/>
    <w:rsid w:val="002E0925"/>
    <w:rsid w:val="002E09EC"/>
    <w:rsid w:val="002E0D51"/>
    <w:rsid w:val="002E13AB"/>
    <w:rsid w:val="002E16BA"/>
    <w:rsid w:val="002E1772"/>
    <w:rsid w:val="002E17AA"/>
    <w:rsid w:val="002E1808"/>
    <w:rsid w:val="002E1DF6"/>
    <w:rsid w:val="002E2818"/>
    <w:rsid w:val="002E2C4F"/>
    <w:rsid w:val="002E300F"/>
    <w:rsid w:val="002E3DAA"/>
    <w:rsid w:val="002E495B"/>
    <w:rsid w:val="002E53E0"/>
    <w:rsid w:val="002E5A13"/>
    <w:rsid w:val="002E5C94"/>
    <w:rsid w:val="002E5FED"/>
    <w:rsid w:val="002E615D"/>
    <w:rsid w:val="002E6851"/>
    <w:rsid w:val="002E6907"/>
    <w:rsid w:val="002E6B2D"/>
    <w:rsid w:val="002E6CC7"/>
    <w:rsid w:val="002E7220"/>
    <w:rsid w:val="002E7BDC"/>
    <w:rsid w:val="002E7D35"/>
    <w:rsid w:val="002E7DD9"/>
    <w:rsid w:val="002E7E02"/>
    <w:rsid w:val="002F050B"/>
    <w:rsid w:val="002F08A7"/>
    <w:rsid w:val="002F0999"/>
    <w:rsid w:val="002F0B40"/>
    <w:rsid w:val="002F0BFE"/>
    <w:rsid w:val="002F1AC3"/>
    <w:rsid w:val="002F1E10"/>
    <w:rsid w:val="002F1E9E"/>
    <w:rsid w:val="002F2319"/>
    <w:rsid w:val="002F23EF"/>
    <w:rsid w:val="002F2404"/>
    <w:rsid w:val="002F25E1"/>
    <w:rsid w:val="002F272E"/>
    <w:rsid w:val="002F278B"/>
    <w:rsid w:val="002F2A64"/>
    <w:rsid w:val="002F2B19"/>
    <w:rsid w:val="002F2B88"/>
    <w:rsid w:val="002F2F47"/>
    <w:rsid w:val="002F33AC"/>
    <w:rsid w:val="002F33C4"/>
    <w:rsid w:val="002F3B45"/>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3004AE"/>
    <w:rsid w:val="00300646"/>
    <w:rsid w:val="00300C12"/>
    <w:rsid w:val="00300C27"/>
    <w:rsid w:val="00300D25"/>
    <w:rsid w:val="00300D96"/>
    <w:rsid w:val="00300E6A"/>
    <w:rsid w:val="003013FF"/>
    <w:rsid w:val="00301498"/>
    <w:rsid w:val="00301767"/>
    <w:rsid w:val="00302031"/>
    <w:rsid w:val="00302521"/>
    <w:rsid w:val="0030270D"/>
    <w:rsid w:val="00302AF5"/>
    <w:rsid w:val="00302B9E"/>
    <w:rsid w:val="00302C30"/>
    <w:rsid w:val="00302DEA"/>
    <w:rsid w:val="0030303F"/>
    <w:rsid w:val="00303333"/>
    <w:rsid w:val="00303513"/>
    <w:rsid w:val="00303A4F"/>
    <w:rsid w:val="00303AB3"/>
    <w:rsid w:val="00303BDC"/>
    <w:rsid w:val="00303DB8"/>
    <w:rsid w:val="0030405E"/>
    <w:rsid w:val="0030452B"/>
    <w:rsid w:val="0030455D"/>
    <w:rsid w:val="00304666"/>
    <w:rsid w:val="00304835"/>
    <w:rsid w:val="0030487D"/>
    <w:rsid w:val="00304B91"/>
    <w:rsid w:val="00304E15"/>
    <w:rsid w:val="00304FB8"/>
    <w:rsid w:val="003051DB"/>
    <w:rsid w:val="00305892"/>
    <w:rsid w:val="00305957"/>
    <w:rsid w:val="00305E1F"/>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A5F"/>
    <w:rsid w:val="00313C49"/>
    <w:rsid w:val="0031426C"/>
    <w:rsid w:val="0031454E"/>
    <w:rsid w:val="003145E4"/>
    <w:rsid w:val="003149E2"/>
    <w:rsid w:val="00314F8B"/>
    <w:rsid w:val="003152AF"/>
    <w:rsid w:val="00315781"/>
    <w:rsid w:val="00315A8A"/>
    <w:rsid w:val="00315B33"/>
    <w:rsid w:val="00315E92"/>
    <w:rsid w:val="003160D7"/>
    <w:rsid w:val="003165F7"/>
    <w:rsid w:val="003166A8"/>
    <w:rsid w:val="00316759"/>
    <w:rsid w:val="003169A3"/>
    <w:rsid w:val="00316D5C"/>
    <w:rsid w:val="00316DDA"/>
    <w:rsid w:val="00316EBC"/>
    <w:rsid w:val="00316ED3"/>
    <w:rsid w:val="00316F22"/>
    <w:rsid w:val="00317430"/>
    <w:rsid w:val="00317BA8"/>
    <w:rsid w:val="00317C77"/>
    <w:rsid w:val="00317D3C"/>
    <w:rsid w:val="00317DC6"/>
    <w:rsid w:val="00317F0D"/>
    <w:rsid w:val="00317F2F"/>
    <w:rsid w:val="00317F7C"/>
    <w:rsid w:val="00320651"/>
    <w:rsid w:val="00320923"/>
    <w:rsid w:val="003210FA"/>
    <w:rsid w:val="0032142C"/>
    <w:rsid w:val="00321527"/>
    <w:rsid w:val="00321A47"/>
    <w:rsid w:val="00321DC5"/>
    <w:rsid w:val="00322382"/>
    <w:rsid w:val="003223DA"/>
    <w:rsid w:val="00322433"/>
    <w:rsid w:val="00322462"/>
    <w:rsid w:val="0032263A"/>
    <w:rsid w:val="0032276E"/>
    <w:rsid w:val="003228CB"/>
    <w:rsid w:val="003229EC"/>
    <w:rsid w:val="00322CF5"/>
    <w:rsid w:val="003232D1"/>
    <w:rsid w:val="0032342F"/>
    <w:rsid w:val="00323533"/>
    <w:rsid w:val="00323ECC"/>
    <w:rsid w:val="00324111"/>
    <w:rsid w:val="00324162"/>
    <w:rsid w:val="003243CE"/>
    <w:rsid w:val="0032444A"/>
    <w:rsid w:val="0032466A"/>
    <w:rsid w:val="003248AA"/>
    <w:rsid w:val="00324A87"/>
    <w:rsid w:val="00324C63"/>
    <w:rsid w:val="00324D7D"/>
    <w:rsid w:val="00324FF8"/>
    <w:rsid w:val="00325292"/>
    <w:rsid w:val="00325395"/>
    <w:rsid w:val="00325576"/>
    <w:rsid w:val="00325B64"/>
    <w:rsid w:val="00325D3E"/>
    <w:rsid w:val="00325E85"/>
    <w:rsid w:val="00325F83"/>
    <w:rsid w:val="003265F4"/>
    <w:rsid w:val="00326A0F"/>
    <w:rsid w:val="00327069"/>
    <w:rsid w:val="003272D6"/>
    <w:rsid w:val="00327457"/>
    <w:rsid w:val="00327476"/>
    <w:rsid w:val="003275F1"/>
    <w:rsid w:val="0032774E"/>
    <w:rsid w:val="00327F83"/>
    <w:rsid w:val="00330640"/>
    <w:rsid w:val="00330AEB"/>
    <w:rsid w:val="003313F2"/>
    <w:rsid w:val="00331524"/>
    <w:rsid w:val="003315AE"/>
    <w:rsid w:val="003316FA"/>
    <w:rsid w:val="00332462"/>
    <w:rsid w:val="00332704"/>
    <w:rsid w:val="00332ADB"/>
    <w:rsid w:val="00332B8F"/>
    <w:rsid w:val="00333841"/>
    <w:rsid w:val="003343EF"/>
    <w:rsid w:val="00335205"/>
    <w:rsid w:val="0033560D"/>
    <w:rsid w:val="00335A5F"/>
    <w:rsid w:val="00335D7A"/>
    <w:rsid w:val="00335F09"/>
    <w:rsid w:val="00336169"/>
    <w:rsid w:val="00336247"/>
    <w:rsid w:val="0033647B"/>
    <w:rsid w:val="003365D7"/>
    <w:rsid w:val="00336992"/>
    <w:rsid w:val="00336EE1"/>
    <w:rsid w:val="003373B4"/>
    <w:rsid w:val="003373FA"/>
    <w:rsid w:val="003374A5"/>
    <w:rsid w:val="00337529"/>
    <w:rsid w:val="003378F7"/>
    <w:rsid w:val="003379EB"/>
    <w:rsid w:val="00337F6F"/>
    <w:rsid w:val="00337FB8"/>
    <w:rsid w:val="00340252"/>
    <w:rsid w:val="0034045D"/>
    <w:rsid w:val="003405DF"/>
    <w:rsid w:val="00340733"/>
    <w:rsid w:val="00340911"/>
    <w:rsid w:val="00340CC8"/>
    <w:rsid w:val="00340F30"/>
    <w:rsid w:val="003413EA"/>
    <w:rsid w:val="00341EBD"/>
    <w:rsid w:val="003420F2"/>
    <w:rsid w:val="00342585"/>
    <w:rsid w:val="00342590"/>
    <w:rsid w:val="00342A8D"/>
    <w:rsid w:val="00342DCF"/>
    <w:rsid w:val="003434C1"/>
    <w:rsid w:val="00344565"/>
    <w:rsid w:val="0034467A"/>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BA9"/>
    <w:rsid w:val="00350451"/>
    <w:rsid w:val="00350A71"/>
    <w:rsid w:val="00350D4C"/>
    <w:rsid w:val="00351170"/>
    <w:rsid w:val="0035166B"/>
    <w:rsid w:val="00351A36"/>
    <w:rsid w:val="00351C81"/>
    <w:rsid w:val="00352499"/>
    <w:rsid w:val="00352863"/>
    <w:rsid w:val="00352A77"/>
    <w:rsid w:val="00352AD3"/>
    <w:rsid w:val="00352FCF"/>
    <w:rsid w:val="0035323A"/>
    <w:rsid w:val="003532A6"/>
    <w:rsid w:val="00353318"/>
    <w:rsid w:val="00353909"/>
    <w:rsid w:val="00353ACA"/>
    <w:rsid w:val="00353B7E"/>
    <w:rsid w:val="0035402B"/>
    <w:rsid w:val="00354443"/>
    <w:rsid w:val="00354CD5"/>
    <w:rsid w:val="00354E31"/>
    <w:rsid w:val="00354F11"/>
    <w:rsid w:val="0035500F"/>
    <w:rsid w:val="00355772"/>
    <w:rsid w:val="003559EA"/>
    <w:rsid w:val="00355DB0"/>
    <w:rsid w:val="00355DBF"/>
    <w:rsid w:val="00355F23"/>
    <w:rsid w:val="003561B8"/>
    <w:rsid w:val="00356223"/>
    <w:rsid w:val="00356260"/>
    <w:rsid w:val="0035628B"/>
    <w:rsid w:val="003563E6"/>
    <w:rsid w:val="0035666F"/>
    <w:rsid w:val="0035679D"/>
    <w:rsid w:val="00356841"/>
    <w:rsid w:val="00356CE1"/>
    <w:rsid w:val="00356ED7"/>
    <w:rsid w:val="00357588"/>
    <w:rsid w:val="003577A5"/>
    <w:rsid w:val="0036011E"/>
    <w:rsid w:val="00360714"/>
    <w:rsid w:val="00360928"/>
    <w:rsid w:val="00360C33"/>
    <w:rsid w:val="00360DE2"/>
    <w:rsid w:val="00360ECE"/>
    <w:rsid w:val="00361272"/>
    <w:rsid w:val="00361522"/>
    <w:rsid w:val="003617E9"/>
    <w:rsid w:val="00361AAA"/>
    <w:rsid w:val="00361AFB"/>
    <w:rsid w:val="00362333"/>
    <w:rsid w:val="00362373"/>
    <w:rsid w:val="003626EA"/>
    <w:rsid w:val="003626F5"/>
    <w:rsid w:val="003628CD"/>
    <w:rsid w:val="00362BA1"/>
    <w:rsid w:val="00362F33"/>
    <w:rsid w:val="003634B9"/>
    <w:rsid w:val="00363A81"/>
    <w:rsid w:val="00363B34"/>
    <w:rsid w:val="00363B51"/>
    <w:rsid w:val="00363DEE"/>
    <w:rsid w:val="00363EEE"/>
    <w:rsid w:val="00364670"/>
    <w:rsid w:val="00364EA5"/>
    <w:rsid w:val="00365118"/>
    <w:rsid w:val="0036524A"/>
    <w:rsid w:val="00365F9C"/>
    <w:rsid w:val="00366186"/>
    <w:rsid w:val="00366543"/>
    <w:rsid w:val="0036677B"/>
    <w:rsid w:val="0036688C"/>
    <w:rsid w:val="00366F22"/>
    <w:rsid w:val="00367395"/>
    <w:rsid w:val="0036777E"/>
    <w:rsid w:val="00367990"/>
    <w:rsid w:val="00367DF1"/>
    <w:rsid w:val="003703D6"/>
    <w:rsid w:val="0037040D"/>
    <w:rsid w:val="00370645"/>
    <w:rsid w:val="003708A7"/>
    <w:rsid w:val="0037140F"/>
    <w:rsid w:val="003720D8"/>
    <w:rsid w:val="00372100"/>
    <w:rsid w:val="0037223B"/>
    <w:rsid w:val="00372468"/>
    <w:rsid w:val="00372475"/>
    <w:rsid w:val="0037248B"/>
    <w:rsid w:val="00372605"/>
    <w:rsid w:val="003726C1"/>
    <w:rsid w:val="003727F6"/>
    <w:rsid w:val="00372839"/>
    <w:rsid w:val="00372ACF"/>
    <w:rsid w:val="00372DCB"/>
    <w:rsid w:val="00373151"/>
    <w:rsid w:val="00373294"/>
    <w:rsid w:val="003734EE"/>
    <w:rsid w:val="003737C0"/>
    <w:rsid w:val="00373A77"/>
    <w:rsid w:val="00373AB7"/>
    <w:rsid w:val="00373B0D"/>
    <w:rsid w:val="00373E66"/>
    <w:rsid w:val="00373F12"/>
    <w:rsid w:val="00374107"/>
    <w:rsid w:val="00374317"/>
    <w:rsid w:val="003744C9"/>
    <w:rsid w:val="00374655"/>
    <w:rsid w:val="0037535E"/>
    <w:rsid w:val="00375454"/>
    <w:rsid w:val="003759CE"/>
    <w:rsid w:val="00375AE9"/>
    <w:rsid w:val="00375BB0"/>
    <w:rsid w:val="003762B3"/>
    <w:rsid w:val="00376B53"/>
    <w:rsid w:val="00376F3F"/>
    <w:rsid w:val="003771B4"/>
    <w:rsid w:val="00377379"/>
    <w:rsid w:val="00377460"/>
    <w:rsid w:val="003776B8"/>
    <w:rsid w:val="003778D9"/>
    <w:rsid w:val="0037792D"/>
    <w:rsid w:val="003779C3"/>
    <w:rsid w:val="0038031E"/>
    <w:rsid w:val="003805D1"/>
    <w:rsid w:val="00380BC8"/>
    <w:rsid w:val="0038103B"/>
    <w:rsid w:val="0038113C"/>
    <w:rsid w:val="0038139F"/>
    <w:rsid w:val="00381C53"/>
    <w:rsid w:val="00381C85"/>
    <w:rsid w:val="00381E75"/>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91"/>
    <w:rsid w:val="003846CD"/>
    <w:rsid w:val="00384807"/>
    <w:rsid w:val="003848E8"/>
    <w:rsid w:val="00384A2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B3B"/>
    <w:rsid w:val="00391D38"/>
    <w:rsid w:val="0039211A"/>
    <w:rsid w:val="0039241B"/>
    <w:rsid w:val="003925A7"/>
    <w:rsid w:val="00392713"/>
    <w:rsid w:val="00392948"/>
    <w:rsid w:val="00392B55"/>
    <w:rsid w:val="00392B5A"/>
    <w:rsid w:val="00392C84"/>
    <w:rsid w:val="00392CDD"/>
    <w:rsid w:val="003933A8"/>
    <w:rsid w:val="003934EA"/>
    <w:rsid w:val="00393567"/>
    <w:rsid w:val="0039356D"/>
    <w:rsid w:val="003937A8"/>
    <w:rsid w:val="00393B66"/>
    <w:rsid w:val="0039444B"/>
    <w:rsid w:val="00394D69"/>
    <w:rsid w:val="00394E50"/>
    <w:rsid w:val="0039503A"/>
    <w:rsid w:val="00395135"/>
    <w:rsid w:val="003958D7"/>
    <w:rsid w:val="00395B0B"/>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934"/>
    <w:rsid w:val="00397B76"/>
    <w:rsid w:val="00397CF1"/>
    <w:rsid w:val="003A027F"/>
    <w:rsid w:val="003A03D9"/>
    <w:rsid w:val="003A0415"/>
    <w:rsid w:val="003A0438"/>
    <w:rsid w:val="003A0533"/>
    <w:rsid w:val="003A07D0"/>
    <w:rsid w:val="003A0B63"/>
    <w:rsid w:val="003A0E17"/>
    <w:rsid w:val="003A1352"/>
    <w:rsid w:val="003A144E"/>
    <w:rsid w:val="003A14FC"/>
    <w:rsid w:val="003A17E5"/>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2DFD"/>
    <w:rsid w:val="003B3220"/>
    <w:rsid w:val="003B328D"/>
    <w:rsid w:val="003B39BE"/>
    <w:rsid w:val="003B3A8D"/>
    <w:rsid w:val="003B3E95"/>
    <w:rsid w:val="003B4422"/>
    <w:rsid w:val="003B45AE"/>
    <w:rsid w:val="003B47B1"/>
    <w:rsid w:val="003B48D5"/>
    <w:rsid w:val="003B4A5D"/>
    <w:rsid w:val="003B4A7A"/>
    <w:rsid w:val="003B4B20"/>
    <w:rsid w:val="003B4CDD"/>
    <w:rsid w:val="003B5133"/>
    <w:rsid w:val="003B515D"/>
    <w:rsid w:val="003B59BE"/>
    <w:rsid w:val="003B5B99"/>
    <w:rsid w:val="003B5DC3"/>
    <w:rsid w:val="003B6662"/>
    <w:rsid w:val="003B674C"/>
    <w:rsid w:val="003B6A06"/>
    <w:rsid w:val="003B6A60"/>
    <w:rsid w:val="003B6DC7"/>
    <w:rsid w:val="003B6E7F"/>
    <w:rsid w:val="003B6E95"/>
    <w:rsid w:val="003B7723"/>
    <w:rsid w:val="003B7847"/>
    <w:rsid w:val="003B7DC4"/>
    <w:rsid w:val="003B7E2D"/>
    <w:rsid w:val="003C0658"/>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C05"/>
    <w:rsid w:val="003C2F8B"/>
    <w:rsid w:val="003C30C4"/>
    <w:rsid w:val="003C3333"/>
    <w:rsid w:val="003C353F"/>
    <w:rsid w:val="003C3E6F"/>
    <w:rsid w:val="003C3F4D"/>
    <w:rsid w:val="003C416A"/>
    <w:rsid w:val="003C50E3"/>
    <w:rsid w:val="003C5135"/>
    <w:rsid w:val="003C5DA5"/>
    <w:rsid w:val="003C5ED6"/>
    <w:rsid w:val="003C638B"/>
    <w:rsid w:val="003C6549"/>
    <w:rsid w:val="003C665F"/>
    <w:rsid w:val="003C676E"/>
    <w:rsid w:val="003C6B6E"/>
    <w:rsid w:val="003C6CC4"/>
    <w:rsid w:val="003C6DB8"/>
    <w:rsid w:val="003C6F30"/>
    <w:rsid w:val="003C73A6"/>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EDD"/>
    <w:rsid w:val="003D0F0B"/>
    <w:rsid w:val="003D11A9"/>
    <w:rsid w:val="003D12E0"/>
    <w:rsid w:val="003D12ED"/>
    <w:rsid w:val="003D1AA1"/>
    <w:rsid w:val="003D1F22"/>
    <w:rsid w:val="003D2138"/>
    <w:rsid w:val="003D2835"/>
    <w:rsid w:val="003D28F1"/>
    <w:rsid w:val="003D2DA7"/>
    <w:rsid w:val="003D2F5C"/>
    <w:rsid w:val="003D344E"/>
    <w:rsid w:val="003D3A51"/>
    <w:rsid w:val="003D3DCF"/>
    <w:rsid w:val="003D432F"/>
    <w:rsid w:val="003D4411"/>
    <w:rsid w:val="003D4548"/>
    <w:rsid w:val="003D4B83"/>
    <w:rsid w:val="003D5238"/>
    <w:rsid w:val="003D52F8"/>
    <w:rsid w:val="003D5782"/>
    <w:rsid w:val="003D59F4"/>
    <w:rsid w:val="003D5D7C"/>
    <w:rsid w:val="003D5E7B"/>
    <w:rsid w:val="003D5F4B"/>
    <w:rsid w:val="003D6246"/>
    <w:rsid w:val="003D686F"/>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945"/>
    <w:rsid w:val="003E1C37"/>
    <w:rsid w:val="003E1D30"/>
    <w:rsid w:val="003E1EBB"/>
    <w:rsid w:val="003E205A"/>
    <w:rsid w:val="003E285A"/>
    <w:rsid w:val="003E2CB5"/>
    <w:rsid w:val="003E2D84"/>
    <w:rsid w:val="003E341E"/>
    <w:rsid w:val="003E3A1D"/>
    <w:rsid w:val="003E3D6A"/>
    <w:rsid w:val="003E3D99"/>
    <w:rsid w:val="003E3E72"/>
    <w:rsid w:val="003E416F"/>
    <w:rsid w:val="003E4220"/>
    <w:rsid w:val="003E42C4"/>
    <w:rsid w:val="003E42E8"/>
    <w:rsid w:val="003E44D4"/>
    <w:rsid w:val="003E4AAF"/>
    <w:rsid w:val="003E4D6D"/>
    <w:rsid w:val="003E51C3"/>
    <w:rsid w:val="003E5985"/>
    <w:rsid w:val="003E5CD0"/>
    <w:rsid w:val="003E5ED6"/>
    <w:rsid w:val="003E6044"/>
    <w:rsid w:val="003E6120"/>
    <w:rsid w:val="003E66BC"/>
    <w:rsid w:val="003E6725"/>
    <w:rsid w:val="003E6FCE"/>
    <w:rsid w:val="003E7143"/>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FB9"/>
    <w:rsid w:val="003F3257"/>
    <w:rsid w:val="003F32F0"/>
    <w:rsid w:val="003F34B5"/>
    <w:rsid w:val="003F34B7"/>
    <w:rsid w:val="003F365C"/>
    <w:rsid w:val="003F36DA"/>
    <w:rsid w:val="003F38DE"/>
    <w:rsid w:val="003F4ABF"/>
    <w:rsid w:val="003F4C65"/>
    <w:rsid w:val="003F4E93"/>
    <w:rsid w:val="003F4FD5"/>
    <w:rsid w:val="003F514D"/>
    <w:rsid w:val="003F5839"/>
    <w:rsid w:val="003F6175"/>
    <w:rsid w:val="003F66E5"/>
    <w:rsid w:val="003F66EB"/>
    <w:rsid w:val="003F6B2B"/>
    <w:rsid w:val="003F6CAC"/>
    <w:rsid w:val="003F702F"/>
    <w:rsid w:val="003F7347"/>
    <w:rsid w:val="003F7F61"/>
    <w:rsid w:val="0040000D"/>
    <w:rsid w:val="004000A1"/>
    <w:rsid w:val="004001FF"/>
    <w:rsid w:val="00400482"/>
    <w:rsid w:val="0040066B"/>
    <w:rsid w:val="004007A7"/>
    <w:rsid w:val="0040097D"/>
    <w:rsid w:val="00400A7F"/>
    <w:rsid w:val="00400CB6"/>
    <w:rsid w:val="00400DA4"/>
    <w:rsid w:val="00400EF8"/>
    <w:rsid w:val="00400FC2"/>
    <w:rsid w:val="0040107A"/>
    <w:rsid w:val="004012B4"/>
    <w:rsid w:val="004014FF"/>
    <w:rsid w:val="00401798"/>
    <w:rsid w:val="004017C0"/>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7F3"/>
    <w:rsid w:val="00410B6B"/>
    <w:rsid w:val="00410FAC"/>
    <w:rsid w:val="0041107F"/>
    <w:rsid w:val="004111D3"/>
    <w:rsid w:val="004111F9"/>
    <w:rsid w:val="00411B3B"/>
    <w:rsid w:val="00411C7E"/>
    <w:rsid w:val="00411D7C"/>
    <w:rsid w:val="00412219"/>
    <w:rsid w:val="004122A9"/>
    <w:rsid w:val="00412319"/>
    <w:rsid w:val="00412476"/>
    <w:rsid w:val="004126F9"/>
    <w:rsid w:val="00412B19"/>
    <w:rsid w:val="00413183"/>
    <w:rsid w:val="00413712"/>
    <w:rsid w:val="004137CB"/>
    <w:rsid w:val="004138D7"/>
    <w:rsid w:val="00413FEB"/>
    <w:rsid w:val="00414162"/>
    <w:rsid w:val="004142E0"/>
    <w:rsid w:val="004147C4"/>
    <w:rsid w:val="00414E7B"/>
    <w:rsid w:val="00414EF6"/>
    <w:rsid w:val="00414F4F"/>
    <w:rsid w:val="0041536F"/>
    <w:rsid w:val="00415634"/>
    <w:rsid w:val="00415E52"/>
    <w:rsid w:val="00415F9B"/>
    <w:rsid w:val="004163B5"/>
    <w:rsid w:val="004164B9"/>
    <w:rsid w:val="004167FC"/>
    <w:rsid w:val="0041713E"/>
    <w:rsid w:val="004172E9"/>
    <w:rsid w:val="004174CF"/>
    <w:rsid w:val="004176B1"/>
    <w:rsid w:val="00417924"/>
    <w:rsid w:val="00417B28"/>
    <w:rsid w:val="00417E5C"/>
    <w:rsid w:val="00417FC4"/>
    <w:rsid w:val="00420025"/>
    <w:rsid w:val="0042080C"/>
    <w:rsid w:val="0042086B"/>
    <w:rsid w:val="00420B88"/>
    <w:rsid w:val="0042110A"/>
    <w:rsid w:val="0042127C"/>
    <w:rsid w:val="004212BF"/>
    <w:rsid w:val="00421756"/>
    <w:rsid w:val="004218EF"/>
    <w:rsid w:val="0042195B"/>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499"/>
    <w:rsid w:val="0042467C"/>
    <w:rsid w:val="00424834"/>
    <w:rsid w:val="0042493A"/>
    <w:rsid w:val="004249F9"/>
    <w:rsid w:val="00425295"/>
    <w:rsid w:val="0042564B"/>
    <w:rsid w:val="00425770"/>
    <w:rsid w:val="00425818"/>
    <w:rsid w:val="004258A8"/>
    <w:rsid w:val="004258D7"/>
    <w:rsid w:val="00425BBC"/>
    <w:rsid w:val="00425E07"/>
    <w:rsid w:val="00426200"/>
    <w:rsid w:val="00426469"/>
    <w:rsid w:val="0042664D"/>
    <w:rsid w:val="00426752"/>
    <w:rsid w:val="00426B0A"/>
    <w:rsid w:val="00426BD3"/>
    <w:rsid w:val="0042712E"/>
    <w:rsid w:val="004272D6"/>
    <w:rsid w:val="00427411"/>
    <w:rsid w:val="00427696"/>
    <w:rsid w:val="00427794"/>
    <w:rsid w:val="004277EE"/>
    <w:rsid w:val="00427EDA"/>
    <w:rsid w:val="00430348"/>
    <w:rsid w:val="004303C0"/>
    <w:rsid w:val="004303C7"/>
    <w:rsid w:val="004307AD"/>
    <w:rsid w:val="0043092A"/>
    <w:rsid w:val="00430F07"/>
    <w:rsid w:val="00430F78"/>
    <w:rsid w:val="004311A0"/>
    <w:rsid w:val="00431C28"/>
    <w:rsid w:val="00431D3B"/>
    <w:rsid w:val="00431E56"/>
    <w:rsid w:val="00432356"/>
    <w:rsid w:val="00432379"/>
    <w:rsid w:val="0043254A"/>
    <w:rsid w:val="00432984"/>
    <w:rsid w:val="00432A08"/>
    <w:rsid w:val="004332F6"/>
    <w:rsid w:val="00433365"/>
    <w:rsid w:val="0043382A"/>
    <w:rsid w:val="00433D8F"/>
    <w:rsid w:val="00433F60"/>
    <w:rsid w:val="00434102"/>
    <w:rsid w:val="0043434C"/>
    <w:rsid w:val="00434613"/>
    <w:rsid w:val="00434A24"/>
    <w:rsid w:val="004358C4"/>
    <w:rsid w:val="00435C49"/>
    <w:rsid w:val="00436349"/>
    <w:rsid w:val="004365E3"/>
    <w:rsid w:val="004368C3"/>
    <w:rsid w:val="004374ED"/>
    <w:rsid w:val="004376B2"/>
    <w:rsid w:val="00437D26"/>
    <w:rsid w:val="00437E83"/>
    <w:rsid w:val="004407D5"/>
    <w:rsid w:val="00441BF2"/>
    <w:rsid w:val="00441ED1"/>
    <w:rsid w:val="004421F3"/>
    <w:rsid w:val="004423F8"/>
    <w:rsid w:val="004432D2"/>
    <w:rsid w:val="0044392D"/>
    <w:rsid w:val="00443D66"/>
    <w:rsid w:val="00443E58"/>
    <w:rsid w:val="004442E2"/>
    <w:rsid w:val="0044465C"/>
    <w:rsid w:val="004448A1"/>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7E2"/>
    <w:rsid w:val="00446938"/>
    <w:rsid w:val="00446CCE"/>
    <w:rsid w:val="004470B1"/>
    <w:rsid w:val="00447AE9"/>
    <w:rsid w:val="00447D2B"/>
    <w:rsid w:val="0045003B"/>
    <w:rsid w:val="004500FC"/>
    <w:rsid w:val="00450126"/>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532"/>
    <w:rsid w:val="0045374D"/>
    <w:rsid w:val="00453D20"/>
    <w:rsid w:val="00454145"/>
    <w:rsid w:val="004541C4"/>
    <w:rsid w:val="00454553"/>
    <w:rsid w:val="00454974"/>
    <w:rsid w:val="00454D13"/>
    <w:rsid w:val="00454E4D"/>
    <w:rsid w:val="00454ECC"/>
    <w:rsid w:val="00454F56"/>
    <w:rsid w:val="00455189"/>
    <w:rsid w:val="0045530E"/>
    <w:rsid w:val="00455477"/>
    <w:rsid w:val="00455569"/>
    <w:rsid w:val="00455B50"/>
    <w:rsid w:val="00455C77"/>
    <w:rsid w:val="00455E7A"/>
    <w:rsid w:val="00455F14"/>
    <w:rsid w:val="00456935"/>
    <w:rsid w:val="00456FA7"/>
    <w:rsid w:val="004576D0"/>
    <w:rsid w:val="0045790C"/>
    <w:rsid w:val="00457ECB"/>
    <w:rsid w:val="00460237"/>
    <w:rsid w:val="00460492"/>
    <w:rsid w:val="00460543"/>
    <w:rsid w:val="0046067F"/>
    <w:rsid w:val="004607AA"/>
    <w:rsid w:val="004608FB"/>
    <w:rsid w:val="0046096E"/>
    <w:rsid w:val="004609D1"/>
    <w:rsid w:val="00460B56"/>
    <w:rsid w:val="00460CE1"/>
    <w:rsid w:val="00460E72"/>
    <w:rsid w:val="00460FC2"/>
    <w:rsid w:val="004610D8"/>
    <w:rsid w:val="004616A1"/>
    <w:rsid w:val="00461A02"/>
    <w:rsid w:val="004624E2"/>
    <w:rsid w:val="00462755"/>
    <w:rsid w:val="00462C73"/>
    <w:rsid w:val="00462ED0"/>
    <w:rsid w:val="00463182"/>
    <w:rsid w:val="004633BA"/>
    <w:rsid w:val="00463B47"/>
    <w:rsid w:val="00463E6A"/>
    <w:rsid w:val="00464205"/>
    <w:rsid w:val="0046437C"/>
    <w:rsid w:val="0046438A"/>
    <w:rsid w:val="00464A37"/>
    <w:rsid w:val="00464B4B"/>
    <w:rsid w:val="00464C76"/>
    <w:rsid w:val="00464E2B"/>
    <w:rsid w:val="00464F08"/>
    <w:rsid w:val="0046500C"/>
    <w:rsid w:val="00465154"/>
    <w:rsid w:val="004653F2"/>
    <w:rsid w:val="0046547C"/>
    <w:rsid w:val="00465ADF"/>
    <w:rsid w:val="00465BAD"/>
    <w:rsid w:val="00465BE6"/>
    <w:rsid w:val="00465F7C"/>
    <w:rsid w:val="004660EF"/>
    <w:rsid w:val="00466281"/>
    <w:rsid w:val="004665C7"/>
    <w:rsid w:val="00466B0F"/>
    <w:rsid w:val="00466C67"/>
    <w:rsid w:val="00466D70"/>
    <w:rsid w:val="00467148"/>
    <w:rsid w:val="0046783F"/>
    <w:rsid w:val="00467B6B"/>
    <w:rsid w:val="00467E17"/>
    <w:rsid w:val="00467EAF"/>
    <w:rsid w:val="004702E7"/>
    <w:rsid w:val="004704CF"/>
    <w:rsid w:val="00470811"/>
    <w:rsid w:val="00470EB5"/>
    <w:rsid w:val="004711B2"/>
    <w:rsid w:val="004713AB"/>
    <w:rsid w:val="004716E4"/>
    <w:rsid w:val="00471D0C"/>
    <w:rsid w:val="00471D78"/>
    <w:rsid w:val="00471F27"/>
    <w:rsid w:val="0047263B"/>
    <w:rsid w:val="0047279A"/>
    <w:rsid w:val="00472C25"/>
    <w:rsid w:val="00473070"/>
    <w:rsid w:val="00473071"/>
    <w:rsid w:val="00473259"/>
    <w:rsid w:val="0047336E"/>
    <w:rsid w:val="004737B7"/>
    <w:rsid w:val="00473B72"/>
    <w:rsid w:val="00473C85"/>
    <w:rsid w:val="00473D33"/>
    <w:rsid w:val="004740CB"/>
    <w:rsid w:val="004742BB"/>
    <w:rsid w:val="00474E06"/>
    <w:rsid w:val="00474F7B"/>
    <w:rsid w:val="0047595C"/>
    <w:rsid w:val="004759D3"/>
    <w:rsid w:val="00475BA4"/>
    <w:rsid w:val="00475C23"/>
    <w:rsid w:val="00475E0D"/>
    <w:rsid w:val="00475EB2"/>
    <w:rsid w:val="0047607E"/>
    <w:rsid w:val="0047610F"/>
    <w:rsid w:val="0047671B"/>
    <w:rsid w:val="00476CE7"/>
    <w:rsid w:val="00476FB5"/>
    <w:rsid w:val="00477238"/>
    <w:rsid w:val="00477411"/>
    <w:rsid w:val="0047758F"/>
    <w:rsid w:val="004776F8"/>
    <w:rsid w:val="00477CDE"/>
    <w:rsid w:val="00477DB5"/>
    <w:rsid w:val="004808BF"/>
    <w:rsid w:val="00481265"/>
    <w:rsid w:val="004812D3"/>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3F9E"/>
    <w:rsid w:val="00484034"/>
    <w:rsid w:val="0048489A"/>
    <w:rsid w:val="00484E3C"/>
    <w:rsid w:val="00484FD1"/>
    <w:rsid w:val="00485273"/>
    <w:rsid w:val="00485605"/>
    <w:rsid w:val="0048564B"/>
    <w:rsid w:val="00485788"/>
    <w:rsid w:val="004857A2"/>
    <w:rsid w:val="00485A0A"/>
    <w:rsid w:val="00485CEE"/>
    <w:rsid w:val="00485E28"/>
    <w:rsid w:val="004866EA"/>
    <w:rsid w:val="0048677C"/>
    <w:rsid w:val="004869FF"/>
    <w:rsid w:val="00486CED"/>
    <w:rsid w:val="00487259"/>
    <w:rsid w:val="0048741B"/>
    <w:rsid w:val="004875A8"/>
    <w:rsid w:val="0048760A"/>
    <w:rsid w:val="00487626"/>
    <w:rsid w:val="004876CE"/>
    <w:rsid w:val="004876EC"/>
    <w:rsid w:val="004905CE"/>
    <w:rsid w:val="00490961"/>
    <w:rsid w:val="00490BB0"/>
    <w:rsid w:val="00491215"/>
    <w:rsid w:val="0049121D"/>
    <w:rsid w:val="00491599"/>
    <w:rsid w:val="0049182C"/>
    <w:rsid w:val="004927A8"/>
    <w:rsid w:val="004929BD"/>
    <w:rsid w:val="00493588"/>
    <w:rsid w:val="00493707"/>
    <w:rsid w:val="004939B6"/>
    <w:rsid w:val="00493C16"/>
    <w:rsid w:val="0049408C"/>
    <w:rsid w:val="0049455C"/>
    <w:rsid w:val="00494788"/>
    <w:rsid w:val="004949A3"/>
    <w:rsid w:val="00494E3A"/>
    <w:rsid w:val="004957D9"/>
    <w:rsid w:val="0049580B"/>
    <w:rsid w:val="00495C16"/>
    <w:rsid w:val="00495F2D"/>
    <w:rsid w:val="004964B5"/>
    <w:rsid w:val="004967A0"/>
    <w:rsid w:val="00496CB3"/>
    <w:rsid w:val="004970FC"/>
    <w:rsid w:val="0049778F"/>
    <w:rsid w:val="004978BE"/>
    <w:rsid w:val="004978DD"/>
    <w:rsid w:val="004979D2"/>
    <w:rsid w:val="00497B99"/>
    <w:rsid w:val="00497CCD"/>
    <w:rsid w:val="004A0129"/>
    <w:rsid w:val="004A0166"/>
    <w:rsid w:val="004A025D"/>
    <w:rsid w:val="004A068D"/>
    <w:rsid w:val="004A0937"/>
    <w:rsid w:val="004A0D9B"/>
    <w:rsid w:val="004A0E21"/>
    <w:rsid w:val="004A0F65"/>
    <w:rsid w:val="004A11A2"/>
    <w:rsid w:val="004A157E"/>
    <w:rsid w:val="004A1BEA"/>
    <w:rsid w:val="004A1FF2"/>
    <w:rsid w:val="004A21C2"/>
    <w:rsid w:val="004A2207"/>
    <w:rsid w:val="004A2279"/>
    <w:rsid w:val="004A29F9"/>
    <w:rsid w:val="004A2F5A"/>
    <w:rsid w:val="004A2F7D"/>
    <w:rsid w:val="004A2FC6"/>
    <w:rsid w:val="004A34EB"/>
    <w:rsid w:val="004A352E"/>
    <w:rsid w:val="004A42CA"/>
    <w:rsid w:val="004A4D8C"/>
    <w:rsid w:val="004A4F4B"/>
    <w:rsid w:val="004A518A"/>
    <w:rsid w:val="004A5774"/>
    <w:rsid w:val="004A649E"/>
    <w:rsid w:val="004A6A0E"/>
    <w:rsid w:val="004A6C08"/>
    <w:rsid w:val="004A6C93"/>
    <w:rsid w:val="004A6F86"/>
    <w:rsid w:val="004A700F"/>
    <w:rsid w:val="004A713C"/>
    <w:rsid w:val="004A7167"/>
    <w:rsid w:val="004A7554"/>
    <w:rsid w:val="004A7602"/>
    <w:rsid w:val="004A77A9"/>
    <w:rsid w:val="004A79E2"/>
    <w:rsid w:val="004A7DFF"/>
    <w:rsid w:val="004B0075"/>
    <w:rsid w:val="004B00C0"/>
    <w:rsid w:val="004B03FB"/>
    <w:rsid w:val="004B0866"/>
    <w:rsid w:val="004B0CAC"/>
    <w:rsid w:val="004B14B0"/>
    <w:rsid w:val="004B15F3"/>
    <w:rsid w:val="004B18B5"/>
    <w:rsid w:val="004B1960"/>
    <w:rsid w:val="004B1F75"/>
    <w:rsid w:val="004B2194"/>
    <w:rsid w:val="004B22C0"/>
    <w:rsid w:val="004B22CE"/>
    <w:rsid w:val="004B2379"/>
    <w:rsid w:val="004B23A8"/>
    <w:rsid w:val="004B243D"/>
    <w:rsid w:val="004B2642"/>
    <w:rsid w:val="004B293F"/>
    <w:rsid w:val="004B2AAA"/>
    <w:rsid w:val="004B2D10"/>
    <w:rsid w:val="004B2D49"/>
    <w:rsid w:val="004B2E03"/>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253"/>
    <w:rsid w:val="004B6313"/>
    <w:rsid w:val="004B6A83"/>
    <w:rsid w:val="004B6F89"/>
    <w:rsid w:val="004B74BC"/>
    <w:rsid w:val="004B75E0"/>
    <w:rsid w:val="004B76CD"/>
    <w:rsid w:val="004B776E"/>
    <w:rsid w:val="004B79FE"/>
    <w:rsid w:val="004B7F62"/>
    <w:rsid w:val="004C0416"/>
    <w:rsid w:val="004C04D3"/>
    <w:rsid w:val="004C050C"/>
    <w:rsid w:val="004C0702"/>
    <w:rsid w:val="004C099E"/>
    <w:rsid w:val="004C0BC5"/>
    <w:rsid w:val="004C12AE"/>
    <w:rsid w:val="004C1410"/>
    <w:rsid w:val="004C1494"/>
    <w:rsid w:val="004C1E6C"/>
    <w:rsid w:val="004C1FE6"/>
    <w:rsid w:val="004C203B"/>
    <w:rsid w:val="004C22C1"/>
    <w:rsid w:val="004C257D"/>
    <w:rsid w:val="004C26B3"/>
    <w:rsid w:val="004C3033"/>
    <w:rsid w:val="004C30D8"/>
    <w:rsid w:val="004C30F8"/>
    <w:rsid w:val="004C342A"/>
    <w:rsid w:val="004C356F"/>
    <w:rsid w:val="004C3C2D"/>
    <w:rsid w:val="004C3C8E"/>
    <w:rsid w:val="004C3D0C"/>
    <w:rsid w:val="004C4442"/>
    <w:rsid w:val="004C497C"/>
    <w:rsid w:val="004C4BC1"/>
    <w:rsid w:val="004C4F28"/>
    <w:rsid w:val="004C563A"/>
    <w:rsid w:val="004C5FDC"/>
    <w:rsid w:val="004C61AE"/>
    <w:rsid w:val="004C6275"/>
    <w:rsid w:val="004C6347"/>
    <w:rsid w:val="004C63DF"/>
    <w:rsid w:val="004C6578"/>
    <w:rsid w:val="004C68F7"/>
    <w:rsid w:val="004C6D17"/>
    <w:rsid w:val="004C6EBA"/>
    <w:rsid w:val="004C7955"/>
    <w:rsid w:val="004D057C"/>
    <w:rsid w:val="004D0801"/>
    <w:rsid w:val="004D0CC3"/>
    <w:rsid w:val="004D0E52"/>
    <w:rsid w:val="004D1474"/>
    <w:rsid w:val="004D1589"/>
    <w:rsid w:val="004D207B"/>
    <w:rsid w:val="004D20D3"/>
    <w:rsid w:val="004D23C2"/>
    <w:rsid w:val="004D2D53"/>
    <w:rsid w:val="004D32AD"/>
    <w:rsid w:val="004D3A79"/>
    <w:rsid w:val="004D3E95"/>
    <w:rsid w:val="004D3EBC"/>
    <w:rsid w:val="004D3ECD"/>
    <w:rsid w:val="004D43BF"/>
    <w:rsid w:val="004D4685"/>
    <w:rsid w:val="004D4A7D"/>
    <w:rsid w:val="004D51DF"/>
    <w:rsid w:val="004D52AE"/>
    <w:rsid w:val="004D52EC"/>
    <w:rsid w:val="004D5483"/>
    <w:rsid w:val="004D5569"/>
    <w:rsid w:val="004D5648"/>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A76"/>
    <w:rsid w:val="004E1D8B"/>
    <w:rsid w:val="004E1E71"/>
    <w:rsid w:val="004E1F4C"/>
    <w:rsid w:val="004E226D"/>
    <w:rsid w:val="004E2272"/>
    <w:rsid w:val="004E2329"/>
    <w:rsid w:val="004E245C"/>
    <w:rsid w:val="004E251E"/>
    <w:rsid w:val="004E25F8"/>
    <w:rsid w:val="004E26F1"/>
    <w:rsid w:val="004E2944"/>
    <w:rsid w:val="004E2AAE"/>
    <w:rsid w:val="004E3479"/>
    <w:rsid w:val="004E3C6C"/>
    <w:rsid w:val="004E4492"/>
    <w:rsid w:val="004E4890"/>
    <w:rsid w:val="004E4C7C"/>
    <w:rsid w:val="004E4CBB"/>
    <w:rsid w:val="004E4CFB"/>
    <w:rsid w:val="004E4E2F"/>
    <w:rsid w:val="004E4FA3"/>
    <w:rsid w:val="004E4FCA"/>
    <w:rsid w:val="004E5274"/>
    <w:rsid w:val="004E5B43"/>
    <w:rsid w:val="004E5C56"/>
    <w:rsid w:val="004E5C67"/>
    <w:rsid w:val="004E633E"/>
    <w:rsid w:val="004E67EC"/>
    <w:rsid w:val="004E6978"/>
    <w:rsid w:val="004E69C6"/>
    <w:rsid w:val="004E7442"/>
    <w:rsid w:val="004E77F4"/>
    <w:rsid w:val="004E78A5"/>
    <w:rsid w:val="004F003C"/>
    <w:rsid w:val="004F0393"/>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2B8B"/>
    <w:rsid w:val="004F3000"/>
    <w:rsid w:val="004F3061"/>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7094"/>
    <w:rsid w:val="004F7638"/>
    <w:rsid w:val="004F77AB"/>
    <w:rsid w:val="005001E2"/>
    <w:rsid w:val="00500678"/>
    <w:rsid w:val="00500C21"/>
    <w:rsid w:val="00501E8F"/>
    <w:rsid w:val="0050258A"/>
    <w:rsid w:val="005025BE"/>
    <w:rsid w:val="005029DF"/>
    <w:rsid w:val="00502A1E"/>
    <w:rsid w:val="0050309B"/>
    <w:rsid w:val="005030EE"/>
    <w:rsid w:val="005039F7"/>
    <w:rsid w:val="005039F8"/>
    <w:rsid w:val="00503B90"/>
    <w:rsid w:val="00503CF4"/>
    <w:rsid w:val="005040A6"/>
    <w:rsid w:val="005043A8"/>
    <w:rsid w:val="00504841"/>
    <w:rsid w:val="00504887"/>
    <w:rsid w:val="00504D34"/>
    <w:rsid w:val="00504D92"/>
    <w:rsid w:val="00504F9E"/>
    <w:rsid w:val="00505163"/>
    <w:rsid w:val="0050522C"/>
    <w:rsid w:val="005053A0"/>
    <w:rsid w:val="005053DB"/>
    <w:rsid w:val="0050580C"/>
    <w:rsid w:val="005058F8"/>
    <w:rsid w:val="00505D1C"/>
    <w:rsid w:val="00505DBB"/>
    <w:rsid w:val="005060C9"/>
    <w:rsid w:val="00506293"/>
    <w:rsid w:val="005062C7"/>
    <w:rsid w:val="00506504"/>
    <w:rsid w:val="00506A9B"/>
    <w:rsid w:val="005072A1"/>
    <w:rsid w:val="00507967"/>
    <w:rsid w:val="00507C3E"/>
    <w:rsid w:val="00507E30"/>
    <w:rsid w:val="00510352"/>
    <w:rsid w:val="00510F20"/>
    <w:rsid w:val="00510FB0"/>
    <w:rsid w:val="0051102F"/>
    <w:rsid w:val="005112F3"/>
    <w:rsid w:val="0051217E"/>
    <w:rsid w:val="005126BA"/>
    <w:rsid w:val="005128DA"/>
    <w:rsid w:val="00512917"/>
    <w:rsid w:val="00512950"/>
    <w:rsid w:val="00512E2D"/>
    <w:rsid w:val="00512F40"/>
    <w:rsid w:val="00513061"/>
    <w:rsid w:val="005134F9"/>
    <w:rsid w:val="00513C2E"/>
    <w:rsid w:val="005140D8"/>
    <w:rsid w:val="0051419C"/>
    <w:rsid w:val="00514880"/>
    <w:rsid w:val="00514F95"/>
    <w:rsid w:val="00515AA8"/>
    <w:rsid w:val="00515EB8"/>
    <w:rsid w:val="00515F98"/>
    <w:rsid w:val="00516127"/>
    <w:rsid w:val="0051639D"/>
    <w:rsid w:val="00516621"/>
    <w:rsid w:val="00516CA7"/>
    <w:rsid w:val="005175E2"/>
    <w:rsid w:val="00517DE4"/>
    <w:rsid w:val="0052016B"/>
    <w:rsid w:val="0052092D"/>
    <w:rsid w:val="00520C21"/>
    <w:rsid w:val="00520D35"/>
    <w:rsid w:val="00520D6F"/>
    <w:rsid w:val="00520E4C"/>
    <w:rsid w:val="00520FE5"/>
    <w:rsid w:val="00521005"/>
    <w:rsid w:val="00521231"/>
    <w:rsid w:val="005213C0"/>
    <w:rsid w:val="005216E1"/>
    <w:rsid w:val="00521706"/>
    <w:rsid w:val="00521897"/>
    <w:rsid w:val="00521E81"/>
    <w:rsid w:val="00521FA1"/>
    <w:rsid w:val="005224D3"/>
    <w:rsid w:val="00522A4D"/>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94E"/>
    <w:rsid w:val="00525ACE"/>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7CD"/>
    <w:rsid w:val="0053190D"/>
    <w:rsid w:val="00532772"/>
    <w:rsid w:val="0053287D"/>
    <w:rsid w:val="00532A8C"/>
    <w:rsid w:val="00532B71"/>
    <w:rsid w:val="00532B89"/>
    <w:rsid w:val="00532ECE"/>
    <w:rsid w:val="005334F0"/>
    <w:rsid w:val="00533C62"/>
    <w:rsid w:val="00533D59"/>
    <w:rsid w:val="00534342"/>
    <w:rsid w:val="0053452B"/>
    <w:rsid w:val="005346DA"/>
    <w:rsid w:val="00534E0A"/>
    <w:rsid w:val="00534E79"/>
    <w:rsid w:val="00535015"/>
    <w:rsid w:val="0053505E"/>
    <w:rsid w:val="005353AA"/>
    <w:rsid w:val="00535542"/>
    <w:rsid w:val="00535678"/>
    <w:rsid w:val="005358CD"/>
    <w:rsid w:val="005359D0"/>
    <w:rsid w:val="00535E5B"/>
    <w:rsid w:val="00535F5B"/>
    <w:rsid w:val="00535F87"/>
    <w:rsid w:val="00535FDF"/>
    <w:rsid w:val="0053636A"/>
    <w:rsid w:val="00536708"/>
    <w:rsid w:val="00536EAC"/>
    <w:rsid w:val="00537179"/>
    <w:rsid w:val="005371D8"/>
    <w:rsid w:val="00540808"/>
    <w:rsid w:val="00540870"/>
    <w:rsid w:val="00540935"/>
    <w:rsid w:val="00540961"/>
    <w:rsid w:val="00540BFD"/>
    <w:rsid w:val="00540DE9"/>
    <w:rsid w:val="00540F31"/>
    <w:rsid w:val="00540F39"/>
    <w:rsid w:val="0054121C"/>
    <w:rsid w:val="00541235"/>
    <w:rsid w:val="0054125C"/>
    <w:rsid w:val="005417D0"/>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56E"/>
    <w:rsid w:val="0054463B"/>
    <w:rsid w:val="005448C9"/>
    <w:rsid w:val="00544C7E"/>
    <w:rsid w:val="00544DC0"/>
    <w:rsid w:val="00545085"/>
    <w:rsid w:val="005454C8"/>
    <w:rsid w:val="00545626"/>
    <w:rsid w:val="0054633C"/>
    <w:rsid w:val="00546345"/>
    <w:rsid w:val="0054636E"/>
    <w:rsid w:val="00546700"/>
    <w:rsid w:val="00546A40"/>
    <w:rsid w:val="00546A86"/>
    <w:rsid w:val="00546CA1"/>
    <w:rsid w:val="00546EA7"/>
    <w:rsid w:val="0054762D"/>
    <w:rsid w:val="0054786F"/>
    <w:rsid w:val="00547BD9"/>
    <w:rsid w:val="00547D49"/>
    <w:rsid w:val="00550213"/>
    <w:rsid w:val="00550DB8"/>
    <w:rsid w:val="00551291"/>
    <w:rsid w:val="005513F9"/>
    <w:rsid w:val="00551563"/>
    <w:rsid w:val="00551892"/>
    <w:rsid w:val="0055200A"/>
    <w:rsid w:val="0055214C"/>
    <w:rsid w:val="005523A5"/>
    <w:rsid w:val="00552B1E"/>
    <w:rsid w:val="00552BAD"/>
    <w:rsid w:val="0055359B"/>
    <w:rsid w:val="0055391C"/>
    <w:rsid w:val="00554205"/>
    <w:rsid w:val="00554325"/>
    <w:rsid w:val="005543D5"/>
    <w:rsid w:val="005547B1"/>
    <w:rsid w:val="00554810"/>
    <w:rsid w:val="00554ED6"/>
    <w:rsid w:val="00554F38"/>
    <w:rsid w:val="00555051"/>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60197"/>
    <w:rsid w:val="00560618"/>
    <w:rsid w:val="00560725"/>
    <w:rsid w:val="005608B8"/>
    <w:rsid w:val="00560C55"/>
    <w:rsid w:val="00560D46"/>
    <w:rsid w:val="00560D75"/>
    <w:rsid w:val="00560EDF"/>
    <w:rsid w:val="00560F64"/>
    <w:rsid w:val="00560FAE"/>
    <w:rsid w:val="00561232"/>
    <w:rsid w:val="00561378"/>
    <w:rsid w:val="00561612"/>
    <w:rsid w:val="005616F7"/>
    <w:rsid w:val="00561805"/>
    <w:rsid w:val="0056189E"/>
    <w:rsid w:val="005619D9"/>
    <w:rsid w:val="00561BE5"/>
    <w:rsid w:val="00562019"/>
    <w:rsid w:val="005620F2"/>
    <w:rsid w:val="005629C1"/>
    <w:rsid w:val="00562A31"/>
    <w:rsid w:val="00562B30"/>
    <w:rsid w:val="00562F7B"/>
    <w:rsid w:val="0056301A"/>
    <w:rsid w:val="00563642"/>
    <w:rsid w:val="0056365B"/>
    <w:rsid w:val="00563756"/>
    <w:rsid w:val="0056473C"/>
    <w:rsid w:val="005648A0"/>
    <w:rsid w:val="0056498C"/>
    <w:rsid w:val="005649BF"/>
    <w:rsid w:val="00564AAC"/>
    <w:rsid w:val="00564B8E"/>
    <w:rsid w:val="00564CD2"/>
    <w:rsid w:val="005651DD"/>
    <w:rsid w:val="0056520D"/>
    <w:rsid w:val="0056530E"/>
    <w:rsid w:val="005653EB"/>
    <w:rsid w:val="00565BA8"/>
    <w:rsid w:val="00565BC1"/>
    <w:rsid w:val="00565CE3"/>
    <w:rsid w:val="00565DB1"/>
    <w:rsid w:val="005661DC"/>
    <w:rsid w:val="0056639C"/>
    <w:rsid w:val="00566428"/>
    <w:rsid w:val="00566565"/>
    <w:rsid w:val="00567033"/>
    <w:rsid w:val="005677C0"/>
    <w:rsid w:val="00567AAE"/>
    <w:rsid w:val="00567B09"/>
    <w:rsid w:val="00567B9D"/>
    <w:rsid w:val="00567C2C"/>
    <w:rsid w:val="00567ECF"/>
    <w:rsid w:val="00570183"/>
    <w:rsid w:val="0057028C"/>
    <w:rsid w:val="0057052F"/>
    <w:rsid w:val="00570A8E"/>
    <w:rsid w:val="00570CDF"/>
    <w:rsid w:val="00571233"/>
    <w:rsid w:val="00571393"/>
    <w:rsid w:val="00571F96"/>
    <w:rsid w:val="005720C8"/>
    <w:rsid w:val="005721FD"/>
    <w:rsid w:val="00572249"/>
    <w:rsid w:val="00572661"/>
    <w:rsid w:val="0057304A"/>
    <w:rsid w:val="0057320B"/>
    <w:rsid w:val="00573557"/>
    <w:rsid w:val="0057378F"/>
    <w:rsid w:val="005738D3"/>
    <w:rsid w:val="00573A07"/>
    <w:rsid w:val="00573A99"/>
    <w:rsid w:val="00573AFF"/>
    <w:rsid w:val="00573C01"/>
    <w:rsid w:val="005745A6"/>
    <w:rsid w:val="00574CFA"/>
    <w:rsid w:val="00574E62"/>
    <w:rsid w:val="00575226"/>
    <w:rsid w:val="00575423"/>
    <w:rsid w:val="0057572C"/>
    <w:rsid w:val="00575917"/>
    <w:rsid w:val="0057591B"/>
    <w:rsid w:val="00575B46"/>
    <w:rsid w:val="0057627A"/>
    <w:rsid w:val="0057677F"/>
    <w:rsid w:val="00576AD3"/>
    <w:rsid w:val="00577289"/>
    <w:rsid w:val="00577443"/>
    <w:rsid w:val="00577561"/>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1EB0"/>
    <w:rsid w:val="0058251E"/>
    <w:rsid w:val="005827B5"/>
    <w:rsid w:val="00582900"/>
    <w:rsid w:val="00582BE0"/>
    <w:rsid w:val="00582D89"/>
    <w:rsid w:val="00583089"/>
    <w:rsid w:val="005833BD"/>
    <w:rsid w:val="00583711"/>
    <w:rsid w:val="00583743"/>
    <w:rsid w:val="005838F5"/>
    <w:rsid w:val="00583977"/>
    <w:rsid w:val="0058400A"/>
    <w:rsid w:val="00584EF3"/>
    <w:rsid w:val="005852A1"/>
    <w:rsid w:val="0058548B"/>
    <w:rsid w:val="005854F6"/>
    <w:rsid w:val="00586581"/>
    <w:rsid w:val="00586722"/>
    <w:rsid w:val="00586A14"/>
    <w:rsid w:val="00587004"/>
    <w:rsid w:val="0058722B"/>
    <w:rsid w:val="00587405"/>
    <w:rsid w:val="0058743C"/>
    <w:rsid w:val="005877E9"/>
    <w:rsid w:val="005878A2"/>
    <w:rsid w:val="00587AB5"/>
    <w:rsid w:val="005901CB"/>
    <w:rsid w:val="005901D3"/>
    <w:rsid w:val="005905D0"/>
    <w:rsid w:val="00590993"/>
    <w:rsid w:val="00590AF6"/>
    <w:rsid w:val="00590CA9"/>
    <w:rsid w:val="00590D7C"/>
    <w:rsid w:val="005910BD"/>
    <w:rsid w:val="00591260"/>
    <w:rsid w:val="005914FD"/>
    <w:rsid w:val="00591860"/>
    <w:rsid w:val="00591D4F"/>
    <w:rsid w:val="00591E10"/>
    <w:rsid w:val="00591EC2"/>
    <w:rsid w:val="005920BE"/>
    <w:rsid w:val="00592588"/>
    <w:rsid w:val="00592B34"/>
    <w:rsid w:val="00592B97"/>
    <w:rsid w:val="00592F7D"/>
    <w:rsid w:val="00592F83"/>
    <w:rsid w:val="0059350B"/>
    <w:rsid w:val="00593CFD"/>
    <w:rsid w:val="00594047"/>
    <w:rsid w:val="005940F3"/>
    <w:rsid w:val="005944BB"/>
    <w:rsid w:val="0059459F"/>
    <w:rsid w:val="00595366"/>
    <w:rsid w:val="00595622"/>
    <w:rsid w:val="00595A5F"/>
    <w:rsid w:val="00595C50"/>
    <w:rsid w:val="00595D2B"/>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97F"/>
    <w:rsid w:val="005A0DB5"/>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6008"/>
    <w:rsid w:val="005A6251"/>
    <w:rsid w:val="005A6ACB"/>
    <w:rsid w:val="005A714C"/>
    <w:rsid w:val="005A71D2"/>
    <w:rsid w:val="005A735B"/>
    <w:rsid w:val="005A7A16"/>
    <w:rsid w:val="005A7ACF"/>
    <w:rsid w:val="005A7AE4"/>
    <w:rsid w:val="005A7B50"/>
    <w:rsid w:val="005A7C12"/>
    <w:rsid w:val="005A7CFB"/>
    <w:rsid w:val="005B01B2"/>
    <w:rsid w:val="005B053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C6"/>
    <w:rsid w:val="005B2223"/>
    <w:rsid w:val="005B222C"/>
    <w:rsid w:val="005B287E"/>
    <w:rsid w:val="005B28FA"/>
    <w:rsid w:val="005B2939"/>
    <w:rsid w:val="005B2C71"/>
    <w:rsid w:val="005B2E7C"/>
    <w:rsid w:val="005B3055"/>
    <w:rsid w:val="005B31BA"/>
    <w:rsid w:val="005B36BD"/>
    <w:rsid w:val="005B38B0"/>
    <w:rsid w:val="005B391F"/>
    <w:rsid w:val="005B45E4"/>
    <w:rsid w:val="005B5377"/>
    <w:rsid w:val="005B548F"/>
    <w:rsid w:val="005B5696"/>
    <w:rsid w:val="005B59DA"/>
    <w:rsid w:val="005B5CE0"/>
    <w:rsid w:val="005B6264"/>
    <w:rsid w:val="005B63AC"/>
    <w:rsid w:val="005B67D0"/>
    <w:rsid w:val="005B6D63"/>
    <w:rsid w:val="005B6D99"/>
    <w:rsid w:val="005B6F76"/>
    <w:rsid w:val="005B6FD8"/>
    <w:rsid w:val="005B7245"/>
    <w:rsid w:val="005B7B20"/>
    <w:rsid w:val="005B7C94"/>
    <w:rsid w:val="005B7D2B"/>
    <w:rsid w:val="005C078E"/>
    <w:rsid w:val="005C0914"/>
    <w:rsid w:val="005C098A"/>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4B9"/>
    <w:rsid w:val="005C5632"/>
    <w:rsid w:val="005C5CDE"/>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5C9"/>
    <w:rsid w:val="005D194B"/>
    <w:rsid w:val="005D1BD2"/>
    <w:rsid w:val="005D1C0E"/>
    <w:rsid w:val="005D2181"/>
    <w:rsid w:val="005D2DCF"/>
    <w:rsid w:val="005D30CF"/>
    <w:rsid w:val="005D3193"/>
    <w:rsid w:val="005D3687"/>
    <w:rsid w:val="005D38E3"/>
    <w:rsid w:val="005D3D4D"/>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9AC"/>
    <w:rsid w:val="005D6AD0"/>
    <w:rsid w:val="005D7505"/>
    <w:rsid w:val="005D762C"/>
    <w:rsid w:val="005D7B2E"/>
    <w:rsid w:val="005D7C28"/>
    <w:rsid w:val="005E02CB"/>
    <w:rsid w:val="005E04F7"/>
    <w:rsid w:val="005E0BE1"/>
    <w:rsid w:val="005E11DE"/>
    <w:rsid w:val="005E1329"/>
    <w:rsid w:val="005E150A"/>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6319"/>
    <w:rsid w:val="005E6B7C"/>
    <w:rsid w:val="005E6C7C"/>
    <w:rsid w:val="005E6C8F"/>
    <w:rsid w:val="005E6CD7"/>
    <w:rsid w:val="005E7036"/>
    <w:rsid w:val="005E7A51"/>
    <w:rsid w:val="005E7B21"/>
    <w:rsid w:val="005F0109"/>
    <w:rsid w:val="005F0A20"/>
    <w:rsid w:val="005F0B4F"/>
    <w:rsid w:val="005F0BE1"/>
    <w:rsid w:val="005F113E"/>
    <w:rsid w:val="005F1274"/>
    <w:rsid w:val="005F1912"/>
    <w:rsid w:val="005F1B75"/>
    <w:rsid w:val="005F215C"/>
    <w:rsid w:val="005F217A"/>
    <w:rsid w:val="005F24BD"/>
    <w:rsid w:val="005F2AEE"/>
    <w:rsid w:val="005F2D15"/>
    <w:rsid w:val="005F30A8"/>
    <w:rsid w:val="005F3853"/>
    <w:rsid w:val="005F3858"/>
    <w:rsid w:val="005F3DE9"/>
    <w:rsid w:val="005F3F0A"/>
    <w:rsid w:val="005F42FE"/>
    <w:rsid w:val="005F4678"/>
    <w:rsid w:val="005F48B0"/>
    <w:rsid w:val="005F4A4A"/>
    <w:rsid w:val="005F4A99"/>
    <w:rsid w:val="005F50AE"/>
    <w:rsid w:val="005F54BC"/>
    <w:rsid w:val="005F5787"/>
    <w:rsid w:val="005F5C7C"/>
    <w:rsid w:val="005F5DDE"/>
    <w:rsid w:val="005F5FBA"/>
    <w:rsid w:val="005F6148"/>
    <w:rsid w:val="005F65F0"/>
    <w:rsid w:val="005F68AB"/>
    <w:rsid w:val="005F68BF"/>
    <w:rsid w:val="005F6EB7"/>
    <w:rsid w:val="005F717B"/>
    <w:rsid w:val="005F720B"/>
    <w:rsid w:val="005F7642"/>
    <w:rsid w:val="005F7C63"/>
    <w:rsid w:val="005F7D51"/>
    <w:rsid w:val="006001E6"/>
    <w:rsid w:val="006004A8"/>
    <w:rsid w:val="006009D7"/>
    <w:rsid w:val="00600BB2"/>
    <w:rsid w:val="00600F2D"/>
    <w:rsid w:val="00601003"/>
    <w:rsid w:val="00601712"/>
    <w:rsid w:val="00601EBF"/>
    <w:rsid w:val="006020C2"/>
    <w:rsid w:val="00602200"/>
    <w:rsid w:val="00602372"/>
    <w:rsid w:val="006026BC"/>
    <w:rsid w:val="00602E94"/>
    <w:rsid w:val="00602F85"/>
    <w:rsid w:val="00603441"/>
    <w:rsid w:val="006034DD"/>
    <w:rsid w:val="00603642"/>
    <w:rsid w:val="006037D0"/>
    <w:rsid w:val="006037ED"/>
    <w:rsid w:val="00603AC7"/>
    <w:rsid w:val="0060427B"/>
    <w:rsid w:val="006043B4"/>
    <w:rsid w:val="006045E3"/>
    <w:rsid w:val="00604948"/>
    <w:rsid w:val="006049F9"/>
    <w:rsid w:val="006050B5"/>
    <w:rsid w:val="006050CE"/>
    <w:rsid w:val="0060544F"/>
    <w:rsid w:val="006054A8"/>
    <w:rsid w:val="006054D4"/>
    <w:rsid w:val="0060551C"/>
    <w:rsid w:val="0060563F"/>
    <w:rsid w:val="00605B6E"/>
    <w:rsid w:val="0060608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578"/>
    <w:rsid w:val="00610EC1"/>
    <w:rsid w:val="00611B15"/>
    <w:rsid w:val="00611DB6"/>
    <w:rsid w:val="00611E56"/>
    <w:rsid w:val="006125E5"/>
    <w:rsid w:val="006126E1"/>
    <w:rsid w:val="0061275B"/>
    <w:rsid w:val="00612A6D"/>
    <w:rsid w:val="006132FF"/>
    <w:rsid w:val="006134B7"/>
    <w:rsid w:val="006137C2"/>
    <w:rsid w:val="00613B68"/>
    <w:rsid w:val="00613CC4"/>
    <w:rsid w:val="00613D0C"/>
    <w:rsid w:val="006143D2"/>
    <w:rsid w:val="006144A5"/>
    <w:rsid w:val="006148DA"/>
    <w:rsid w:val="00614A0E"/>
    <w:rsid w:val="00614D0C"/>
    <w:rsid w:val="00614E7D"/>
    <w:rsid w:val="00614EB6"/>
    <w:rsid w:val="00614F77"/>
    <w:rsid w:val="0061527D"/>
    <w:rsid w:val="00615613"/>
    <w:rsid w:val="006158E6"/>
    <w:rsid w:val="00615903"/>
    <w:rsid w:val="00615EF4"/>
    <w:rsid w:val="00616195"/>
    <w:rsid w:val="00616474"/>
    <w:rsid w:val="0061647F"/>
    <w:rsid w:val="0061670C"/>
    <w:rsid w:val="00616804"/>
    <w:rsid w:val="00616A0F"/>
    <w:rsid w:val="00616D68"/>
    <w:rsid w:val="00617336"/>
    <w:rsid w:val="006174A5"/>
    <w:rsid w:val="00617503"/>
    <w:rsid w:val="00617666"/>
    <w:rsid w:val="00617DAF"/>
    <w:rsid w:val="00620C68"/>
    <w:rsid w:val="00620D77"/>
    <w:rsid w:val="00620DDB"/>
    <w:rsid w:val="00620F08"/>
    <w:rsid w:val="00621D96"/>
    <w:rsid w:val="00621E06"/>
    <w:rsid w:val="00622165"/>
    <w:rsid w:val="0062230D"/>
    <w:rsid w:val="00622469"/>
    <w:rsid w:val="00622511"/>
    <w:rsid w:val="00622607"/>
    <w:rsid w:val="006226A4"/>
    <w:rsid w:val="00622826"/>
    <w:rsid w:val="00622B50"/>
    <w:rsid w:val="00622E2D"/>
    <w:rsid w:val="00623023"/>
    <w:rsid w:val="0062310D"/>
    <w:rsid w:val="00623548"/>
    <w:rsid w:val="0062381F"/>
    <w:rsid w:val="00623939"/>
    <w:rsid w:val="00624111"/>
    <w:rsid w:val="006241F3"/>
    <w:rsid w:val="00624946"/>
    <w:rsid w:val="00624CCF"/>
    <w:rsid w:val="00624EBF"/>
    <w:rsid w:val="00624F86"/>
    <w:rsid w:val="00624FDC"/>
    <w:rsid w:val="00625937"/>
    <w:rsid w:val="00625C9B"/>
    <w:rsid w:val="00625E4E"/>
    <w:rsid w:val="006260EB"/>
    <w:rsid w:val="00626341"/>
    <w:rsid w:val="00626479"/>
    <w:rsid w:val="00626698"/>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8CE"/>
    <w:rsid w:val="00631994"/>
    <w:rsid w:val="006321BD"/>
    <w:rsid w:val="00632E5F"/>
    <w:rsid w:val="00633109"/>
    <w:rsid w:val="0063310B"/>
    <w:rsid w:val="0063361E"/>
    <w:rsid w:val="00633787"/>
    <w:rsid w:val="0063378C"/>
    <w:rsid w:val="0063387D"/>
    <w:rsid w:val="006339FE"/>
    <w:rsid w:val="006340AC"/>
    <w:rsid w:val="006343F5"/>
    <w:rsid w:val="006344CE"/>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ABF"/>
    <w:rsid w:val="00641B0F"/>
    <w:rsid w:val="00641E04"/>
    <w:rsid w:val="00642394"/>
    <w:rsid w:val="00643003"/>
    <w:rsid w:val="006431DC"/>
    <w:rsid w:val="00643A9F"/>
    <w:rsid w:val="00643B0A"/>
    <w:rsid w:val="00643B98"/>
    <w:rsid w:val="00643D8F"/>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5BF"/>
    <w:rsid w:val="0064692C"/>
    <w:rsid w:val="00646C94"/>
    <w:rsid w:val="00647005"/>
    <w:rsid w:val="0064740E"/>
    <w:rsid w:val="00647A5A"/>
    <w:rsid w:val="00647C08"/>
    <w:rsid w:val="00650160"/>
    <w:rsid w:val="0065029C"/>
    <w:rsid w:val="00650506"/>
    <w:rsid w:val="00650569"/>
    <w:rsid w:val="006509DA"/>
    <w:rsid w:val="00650CB3"/>
    <w:rsid w:val="0065110D"/>
    <w:rsid w:val="006511A3"/>
    <w:rsid w:val="00651744"/>
    <w:rsid w:val="0065189B"/>
    <w:rsid w:val="006520A9"/>
    <w:rsid w:val="00652147"/>
    <w:rsid w:val="0065338B"/>
    <w:rsid w:val="006535EF"/>
    <w:rsid w:val="0065360F"/>
    <w:rsid w:val="00653751"/>
    <w:rsid w:val="0065413C"/>
    <w:rsid w:val="006541F3"/>
    <w:rsid w:val="00654551"/>
    <w:rsid w:val="00654AF0"/>
    <w:rsid w:val="00654C78"/>
    <w:rsid w:val="00654D9C"/>
    <w:rsid w:val="00654EFC"/>
    <w:rsid w:val="00655C27"/>
    <w:rsid w:val="00655E08"/>
    <w:rsid w:val="00656463"/>
    <w:rsid w:val="00656468"/>
    <w:rsid w:val="00656577"/>
    <w:rsid w:val="006566CF"/>
    <w:rsid w:val="00656A23"/>
    <w:rsid w:val="00656C3B"/>
    <w:rsid w:val="00656D7C"/>
    <w:rsid w:val="00656E5D"/>
    <w:rsid w:val="00657261"/>
    <w:rsid w:val="00660172"/>
    <w:rsid w:val="00660CA7"/>
    <w:rsid w:val="00661138"/>
    <w:rsid w:val="006612A8"/>
    <w:rsid w:val="006617EA"/>
    <w:rsid w:val="00661CD7"/>
    <w:rsid w:val="00661F60"/>
    <w:rsid w:val="00662B44"/>
    <w:rsid w:val="00662F63"/>
    <w:rsid w:val="0066306E"/>
    <w:rsid w:val="00663489"/>
    <w:rsid w:val="00663499"/>
    <w:rsid w:val="00664062"/>
    <w:rsid w:val="006640BC"/>
    <w:rsid w:val="006644F0"/>
    <w:rsid w:val="0066472E"/>
    <w:rsid w:val="0066479B"/>
    <w:rsid w:val="006648C5"/>
    <w:rsid w:val="00664B69"/>
    <w:rsid w:val="00664CFF"/>
    <w:rsid w:val="00665085"/>
    <w:rsid w:val="006650A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BF0"/>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76B"/>
    <w:rsid w:val="00674820"/>
    <w:rsid w:val="00675071"/>
    <w:rsid w:val="006751CA"/>
    <w:rsid w:val="00675274"/>
    <w:rsid w:val="00675448"/>
    <w:rsid w:val="006755DE"/>
    <w:rsid w:val="006757E9"/>
    <w:rsid w:val="00675A21"/>
    <w:rsid w:val="00675BDA"/>
    <w:rsid w:val="00675E15"/>
    <w:rsid w:val="00675FE0"/>
    <w:rsid w:val="00676283"/>
    <w:rsid w:val="00676302"/>
    <w:rsid w:val="0067631B"/>
    <w:rsid w:val="00676345"/>
    <w:rsid w:val="0067638B"/>
    <w:rsid w:val="00676471"/>
    <w:rsid w:val="0067656A"/>
    <w:rsid w:val="006766D1"/>
    <w:rsid w:val="0067684E"/>
    <w:rsid w:val="0067688E"/>
    <w:rsid w:val="006772DD"/>
    <w:rsid w:val="00677540"/>
    <w:rsid w:val="00677928"/>
    <w:rsid w:val="006779F7"/>
    <w:rsid w:val="00677C49"/>
    <w:rsid w:val="00677D97"/>
    <w:rsid w:val="00677EB1"/>
    <w:rsid w:val="0068002F"/>
    <w:rsid w:val="0068079F"/>
    <w:rsid w:val="00680CC1"/>
    <w:rsid w:val="00680CFD"/>
    <w:rsid w:val="00680D1A"/>
    <w:rsid w:val="00681105"/>
    <w:rsid w:val="006813FD"/>
    <w:rsid w:val="00681410"/>
    <w:rsid w:val="00681620"/>
    <w:rsid w:val="00681639"/>
    <w:rsid w:val="00681714"/>
    <w:rsid w:val="00681BF1"/>
    <w:rsid w:val="00681C35"/>
    <w:rsid w:val="00681EBF"/>
    <w:rsid w:val="00682886"/>
    <w:rsid w:val="00682B81"/>
    <w:rsid w:val="00682B89"/>
    <w:rsid w:val="00682C89"/>
    <w:rsid w:val="00682D28"/>
    <w:rsid w:val="00682DBC"/>
    <w:rsid w:val="006830FF"/>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838"/>
    <w:rsid w:val="00685AB9"/>
    <w:rsid w:val="0068637F"/>
    <w:rsid w:val="0068643A"/>
    <w:rsid w:val="006865A8"/>
    <w:rsid w:val="006867C5"/>
    <w:rsid w:val="0068689A"/>
    <w:rsid w:val="006872CF"/>
    <w:rsid w:val="00687419"/>
    <w:rsid w:val="006874AB"/>
    <w:rsid w:val="00687921"/>
    <w:rsid w:val="00687C02"/>
    <w:rsid w:val="00687F75"/>
    <w:rsid w:val="00690198"/>
    <w:rsid w:val="006901B5"/>
    <w:rsid w:val="0069020F"/>
    <w:rsid w:val="0069033C"/>
    <w:rsid w:val="00690426"/>
    <w:rsid w:val="00690DA0"/>
    <w:rsid w:val="00691529"/>
    <w:rsid w:val="0069154C"/>
    <w:rsid w:val="006916AE"/>
    <w:rsid w:val="0069184A"/>
    <w:rsid w:val="006918C6"/>
    <w:rsid w:val="00691C5D"/>
    <w:rsid w:val="006924EF"/>
    <w:rsid w:val="006927F1"/>
    <w:rsid w:val="00692925"/>
    <w:rsid w:val="00692AAD"/>
    <w:rsid w:val="00692AEE"/>
    <w:rsid w:val="0069316E"/>
    <w:rsid w:val="00693451"/>
    <w:rsid w:val="00693760"/>
    <w:rsid w:val="0069381D"/>
    <w:rsid w:val="006938D9"/>
    <w:rsid w:val="00693A48"/>
    <w:rsid w:val="00693A8F"/>
    <w:rsid w:val="00693F9D"/>
    <w:rsid w:val="00694218"/>
    <w:rsid w:val="00694551"/>
    <w:rsid w:val="006945D1"/>
    <w:rsid w:val="00694A36"/>
    <w:rsid w:val="00694CD4"/>
    <w:rsid w:val="00694CFA"/>
    <w:rsid w:val="00695CD6"/>
    <w:rsid w:val="00695E40"/>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67"/>
    <w:rsid w:val="006A243E"/>
    <w:rsid w:val="006A28F8"/>
    <w:rsid w:val="006A307C"/>
    <w:rsid w:val="006A31D1"/>
    <w:rsid w:val="006A3201"/>
    <w:rsid w:val="006A3C19"/>
    <w:rsid w:val="006A3C50"/>
    <w:rsid w:val="006A3E9E"/>
    <w:rsid w:val="006A41D4"/>
    <w:rsid w:val="006A42D2"/>
    <w:rsid w:val="006A43F5"/>
    <w:rsid w:val="006A4757"/>
    <w:rsid w:val="006A4784"/>
    <w:rsid w:val="006A4F73"/>
    <w:rsid w:val="006A581E"/>
    <w:rsid w:val="006A5A1D"/>
    <w:rsid w:val="006A5B01"/>
    <w:rsid w:val="006A5B25"/>
    <w:rsid w:val="006A5B6D"/>
    <w:rsid w:val="006A5F4E"/>
    <w:rsid w:val="006A6255"/>
    <w:rsid w:val="006A63CC"/>
    <w:rsid w:val="006A69B2"/>
    <w:rsid w:val="006A70FE"/>
    <w:rsid w:val="006A75C2"/>
    <w:rsid w:val="006A7DB9"/>
    <w:rsid w:val="006A7F7B"/>
    <w:rsid w:val="006A7F7F"/>
    <w:rsid w:val="006B0072"/>
    <w:rsid w:val="006B017F"/>
    <w:rsid w:val="006B094F"/>
    <w:rsid w:val="006B0D0C"/>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4072"/>
    <w:rsid w:val="006B46AE"/>
    <w:rsid w:val="006B4E61"/>
    <w:rsid w:val="006B4E87"/>
    <w:rsid w:val="006B5172"/>
    <w:rsid w:val="006B5373"/>
    <w:rsid w:val="006B57AD"/>
    <w:rsid w:val="006B5ABE"/>
    <w:rsid w:val="006B5CFC"/>
    <w:rsid w:val="006B5F0B"/>
    <w:rsid w:val="006B6202"/>
    <w:rsid w:val="006B621B"/>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787"/>
    <w:rsid w:val="006C1BF1"/>
    <w:rsid w:val="006C1C08"/>
    <w:rsid w:val="006C1FAB"/>
    <w:rsid w:val="006C2066"/>
    <w:rsid w:val="006C2530"/>
    <w:rsid w:val="006C2B82"/>
    <w:rsid w:val="006C2BAB"/>
    <w:rsid w:val="006C2CB3"/>
    <w:rsid w:val="006C31BC"/>
    <w:rsid w:val="006C37CA"/>
    <w:rsid w:val="006C3BD7"/>
    <w:rsid w:val="006C3CDA"/>
    <w:rsid w:val="006C3CED"/>
    <w:rsid w:val="006C3E9E"/>
    <w:rsid w:val="006C3ED0"/>
    <w:rsid w:val="006C4AB2"/>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D0006"/>
    <w:rsid w:val="006D00A1"/>
    <w:rsid w:val="006D0164"/>
    <w:rsid w:val="006D068A"/>
    <w:rsid w:val="006D0A96"/>
    <w:rsid w:val="006D0A9D"/>
    <w:rsid w:val="006D0B22"/>
    <w:rsid w:val="006D0B79"/>
    <w:rsid w:val="006D101A"/>
    <w:rsid w:val="006D10D5"/>
    <w:rsid w:val="006D1303"/>
    <w:rsid w:val="006D1371"/>
    <w:rsid w:val="006D1571"/>
    <w:rsid w:val="006D1718"/>
    <w:rsid w:val="006D1FCC"/>
    <w:rsid w:val="006D2187"/>
    <w:rsid w:val="006D23DF"/>
    <w:rsid w:val="006D290B"/>
    <w:rsid w:val="006D2E40"/>
    <w:rsid w:val="006D2F1A"/>
    <w:rsid w:val="006D2F2F"/>
    <w:rsid w:val="006D2FCA"/>
    <w:rsid w:val="006D36D6"/>
    <w:rsid w:val="006D382C"/>
    <w:rsid w:val="006D3B8F"/>
    <w:rsid w:val="006D3F61"/>
    <w:rsid w:val="006D3F7D"/>
    <w:rsid w:val="006D41DD"/>
    <w:rsid w:val="006D4536"/>
    <w:rsid w:val="006D46C4"/>
    <w:rsid w:val="006D4908"/>
    <w:rsid w:val="006D4916"/>
    <w:rsid w:val="006D4BFC"/>
    <w:rsid w:val="006D4D88"/>
    <w:rsid w:val="006D5188"/>
    <w:rsid w:val="006D5591"/>
    <w:rsid w:val="006D57CE"/>
    <w:rsid w:val="006D57F3"/>
    <w:rsid w:val="006D5CBC"/>
    <w:rsid w:val="006D5F68"/>
    <w:rsid w:val="006D6276"/>
    <w:rsid w:val="006D6599"/>
    <w:rsid w:val="006D66BF"/>
    <w:rsid w:val="006D66F0"/>
    <w:rsid w:val="006D71FA"/>
    <w:rsid w:val="006D7299"/>
    <w:rsid w:val="006D73DA"/>
    <w:rsid w:val="006D73DC"/>
    <w:rsid w:val="006D75D2"/>
    <w:rsid w:val="006D7945"/>
    <w:rsid w:val="006E04BC"/>
    <w:rsid w:val="006E0AA6"/>
    <w:rsid w:val="006E0C96"/>
    <w:rsid w:val="006E1C7F"/>
    <w:rsid w:val="006E1E58"/>
    <w:rsid w:val="006E201B"/>
    <w:rsid w:val="006E22B0"/>
    <w:rsid w:val="006E23E8"/>
    <w:rsid w:val="006E24F4"/>
    <w:rsid w:val="006E24F6"/>
    <w:rsid w:val="006E2559"/>
    <w:rsid w:val="006E2DCE"/>
    <w:rsid w:val="006E2EC2"/>
    <w:rsid w:val="006E2F04"/>
    <w:rsid w:val="006E3141"/>
    <w:rsid w:val="006E31BC"/>
    <w:rsid w:val="006E3BF5"/>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2C7"/>
    <w:rsid w:val="006E537C"/>
    <w:rsid w:val="006E5667"/>
    <w:rsid w:val="006E5CD2"/>
    <w:rsid w:val="006E5F14"/>
    <w:rsid w:val="006E5FA4"/>
    <w:rsid w:val="006E6060"/>
    <w:rsid w:val="006E618A"/>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B61"/>
    <w:rsid w:val="006F0CC9"/>
    <w:rsid w:val="006F0E6D"/>
    <w:rsid w:val="006F1559"/>
    <w:rsid w:val="006F166C"/>
    <w:rsid w:val="006F1DCA"/>
    <w:rsid w:val="006F20D0"/>
    <w:rsid w:val="006F2159"/>
    <w:rsid w:val="006F23DB"/>
    <w:rsid w:val="006F247F"/>
    <w:rsid w:val="006F295A"/>
    <w:rsid w:val="006F2B54"/>
    <w:rsid w:val="006F2B84"/>
    <w:rsid w:val="006F2CA1"/>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F9E"/>
    <w:rsid w:val="00700FD1"/>
    <w:rsid w:val="00701623"/>
    <w:rsid w:val="00701705"/>
    <w:rsid w:val="00701D85"/>
    <w:rsid w:val="00701E48"/>
    <w:rsid w:val="00701FD4"/>
    <w:rsid w:val="00702047"/>
    <w:rsid w:val="00702248"/>
    <w:rsid w:val="007024F4"/>
    <w:rsid w:val="00702872"/>
    <w:rsid w:val="007028A5"/>
    <w:rsid w:val="00702C48"/>
    <w:rsid w:val="00702C49"/>
    <w:rsid w:val="00702EBC"/>
    <w:rsid w:val="00702FA5"/>
    <w:rsid w:val="007032C0"/>
    <w:rsid w:val="007035AA"/>
    <w:rsid w:val="007036F9"/>
    <w:rsid w:val="00703891"/>
    <w:rsid w:val="007042BD"/>
    <w:rsid w:val="0070443F"/>
    <w:rsid w:val="007045CD"/>
    <w:rsid w:val="00704938"/>
    <w:rsid w:val="00704A3D"/>
    <w:rsid w:val="00704AD6"/>
    <w:rsid w:val="007054B1"/>
    <w:rsid w:val="00705576"/>
    <w:rsid w:val="00705676"/>
    <w:rsid w:val="007058B7"/>
    <w:rsid w:val="00705C0A"/>
    <w:rsid w:val="00705ED7"/>
    <w:rsid w:val="007060E4"/>
    <w:rsid w:val="00706159"/>
    <w:rsid w:val="00706977"/>
    <w:rsid w:val="00706984"/>
    <w:rsid w:val="00706BA4"/>
    <w:rsid w:val="00706DC6"/>
    <w:rsid w:val="007073FC"/>
    <w:rsid w:val="00707511"/>
    <w:rsid w:val="007076E9"/>
    <w:rsid w:val="0070779B"/>
    <w:rsid w:val="00707826"/>
    <w:rsid w:val="007079F4"/>
    <w:rsid w:val="0071001A"/>
    <w:rsid w:val="00710104"/>
    <w:rsid w:val="0071026F"/>
    <w:rsid w:val="007102F9"/>
    <w:rsid w:val="0071031C"/>
    <w:rsid w:val="007106E3"/>
    <w:rsid w:val="00710BBE"/>
    <w:rsid w:val="00710E7F"/>
    <w:rsid w:val="007113D2"/>
    <w:rsid w:val="007114E5"/>
    <w:rsid w:val="00711873"/>
    <w:rsid w:val="00711C3A"/>
    <w:rsid w:val="00711DBE"/>
    <w:rsid w:val="007120E0"/>
    <w:rsid w:val="00712477"/>
    <w:rsid w:val="00712C17"/>
    <w:rsid w:val="007132AA"/>
    <w:rsid w:val="007138FB"/>
    <w:rsid w:val="00713E02"/>
    <w:rsid w:val="007141D1"/>
    <w:rsid w:val="00714406"/>
    <w:rsid w:val="0071505E"/>
    <w:rsid w:val="00715363"/>
    <w:rsid w:val="00715507"/>
    <w:rsid w:val="007159BC"/>
    <w:rsid w:val="00715A0F"/>
    <w:rsid w:val="00715B02"/>
    <w:rsid w:val="00715C89"/>
    <w:rsid w:val="00716265"/>
    <w:rsid w:val="007169EB"/>
    <w:rsid w:val="00717406"/>
    <w:rsid w:val="0071764A"/>
    <w:rsid w:val="007176C8"/>
    <w:rsid w:val="00717B48"/>
    <w:rsid w:val="00717ECA"/>
    <w:rsid w:val="00717F19"/>
    <w:rsid w:val="007200FB"/>
    <w:rsid w:val="00720443"/>
    <w:rsid w:val="00720D0C"/>
    <w:rsid w:val="00720D3A"/>
    <w:rsid w:val="00721188"/>
    <w:rsid w:val="0072147F"/>
    <w:rsid w:val="00721502"/>
    <w:rsid w:val="00721852"/>
    <w:rsid w:val="00721907"/>
    <w:rsid w:val="007221E3"/>
    <w:rsid w:val="00722280"/>
    <w:rsid w:val="007223A2"/>
    <w:rsid w:val="0072250E"/>
    <w:rsid w:val="007225B3"/>
    <w:rsid w:val="007227EA"/>
    <w:rsid w:val="007228D2"/>
    <w:rsid w:val="007228EB"/>
    <w:rsid w:val="007231E2"/>
    <w:rsid w:val="00723495"/>
    <w:rsid w:val="00723793"/>
    <w:rsid w:val="007237C4"/>
    <w:rsid w:val="007238EE"/>
    <w:rsid w:val="00723D24"/>
    <w:rsid w:val="00723EB0"/>
    <w:rsid w:val="007258EC"/>
    <w:rsid w:val="007259FF"/>
    <w:rsid w:val="00725AC8"/>
    <w:rsid w:val="00726172"/>
    <w:rsid w:val="007263AC"/>
    <w:rsid w:val="00726457"/>
    <w:rsid w:val="0072660A"/>
    <w:rsid w:val="0072669E"/>
    <w:rsid w:val="00726CED"/>
    <w:rsid w:val="00727155"/>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71D"/>
    <w:rsid w:val="0073255D"/>
    <w:rsid w:val="00732B8E"/>
    <w:rsid w:val="00732E94"/>
    <w:rsid w:val="00733668"/>
    <w:rsid w:val="00733E96"/>
    <w:rsid w:val="00734380"/>
    <w:rsid w:val="007343FF"/>
    <w:rsid w:val="00734635"/>
    <w:rsid w:val="00734872"/>
    <w:rsid w:val="00734AFF"/>
    <w:rsid w:val="00734D5F"/>
    <w:rsid w:val="00734DEE"/>
    <w:rsid w:val="00734E57"/>
    <w:rsid w:val="0073547E"/>
    <w:rsid w:val="007357D7"/>
    <w:rsid w:val="00736135"/>
    <w:rsid w:val="00736313"/>
    <w:rsid w:val="00736694"/>
    <w:rsid w:val="00736758"/>
    <w:rsid w:val="00736D90"/>
    <w:rsid w:val="00737020"/>
    <w:rsid w:val="00737463"/>
    <w:rsid w:val="007375AF"/>
    <w:rsid w:val="007375FF"/>
    <w:rsid w:val="0073774D"/>
    <w:rsid w:val="0073779A"/>
    <w:rsid w:val="007378C7"/>
    <w:rsid w:val="00737A62"/>
    <w:rsid w:val="00740461"/>
    <w:rsid w:val="007404D1"/>
    <w:rsid w:val="00740B03"/>
    <w:rsid w:val="00740C77"/>
    <w:rsid w:val="00740FA4"/>
    <w:rsid w:val="0074103E"/>
    <w:rsid w:val="0074130F"/>
    <w:rsid w:val="0074145B"/>
    <w:rsid w:val="007417C7"/>
    <w:rsid w:val="00741960"/>
    <w:rsid w:val="00741CBD"/>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B11"/>
    <w:rsid w:val="00747F2E"/>
    <w:rsid w:val="007506C7"/>
    <w:rsid w:val="007507A8"/>
    <w:rsid w:val="00750C15"/>
    <w:rsid w:val="0075113B"/>
    <w:rsid w:val="0075162C"/>
    <w:rsid w:val="00751792"/>
    <w:rsid w:val="007519A8"/>
    <w:rsid w:val="00751B4D"/>
    <w:rsid w:val="00751FD7"/>
    <w:rsid w:val="00752335"/>
    <w:rsid w:val="0075254B"/>
    <w:rsid w:val="00752668"/>
    <w:rsid w:val="00752844"/>
    <w:rsid w:val="00752AF3"/>
    <w:rsid w:val="00752BC5"/>
    <w:rsid w:val="00752F9E"/>
    <w:rsid w:val="00753060"/>
    <w:rsid w:val="00753242"/>
    <w:rsid w:val="00753720"/>
    <w:rsid w:val="00753747"/>
    <w:rsid w:val="007538FE"/>
    <w:rsid w:val="00753BA0"/>
    <w:rsid w:val="00753EBA"/>
    <w:rsid w:val="00754221"/>
    <w:rsid w:val="007544C7"/>
    <w:rsid w:val="00754892"/>
    <w:rsid w:val="00754AAB"/>
    <w:rsid w:val="00754D2C"/>
    <w:rsid w:val="00754F0F"/>
    <w:rsid w:val="00755609"/>
    <w:rsid w:val="00755898"/>
    <w:rsid w:val="00755D77"/>
    <w:rsid w:val="00755F65"/>
    <w:rsid w:val="0075622C"/>
    <w:rsid w:val="00757B5A"/>
    <w:rsid w:val="00757DC8"/>
    <w:rsid w:val="00757E07"/>
    <w:rsid w:val="0076022D"/>
    <w:rsid w:val="0076028F"/>
    <w:rsid w:val="00760C05"/>
    <w:rsid w:val="00760E58"/>
    <w:rsid w:val="00760ED2"/>
    <w:rsid w:val="007613A3"/>
    <w:rsid w:val="007618A4"/>
    <w:rsid w:val="00761A37"/>
    <w:rsid w:val="00761B6A"/>
    <w:rsid w:val="00761CFB"/>
    <w:rsid w:val="00761DDC"/>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FF8"/>
    <w:rsid w:val="00766040"/>
    <w:rsid w:val="00766797"/>
    <w:rsid w:val="00766DAC"/>
    <w:rsid w:val="00766FE6"/>
    <w:rsid w:val="00767282"/>
    <w:rsid w:val="007674AE"/>
    <w:rsid w:val="00767A2A"/>
    <w:rsid w:val="00767DDB"/>
    <w:rsid w:val="00770106"/>
    <w:rsid w:val="00770178"/>
    <w:rsid w:val="0077045B"/>
    <w:rsid w:val="007705D8"/>
    <w:rsid w:val="00770669"/>
    <w:rsid w:val="00770AAC"/>
    <w:rsid w:val="00770DA8"/>
    <w:rsid w:val="00770EB0"/>
    <w:rsid w:val="00771455"/>
    <w:rsid w:val="00771792"/>
    <w:rsid w:val="00771965"/>
    <w:rsid w:val="00772070"/>
    <w:rsid w:val="0077289D"/>
    <w:rsid w:val="00772A80"/>
    <w:rsid w:val="00772C33"/>
    <w:rsid w:val="00772E28"/>
    <w:rsid w:val="00773122"/>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B36"/>
    <w:rsid w:val="00775CC6"/>
    <w:rsid w:val="00775E3A"/>
    <w:rsid w:val="00775F10"/>
    <w:rsid w:val="00775F7F"/>
    <w:rsid w:val="00775FE2"/>
    <w:rsid w:val="007765E0"/>
    <w:rsid w:val="00776BC3"/>
    <w:rsid w:val="00776BF4"/>
    <w:rsid w:val="00776EA5"/>
    <w:rsid w:val="00777019"/>
    <w:rsid w:val="0077720B"/>
    <w:rsid w:val="007774D1"/>
    <w:rsid w:val="007777C8"/>
    <w:rsid w:val="00777A7D"/>
    <w:rsid w:val="00777D65"/>
    <w:rsid w:val="00777EF5"/>
    <w:rsid w:val="0078000D"/>
    <w:rsid w:val="0078005C"/>
    <w:rsid w:val="007801B2"/>
    <w:rsid w:val="0078048B"/>
    <w:rsid w:val="00780492"/>
    <w:rsid w:val="007805AE"/>
    <w:rsid w:val="00780DDB"/>
    <w:rsid w:val="00780EE0"/>
    <w:rsid w:val="00780F67"/>
    <w:rsid w:val="00781788"/>
    <w:rsid w:val="00781801"/>
    <w:rsid w:val="00781A00"/>
    <w:rsid w:val="00781D79"/>
    <w:rsid w:val="00782111"/>
    <w:rsid w:val="00782429"/>
    <w:rsid w:val="007829E9"/>
    <w:rsid w:val="00782BB3"/>
    <w:rsid w:val="0078350B"/>
    <w:rsid w:val="007835F9"/>
    <w:rsid w:val="007836D9"/>
    <w:rsid w:val="00783769"/>
    <w:rsid w:val="00783FAE"/>
    <w:rsid w:val="00783FB5"/>
    <w:rsid w:val="007840B5"/>
    <w:rsid w:val="007847EE"/>
    <w:rsid w:val="00784868"/>
    <w:rsid w:val="00784944"/>
    <w:rsid w:val="00784B4D"/>
    <w:rsid w:val="00784C96"/>
    <w:rsid w:val="007851FB"/>
    <w:rsid w:val="007852D2"/>
    <w:rsid w:val="00785576"/>
    <w:rsid w:val="007855C8"/>
    <w:rsid w:val="00785C74"/>
    <w:rsid w:val="00785E5C"/>
    <w:rsid w:val="00786526"/>
    <w:rsid w:val="00786E54"/>
    <w:rsid w:val="00786EA4"/>
    <w:rsid w:val="00786EEA"/>
    <w:rsid w:val="007875B3"/>
    <w:rsid w:val="007877C8"/>
    <w:rsid w:val="0078788D"/>
    <w:rsid w:val="00787D00"/>
    <w:rsid w:val="007907AC"/>
    <w:rsid w:val="00790C97"/>
    <w:rsid w:val="00790E40"/>
    <w:rsid w:val="00790F91"/>
    <w:rsid w:val="00791417"/>
    <w:rsid w:val="0079268D"/>
    <w:rsid w:val="0079279E"/>
    <w:rsid w:val="007927BE"/>
    <w:rsid w:val="0079293D"/>
    <w:rsid w:val="00792A8D"/>
    <w:rsid w:val="00792B9B"/>
    <w:rsid w:val="00792EA4"/>
    <w:rsid w:val="00793A05"/>
    <w:rsid w:val="00793A98"/>
    <w:rsid w:val="0079404D"/>
    <w:rsid w:val="00794084"/>
    <w:rsid w:val="007940DE"/>
    <w:rsid w:val="007946A5"/>
    <w:rsid w:val="00794E2C"/>
    <w:rsid w:val="007955E1"/>
    <w:rsid w:val="007958ED"/>
    <w:rsid w:val="00795925"/>
    <w:rsid w:val="00795A3D"/>
    <w:rsid w:val="00795DDF"/>
    <w:rsid w:val="00795E32"/>
    <w:rsid w:val="00795F02"/>
    <w:rsid w:val="00795F3D"/>
    <w:rsid w:val="0079693D"/>
    <w:rsid w:val="00796A81"/>
    <w:rsid w:val="00797354"/>
    <w:rsid w:val="00797728"/>
    <w:rsid w:val="00797C0E"/>
    <w:rsid w:val="007A0192"/>
    <w:rsid w:val="007A0425"/>
    <w:rsid w:val="007A0624"/>
    <w:rsid w:val="007A0A56"/>
    <w:rsid w:val="007A0A5D"/>
    <w:rsid w:val="007A0A81"/>
    <w:rsid w:val="007A0B21"/>
    <w:rsid w:val="007A0CBD"/>
    <w:rsid w:val="007A0FDA"/>
    <w:rsid w:val="007A11E7"/>
    <w:rsid w:val="007A16E7"/>
    <w:rsid w:val="007A185D"/>
    <w:rsid w:val="007A1B8E"/>
    <w:rsid w:val="007A1BBD"/>
    <w:rsid w:val="007A1CD7"/>
    <w:rsid w:val="007A23C1"/>
    <w:rsid w:val="007A31E1"/>
    <w:rsid w:val="007A361E"/>
    <w:rsid w:val="007A3A7A"/>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49"/>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54"/>
    <w:rsid w:val="007B20FA"/>
    <w:rsid w:val="007B21D7"/>
    <w:rsid w:val="007B23AB"/>
    <w:rsid w:val="007B23BF"/>
    <w:rsid w:val="007B25F8"/>
    <w:rsid w:val="007B26C7"/>
    <w:rsid w:val="007B26EF"/>
    <w:rsid w:val="007B270E"/>
    <w:rsid w:val="007B2A20"/>
    <w:rsid w:val="007B2F7E"/>
    <w:rsid w:val="007B30B3"/>
    <w:rsid w:val="007B3304"/>
    <w:rsid w:val="007B3A32"/>
    <w:rsid w:val="007B3CD9"/>
    <w:rsid w:val="007B424B"/>
    <w:rsid w:val="007B46B8"/>
    <w:rsid w:val="007B48B3"/>
    <w:rsid w:val="007B4F9A"/>
    <w:rsid w:val="007B5283"/>
    <w:rsid w:val="007B573B"/>
    <w:rsid w:val="007B5812"/>
    <w:rsid w:val="007B5DF1"/>
    <w:rsid w:val="007B5F0F"/>
    <w:rsid w:val="007B5FCF"/>
    <w:rsid w:val="007B6173"/>
    <w:rsid w:val="007B63BD"/>
    <w:rsid w:val="007B6405"/>
    <w:rsid w:val="007B6524"/>
    <w:rsid w:val="007B65DB"/>
    <w:rsid w:val="007B695D"/>
    <w:rsid w:val="007B6FAE"/>
    <w:rsid w:val="007B72D7"/>
    <w:rsid w:val="007B737E"/>
    <w:rsid w:val="007B78C7"/>
    <w:rsid w:val="007C00D2"/>
    <w:rsid w:val="007C035D"/>
    <w:rsid w:val="007C05FD"/>
    <w:rsid w:val="007C06A4"/>
    <w:rsid w:val="007C09DF"/>
    <w:rsid w:val="007C0CBE"/>
    <w:rsid w:val="007C0F39"/>
    <w:rsid w:val="007C10B6"/>
    <w:rsid w:val="007C15E3"/>
    <w:rsid w:val="007C1A47"/>
    <w:rsid w:val="007C1B18"/>
    <w:rsid w:val="007C23C4"/>
    <w:rsid w:val="007C248E"/>
    <w:rsid w:val="007C25F1"/>
    <w:rsid w:val="007C2639"/>
    <w:rsid w:val="007C2A38"/>
    <w:rsid w:val="007C2D67"/>
    <w:rsid w:val="007C3198"/>
    <w:rsid w:val="007C3328"/>
    <w:rsid w:val="007C3377"/>
    <w:rsid w:val="007C3653"/>
    <w:rsid w:val="007C372B"/>
    <w:rsid w:val="007C3772"/>
    <w:rsid w:val="007C38C9"/>
    <w:rsid w:val="007C38FF"/>
    <w:rsid w:val="007C3C93"/>
    <w:rsid w:val="007C3E38"/>
    <w:rsid w:val="007C41D8"/>
    <w:rsid w:val="007C42CA"/>
    <w:rsid w:val="007C4774"/>
    <w:rsid w:val="007C49D9"/>
    <w:rsid w:val="007C4B4F"/>
    <w:rsid w:val="007C4E05"/>
    <w:rsid w:val="007C51B2"/>
    <w:rsid w:val="007C54E3"/>
    <w:rsid w:val="007C5A18"/>
    <w:rsid w:val="007C5A4C"/>
    <w:rsid w:val="007C6439"/>
    <w:rsid w:val="007C6DE6"/>
    <w:rsid w:val="007C6F03"/>
    <w:rsid w:val="007C74A7"/>
    <w:rsid w:val="007C7968"/>
    <w:rsid w:val="007C79CC"/>
    <w:rsid w:val="007C7CA4"/>
    <w:rsid w:val="007C7F43"/>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584"/>
    <w:rsid w:val="007D3EB6"/>
    <w:rsid w:val="007D415F"/>
    <w:rsid w:val="007D49FF"/>
    <w:rsid w:val="007D4B41"/>
    <w:rsid w:val="007D4FD6"/>
    <w:rsid w:val="007D5C81"/>
    <w:rsid w:val="007D6253"/>
    <w:rsid w:val="007D634B"/>
    <w:rsid w:val="007D636D"/>
    <w:rsid w:val="007D660E"/>
    <w:rsid w:val="007D6662"/>
    <w:rsid w:val="007D6AEE"/>
    <w:rsid w:val="007D6AF4"/>
    <w:rsid w:val="007D6CDB"/>
    <w:rsid w:val="007D71D0"/>
    <w:rsid w:val="007D739E"/>
    <w:rsid w:val="007D74B8"/>
    <w:rsid w:val="007D75AE"/>
    <w:rsid w:val="007E0395"/>
    <w:rsid w:val="007E07A3"/>
    <w:rsid w:val="007E0B72"/>
    <w:rsid w:val="007E0CAA"/>
    <w:rsid w:val="007E0D36"/>
    <w:rsid w:val="007E1558"/>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B2A"/>
    <w:rsid w:val="007E3D29"/>
    <w:rsid w:val="007E3DC3"/>
    <w:rsid w:val="007E4053"/>
    <w:rsid w:val="007E46BC"/>
    <w:rsid w:val="007E4836"/>
    <w:rsid w:val="007E51CE"/>
    <w:rsid w:val="007E52BB"/>
    <w:rsid w:val="007E52BE"/>
    <w:rsid w:val="007E534F"/>
    <w:rsid w:val="007E5510"/>
    <w:rsid w:val="007E5D22"/>
    <w:rsid w:val="007E5DC4"/>
    <w:rsid w:val="007E6094"/>
    <w:rsid w:val="007E61F9"/>
    <w:rsid w:val="007E622B"/>
    <w:rsid w:val="007E64AA"/>
    <w:rsid w:val="007E64AB"/>
    <w:rsid w:val="007E66D5"/>
    <w:rsid w:val="007E67B3"/>
    <w:rsid w:val="007E67F9"/>
    <w:rsid w:val="007E68C7"/>
    <w:rsid w:val="007E6A66"/>
    <w:rsid w:val="007E6C0C"/>
    <w:rsid w:val="007E6F67"/>
    <w:rsid w:val="007E6FCF"/>
    <w:rsid w:val="007E6FDA"/>
    <w:rsid w:val="007E7105"/>
    <w:rsid w:val="007E7551"/>
    <w:rsid w:val="007E7786"/>
    <w:rsid w:val="007E7B29"/>
    <w:rsid w:val="007E7EEB"/>
    <w:rsid w:val="007F08FB"/>
    <w:rsid w:val="007F0E78"/>
    <w:rsid w:val="007F1301"/>
    <w:rsid w:val="007F140D"/>
    <w:rsid w:val="007F1587"/>
    <w:rsid w:val="007F1699"/>
    <w:rsid w:val="007F1710"/>
    <w:rsid w:val="007F20B5"/>
    <w:rsid w:val="007F21A3"/>
    <w:rsid w:val="007F22ED"/>
    <w:rsid w:val="007F26AF"/>
    <w:rsid w:val="007F2C63"/>
    <w:rsid w:val="007F2C69"/>
    <w:rsid w:val="007F2CE1"/>
    <w:rsid w:val="007F3177"/>
    <w:rsid w:val="007F335C"/>
    <w:rsid w:val="007F3960"/>
    <w:rsid w:val="007F39FA"/>
    <w:rsid w:val="007F3B11"/>
    <w:rsid w:val="007F3F24"/>
    <w:rsid w:val="007F43C5"/>
    <w:rsid w:val="007F44DA"/>
    <w:rsid w:val="007F45D8"/>
    <w:rsid w:val="007F4C92"/>
    <w:rsid w:val="007F5102"/>
    <w:rsid w:val="007F51D5"/>
    <w:rsid w:val="007F5825"/>
    <w:rsid w:val="007F5AD5"/>
    <w:rsid w:val="007F6071"/>
    <w:rsid w:val="007F662D"/>
    <w:rsid w:val="007F6B3C"/>
    <w:rsid w:val="007F72A3"/>
    <w:rsid w:val="007F74C7"/>
    <w:rsid w:val="007F74F7"/>
    <w:rsid w:val="007F7504"/>
    <w:rsid w:val="007F7760"/>
    <w:rsid w:val="007F787C"/>
    <w:rsid w:val="007F79EF"/>
    <w:rsid w:val="007F7E8B"/>
    <w:rsid w:val="00800079"/>
    <w:rsid w:val="00800759"/>
    <w:rsid w:val="008007DC"/>
    <w:rsid w:val="008009E5"/>
    <w:rsid w:val="00800A6E"/>
    <w:rsid w:val="00800BD6"/>
    <w:rsid w:val="00800C70"/>
    <w:rsid w:val="00800E2A"/>
    <w:rsid w:val="00800FFC"/>
    <w:rsid w:val="00801129"/>
    <w:rsid w:val="0080122B"/>
    <w:rsid w:val="0080134B"/>
    <w:rsid w:val="0080142D"/>
    <w:rsid w:val="0080189B"/>
    <w:rsid w:val="00801E71"/>
    <w:rsid w:val="008024AE"/>
    <w:rsid w:val="008025CB"/>
    <w:rsid w:val="00802E8A"/>
    <w:rsid w:val="00803660"/>
    <w:rsid w:val="008037F0"/>
    <w:rsid w:val="00803AEA"/>
    <w:rsid w:val="00803B1A"/>
    <w:rsid w:val="00803B5B"/>
    <w:rsid w:val="00803C09"/>
    <w:rsid w:val="00803FED"/>
    <w:rsid w:val="00804535"/>
    <w:rsid w:val="0080467C"/>
    <w:rsid w:val="008048D3"/>
    <w:rsid w:val="00804963"/>
    <w:rsid w:val="00804C9C"/>
    <w:rsid w:val="00804D36"/>
    <w:rsid w:val="008057B9"/>
    <w:rsid w:val="00805954"/>
    <w:rsid w:val="00805BF8"/>
    <w:rsid w:val="00805F1E"/>
    <w:rsid w:val="0080625A"/>
    <w:rsid w:val="00806800"/>
    <w:rsid w:val="00806EE8"/>
    <w:rsid w:val="0080719D"/>
    <w:rsid w:val="00807960"/>
    <w:rsid w:val="00807A2A"/>
    <w:rsid w:val="00807D95"/>
    <w:rsid w:val="00807E35"/>
    <w:rsid w:val="0081021E"/>
    <w:rsid w:val="00810449"/>
    <w:rsid w:val="00810544"/>
    <w:rsid w:val="008112C4"/>
    <w:rsid w:val="0081155E"/>
    <w:rsid w:val="00811596"/>
    <w:rsid w:val="00811873"/>
    <w:rsid w:val="00811922"/>
    <w:rsid w:val="00811D28"/>
    <w:rsid w:val="0081216A"/>
    <w:rsid w:val="008122CF"/>
    <w:rsid w:val="0081252D"/>
    <w:rsid w:val="00812874"/>
    <w:rsid w:val="00812A39"/>
    <w:rsid w:val="00812F11"/>
    <w:rsid w:val="008134CC"/>
    <w:rsid w:val="0081391B"/>
    <w:rsid w:val="00813DAC"/>
    <w:rsid w:val="00813E14"/>
    <w:rsid w:val="00814293"/>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7E1"/>
    <w:rsid w:val="0082130D"/>
    <w:rsid w:val="00821591"/>
    <w:rsid w:val="008215E3"/>
    <w:rsid w:val="00821732"/>
    <w:rsid w:val="008221A0"/>
    <w:rsid w:val="008223A7"/>
    <w:rsid w:val="008229DA"/>
    <w:rsid w:val="0082301B"/>
    <w:rsid w:val="008232AF"/>
    <w:rsid w:val="00823406"/>
    <w:rsid w:val="008238BB"/>
    <w:rsid w:val="00823BF2"/>
    <w:rsid w:val="0082422D"/>
    <w:rsid w:val="00824725"/>
    <w:rsid w:val="00824E11"/>
    <w:rsid w:val="00824E3E"/>
    <w:rsid w:val="008254F6"/>
    <w:rsid w:val="008255E5"/>
    <w:rsid w:val="0082587A"/>
    <w:rsid w:val="00825F7A"/>
    <w:rsid w:val="0082603B"/>
    <w:rsid w:val="008260B5"/>
    <w:rsid w:val="008266A4"/>
    <w:rsid w:val="00826D6B"/>
    <w:rsid w:val="008272A6"/>
    <w:rsid w:val="008272B8"/>
    <w:rsid w:val="008272CA"/>
    <w:rsid w:val="00827363"/>
    <w:rsid w:val="00827386"/>
    <w:rsid w:val="008300A1"/>
    <w:rsid w:val="0083010D"/>
    <w:rsid w:val="00830555"/>
    <w:rsid w:val="008308E3"/>
    <w:rsid w:val="00830AA1"/>
    <w:rsid w:val="00830F8A"/>
    <w:rsid w:val="00831163"/>
    <w:rsid w:val="008312CB"/>
    <w:rsid w:val="00831316"/>
    <w:rsid w:val="00831449"/>
    <w:rsid w:val="008315C3"/>
    <w:rsid w:val="00831E01"/>
    <w:rsid w:val="0083278E"/>
    <w:rsid w:val="008327CF"/>
    <w:rsid w:val="0083307F"/>
    <w:rsid w:val="008331BB"/>
    <w:rsid w:val="008331CD"/>
    <w:rsid w:val="00833467"/>
    <w:rsid w:val="00833522"/>
    <w:rsid w:val="00833C3B"/>
    <w:rsid w:val="00834028"/>
    <w:rsid w:val="0083405D"/>
    <w:rsid w:val="008343BF"/>
    <w:rsid w:val="00834438"/>
    <w:rsid w:val="00834693"/>
    <w:rsid w:val="008347EC"/>
    <w:rsid w:val="008348A2"/>
    <w:rsid w:val="00834A4E"/>
    <w:rsid w:val="0083506C"/>
    <w:rsid w:val="008358D3"/>
    <w:rsid w:val="008359F0"/>
    <w:rsid w:val="00835B12"/>
    <w:rsid w:val="00836515"/>
    <w:rsid w:val="008367D1"/>
    <w:rsid w:val="0083755A"/>
    <w:rsid w:val="008401B0"/>
    <w:rsid w:val="00840601"/>
    <w:rsid w:val="00840972"/>
    <w:rsid w:val="00840B93"/>
    <w:rsid w:val="00840C40"/>
    <w:rsid w:val="00840F18"/>
    <w:rsid w:val="008414BD"/>
    <w:rsid w:val="00841735"/>
    <w:rsid w:val="008418FE"/>
    <w:rsid w:val="00841A49"/>
    <w:rsid w:val="00841B89"/>
    <w:rsid w:val="0084237E"/>
    <w:rsid w:val="00842A33"/>
    <w:rsid w:val="00842D8C"/>
    <w:rsid w:val="0084337E"/>
    <w:rsid w:val="0084366A"/>
    <w:rsid w:val="00843670"/>
    <w:rsid w:val="0084399B"/>
    <w:rsid w:val="00843AAF"/>
    <w:rsid w:val="00843C36"/>
    <w:rsid w:val="00843F02"/>
    <w:rsid w:val="00844498"/>
    <w:rsid w:val="0084466C"/>
    <w:rsid w:val="00844D42"/>
    <w:rsid w:val="0084541D"/>
    <w:rsid w:val="00845540"/>
    <w:rsid w:val="00845995"/>
    <w:rsid w:val="00845999"/>
    <w:rsid w:val="00846414"/>
    <w:rsid w:val="008465B9"/>
    <w:rsid w:val="00846697"/>
    <w:rsid w:val="008467B2"/>
    <w:rsid w:val="008467BA"/>
    <w:rsid w:val="0084689B"/>
    <w:rsid w:val="00846D80"/>
    <w:rsid w:val="00846E28"/>
    <w:rsid w:val="00846EBB"/>
    <w:rsid w:val="008472DB"/>
    <w:rsid w:val="008476A0"/>
    <w:rsid w:val="008476B3"/>
    <w:rsid w:val="00847B9A"/>
    <w:rsid w:val="00847C7E"/>
    <w:rsid w:val="008500A3"/>
    <w:rsid w:val="008501AC"/>
    <w:rsid w:val="00850586"/>
    <w:rsid w:val="008507C9"/>
    <w:rsid w:val="008517AB"/>
    <w:rsid w:val="0085190D"/>
    <w:rsid w:val="00851952"/>
    <w:rsid w:val="00852288"/>
    <w:rsid w:val="008523CC"/>
    <w:rsid w:val="0085291F"/>
    <w:rsid w:val="00852A63"/>
    <w:rsid w:val="00852FF8"/>
    <w:rsid w:val="008532B6"/>
    <w:rsid w:val="008532E4"/>
    <w:rsid w:val="00853B52"/>
    <w:rsid w:val="00853CD3"/>
    <w:rsid w:val="00853D8D"/>
    <w:rsid w:val="00853DEA"/>
    <w:rsid w:val="00854453"/>
    <w:rsid w:val="008544CC"/>
    <w:rsid w:val="008544CE"/>
    <w:rsid w:val="008546C3"/>
    <w:rsid w:val="00854E28"/>
    <w:rsid w:val="0085554F"/>
    <w:rsid w:val="00855571"/>
    <w:rsid w:val="00855611"/>
    <w:rsid w:val="008558E4"/>
    <w:rsid w:val="00855A02"/>
    <w:rsid w:val="00855C05"/>
    <w:rsid w:val="00855C24"/>
    <w:rsid w:val="00855F5C"/>
    <w:rsid w:val="00855FF9"/>
    <w:rsid w:val="0085603D"/>
    <w:rsid w:val="008562A6"/>
    <w:rsid w:val="00856517"/>
    <w:rsid w:val="00856948"/>
    <w:rsid w:val="00856C52"/>
    <w:rsid w:val="00856D84"/>
    <w:rsid w:val="00857130"/>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D54"/>
    <w:rsid w:val="00863F91"/>
    <w:rsid w:val="008647BA"/>
    <w:rsid w:val="008647FB"/>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687"/>
    <w:rsid w:val="008709A1"/>
    <w:rsid w:val="00870CEC"/>
    <w:rsid w:val="00870E5E"/>
    <w:rsid w:val="00870E6D"/>
    <w:rsid w:val="00870FB7"/>
    <w:rsid w:val="0087231D"/>
    <w:rsid w:val="008728BD"/>
    <w:rsid w:val="008729F3"/>
    <w:rsid w:val="00872B2C"/>
    <w:rsid w:val="00872B32"/>
    <w:rsid w:val="00872C06"/>
    <w:rsid w:val="00872D89"/>
    <w:rsid w:val="00873522"/>
    <w:rsid w:val="0087378E"/>
    <w:rsid w:val="0087385E"/>
    <w:rsid w:val="00873C58"/>
    <w:rsid w:val="008742DB"/>
    <w:rsid w:val="0087432F"/>
    <w:rsid w:val="0087446A"/>
    <w:rsid w:val="00874731"/>
    <w:rsid w:val="00874A58"/>
    <w:rsid w:val="00874E23"/>
    <w:rsid w:val="00874E41"/>
    <w:rsid w:val="00874E63"/>
    <w:rsid w:val="0087500A"/>
    <w:rsid w:val="00875033"/>
    <w:rsid w:val="00875348"/>
    <w:rsid w:val="00875513"/>
    <w:rsid w:val="008758A4"/>
    <w:rsid w:val="008759BD"/>
    <w:rsid w:val="0087607F"/>
    <w:rsid w:val="00876479"/>
    <w:rsid w:val="00876530"/>
    <w:rsid w:val="0087680A"/>
    <w:rsid w:val="008769BA"/>
    <w:rsid w:val="008770B0"/>
    <w:rsid w:val="00877368"/>
    <w:rsid w:val="008775B0"/>
    <w:rsid w:val="00877611"/>
    <w:rsid w:val="0087777E"/>
    <w:rsid w:val="0087785C"/>
    <w:rsid w:val="00877B6F"/>
    <w:rsid w:val="00877E2C"/>
    <w:rsid w:val="00877EE1"/>
    <w:rsid w:val="0088022D"/>
    <w:rsid w:val="00880357"/>
    <w:rsid w:val="0088051B"/>
    <w:rsid w:val="00880623"/>
    <w:rsid w:val="0088069B"/>
    <w:rsid w:val="008806A6"/>
    <w:rsid w:val="008808DE"/>
    <w:rsid w:val="00880AD8"/>
    <w:rsid w:val="00881044"/>
    <w:rsid w:val="008812B8"/>
    <w:rsid w:val="008813DA"/>
    <w:rsid w:val="0088142D"/>
    <w:rsid w:val="00881435"/>
    <w:rsid w:val="00881440"/>
    <w:rsid w:val="00881B73"/>
    <w:rsid w:val="00881CD4"/>
    <w:rsid w:val="00883307"/>
    <w:rsid w:val="008834A1"/>
    <w:rsid w:val="0088381A"/>
    <w:rsid w:val="0088388C"/>
    <w:rsid w:val="008839D4"/>
    <w:rsid w:val="00883DB1"/>
    <w:rsid w:val="008841E6"/>
    <w:rsid w:val="00884497"/>
    <w:rsid w:val="00884662"/>
    <w:rsid w:val="008848C5"/>
    <w:rsid w:val="00884B1B"/>
    <w:rsid w:val="008850BB"/>
    <w:rsid w:val="0088543F"/>
    <w:rsid w:val="008854D0"/>
    <w:rsid w:val="00885EF2"/>
    <w:rsid w:val="008860AD"/>
    <w:rsid w:val="008863A5"/>
    <w:rsid w:val="00886A9A"/>
    <w:rsid w:val="00886B5A"/>
    <w:rsid w:val="00886B79"/>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B42"/>
    <w:rsid w:val="00891E89"/>
    <w:rsid w:val="00891F17"/>
    <w:rsid w:val="008920C4"/>
    <w:rsid w:val="008923AF"/>
    <w:rsid w:val="008924EC"/>
    <w:rsid w:val="0089262D"/>
    <w:rsid w:val="00892EA8"/>
    <w:rsid w:val="008933A8"/>
    <w:rsid w:val="0089390A"/>
    <w:rsid w:val="00893974"/>
    <w:rsid w:val="008939B3"/>
    <w:rsid w:val="00893B5F"/>
    <w:rsid w:val="00893CF8"/>
    <w:rsid w:val="00893E5B"/>
    <w:rsid w:val="00893EA0"/>
    <w:rsid w:val="008943DB"/>
    <w:rsid w:val="00894720"/>
    <w:rsid w:val="00894764"/>
    <w:rsid w:val="00894882"/>
    <w:rsid w:val="00894B4C"/>
    <w:rsid w:val="00894E29"/>
    <w:rsid w:val="008953C1"/>
    <w:rsid w:val="0089663F"/>
    <w:rsid w:val="00896767"/>
    <w:rsid w:val="00896D82"/>
    <w:rsid w:val="00896DDB"/>
    <w:rsid w:val="00896FA0"/>
    <w:rsid w:val="0089715C"/>
    <w:rsid w:val="008974C9"/>
    <w:rsid w:val="00897521"/>
    <w:rsid w:val="0089783C"/>
    <w:rsid w:val="00897A08"/>
    <w:rsid w:val="00897B95"/>
    <w:rsid w:val="00897E10"/>
    <w:rsid w:val="008A007E"/>
    <w:rsid w:val="008A1B72"/>
    <w:rsid w:val="008A1E79"/>
    <w:rsid w:val="008A28C9"/>
    <w:rsid w:val="008A2B98"/>
    <w:rsid w:val="008A2C0D"/>
    <w:rsid w:val="008A2E55"/>
    <w:rsid w:val="008A2F63"/>
    <w:rsid w:val="008A35EE"/>
    <w:rsid w:val="008A39BF"/>
    <w:rsid w:val="008A3A29"/>
    <w:rsid w:val="008A3DD2"/>
    <w:rsid w:val="008A3F93"/>
    <w:rsid w:val="008A40AC"/>
    <w:rsid w:val="008A50EF"/>
    <w:rsid w:val="008A5119"/>
    <w:rsid w:val="008A5371"/>
    <w:rsid w:val="008A547C"/>
    <w:rsid w:val="008A5716"/>
    <w:rsid w:val="008A57E4"/>
    <w:rsid w:val="008A67CE"/>
    <w:rsid w:val="008A6C09"/>
    <w:rsid w:val="008A6FC6"/>
    <w:rsid w:val="008A7005"/>
    <w:rsid w:val="008A7038"/>
    <w:rsid w:val="008A7054"/>
    <w:rsid w:val="008A72DB"/>
    <w:rsid w:val="008A73DC"/>
    <w:rsid w:val="008A779F"/>
    <w:rsid w:val="008A798B"/>
    <w:rsid w:val="008A7A1A"/>
    <w:rsid w:val="008B0203"/>
    <w:rsid w:val="008B0229"/>
    <w:rsid w:val="008B0AE6"/>
    <w:rsid w:val="008B172C"/>
    <w:rsid w:val="008B1950"/>
    <w:rsid w:val="008B1B1B"/>
    <w:rsid w:val="008B1B68"/>
    <w:rsid w:val="008B1C9E"/>
    <w:rsid w:val="008B1E03"/>
    <w:rsid w:val="008B1F9A"/>
    <w:rsid w:val="008B2408"/>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9D2"/>
    <w:rsid w:val="008B49D5"/>
    <w:rsid w:val="008B4B1D"/>
    <w:rsid w:val="008B4B21"/>
    <w:rsid w:val="008B4BFD"/>
    <w:rsid w:val="008B4C4A"/>
    <w:rsid w:val="008B50C9"/>
    <w:rsid w:val="008B5365"/>
    <w:rsid w:val="008B5927"/>
    <w:rsid w:val="008B59C0"/>
    <w:rsid w:val="008B5B91"/>
    <w:rsid w:val="008B62F7"/>
    <w:rsid w:val="008B65FB"/>
    <w:rsid w:val="008B685A"/>
    <w:rsid w:val="008B69C0"/>
    <w:rsid w:val="008B6A60"/>
    <w:rsid w:val="008B6BDB"/>
    <w:rsid w:val="008B6C81"/>
    <w:rsid w:val="008B6EC4"/>
    <w:rsid w:val="008B700B"/>
    <w:rsid w:val="008B7298"/>
    <w:rsid w:val="008B7347"/>
    <w:rsid w:val="008B7418"/>
    <w:rsid w:val="008B777A"/>
    <w:rsid w:val="008B79B9"/>
    <w:rsid w:val="008B7E47"/>
    <w:rsid w:val="008B7FBC"/>
    <w:rsid w:val="008C02B5"/>
    <w:rsid w:val="008C0563"/>
    <w:rsid w:val="008C0665"/>
    <w:rsid w:val="008C1365"/>
    <w:rsid w:val="008C140F"/>
    <w:rsid w:val="008C1420"/>
    <w:rsid w:val="008C14BC"/>
    <w:rsid w:val="008C1670"/>
    <w:rsid w:val="008C1696"/>
    <w:rsid w:val="008C1707"/>
    <w:rsid w:val="008C18F1"/>
    <w:rsid w:val="008C28C4"/>
    <w:rsid w:val="008C29CB"/>
    <w:rsid w:val="008C3383"/>
    <w:rsid w:val="008C360C"/>
    <w:rsid w:val="008C39D9"/>
    <w:rsid w:val="008C3A14"/>
    <w:rsid w:val="008C4724"/>
    <w:rsid w:val="008C4C9A"/>
    <w:rsid w:val="008C4CA5"/>
    <w:rsid w:val="008C4F08"/>
    <w:rsid w:val="008C53F1"/>
    <w:rsid w:val="008C59C9"/>
    <w:rsid w:val="008C5A33"/>
    <w:rsid w:val="008C5C82"/>
    <w:rsid w:val="008C640D"/>
    <w:rsid w:val="008C6691"/>
    <w:rsid w:val="008C6697"/>
    <w:rsid w:val="008C6782"/>
    <w:rsid w:val="008C68D5"/>
    <w:rsid w:val="008C6C72"/>
    <w:rsid w:val="008C6C8D"/>
    <w:rsid w:val="008C7392"/>
    <w:rsid w:val="008C7524"/>
    <w:rsid w:val="008C77E1"/>
    <w:rsid w:val="008C7C6B"/>
    <w:rsid w:val="008D0076"/>
    <w:rsid w:val="008D03E2"/>
    <w:rsid w:val="008D0627"/>
    <w:rsid w:val="008D06E1"/>
    <w:rsid w:val="008D0763"/>
    <w:rsid w:val="008D0B87"/>
    <w:rsid w:val="008D0D9B"/>
    <w:rsid w:val="008D12FB"/>
    <w:rsid w:val="008D15D1"/>
    <w:rsid w:val="008D1701"/>
    <w:rsid w:val="008D175E"/>
    <w:rsid w:val="008D1B66"/>
    <w:rsid w:val="008D1D17"/>
    <w:rsid w:val="008D201C"/>
    <w:rsid w:val="008D2B71"/>
    <w:rsid w:val="008D2DF3"/>
    <w:rsid w:val="008D2EEB"/>
    <w:rsid w:val="008D2F28"/>
    <w:rsid w:val="008D313C"/>
    <w:rsid w:val="008D35C7"/>
    <w:rsid w:val="008D3978"/>
    <w:rsid w:val="008D397F"/>
    <w:rsid w:val="008D407C"/>
    <w:rsid w:val="008D430E"/>
    <w:rsid w:val="008D4814"/>
    <w:rsid w:val="008D50B5"/>
    <w:rsid w:val="008D51A8"/>
    <w:rsid w:val="008D534A"/>
    <w:rsid w:val="008D5375"/>
    <w:rsid w:val="008D5B54"/>
    <w:rsid w:val="008D5FD2"/>
    <w:rsid w:val="008D635F"/>
    <w:rsid w:val="008D63AE"/>
    <w:rsid w:val="008D6552"/>
    <w:rsid w:val="008D6754"/>
    <w:rsid w:val="008D6952"/>
    <w:rsid w:val="008D6AEE"/>
    <w:rsid w:val="008D6D01"/>
    <w:rsid w:val="008D6E88"/>
    <w:rsid w:val="008D7788"/>
    <w:rsid w:val="008D7DDA"/>
    <w:rsid w:val="008E0147"/>
    <w:rsid w:val="008E03ED"/>
    <w:rsid w:val="008E057F"/>
    <w:rsid w:val="008E07F3"/>
    <w:rsid w:val="008E0B76"/>
    <w:rsid w:val="008E0E3E"/>
    <w:rsid w:val="008E12E2"/>
    <w:rsid w:val="008E14C8"/>
    <w:rsid w:val="008E16A7"/>
    <w:rsid w:val="008E1733"/>
    <w:rsid w:val="008E17AB"/>
    <w:rsid w:val="008E1A47"/>
    <w:rsid w:val="008E1FB2"/>
    <w:rsid w:val="008E20C2"/>
    <w:rsid w:val="008E26EB"/>
    <w:rsid w:val="008E2A39"/>
    <w:rsid w:val="008E2C87"/>
    <w:rsid w:val="008E2DE5"/>
    <w:rsid w:val="008E2F2A"/>
    <w:rsid w:val="008E3080"/>
    <w:rsid w:val="008E3098"/>
    <w:rsid w:val="008E3AC1"/>
    <w:rsid w:val="008E3FB6"/>
    <w:rsid w:val="008E4082"/>
    <w:rsid w:val="008E427C"/>
    <w:rsid w:val="008E4598"/>
    <w:rsid w:val="008E4622"/>
    <w:rsid w:val="008E463A"/>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B1F"/>
    <w:rsid w:val="008F2E5B"/>
    <w:rsid w:val="008F3435"/>
    <w:rsid w:val="008F36F4"/>
    <w:rsid w:val="008F3B84"/>
    <w:rsid w:val="008F3CF9"/>
    <w:rsid w:val="008F3F09"/>
    <w:rsid w:val="008F4496"/>
    <w:rsid w:val="008F477E"/>
    <w:rsid w:val="008F4B1F"/>
    <w:rsid w:val="008F4F59"/>
    <w:rsid w:val="008F5E47"/>
    <w:rsid w:val="008F61D3"/>
    <w:rsid w:val="008F65C2"/>
    <w:rsid w:val="008F6C2E"/>
    <w:rsid w:val="008F75EF"/>
    <w:rsid w:val="008F76C0"/>
    <w:rsid w:val="008F76CD"/>
    <w:rsid w:val="008F7713"/>
    <w:rsid w:val="008F77F2"/>
    <w:rsid w:val="008F7EA0"/>
    <w:rsid w:val="009002CE"/>
    <w:rsid w:val="0090122F"/>
    <w:rsid w:val="0090126B"/>
    <w:rsid w:val="00901333"/>
    <w:rsid w:val="00901960"/>
    <w:rsid w:val="00901BDA"/>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75"/>
    <w:rsid w:val="0090618E"/>
    <w:rsid w:val="00906733"/>
    <w:rsid w:val="00906D3C"/>
    <w:rsid w:val="00907615"/>
    <w:rsid w:val="00907F86"/>
    <w:rsid w:val="00910689"/>
    <w:rsid w:val="0091093B"/>
    <w:rsid w:val="009109DB"/>
    <w:rsid w:val="00910B0D"/>
    <w:rsid w:val="00910F28"/>
    <w:rsid w:val="0091112D"/>
    <w:rsid w:val="0091139D"/>
    <w:rsid w:val="0091173C"/>
    <w:rsid w:val="00911CFE"/>
    <w:rsid w:val="00911DA3"/>
    <w:rsid w:val="00911DCE"/>
    <w:rsid w:val="00911E41"/>
    <w:rsid w:val="00911E66"/>
    <w:rsid w:val="00912188"/>
    <w:rsid w:val="00912332"/>
    <w:rsid w:val="00912537"/>
    <w:rsid w:val="00912548"/>
    <w:rsid w:val="00912677"/>
    <w:rsid w:val="0091298B"/>
    <w:rsid w:val="00912BC1"/>
    <w:rsid w:val="00912DB4"/>
    <w:rsid w:val="009133A0"/>
    <w:rsid w:val="009133DA"/>
    <w:rsid w:val="009134D9"/>
    <w:rsid w:val="009135BB"/>
    <w:rsid w:val="009136B2"/>
    <w:rsid w:val="00913D46"/>
    <w:rsid w:val="00913F41"/>
    <w:rsid w:val="0091402E"/>
    <w:rsid w:val="0091410A"/>
    <w:rsid w:val="0091425A"/>
    <w:rsid w:val="009142A7"/>
    <w:rsid w:val="009144A7"/>
    <w:rsid w:val="00914674"/>
    <w:rsid w:val="0091485A"/>
    <w:rsid w:val="0091495F"/>
    <w:rsid w:val="00914CD7"/>
    <w:rsid w:val="009152EC"/>
    <w:rsid w:val="0091559A"/>
    <w:rsid w:val="0091567E"/>
    <w:rsid w:val="00915699"/>
    <w:rsid w:val="00915A04"/>
    <w:rsid w:val="00915C7E"/>
    <w:rsid w:val="009163B1"/>
    <w:rsid w:val="009166EB"/>
    <w:rsid w:val="009168BB"/>
    <w:rsid w:val="00916DD4"/>
    <w:rsid w:val="00916FE6"/>
    <w:rsid w:val="00917812"/>
    <w:rsid w:val="009178EA"/>
    <w:rsid w:val="00917A21"/>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F63"/>
    <w:rsid w:val="0092503E"/>
    <w:rsid w:val="00925467"/>
    <w:rsid w:val="00925699"/>
    <w:rsid w:val="00925960"/>
    <w:rsid w:val="009259E4"/>
    <w:rsid w:val="00925A76"/>
    <w:rsid w:val="00925D41"/>
    <w:rsid w:val="00925D80"/>
    <w:rsid w:val="00926618"/>
    <w:rsid w:val="00926624"/>
    <w:rsid w:val="00926E84"/>
    <w:rsid w:val="00926E96"/>
    <w:rsid w:val="00926EDF"/>
    <w:rsid w:val="00926F3C"/>
    <w:rsid w:val="009271B4"/>
    <w:rsid w:val="00927958"/>
    <w:rsid w:val="009279BD"/>
    <w:rsid w:val="0093020E"/>
    <w:rsid w:val="00930223"/>
    <w:rsid w:val="00930271"/>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D84"/>
    <w:rsid w:val="00933EF9"/>
    <w:rsid w:val="009346C4"/>
    <w:rsid w:val="00934933"/>
    <w:rsid w:val="00934BA5"/>
    <w:rsid w:val="00934D32"/>
    <w:rsid w:val="009351AC"/>
    <w:rsid w:val="009356B8"/>
    <w:rsid w:val="00935B32"/>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20CD"/>
    <w:rsid w:val="00942183"/>
    <w:rsid w:val="00942270"/>
    <w:rsid w:val="009422D0"/>
    <w:rsid w:val="009427A2"/>
    <w:rsid w:val="00942B2A"/>
    <w:rsid w:val="00942D52"/>
    <w:rsid w:val="00943153"/>
    <w:rsid w:val="009431F5"/>
    <w:rsid w:val="009431FF"/>
    <w:rsid w:val="0094321D"/>
    <w:rsid w:val="00943483"/>
    <w:rsid w:val="009438A5"/>
    <w:rsid w:val="00943943"/>
    <w:rsid w:val="00943CEE"/>
    <w:rsid w:val="00943D3D"/>
    <w:rsid w:val="00943D6E"/>
    <w:rsid w:val="00943EBE"/>
    <w:rsid w:val="009442B0"/>
    <w:rsid w:val="009443DD"/>
    <w:rsid w:val="009446AA"/>
    <w:rsid w:val="00944D2C"/>
    <w:rsid w:val="00945076"/>
    <w:rsid w:val="00945169"/>
    <w:rsid w:val="00945436"/>
    <w:rsid w:val="0094557E"/>
    <w:rsid w:val="00945658"/>
    <w:rsid w:val="00945A89"/>
    <w:rsid w:val="00945BF7"/>
    <w:rsid w:val="00946063"/>
    <w:rsid w:val="009462F0"/>
    <w:rsid w:val="009462FA"/>
    <w:rsid w:val="00946607"/>
    <w:rsid w:val="00946E6A"/>
    <w:rsid w:val="0094751C"/>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22D3"/>
    <w:rsid w:val="00952609"/>
    <w:rsid w:val="00952AAE"/>
    <w:rsid w:val="00952AB6"/>
    <w:rsid w:val="00952FAC"/>
    <w:rsid w:val="00953258"/>
    <w:rsid w:val="009535A9"/>
    <w:rsid w:val="00953AAD"/>
    <w:rsid w:val="00953CB9"/>
    <w:rsid w:val="00953DCD"/>
    <w:rsid w:val="009543B8"/>
    <w:rsid w:val="009546C5"/>
    <w:rsid w:val="00954776"/>
    <w:rsid w:val="00954E78"/>
    <w:rsid w:val="00954FE0"/>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45D0"/>
    <w:rsid w:val="0096473B"/>
    <w:rsid w:val="009648D3"/>
    <w:rsid w:val="00964B4D"/>
    <w:rsid w:val="00964B7C"/>
    <w:rsid w:val="00964BC2"/>
    <w:rsid w:val="009651E6"/>
    <w:rsid w:val="009654E3"/>
    <w:rsid w:val="009656ED"/>
    <w:rsid w:val="00965A2B"/>
    <w:rsid w:val="00965B04"/>
    <w:rsid w:val="00965BAB"/>
    <w:rsid w:val="00965D6E"/>
    <w:rsid w:val="00965DE9"/>
    <w:rsid w:val="00965ECA"/>
    <w:rsid w:val="00965FEF"/>
    <w:rsid w:val="0096626E"/>
    <w:rsid w:val="00966389"/>
    <w:rsid w:val="0096645D"/>
    <w:rsid w:val="0096680A"/>
    <w:rsid w:val="009668A0"/>
    <w:rsid w:val="00966A6E"/>
    <w:rsid w:val="009674B7"/>
    <w:rsid w:val="00967AFA"/>
    <w:rsid w:val="00967E5E"/>
    <w:rsid w:val="00967F42"/>
    <w:rsid w:val="00970257"/>
    <w:rsid w:val="009702C1"/>
    <w:rsid w:val="009702F3"/>
    <w:rsid w:val="009703E3"/>
    <w:rsid w:val="00970571"/>
    <w:rsid w:val="00970C7F"/>
    <w:rsid w:val="00970F7D"/>
    <w:rsid w:val="00971293"/>
    <w:rsid w:val="00971C14"/>
    <w:rsid w:val="00971CD8"/>
    <w:rsid w:val="00971D3A"/>
    <w:rsid w:val="0097203C"/>
    <w:rsid w:val="009725F4"/>
    <w:rsid w:val="009726E1"/>
    <w:rsid w:val="00973036"/>
    <w:rsid w:val="00973848"/>
    <w:rsid w:val="00973CCE"/>
    <w:rsid w:val="00973F13"/>
    <w:rsid w:val="0097434D"/>
    <w:rsid w:val="00974527"/>
    <w:rsid w:val="00974605"/>
    <w:rsid w:val="0097475E"/>
    <w:rsid w:val="0097480B"/>
    <w:rsid w:val="00974866"/>
    <w:rsid w:val="00975166"/>
    <w:rsid w:val="00975345"/>
    <w:rsid w:val="00975E60"/>
    <w:rsid w:val="009763DC"/>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842"/>
    <w:rsid w:val="00981A04"/>
    <w:rsid w:val="00981D03"/>
    <w:rsid w:val="00981DA4"/>
    <w:rsid w:val="00981F80"/>
    <w:rsid w:val="009826D9"/>
    <w:rsid w:val="00983B85"/>
    <w:rsid w:val="00983DFC"/>
    <w:rsid w:val="00983E2A"/>
    <w:rsid w:val="00983F09"/>
    <w:rsid w:val="009841E5"/>
    <w:rsid w:val="0098427B"/>
    <w:rsid w:val="009842DD"/>
    <w:rsid w:val="0098444E"/>
    <w:rsid w:val="0098464F"/>
    <w:rsid w:val="00984A78"/>
    <w:rsid w:val="00984AA3"/>
    <w:rsid w:val="00984D7A"/>
    <w:rsid w:val="009851FD"/>
    <w:rsid w:val="00985325"/>
    <w:rsid w:val="00985368"/>
    <w:rsid w:val="00985380"/>
    <w:rsid w:val="0098575F"/>
    <w:rsid w:val="00985A55"/>
    <w:rsid w:val="00985AD9"/>
    <w:rsid w:val="009861C3"/>
    <w:rsid w:val="00986A77"/>
    <w:rsid w:val="00986AAA"/>
    <w:rsid w:val="00986DD9"/>
    <w:rsid w:val="009872C4"/>
    <w:rsid w:val="009873C9"/>
    <w:rsid w:val="00987EB1"/>
    <w:rsid w:val="009905F1"/>
    <w:rsid w:val="0099078F"/>
    <w:rsid w:val="00990C49"/>
    <w:rsid w:val="009916AA"/>
    <w:rsid w:val="00991765"/>
    <w:rsid w:val="00991EE3"/>
    <w:rsid w:val="00992442"/>
    <w:rsid w:val="00992750"/>
    <w:rsid w:val="00992B2B"/>
    <w:rsid w:val="00992E8C"/>
    <w:rsid w:val="00993041"/>
    <w:rsid w:val="00993463"/>
    <w:rsid w:val="009935AB"/>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A6B"/>
    <w:rsid w:val="00995E55"/>
    <w:rsid w:val="00996324"/>
    <w:rsid w:val="0099668E"/>
    <w:rsid w:val="00996BED"/>
    <w:rsid w:val="00997188"/>
    <w:rsid w:val="009973A4"/>
    <w:rsid w:val="0099766E"/>
    <w:rsid w:val="0099775B"/>
    <w:rsid w:val="00997C26"/>
    <w:rsid w:val="00997C81"/>
    <w:rsid w:val="00997D1B"/>
    <w:rsid w:val="00997D78"/>
    <w:rsid w:val="00997F9F"/>
    <w:rsid w:val="009A0106"/>
    <w:rsid w:val="009A05E4"/>
    <w:rsid w:val="009A0624"/>
    <w:rsid w:val="009A073A"/>
    <w:rsid w:val="009A0AB1"/>
    <w:rsid w:val="009A0CAE"/>
    <w:rsid w:val="009A0DB9"/>
    <w:rsid w:val="009A0E67"/>
    <w:rsid w:val="009A104C"/>
    <w:rsid w:val="009A185B"/>
    <w:rsid w:val="009A1C58"/>
    <w:rsid w:val="009A2096"/>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BE5"/>
    <w:rsid w:val="009A5E9E"/>
    <w:rsid w:val="009A5F66"/>
    <w:rsid w:val="009A6019"/>
    <w:rsid w:val="009A636B"/>
    <w:rsid w:val="009A6A50"/>
    <w:rsid w:val="009A6BCF"/>
    <w:rsid w:val="009A6DD4"/>
    <w:rsid w:val="009A6F7F"/>
    <w:rsid w:val="009A6FD5"/>
    <w:rsid w:val="009A77B9"/>
    <w:rsid w:val="009B035A"/>
    <w:rsid w:val="009B0810"/>
    <w:rsid w:val="009B0B47"/>
    <w:rsid w:val="009B1289"/>
    <w:rsid w:val="009B12EC"/>
    <w:rsid w:val="009B1391"/>
    <w:rsid w:val="009B1440"/>
    <w:rsid w:val="009B169A"/>
    <w:rsid w:val="009B17DE"/>
    <w:rsid w:val="009B2BD7"/>
    <w:rsid w:val="009B327E"/>
    <w:rsid w:val="009B347C"/>
    <w:rsid w:val="009B360B"/>
    <w:rsid w:val="009B37F8"/>
    <w:rsid w:val="009B39F5"/>
    <w:rsid w:val="009B3DF8"/>
    <w:rsid w:val="009B451E"/>
    <w:rsid w:val="009B4B94"/>
    <w:rsid w:val="009B4D31"/>
    <w:rsid w:val="009B4F15"/>
    <w:rsid w:val="009B5788"/>
    <w:rsid w:val="009B5794"/>
    <w:rsid w:val="009B5CDC"/>
    <w:rsid w:val="009B5E7A"/>
    <w:rsid w:val="009B5EE2"/>
    <w:rsid w:val="009B64C4"/>
    <w:rsid w:val="009B6579"/>
    <w:rsid w:val="009B6E36"/>
    <w:rsid w:val="009B704F"/>
    <w:rsid w:val="009B7349"/>
    <w:rsid w:val="009B7372"/>
    <w:rsid w:val="009B73D0"/>
    <w:rsid w:val="009B771A"/>
    <w:rsid w:val="009B7B23"/>
    <w:rsid w:val="009B7B6F"/>
    <w:rsid w:val="009B7C05"/>
    <w:rsid w:val="009B7D4E"/>
    <w:rsid w:val="009B7DC5"/>
    <w:rsid w:val="009C012F"/>
    <w:rsid w:val="009C018A"/>
    <w:rsid w:val="009C042A"/>
    <w:rsid w:val="009C0F29"/>
    <w:rsid w:val="009C0FCE"/>
    <w:rsid w:val="009C16A2"/>
    <w:rsid w:val="009C197B"/>
    <w:rsid w:val="009C1B03"/>
    <w:rsid w:val="009C1EC3"/>
    <w:rsid w:val="009C1FEF"/>
    <w:rsid w:val="009C20AF"/>
    <w:rsid w:val="009C210E"/>
    <w:rsid w:val="009C2189"/>
    <w:rsid w:val="009C21FE"/>
    <w:rsid w:val="009C2340"/>
    <w:rsid w:val="009C23A5"/>
    <w:rsid w:val="009C289E"/>
    <w:rsid w:val="009C2A26"/>
    <w:rsid w:val="009C2E69"/>
    <w:rsid w:val="009C2E74"/>
    <w:rsid w:val="009C368B"/>
    <w:rsid w:val="009C3B8B"/>
    <w:rsid w:val="009C40E9"/>
    <w:rsid w:val="009C411E"/>
    <w:rsid w:val="009C4257"/>
    <w:rsid w:val="009C45B6"/>
    <w:rsid w:val="009C46CD"/>
    <w:rsid w:val="009C48FB"/>
    <w:rsid w:val="009C4B57"/>
    <w:rsid w:val="009C4EDF"/>
    <w:rsid w:val="009C5081"/>
    <w:rsid w:val="009C518F"/>
    <w:rsid w:val="009C536E"/>
    <w:rsid w:val="009C54EB"/>
    <w:rsid w:val="009C55DC"/>
    <w:rsid w:val="009C5859"/>
    <w:rsid w:val="009C5B42"/>
    <w:rsid w:val="009C5E07"/>
    <w:rsid w:val="009C5E74"/>
    <w:rsid w:val="009C5EC5"/>
    <w:rsid w:val="009C670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98E"/>
    <w:rsid w:val="009D1A14"/>
    <w:rsid w:val="009D1AEA"/>
    <w:rsid w:val="009D1EE1"/>
    <w:rsid w:val="009D1FB6"/>
    <w:rsid w:val="009D20DE"/>
    <w:rsid w:val="009D229C"/>
    <w:rsid w:val="009D2641"/>
    <w:rsid w:val="009D28C6"/>
    <w:rsid w:val="009D2D97"/>
    <w:rsid w:val="009D2F80"/>
    <w:rsid w:val="009D3833"/>
    <w:rsid w:val="009D3CEC"/>
    <w:rsid w:val="009D3FE3"/>
    <w:rsid w:val="009D4414"/>
    <w:rsid w:val="009D4508"/>
    <w:rsid w:val="009D4811"/>
    <w:rsid w:val="009D4930"/>
    <w:rsid w:val="009D49AC"/>
    <w:rsid w:val="009D4A5A"/>
    <w:rsid w:val="009D4FD7"/>
    <w:rsid w:val="009D50AA"/>
    <w:rsid w:val="009D50F0"/>
    <w:rsid w:val="009D5100"/>
    <w:rsid w:val="009D51C8"/>
    <w:rsid w:val="009D5B41"/>
    <w:rsid w:val="009D5B61"/>
    <w:rsid w:val="009D621D"/>
    <w:rsid w:val="009D66DB"/>
    <w:rsid w:val="009D69F2"/>
    <w:rsid w:val="009D6DD7"/>
    <w:rsid w:val="009D6E08"/>
    <w:rsid w:val="009D6E46"/>
    <w:rsid w:val="009D767F"/>
    <w:rsid w:val="009D77BD"/>
    <w:rsid w:val="009D782E"/>
    <w:rsid w:val="009D7986"/>
    <w:rsid w:val="009D7AF0"/>
    <w:rsid w:val="009E04D5"/>
    <w:rsid w:val="009E0740"/>
    <w:rsid w:val="009E078B"/>
    <w:rsid w:val="009E0923"/>
    <w:rsid w:val="009E0947"/>
    <w:rsid w:val="009E0C26"/>
    <w:rsid w:val="009E0E50"/>
    <w:rsid w:val="009E124A"/>
    <w:rsid w:val="009E1261"/>
    <w:rsid w:val="009E1A18"/>
    <w:rsid w:val="009E1A7A"/>
    <w:rsid w:val="009E2188"/>
    <w:rsid w:val="009E21C0"/>
    <w:rsid w:val="009E238F"/>
    <w:rsid w:val="009E28FC"/>
    <w:rsid w:val="009E2AEE"/>
    <w:rsid w:val="009E2E03"/>
    <w:rsid w:val="009E300D"/>
    <w:rsid w:val="009E33C4"/>
    <w:rsid w:val="009E37A6"/>
    <w:rsid w:val="009E3BC1"/>
    <w:rsid w:val="009E3FF5"/>
    <w:rsid w:val="009E402B"/>
    <w:rsid w:val="009E4DD9"/>
    <w:rsid w:val="009E51CE"/>
    <w:rsid w:val="009E524E"/>
    <w:rsid w:val="009E53E6"/>
    <w:rsid w:val="009E56F8"/>
    <w:rsid w:val="009E5DCB"/>
    <w:rsid w:val="009E5E3D"/>
    <w:rsid w:val="009E624F"/>
    <w:rsid w:val="009E64A0"/>
    <w:rsid w:val="009E671B"/>
    <w:rsid w:val="009E6737"/>
    <w:rsid w:val="009E6809"/>
    <w:rsid w:val="009E6A6E"/>
    <w:rsid w:val="009E6F0D"/>
    <w:rsid w:val="009E6F2B"/>
    <w:rsid w:val="009E702D"/>
    <w:rsid w:val="009E71D2"/>
    <w:rsid w:val="009E7454"/>
    <w:rsid w:val="009F0060"/>
    <w:rsid w:val="009F0175"/>
    <w:rsid w:val="009F02F2"/>
    <w:rsid w:val="009F0405"/>
    <w:rsid w:val="009F0410"/>
    <w:rsid w:val="009F0651"/>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D5A"/>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89C"/>
    <w:rsid w:val="009F59DE"/>
    <w:rsid w:val="009F5B0F"/>
    <w:rsid w:val="009F5DEB"/>
    <w:rsid w:val="009F5E37"/>
    <w:rsid w:val="009F65F8"/>
    <w:rsid w:val="009F6EFB"/>
    <w:rsid w:val="009F7037"/>
    <w:rsid w:val="009F7412"/>
    <w:rsid w:val="009F77B9"/>
    <w:rsid w:val="009F7881"/>
    <w:rsid w:val="009F7B28"/>
    <w:rsid w:val="009F7B62"/>
    <w:rsid w:val="00A00CC0"/>
    <w:rsid w:val="00A00F74"/>
    <w:rsid w:val="00A01249"/>
    <w:rsid w:val="00A0143D"/>
    <w:rsid w:val="00A01B1A"/>
    <w:rsid w:val="00A01CDB"/>
    <w:rsid w:val="00A020E6"/>
    <w:rsid w:val="00A025E1"/>
    <w:rsid w:val="00A02986"/>
    <w:rsid w:val="00A02B66"/>
    <w:rsid w:val="00A02D80"/>
    <w:rsid w:val="00A02F6E"/>
    <w:rsid w:val="00A031CC"/>
    <w:rsid w:val="00A0326B"/>
    <w:rsid w:val="00A0335C"/>
    <w:rsid w:val="00A036BD"/>
    <w:rsid w:val="00A03ADE"/>
    <w:rsid w:val="00A03F8E"/>
    <w:rsid w:val="00A0426B"/>
    <w:rsid w:val="00A04C53"/>
    <w:rsid w:val="00A04D84"/>
    <w:rsid w:val="00A0519E"/>
    <w:rsid w:val="00A051B7"/>
    <w:rsid w:val="00A051FD"/>
    <w:rsid w:val="00A05286"/>
    <w:rsid w:val="00A0545B"/>
    <w:rsid w:val="00A0563B"/>
    <w:rsid w:val="00A05979"/>
    <w:rsid w:val="00A05A2F"/>
    <w:rsid w:val="00A05A85"/>
    <w:rsid w:val="00A05C4E"/>
    <w:rsid w:val="00A05C92"/>
    <w:rsid w:val="00A05F6F"/>
    <w:rsid w:val="00A0683D"/>
    <w:rsid w:val="00A06A12"/>
    <w:rsid w:val="00A075CF"/>
    <w:rsid w:val="00A07730"/>
    <w:rsid w:val="00A1007A"/>
    <w:rsid w:val="00A10260"/>
    <w:rsid w:val="00A10349"/>
    <w:rsid w:val="00A10B95"/>
    <w:rsid w:val="00A10DA0"/>
    <w:rsid w:val="00A1107F"/>
    <w:rsid w:val="00A114EC"/>
    <w:rsid w:val="00A115CB"/>
    <w:rsid w:val="00A116D8"/>
    <w:rsid w:val="00A117FC"/>
    <w:rsid w:val="00A117FD"/>
    <w:rsid w:val="00A11C68"/>
    <w:rsid w:val="00A12677"/>
    <w:rsid w:val="00A12746"/>
    <w:rsid w:val="00A12893"/>
    <w:rsid w:val="00A12B7F"/>
    <w:rsid w:val="00A13758"/>
    <w:rsid w:val="00A13A4E"/>
    <w:rsid w:val="00A13C06"/>
    <w:rsid w:val="00A13C3B"/>
    <w:rsid w:val="00A13DB7"/>
    <w:rsid w:val="00A13EA4"/>
    <w:rsid w:val="00A1420E"/>
    <w:rsid w:val="00A14465"/>
    <w:rsid w:val="00A146C3"/>
    <w:rsid w:val="00A14714"/>
    <w:rsid w:val="00A14B4B"/>
    <w:rsid w:val="00A14EAE"/>
    <w:rsid w:val="00A153CE"/>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D1D"/>
    <w:rsid w:val="00A21DE6"/>
    <w:rsid w:val="00A224B4"/>
    <w:rsid w:val="00A2250A"/>
    <w:rsid w:val="00A227DA"/>
    <w:rsid w:val="00A22902"/>
    <w:rsid w:val="00A2306E"/>
    <w:rsid w:val="00A236E2"/>
    <w:rsid w:val="00A23727"/>
    <w:rsid w:val="00A23CCA"/>
    <w:rsid w:val="00A23E9D"/>
    <w:rsid w:val="00A24BD0"/>
    <w:rsid w:val="00A254F7"/>
    <w:rsid w:val="00A25BA0"/>
    <w:rsid w:val="00A25EAE"/>
    <w:rsid w:val="00A25F3A"/>
    <w:rsid w:val="00A26175"/>
    <w:rsid w:val="00A2638C"/>
    <w:rsid w:val="00A2673C"/>
    <w:rsid w:val="00A26B9C"/>
    <w:rsid w:val="00A27117"/>
    <w:rsid w:val="00A27320"/>
    <w:rsid w:val="00A277B5"/>
    <w:rsid w:val="00A2795C"/>
    <w:rsid w:val="00A27A75"/>
    <w:rsid w:val="00A27BD4"/>
    <w:rsid w:val="00A27DF5"/>
    <w:rsid w:val="00A301FA"/>
    <w:rsid w:val="00A303DD"/>
    <w:rsid w:val="00A30F0E"/>
    <w:rsid w:val="00A30F16"/>
    <w:rsid w:val="00A31026"/>
    <w:rsid w:val="00A311AE"/>
    <w:rsid w:val="00A31598"/>
    <w:rsid w:val="00A3162B"/>
    <w:rsid w:val="00A316E3"/>
    <w:rsid w:val="00A31EE2"/>
    <w:rsid w:val="00A321F4"/>
    <w:rsid w:val="00A32300"/>
    <w:rsid w:val="00A323C3"/>
    <w:rsid w:val="00A325C7"/>
    <w:rsid w:val="00A32B9B"/>
    <w:rsid w:val="00A32E56"/>
    <w:rsid w:val="00A33026"/>
    <w:rsid w:val="00A33173"/>
    <w:rsid w:val="00A3339D"/>
    <w:rsid w:val="00A33576"/>
    <w:rsid w:val="00A33BEE"/>
    <w:rsid w:val="00A341E0"/>
    <w:rsid w:val="00A343AD"/>
    <w:rsid w:val="00A343D6"/>
    <w:rsid w:val="00A34441"/>
    <w:rsid w:val="00A34851"/>
    <w:rsid w:val="00A3486F"/>
    <w:rsid w:val="00A348AF"/>
    <w:rsid w:val="00A34D78"/>
    <w:rsid w:val="00A34F49"/>
    <w:rsid w:val="00A351B9"/>
    <w:rsid w:val="00A355DD"/>
    <w:rsid w:val="00A35656"/>
    <w:rsid w:val="00A3585F"/>
    <w:rsid w:val="00A35CAF"/>
    <w:rsid w:val="00A35D5E"/>
    <w:rsid w:val="00A35F8F"/>
    <w:rsid w:val="00A36129"/>
    <w:rsid w:val="00A362BD"/>
    <w:rsid w:val="00A363E6"/>
    <w:rsid w:val="00A36484"/>
    <w:rsid w:val="00A36518"/>
    <w:rsid w:val="00A365DB"/>
    <w:rsid w:val="00A3689D"/>
    <w:rsid w:val="00A36E71"/>
    <w:rsid w:val="00A36FEC"/>
    <w:rsid w:val="00A37230"/>
    <w:rsid w:val="00A372BC"/>
    <w:rsid w:val="00A373CF"/>
    <w:rsid w:val="00A374A4"/>
    <w:rsid w:val="00A376DF"/>
    <w:rsid w:val="00A3777B"/>
    <w:rsid w:val="00A37862"/>
    <w:rsid w:val="00A37939"/>
    <w:rsid w:val="00A37C97"/>
    <w:rsid w:val="00A401A0"/>
    <w:rsid w:val="00A40496"/>
    <w:rsid w:val="00A40701"/>
    <w:rsid w:val="00A4092A"/>
    <w:rsid w:val="00A40E6E"/>
    <w:rsid w:val="00A41078"/>
    <w:rsid w:val="00A41137"/>
    <w:rsid w:val="00A41438"/>
    <w:rsid w:val="00A415D7"/>
    <w:rsid w:val="00A4162E"/>
    <w:rsid w:val="00A416AF"/>
    <w:rsid w:val="00A41C54"/>
    <w:rsid w:val="00A41E73"/>
    <w:rsid w:val="00A4218A"/>
    <w:rsid w:val="00A42308"/>
    <w:rsid w:val="00A43176"/>
    <w:rsid w:val="00A43516"/>
    <w:rsid w:val="00A43869"/>
    <w:rsid w:val="00A43F67"/>
    <w:rsid w:val="00A44495"/>
    <w:rsid w:val="00A445B2"/>
    <w:rsid w:val="00A44BEC"/>
    <w:rsid w:val="00A44D14"/>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71B3"/>
    <w:rsid w:val="00A47557"/>
    <w:rsid w:val="00A4782C"/>
    <w:rsid w:val="00A47EFC"/>
    <w:rsid w:val="00A50075"/>
    <w:rsid w:val="00A50541"/>
    <w:rsid w:val="00A50B15"/>
    <w:rsid w:val="00A50D04"/>
    <w:rsid w:val="00A50E6F"/>
    <w:rsid w:val="00A50ECC"/>
    <w:rsid w:val="00A50FB2"/>
    <w:rsid w:val="00A5123C"/>
    <w:rsid w:val="00A51502"/>
    <w:rsid w:val="00A51622"/>
    <w:rsid w:val="00A51C78"/>
    <w:rsid w:val="00A51D47"/>
    <w:rsid w:val="00A5210F"/>
    <w:rsid w:val="00A523DE"/>
    <w:rsid w:val="00A52C1B"/>
    <w:rsid w:val="00A52CD8"/>
    <w:rsid w:val="00A52D40"/>
    <w:rsid w:val="00A532D3"/>
    <w:rsid w:val="00A53D95"/>
    <w:rsid w:val="00A53E93"/>
    <w:rsid w:val="00A53F46"/>
    <w:rsid w:val="00A54366"/>
    <w:rsid w:val="00A544DA"/>
    <w:rsid w:val="00A54667"/>
    <w:rsid w:val="00A546E0"/>
    <w:rsid w:val="00A54872"/>
    <w:rsid w:val="00A5492E"/>
    <w:rsid w:val="00A54BBA"/>
    <w:rsid w:val="00A5509B"/>
    <w:rsid w:val="00A55348"/>
    <w:rsid w:val="00A55911"/>
    <w:rsid w:val="00A55B83"/>
    <w:rsid w:val="00A55EA2"/>
    <w:rsid w:val="00A55F73"/>
    <w:rsid w:val="00A565EC"/>
    <w:rsid w:val="00A567A5"/>
    <w:rsid w:val="00A56A44"/>
    <w:rsid w:val="00A56F53"/>
    <w:rsid w:val="00A575E1"/>
    <w:rsid w:val="00A57735"/>
    <w:rsid w:val="00A57AA7"/>
    <w:rsid w:val="00A57DF2"/>
    <w:rsid w:val="00A57E2D"/>
    <w:rsid w:val="00A6013F"/>
    <w:rsid w:val="00A6041E"/>
    <w:rsid w:val="00A604E1"/>
    <w:rsid w:val="00A604E7"/>
    <w:rsid w:val="00A60776"/>
    <w:rsid w:val="00A607A0"/>
    <w:rsid w:val="00A609B2"/>
    <w:rsid w:val="00A609F0"/>
    <w:rsid w:val="00A60BE8"/>
    <w:rsid w:val="00A60E10"/>
    <w:rsid w:val="00A60E9D"/>
    <w:rsid w:val="00A610FE"/>
    <w:rsid w:val="00A61493"/>
    <w:rsid w:val="00A61583"/>
    <w:rsid w:val="00A6166F"/>
    <w:rsid w:val="00A617C4"/>
    <w:rsid w:val="00A61BD5"/>
    <w:rsid w:val="00A61DF7"/>
    <w:rsid w:val="00A61EAD"/>
    <w:rsid w:val="00A61F94"/>
    <w:rsid w:val="00A622F9"/>
    <w:rsid w:val="00A624E9"/>
    <w:rsid w:val="00A624EB"/>
    <w:rsid w:val="00A626C9"/>
    <w:rsid w:val="00A62A6A"/>
    <w:rsid w:val="00A62F7C"/>
    <w:rsid w:val="00A63207"/>
    <w:rsid w:val="00A63742"/>
    <w:rsid w:val="00A6391B"/>
    <w:rsid w:val="00A63BFA"/>
    <w:rsid w:val="00A63D60"/>
    <w:rsid w:val="00A64365"/>
    <w:rsid w:val="00A6470D"/>
    <w:rsid w:val="00A64731"/>
    <w:rsid w:val="00A647C4"/>
    <w:rsid w:val="00A658E3"/>
    <w:rsid w:val="00A659A8"/>
    <w:rsid w:val="00A659F7"/>
    <w:rsid w:val="00A65AEE"/>
    <w:rsid w:val="00A662A5"/>
    <w:rsid w:val="00A663AA"/>
    <w:rsid w:val="00A66610"/>
    <w:rsid w:val="00A6697A"/>
    <w:rsid w:val="00A66A37"/>
    <w:rsid w:val="00A66D08"/>
    <w:rsid w:val="00A67036"/>
    <w:rsid w:val="00A6767A"/>
    <w:rsid w:val="00A67C37"/>
    <w:rsid w:val="00A67DD6"/>
    <w:rsid w:val="00A7014A"/>
    <w:rsid w:val="00A7038B"/>
    <w:rsid w:val="00A70578"/>
    <w:rsid w:val="00A709E4"/>
    <w:rsid w:val="00A70B53"/>
    <w:rsid w:val="00A70D64"/>
    <w:rsid w:val="00A71090"/>
    <w:rsid w:val="00A712C6"/>
    <w:rsid w:val="00A713F2"/>
    <w:rsid w:val="00A7182B"/>
    <w:rsid w:val="00A71D8A"/>
    <w:rsid w:val="00A71FEC"/>
    <w:rsid w:val="00A722CE"/>
    <w:rsid w:val="00A723F4"/>
    <w:rsid w:val="00A724E5"/>
    <w:rsid w:val="00A728C8"/>
    <w:rsid w:val="00A729A7"/>
    <w:rsid w:val="00A72AF1"/>
    <w:rsid w:val="00A72C75"/>
    <w:rsid w:val="00A72D78"/>
    <w:rsid w:val="00A72DBF"/>
    <w:rsid w:val="00A72EAE"/>
    <w:rsid w:val="00A7306F"/>
    <w:rsid w:val="00A735F1"/>
    <w:rsid w:val="00A7367E"/>
    <w:rsid w:val="00A73708"/>
    <w:rsid w:val="00A73D58"/>
    <w:rsid w:val="00A73E1A"/>
    <w:rsid w:val="00A741D0"/>
    <w:rsid w:val="00A747AC"/>
    <w:rsid w:val="00A747C9"/>
    <w:rsid w:val="00A74AA6"/>
    <w:rsid w:val="00A74B49"/>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DFF"/>
    <w:rsid w:val="00A76E44"/>
    <w:rsid w:val="00A774C1"/>
    <w:rsid w:val="00A77563"/>
    <w:rsid w:val="00A779F3"/>
    <w:rsid w:val="00A77DF3"/>
    <w:rsid w:val="00A8005B"/>
    <w:rsid w:val="00A801CA"/>
    <w:rsid w:val="00A8028A"/>
    <w:rsid w:val="00A80569"/>
    <w:rsid w:val="00A80A18"/>
    <w:rsid w:val="00A80ABD"/>
    <w:rsid w:val="00A80B23"/>
    <w:rsid w:val="00A81710"/>
    <w:rsid w:val="00A81A35"/>
    <w:rsid w:val="00A81BEA"/>
    <w:rsid w:val="00A81C9E"/>
    <w:rsid w:val="00A81F39"/>
    <w:rsid w:val="00A82342"/>
    <w:rsid w:val="00A82668"/>
    <w:rsid w:val="00A8271D"/>
    <w:rsid w:val="00A82A56"/>
    <w:rsid w:val="00A82B73"/>
    <w:rsid w:val="00A82DB1"/>
    <w:rsid w:val="00A82DC9"/>
    <w:rsid w:val="00A82DD3"/>
    <w:rsid w:val="00A82FB3"/>
    <w:rsid w:val="00A83A7D"/>
    <w:rsid w:val="00A84014"/>
    <w:rsid w:val="00A847DB"/>
    <w:rsid w:val="00A8494E"/>
    <w:rsid w:val="00A84A32"/>
    <w:rsid w:val="00A85C14"/>
    <w:rsid w:val="00A85E90"/>
    <w:rsid w:val="00A860B5"/>
    <w:rsid w:val="00A86D14"/>
    <w:rsid w:val="00A86D86"/>
    <w:rsid w:val="00A87A44"/>
    <w:rsid w:val="00A87E4C"/>
    <w:rsid w:val="00A900B3"/>
    <w:rsid w:val="00A9010F"/>
    <w:rsid w:val="00A9031A"/>
    <w:rsid w:val="00A906BF"/>
    <w:rsid w:val="00A90A9A"/>
    <w:rsid w:val="00A910AA"/>
    <w:rsid w:val="00A910E3"/>
    <w:rsid w:val="00A911F0"/>
    <w:rsid w:val="00A9136B"/>
    <w:rsid w:val="00A914BC"/>
    <w:rsid w:val="00A917BF"/>
    <w:rsid w:val="00A91B63"/>
    <w:rsid w:val="00A91D35"/>
    <w:rsid w:val="00A91E72"/>
    <w:rsid w:val="00A92361"/>
    <w:rsid w:val="00A92539"/>
    <w:rsid w:val="00A92682"/>
    <w:rsid w:val="00A92AC7"/>
    <w:rsid w:val="00A92B93"/>
    <w:rsid w:val="00A92F1C"/>
    <w:rsid w:val="00A9319A"/>
    <w:rsid w:val="00A936D9"/>
    <w:rsid w:val="00A93786"/>
    <w:rsid w:val="00A937B1"/>
    <w:rsid w:val="00A938E3"/>
    <w:rsid w:val="00A9407C"/>
    <w:rsid w:val="00A941B5"/>
    <w:rsid w:val="00A947E5"/>
    <w:rsid w:val="00A94821"/>
    <w:rsid w:val="00A9487B"/>
    <w:rsid w:val="00A94A9B"/>
    <w:rsid w:val="00A94AEB"/>
    <w:rsid w:val="00A9504A"/>
    <w:rsid w:val="00A952E3"/>
    <w:rsid w:val="00A954B7"/>
    <w:rsid w:val="00A956E0"/>
    <w:rsid w:val="00A95D11"/>
    <w:rsid w:val="00A95FD7"/>
    <w:rsid w:val="00A966A6"/>
    <w:rsid w:val="00A96804"/>
    <w:rsid w:val="00A96A63"/>
    <w:rsid w:val="00A96C04"/>
    <w:rsid w:val="00A96C8E"/>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80"/>
    <w:rsid w:val="00AA50CA"/>
    <w:rsid w:val="00AA538D"/>
    <w:rsid w:val="00AA56BD"/>
    <w:rsid w:val="00AA591B"/>
    <w:rsid w:val="00AA59F0"/>
    <w:rsid w:val="00AA5C69"/>
    <w:rsid w:val="00AA63C4"/>
    <w:rsid w:val="00AA6757"/>
    <w:rsid w:val="00AA6B1D"/>
    <w:rsid w:val="00AA787E"/>
    <w:rsid w:val="00AA798B"/>
    <w:rsid w:val="00AA79F3"/>
    <w:rsid w:val="00AB0155"/>
    <w:rsid w:val="00AB0394"/>
    <w:rsid w:val="00AB06BD"/>
    <w:rsid w:val="00AB0834"/>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7B0"/>
    <w:rsid w:val="00AB2986"/>
    <w:rsid w:val="00AB2C61"/>
    <w:rsid w:val="00AB2C66"/>
    <w:rsid w:val="00AB2DF0"/>
    <w:rsid w:val="00AB3B71"/>
    <w:rsid w:val="00AB43CD"/>
    <w:rsid w:val="00AB45F1"/>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169"/>
    <w:rsid w:val="00AB6322"/>
    <w:rsid w:val="00AB65BD"/>
    <w:rsid w:val="00AB6733"/>
    <w:rsid w:val="00AB67D5"/>
    <w:rsid w:val="00AB6A27"/>
    <w:rsid w:val="00AB6CB9"/>
    <w:rsid w:val="00AB6F6D"/>
    <w:rsid w:val="00AB7033"/>
    <w:rsid w:val="00AB798D"/>
    <w:rsid w:val="00AB7B70"/>
    <w:rsid w:val="00AB7FCB"/>
    <w:rsid w:val="00AC063E"/>
    <w:rsid w:val="00AC09DF"/>
    <w:rsid w:val="00AC0EC0"/>
    <w:rsid w:val="00AC10C4"/>
    <w:rsid w:val="00AC1208"/>
    <w:rsid w:val="00AC172C"/>
    <w:rsid w:val="00AC17DD"/>
    <w:rsid w:val="00AC182D"/>
    <w:rsid w:val="00AC196A"/>
    <w:rsid w:val="00AC1A40"/>
    <w:rsid w:val="00AC23D4"/>
    <w:rsid w:val="00AC26E0"/>
    <w:rsid w:val="00AC290B"/>
    <w:rsid w:val="00AC2A13"/>
    <w:rsid w:val="00AC2AFE"/>
    <w:rsid w:val="00AC3626"/>
    <w:rsid w:val="00AC39E3"/>
    <w:rsid w:val="00AC3B30"/>
    <w:rsid w:val="00AC4194"/>
    <w:rsid w:val="00AC4508"/>
    <w:rsid w:val="00AC4595"/>
    <w:rsid w:val="00AC4758"/>
    <w:rsid w:val="00AC47B0"/>
    <w:rsid w:val="00AC47D6"/>
    <w:rsid w:val="00AC4E34"/>
    <w:rsid w:val="00AC4F8C"/>
    <w:rsid w:val="00AC50DB"/>
    <w:rsid w:val="00AC5267"/>
    <w:rsid w:val="00AC5ABB"/>
    <w:rsid w:val="00AC61C4"/>
    <w:rsid w:val="00AC63C2"/>
    <w:rsid w:val="00AC73AD"/>
    <w:rsid w:val="00AC7A03"/>
    <w:rsid w:val="00AC7B72"/>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215"/>
    <w:rsid w:val="00AD4824"/>
    <w:rsid w:val="00AD490E"/>
    <w:rsid w:val="00AD4FC1"/>
    <w:rsid w:val="00AD5158"/>
    <w:rsid w:val="00AD5BED"/>
    <w:rsid w:val="00AD5F57"/>
    <w:rsid w:val="00AD6676"/>
    <w:rsid w:val="00AD6698"/>
    <w:rsid w:val="00AD66A7"/>
    <w:rsid w:val="00AD682D"/>
    <w:rsid w:val="00AD68C5"/>
    <w:rsid w:val="00AD6ED8"/>
    <w:rsid w:val="00AD708D"/>
    <w:rsid w:val="00AD7378"/>
    <w:rsid w:val="00AD7914"/>
    <w:rsid w:val="00AD7967"/>
    <w:rsid w:val="00AD79DA"/>
    <w:rsid w:val="00AD7CEE"/>
    <w:rsid w:val="00AE012E"/>
    <w:rsid w:val="00AE023E"/>
    <w:rsid w:val="00AE024D"/>
    <w:rsid w:val="00AE029A"/>
    <w:rsid w:val="00AE0368"/>
    <w:rsid w:val="00AE053F"/>
    <w:rsid w:val="00AE068D"/>
    <w:rsid w:val="00AE084C"/>
    <w:rsid w:val="00AE08EA"/>
    <w:rsid w:val="00AE0B79"/>
    <w:rsid w:val="00AE0F81"/>
    <w:rsid w:val="00AE14D4"/>
    <w:rsid w:val="00AE2164"/>
    <w:rsid w:val="00AE231F"/>
    <w:rsid w:val="00AE2AA5"/>
    <w:rsid w:val="00AE2DCE"/>
    <w:rsid w:val="00AE2EA6"/>
    <w:rsid w:val="00AE3040"/>
    <w:rsid w:val="00AE3549"/>
    <w:rsid w:val="00AE35E5"/>
    <w:rsid w:val="00AE3E9C"/>
    <w:rsid w:val="00AE3FBA"/>
    <w:rsid w:val="00AE4054"/>
    <w:rsid w:val="00AE4117"/>
    <w:rsid w:val="00AE4326"/>
    <w:rsid w:val="00AE435C"/>
    <w:rsid w:val="00AE4CC4"/>
    <w:rsid w:val="00AE61AB"/>
    <w:rsid w:val="00AE65D3"/>
    <w:rsid w:val="00AE6702"/>
    <w:rsid w:val="00AE6764"/>
    <w:rsid w:val="00AE6D02"/>
    <w:rsid w:val="00AE6F2F"/>
    <w:rsid w:val="00AE7408"/>
    <w:rsid w:val="00AE7733"/>
    <w:rsid w:val="00AE77DC"/>
    <w:rsid w:val="00AE79E4"/>
    <w:rsid w:val="00AE7F13"/>
    <w:rsid w:val="00AF015F"/>
    <w:rsid w:val="00AF01C1"/>
    <w:rsid w:val="00AF046F"/>
    <w:rsid w:val="00AF0720"/>
    <w:rsid w:val="00AF075F"/>
    <w:rsid w:val="00AF0AB0"/>
    <w:rsid w:val="00AF0DAE"/>
    <w:rsid w:val="00AF0E02"/>
    <w:rsid w:val="00AF0EE7"/>
    <w:rsid w:val="00AF1363"/>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8D9"/>
    <w:rsid w:val="00AF3C7E"/>
    <w:rsid w:val="00AF3CE8"/>
    <w:rsid w:val="00AF48F1"/>
    <w:rsid w:val="00AF49DB"/>
    <w:rsid w:val="00AF4D01"/>
    <w:rsid w:val="00AF4E04"/>
    <w:rsid w:val="00AF4E20"/>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AC8"/>
    <w:rsid w:val="00AF6B6D"/>
    <w:rsid w:val="00AF6CB0"/>
    <w:rsid w:val="00AF6D2D"/>
    <w:rsid w:val="00AF7771"/>
    <w:rsid w:val="00AF78C2"/>
    <w:rsid w:val="00AF78D2"/>
    <w:rsid w:val="00AF7E91"/>
    <w:rsid w:val="00B002A1"/>
    <w:rsid w:val="00B00543"/>
    <w:rsid w:val="00B00659"/>
    <w:rsid w:val="00B00B26"/>
    <w:rsid w:val="00B00C43"/>
    <w:rsid w:val="00B010C2"/>
    <w:rsid w:val="00B01756"/>
    <w:rsid w:val="00B01765"/>
    <w:rsid w:val="00B017FA"/>
    <w:rsid w:val="00B0191A"/>
    <w:rsid w:val="00B019FC"/>
    <w:rsid w:val="00B01C02"/>
    <w:rsid w:val="00B01CC8"/>
    <w:rsid w:val="00B03206"/>
    <w:rsid w:val="00B03313"/>
    <w:rsid w:val="00B03471"/>
    <w:rsid w:val="00B03B03"/>
    <w:rsid w:val="00B03D9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D90"/>
    <w:rsid w:val="00B06E0F"/>
    <w:rsid w:val="00B06FB3"/>
    <w:rsid w:val="00B0709E"/>
    <w:rsid w:val="00B07211"/>
    <w:rsid w:val="00B07283"/>
    <w:rsid w:val="00B07900"/>
    <w:rsid w:val="00B07941"/>
    <w:rsid w:val="00B07B19"/>
    <w:rsid w:val="00B10440"/>
    <w:rsid w:val="00B1066E"/>
    <w:rsid w:val="00B10826"/>
    <w:rsid w:val="00B10C4D"/>
    <w:rsid w:val="00B11025"/>
    <w:rsid w:val="00B1186F"/>
    <w:rsid w:val="00B11BC5"/>
    <w:rsid w:val="00B1202A"/>
    <w:rsid w:val="00B1253E"/>
    <w:rsid w:val="00B12591"/>
    <w:rsid w:val="00B12AD9"/>
    <w:rsid w:val="00B13937"/>
    <w:rsid w:val="00B13BCD"/>
    <w:rsid w:val="00B13E8F"/>
    <w:rsid w:val="00B14500"/>
    <w:rsid w:val="00B145C0"/>
    <w:rsid w:val="00B146F7"/>
    <w:rsid w:val="00B1482E"/>
    <w:rsid w:val="00B1499E"/>
    <w:rsid w:val="00B15117"/>
    <w:rsid w:val="00B15725"/>
    <w:rsid w:val="00B15B35"/>
    <w:rsid w:val="00B16142"/>
    <w:rsid w:val="00B168F7"/>
    <w:rsid w:val="00B16B32"/>
    <w:rsid w:val="00B16B5F"/>
    <w:rsid w:val="00B16DB1"/>
    <w:rsid w:val="00B16F17"/>
    <w:rsid w:val="00B1732C"/>
    <w:rsid w:val="00B17A0A"/>
    <w:rsid w:val="00B17B45"/>
    <w:rsid w:val="00B17BD1"/>
    <w:rsid w:val="00B17BF1"/>
    <w:rsid w:val="00B17FA1"/>
    <w:rsid w:val="00B202D3"/>
    <w:rsid w:val="00B202EE"/>
    <w:rsid w:val="00B2054B"/>
    <w:rsid w:val="00B2058E"/>
    <w:rsid w:val="00B207EB"/>
    <w:rsid w:val="00B207F5"/>
    <w:rsid w:val="00B209DB"/>
    <w:rsid w:val="00B20C3A"/>
    <w:rsid w:val="00B2156D"/>
    <w:rsid w:val="00B21685"/>
    <w:rsid w:val="00B217F8"/>
    <w:rsid w:val="00B21B13"/>
    <w:rsid w:val="00B21B29"/>
    <w:rsid w:val="00B21DF8"/>
    <w:rsid w:val="00B21E66"/>
    <w:rsid w:val="00B21F2B"/>
    <w:rsid w:val="00B21FE2"/>
    <w:rsid w:val="00B22383"/>
    <w:rsid w:val="00B22A27"/>
    <w:rsid w:val="00B22AAD"/>
    <w:rsid w:val="00B2310B"/>
    <w:rsid w:val="00B2317E"/>
    <w:rsid w:val="00B23488"/>
    <w:rsid w:val="00B23644"/>
    <w:rsid w:val="00B236A7"/>
    <w:rsid w:val="00B23816"/>
    <w:rsid w:val="00B2390D"/>
    <w:rsid w:val="00B23BF9"/>
    <w:rsid w:val="00B24013"/>
    <w:rsid w:val="00B24207"/>
    <w:rsid w:val="00B24341"/>
    <w:rsid w:val="00B24817"/>
    <w:rsid w:val="00B2484D"/>
    <w:rsid w:val="00B24949"/>
    <w:rsid w:val="00B24A2A"/>
    <w:rsid w:val="00B24C5A"/>
    <w:rsid w:val="00B24DD7"/>
    <w:rsid w:val="00B25286"/>
    <w:rsid w:val="00B252FE"/>
    <w:rsid w:val="00B2539E"/>
    <w:rsid w:val="00B254FB"/>
    <w:rsid w:val="00B25816"/>
    <w:rsid w:val="00B25B82"/>
    <w:rsid w:val="00B26079"/>
    <w:rsid w:val="00B263BC"/>
    <w:rsid w:val="00B2667B"/>
    <w:rsid w:val="00B26D79"/>
    <w:rsid w:val="00B272B1"/>
    <w:rsid w:val="00B274D5"/>
    <w:rsid w:val="00B2754D"/>
    <w:rsid w:val="00B27DEB"/>
    <w:rsid w:val="00B30364"/>
    <w:rsid w:val="00B30606"/>
    <w:rsid w:val="00B30899"/>
    <w:rsid w:val="00B30C97"/>
    <w:rsid w:val="00B30D26"/>
    <w:rsid w:val="00B30D46"/>
    <w:rsid w:val="00B30DB6"/>
    <w:rsid w:val="00B30ED8"/>
    <w:rsid w:val="00B3135D"/>
    <w:rsid w:val="00B314CD"/>
    <w:rsid w:val="00B319DB"/>
    <w:rsid w:val="00B31A3B"/>
    <w:rsid w:val="00B31C8B"/>
    <w:rsid w:val="00B32127"/>
    <w:rsid w:val="00B32198"/>
    <w:rsid w:val="00B32282"/>
    <w:rsid w:val="00B323E3"/>
    <w:rsid w:val="00B3252D"/>
    <w:rsid w:val="00B32534"/>
    <w:rsid w:val="00B328F5"/>
    <w:rsid w:val="00B32BC2"/>
    <w:rsid w:val="00B32DC4"/>
    <w:rsid w:val="00B32DC8"/>
    <w:rsid w:val="00B32EB7"/>
    <w:rsid w:val="00B33329"/>
    <w:rsid w:val="00B33801"/>
    <w:rsid w:val="00B33F48"/>
    <w:rsid w:val="00B34385"/>
    <w:rsid w:val="00B3439B"/>
    <w:rsid w:val="00B345DD"/>
    <w:rsid w:val="00B34951"/>
    <w:rsid w:val="00B34E7D"/>
    <w:rsid w:val="00B34FD3"/>
    <w:rsid w:val="00B359F4"/>
    <w:rsid w:val="00B35A38"/>
    <w:rsid w:val="00B36277"/>
    <w:rsid w:val="00B36F40"/>
    <w:rsid w:val="00B3700E"/>
    <w:rsid w:val="00B37073"/>
    <w:rsid w:val="00B3769D"/>
    <w:rsid w:val="00B37A43"/>
    <w:rsid w:val="00B37E37"/>
    <w:rsid w:val="00B37E67"/>
    <w:rsid w:val="00B401D7"/>
    <w:rsid w:val="00B4029F"/>
    <w:rsid w:val="00B4064C"/>
    <w:rsid w:val="00B40BCB"/>
    <w:rsid w:val="00B40DDC"/>
    <w:rsid w:val="00B40DEE"/>
    <w:rsid w:val="00B40E85"/>
    <w:rsid w:val="00B416E8"/>
    <w:rsid w:val="00B41726"/>
    <w:rsid w:val="00B418DA"/>
    <w:rsid w:val="00B41C99"/>
    <w:rsid w:val="00B41EAE"/>
    <w:rsid w:val="00B41F5E"/>
    <w:rsid w:val="00B41F89"/>
    <w:rsid w:val="00B41FAF"/>
    <w:rsid w:val="00B41FC7"/>
    <w:rsid w:val="00B41FF4"/>
    <w:rsid w:val="00B42C20"/>
    <w:rsid w:val="00B438FC"/>
    <w:rsid w:val="00B43B4B"/>
    <w:rsid w:val="00B44380"/>
    <w:rsid w:val="00B4447F"/>
    <w:rsid w:val="00B445DD"/>
    <w:rsid w:val="00B447C9"/>
    <w:rsid w:val="00B451CD"/>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8"/>
    <w:rsid w:val="00B511C9"/>
    <w:rsid w:val="00B51511"/>
    <w:rsid w:val="00B516B9"/>
    <w:rsid w:val="00B517E2"/>
    <w:rsid w:val="00B51BC0"/>
    <w:rsid w:val="00B51C26"/>
    <w:rsid w:val="00B5236A"/>
    <w:rsid w:val="00B52519"/>
    <w:rsid w:val="00B525CD"/>
    <w:rsid w:val="00B528E5"/>
    <w:rsid w:val="00B528F0"/>
    <w:rsid w:val="00B52C36"/>
    <w:rsid w:val="00B52FC5"/>
    <w:rsid w:val="00B53176"/>
    <w:rsid w:val="00B5326B"/>
    <w:rsid w:val="00B533AF"/>
    <w:rsid w:val="00B53660"/>
    <w:rsid w:val="00B53ABD"/>
    <w:rsid w:val="00B53CCB"/>
    <w:rsid w:val="00B54204"/>
    <w:rsid w:val="00B543D9"/>
    <w:rsid w:val="00B546B2"/>
    <w:rsid w:val="00B54996"/>
    <w:rsid w:val="00B54A5A"/>
    <w:rsid w:val="00B54F98"/>
    <w:rsid w:val="00B55233"/>
    <w:rsid w:val="00B55410"/>
    <w:rsid w:val="00B55B11"/>
    <w:rsid w:val="00B55D8E"/>
    <w:rsid w:val="00B56043"/>
    <w:rsid w:val="00B5640F"/>
    <w:rsid w:val="00B5647E"/>
    <w:rsid w:val="00B56C05"/>
    <w:rsid w:val="00B572F4"/>
    <w:rsid w:val="00B57934"/>
    <w:rsid w:val="00B57C80"/>
    <w:rsid w:val="00B57CBB"/>
    <w:rsid w:val="00B57ECE"/>
    <w:rsid w:val="00B60005"/>
    <w:rsid w:val="00B6001B"/>
    <w:rsid w:val="00B600E5"/>
    <w:rsid w:val="00B60217"/>
    <w:rsid w:val="00B6037A"/>
    <w:rsid w:val="00B606F5"/>
    <w:rsid w:val="00B60A20"/>
    <w:rsid w:val="00B60A5C"/>
    <w:rsid w:val="00B60C82"/>
    <w:rsid w:val="00B60C9A"/>
    <w:rsid w:val="00B60DD3"/>
    <w:rsid w:val="00B61927"/>
    <w:rsid w:val="00B61C86"/>
    <w:rsid w:val="00B61E0F"/>
    <w:rsid w:val="00B61EAC"/>
    <w:rsid w:val="00B62246"/>
    <w:rsid w:val="00B62837"/>
    <w:rsid w:val="00B6304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0CDF"/>
    <w:rsid w:val="00B71046"/>
    <w:rsid w:val="00B71320"/>
    <w:rsid w:val="00B714D5"/>
    <w:rsid w:val="00B714F9"/>
    <w:rsid w:val="00B71684"/>
    <w:rsid w:val="00B718D3"/>
    <w:rsid w:val="00B71A2F"/>
    <w:rsid w:val="00B71D5F"/>
    <w:rsid w:val="00B71D9D"/>
    <w:rsid w:val="00B71F65"/>
    <w:rsid w:val="00B71FF7"/>
    <w:rsid w:val="00B7214B"/>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4C"/>
    <w:rsid w:val="00B74EC0"/>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E18"/>
    <w:rsid w:val="00B8236F"/>
    <w:rsid w:val="00B82446"/>
    <w:rsid w:val="00B8253E"/>
    <w:rsid w:val="00B82673"/>
    <w:rsid w:val="00B82AF0"/>
    <w:rsid w:val="00B83121"/>
    <w:rsid w:val="00B83592"/>
    <w:rsid w:val="00B83ABA"/>
    <w:rsid w:val="00B83C3F"/>
    <w:rsid w:val="00B83C9B"/>
    <w:rsid w:val="00B83E2F"/>
    <w:rsid w:val="00B84477"/>
    <w:rsid w:val="00B84598"/>
    <w:rsid w:val="00B845F0"/>
    <w:rsid w:val="00B84786"/>
    <w:rsid w:val="00B847BB"/>
    <w:rsid w:val="00B847D2"/>
    <w:rsid w:val="00B84A7B"/>
    <w:rsid w:val="00B850CF"/>
    <w:rsid w:val="00B8533A"/>
    <w:rsid w:val="00B8533C"/>
    <w:rsid w:val="00B854FE"/>
    <w:rsid w:val="00B859F9"/>
    <w:rsid w:val="00B85F39"/>
    <w:rsid w:val="00B86213"/>
    <w:rsid w:val="00B86517"/>
    <w:rsid w:val="00B865C4"/>
    <w:rsid w:val="00B86CF4"/>
    <w:rsid w:val="00B86F32"/>
    <w:rsid w:val="00B87035"/>
    <w:rsid w:val="00B87291"/>
    <w:rsid w:val="00B876ED"/>
    <w:rsid w:val="00B87E27"/>
    <w:rsid w:val="00B9063D"/>
    <w:rsid w:val="00B90707"/>
    <w:rsid w:val="00B9074C"/>
    <w:rsid w:val="00B907C0"/>
    <w:rsid w:val="00B90AE7"/>
    <w:rsid w:val="00B90C59"/>
    <w:rsid w:val="00B91071"/>
    <w:rsid w:val="00B91189"/>
    <w:rsid w:val="00B9131E"/>
    <w:rsid w:val="00B9149D"/>
    <w:rsid w:val="00B918B9"/>
    <w:rsid w:val="00B9191D"/>
    <w:rsid w:val="00B91955"/>
    <w:rsid w:val="00B91971"/>
    <w:rsid w:val="00B919DE"/>
    <w:rsid w:val="00B91BF2"/>
    <w:rsid w:val="00B92093"/>
    <w:rsid w:val="00B927AA"/>
    <w:rsid w:val="00B928A4"/>
    <w:rsid w:val="00B92D7E"/>
    <w:rsid w:val="00B92E25"/>
    <w:rsid w:val="00B93050"/>
    <w:rsid w:val="00B933E0"/>
    <w:rsid w:val="00B93477"/>
    <w:rsid w:val="00B938B9"/>
    <w:rsid w:val="00B938E8"/>
    <w:rsid w:val="00B93B28"/>
    <w:rsid w:val="00B93DFE"/>
    <w:rsid w:val="00B94067"/>
    <w:rsid w:val="00B940E8"/>
    <w:rsid w:val="00B94433"/>
    <w:rsid w:val="00B94500"/>
    <w:rsid w:val="00B947E0"/>
    <w:rsid w:val="00B948C5"/>
    <w:rsid w:val="00B949E3"/>
    <w:rsid w:val="00B94A1E"/>
    <w:rsid w:val="00B95052"/>
    <w:rsid w:val="00B953C2"/>
    <w:rsid w:val="00B953DB"/>
    <w:rsid w:val="00B955BA"/>
    <w:rsid w:val="00B957A3"/>
    <w:rsid w:val="00B95800"/>
    <w:rsid w:val="00B9588F"/>
    <w:rsid w:val="00B958FF"/>
    <w:rsid w:val="00B959A1"/>
    <w:rsid w:val="00B959E3"/>
    <w:rsid w:val="00B95A76"/>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C8"/>
    <w:rsid w:val="00BA1010"/>
    <w:rsid w:val="00BA109A"/>
    <w:rsid w:val="00BA10B7"/>
    <w:rsid w:val="00BA10F6"/>
    <w:rsid w:val="00BA1549"/>
    <w:rsid w:val="00BA17E0"/>
    <w:rsid w:val="00BA1B70"/>
    <w:rsid w:val="00BA1BB5"/>
    <w:rsid w:val="00BA2163"/>
    <w:rsid w:val="00BA2240"/>
    <w:rsid w:val="00BA2633"/>
    <w:rsid w:val="00BA27C2"/>
    <w:rsid w:val="00BA2DBC"/>
    <w:rsid w:val="00BA3030"/>
    <w:rsid w:val="00BA358F"/>
    <w:rsid w:val="00BA35E1"/>
    <w:rsid w:val="00BA3AD6"/>
    <w:rsid w:val="00BA42D1"/>
    <w:rsid w:val="00BA4BBF"/>
    <w:rsid w:val="00BA4E47"/>
    <w:rsid w:val="00BA4E95"/>
    <w:rsid w:val="00BA5002"/>
    <w:rsid w:val="00BA50A7"/>
    <w:rsid w:val="00BA5F1E"/>
    <w:rsid w:val="00BA601F"/>
    <w:rsid w:val="00BA64BB"/>
    <w:rsid w:val="00BA6701"/>
    <w:rsid w:val="00BA67EF"/>
    <w:rsid w:val="00BA6E6F"/>
    <w:rsid w:val="00BA6E8A"/>
    <w:rsid w:val="00BA6F97"/>
    <w:rsid w:val="00BA7466"/>
    <w:rsid w:val="00BA783A"/>
    <w:rsid w:val="00BB0370"/>
    <w:rsid w:val="00BB0D6E"/>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5E9D"/>
    <w:rsid w:val="00BB638B"/>
    <w:rsid w:val="00BB7187"/>
    <w:rsid w:val="00BB72D4"/>
    <w:rsid w:val="00BB7451"/>
    <w:rsid w:val="00BB74C4"/>
    <w:rsid w:val="00BB7993"/>
    <w:rsid w:val="00BB7ED5"/>
    <w:rsid w:val="00BB7F20"/>
    <w:rsid w:val="00BC01FE"/>
    <w:rsid w:val="00BC1372"/>
    <w:rsid w:val="00BC16B3"/>
    <w:rsid w:val="00BC1A65"/>
    <w:rsid w:val="00BC1B42"/>
    <w:rsid w:val="00BC1F6E"/>
    <w:rsid w:val="00BC2135"/>
    <w:rsid w:val="00BC2226"/>
    <w:rsid w:val="00BC256D"/>
    <w:rsid w:val="00BC303D"/>
    <w:rsid w:val="00BC3198"/>
    <w:rsid w:val="00BC3259"/>
    <w:rsid w:val="00BC3751"/>
    <w:rsid w:val="00BC37C6"/>
    <w:rsid w:val="00BC38B0"/>
    <w:rsid w:val="00BC3B50"/>
    <w:rsid w:val="00BC3C0D"/>
    <w:rsid w:val="00BC3FB3"/>
    <w:rsid w:val="00BC412E"/>
    <w:rsid w:val="00BC4904"/>
    <w:rsid w:val="00BC5052"/>
    <w:rsid w:val="00BC5597"/>
    <w:rsid w:val="00BC5E11"/>
    <w:rsid w:val="00BC5FBC"/>
    <w:rsid w:val="00BC61CF"/>
    <w:rsid w:val="00BC636C"/>
    <w:rsid w:val="00BC65EA"/>
    <w:rsid w:val="00BC689B"/>
    <w:rsid w:val="00BC6926"/>
    <w:rsid w:val="00BC6977"/>
    <w:rsid w:val="00BC6E8D"/>
    <w:rsid w:val="00BC7245"/>
    <w:rsid w:val="00BC7762"/>
    <w:rsid w:val="00BC7952"/>
    <w:rsid w:val="00BC7B5F"/>
    <w:rsid w:val="00BC7E73"/>
    <w:rsid w:val="00BC7FA9"/>
    <w:rsid w:val="00BD052A"/>
    <w:rsid w:val="00BD052C"/>
    <w:rsid w:val="00BD0590"/>
    <w:rsid w:val="00BD0AFF"/>
    <w:rsid w:val="00BD1423"/>
    <w:rsid w:val="00BD15AD"/>
    <w:rsid w:val="00BD175D"/>
    <w:rsid w:val="00BD1786"/>
    <w:rsid w:val="00BD18B2"/>
    <w:rsid w:val="00BD1A0F"/>
    <w:rsid w:val="00BD1C8F"/>
    <w:rsid w:val="00BD1E7B"/>
    <w:rsid w:val="00BD2189"/>
    <w:rsid w:val="00BD2597"/>
    <w:rsid w:val="00BD283B"/>
    <w:rsid w:val="00BD29D6"/>
    <w:rsid w:val="00BD2AC6"/>
    <w:rsid w:val="00BD2B57"/>
    <w:rsid w:val="00BD2C2D"/>
    <w:rsid w:val="00BD2E06"/>
    <w:rsid w:val="00BD367D"/>
    <w:rsid w:val="00BD379F"/>
    <w:rsid w:val="00BD3A4E"/>
    <w:rsid w:val="00BD3C81"/>
    <w:rsid w:val="00BD3FD1"/>
    <w:rsid w:val="00BD43CE"/>
    <w:rsid w:val="00BD44FA"/>
    <w:rsid w:val="00BD4E76"/>
    <w:rsid w:val="00BD52A9"/>
    <w:rsid w:val="00BD5395"/>
    <w:rsid w:val="00BD57C4"/>
    <w:rsid w:val="00BD5AA7"/>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A0E"/>
    <w:rsid w:val="00BE0B68"/>
    <w:rsid w:val="00BE112D"/>
    <w:rsid w:val="00BE1A33"/>
    <w:rsid w:val="00BE1BD6"/>
    <w:rsid w:val="00BE2003"/>
    <w:rsid w:val="00BE220D"/>
    <w:rsid w:val="00BE2212"/>
    <w:rsid w:val="00BE238C"/>
    <w:rsid w:val="00BE23BF"/>
    <w:rsid w:val="00BE2516"/>
    <w:rsid w:val="00BE2768"/>
    <w:rsid w:val="00BE2E31"/>
    <w:rsid w:val="00BE2F54"/>
    <w:rsid w:val="00BE32B4"/>
    <w:rsid w:val="00BE3319"/>
    <w:rsid w:val="00BE3421"/>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684B"/>
    <w:rsid w:val="00BE693A"/>
    <w:rsid w:val="00BE6C43"/>
    <w:rsid w:val="00BE6C79"/>
    <w:rsid w:val="00BE7127"/>
    <w:rsid w:val="00BE72BC"/>
    <w:rsid w:val="00BE72D3"/>
    <w:rsid w:val="00BE77FF"/>
    <w:rsid w:val="00BE7A74"/>
    <w:rsid w:val="00BE7B0A"/>
    <w:rsid w:val="00BE7C2E"/>
    <w:rsid w:val="00BF09DC"/>
    <w:rsid w:val="00BF0D95"/>
    <w:rsid w:val="00BF0F94"/>
    <w:rsid w:val="00BF105F"/>
    <w:rsid w:val="00BF12AB"/>
    <w:rsid w:val="00BF136A"/>
    <w:rsid w:val="00BF140C"/>
    <w:rsid w:val="00BF151F"/>
    <w:rsid w:val="00BF18EE"/>
    <w:rsid w:val="00BF19A2"/>
    <w:rsid w:val="00BF1C8B"/>
    <w:rsid w:val="00BF1EEE"/>
    <w:rsid w:val="00BF2055"/>
    <w:rsid w:val="00BF22A4"/>
    <w:rsid w:val="00BF2A58"/>
    <w:rsid w:val="00BF2D38"/>
    <w:rsid w:val="00BF3147"/>
    <w:rsid w:val="00BF33F2"/>
    <w:rsid w:val="00BF3441"/>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C00870"/>
    <w:rsid w:val="00C009BB"/>
    <w:rsid w:val="00C00A1C"/>
    <w:rsid w:val="00C0107E"/>
    <w:rsid w:val="00C0159E"/>
    <w:rsid w:val="00C0162B"/>
    <w:rsid w:val="00C02088"/>
    <w:rsid w:val="00C0236D"/>
    <w:rsid w:val="00C02436"/>
    <w:rsid w:val="00C026C7"/>
    <w:rsid w:val="00C0276A"/>
    <w:rsid w:val="00C027CB"/>
    <w:rsid w:val="00C02FF1"/>
    <w:rsid w:val="00C03258"/>
    <w:rsid w:val="00C03592"/>
    <w:rsid w:val="00C035B2"/>
    <w:rsid w:val="00C036D0"/>
    <w:rsid w:val="00C03A04"/>
    <w:rsid w:val="00C03A24"/>
    <w:rsid w:val="00C03D47"/>
    <w:rsid w:val="00C04198"/>
    <w:rsid w:val="00C04676"/>
    <w:rsid w:val="00C04752"/>
    <w:rsid w:val="00C04FF6"/>
    <w:rsid w:val="00C0518C"/>
    <w:rsid w:val="00C05230"/>
    <w:rsid w:val="00C05934"/>
    <w:rsid w:val="00C05F55"/>
    <w:rsid w:val="00C06030"/>
    <w:rsid w:val="00C061DC"/>
    <w:rsid w:val="00C062E6"/>
    <w:rsid w:val="00C06416"/>
    <w:rsid w:val="00C068F6"/>
    <w:rsid w:val="00C06A57"/>
    <w:rsid w:val="00C06B7E"/>
    <w:rsid w:val="00C06D5F"/>
    <w:rsid w:val="00C06E78"/>
    <w:rsid w:val="00C07538"/>
    <w:rsid w:val="00C07CCC"/>
    <w:rsid w:val="00C07EA4"/>
    <w:rsid w:val="00C101DA"/>
    <w:rsid w:val="00C1040C"/>
    <w:rsid w:val="00C10502"/>
    <w:rsid w:val="00C10567"/>
    <w:rsid w:val="00C10835"/>
    <w:rsid w:val="00C10C6E"/>
    <w:rsid w:val="00C11101"/>
    <w:rsid w:val="00C111A5"/>
    <w:rsid w:val="00C11293"/>
    <w:rsid w:val="00C119F4"/>
    <w:rsid w:val="00C11C34"/>
    <w:rsid w:val="00C11F06"/>
    <w:rsid w:val="00C11F90"/>
    <w:rsid w:val="00C11F97"/>
    <w:rsid w:val="00C1248D"/>
    <w:rsid w:val="00C1288F"/>
    <w:rsid w:val="00C129B0"/>
    <w:rsid w:val="00C12AAF"/>
    <w:rsid w:val="00C12D03"/>
    <w:rsid w:val="00C12E2C"/>
    <w:rsid w:val="00C1397E"/>
    <w:rsid w:val="00C139B3"/>
    <w:rsid w:val="00C14175"/>
    <w:rsid w:val="00C1468D"/>
    <w:rsid w:val="00C14714"/>
    <w:rsid w:val="00C14CEF"/>
    <w:rsid w:val="00C14DD9"/>
    <w:rsid w:val="00C14E3A"/>
    <w:rsid w:val="00C150E4"/>
    <w:rsid w:val="00C15542"/>
    <w:rsid w:val="00C157DF"/>
    <w:rsid w:val="00C1585A"/>
    <w:rsid w:val="00C15BC4"/>
    <w:rsid w:val="00C15C7A"/>
    <w:rsid w:val="00C15CA0"/>
    <w:rsid w:val="00C161A2"/>
    <w:rsid w:val="00C16564"/>
    <w:rsid w:val="00C16620"/>
    <w:rsid w:val="00C16DE3"/>
    <w:rsid w:val="00C171E2"/>
    <w:rsid w:val="00C17414"/>
    <w:rsid w:val="00C178BC"/>
    <w:rsid w:val="00C17967"/>
    <w:rsid w:val="00C17AF8"/>
    <w:rsid w:val="00C2006D"/>
    <w:rsid w:val="00C20494"/>
    <w:rsid w:val="00C20555"/>
    <w:rsid w:val="00C206BA"/>
    <w:rsid w:val="00C20728"/>
    <w:rsid w:val="00C207D9"/>
    <w:rsid w:val="00C2092B"/>
    <w:rsid w:val="00C2095E"/>
    <w:rsid w:val="00C209E2"/>
    <w:rsid w:val="00C20A60"/>
    <w:rsid w:val="00C20BB4"/>
    <w:rsid w:val="00C20C37"/>
    <w:rsid w:val="00C20D96"/>
    <w:rsid w:val="00C20ECE"/>
    <w:rsid w:val="00C20F1E"/>
    <w:rsid w:val="00C2128E"/>
    <w:rsid w:val="00C21512"/>
    <w:rsid w:val="00C2195F"/>
    <w:rsid w:val="00C21CB3"/>
    <w:rsid w:val="00C21D7E"/>
    <w:rsid w:val="00C21E21"/>
    <w:rsid w:val="00C222DD"/>
    <w:rsid w:val="00C225E7"/>
    <w:rsid w:val="00C22667"/>
    <w:rsid w:val="00C228DF"/>
    <w:rsid w:val="00C22E43"/>
    <w:rsid w:val="00C22F38"/>
    <w:rsid w:val="00C2316E"/>
    <w:rsid w:val="00C23230"/>
    <w:rsid w:val="00C23D9C"/>
    <w:rsid w:val="00C24397"/>
    <w:rsid w:val="00C244D8"/>
    <w:rsid w:val="00C2458C"/>
    <w:rsid w:val="00C24638"/>
    <w:rsid w:val="00C247BF"/>
    <w:rsid w:val="00C24803"/>
    <w:rsid w:val="00C24A23"/>
    <w:rsid w:val="00C25034"/>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F74"/>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830"/>
    <w:rsid w:val="00C32839"/>
    <w:rsid w:val="00C328A3"/>
    <w:rsid w:val="00C328A5"/>
    <w:rsid w:val="00C3299C"/>
    <w:rsid w:val="00C33B0C"/>
    <w:rsid w:val="00C33CE3"/>
    <w:rsid w:val="00C33F1F"/>
    <w:rsid w:val="00C33F54"/>
    <w:rsid w:val="00C3404E"/>
    <w:rsid w:val="00C345B8"/>
    <w:rsid w:val="00C34825"/>
    <w:rsid w:val="00C34910"/>
    <w:rsid w:val="00C34B04"/>
    <w:rsid w:val="00C34B63"/>
    <w:rsid w:val="00C34D60"/>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B36"/>
    <w:rsid w:val="00C410A1"/>
    <w:rsid w:val="00C41393"/>
    <w:rsid w:val="00C41647"/>
    <w:rsid w:val="00C41D4E"/>
    <w:rsid w:val="00C424EA"/>
    <w:rsid w:val="00C42914"/>
    <w:rsid w:val="00C42E28"/>
    <w:rsid w:val="00C4351D"/>
    <w:rsid w:val="00C43629"/>
    <w:rsid w:val="00C439B7"/>
    <w:rsid w:val="00C43F13"/>
    <w:rsid w:val="00C44265"/>
    <w:rsid w:val="00C444C0"/>
    <w:rsid w:val="00C44968"/>
    <w:rsid w:val="00C44A7A"/>
    <w:rsid w:val="00C44D43"/>
    <w:rsid w:val="00C454AC"/>
    <w:rsid w:val="00C4574C"/>
    <w:rsid w:val="00C45C4D"/>
    <w:rsid w:val="00C45C50"/>
    <w:rsid w:val="00C45F37"/>
    <w:rsid w:val="00C45FBA"/>
    <w:rsid w:val="00C46115"/>
    <w:rsid w:val="00C4612C"/>
    <w:rsid w:val="00C46446"/>
    <w:rsid w:val="00C4649F"/>
    <w:rsid w:val="00C4671A"/>
    <w:rsid w:val="00C46AA6"/>
    <w:rsid w:val="00C46BEE"/>
    <w:rsid w:val="00C4709C"/>
    <w:rsid w:val="00C47218"/>
    <w:rsid w:val="00C4781A"/>
    <w:rsid w:val="00C4789D"/>
    <w:rsid w:val="00C479DB"/>
    <w:rsid w:val="00C47DDC"/>
    <w:rsid w:val="00C47E2E"/>
    <w:rsid w:val="00C501DA"/>
    <w:rsid w:val="00C50353"/>
    <w:rsid w:val="00C506CD"/>
    <w:rsid w:val="00C50A08"/>
    <w:rsid w:val="00C50A87"/>
    <w:rsid w:val="00C50DFC"/>
    <w:rsid w:val="00C50F4D"/>
    <w:rsid w:val="00C51E5E"/>
    <w:rsid w:val="00C522C2"/>
    <w:rsid w:val="00C523E0"/>
    <w:rsid w:val="00C5272A"/>
    <w:rsid w:val="00C52A65"/>
    <w:rsid w:val="00C52BCF"/>
    <w:rsid w:val="00C52DF1"/>
    <w:rsid w:val="00C534A7"/>
    <w:rsid w:val="00C53AC7"/>
    <w:rsid w:val="00C540D3"/>
    <w:rsid w:val="00C5462C"/>
    <w:rsid w:val="00C549E0"/>
    <w:rsid w:val="00C54A84"/>
    <w:rsid w:val="00C54BDB"/>
    <w:rsid w:val="00C551E8"/>
    <w:rsid w:val="00C5547A"/>
    <w:rsid w:val="00C558C3"/>
    <w:rsid w:val="00C56462"/>
    <w:rsid w:val="00C5649C"/>
    <w:rsid w:val="00C565EE"/>
    <w:rsid w:val="00C567FE"/>
    <w:rsid w:val="00C569D5"/>
    <w:rsid w:val="00C56C54"/>
    <w:rsid w:val="00C570F9"/>
    <w:rsid w:val="00C571B2"/>
    <w:rsid w:val="00C57257"/>
    <w:rsid w:val="00C573CF"/>
    <w:rsid w:val="00C57C77"/>
    <w:rsid w:val="00C57FC3"/>
    <w:rsid w:val="00C6000B"/>
    <w:rsid w:val="00C603AE"/>
    <w:rsid w:val="00C609AA"/>
    <w:rsid w:val="00C60CE4"/>
    <w:rsid w:val="00C60ECE"/>
    <w:rsid w:val="00C61366"/>
    <w:rsid w:val="00C61581"/>
    <w:rsid w:val="00C618FD"/>
    <w:rsid w:val="00C61DC9"/>
    <w:rsid w:val="00C61E97"/>
    <w:rsid w:val="00C62078"/>
    <w:rsid w:val="00C6214D"/>
    <w:rsid w:val="00C62587"/>
    <w:rsid w:val="00C6268B"/>
    <w:rsid w:val="00C630CF"/>
    <w:rsid w:val="00C63116"/>
    <w:rsid w:val="00C63201"/>
    <w:rsid w:val="00C63CAD"/>
    <w:rsid w:val="00C64133"/>
    <w:rsid w:val="00C641E7"/>
    <w:rsid w:val="00C64397"/>
    <w:rsid w:val="00C645F1"/>
    <w:rsid w:val="00C64907"/>
    <w:rsid w:val="00C64B92"/>
    <w:rsid w:val="00C64EC1"/>
    <w:rsid w:val="00C64F55"/>
    <w:rsid w:val="00C652C8"/>
    <w:rsid w:val="00C653E6"/>
    <w:rsid w:val="00C6554D"/>
    <w:rsid w:val="00C65670"/>
    <w:rsid w:val="00C65C90"/>
    <w:rsid w:val="00C65C9E"/>
    <w:rsid w:val="00C65D6E"/>
    <w:rsid w:val="00C65DD7"/>
    <w:rsid w:val="00C65E9C"/>
    <w:rsid w:val="00C66025"/>
    <w:rsid w:val="00C660C0"/>
    <w:rsid w:val="00C667B7"/>
    <w:rsid w:val="00C6697D"/>
    <w:rsid w:val="00C669C2"/>
    <w:rsid w:val="00C66C0A"/>
    <w:rsid w:val="00C66D3E"/>
    <w:rsid w:val="00C67180"/>
    <w:rsid w:val="00C67228"/>
    <w:rsid w:val="00C67332"/>
    <w:rsid w:val="00C676B4"/>
    <w:rsid w:val="00C67A04"/>
    <w:rsid w:val="00C67E1F"/>
    <w:rsid w:val="00C70280"/>
    <w:rsid w:val="00C70973"/>
    <w:rsid w:val="00C710D6"/>
    <w:rsid w:val="00C71146"/>
    <w:rsid w:val="00C7137A"/>
    <w:rsid w:val="00C71713"/>
    <w:rsid w:val="00C71996"/>
    <w:rsid w:val="00C72496"/>
    <w:rsid w:val="00C7303E"/>
    <w:rsid w:val="00C732A9"/>
    <w:rsid w:val="00C739E8"/>
    <w:rsid w:val="00C73D0E"/>
    <w:rsid w:val="00C73D6F"/>
    <w:rsid w:val="00C73E9D"/>
    <w:rsid w:val="00C743EC"/>
    <w:rsid w:val="00C74462"/>
    <w:rsid w:val="00C744F2"/>
    <w:rsid w:val="00C746DD"/>
    <w:rsid w:val="00C747FF"/>
    <w:rsid w:val="00C74F14"/>
    <w:rsid w:val="00C750FA"/>
    <w:rsid w:val="00C753D5"/>
    <w:rsid w:val="00C758D6"/>
    <w:rsid w:val="00C76793"/>
    <w:rsid w:val="00C768C3"/>
    <w:rsid w:val="00C7696C"/>
    <w:rsid w:val="00C76BDA"/>
    <w:rsid w:val="00C773BA"/>
    <w:rsid w:val="00C77BF4"/>
    <w:rsid w:val="00C77F24"/>
    <w:rsid w:val="00C801B7"/>
    <w:rsid w:val="00C80828"/>
    <w:rsid w:val="00C80EBE"/>
    <w:rsid w:val="00C810D6"/>
    <w:rsid w:val="00C81B2E"/>
    <w:rsid w:val="00C8235F"/>
    <w:rsid w:val="00C82E15"/>
    <w:rsid w:val="00C82F13"/>
    <w:rsid w:val="00C82FC7"/>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54A9"/>
    <w:rsid w:val="00C85604"/>
    <w:rsid w:val="00C857E1"/>
    <w:rsid w:val="00C85D8B"/>
    <w:rsid w:val="00C85DF8"/>
    <w:rsid w:val="00C8611D"/>
    <w:rsid w:val="00C865AB"/>
    <w:rsid w:val="00C86784"/>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930"/>
    <w:rsid w:val="00C91A7C"/>
    <w:rsid w:val="00C91AFD"/>
    <w:rsid w:val="00C91B95"/>
    <w:rsid w:val="00C91CA4"/>
    <w:rsid w:val="00C91F80"/>
    <w:rsid w:val="00C920EB"/>
    <w:rsid w:val="00C923A2"/>
    <w:rsid w:val="00C9302A"/>
    <w:rsid w:val="00C93BD7"/>
    <w:rsid w:val="00C93F7B"/>
    <w:rsid w:val="00C9401D"/>
    <w:rsid w:val="00C942D3"/>
    <w:rsid w:val="00C94555"/>
    <w:rsid w:val="00C948CC"/>
    <w:rsid w:val="00C94913"/>
    <w:rsid w:val="00C94B0F"/>
    <w:rsid w:val="00C94B15"/>
    <w:rsid w:val="00C9503B"/>
    <w:rsid w:val="00C9506E"/>
    <w:rsid w:val="00C9522C"/>
    <w:rsid w:val="00C95831"/>
    <w:rsid w:val="00C95B43"/>
    <w:rsid w:val="00C95CCD"/>
    <w:rsid w:val="00C963DC"/>
    <w:rsid w:val="00C9686C"/>
    <w:rsid w:val="00C96AA0"/>
    <w:rsid w:val="00C96B67"/>
    <w:rsid w:val="00C96BBE"/>
    <w:rsid w:val="00C96BCA"/>
    <w:rsid w:val="00C96F5A"/>
    <w:rsid w:val="00C97421"/>
    <w:rsid w:val="00C97502"/>
    <w:rsid w:val="00C97C89"/>
    <w:rsid w:val="00CA0B72"/>
    <w:rsid w:val="00CA0D6E"/>
    <w:rsid w:val="00CA1434"/>
    <w:rsid w:val="00CA15F9"/>
    <w:rsid w:val="00CA162A"/>
    <w:rsid w:val="00CA1971"/>
    <w:rsid w:val="00CA215B"/>
    <w:rsid w:val="00CA22F5"/>
    <w:rsid w:val="00CA23AB"/>
    <w:rsid w:val="00CA29A0"/>
    <w:rsid w:val="00CA2D45"/>
    <w:rsid w:val="00CA2EBD"/>
    <w:rsid w:val="00CA3984"/>
    <w:rsid w:val="00CA39FD"/>
    <w:rsid w:val="00CA3AF3"/>
    <w:rsid w:val="00CA3B08"/>
    <w:rsid w:val="00CA3BC2"/>
    <w:rsid w:val="00CA4803"/>
    <w:rsid w:val="00CA48C7"/>
    <w:rsid w:val="00CA516E"/>
    <w:rsid w:val="00CA5171"/>
    <w:rsid w:val="00CA52BE"/>
    <w:rsid w:val="00CA52F9"/>
    <w:rsid w:val="00CA583A"/>
    <w:rsid w:val="00CA58DA"/>
    <w:rsid w:val="00CA5E30"/>
    <w:rsid w:val="00CA5E9C"/>
    <w:rsid w:val="00CA68A4"/>
    <w:rsid w:val="00CA6AE6"/>
    <w:rsid w:val="00CA6BF0"/>
    <w:rsid w:val="00CA72B2"/>
    <w:rsid w:val="00CA7A07"/>
    <w:rsid w:val="00CA7C2E"/>
    <w:rsid w:val="00CB00E1"/>
    <w:rsid w:val="00CB0267"/>
    <w:rsid w:val="00CB0953"/>
    <w:rsid w:val="00CB0B5B"/>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65C"/>
    <w:rsid w:val="00CC07DA"/>
    <w:rsid w:val="00CC0C0E"/>
    <w:rsid w:val="00CC0FE5"/>
    <w:rsid w:val="00CC11E0"/>
    <w:rsid w:val="00CC1825"/>
    <w:rsid w:val="00CC1C42"/>
    <w:rsid w:val="00CC22BB"/>
    <w:rsid w:val="00CC234A"/>
    <w:rsid w:val="00CC2704"/>
    <w:rsid w:val="00CC33DA"/>
    <w:rsid w:val="00CC3472"/>
    <w:rsid w:val="00CC36B8"/>
    <w:rsid w:val="00CC3843"/>
    <w:rsid w:val="00CC39B2"/>
    <w:rsid w:val="00CC3B22"/>
    <w:rsid w:val="00CC4068"/>
    <w:rsid w:val="00CC4348"/>
    <w:rsid w:val="00CC446A"/>
    <w:rsid w:val="00CC4756"/>
    <w:rsid w:val="00CC4820"/>
    <w:rsid w:val="00CC5102"/>
    <w:rsid w:val="00CC5A85"/>
    <w:rsid w:val="00CC5BC0"/>
    <w:rsid w:val="00CC60E8"/>
    <w:rsid w:val="00CC6339"/>
    <w:rsid w:val="00CC63E1"/>
    <w:rsid w:val="00CC63EA"/>
    <w:rsid w:val="00CC658B"/>
    <w:rsid w:val="00CC663D"/>
    <w:rsid w:val="00CC68B5"/>
    <w:rsid w:val="00CC6C63"/>
    <w:rsid w:val="00CC6DC1"/>
    <w:rsid w:val="00CC719D"/>
    <w:rsid w:val="00CC727A"/>
    <w:rsid w:val="00CC73DB"/>
    <w:rsid w:val="00CC7546"/>
    <w:rsid w:val="00CC7B77"/>
    <w:rsid w:val="00CC7E81"/>
    <w:rsid w:val="00CC7FB2"/>
    <w:rsid w:val="00CD06C1"/>
    <w:rsid w:val="00CD097B"/>
    <w:rsid w:val="00CD19E3"/>
    <w:rsid w:val="00CD1A71"/>
    <w:rsid w:val="00CD1A7E"/>
    <w:rsid w:val="00CD1AC8"/>
    <w:rsid w:val="00CD1DCA"/>
    <w:rsid w:val="00CD23E6"/>
    <w:rsid w:val="00CD2600"/>
    <w:rsid w:val="00CD2636"/>
    <w:rsid w:val="00CD26F1"/>
    <w:rsid w:val="00CD2764"/>
    <w:rsid w:val="00CD27A5"/>
    <w:rsid w:val="00CD2816"/>
    <w:rsid w:val="00CD294D"/>
    <w:rsid w:val="00CD2AF2"/>
    <w:rsid w:val="00CD3ADB"/>
    <w:rsid w:val="00CD3C9D"/>
    <w:rsid w:val="00CD406D"/>
    <w:rsid w:val="00CD45FA"/>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706"/>
    <w:rsid w:val="00CE5A56"/>
    <w:rsid w:val="00CE5C47"/>
    <w:rsid w:val="00CE5EBF"/>
    <w:rsid w:val="00CE67F9"/>
    <w:rsid w:val="00CE6BBB"/>
    <w:rsid w:val="00CE6CE7"/>
    <w:rsid w:val="00CE6D68"/>
    <w:rsid w:val="00CE7DB1"/>
    <w:rsid w:val="00CE7F5A"/>
    <w:rsid w:val="00CF00E5"/>
    <w:rsid w:val="00CF020B"/>
    <w:rsid w:val="00CF03D0"/>
    <w:rsid w:val="00CF05CB"/>
    <w:rsid w:val="00CF08AD"/>
    <w:rsid w:val="00CF0B15"/>
    <w:rsid w:val="00CF0F81"/>
    <w:rsid w:val="00CF1151"/>
    <w:rsid w:val="00CF12BE"/>
    <w:rsid w:val="00CF1601"/>
    <w:rsid w:val="00CF169B"/>
    <w:rsid w:val="00CF1C61"/>
    <w:rsid w:val="00CF1F91"/>
    <w:rsid w:val="00CF20C3"/>
    <w:rsid w:val="00CF226E"/>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593"/>
    <w:rsid w:val="00CF794C"/>
    <w:rsid w:val="00CF7C5D"/>
    <w:rsid w:val="00D00314"/>
    <w:rsid w:val="00D003B1"/>
    <w:rsid w:val="00D00A5C"/>
    <w:rsid w:val="00D00A89"/>
    <w:rsid w:val="00D00B2F"/>
    <w:rsid w:val="00D00B8D"/>
    <w:rsid w:val="00D0117D"/>
    <w:rsid w:val="00D0168C"/>
    <w:rsid w:val="00D01DA1"/>
    <w:rsid w:val="00D01EF7"/>
    <w:rsid w:val="00D02A5B"/>
    <w:rsid w:val="00D02BB7"/>
    <w:rsid w:val="00D033F6"/>
    <w:rsid w:val="00D0348D"/>
    <w:rsid w:val="00D034BA"/>
    <w:rsid w:val="00D03AA5"/>
    <w:rsid w:val="00D03C30"/>
    <w:rsid w:val="00D04115"/>
    <w:rsid w:val="00D04763"/>
    <w:rsid w:val="00D04A26"/>
    <w:rsid w:val="00D04A81"/>
    <w:rsid w:val="00D04C34"/>
    <w:rsid w:val="00D04C69"/>
    <w:rsid w:val="00D04CFA"/>
    <w:rsid w:val="00D04DDB"/>
    <w:rsid w:val="00D04EE4"/>
    <w:rsid w:val="00D055B9"/>
    <w:rsid w:val="00D05B8B"/>
    <w:rsid w:val="00D05D14"/>
    <w:rsid w:val="00D06038"/>
    <w:rsid w:val="00D060D4"/>
    <w:rsid w:val="00D06458"/>
    <w:rsid w:val="00D064CE"/>
    <w:rsid w:val="00D06E40"/>
    <w:rsid w:val="00D06F5F"/>
    <w:rsid w:val="00D0701E"/>
    <w:rsid w:val="00D0746E"/>
    <w:rsid w:val="00D0772D"/>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0EC"/>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E42"/>
    <w:rsid w:val="00D14F95"/>
    <w:rsid w:val="00D1500F"/>
    <w:rsid w:val="00D15477"/>
    <w:rsid w:val="00D156F8"/>
    <w:rsid w:val="00D157AB"/>
    <w:rsid w:val="00D160F9"/>
    <w:rsid w:val="00D16455"/>
    <w:rsid w:val="00D166AB"/>
    <w:rsid w:val="00D168D4"/>
    <w:rsid w:val="00D16ADA"/>
    <w:rsid w:val="00D16CD3"/>
    <w:rsid w:val="00D16D58"/>
    <w:rsid w:val="00D16E90"/>
    <w:rsid w:val="00D17339"/>
    <w:rsid w:val="00D179F1"/>
    <w:rsid w:val="00D20109"/>
    <w:rsid w:val="00D2015C"/>
    <w:rsid w:val="00D20253"/>
    <w:rsid w:val="00D206A3"/>
    <w:rsid w:val="00D20744"/>
    <w:rsid w:val="00D20A19"/>
    <w:rsid w:val="00D20CD9"/>
    <w:rsid w:val="00D213F1"/>
    <w:rsid w:val="00D21B9B"/>
    <w:rsid w:val="00D21CDA"/>
    <w:rsid w:val="00D21F2E"/>
    <w:rsid w:val="00D22260"/>
    <w:rsid w:val="00D22266"/>
    <w:rsid w:val="00D22672"/>
    <w:rsid w:val="00D22A26"/>
    <w:rsid w:val="00D22D35"/>
    <w:rsid w:val="00D22E4A"/>
    <w:rsid w:val="00D234FE"/>
    <w:rsid w:val="00D238FF"/>
    <w:rsid w:val="00D23DEF"/>
    <w:rsid w:val="00D23F97"/>
    <w:rsid w:val="00D243EB"/>
    <w:rsid w:val="00D2495F"/>
    <w:rsid w:val="00D249A6"/>
    <w:rsid w:val="00D249C6"/>
    <w:rsid w:val="00D24E2B"/>
    <w:rsid w:val="00D25353"/>
    <w:rsid w:val="00D256EE"/>
    <w:rsid w:val="00D258A6"/>
    <w:rsid w:val="00D25F43"/>
    <w:rsid w:val="00D26272"/>
    <w:rsid w:val="00D26588"/>
    <w:rsid w:val="00D266F7"/>
    <w:rsid w:val="00D269AC"/>
    <w:rsid w:val="00D26BB9"/>
    <w:rsid w:val="00D26DF5"/>
    <w:rsid w:val="00D26E5C"/>
    <w:rsid w:val="00D27373"/>
    <w:rsid w:val="00D273DC"/>
    <w:rsid w:val="00D27567"/>
    <w:rsid w:val="00D276A0"/>
    <w:rsid w:val="00D27F74"/>
    <w:rsid w:val="00D30381"/>
    <w:rsid w:val="00D306F9"/>
    <w:rsid w:val="00D307D3"/>
    <w:rsid w:val="00D309D0"/>
    <w:rsid w:val="00D30E47"/>
    <w:rsid w:val="00D310AB"/>
    <w:rsid w:val="00D3114B"/>
    <w:rsid w:val="00D31339"/>
    <w:rsid w:val="00D31446"/>
    <w:rsid w:val="00D314C8"/>
    <w:rsid w:val="00D315CF"/>
    <w:rsid w:val="00D318DE"/>
    <w:rsid w:val="00D31FCB"/>
    <w:rsid w:val="00D3203A"/>
    <w:rsid w:val="00D32089"/>
    <w:rsid w:val="00D32518"/>
    <w:rsid w:val="00D3294A"/>
    <w:rsid w:val="00D32AE4"/>
    <w:rsid w:val="00D32BF2"/>
    <w:rsid w:val="00D32F93"/>
    <w:rsid w:val="00D339FF"/>
    <w:rsid w:val="00D345DC"/>
    <w:rsid w:val="00D34646"/>
    <w:rsid w:val="00D34A04"/>
    <w:rsid w:val="00D34C4C"/>
    <w:rsid w:val="00D34D6B"/>
    <w:rsid w:val="00D34E09"/>
    <w:rsid w:val="00D35264"/>
    <w:rsid w:val="00D35284"/>
    <w:rsid w:val="00D3559D"/>
    <w:rsid w:val="00D35784"/>
    <w:rsid w:val="00D3583A"/>
    <w:rsid w:val="00D35B76"/>
    <w:rsid w:val="00D35D7F"/>
    <w:rsid w:val="00D36049"/>
    <w:rsid w:val="00D3629F"/>
    <w:rsid w:val="00D365B4"/>
    <w:rsid w:val="00D36E0F"/>
    <w:rsid w:val="00D37282"/>
    <w:rsid w:val="00D377E0"/>
    <w:rsid w:val="00D379BF"/>
    <w:rsid w:val="00D379CD"/>
    <w:rsid w:val="00D40B83"/>
    <w:rsid w:val="00D40F0B"/>
    <w:rsid w:val="00D41039"/>
    <w:rsid w:val="00D4162C"/>
    <w:rsid w:val="00D41C12"/>
    <w:rsid w:val="00D41E38"/>
    <w:rsid w:val="00D41F6C"/>
    <w:rsid w:val="00D41FB4"/>
    <w:rsid w:val="00D42103"/>
    <w:rsid w:val="00D42846"/>
    <w:rsid w:val="00D42CD1"/>
    <w:rsid w:val="00D42FBD"/>
    <w:rsid w:val="00D430D1"/>
    <w:rsid w:val="00D432CD"/>
    <w:rsid w:val="00D434A4"/>
    <w:rsid w:val="00D43678"/>
    <w:rsid w:val="00D43B70"/>
    <w:rsid w:val="00D43DCE"/>
    <w:rsid w:val="00D43E54"/>
    <w:rsid w:val="00D443C0"/>
    <w:rsid w:val="00D443C7"/>
    <w:rsid w:val="00D4469A"/>
    <w:rsid w:val="00D4492C"/>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47B95"/>
    <w:rsid w:val="00D501F9"/>
    <w:rsid w:val="00D50215"/>
    <w:rsid w:val="00D503C6"/>
    <w:rsid w:val="00D505F6"/>
    <w:rsid w:val="00D50989"/>
    <w:rsid w:val="00D50A70"/>
    <w:rsid w:val="00D50AE0"/>
    <w:rsid w:val="00D510EE"/>
    <w:rsid w:val="00D5126E"/>
    <w:rsid w:val="00D51379"/>
    <w:rsid w:val="00D5147E"/>
    <w:rsid w:val="00D5156F"/>
    <w:rsid w:val="00D518A5"/>
    <w:rsid w:val="00D519D7"/>
    <w:rsid w:val="00D51B0E"/>
    <w:rsid w:val="00D525F2"/>
    <w:rsid w:val="00D52833"/>
    <w:rsid w:val="00D529E4"/>
    <w:rsid w:val="00D52A69"/>
    <w:rsid w:val="00D52E8D"/>
    <w:rsid w:val="00D52FFC"/>
    <w:rsid w:val="00D5341A"/>
    <w:rsid w:val="00D537F2"/>
    <w:rsid w:val="00D53A3D"/>
    <w:rsid w:val="00D53F11"/>
    <w:rsid w:val="00D54216"/>
    <w:rsid w:val="00D54618"/>
    <w:rsid w:val="00D54648"/>
    <w:rsid w:val="00D54958"/>
    <w:rsid w:val="00D549BB"/>
    <w:rsid w:val="00D54B28"/>
    <w:rsid w:val="00D55452"/>
    <w:rsid w:val="00D5574D"/>
    <w:rsid w:val="00D55DB4"/>
    <w:rsid w:val="00D560C3"/>
    <w:rsid w:val="00D565A4"/>
    <w:rsid w:val="00D567E5"/>
    <w:rsid w:val="00D569B1"/>
    <w:rsid w:val="00D56C08"/>
    <w:rsid w:val="00D56C11"/>
    <w:rsid w:val="00D56C4C"/>
    <w:rsid w:val="00D56DF8"/>
    <w:rsid w:val="00D56E78"/>
    <w:rsid w:val="00D57B44"/>
    <w:rsid w:val="00D57C15"/>
    <w:rsid w:val="00D57DE3"/>
    <w:rsid w:val="00D57F95"/>
    <w:rsid w:val="00D60128"/>
    <w:rsid w:val="00D601E4"/>
    <w:rsid w:val="00D60343"/>
    <w:rsid w:val="00D60353"/>
    <w:rsid w:val="00D6046A"/>
    <w:rsid w:val="00D6047E"/>
    <w:rsid w:val="00D6126F"/>
    <w:rsid w:val="00D61B8E"/>
    <w:rsid w:val="00D61C01"/>
    <w:rsid w:val="00D61C02"/>
    <w:rsid w:val="00D61EBD"/>
    <w:rsid w:val="00D620F0"/>
    <w:rsid w:val="00D621AF"/>
    <w:rsid w:val="00D6233B"/>
    <w:rsid w:val="00D6234B"/>
    <w:rsid w:val="00D62626"/>
    <w:rsid w:val="00D6271E"/>
    <w:rsid w:val="00D62888"/>
    <w:rsid w:val="00D62956"/>
    <w:rsid w:val="00D62CD4"/>
    <w:rsid w:val="00D62CF0"/>
    <w:rsid w:val="00D62ED6"/>
    <w:rsid w:val="00D63117"/>
    <w:rsid w:val="00D63831"/>
    <w:rsid w:val="00D639E4"/>
    <w:rsid w:val="00D63A6F"/>
    <w:rsid w:val="00D63AC2"/>
    <w:rsid w:val="00D63C4C"/>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5FD6"/>
    <w:rsid w:val="00D66147"/>
    <w:rsid w:val="00D66253"/>
    <w:rsid w:val="00D66BBA"/>
    <w:rsid w:val="00D66D77"/>
    <w:rsid w:val="00D671D4"/>
    <w:rsid w:val="00D671EA"/>
    <w:rsid w:val="00D673F5"/>
    <w:rsid w:val="00D6774F"/>
    <w:rsid w:val="00D67A22"/>
    <w:rsid w:val="00D67BBF"/>
    <w:rsid w:val="00D67E7C"/>
    <w:rsid w:val="00D70426"/>
    <w:rsid w:val="00D70CE5"/>
    <w:rsid w:val="00D711F2"/>
    <w:rsid w:val="00D71761"/>
    <w:rsid w:val="00D719E9"/>
    <w:rsid w:val="00D71A6E"/>
    <w:rsid w:val="00D71B2A"/>
    <w:rsid w:val="00D72AD4"/>
    <w:rsid w:val="00D72E7C"/>
    <w:rsid w:val="00D735C4"/>
    <w:rsid w:val="00D738FE"/>
    <w:rsid w:val="00D73B2E"/>
    <w:rsid w:val="00D73B90"/>
    <w:rsid w:val="00D73D25"/>
    <w:rsid w:val="00D73FB4"/>
    <w:rsid w:val="00D74193"/>
    <w:rsid w:val="00D74F7E"/>
    <w:rsid w:val="00D74FE7"/>
    <w:rsid w:val="00D75974"/>
    <w:rsid w:val="00D75EE3"/>
    <w:rsid w:val="00D760D9"/>
    <w:rsid w:val="00D7618C"/>
    <w:rsid w:val="00D7622D"/>
    <w:rsid w:val="00D7634F"/>
    <w:rsid w:val="00D76575"/>
    <w:rsid w:val="00D769F7"/>
    <w:rsid w:val="00D76C1F"/>
    <w:rsid w:val="00D77475"/>
    <w:rsid w:val="00D774B8"/>
    <w:rsid w:val="00D7751B"/>
    <w:rsid w:val="00D7798A"/>
    <w:rsid w:val="00D77B63"/>
    <w:rsid w:val="00D77C27"/>
    <w:rsid w:val="00D804DB"/>
    <w:rsid w:val="00D81629"/>
    <w:rsid w:val="00D81997"/>
    <w:rsid w:val="00D81AD0"/>
    <w:rsid w:val="00D81AE1"/>
    <w:rsid w:val="00D81C62"/>
    <w:rsid w:val="00D81FAA"/>
    <w:rsid w:val="00D82637"/>
    <w:rsid w:val="00D826C3"/>
    <w:rsid w:val="00D82E05"/>
    <w:rsid w:val="00D82E5C"/>
    <w:rsid w:val="00D836C5"/>
    <w:rsid w:val="00D83D47"/>
    <w:rsid w:val="00D83DAF"/>
    <w:rsid w:val="00D83DEA"/>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82"/>
    <w:rsid w:val="00D90D91"/>
    <w:rsid w:val="00D90DCC"/>
    <w:rsid w:val="00D90E4D"/>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575"/>
    <w:rsid w:val="00D9362A"/>
    <w:rsid w:val="00D93639"/>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505"/>
    <w:rsid w:val="00D97C63"/>
    <w:rsid w:val="00DA0440"/>
    <w:rsid w:val="00DA0865"/>
    <w:rsid w:val="00DA0ED5"/>
    <w:rsid w:val="00DA1229"/>
    <w:rsid w:val="00DA23E3"/>
    <w:rsid w:val="00DA2458"/>
    <w:rsid w:val="00DA254B"/>
    <w:rsid w:val="00DA2A80"/>
    <w:rsid w:val="00DA2C9D"/>
    <w:rsid w:val="00DA2E25"/>
    <w:rsid w:val="00DA3250"/>
    <w:rsid w:val="00DA3300"/>
    <w:rsid w:val="00DA35EA"/>
    <w:rsid w:val="00DA4216"/>
    <w:rsid w:val="00DA45F7"/>
    <w:rsid w:val="00DA4809"/>
    <w:rsid w:val="00DA4A71"/>
    <w:rsid w:val="00DA4AF7"/>
    <w:rsid w:val="00DA4D99"/>
    <w:rsid w:val="00DA4EDF"/>
    <w:rsid w:val="00DA544B"/>
    <w:rsid w:val="00DA571F"/>
    <w:rsid w:val="00DA58C8"/>
    <w:rsid w:val="00DA5A5C"/>
    <w:rsid w:val="00DA5B3D"/>
    <w:rsid w:val="00DA6096"/>
    <w:rsid w:val="00DA6515"/>
    <w:rsid w:val="00DA65B8"/>
    <w:rsid w:val="00DA6787"/>
    <w:rsid w:val="00DA6A0C"/>
    <w:rsid w:val="00DA6A11"/>
    <w:rsid w:val="00DA6A58"/>
    <w:rsid w:val="00DA6A68"/>
    <w:rsid w:val="00DA6D35"/>
    <w:rsid w:val="00DA6FD8"/>
    <w:rsid w:val="00DA7012"/>
    <w:rsid w:val="00DA75B7"/>
    <w:rsid w:val="00DA7D27"/>
    <w:rsid w:val="00DB0462"/>
    <w:rsid w:val="00DB0EA6"/>
    <w:rsid w:val="00DB11CB"/>
    <w:rsid w:val="00DB19C0"/>
    <w:rsid w:val="00DB1A7E"/>
    <w:rsid w:val="00DB1A96"/>
    <w:rsid w:val="00DB1B75"/>
    <w:rsid w:val="00DB1F6E"/>
    <w:rsid w:val="00DB2337"/>
    <w:rsid w:val="00DB251A"/>
    <w:rsid w:val="00DB26AA"/>
    <w:rsid w:val="00DB2AD8"/>
    <w:rsid w:val="00DB2B03"/>
    <w:rsid w:val="00DB2D1B"/>
    <w:rsid w:val="00DB2E6B"/>
    <w:rsid w:val="00DB2F06"/>
    <w:rsid w:val="00DB314F"/>
    <w:rsid w:val="00DB3268"/>
    <w:rsid w:val="00DB3385"/>
    <w:rsid w:val="00DB33A0"/>
    <w:rsid w:val="00DB393A"/>
    <w:rsid w:val="00DB3A80"/>
    <w:rsid w:val="00DB3CDC"/>
    <w:rsid w:val="00DB4219"/>
    <w:rsid w:val="00DB4464"/>
    <w:rsid w:val="00DB453E"/>
    <w:rsid w:val="00DB476C"/>
    <w:rsid w:val="00DB479B"/>
    <w:rsid w:val="00DB4DF4"/>
    <w:rsid w:val="00DB4F2B"/>
    <w:rsid w:val="00DB52AB"/>
    <w:rsid w:val="00DB557D"/>
    <w:rsid w:val="00DB5AEF"/>
    <w:rsid w:val="00DB5F3C"/>
    <w:rsid w:val="00DB6303"/>
    <w:rsid w:val="00DB6711"/>
    <w:rsid w:val="00DB67F2"/>
    <w:rsid w:val="00DB6BA0"/>
    <w:rsid w:val="00DB6D34"/>
    <w:rsid w:val="00DB7008"/>
    <w:rsid w:val="00DB7263"/>
    <w:rsid w:val="00DB7550"/>
    <w:rsid w:val="00DB7867"/>
    <w:rsid w:val="00DB7E0B"/>
    <w:rsid w:val="00DB7EC4"/>
    <w:rsid w:val="00DC023A"/>
    <w:rsid w:val="00DC04D6"/>
    <w:rsid w:val="00DC0874"/>
    <w:rsid w:val="00DC097F"/>
    <w:rsid w:val="00DC09C4"/>
    <w:rsid w:val="00DC0B2F"/>
    <w:rsid w:val="00DC0E11"/>
    <w:rsid w:val="00DC0FA5"/>
    <w:rsid w:val="00DC10CB"/>
    <w:rsid w:val="00DC141A"/>
    <w:rsid w:val="00DC1647"/>
    <w:rsid w:val="00DC169E"/>
    <w:rsid w:val="00DC1760"/>
    <w:rsid w:val="00DC1A91"/>
    <w:rsid w:val="00DC1CFB"/>
    <w:rsid w:val="00DC1D70"/>
    <w:rsid w:val="00DC1FB7"/>
    <w:rsid w:val="00DC22A4"/>
    <w:rsid w:val="00DC2317"/>
    <w:rsid w:val="00DC237F"/>
    <w:rsid w:val="00DC259C"/>
    <w:rsid w:val="00DC25FF"/>
    <w:rsid w:val="00DC292A"/>
    <w:rsid w:val="00DC2C11"/>
    <w:rsid w:val="00DC30A3"/>
    <w:rsid w:val="00DC33D2"/>
    <w:rsid w:val="00DC33D3"/>
    <w:rsid w:val="00DC3715"/>
    <w:rsid w:val="00DC37D5"/>
    <w:rsid w:val="00DC3D21"/>
    <w:rsid w:val="00DC3FA4"/>
    <w:rsid w:val="00DC42CF"/>
    <w:rsid w:val="00DC4D10"/>
    <w:rsid w:val="00DC5037"/>
    <w:rsid w:val="00DC531E"/>
    <w:rsid w:val="00DC54E6"/>
    <w:rsid w:val="00DC57D4"/>
    <w:rsid w:val="00DC603B"/>
    <w:rsid w:val="00DC6331"/>
    <w:rsid w:val="00DC6379"/>
    <w:rsid w:val="00DC6754"/>
    <w:rsid w:val="00DC6772"/>
    <w:rsid w:val="00DC6BB6"/>
    <w:rsid w:val="00DC6D91"/>
    <w:rsid w:val="00DC6D97"/>
    <w:rsid w:val="00DC6F3C"/>
    <w:rsid w:val="00DC6F5E"/>
    <w:rsid w:val="00DC7003"/>
    <w:rsid w:val="00DC7060"/>
    <w:rsid w:val="00DC747D"/>
    <w:rsid w:val="00DC7499"/>
    <w:rsid w:val="00DC765F"/>
    <w:rsid w:val="00DC77FC"/>
    <w:rsid w:val="00DC7801"/>
    <w:rsid w:val="00DC7C3A"/>
    <w:rsid w:val="00DC7EC2"/>
    <w:rsid w:val="00DD05CE"/>
    <w:rsid w:val="00DD061E"/>
    <w:rsid w:val="00DD08F9"/>
    <w:rsid w:val="00DD0C6B"/>
    <w:rsid w:val="00DD0CA1"/>
    <w:rsid w:val="00DD0CE3"/>
    <w:rsid w:val="00DD0DE8"/>
    <w:rsid w:val="00DD13DE"/>
    <w:rsid w:val="00DD14B5"/>
    <w:rsid w:val="00DD1729"/>
    <w:rsid w:val="00DD1806"/>
    <w:rsid w:val="00DD210B"/>
    <w:rsid w:val="00DD2351"/>
    <w:rsid w:val="00DD2C0E"/>
    <w:rsid w:val="00DD2D13"/>
    <w:rsid w:val="00DD2D74"/>
    <w:rsid w:val="00DD3557"/>
    <w:rsid w:val="00DD3589"/>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2D"/>
    <w:rsid w:val="00DD698A"/>
    <w:rsid w:val="00DD6DAC"/>
    <w:rsid w:val="00DD6E53"/>
    <w:rsid w:val="00DD7578"/>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62"/>
    <w:rsid w:val="00DE47B1"/>
    <w:rsid w:val="00DE481E"/>
    <w:rsid w:val="00DE4883"/>
    <w:rsid w:val="00DE4A73"/>
    <w:rsid w:val="00DE4CDE"/>
    <w:rsid w:val="00DE4D55"/>
    <w:rsid w:val="00DE4D72"/>
    <w:rsid w:val="00DE4FC6"/>
    <w:rsid w:val="00DE52D4"/>
    <w:rsid w:val="00DE5370"/>
    <w:rsid w:val="00DE55C4"/>
    <w:rsid w:val="00DE5623"/>
    <w:rsid w:val="00DE5675"/>
    <w:rsid w:val="00DE5C3D"/>
    <w:rsid w:val="00DE5EF8"/>
    <w:rsid w:val="00DE5FB2"/>
    <w:rsid w:val="00DE6616"/>
    <w:rsid w:val="00DE6B41"/>
    <w:rsid w:val="00DE7010"/>
    <w:rsid w:val="00DE7613"/>
    <w:rsid w:val="00DE7671"/>
    <w:rsid w:val="00DE7850"/>
    <w:rsid w:val="00DE7874"/>
    <w:rsid w:val="00DE7930"/>
    <w:rsid w:val="00DE7E0E"/>
    <w:rsid w:val="00DF000D"/>
    <w:rsid w:val="00DF0516"/>
    <w:rsid w:val="00DF07BC"/>
    <w:rsid w:val="00DF082E"/>
    <w:rsid w:val="00DF08CA"/>
    <w:rsid w:val="00DF0976"/>
    <w:rsid w:val="00DF0FC0"/>
    <w:rsid w:val="00DF1621"/>
    <w:rsid w:val="00DF18A3"/>
    <w:rsid w:val="00DF1B48"/>
    <w:rsid w:val="00DF2109"/>
    <w:rsid w:val="00DF27C4"/>
    <w:rsid w:val="00DF2988"/>
    <w:rsid w:val="00DF2B85"/>
    <w:rsid w:val="00DF366A"/>
    <w:rsid w:val="00DF37A3"/>
    <w:rsid w:val="00DF3DA3"/>
    <w:rsid w:val="00DF3DA8"/>
    <w:rsid w:val="00DF4265"/>
    <w:rsid w:val="00DF44BA"/>
    <w:rsid w:val="00DF45F5"/>
    <w:rsid w:val="00DF4701"/>
    <w:rsid w:val="00DF4803"/>
    <w:rsid w:val="00DF4B34"/>
    <w:rsid w:val="00DF4B60"/>
    <w:rsid w:val="00DF534D"/>
    <w:rsid w:val="00DF6672"/>
    <w:rsid w:val="00DF66D4"/>
    <w:rsid w:val="00DF68F2"/>
    <w:rsid w:val="00DF6F9A"/>
    <w:rsid w:val="00DF7048"/>
    <w:rsid w:val="00DF7193"/>
    <w:rsid w:val="00DF7323"/>
    <w:rsid w:val="00DF73D0"/>
    <w:rsid w:val="00DF7459"/>
    <w:rsid w:val="00DF7A07"/>
    <w:rsid w:val="00DF7C41"/>
    <w:rsid w:val="00DF7D54"/>
    <w:rsid w:val="00DF7E77"/>
    <w:rsid w:val="00DF7F3D"/>
    <w:rsid w:val="00E000C0"/>
    <w:rsid w:val="00E00561"/>
    <w:rsid w:val="00E005B3"/>
    <w:rsid w:val="00E007EF"/>
    <w:rsid w:val="00E01085"/>
    <w:rsid w:val="00E011CC"/>
    <w:rsid w:val="00E01296"/>
    <w:rsid w:val="00E01594"/>
    <w:rsid w:val="00E0191C"/>
    <w:rsid w:val="00E01935"/>
    <w:rsid w:val="00E01A48"/>
    <w:rsid w:val="00E01D26"/>
    <w:rsid w:val="00E01D48"/>
    <w:rsid w:val="00E01FF3"/>
    <w:rsid w:val="00E020C2"/>
    <w:rsid w:val="00E02325"/>
    <w:rsid w:val="00E024CE"/>
    <w:rsid w:val="00E027C2"/>
    <w:rsid w:val="00E028B5"/>
    <w:rsid w:val="00E02CE7"/>
    <w:rsid w:val="00E0304E"/>
    <w:rsid w:val="00E0308C"/>
    <w:rsid w:val="00E03210"/>
    <w:rsid w:val="00E0357F"/>
    <w:rsid w:val="00E03D80"/>
    <w:rsid w:val="00E03EED"/>
    <w:rsid w:val="00E049D2"/>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A"/>
    <w:rsid w:val="00E10B12"/>
    <w:rsid w:val="00E10C64"/>
    <w:rsid w:val="00E10D5C"/>
    <w:rsid w:val="00E10E7E"/>
    <w:rsid w:val="00E10F4F"/>
    <w:rsid w:val="00E11139"/>
    <w:rsid w:val="00E111FD"/>
    <w:rsid w:val="00E11886"/>
    <w:rsid w:val="00E1198D"/>
    <w:rsid w:val="00E119AB"/>
    <w:rsid w:val="00E11C2C"/>
    <w:rsid w:val="00E11F29"/>
    <w:rsid w:val="00E12396"/>
    <w:rsid w:val="00E123A0"/>
    <w:rsid w:val="00E12469"/>
    <w:rsid w:val="00E124F8"/>
    <w:rsid w:val="00E1254E"/>
    <w:rsid w:val="00E128B6"/>
    <w:rsid w:val="00E12B46"/>
    <w:rsid w:val="00E12D11"/>
    <w:rsid w:val="00E12F10"/>
    <w:rsid w:val="00E13801"/>
    <w:rsid w:val="00E13C8F"/>
    <w:rsid w:val="00E13DF5"/>
    <w:rsid w:val="00E13E5A"/>
    <w:rsid w:val="00E1495B"/>
    <w:rsid w:val="00E14DBF"/>
    <w:rsid w:val="00E1523F"/>
    <w:rsid w:val="00E15249"/>
    <w:rsid w:val="00E1533F"/>
    <w:rsid w:val="00E15447"/>
    <w:rsid w:val="00E1560E"/>
    <w:rsid w:val="00E1562E"/>
    <w:rsid w:val="00E15945"/>
    <w:rsid w:val="00E15AA0"/>
    <w:rsid w:val="00E15B52"/>
    <w:rsid w:val="00E15C64"/>
    <w:rsid w:val="00E15E24"/>
    <w:rsid w:val="00E164DD"/>
    <w:rsid w:val="00E16585"/>
    <w:rsid w:val="00E165AD"/>
    <w:rsid w:val="00E16685"/>
    <w:rsid w:val="00E16729"/>
    <w:rsid w:val="00E167BF"/>
    <w:rsid w:val="00E16CE2"/>
    <w:rsid w:val="00E17007"/>
    <w:rsid w:val="00E1710E"/>
    <w:rsid w:val="00E17236"/>
    <w:rsid w:val="00E174CC"/>
    <w:rsid w:val="00E175B5"/>
    <w:rsid w:val="00E177A5"/>
    <w:rsid w:val="00E17907"/>
    <w:rsid w:val="00E203E7"/>
    <w:rsid w:val="00E20630"/>
    <w:rsid w:val="00E20710"/>
    <w:rsid w:val="00E20C8D"/>
    <w:rsid w:val="00E21763"/>
    <w:rsid w:val="00E21975"/>
    <w:rsid w:val="00E21988"/>
    <w:rsid w:val="00E21B75"/>
    <w:rsid w:val="00E21C26"/>
    <w:rsid w:val="00E21CF3"/>
    <w:rsid w:val="00E21F0E"/>
    <w:rsid w:val="00E2229D"/>
    <w:rsid w:val="00E225C1"/>
    <w:rsid w:val="00E226A0"/>
    <w:rsid w:val="00E22E18"/>
    <w:rsid w:val="00E22E26"/>
    <w:rsid w:val="00E2347A"/>
    <w:rsid w:val="00E237B6"/>
    <w:rsid w:val="00E2383F"/>
    <w:rsid w:val="00E239BA"/>
    <w:rsid w:val="00E239CE"/>
    <w:rsid w:val="00E23A0D"/>
    <w:rsid w:val="00E23A42"/>
    <w:rsid w:val="00E242F7"/>
    <w:rsid w:val="00E24942"/>
    <w:rsid w:val="00E25673"/>
    <w:rsid w:val="00E257F1"/>
    <w:rsid w:val="00E25F86"/>
    <w:rsid w:val="00E25FBC"/>
    <w:rsid w:val="00E25FF3"/>
    <w:rsid w:val="00E26134"/>
    <w:rsid w:val="00E26292"/>
    <w:rsid w:val="00E262E4"/>
    <w:rsid w:val="00E26502"/>
    <w:rsid w:val="00E265D2"/>
    <w:rsid w:val="00E2666D"/>
    <w:rsid w:val="00E26812"/>
    <w:rsid w:val="00E26933"/>
    <w:rsid w:val="00E26A16"/>
    <w:rsid w:val="00E26BA3"/>
    <w:rsid w:val="00E26E80"/>
    <w:rsid w:val="00E27120"/>
    <w:rsid w:val="00E2762C"/>
    <w:rsid w:val="00E27B7A"/>
    <w:rsid w:val="00E27BCF"/>
    <w:rsid w:val="00E27C62"/>
    <w:rsid w:val="00E30610"/>
    <w:rsid w:val="00E3098E"/>
    <w:rsid w:val="00E311FB"/>
    <w:rsid w:val="00E31222"/>
    <w:rsid w:val="00E314B0"/>
    <w:rsid w:val="00E3166B"/>
    <w:rsid w:val="00E31AEC"/>
    <w:rsid w:val="00E3204D"/>
    <w:rsid w:val="00E3208A"/>
    <w:rsid w:val="00E3214D"/>
    <w:rsid w:val="00E321F2"/>
    <w:rsid w:val="00E326E4"/>
    <w:rsid w:val="00E32B23"/>
    <w:rsid w:val="00E32D8D"/>
    <w:rsid w:val="00E33351"/>
    <w:rsid w:val="00E33520"/>
    <w:rsid w:val="00E335B7"/>
    <w:rsid w:val="00E33690"/>
    <w:rsid w:val="00E33A0E"/>
    <w:rsid w:val="00E33A30"/>
    <w:rsid w:val="00E34158"/>
    <w:rsid w:val="00E34730"/>
    <w:rsid w:val="00E34AEB"/>
    <w:rsid w:val="00E34D8E"/>
    <w:rsid w:val="00E34E02"/>
    <w:rsid w:val="00E3503C"/>
    <w:rsid w:val="00E3523A"/>
    <w:rsid w:val="00E35533"/>
    <w:rsid w:val="00E359C3"/>
    <w:rsid w:val="00E35A9A"/>
    <w:rsid w:val="00E35BD8"/>
    <w:rsid w:val="00E35CAF"/>
    <w:rsid w:val="00E35D51"/>
    <w:rsid w:val="00E35D52"/>
    <w:rsid w:val="00E35F72"/>
    <w:rsid w:val="00E361A1"/>
    <w:rsid w:val="00E363AF"/>
    <w:rsid w:val="00E369F2"/>
    <w:rsid w:val="00E36A11"/>
    <w:rsid w:val="00E3713B"/>
    <w:rsid w:val="00E373B6"/>
    <w:rsid w:val="00E37618"/>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27AD"/>
    <w:rsid w:val="00E42D6F"/>
    <w:rsid w:val="00E4315F"/>
    <w:rsid w:val="00E4448A"/>
    <w:rsid w:val="00E444A2"/>
    <w:rsid w:val="00E444C2"/>
    <w:rsid w:val="00E446B0"/>
    <w:rsid w:val="00E447C7"/>
    <w:rsid w:val="00E44CD2"/>
    <w:rsid w:val="00E44F6A"/>
    <w:rsid w:val="00E451FF"/>
    <w:rsid w:val="00E454F0"/>
    <w:rsid w:val="00E454FF"/>
    <w:rsid w:val="00E4561A"/>
    <w:rsid w:val="00E45929"/>
    <w:rsid w:val="00E45C95"/>
    <w:rsid w:val="00E46099"/>
    <w:rsid w:val="00E4684F"/>
    <w:rsid w:val="00E46D19"/>
    <w:rsid w:val="00E47409"/>
    <w:rsid w:val="00E474DB"/>
    <w:rsid w:val="00E4784A"/>
    <w:rsid w:val="00E47AD7"/>
    <w:rsid w:val="00E47CAB"/>
    <w:rsid w:val="00E47F3A"/>
    <w:rsid w:val="00E50A48"/>
    <w:rsid w:val="00E50AEB"/>
    <w:rsid w:val="00E50D04"/>
    <w:rsid w:val="00E50DDF"/>
    <w:rsid w:val="00E50EAD"/>
    <w:rsid w:val="00E50FC0"/>
    <w:rsid w:val="00E512F7"/>
    <w:rsid w:val="00E51510"/>
    <w:rsid w:val="00E515B0"/>
    <w:rsid w:val="00E515E8"/>
    <w:rsid w:val="00E51689"/>
    <w:rsid w:val="00E5180B"/>
    <w:rsid w:val="00E51BF8"/>
    <w:rsid w:val="00E51DAC"/>
    <w:rsid w:val="00E51DFE"/>
    <w:rsid w:val="00E51EB6"/>
    <w:rsid w:val="00E52019"/>
    <w:rsid w:val="00E53557"/>
    <w:rsid w:val="00E53775"/>
    <w:rsid w:val="00E537BE"/>
    <w:rsid w:val="00E53DB0"/>
    <w:rsid w:val="00E53EBD"/>
    <w:rsid w:val="00E5405D"/>
    <w:rsid w:val="00E540A0"/>
    <w:rsid w:val="00E543BB"/>
    <w:rsid w:val="00E54789"/>
    <w:rsid w:val="00E55018"/>
    <w:rsid w:val="00E55229"/>
    <w:rsid w:val="00E554C7"/>
    <w:rsid w:val="00E556AF"/>
    <w:rsid w:val="00E55812"/>
    <w:rsid w:val="00E558F1"/>
    <w:rsid w:val="00E5602A"/>
    <w:rsid w:val="00E56061"/>
    <w:rsid w:val="00E56165"/>
    <w:rsid w:val="00E5625A"/>
    <w:rsid w:val="00E56484"/>
    <w:rsid w:val="00E56B25"/>
    <w:rsid w:val="00E56CD9"/>
    <w:rsid w:val="00E57183"/>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33"/>
    <w:rsid w:val="00E6275A"/>
    <w:rsid w:val="00E6287C"/>
    <w:rsid w:val="00E628C2"/>
    <w:rsid w:val="00E631BA"/>
    <w:rsid w:val="00E6326C"/>
    <w:rsid w:val="00E6335F"/>
    <w:rsid w:val="00E6336C"/>
    <w:rsid w:val="00E63821"/>
    <w:rsid w:val="00E63858"/>
    <w:rsid w:val="00E63E44"/>
    <w:rsid w:val="00E640CC"/>
    <w:rsid w:val="00E644FF"/>
    <w:rsid w:val="00E6463E"/>
    <w:rsid w:val="00E64D11"/>
    <w:rsid w:val="00E64F4C"/>
    <w:rsid w:val="00E64F50"/>
    <w:rsid w:val="00E64FCA"/>
    <w:rsid w:val="00E651CA"/>
    <w:rsid w:val="00E6539B"/>
    <w:rsid w:val="00E65A02"/>
    <w:rsid w:val="00E65A3B"/>
    <w:rsid w:val="00E65D0A"/>
    <w:rsid w:val="00E65D43"/>
    <w:rsid w:val="00E65F62"/>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4F"/>
    <w:rsid w:val="00E715B7"/>
    <w:rsid w:val="00E71A0B"/>
    <w:rsid w:val="00E71A52"/>
    <w:rsid w:val="00E72021"/>
    <w:rsid w:val="00E720EC"/>
    <w:rsid w:val="00E7293F"/>
    <w:rsid w:val="00E734FA"/>
    <w:rsid w:val="00E73762"/>
    <w:rsid w:val="00E739A2"/>
    <w:rsid w:val="00E73B76"/>
    <w:rsid w:val="00E73BD8"/>
    <w:rsid w:val="00E73D65"/>
    <w:rsid w:val="00E745B6"/>
    <w:rsid w:val="00E748CE"/>
    <w:rsid w:val="00E74928"/>
    <w:rsid w:val="00E74A5C"/>
    <w:rsid w:val="00E74B90"/>
    <w:rsid w:val="00E74BDE"/>
    <w:rsid w:val="00E74C97"/>
    <w:rsid w:val="00E74CE3"/>
    <w:rsid w:val="00E74D8E"/>
    <w:rsid w:val="00E74EFF"/>
    <w:rsid w:val="00E7517D"/>
    <w:rsid w:val="00E754F9"/>
    <w:rsid w:val="00E7554B"/>
    <w:rsid w:val="00E75619"/>
    <w:rsid w:val="00E75A7A"/>
    <w:rsid w:val="00E75B9B"/>
    <w:rsid w:val="00E75E84"/>
    <w:rsid w:val="00E760DB"/>
    <w:rsid w:val="00E76165"/>
    <w:rsid w:val="00E7637E"/>
    <w:rsid w:val="00E764B8"/>
    <w:rsid w:val="00E7654F"/>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A8E"/>
    <w:rsid w:val="00E81F1B"/>
    <w:rsid w:val="00E82010"/>
    <w:rsid w:val="00E8205F"/>
    <w:rsid w:val="00E82130"/>
    <w:rsid w:val="00E8216E"/>
    <w:rsid w:val="00E82399"/>
    <w:rsid w:val="00E829A1"/>
    <w:rsid w:val="00E83090"/>
    <w:rsid w:val="00E8318F"/>
    <w:rsid w:val="00E831DF"/>
    <w:rsid w:val="00E83554"/>
    <w:rsid w:val="00E83560"/>
    <w:rsid w:val="00E83657"/>
    <w:rsid w:val="00E8376F"/>
    <w:rsid w:val="00E84164"/>
    <w:rsid w:val="00E844EB"/>
    <w:rsid w:val="00E84A78"/>
    <w:rsid w:val="00E84C46"/>
    <w:rsid w:val="00E84FFF"/>
    <w:rsid w:val="00E8575F"/>
    <w:rsid w:val="00E85BAD"/>
    <w:rsid w:val="00E85C79"/>
    <w:rsid w:val="00E86023"/>
    <w:rsid w:val="00E860F6"/>
    <w:rsid w:val="00E86523"/>
    <w:rsid w:val="00E867AC"/>
    <w:rsid w:val="00E871DA"/>
    <w:rsid w:val="00E877F4"/>
    <w:rsid w:val="00E87A1B"/>
    <w:rsid w:val="00E87B4F"/>
    <w:rsid w:val="00E87B5F"/>
    <w:rsid w:val="00E87BA0"/>
    <w:rsid w:val="00E90053"/>
    <w:rsid w:val="00E901C4"/>
    <w:rsid w:val="00E90945"/>
    <w:rsid w:val="00E90B03"/>
    <w:rsid w:val="00E90D60"/>
    <w:rsid w:val="00E90F91"/>
    <w:rsid w:val="00E91033"/>
    <w:rsid w:val="00E9128F"/>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938"/>
    <w:rsid w:val="00E96B17"/>
    <w:rsid w:val="00E9749D"/>
    <w:rsid w:val="00E97CC2"/>
    <w:rsid w:val="00E97E83"/>
    <w:rsid w:val="00EA054E"/>
    <w:rsid w:val="00EA077E"/>
    <w:rsid w:val="00EA0E14"/>
    <w:rsid w:val="00EA0E84"/>
    <w:rsid w:val="00EA1BE0"/>
    <w:rsid w:val="00EA1D0C"/>
    <w:rsid w:val="00EA213B"/>
    <w:rsid w:val="00EA22EC"/>
    <w:rsid w:val="00EA266A"/>
    <w:rsid w:val="00EA2C9B"/>
    <w:rsid w:val="00EA2D74"/>
    <w:rsid w:val="00EA3077"/>
    <w:rsid w:val="00EA30EE"/>
    <w:rsid w:val="00EA3174"/>
    <w:rsid w:val="00EA346B"/>
    <w:rsid w:val="00EA3604"/>
    <w:rsid w:val="00EA365F"/>
    <w:rsid w:val="00EA3AF1"/>
    <w:rsid w:val="00EA3DBD"/>
    <w:rsid w:val="00EA4672"/>
    <w:rsid w:val="00EA4693"/>
    <w:rsid w:val="00EA476A"/>
    <w:rsid w:val="00EA4961"/>
    <w:rsid w:val="00EA4A98"/>
    <w:rsid w:val="00EA4BF0"/>
    <w:rsid w:val="00EA543C"/>
    <w:rsid w:val="00EA547A"/>
    <w:rsid w:val="00EA5868"/>
    <w:rsid w:val="00EA5C4A"/>
    <w:rsid w:val="00EA5DD6"/>
    <w:rsid w:val="00EA66A7"/>
    <w:rsid w:val="00EA6B30"/>
    <w:rsid w:val="00EA6DBA"/>
    <w:rsid w:val="00EA70B2"/>
    <w:rsid w:val="00EA720F"/>
    <w:rsid w:val="00EA74A9"/>
    <w:rsid w:val="00EA7BE4"/>
    <w:rsid w:val="00EA7C77"/>
    <w:rsid w:val="00EA7C99"/>
    <w:rsid w:val="00EA7D2D"/>
    <w:rsid w:val="00EA7E5D"/>
    <w:rsid w:val="00EA7EFF"/>
    <w:rsid w:val="00EB00F3"/>
    <w:rsid w:val="00EB0122"/>
    <w:rsid w:val="00EB046B"/>
    <w:rsid w:val="00EB060F"/>
    <w:rsid w:val="00EB096B"/>
    <w:rsid w:val="00EB0B0B"/>
    <w:rsid w:val="00EB0C38"/>
    <w:rsid w:val="00EB12CE"/>
    <w:rsid w:val="00EB17A3"/>
    <w:rsid w:val="00EB1F32"/>
    <w:rsid w:val="00EB1FB4"/>
    <w:rsid w:val="00EB244A"/>
    <w:rsid w:val="00EB2A8F"/>
    <w:rsid w:val="00EB2ADF"/>
    <w:rsid w:val="00EB2B83"/>
    <w:rsid w:val="00EB2E1C"/>
    <w:rsid w:val="00EB2EA9"/>
    <w:rsid w:val="00EB2ED2"/>
    <w:rsid w:val="00EB2F4B"/>
    <w:rsid w:val="00EB3CCC"/>
    <w:rsid w:val="00EB4363"/>
    <w:rsid w:val="00EB4370"/>
    <w:rsid w:val="00EB4802"/>
    <w:rsid w:val="00EB4AE0"/>
    <w:rsid w:val="00EB4B44"/>
    <w:rsid w:val="00EB4C67"/>
    <w:rsid w:val="00EB4DA2"/>
    <w:rsid w:val="00EB4E5A"/>
    <w:rsid w:val="00EB4F15"/>
    <w:rsid w:val="00EB5082"/>
    <w:rsid w:val="00EB532D"/>
    <w:rsid w:val="00EB53BF"/>
    <w:rsid w:val="00EB598A"/>
    <w:rsid w:val="00EB5BBC"/>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9C8"/>
    <w:rsid w:val="00EC0B1E"/>
    <w:rsid w:val="00EC0B61"/>
    <w:rsid w:val="00EC0CCD"/>
    <w:rsid w:val="00EC0F93"/>
    <w:rsid w:val="00EC0F99"/>
    <w:rsid w:val="00EC129E"/>
    <w:rsid w:val="00EC1A8E"/>
    <w:rsid w:val="00EC2682"/>
    <w:rsid w:val="00EC28C5"/>
    <w:rsid w:val="00EC296A"/>
    <w:rsid w:val="00EC2995"/>
    <w:rsid w:val="00EC2BF0"/>
    <w:rsid w:val="00EC2C95"/>
    <w:rsid w:val="00EC31BE"/>
    <w:rsid w:val="00EC34EF"/>
    <w:rsid w:val="00EC35CC"/>
    <w:rsid w:val="00EC35EA"/>
    <w:rsid w:val="00EC4100"/>
    <w:rsid w:val="00EC434F"/>
    <w:rsid w:val="00EC4527"/>
    <w:rsid w:val="00EC4928"/>
    <w:rsid w:val="00EC4ABF"/>
    <w:rsid w:val="00EC4AC6"/>
    <w:rsid w:val="00EC4C77"/>
    <w:rsid w:val="00EC4EF1"/>
    <w:rsid w:val="00EC5282"/>
    <w:rsid w:val="00EC5C51"/>
    <w:rsid w:val="00EC5D2F"/>
    <w:rsid w:val="00EC6558"/>
    <w:rsid w:val="00EC6609"/>
    <w:rsid w:val="00EC6AA7"/>
    <w:rsid w:val="00EC6B15"/>
    <w:rsid w:val="00EC6C5F"/>
    <w:rsid w:val="00EC6C7A"/>
    <w:rsid w:val="00EC6E58"/>
    <w:rsid w:val="00EC6E76"/>
    <w:rsid w:val="00EC7043"/>
    <w:rsid w:val="00EC70BE"/>
    <w:rsid w:val="00EC75BA"/>
    <w:rsid w:val="00EC76B8"/>
    <w:rsid w:val="00EC7716"/>
    <w:rsid w:val="00EC7748"/>
    <w:rsid w:val="00EC7846"/>
    <w:rsid w:val="00EC792B"/>
    <w:rsid w:val="00EC796E"/>
    <w:rsid w:val="00EC7AC5"/>
    <w:rsid w:val="00EC7CE0"/>
    <w:rsid w:val="00EC7DB2"/>
    <w:rsid w:val="00EC7FC6"/>
    <w:rsid w:val="00ED0013"/>
    <w:rsid w:val="00ED020C"/>
    <w:rsid w:val="00ED079A"/>
    <w:rsid w:val="00ED0E23"/>
    <w:rsid w:val="00ED0FB6"/>
    <w:rsid w:val="00ED1007"/>
    <w:rsid w:val="00ED12A8"/>
    <w:rsid w:val="00ED1491"/>
    <w:rsid w:val="00ED14B7"/>
    <w:rsid w:val="00ED18B9"/>
    <w:rsid w:val="00ED19F9"/>
    <w:rsid w:val="00ED2382"/>
    <w:rsid w:val="00ED25C7"/>
    <w:rsid w:val="00ED27C6"/>
    <w:rsid w:val="00ED2C7E"/>
    <w:rsid w:val="00ED32BB"/>
    <w:rsid w:val="00ED34B8"/>
    <w:rsid w:val="00ED37E5"/>
    <w:rsid w:val="00ED3B00"/>
    <w:rsid w:val="00ED3BBD"/>
    <w:rsid w:val="00ED4194"/>
    <w:rsid w:val="00ED456B"/>
    <w:rsid w:val="00ED48E3"/>
    <w:rsid w:val="00ED48E7"/>
    <w:rsid w:val="00ED4A97"/>
    <w:rsid w:val="00ED4D04"/>
    <w:rsid w:val="00ED4F37"/>
    <w:rsid w:val="00ED5209"/>
    <w:rsid w:val="00ED57D9"/>
    <w:rsid w:val="00ED60C2"/>
    <w:rsid w:val="00ED61F8"/>
    <w:rsid w:val="00ED6276"/>
    <w:rsid w:val="00ED62B2"/>
    <w:rsid w:val="00ED65D9"/>
    <w:rsid w:val="00ED6929"/>
    <w:rsid w:val="00ED6D93"/>
    <w:rsid w:val="00ED731F"/>
    <w:rsid w:val="00ED73DB"/>
    <w:rsid w:val="00ED746D"/>
    <w:rsid w:val="00ED749E"/>
    <w:rsid w:val="00ED78ED"/>
    <w:rsid w:val="00ED7917"/>
    <w:rsid w:val="00ED7BD9"/>
    <w:rsid w:val="00EE07FA"/>
    <w:rsid w:val="00EE0E35"/>
    <w:rsid w:val="00EE116E"/>
    <w:rsid w:val="00EE11E7"/>
    <w:rsid w:val="00EE17AD"/>
    <w:rsid w:val="00EE1969"/>
    <w:rsid w:val="00EE1BCD"/>
    <w:rsid w:val="00EE28D7"/>
    <w:rsid w:val="00EE2978"/>
    <w:rsid w:val="00EE2ABC"/>
    <w:rsid w:val="00EE2AC8"/>
    <w:rsid w:val="00EE2B52"/>
    <w:rsid w:val="00EE3165"/>
    <w:rsid w:val="00EE3DCE"/>
    <w:rsid w:val="00EE4487"/>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E7E8D"/>
    <w:rsid w:val="00EF0213"/>
    <w:rsid w:val="00EF0953"/>
    <w:rsid w:val="00EF0988"/>
    <w:rsid w:val="00EF0D9B"/>
    <w:rsid w:val="00EF13BC"/>
    <w:rsid w:val="00EF14D3"/>
    <w:rsid w:val="00EF1520"/>
    <w:rsid w:val="00EF1829"/>
    <w:rsid w:val="00EF1922"/>
    <w:rsid w:val="00EF1A7F"/>
    <w:rsid w:val="00EF1FCA"/>
    <w:rsid w:val="00EF21FA"/>
    <w:rsid w:val="00EF30E0"/>
    <w:rsid w:val="00EF3249"/>
    <w:rsid w:val="00EF35AC"/>
    <w:rsid w:val="00EF35E0"/>
    <w:rsid w:val="00EF3790"/>
    <w:rsid w:val="00EF3A15"/>
    <w:rsid w:val="00EF3DF5"/>
    <w:rsid w:val="00EF3EB2"/>
    <w:rsid w:val="00EF4292"/>
    <w:rsid w:val="00EF43DB"/>
    <w:rsid w:val="00EF44A6"/>
    <w:rsid w:val="00EF451E"/>
    <w:rsid w:val="00EF472C"/>
    <w:rsid w:val="00EF501E"/>
    <w:rsid w:val="00EF551D"/>
    <w:rsid w:val="00EF56E6"/>
    <w:rsid w:val="00EF5745"/>
    <w:rsid w:val="00EF58ED"/>
    <w:rsid w:val="00EF5B50"/>
    <w:rsid w:val="00EF5D85"/>
    <w:rsid w:val="00EF60D0"/>
    <w:rsid w:val="00EF6527"/>
    <w:rsid w:val="00EF6A12"/>
    <w:rsid w:val="00EF6C41"/>
    <w:rsid w:val="00EF7590"/>
    <w:rsid w:val="00EF760A"/>
    <w:rsid w:val="00EF7A48"/>
    <w:rsid w:val="00F00007"/>
    <w:rsid w:val="00F007F2"/>
    <w:rsid w:val="00F00893"/>
    <w:rsid w:val="00F008FD"/>
    <w:rsid w:val="00F00C68"/>
    <w:rsid w:val="00F010B9"/>
    <w:rsid w:val="00F0156E"/>
    <w:rsid w:val="00F017C9"/>
    <w:rsid w:val="00F0189E"/>
    <w:rsid w:val="00F01929"/>
    <w:rsid w:val="00F01B8C"/>
    <w:rsid w:val="00F01D89"/>
    <w:rsid w:val="00F0208E"/>
    <w:rsid w:val="00F02516"/>
    <w:rsid w:val="00F0262E"/>
    <w:rsid w:val="00F02697"/>
    <w:rsid w:val="00F02A95"/>
    <w:rsid w:val="00F02C0A"/>
    <w:rsid w:val="00F02E46"/>
    <w:rsid w:val="00F02E92"/>
    <w:rsid w:val="00F034DC"/>
    <w:rsid w:val="00F0361D"/>
    <w:rsid w:val="00F03707"/>
    <w:rsid w:val="00F03AB6"/>
    <w:rsid w:val="00F03DE2"/>
    <w:rsid w:val="00F04854"/>
    <w:rsid w:val="00F04C05"/>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07F0D"/>
    <w:rsid w:val="00F102AB"/>
    <w:rsid w:val="00F10BAA"/>
    <w:rsid w:val="00F10C40"/>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861"/>
    <w:rsid w:val="00F12C6D"/>
    <w:rsid w:val="00F130B2"/>
    <w:rsid w:val="00F13EBF"/>
    <w:rsid w:val="00F14397"/>
    <w:rsid w:val="00F14ADD"/>
    <w:rsid w:val="00F14E62"/>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539"/>
    <w:rsid w:val="00F17743"/>
    <w:rsid w:val="00F17799"/>
    <w:rsid w:val="00F1795F"/>
    <w:rsid w:val="00F17B77"/>
    <w:rsid w:val="00F20082"/>
    <w:rsid w:val="00F2026A"/>
    <w:rsid w:val="00F202CE"/>
    <w:rsid w:val="00F20654"/>
    <w:rsid w:val="00F207D1"/>
    <w:rsid w:val="00F20B1A"/>
    <w:rsid w:val="00F212A6"/>
    <w:rsid w:val="00F21857"/>
    <w:rsid w:val="00F21C9C"/>
    <w:rsid w:val="00F2273F"/>
    <w:rsid w:val="00F228FA"/>
    <w:rsid w:val="00F22948"/>
    <w:rsid w:val="00F22BE4"/>
    <w:rsid w:val="00F230E9"/>
    <w:rsid w:val="00F2315A"/>
    <w:rsid w:val="00F2363F"/>
    <w:rsid w:val="00F23E06"/>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A0A"/>
    <w:rsid w:val="00F32330"/>
    <w:rsid w:val="00F32347"/>
    <w:rsid w:val="00F326A1"/>
    <w:rsid w:val="00F32836"/>
    <w:rsid w:val="00F32AB8"/>
    <w:rsid w:val="00F3305C"/>
    <w:rsid w:val="00F33723"/>
    <w:rsid w:val="00F33CF1"/>
    <w:rsid w:val="00F34129"/>
    <w:rsid w:val="00F3448C"/>
    <w:rsid w:val="00F3475A"/>
    <w:rsid w:val="00F349FE"/>
    <w:rsid w:val="00F34C57"/>
    <w:rsid w:val="00F34E76"/>
    <w:rsid w:val="00F35057"/>
    <w:rsid w:val="00F3506B"/>
    <w:rsid w:val="00F35259"/>
    <w:rsid w:val="00F352BD"/>
    <w:rsid w:val="00F357B3"/>
    <w:rsid w:val="00F3640B"/>
    <w:rsid w:val="00F36419"/>
    <w:rsid w:val="00F367C1"/>
    <w:rsid w:val="00F37ABF"/>
    <w:rsid w:val="00F401B0"/>
    <w:rsid w:val="00F40383"/>
    <w:rsid w:val="00F40388"/>
    <w:rsid w:val="00F40792"/>
    <w:rsid w:val="00F407D5"/>
    <w:rsid w:val="00F40C2E"/>
    <w:rsid w:val="00F412A6"/>
    <w:rsid w:val="00F413F2"/>
    <w:rsid w:val="00F41794"/>
    <w:rsid w:val="00F4277C"/>
    <w:rsid w:val="00F42AE4"/>
    <w:rsid w:val="00F42B8D"/>
    <w:rsid w:val="00F42BB4"/>
    <w:rsid w:val="00F42D4A"/>
    <w:rsid w:val="00F432C9"/>
    <w:rsid w:val="00F43334"/>
    <w:rsid w:val="00F4336A"/>
    <w:rsid w:val="00F433C1"/>
    <w:rsid w:val="00F439CE"/>
    <w:rsid w:val="00F43EDF"/>
    <w:rsid w:val="00F44026"/>
    <w:rsid w:val="00F442FC"/>
    <w:rsid w:val="00F44725"/>
    <w:rsid w:val="00F448E1"/>
    <w:rsid w:val="00F449F1"/>
    <w:rsid w:val="00F44EEE"/>
    <w:rsid w:val="00F45182"/>
    <w:rsid w:val="00F45532"/>
    <w:rsid w:val="00F45AE0"/>
    <w:rsid w:val="00F45DCA"/>
    <w:rsid w:val="00F464A2"/>
    <w:rsid w:val="00F4659F"/>
    <w:rsid w:val="00F46733"/>
    <w:rsid w:val="00F467D8"/>
    <w:rsid w:val="00F469C8"/>
    <w:rsid w:val="00F46A0A"/>
    <w:rsid w:val="00F47096"/>
    <w:rsid w:val="00F472D2"/>
    <w:rsid w:val="00F47DF1"/>
    <w:rsid w:val="00F50404"/>
    <w:rsid w:val="00F50589"/>
    <w:rsid w:val="00F5070A"/>
    <w:rsid w:val="00F50BB1"/>
    <w:rsid w:val="00F50CE1"/>
    <w:rsid w:val="00F51000"/>
    <w:rsid w:val="00F518BD"/>
    <w:rsid w:val="00F5222D"/>
    <w:rsid w:val="00F5227F"/>
    <w:rsid w:val="00F52313"/>
    <w:rsid w:val="00F5281F"/>
    <w:rsid w:val="00F52BA8"/>
    <w:rsid w:val="00F52D09"/>
    <w:rsid w:val="00F52D15"/>
    <w:rsid w:val="00F530AB"/>
    <w:rsid w:val="00F533B4"/>
    <w:rsid w:val="00F537B0"/>
    <w:rsid w:val="00F53873"/>
    <w:rsid w:val="00F5399D"/>
    <w:rsid w:val="00F54078"/>
    <w:rsid w:val="00F54164"/>
    <w:rsid w:val="00F541B7"/>
    <w:rsid w:val="00F543C2"/>
    <w:rsid w:val="00F54410"/>
    <w:rsid w:val="00F5490D"/>
    <w:rsid w:val="00F54CC3"/>
    <w:rsid w:val="00F54CEA"/>
    <w:rsid w:val="00F54F82"/>
    <w:rsid w:val="00F55096"/>
    <w:rsid w:val="00F552EC"/>
    <w:rsid w:val="00F554F5"/>
    <w:rsid w:val="00F55E3C"/>
    <w:rsid w:val="00F55E97"/>
    <w:rsid w:val="00F55F35"/>
    <w:rsid w:val="00F56307"/>
    <w:rsid w:val="00F56426"/>
    <w:rsid w:val="00F56812"/>
    <w:rsid w:val="00F56A71"/>
    <w:rsid w:val="00F56BAE"/>
    <w:rsid w:val="00F575C6"/>
    <w:rsid w:val="00F5762B"/>
    <w:rsid w:val="00F57F0B"/>
    <w:rsid w:val="00F607FA"/>
    <w:rsid w:val="00F60807"/>
    <w:rsid w:val="00F60989"/>
    <w:rsid w:val="00F60B1C"/>
    <w:rsid w:val="00F60CDA"/>
    <w:rsid w:val="00F60EC1"/>
    <w:rsid w:val="00F60FC8"/>
    <w:rsid w:val="00F610CB"/>
    <w:rsid w:val="00F619B0"/>
    <w:rsid w:val="00F62052"/>
    <w:rsid w:val="00F62102"/>
    <w:rsid w:val="00F62320"/>
    <w:rsid w:val="00F625EE"/>
    <w:rsid w:val="00F627C7"/>
    <w:rsid w:val="00F62985"/>
    <w:rsid w:val="00F62A1D"/>
    <w:rsid w:val="00F62C86"/>
    <w:rsid w:val="00F630A3"/>
    <w:rsid w:val="00F634BE"/>
    <w:rsid w:val="00F6362E"/>
    <w:rsid w:val="00F63BCF"/>
    <w:rsid w:val="00F63F9A"/>
    <w:rsid w:val="00F651C4"/>
    <w:rsid w:val="00F651E3"/>
    <w:rsid w:val="00F655CE"/>
    <w:rsid w:val="00F65A0E"/>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E31"/>
    <w:rsid w:val="00F72E90"/>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8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10B2"/>
    <w:rsid w:val="00F817BC"/>
    <w:rsid w:val="00F818AC"/>
    <w:rsid w:val="00F81BE2"/>
    <w:rsid w:val="00F82599"/>
    <w:rsid w:val="00F82688"/>
    <w:rsid w:val="00F829BC"/>
    <w:rsid w:val="00F82DCC"/>
    <w:rsid w:val="00F8321D"/>
    <w:rsid w:val="00F8351D"/>
    <w:rsid w:val="00F83CBD"/>
    <w:rsid w:val="00F83FBF"/>
    <w:rsid w:val="00F84024"/>
    <w:rsid w:val="00F84041"/>
    <w:rsid w:val="00F84185"/>
    <w:rsid w:val="00F84432"/>
    <w:rsid w:val="00F84754"/>
    <w:rsid w:val="00F84758"/>
    <w:rsid w:val="00F84AD3"/>
    <w:rsid w:val="00F84E0A"/>
    <w:rsid w:val="00F84EF6"/>
    <w:rsid w:val="00F851C8"/>
    <w:rsid w:val="00F85561"/>
    <w:rsid w:val="00F8557C"/>
    <w:rsid w:val="00F858AC"/>
    <w:rsid w:val="00F85DB7"/>
    <w:rsid w:val="00F862BB"/>
    <w:rsid w:val="00F862FF"/>
    <w:rsid w:val="00F86591"/>
    <w:rsid w:val="00F86733"/>
    <w:rsid w:val="00F86807"/>
    <w:rsid w:val="00F86BEE"/>
    <w:rsid w:val="00F86DC1"/>
    <w:rsid w:val="00F87B7D"/>
    <w:rsid w:val="00F907B5"/>
    <w:rsid w:val="00F90DF1"/>
    <w:rsid w:val="00F90E60"/>
    <w:rsid w:val="00F90EBA"/>
    <w:rsid w:val="00F90FAA"/>
    <w:rsid w:val="00F912F2"/>
    <w:rsid w:val="00F914CA"/>
    <w:rsid w:val="00F9155C"/>
    <w:rsid w:val="00F915E8"/>
    <w:rsid w:val="00F91F50"/>
    <w:rsid w:val="00F9206E"/>
    <w:rsid w:val="00F92327"/>
    <w:rsid w:val="00F92499"/>
    <w:rsid w:val="00F924C8"/>
    <w:rsid w:val="00F928A1"/>
    <w:rsid w:val="00F92E57"/>
    <w:rsid w:val="00F92F11"/>
    <w:rsid w:val="00F9316E"/>
    <w:rsid w:val="00F93349"/>
    <w:rsid w:val="00F93CAA"/>
    <w:rsid w:val="00F94221"/>
    <w:rsid w:val="00F94395"/>
    <w:rsid w:val="00F94485"/>
    <w:rsid w:val="00F94493"/>
    <w:rsid w:val="00F94539"/>
    <w:rsid w:val="00F945D1"/>
    <w:rsid w:val="00F94BFE"/>
    <w:rsid w:val="00F94FBA"/>
    <w:rsid w:val="00F951E0"/>
    <w:rsid w:val="00F9556C"/>
    <w:rsid w:val="00F95873"/>
    <w:rsid w:val="00F9598A"/>
    <w:rsid w:val="00F970DE"/>
    <w:rsid w:val="00F970EC"/>
    <w:rsid w:val="00F97125"/>
    <w:rsid w:val="00F97615"/>
    <w:rsid w:val="00F97B11"/>
    <w:rsid w:val="00FA0085"/>
    <w:rsid w:val="00FA02F7"/>
    <w:rsid w:val="00FA066B"/>
    <w:rsid w:val="00FA0864"/>
    <w:rsid w:val="00FA0868"/>
    <w:rsid w:val="00FA0A47"/>
    <w:rsid w:val="00FA0BA5"/>
    <w:rsid w:val="00FA0C27"/>
    <w:rsid w:val="00FA0F07"/>
    <w:rsid w:val="00FA0FA8"/>
    <w:rsid w:val="00FA1125"/>
    <w:rsid w:val="00FA16DE"/>
    <w:rsid w:val="00FA16F2"/>
    <w:rsid w:val="00FA1937"/>
    <w:rsid w:val="00FA2934"/>
    <w:rsid w:val="00FA2A41"/>
    <w:rsid w:val="00FA2A58"/>
    <w:rsid w:val="00FA2C3F"/>
    <w:rsid w:val="00FA2E59"/>
    <w:rsid w:val="00FA321C"/>
    <w:rsid w:val="00FA362F"/>
    <w:rsid w:val="00FA3648"/>
    <w:rsid w:val="00FA3711"/>
    <w:rsid w:val="00FA41F9"/>
    <w:rsid w:val="00FA467A"/>
    <w:rsid w:val="00FA4713"/>
    <w:rsid w:val="00FA4A48"/>
    <w:rsid w:val="00FA4E89"/>
    <w:rsid w:val="00FA5017"/>
    <w:rsid w:val="00FA50CB"/>
    <w:rsid w:val="00FA571A"/>
    <w:rsid w:val="00FA5F3D"/>
    <w:rsid w:val="00FA6729"/>
    <w:rsid w:val="00FA682A"/>
    <w:rsid w:val="00FA6851"/>
    <w:rsid w:val="00FA6A25"/>
    <w:rsid w:val="00FA6A3D"/>
    <w:rsid w:val="00FA6F54"/>
    <w:rsid w:val="00FA70F5"/>
    <w:rsid w:val="00FA71A4"/>
    <w:rsid w:val="00FA75A3"/>
    <w:rsid w:val="00FA75B7"/>
    <w:rsid w:val="00FA7AFF"/>
    <w:rsid w:val="00FA7ED0"/>
    <w:rsid w:val="00FB00E8"/>
    <w:rsid w:val="00FB0366"/>
    <w:rsid w:val="00FB0D56"/>
    <w:rsid w:val="00FB0F2A"/>
    <w:rsid w:val="00FB17A5"/>
    <w:rsid w:val="00FB17EE"/>
    <w:rsid w:val="00FB1862"/>
    <w:rsid w:val="00FB2012"/>
    <w:rsid w:val="00FB2672"/>
    <w:rsid w:val="00FB273A"/>
    <w:rsid w:val="00FB31A0"/>
    <w:rsid w:val="00FB3310"/>
    <w:rsid w:val="00FB39B6"/>
    <w:rsid w:val="00FB3AD2"/>
    <w:rsid w:val="00FB3DA3"/>
    <w:rsid w:val="00FB405A"/>
    <w:rsid w:val="00FB43A2"/>
    <w:rsid w:val="00FB4435"/>
    <w:rsid w:val="00FB473B"/>
    <w:rsid w:val="00FB4881"/>
    <w:rsid w:val="00FB4922"/>
    <w:rsid w:val="00FB4C75"/>
    <w:rsid w:val="00FB4D63"/>
    <w:rsid w:val="00FB4FED"/>
    <w:rsid w:val="00FB504B"/>
    <w:rsid w:val="00FB5233"/>
    <w:rsid w:val="00FB52F2"/>
    <w:rsid w:val="00FB59C7"/>
    <w:rsid w:val="00FB608D"/>
    <w:rsid w:val="00FB680E"/>
    <w:rsid w:val="00FB69B5"/>
    <w:rsid w:val="00FB6BC1"/>
    <w:rsid w:val="00FB6BC7"/>
    <w:rsid w:val="00FB6CF2"/>
    <w:rsid w:val="00FB6D20"/>
    <w:rsid w:val="00FB7040"/>
    <w:rsid w:val="00FC029D"/>
    <w:rsid w:val="00FC04C0"/>
    <w:rsid w:val="00FC08BC"/>
    <w:rsid w:val="00FC0E38"/>
    <w:rsid w:val="00FC0EBF"/>
    <w:rsid w:val="00FC0FF1"/>
    <w:rsid w:val="00FC0FF9"/>
    <w:rsid w:val="00FC1180"/>
    <w:rsid w:val="00FC1251"/>
    <w:rsid w:val="00FC1383"/>
    <w:rsid w:val="00FC145C"/>
    <w:rsid w:val="00FC152F"/>
    <w:rsid w:val="00FC1563"/>
    <w:rsid w:val="00FC1D9A"/>
    <w:rsid w:val="00FC2073"/>
    <w:rsid w:val="00FC293A"/>
    <w:rsid w:val="00FC2EE1"/>
    <w:rsid w:val="00FC3124"/>
    <w:rsid w:val="00FC3217"/>
    <w:rsid w:val="00FC34CC"/>
    <w:rsid w:val="00FC34F4"/>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0C9"/>
    <w:rsid w:val="00FC610A"/>
    <w:rsid w:val="00FC6323"/>
    <w:rsid w:val="00FC645C"/>
    <w:rsid w:val="00FC6A21"/>
    <w:rsid w:val="00FC6B1C"/>
    <w:rsid w:val="00FC6DFD"/>
    <w:rsid w:val="00FC71A3"/>
    <w:rsid w:val="00FC780F"/>
    <w:rsid w:val="00FC797F"/>
    <w:rsid w:val="00FC7BB6"/>
    <w:rsid w:val="00FD0145"/>
    <w:rsid w:val="00FD045A"/>
    <w:rsid w:val="00FD0742"/>
    <w:rsid w:val="00FD076A"/>
    <w:rsid w:val="00FD07ED"/>
    <w:rsid w:val="00FD0962"/>
    <w:rsid w:val="00FD1042"/>
    <w:rsid w:val="00FD10B6"/>
    <w:rsid w:val="00FD1206"/>
    <w:rsid w:val="00FD13B8"/>
    <w:rsid w:val="00FD1601"/>
    <w:rsid w:val="00FD1CF4"/>
    <w:rsid w:val="00FD1D01"/>
    <w:rsid w:val="00FD1F06"/>
    <w:rsid w:val="00FD23B4"/>
    <w:rsid w:val="00FD2E5B"/>
    <w:rsid w:val="00FD3172"/>
    <w:rsid w:val="00FD3264"/>
    <w:rsid w:val="00FD3671"/>
    <w:rsid w:val="00FD3B01"/>
    <w:rsid w:val="00FD3C7A"/>
    <w:rsid w:val="00FD3F0F"/>
    <w:rsid w:val="00FD4C0D"/>
    <w:rsid w:val="00FD4C23"/>
    <w:rsid w:val="00FD4D36"/>
    <w:rsid w:val="00FD5097"/>
    <w:rsid w:val="00FD51B5"/>
    <w:rsid w:val="00FD58AF"/>
    <w:rsid w:val="00FD58B8"/>
    <w:rsid w:val="00FD5B68"/>
    <w:rsid w:val="00FD6045"/>
    <w:rsid w:val="00FD6222"/>
    <w:rsid w:val="00FD6A4E"/>
    <w:rsid w:val="00FD6F3C"/>
    <w:rsid w:val="00FD71E9"/>
    <w:rsid w:val="00FD73B9"/>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CBC"/>
    <w:rsid w:val="00FE4DD1"/>
    <w:rsid w:val="00FE558D"/>
    <w:rsid w:val="00FE55EA"/>
    <w:rsid w:val="00FE5F0C"/>
    <w:rsid w:val="00FE645D"/>
    <w:rsid w:val="00FE6A3B"/>
    <w:rsid w:val="00FE6E93"/>
    <w:rsid w:val="00FE7002"/>
    <w:rsid w:val="00FE70D9"/>
    <w:rsid w:val="00FE7649"/>
    <w:rsid w:val="00FE7726"/>
    <w:rsid w:val="00FE79B6"/>
    <w:rsid w:val="00FE7A31"/>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7B1"/>
    <w:rsid w:val="00FF1BA2"/>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74"/>
    <w:rsid w:val="00FF3EA9"/>
    <w:rsid w:val="00FF4123"/>
    <w:rsid w:val="00FF438C"/>
    <w:rsid w:val="00FF4599"/>
    <w:rsid w:val="00FF4709"/>
    <w:rsid w:val="00FF4756"/>
    <w:rsid w:val="00FF47D8"/>
    <w:rsid w:val="00FF487C"/>
    <w:rsid w:val="00FF4C6A"/>
    <w:rsid w:val="00FF4F99"/>
    <w:rsid w:val="00FF5136"/>
    <w:rsid w:val="00FF53D2"/>
    <w:rsid w:val="00FF55BE"/>
    <w:rsid w:val="00FF5622"/>
    <w:rsid w:val="00FF57F0"/>
    <w:rsid w:val="00FF5B18"/>
    <w:rsid w:val="00FF5CC3"/>
    <w:rsid w:val="00FF66CC"/>
    <w:rsid w:val="00FF67A3"/>
    <w:rsid w:val="00FF6A42"/>
    <w:rsid w:val="00FF6AA6"/>
    <w:rsid w:val="00FF6EF9"/>
    <w:rsid w:val="00FF71EF"/>
    <w:rsid w:val="00FF759E"/>
    <w:rsid w:val="00FF7893"/>
    <w:rsid w:val="00FF7925"/>
    <w:rsid w:val="043DA164"/>
    <w:rsid w:val="0447F760"/>
    <w:rsid w:val="06EF7EAF"/>
    <w:rsid w:val="0B7D5CF2"/>
    <w:rsid w:val="13B4B41E"/>
    <w:rsid w:val="14D51207"/>
    <w:rsid w:val="163AB8B2"/>
    <w:rsid w:val="1B3F4A74"/>
    <w:rsid w:val="1BD88CB1"/>
    <w:rsid w:val="1CC825AF"/>
    <w:rsid w:val="1EA63FAE"/>
    <w:rsid w:val="203BDF62"/>
    <w:rsid w:val="207D897D"/>
    <w:rsid w:val="2093804C"/>
    <w:rsid w:val="21EC51D2"/>
    <w:rsid w:val="21FBDE87"/>
    <w:rsid w:val="2291142B"/>
    <w:rsid w:val="232765E4"/>
    <w:rsid w:val="24F6FC56"/>
    <w:rsid w:val="25C6AC1F"/>
    <w:rsid w:val="27083F14"/>
    <w:rsid w:val="27109747"/>
    <w:rsid w:val="27830DBD"/>
    <w:rsid w:val="285035AB"/>
    <w:rsid w:val="28C51222"/>
    <w:rsid w:val="28E2CF99"/>
    <w:rsid w:val="29ACA0CB"/>
    <w:rsid w:val="29F45AC7"/>
    <w:rsid w:val="2BB5EFDE"/>
    <w:rsid w:val="2C502078"/>
    <w:rsid w:val="2D47A11B"/>
    <w:rsid w:val="2D6E29F9"/>
    <w:rsid w:val="2DD06CBC"/>
    <w:rsid w:val="2E052DB3"/>
    <w:rsid w:val="2F5FA022"/>
    <w:rsid w:val="35D8DB1E"/>
    <w:rsid w:val="3887197A"/>
    <w:rsid w:val="3AA2B3C6"/>
    <w:rsid w:val="3E91BEA7"/>
    <w:rsid w:val="437F55DB"/>
    <w:rsid w:val="443F750D"/>
    <w:rsid w:val="47EA88FE"/>
    <w:rsid w:val="4AC3BDA3"/>
    <w:rsid w:val="4CFBB62C"/>
    <w:rsid w:val="511CC280"/>
    <w:rsid w:val="51CD5D50"/>
    <w:rsid w:val="527482AF"/>
    <w:rsid w:val="54D13037"/>
    <w:rsid w:val="57E2F007"/>
    <w:rsid w:val="5997181A"/>
    <w:rsid w:val="5E7D8D04"/>
    <w:rsid w:val="5FC8A01B"/>
    <w:rsid w:val="61588ECA"/>
    <w:rsid w:val="61864E6F"/>
    <w:rsid w:val="63D845F8"/>
    <w:rsid w:val="64175A06"/>
    <w:rsid w:val="69FB4936"/>
    <w:rsid w:val="6F5672FD"/>
    <w:rsid w:val="715DB526"/>
    <w:rsid w:val="726AB4DD"/>
    <w:rsid w:val="73C091AA"/>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0494"/>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styleId="Kiemels2">
    <w:name w:val="Strong"/>
    <w:basedOn w:val="Bekezdsalapbettpusa"/>
    <w:uiPriority w:val="22"/>
    <w:qFormat/>
    <w:rsid w:val="0093020E"/>
    <w:rPr>
      <w:b/>
      <w:bCs/>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3">
      <w:bodyDiv w:val="1"/>
      <w:marLeft w:val="0"/>
      <w:marRight w:val="0"/>
      <w:marTop w:val="0"/>
      <w:marBottom w:val="0"/>
      <w:divBdr>
        <w:top w:val="none" w:sz="0" w:space="0" w:color="auto"/>
        <w:left w:val="none" w:sz="0" w:space="0" w:color="auto"/>
        <w:bottom w:val="none" w:sz="0" w:space="0" w:color="auto"/>
        <w:right w:val="none" w:sz="0" w:space="0" w:color="auto"/>
      </w:divBdr>
      <w:divsChild>
        <w:div w:id="2089646129">
          <w:marLeft w:val="0"/>
          <w:marRight w:val="0"/>
          <w:marTop w:val="0"/>
          <w:marBottom w:val="0"/>
          <w:divBdr>
            <w:top w:val="none" w:sz="0" w:space="0" w:color="auto"/>
            <w:left w:val="none" w:sz="0" w:space="0" w:color="auto"/>
            <w:bottom w:val="none" w:sz="0" w:space="0" w:color="auto"/>
            <w:right w:val="none" w:sz="0" w:space="0" w:color="auto"/>
          </w:divBdr>
        </w:div>
        <w:div w:id="470290246">
          <w:marLeft w:val="0"/>
          <w:marRight w:val="0"/>
          <w:marTop w:val="0"/>
          <w:marBottom w:val="0"/>
          <w:divBdr>
            <w:top w:val="none" w:sz="0" w:space="0" w:color="auto"/>
            <w:left w:val="none" w:sz="0" w:space="0" w:color="auto"/>
            <w:bottom w:val="none" w:sz="0" w:space="0" w:color="auto"/>
            <w:right w:val="none" w:sz="0" w:space="0" w:color="auto"/>
          </w:divBdr>
        </w:div>
      </w:divsChild>
    </w:div>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2341">
      <w:bodyDiv w:val="1"/>
      <w:marLeft w:val="0"/>
      <w:marRight w:val="0"/>
      <w:marTop w:val="0"/>
      <w:marBottom w:val="0"/>
      <w:divBdr>
        <w:top w:val="none" w:sz="0" w:space="0" w:color="auto"/>
        <w:left w:val="none" w:sz="0" w:space="0" w:color="auto"/>
        <w:bottom w:val="none" w:sz="0" w:space="0" w:color="auto"/>
        <w:right w:val="none" w:sz="0" w:space="0" w:color="auto"/>
      </w:divBdr>
    </w:div>
    <w:div w:id="522593328">
      <w:bodyDiv w:val="1"/>
      <w:marLeft w:val="0"/>
      <w:marRight w:val="0"/>
      <w:marTop w:val="0"/>
      <w:marBottom w:val="0"/>
      <w:divBdr>
        <w:top w:val="none" w:sz="0" w:space="0" w:color="auto"/>
        <w:left w:val="none" w:sz="0" w:space="0" w:color="auto"/>
        <w:bottom w:val="none" w:sz="0" w:space="0" w:color="auto"/>
        <w:right w:val="none" w:sz="0" w:space="0" w:color="auto"/>
      </w:divBdr>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1792196">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4562021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040263">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13408036">
      <w:bodyDiv w:val="1"/>
      <w:marLeft w:val="0"/>
      <w:marRight w:val="0"/>
      <w:marTop w:val="0"/>
      <w:marBottom w:val="0"/>
      <w:divBdr>
        <w:top w:val="none" w:sz="0" w:space="0" w:color="auto"/>
        <w:left w:val="none" w:sz="0" w:space="0" w:color="auto"/>
        <w:bottom w:val="none" w:sz="0" w:space="0" w:color="auto"/>
        <w:right w:val="none" w:sz="0" w:space="0" w:color="auto"/>
      </w:divBdr>
      <w:divsChild>
        <w:div w:id="444928535">
          <w:marLeft w:val="0"/>
          <w:marRight w:val="0"/>
          <w:marTop w:val="0"/>
          <w:marBottom w:val="0"/>
          <w:divBdr>
            <w:top w:val="none" w:sz="0" w:space="0" w:color="auto"/>
            <w:left w:val="none" w:sz="0" w:space="0" w:color="auto"/>
            <w:bottom w:val="none" w:sz="0" w:space="0" w:color="auto"/>
            <w:right w:val="none" w:sz="0" w:space="0" w:color="auto"/>
          </w:divBdr>
        </w:div>
        <w:div w:id="89854316">
          <w:marLeft w:val="0"/>
          <w:marRight w:val="0"/>
          <w:marTop w:val="0"/>
          <w:marBottom w:val="0"/>
          <w:divBdr>
            <w:top w:val="none" w:sz="0" w:space="0" w:color="auto"/>
            <w:left w:val="none" w:sz="0" w:space="0" w:color="auto"/>
            <w:bottom w:val="none" w:sz="0" w:space="0" w:color="auto"/>
            <w:right w:val="none" w:sz="0" w:space="0" w:color="auto"/>
          </w:divBdr>
        </w:div>
      </w:divsChild>
    </w:div>
    <w:div w:id="1828979266">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4898860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6030061">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2022</_x00c9_v>
    <T_x00e9_ma xmlns="cb7eed14-1ed6-4f4f-9464-e9d73fc2f8e9">Monitoring</T_x00e9_ma>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2.xml><?xml version="1.0" encoding="utf-8"?>
<ds:datastoreItem xmlns:ds="http://schemas.openxmlformats.org/officeDocument/2006/customXml" ds:itemID="{0EE11BA3-0A37-4BD8-BD31-BFB30367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480CA-BC7A-45F3-A224-17837488D9B2}">
  <ds:schemaRefs>
    <ds:schemaRef ds:uri="cb7eed14-1ed6-4f4f-9464-e9d73fc2f8e9"/>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669010e-b829-4d86-87dd-cdce11b02043"/>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E0329190-3CE8-43D6-8DE5-DCB71941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4456</Words>
  <Characters>30751</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helyzetéről</vt:lpstr>
    </vt:vector>
  </TitlesOfParts>
  <LinksUpToDate>false</LinksUpToDate>
  <CharactersWithSpaces>35137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helyzetéről</dc:title>
  <dc:creator/>
  <cp:lastModifiedBy/>
  <cp:revision>1</cp:revision>
  <dcterms:created xsi:type="dcterms:W3CDTF">2022-02-17T14:26:00Z</dcterms:created>
  <dcterms:modified xsi:type="dcterms:W3CDTF">2022-04-19T09:45:00Z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