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89E2" w14:textId="77777777" w:rsidR="00B155FE" w:rsidRPr="00B155FE" w:rsidRDefault="397FF86C" w:rsidP="397FF86C">
      <w:pPr>
        <w:tabs>
          <w:tab w:val="center" w:pos="4536"/>
        </w:tabs>
        <w:bidi/>
        <w:spacing w:after="120" w:line="240" w:lineRule="auto"/>
        <w:ind w:left="-142" w:right="-1" w:firstLine="142"/>
        <w:rPr>
          <w:rFonts w:ascii="Times New Roman" w:eastAsia="Times New Roman" w:hAnsi="Times New Roman" w:cs="Times New Roman"/>
          <w:b/>
          <w:bCs/>
          <w:smallCaps/>
          <w:sz w:val="32"/>
          <w:szCs w:val="32"/>
          <w:lang w:eastAsia="hu-HU"/>
        </w:rPr>
      </w:pPr>
      <w:r w:rsidRPr="397FF86C">
        <w:rPr>
          <w:rFonts w:ascii="Times New Roman" w:eastAsia="Times New Roman" w:hAnsi="Times New Roman" w:cs="Times New Roman"/>
          <w:b/>
          <w:bCs/>
          <w:smallCaps/>
          <w:sz w:val="32"/>
          <w:szCs w:val="32"/>
          <w:lang w:eastAsia="hu-HU"/>
        </w:rPr>
        <w:t>Pénzügyminisztérium</w:t>
      </w:r>
    </w:p>
    <w:p w14:paraId="7B7689E4" w14:textId="77777777" w:rsid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36F33C9C" w14:textId="77777777" w:rsidR="001E689B" w:rsidRPr="00B155FE" w:rsidRDefault="001E689B"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5"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6"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7"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8"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9"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26"/>
          <w:szCs w:val="26"/>
          <w:lang w:eastAsia="hu-HU"/>
        </w:rPr>
      </w:pPr>
    </w:p>
    <w:p w14:paraId="7B7689EA"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B"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C"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D"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E" w14:textId="77777777" w:rsidR="00B155FE" w:rsidRPr="00B155FE" w:rsidRDefault="00B155FE" w:rsidP="00B155FE">
      <w:pPr>
        <w:keepNext/>
        <w:widowControl w:val="0"/>
        <w:spacing w:after="120" w:line="240" w:lineRule="auto"/>
        <w:jc w:val="center"/>
        <w:rPr>
          <w:rFonts w:ascii="Times New Roman" w:eastAsia="Times New Roman" w:hAnsi="Times New Roman" w:cs="Times New Roman"/>
          <w:caps/>
          <w:spacing w:val="60"/>
          <w:sz w:val="32"/>
          <w:szCs w:val="20"/>
          <w:lang w:eastAsia="hu-HU"/>
        </w:rPr>
      </w:pPr>
    </w:p>
    <w:p w14:paraId="7B7689EF" w14:textId="77777777" w:rsidR="00B155FE" w:rsidRPr="00B155FE" w:rsidRDefault="00B155FE" w:rsidP="397FF86C">
      <w:pPr>
        <w:keepNext/>
        <w:widowControl w:val="0"/>
        <w:spacing w:after="120" w:line="240" w:lineRule="auto"/>
        <w:jc w:val="center"/>
        <w:rPr>
          <w:rFonts w:ascii="Times New Roman" w:eastAsia="Times New Roman" w:hAnsi="Times New Roman" w:cs="Times New Roman"/>
          <w:b/>
          <w:bCs/>
          <w:caps/>
          <w:sz w:val="32"/>
          <w:szCs w:val="32"/>
          <w:lang w:eastAsia="hu-HU"/>
        </w:rPr>
      </w:pPr>
      <w:r w:rsidRPr="6B5B80CE">
        <w:rPr>
          <w:rFonts w:ascii="Times New Roman" w:eastAsia="Times New Roman" w:hAnsi="Times New Roman" w:cs="Times New Roman"/>
          <w:b/>
          <w:bCs/>
          <w:caps/>
          <w:spacing w:val="60"/>
          <w:sz w:val="32"/>
          <w:szCs w:val="32"/>
          <w:lang w:eastAsia="hu-HU"/>
        </w:rPr>
        <w:t>Tájékoztató</w:t>
      </w:r>
    </w:p>
    <w:p w14:paraId="5AE02B14" w14:textId="56E53728" w:rsidR="00B94CCA" w:rsidRDefault="397FF86C" w:rsidP="397FF86C">
      <w:pPr>
        <w:keepNext/>
        <w:tabs>
          <w:tab w:val="left" w:pos="2694"/>
        </w:tabs>
        <w:spacing w:after="120" w:line="240" w:lineRule="auto"/>
        <w:ind w:right="-1"/>
        <w:jc w:val="center"/>
        <w:outlineLvl w:val="1"/>
        <w:rPr>
          <w:rFonts w:ascii="Times New Roman" w:eastAsia="Times New Roman" w:hAnsi="Times New Roman" w:cs="Times New Roman"/>
          <w:b/>
          <w:bCs/>
          <w:i/>
          <w:iCs/>
          <w:sz w:val="26"/>
          <w:szCs w:val="26"/>
          <w:lang w:eastAsia="hu-HU"/>
        </w:rPr>
      </w:pPr>
      <w:proofErr w:type="gramStart"/>
      <w:r w:rsidRPr="397FF86C">
        <w:rPr>
          <w:rFonts w:ascii="Times New Roman" w:eastAsia="Times New Roman" w:hAnsi="Times New Roman" w:cs="Times New Roman"/>
          <w:b/>
          <w:bCs/>
          <w:i/>
          <w:iCs/>
          <w:sz w:val="26"/>
          <w:szCs w:val="26"/>
          <w:lang w:eastAsia="hu-HU"/>
        </w:rPr>
        <w:t>az</w:t>
      </w:r>
      <w:proofErr w:type="gramEnd"/>
      <w:r w:rsidRPr="397FF86C">
        <w:rPr>
          <w:rFonts w:ascii="Times New Roman" w:eastAsia="Times New Roman" w:hAnsi="Times New Roman" w:cs="Times New Roman"/>
          <w:b/>
          <w:bCs/>
          <w:i/>
          <w:iCs/>
          <w:sz w:val="26"/>
          <w:szCs w:val="26"/>
          <w:lang w:eastAsia="hu-HU"/>
        </w:rPr>
        <w:t xml:space="preserve"> államháztartás központi alrendszerének</w:t>
      </w:r>
      <w:r w:rsidR="1ADA31FC">
        <w:br/>
      </w:r>
      <w:r w:rsidRPr="397FF86C">
        <w:rPr>
          <w:rFonts w:ascii="Times New Roman" w:eastAsia="Times New Roman" w:hAnsi="Times New Roman" w:cs="Times New Roman"/>
          <w:b/>
          <w:bCs/>
          <w:i/>
          <w:iCs/>
          <w:sz w:val="26"/>
          <w:szCs w:val="26"/>
          <w:lang w:eastAsia="hu-HU"/>
        </w:rPr>
        <w:t>2023. augusztus végi helyzetéről</w:t>
      </w:r>
    </w:p>
    <w:p w14:paraId="7B7689F2" w14:textId="2D4563EC" w:rsidR="00B155FE" w:rsidRDefault="00B155FE"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4A2F8C9F" w14:textId="77777777" w:rsidR="001E689B"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D327E5D" w14:textId="77777777" w:rsidR="001E689B"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35267E04" w14:textId="77777777" w:rsidR="001E689B"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20BD3D31" w14:textId="77777777" w:rsidR="001E689B"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16E13D32" w14:textId="77777777" w:rsidR="001E689B"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59F56A13" w14:textId="77777777" w:rsidR="001E689B" w:rsidRPr="00B155FE" w:rsidRDefault="001E689B" w:rsidP="3F8285E0">
      <w:pPr>
        <w:tabs>
          <w:tab w:val="left" w:pos="2694"/>
        </w:tabs>
        <w:spacing w:after="120" w:line="240" w:lineRule="auto"/>
        <w:jc w:val="both"/>
        <w:rPr>
          <w:rFonts w:ascii="Times New Roman" w:eastAsia="Times New Roman" w:hAnsi="Times New Roman" w:cs="Times New Roman"/>
          <w:sz w:val="26"/>
          <w:szCs w:val="26"/>
          <w:lang w:eastAsia="hu-HU"/>
        </w:rPr>
      </w:pPr>
    </w:p>
    <w:p w14:paraId="7B7689F4" w14:textId="77777777" w:rsidR="00B155FE" w:rsidRPr="00B155FE"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6" w14:textId="77777777" w:rsidR="00B155FE" w:rsidRPr="00B155FE" w:rsidRDefault="00B155FE" w:rsidP="00B155FE">
      <w:pPr>
        <w:tabs>
          <w:tab w:val="left" w:pos="2694"/>
        </w:tabs>
        <w:spacing w:after="120" w:line="240" w:lineRule="auto"/>
        <w:jc w:val="both"/>
        <w:rPr>
          <w:rFonts w:ascii="Times New Roman" w:eastAsia="Times New Roman" w:hAnsi="Times New Roman" w:cs="Times New Roman"/>
          <w:sz w:val="26"/>
          <w:szCs w:val="20"/>
          <w:lang w:eastAsia="hu-HU"/>
        </w:rPr>
      </w:pPr>
    </w:p>
    <w:p w14:paraId="7B7689F7" w14:textId="77777777" w:rsidR="00B155FE" w:rsidRPr="00B155FE" w:rsidRDefault="00B155FE" w:rsidP="00B155FE">
      <w:pPr>
        <w:spacing w:after="120" w:line="240" w:lineRule="auto"/>
        <w:jc w:val="both"/>
        <w:rPr>
          <w:rFonts w:ascii="Times New Roman" w:eastAsia="Times New Roman" w:hAnsi="Times New Roman" w:cs="Times New Roman"/>
          <w:sz w:val="26"/>
          <w:szCs w:val="20"/>
          <w:lang w:eastAsia="hu-HU"/>
        </w:rPr>
      </w:pPr>
    </w:p>
    <w:p w14:paraId="7B7689F8" w14:textId="7C3BEFF0" w:rsidR="00B155FE" w:rsidRPr="00B155FE" w:rsidRDefault="00B155FE" w:rsidP="00EA1F58">
      <w:pPr>
        <w:tabs>
          <w:tab w:val="left" w:pos="5685"/>
        </w:tabs>
        <w:spacing w:after="120" w:line="240" w:lineRule="auto"/>
        <w:jc w:val="both"/>
        <w:rPr>
          <w:rFonts w:ascii="Times New Roman" w:eastAsia="Times New Roman" w:hAnsi="Times New Roman" w:cs="Times New Roman"/>
          <w:sz w:val="26"/>
          <w:szCs w:val="20"/>
          <w:lang w:eastAsia="hu-HU"/>
        </w:rPr>
      </w:pPr>
    </w:p>
    <w:p w14:paraId="7B7689F9" w14:textId="77777777" w:rsidR="00B155FE" w:rsidRPr="00B155FE" w:rsidRDefault="00B155FE" w:rsidP="00B155FE">
      <w:pPr>
        <w:spacing w:after="120" w:line="240" w:lineRule="auto"/>
        <w:jc w:val="both"/>
        <w:rPr>
          <w:rFonts w:ascii="Times New Roman" w:eastAsia="Times New Roman" w:hAnsi="Times New Roman" w:cs="Times New Roman"/>
          <w:sz w:val="26"/>
          <w:szCs w:val="20"/>
          <w:lang w:eastAsia="hu-HU"/>
        </w:rPr>
      </w:pPr>
    </w:p>
    <w:p w14:paraId="7B7689FA" w14:textId="77777777" w:rsidR="00B155FE" w:rsidRPr="00B155FE" w:rsidRDefault="00B155FE" w:rsidP="00B155FE">
      <w:pPr>
        <w:spacing w:after="120" w:line="240" w:lineRule="auto"/>
        <w:jc w:val="both"/>
        <w:rPr>
          <w:rFonts w:ascii="Times New Roman" w:eastAsia="Times New Roman" w:hAnsi="Times New Roman" w:cs="Times New Roman"/>
          <w:sz w:val="26"/>
          <w:szCs w:val="20"/>
          <w:lang w:eastAsia="hu-HU"/>
        </w:rPr>
      </w:pPr>
    </w:p>
    <w:p w14:paraId="7B7689FB" w14:textId="77777777" w:rsidR="00B155FE" w:rsidRPr="00B155FE" w:rsidRDefault="00B155FE" w:rsidP="00B155FE">
      <w:pPr>
        <w:spacing w:after="120" w:line="240" w:lineRule="auto"/>
        <w:jc w:val="both"/>
        <w:rPr>
          <w:rFonts w:ascii="Times New Roman" w:eastAsia="Times New Roman" w:hAnsi="Times New Roman" w:cs="Times New Roman"/>
          <w:sz w:val="26"/>
          <w:szCs w:val="20"/>
          <w:lang w:eastAsia="hu-HU"/>
        </w:rPr>
      </w:pPr>
    </w:p>
    <w:p w14:paraId="1CF999E6" w14:textId="398855D5" w:rsidR="00E97147" w:rsidRDefault="00B155FE" w:rsidP="397FF86C">
      <w:pPr>
        <w:tabs>
          <w:tab w:val="left" w:pos="2694"/>
        </w:tabs>
        <w:spacing w:after="120" w:line="240" w:lineRule="auto"/>
        <w:jc w:val="center"/>
        <w:rPr>
          <w:rFonts w:ascii="Times New Roman" w:eastAsia="Times New Roman" w:hAnsi="Times New Roman" w:cs="Times New Roman"/>
          <w:b/>
          <w:bCs/>
          <w:lang w:eastAsia="hu-HU"/>
        </w:rPr>
        <w:sectPr w:rsidR="00E97147" w:rsidSect="002276A7">
          <w:footerReference w:type="default" r:id="rId11"/>
          <w:footerReference w:type="first" r:id="rId12"/>
          <w:footnotePr>
            <w:numRestart w:val="eachPage"/>
          </w:footnotePr>
          <w:pgSz w:w="11907" w:h="16840" w:code="9"/>
          <w:pgMar w:top="1134" w:right="1134" w:bottom="1418" w:left="1418" w:header="709" w:footer="709" w:gutter="0"/>
          <w:pgNumType w:fmt="numberInDash" w:start="0"/>
          <w:cols w:space="708"/>
          <w:docGrid w:linePitch="354"/>
        </w:sectPr>
      </w:pPr>
      <w:r w:rsidRPr="00B155FE">
        <w:rPr>
          <w:rFonts w:ascii="Times New Roman" w:eastAsia="Times New Roman" w:hAnsi="Times New Roman" w:cs="Times New Roman"/>
          <w:b/>
          <w:bCs/>
          <w:noProof/>
          <w:lang w:eastAsia="hu-HU"/>
        </w:rPr>
        <mc:AlternateContent>
          <mc:Choice Requires="wps">
            <w:drawing>
              <wp:anchor distT="0" distB="0" distL="114300" distR="114300" simplePos="0" relativeHeight="251658240" behindDoc="0" locked="0" layoutInCell="1" allowOverlap="1" wp14:anchorId="7B768C6C" wp14:editId="7B768C6D">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857D050">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DDAB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Pr="00B155FE">
        <w:rPr>
          <w:rFonts w:ascii="Times New Roman" w:eastAsia="Times New Roman" w:hAnsi="Times New Roman" w:cs="Times New Roman"/>
          <w:b/>
          <w:bCs/>
          <w:lang w:eastAsia="hu-HU"/>
        </w:rPr>
        <w:t xml:space="preserve">2023. </w:t>
      </w:r>
      <w:r w:rsidR="000C3D4C">
        <w:rPr>
          <w:rFonts w:ascii="Times New Roman" w:eastAsia="Times New Roman" w:hAnsi="Times New Roman" w:cs="Times New Roman"/>
          <w:b/>
          <w:bCs/>
          <w:lang w:eastAsia="hu-HU"/>
        </w:rPr>
        <w:t>szeptember</w:t>
      </w:r>
    </w:p>
    <w:p w14:paraId="7B7689FC" w14:textId="59B557E4" w:rsidR="00CF533D" w:rsidRDefault="00CF533D" w:rsidP="587E035A">
      <w:pPr>
        <w:tabs>
          <w:tab w:val="left" w:pos="2694"/>
        </w:tabs>
        <w:spacing w:after="120" w:line="240" w:lineRule="auto"/>
        <w:jc w:val="center"/>
        <w:rPr>
          <w:rFonts w:ascii="Times New Roman" w:eastAsia="Times New Roman" w:hAnsi="Times New Roman" w:cs="Times New Roman"/>
          <w:b/>
          <w:bCs/>
          <w:lang w:eastAsia="hu-HU"/>
        </w:rPr>
      </w:pPr>
    </w:p>
    <w:p w14:paraId="7B7689FE" w14:textId="77777777" w:rsidR="00B155FE" w:rsidRPr="00B155FE" w:rsidRDefault="00B155FE" w:rsidP="00B155FE">
      <w:pPr>
        <w:keepNext/>
        <w:spacing w:after="120" w:line="240" w:lineRule="auto"/>
        <w:ind w:left="425" w:hanging="425"/>
        <w:jc w:val="center"/>
        <w:outlineLvl w:val="3"/>
        <w:rPr>
          <w:rFonts w:ascii="Times New Roman" w:eastAsia="Times New Roman" w:hAnsi="Times New Roman" w:cs="Times New Roman"/>
          <w:b/>
          <w:caps/>
          <w:color w:val="000000"/>
          <w:sz w:val="26"/>
          <w:szCs w:val="20"/>
          <w:lang w:eastAsia="hu-HU"/>
        </w:rPr>
      </w:pPr>
    </w:p>
    <w:p w14:paraId="7B7689FF" w14:textId="77777777" w:rsidR="00B155FE" w:rsidRPr="00B155FE" w:rsidRDefault="397FF86C" w:rsidP="397FF86C">
      <w:pPr>
        <w:keepNext/>
        <w:spacing w:after="120" w:line="240" w:lineRule="auto"/>
        <w:ind w:left="425" w:hanging="425"/>
        <w:jc w:val="center"/>
        <w:outlineLvl w:val="3"/>
        <w:rPr>
          <w:rFonts w:ascii="Times New Roman" w:eastAsia="Times New Roman" w:hAnsi="Times New Roman" w:cs="Times New Roman"/>
          <w:b/>
          <w:bCs/>
          <w:caps/>
          <w:color w:val="000000" w:themeColor="text1"/>
          <w:sz w:val="26"/>
          <w:szCs w:val="26"/>
          <w:lang w:eastAsia="hu-HU"/>
        </w:rPr>
      </w:pPr>
      <w:r w:rsidRPr="397FF86C">
        <w:rPr>
          <w:rFonts w:ascii="Times New Roman" w:eastAsia="Times New Roman" w:hAnsi="Times New Roman" w:cs="Times New Roman"/>
          <w:b/>
          <w:bCs/>
          <w:caps/>
          <w:color w:val="000000" w:themeColor="text1"/>
          <w:sz w:val="26"/>
          <w:szCs w:val="26"/>
          <w:lang w:eastAsia="hu-HU"/>
        </w:rPr>
        <w:t>Összefoglalás</w:t>
      </w:r>
    </w:p>
    <w:p w14:paraId="7B768A00" w14:textId="77777777" w:rsidR="00B155FE" w:rsidRPr="00B155FE" w:rsidRDefault="00B155FE" w:rsidP="00B155FE">
      <w:pPr>
        <w:spacing w:after="120" w:line="240" w:lineRule="auto"/>
        <w:jc w:val="both"/>
        <w:rPr>
          <w:rFonts w:ascii="Times New Roman" w:eastAsia="Times New Roman" w:hAnsi="Times New Roman" w:cs="Times New Roman"/>
          <w:bCs/>
          <w:color w:val="000000"/>
          <w:sz w:val="26"/>
          <w:szCs w:val="26"/>
          <w:lang w:eastAsia="hu-HU"/>
        </w:rPr>
      </w:pPr>
    </w:p>
    <w:p w14:paraId="0B59596D" w14:textId="434616FD" w:rsidR="00B622E5" w:rsidRDefault="00B622E5" w:rsidP="397FF86C">
      <w:pPr>
        <w:spacing w:after="120" w:line="240" w:lineRule="auto"/>
        <w:jc w:val="both"/>
        <w:rPr>
          <w:rFonts w:ascii="Times New Roman" w:eastAsia="Times New Roman" w:hAnsi="Times New Roman" w:cs="Times New Roman"/>
          <w:b/>
          <w:bCs/>
          <w:sz w:val="26"/>
          <w:szCs w:val="26"/>
          <w:lang w:eastAsia="hu-HU"/>
        </w:rPr>
      </w:pPr>
      <w:r w:rsidRPr="00B622E5">
        <w:rPr>
          <w:rFonts w:ascii="Times New Roman" w:eastAsia="Times New Roman" w:hAnsi="Times New Roman" w:cs="Times New Roman"/>
          <w:b/>
          <w:bCs/>
          <w:sz w:val="26"/>
          <w:szCs w:val="26"/>
          <w:lang w:eastAsia="hu-HU"/>
        </w:rPr>
        <w:t>A költségvetés a háborús időkben is biztosítja azokat a forrásokat, amelyek a rezsicsökkentés fenntartásához, az ország biztonságának megőrzéséhez, a családtámogatások és a nyugdíjak megvédéséhez szükségesek. A rendkívüli kiadások mellett a költségvetés változatlanul előfinanszírozza azokat az uniós programokat, amelyeknek forrásait Brüsszel politikai okokból visszatartja Magyarországtól. A kormány a kedvezőtlen nemzetközi körülmények ellenére továbbra is elkötelezett amellett, hogy évről évre csökkentse a hiány és az államadósság szintjét.</w:t>
      </w:r>
    </w:p>
    <w:p w14:paraId="54B60D23" w14:textId="77777777" w:rsidR="00B622E5" w:rsidRPr="00B622E5" w:rsidRDefault="00B622E5" w:rsidP="00B622E5">
      <w:pPr>
        <w:widowControl w:val="0"/>
        <w:spacing w:after="120" w:line="240" w:lineRule="auto"/>
        <w:jc w:val="both"/>
        <w:rPr>
          <w:rFonts w:ascii="Times New Roman" w:eastAsia="Times New Roman" w:hAnsi="Times New Roman" w:cs="Times New Roman"/>
          <w:sz w:val="26"/>
          <w:szCs w:val="26"/>
          <w:lang w:eastAsia="hu-HU"/>
        </w:rPr>
      </w:pPr>
      <w:r w:rsidRPr="00B622E5">
        <w:rPr>
          <w:rFonts w:ascii="Times New Roman" w:eastAsia="Times New Roman" w:hAnsi="Times New Roman" w:cs="Times New Roman"/>
          <w:sz w:val="26"/>
          <w:szCs w:val="26"/>
          <w:lang w:eastAsia="hu-HU"/>
        </w:rPr>
        <w:t>Augusztus végéig az államháztartás központi alrendszere 3298,7 milliárd forintos hiánnyal zárt. Ezen belül a központi költségvetés 3330,8 milliárd forintos hiányt, az elkülönített állami pénzalapok 125,1 milliárd forintos többletet, a társadalombiztosítás pénzügyi alapjai pedig 93,0 milliárd forintos hiányt mutattak.</w:t>
      </w:r>
    </w:p>
    <w:p w14:paraId="6722D36D" w14:textId="77777777" w:rsidR="00B622E5" w:rsidRPr="00B622E5" w:rsidRDefault="00B622E5" w:rsidP="00B622E5">
      <w:pPr>
        <w:widowControl w:val="0"/>
        <w:spacing w:after="120" w:line="240" w:lineRule="auto"/>
        <w:jc w:val="both"/>
        <w:rPr>
          <w:rFonts w:ascii="Times New Roman" w:eastAsia="Times New Roman" w:hAnsi="Times New Roman" w:cs="Times New Roman"/>
          <w:sz w:val="26"/>
          <w:szCs w:val="26"/>
          <w:lang w:eastAsia="hu-HU"/>
        </w:rPr>
      </w:pPr>
      <w:r w:rsidRPr="00B622E5">
        <w:rPr>
          <w:rFonts w:ascii="Times New Roman" w:eastAsia="Times New Roman" w:hAnsi="Times New Roman" w:cs="Times New Roman"/>
          <w:sz w:val="26"/>
          <w:szCs w:val="26"/>
          <w:lang w:eastAsia="hu-HU"/>
        </w:rPr>
        <w:t xml:space="preserve">Az év első nyolc hónapjában a rezsivédelmi kiadásokkal összefüggésben 1085,1 milliárd forintot fordítottunk a távhőszolgáltatók és a lakossági villamos energia és földgáz egyetemes szolgáltatás és készletezés kompenzációjára. Ezzel szemben 2022. augusztus végéig csak a távhőszolgáltatók kompenzációjával kapcsolatban volt szükséges 7,5 milliárd forint kifizetése. </w:t>
      </w:r>
    </w:p>
    <w:p w14:paraId="3E15E306" w14:textId="77777777" w:rsidR="00B622E5" w:rsidRPr="00B622E5" w:rsidRDefault="00B622E5" w:rsidP="00B622E5">
      <w:pPr>
        <w:widowControl w:val="0"/>
        <w:spacing w:after="120" w:line="240" w:lineRule="auto"/>
        <w:jc w:val="both"/>
        <w:rPr>
          <w:rFonts w:ascii="Times New Roman" w:eastAsia="Times New Roman" w:hAnsi="Times New Roman" w:cs="Times New Roman"/>
          <w:sz w:val="26"/>
          <w:szCs w:val="26"/>
          <w:lang w:eastAsia="hu-HU"/>
        </w:rPr>
      </w:pPr>
      <w:r w:rsidRPr="00B622E5">
        <w:rPr>
          <w:rFonts w:ascii="Times New Roman" w:eastAsia="Times New Roman" w:hAnsi="Times New Roman" w:cs="Times New Roman"/>
          <w:sz w:val="26"/>
          <w:szCs w:val="26"/>
          <w:lang w:eastAsia="hu-HU"/>
        </w:rPr>
        <w:t>Az országos és elővárosi közlekedési közszolgáltatások költségtérítésére összesen 440,5 milliárd forintot fordítottunk augusztus végéig. Ez 85,3 milliárd forinttal haladja meg a 2022 első nyolc hónapjában folyósított forrásokat.</w:t>
      </w:r>
    </w:p>
    <w:p w14:paraId="68B342A1" w14:textId="77777777" w:rsidR="00B622E5" w:rsidRPr="00B622E5" w:rsidRDefault="00B622E5" w:rsidP="00B622E5">
      <w:pPr>
        <w:widowControl w:val="0"/>
        <w:spacing w:after="120" w:line="240" w:lineRule="auto"/>
        <w:jc w:val="both"/>
        <w:rPr>
          <w:rFonts w:ascii="Times New Roman" w:eastAsia="Times New Roman" w:hAnsi="Times New Roman" w:cs="Times New Roman"/>
          <w:sz w:val="26"/>
          <w:szCs w:val="26"/>
          <w:lang w:eastAsia="hu-HU"/>
        </w:rPr>
      </w:pPr>
      <w:r w:rsidRPr="00B622E5">
        <w:rPr>
          <w:rFonts w:ascii="Times New Roman" w:eastAsia="Times New Roman" w:hAnsi="Times New Roman" w:cs="Times New Roman"/>
          <w:sz w:val="26"/>
          <w:szCs w:val="26"/>
          <w:lang w:eastAsia="hu-HU"/>
        </w:rPr>
        <w:t>A rendkívüli kiadásokon felül a költségvetés az uniós programok költségeit továbbra is előfinanszírozza. Augusztus végéig az uniós kiadások 1813,8 milliárd forintot tettek ki, azonban ebből mindössze 1040,9 milliárd forint uniós bevétel érkezett a költségvetésbe.</w:t>
      </w:r>
    </w:p>
    <w:p w14:paraId="40101871" w14:textId="77777777" w:rsidR="00B622E5" w:rsidRPr="00B622E5" w:rsidRDefault="00B622E5" w:rsidP="00B622E5">
      <w:pPr>
        <w:widowControl w:val="0"/>
        <w:spacing w:after="120" w:line="240" w:lineRule="auto"/>
        <w:jc w:val="both"/>
        <w:rPr>
          <w:rFonts w:ascii="Times New Roman" w:eastAsia="Times New Roman" w:hAnsi="Times New Roman" w:cs="Times New Roman"/>
          <w:sz w:val="26"/>
          <w:szCs w:val="26"/>
          <w:lang w:eastAsia="hu-HU"/>
        </w:rPr>
      </w:pPr>
      <w:r w:rsidRPr="00B622E5">
        <w:rPr>
          <w:rFonts w:ascii="Times New Roman" w:eastAsia="Times New Roman" w:hAnsi="Times New Roman" w:cs="Times New Roman"/>
          <w:sz w:val="26"/>
          <w:szCs w:val="26"/>
          <w:lang w:eastAsia="hu-HU"/>
        </w:rPr>
        <w:t>Ugyancsak meghaladták az egy évvel korábbi kifizetést a nyugellátásokra és a gyógyító-megelőző ellátásra fordított összegek is. Nyugellátásokra 3859,0 milliárd forintot, míg a gyógyító-megelőző ellátásra 1512,1 milliárd forintot fordítottunk augusztus végéig.</w:t>
      </w:r>
    </w:p>
    <w:p w14:paraId="7B768A09" w14:textId="77777777" w:rsidR="00B155FE" w:rsidRPr="00B155FE" w:rsidRDefault="00B155FE" w:rsidP="00B155FE">
      <w:pPr>
        <w:widowControl w:val="0"/>
        <w:spacing w:after="120" w:line="240" w:lineRule="auto"/>
        <w:jc w:val="both"/>
        <w:rPr>
          <w:rFonts w:ascii="Times New Roman" w:eastAsia="Times New Roman" w:hAnsi="Times New Roman" w:cs="Times New Roman"/>
          <w:sz w:val="26"/>
          <w:szCs w:val="26"/>
          <w:lang w:eastAsia="hu-HU"/>
        </w:rPr>
      </w:pPr>
      <w:r w:rsidRPr="00B155FE">
        <w:rPr>
          <w:rFonts w:ascii="Times New Roman" w:eastAsia="Times New Roman" w:hAnsi="Times New Roman" w:cs="Times New Roman"/>
          <w:sz w:val="26"/>
          <w:szCs w:val="20"/>
          <w:lang w:eastAsia="hu-HU"/>
        </w:rPr>
        <w:br w:type="page"/>
      </w:r>
    </w:p>
    <w:p w14:paraId="7B768A0A" w14:textId="5659196C" w:rsidR="00B155FE" w:rsidRPr="00B155FE" w:rsidRDefault="397FF86C" w:rsidP="397FF86C">
      <w:pPr>
        <w:keepNext/>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lastRenderedPageBreak/>
        <w:t>Az államháztartás központi alrendszerének 2023. augusztus végi főbb pénzforgalmi adatai a  következők:</w:t>
      </w:r>
    </w:p>
    <w:p w14:paraId="7B768A0B" w14:textId="77777777" w:rsidR="00B155FE" w:rsidRDefault="00B155FE" w:rsidP="00B155FE">
      <w:pPr>
        <w:keepNext/>
        <w:spacing w:after="120" w:line="240" w:lineRule="auto"/>
        <w:jc w:val="both"/>
        <w:rPr>
          <w:rFonts w:ascii="Times New Roman" w:eastAsia="Times New Roman" w:hAnsi="Times New Roman" w:cs="Times New Roman"/>
          <w:sz w:val="26"/>
          <w:szCs w:val="26"/>
          <w:lang w:eastAsia="hu-HU"/>
        </w:rPr>
      </w:pPr>
    </w:p>
    <w:tbl>
      <w:tblPr>
        <w:tblW w:w="10110" w:type="dxa"/>
        <w:jc w:val="center"/>
        <w:tblCellMar>
          <w:left w:w="70" w:type="dxa"/>
          <w:right w:w="70" w:type="dxa"/>
        </w:tblCellMar>
        <w:tblLook w:val="04A0" w:firstRow="1" w:lastRow="0" w:firstColumn="1" w:lastColumn="0" w:noHBand="0" w:noVBand="1"/>
      </w:tblPr>
      <w:tblGrid>
        <w:gridCol w:w="2047"/>
        <w:gridCol w:w="1067"/>
        <w:gridCol w:w="1233"/>
        <w:gridCol w:w="1118"/>
        <w:gridCol w:w="1103"/>
        <w:gridCol w:w="1224"/>
        <w:gridCol w:w="1184"/>
        <w:gridCol w:w="1134"/>
      </w:tblGrid>
      <w:tr w:rsidR="001209E7" w:rsidRPr="0033462C" w14:paraId="0660AA2A" w14:textId="77777777" w:rsidTr="397FF86C">
        <w:trPr>
          <w:trHeight w:val="1440"/>
          <w:jc w:val="center"/>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5339B" w14:textId="77777777" w:rsidR="001209E7" w:rsidRPr="0033462C" w:rsidRDefault="397FF86C" w:rsidP="397FF86C">
            <w:pPr>
              <w:keepNext/>
              <w:keepLines/>
              <w:spacing w:after="0" w:line="240" w:lineRule="auto"/>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E398724"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b/>
                <w:bCs/>
                <w:sz w:val="20"/>
                <w:szCs w:val="20"/>
                <w:lang w:eastAsia="hu-HU"/>
              </w:rPr>
              <w:t xml:space="preserve">2022. évi előzetes </w:t>
            </w:r>
            <w:r w:rsidR="1ADA31FC">
              <w:br/>
            </w:r>
            <w:r w:rsidRPr="397FF86C">
              <w:rPr>
                <w:rFonts w:ascii="Times New Roman" w:eastAsia="Times New Roman" w:hAnsi="Times New Roman" w:cs="Times New Roman"/>
                <w:b/>
                <w:bCs/>
                <w:sz w:val="20"/>
                <w:szCs w:val="20"/>
                <w:lang w:eastAsia="hu-HU"/>
              </w:rPr>
              <w:t>tény</w:t>
            </w:r>
            <w:r w:rsidR="1ADA31FC">
              <w:br/>
            </w:r>
            <w:r w:rsidRPr="397FF86C">
              <w:rPr>
                <w:rFonts w:ascii="Times New Roman" w:eastAsia="Times New Roman" w:hAnsi="Times New Roman" w:cs="Times New Roman"/>
                <w:sz w:val="20"/>
                <w:szCs w:val="20"/>
                <w:lang w:eastAsia="hu-HU"/>
              </w:rPr>
              <w:t>milliárd forintban</w:t>
            </w:r>
          </w:p>
          <w:p w14:paraId="30025502" w14:textId="77777777" w:rsidR="001209E7" w:rsidRPr="0033462C" w:rsidRDefault="001209E7" w:rsidP="397FF86C">
            <w:pPr>
              <w:keepNext/>
              <w:keepLines/>
              <w:spacing w:after="0" w:line="240" w:lineRule="auto"/>
              <w:jc w:val="center"/>
              <w:rPr>
                <w:rFonts w:ascii="Times New Roman" w:eastAsia="Times New Roman" w:hAnsi="Times New Roman" w:cs="Times New Roman"/>
                <w:sz w:val="20"/>
                <w:szCs w:val="20"/>
                <w:lang w:eastAsia="hu-HU"/>
              </w:rPr>
            </w:pPr>
            <w:r>
              <w:br/>
            </w:r>
            <w:r w:rsidR="397FF86C" w:rsidRPr="397FF86C">
              <w:rPr>
                <w:rFonts w:ascii="Times New Roman" w:eastAsia="Times New Roman" w:hAnsi="Times New Roman" w:cs="Times New Roman"/>
                <w:sz w:val="20"/>
                <w:szCs w:val="20"/>
                <w:lang w:eastAsia="hu-HU"/>
              </w:rPr>
              <w:t>(1)</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6483FAFA" w14:textId="3E519403"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b/>
                <w:bCs/>
                <w:sz w:val="20"/>
                <w:szCs w:val="20"/>
                <w:lang w:eastAsia="hu-HU"/>
              </w:rPr>
              <w:t>2022. I-VIII. hó tény</w:t>
            </w:r>
            <w:r w:rsidR="1ADA31FC">
              <w:br/>
            </w:r>
            <w:r w:rsidRPr="397FF86C">
              <w:rPr>
                <w:rFonts w:ascii="Times New Roman" w:eastAsia="Times New Roman" w:hAnsi="Times New Roman" w:cs="Times New Roman"/>
                <w:sz w:val="20"/>
                <w:szCs w:val="20"/>
                <w:lang w:eastAsia="hu-HU"/>
              </w:rPr>
              <w:t>milliárd forintban</w:t>
            </w:r>
          </w:p>
          <w:p w14:paraId="36402D13"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570E0D17"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5119075E"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83C7D16"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éves előzetes tény=100%</w:t>
            </w:r>
            <w:r w:rsidR="1ADA31FC">
              <w:br/>
            </w:r>
            <w:r w:rsidRPr="397FF86C">
              <w:rPr>
                <w:rFonts w:ascii="Times New Roman" w:eastAsia="Times New Roman" w:hAnsi="Times New Roman" w:cs="Times New Roman"/>
                <w:sz w:val="20"/>
                <w:szCs w:val="20"/>
                <w:lang w:eastAsia="hu-HU"/>
              </w:rPr>
              <w:t>Index (%)</w:t>
            </w:r>
            <w:r w:rsidR="1ADA31FC">
              <w:br/>
            </w:r>
          </w:p>
          <w:p w14:paraId="539789F6"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77947B74"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(2/1)</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16511039"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b/>
                <w:bCs/>
                <w:sz w:val="20"/>
                <w:szCs w:val="20"/>
                <w:lang w:eastAsia="hu-HU"/>
              </w:rPr>
              <w:t>Törvényi módosított 2023. évi előirányzat</w:t>
            </w:r>
            <w:r w:rsidR="1ADA31FC">
              <w:br/>
            </w:r>
            <w:r w:rsidRPr="397FF86C">
              <w:rPr>
                <w:rFonts w:ascii="Times New Roman" w:eastAsia="Times New Roman" w:hAnsi="Times New Roman" w:cs="Times New Roman"/>
                <w:sz w:val="20"/>
                <w:szCs w:val="20"/>
                <w:lang w:eastAsia="hu-HU"/>
              </w:rPr>
              <w:t>milliárd forintban</w:t>
            </w:r>
          </w:p>
          <w:p w14:paraId="3EE81095"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(3)</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67D0EE9B" w14:textId="5AA80371" w:rsidR="001209E7" w:rsidRPr="0033462C"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 xml:space="preserve">2023. I-VIII. </w:t>
            </w:r>
          </w:p>
          <w:p w14:paraId="555E9F47"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b/>
                <w:bCs/>
                <w:sz w:val="20"/>
                <w:szCs w:val="20"/>
                <w:lang w:eastAsia="hu-HU"/>
              </w:rPr>
              <w:t>hó tény</w:t>
            </w:r>
            <w:r w:rsidR="1ADA31FC">
              <w:br/>
            </w:r>
            <w:r w:rsidRPr="397FF86C">
              <w:rPr>
                <w:rFonts w:ascii="Times New Roman" w:eastAsia="Times New Roman" w:hAnsi="Times New Roman" w:cs="Times New Roman"/>
                <w:sz w:val="20"/>
                <w:szCs w:val="20"/>
                <w:lang w:eastAsia="hu-HU"/>
              </w:rPr>
              <w:t>milliárd forintban</w:t>
            </w:r>
            <w:r w:rsidR="1ADA31FC">
              <w:br/>
            </w:r>
          </w:p>
          <w:p w14:paraId="2A114102"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72F7B7E0"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2455F786"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előirányzat=</w:t>
            </w:r>
            <w:r w:rsidR="1ADA31FC">
              <w:br/>
            </w:r>
            <w:r w:rsidRPr="397FF86C">
              <w:rPr>
                <w:rFonts w:ascii="Times New Roman" w:eastAsia="Times New Roman" w:hAnsi="Times New Roman" w:cs="Times New Roman"/>
                <w:sz w:val="20"/>
                <w:szCs w:val="20"/>
                <w:lang w:eastAsia="hu-HU"/>
              </w:rPr>
              <w:t>100%</w:t>
            </w:r>
            <w:r w:rsidR="1ADA31FC">
              <w:br/>
            </w:r>
            <w:r w:rsidRPr="397FF86C">
              <w:rPr>
                <w:rFonts w:ascii="Times New Roman" w:eastAsia="Times New Roman" w:hAnsi="Times New Roman" w:cs="Times New Roman"/>
                <w:sz w:val="20"/>
                <w:szCs w:val="20"/>
                <w:lang w:eastAsia="hu-HU"/>
              </w:rPr>
              <w:t>Index (%)</w:t>
            </w:r>
            <w:r w:rsidR="1ADA31FC">
              <w:br/>
            </w:r>
          </w:p>
          <w:p w14:paraId="11059FEE"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1FD5358B"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5173E54B"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30593E"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előző év=</w:t>
            </w:r>
            <w:r w:rsidR="1ADA31FC">
              <w:br/>
            </w:r>
            <w:r w:rsidRPr="397FF86C">
              <w:rPr>
                <w:rFonts w:ascii="Times New Roman" w:eastAsia="Times New Roman" w:hAnsi="Times New Roman" w:cs="Times New Roman"/>
                <w:sz w:val="20"/>
                <w:szCs w:val="20"/>
                <w:lang w:eastAsia="hu-HU"/>
              </w:rPr>
              <w:t>100%</w:t>
            </w:r>
            <w:r w:rsidR="1ADA31FC">
              <w:br/>
            </w:r>
            <w:r w:rsidRPr="397FF86C">
              <w:rPr>
                <w:rFonts w:ascii="Times New Roman" w:eastAsia="Times New Roman" w:hAnsi="Times New Roman" w:cs="Times New Roman"/>
                <w:sz w:val="20"/>
                <w:szCs w:val="20"/>
                <w:lang w:eastAsia="hu-HU"/>
              </w:rPr>
              <w:t>Index (%)</w:t>
            </w:r>
            <w:r w:rsidR="1ADA31FC">
              <w:br/>
            </w:r>
          </w:p>
          <w:p w14:paraId="67DC880C"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125C1D1D" w14:textId="77777777" w:rsidR="001209E7" w:rsidRPr="0033462C" w:rsidRDefault="001209E7" w:rsidP="0069214F">
            <w:pPr>
              <w:keepNext/>
              <w:keepLines/>
              <w:spacing w:after="0" w:line="240" w:lineRule="auto"/>
              <w:jc w:val="center"/>
              <w:rPr>
                <w:rFonts w:ascii="Times New Roman" w:eastAsia="Times New Roman" w:hAnsi="Times New Roman" w:cs="Times New Roman"/>
                <w:sz w:val="20"/>
                <w:szCs w:val="20"/>
                <w:lang w:eastAsia="hu-HU"/>
              </w:rPr>
            </w:pPr>
          </w:p>
          <w:p w14:paraId="72D59276" w14:textId="77777777" w:rsidR="001209E7" w:rsidRPr="0033462C" w:rsidRDefault="397FF86C" w:rsidP="397FF86C">
            <w:pPr>
              <w:keepNext/>
              <w:keepLines/>
              <w:spacing w:after="0" w:line="240" w:lineRule="auto"/>
              <w:jc w:val="center"/>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(4/2)</w:t>
            </w:r>
          </w:p>
        </w:tc>
      </w:tr>
      <w:tr w:rsidR="00EC3951" w:rsidRPr="0033462C" w14:paraId="650BB2C3" w14:textId="77777777" w:rsidTr="397FF86C">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56CB2F2" w14:textId="77777777" w:rsidR="00EC3951" w:rsidRPr="0033462C"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Központi költségvetés egyenlege</w:t>
            </w:r>
          </w:p>
        </w:tc>
        <w:tc>
          <w:tcPr>
            <w:tcW w:w="1067" w:type="dxa"/>
            <w:tcBorders>
              <w:top w:val="nil"/>
              <w:left w:val="nil"/>
              <w:bottom w:val="single" w:sz="4" w:space="0" w:color="auto"/>
              <w:right w:val="single" w:sz="4" w:space="0" w:color="auto"/>
            </w:tcBorders>
            <w:shd w:val="clear" w:color="auto" w:fill="auto"/>
            <w:noWrap/>
            <w:vAlign w:val="center"/>
          </w:tcPr>
          <w:p w14:paraId="7619D5C3" w14:textId="0FD166EA"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-4 611,5</w:t>
            </w:r>
          </w:p>
        </w:tc>
        <w:tc>
          <w:tcPr>
            <w:tcW w:w="1233" w:type="dxa"/>
            <w:tcBorders>
              <w:top w:val="nil"/>
              <w:left w:val="nil"/>
              <w:bottom w:val="single" w:sz="4" w:space="0" w:color="auto"/>
              <w:right w:val="single" w:sz="4" w:space="0" w:color="auto"/>
            </w:tcBorders>
            <w:shd w:val="clear" w:color="auto" w:fill="auto"/>
            <w:noWrap/>
            <w:vAlign w:val="center"/>
          </w:tcPr>
          <w:p w14:paraId="582A909A" w14:textId="31038850"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-2 964,7</w:t>
            </w:r>
          </w:p>
        </w:tc>
        <w:tc>
          <w:tcPr>
            <w:tcW w:w="1118" w:type="dxa"/>
            <w:tcBorders>
              <w:top w:val="nil"/>
              <w:left w:val="nil"/>
              <w:bottom w:val="single" w:sz="4" w:space="0" w:color="auto"/>
              <w:right w:val="single" w:sz="4" w:space="0" w:color="auto"/>
            </w:tcBorders>
            <w:shd w:val="clear" w:color="auto" w:fill="auto"/>
            <w:noWrap/>
            <w:vAlign w:val="center"/>
          </w:tcPr>
          <w:p w14:paraId="73FA3A09" w14:textId="32327513"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64,3</w:t>
            </w:r>
          </w:p>
        </w:tc>
        <w:tc>
          <w:tcPr>
            <w:tcW w:w="1103" w:type="dxa"/>
            <w:tcBorders>
              <w:top w:val="nil"/>
              <w:left w:val="nil"/>
              <w:bottom w:val="single" w:sz="4" w:space="0" w:color="auto"/>
              <w:right w:val="single" w:sz="4" w:space="0" w:color="auto"/>
            </w:tcBorders>
            <w:shd w:val="clear" w:color="auto" w:fill="auto"/>
            <w:noWrap/>
            <w:vAlign w:val="center"/>
          </w:tcPr>
          <w:p w14:paraId="61916028" w14:textId="36C3EEAA"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-3 562,9</w:t>
            </w:r>
          </w:p>
        </w:tc>
        <w:tc>
          <w:tcPr>
            <w:tcW w:w="1224" w:type="dxa"/>
            <w:tcBorders>
              <w:top w:val="nil"/>
              <w:left w:val="nil"/>
              <w:bottom w:val="single" w:sz="4" w:space="0" w:color="auto"/>
              <w:right w:val="single" w:sz="4" w:space="0" w:color="auto"/>
            </w:tcBorders>
            <w:shd w:val="clear" w:color="auto" w:fill="auto"/>
            <w:noWrap/>
            <w:vAlign w:val="center"/>
          </w:tcPr>
          <w:p w14:paraId="2122C629" w14:textId="613880E4"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-3 330,8</w:t>
            </w:r>
          </w:p>
        </w:tc>
        <w:tc>
          <w:tcPr>
            <w:tcW w:w="1184" w:type="dxa"/>
            <w:tcBorders>
              <w:top w:val="nil"/>
              <w:left w:val="nil"/>
              <w:bottom w:val="single" w:sz="4" w:space="0" w:color="auto"/>
              <w:right w:val="single" w:sz="4" w:space="0" w:color="auto"/>
            </w:tcBorders>
            <w:shd w:val="clear" w:color="auto" w:fill="auto"/>
            <w:noWrap/>
            <w:vAlign w:val="center"/>
          </w:tcPr>
          <w:p w14:paraId="4E18CE63" w14:textId="02CED8DD"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93,5</w:t>
            </w:r>
          </w:p>
        </w:tc>
        <w:tc>
          <w:tcPr>
            <w:tcW w:w="1134" w:type="dxa"/>
            <w:tcBorders>
              <w:top w:val="nil"/>
              <w:left w:val="nil"/>
              <w:bottom w:val="single" w:sz="4" w:space="0" w:color="auto"/>
              <w:right w:val="single" w:sz="4" w:space="0" w:color="auto"/>
            </w:tcBorders>
            <w:shd w:val="clear" w:color="auto" w:fill="auto"/>
            <w:noWrap/>
            <w:vAlign w:val="center"/>
          </w:tcPr>
          <w:p w14:paraId="28B28E59" w14:textId="5B1EBF38"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112,3</w:t>
            </w:r>
          </w:p>
        </w:tc>
      </w:tr>
      <w:tr w:rsidR="00EC3951" w:rsidRPr="0033462C" w14:paraId="1EEE9F50"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CD5D928"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02F87FBE" w14:textId="5873F64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20 850,6</w:t>
            </w:r>
          </w:p>
        </w:tc>
        <w:tc>
          <w:tcPr>
            <w:tcW w:w="1233" w:type="dxa"/>
            <w:tcBorders>
              <w:top w:val="nil"/>
              <w:left w:val="nil"/>
              <w:bottom w:val="single" w:sz="4" w:space="0" w:color="auto"/>
              <w:right w:val="single" w:sz="4" w:space="0" w:color="auto"/>
            </w:tcBorders>
            <w:shd w:val="clear" w:color="auto" w:fill="auto"/>
            <w:noWrap/>
            <w:vAlign w:val="center"/>
          </w:tcPr>
          <w:p w14:paraId="124955F2" w14:textId="66E88EFE"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13 152,2</w:t>
            </w:r>
          </w:p>
        </w:tc>
        <w:tc>
          <w:tcPr>
            <w:tcW w:w="1118" w:type="dxa"/>
            <w:tcBorders>
              <w:top w:val="nil"/>
              <w:left w:val="nil"/>
              <w:bottom w:val="single" w:sz="4" w:space="0" w:color="auto"/>
              <w:right w:val="single" w:sz="4" w:space="0" w:color="auto"/>
            </w:tcBorders>
            <w:shd w:val="clear" w:color="auto" w:fill="auto"/>
            <w:noWrap/>
            <w:vAlign w:val="center"/>
          </w:tcPr>
          <w:p w14:paraId="2272E80E" w14:textId="7B9F9FDC"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63,1</w:t>
            </w:r>
          </w:p>
        </w:tc>
        <w:tc>
          <w:tcPr>
            <w:tcW w:w="1103" w:type="dxa"/>
            <w:tcBorders>
              <w:top w:val="nil"/>
              <w:left w:val="nil"/>
              <w:bottom w:val="single" w:sz="4" w:space="0" w:color="auto"/>
              <w:right w:val="single" w:sz="4" w:space="0" w:color="auto"/>
            </w:tcBorders>
            <w:shd w:val="clear" w:color="auto" w:fill="auto"/>
            <w:noWrap/>
            <w:vAlign w:val="center"/>
          </w:tcPr>
          <w:p w14:paraId="2D3D21FA" w14:textId="53D08B64"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26 032,2</w:t>
            </w:r>
          </w:p>
        </w:tc>
        <w:tc>
          <w:tcPr>
            <w:tcW w:w="1224" w:type="dxa"/>
            <w:tcBorders>
              <w:top w:val="nil"/>
              <w:left w:val="nil"/>
              <w:bottom w:val="single" w:sz="4" w:space="0" w:color="auto"/>
              <w:right w:val="single" w:sz="4" w:space="0" w:color="auto"/>
            </w:tcBorders>
            <w:shd w:val="clear" w:color="auto" w:fill="auto"/>
            <w:noWrap/>
            <w:vAlign w:val="center"/>
          </w:tcPr>
          <w:p w14:paraId="1D4D32D6" w14:textId="109DC0CE"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16 120,5</w:t>
            </w:r>
          </w:p>
        </w:tc>
        <w:tc>
          <w:tcPr>
            <w:tcW w:w="1184" w:type="dxa"/>
            <w:tcBorders>
              <w:top w:val="nil"/>
              <w:left w:val="nil"/>
              <w:bottom w:val="single" w:sz="4" w:space="0" w:color="auto"/>
              <w:right w:val="single" w:sz="4" w:space="0" w:color="auto"/>
            </w:tcBorders>
            <w:shd w:val="clear" w:color="auto" w:fill="auto"/>
            <w:noWrap/>
            <w:vAlign w:val="center"/>
          </w:tcPr>
          <w:p w14:paraId="35A40C5E" w14:textId="34B609E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61,9</w:t>
            </w:r>
          </w:p>
        </w:tc>
        <w:tc>
          <w:tcPr>
            <w:tcW w:w="1134" w:type="dxa"/>
            <w:tcBorders>
              <w:top w:val="nil"/>
              <w:left w:val="nil"/>
              <w:bottom w:val="single" w:sz="4" w:space="0" w:color="auto"/>
              <w:right w:val="single" w:sz="4" w:space="0" w:color="auto"/>
            </w:tcBorders>
            <w:shd w:val="clear" w:color="auto" w:fill="auto"/>
            <w:noWrap/>
            <w:vAlign w:val="center"/>
          </w:tcPr>
          <w:p w14:paraId="717B36B5" w14:textId="1C2A6CB9"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122,6</w:t>
            </w:r>
          </w:p>
        </w:tc>
      </w:tr>
      <w:tr w:rsidR="00EC3951" w:rsidRPr="0033462C" w14:paraId="1E51AA76"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36286B8"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35D725B3" w14:textId="7EC8F223"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25 462,1</w:t>
            </w:r>
          </w:p>
        </w:tc>
        <w:tc>
          <w:tcPr>
            <w:tcW w:w="1233" w:type="dxa"/>
            <w:tcBorders>
              <w:top w:val="nil"/>
              <w:left w:val="nil"/>
              <w:bottom w:val="single" w:sz="4" w:space="0" w:color="auto"/>
              <w:right w:val="single" w:sz="4" w:space="0" w:color="auto"/>
            </w:tcBorders>
            <w:shd w:val="clear" w:color="auto" w:fill="auto"/>
            <w:noWrap/>
            <w:vAlign w:val="center"/>
          </w:tcPr>
          <w:p w14:paraId="19CE0A3D" w14:textId="1783730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16 116,9</w:t>
            </w:r>
          </w:p>
        </w:tc>
        <w:tc>
          <w:tcPr>
            <w:tcW w:w="1118" w:type="dxa"/>
            <w:tcBorders>
              <w:top w:val="nil"/>
              <w:left w:val="nil"/>
              <w:bottom w:val="single" w:sz="4" w:space="0" w:color="auto"/>
              <w:right w:val="single" w:sz="4" w:space="0" w:color="auto"/>
            </w:tcBorders>
            <w:shd w:val="clear" w:color="auto" w:fill="auto"/>
            <w:noWrap/>
            <w:vAlign w:val="center"/>
          </w:tcPr>
          <w:p w14:paraId="106B8135" w14:textId="27FBD4D4"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63,3</w:t>
            </w:r>
          </w:p>
        </w:tc>
        <w:tc>
          <w:tcPr>
            <w:tcW w:w="1103" w:type="dxa"/>
            <w:tcBorders>
              <w:top w:val="nil"/>
              <w:left w:val="nil"/>
              <w:bottom w:val="single" w:sz="4" w:space="0" w:color="auto"/>
              <w:right w:val="single" w:sz="4" w:space="0" w:color="auto"/>
            </w:tcBorders>
            <w:shd w:val="clear" w:color="auto" w:fill="auto"/>
            <w:noWrap/>
            <w:vAlign w:val="center"/>
          </w:tcPr>
          <w:p w14:paraId="074886D4" w14:textId="13B318A7"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29 595,1</w:t>
            </w:r>
          </w:p>
        </w:tc>
        <w:tc>
          <w:tcPr>
            <w:tcW w:w="1224" w:type="dxa"/>
            <w:tcBorders>
              <w:top w:val="nil"/>
              <w:left w:val="nil"/>
              <w:bottom w:val="single" w:sz="4" w:space="0" w:color="auto"/>
              <w:right w:val="single" w:sz="4" w:space="0" w:color="auto"/>
            </w:tcBorders>
            <w:shd w:val="clear" w:color="auto" w:fill="auto"/>
            <w:noWrap/>
            <w:vAlign w:val="center"/>
          </w:tcPr>
          <w:p w14:paraId="04692BD1" w14:textId="285A2DE5"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19 451,3</w:t>
            </w:r>
          </w:p>
        </w:tc>
        <w:tc>
          <w:tcPr>
            <w:tcW w:w="1184" w:type="dxa"/>
            <w:tcBorders>
              <w:top w:val="nil"/>
              <w:left w:val="nil"/>
              <w:bottom w:val="single" w:sz="4" w:space="0" w:color="auto"/>
              <w:right w:val="single" w:sz="4" w:space="0" w:color="auto"/>
            </w:tcBorders>
            <w:shd w:val="clear" w:color="auto" w:fill="auto"/>
            <w:noWrap/>
            <w:vAlign w:val="center"/>
          </w:tcPr>
          <w:p w14:paraId="51C29843" w14:textId="4FC72205"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65,7</w:t>
            </w:r>
          </w:p>
        </w:tc>
        <w:tc>
          <w:tcPr>
            <w:tcW w:w="1134" w:type="dxa"/>
            <w:tcBorders>
              <w:top w:val="nil"/>
              <w:left w:val="nil"/>
              <w:bottom w:val="single" w:sz="4" w:space="0" w:color="auto"/>
              <w:right w:val="single" w:sz="4" w:space="0" w:color="auto"/>
            </w:tcBorders>
            <w:shd w:val="clear" w:color="auto" w:fill="auto"/>
            <w:noWrap/>
            <w:vAlign w:val="center"/>
          </w:tcPr>
          <w:p w14:paraId="31582A0B" w14:textId="784630F4"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120,7</w:t>
            </w:r>
          </w:p>
        </w:tc>
      </w:tr>
      <w:tr w:rsidR="00EC3951" w:rsidRPr="0033462C" w14:paraId="2DF1D5D7" w14:textId="77777777" w:rsidTr="397FF86C">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0528C4" w14:textId="77777777" w:rsidR="00EC3951" w:rsidRPr="0033462C"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Elkülönített állami pénzalapok egyenlege</w:t>
            </w:r>
          </w:p>
        </w:tc>
        <w:tc>
          <w:tcPr>
            <w:tcW w:w="1067" w:type="dxa"/>
            <w:tcBorders>
              <w:top w:val="nil"/>
              <w:left w:val="nil"/>
              <w:bottom w:val="single" w:sz="4" w:space="0" w:color="auto"/>
              <w:right w:val="single" w:sz="4" w:space="0" w:color="auto"/>
            </w:tcBorders>
            <w:shd w:val="clear" w:color="auto" w:fill="auto"/>
            <w:noWrap/>
            <w:vAlign w:val="center"/>
          </w:tcPr>
          <w:p w14:paraId="66F9AE02" w14:textId="6445FC64"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263,9</w:t>
            </w:r>
          </w:p>
        </w:tc>
        <w:tc>
          <w:tcPr>
            <w:tcW w:w="1233" w:type="dxa"/>
            <w:tcBorders>
              <w:top w:val="nil"/>
              <w:left w:val="nil"/>
              <w:bottom w:val="single" w:sz="4" w:space="0" w:color="auto"/>
              <w:right w:val="single" w:sz="4" w:space="0" w:color="auto"/>
            </w:tcBorders>
            <w:shd w:val="clear" w:color="auto" w:fill="auto"/>
            <w:noWrap/>
            <w:vAlign w:val="center"/>
          </w:tcPr>
          <w:p w14:paraId="13957585" w14:textId="7FD8FE74"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236,1</w:t>
            </w:r>
          </w:p>
        </w:tc>
        <w:tc>
          <w:tcPr>
            <w:tcW w:w="1118" w:type="dxa"/>
            <w:tcBorders>
              <w:top w:val="nil"/>
              <w:left w:val="nil"/>
              <w:bottom w:val="single" w:sz="4" w:space="0" w:color="auto"/>
              <w:right w:val="single" w:sz="4" w:space="0" w:color="auto"/>
            </w:tcBorders>
            <w:shd w:val="clear" w:color="auto" w:fill="auto"/>
            <w:noWrap/>
            <w:vAlign w:val="center"/>
          </w:tcPr>
          <w:p w14:paraId="67CA2D48" w14:textId="0E55CC90"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89,5</w:t>
            </w:r>
          </w:p>
        </w:tc>
        <w:tc>
          <w:tcPr>
            <w:tcW w:w="1103" w:type="dxa"/>
            <w:tcBorders>
              <w:top w:val="nil"/>
              <w:left w:val="nil"/>
              <w:bottom w:val="single" w:sz="4" w:space="0" w:color="auto"/>
              <w:right w:val="single" w:sz="4" w:space="0" w:color="auto"/>
            </w:tcBorders>
            <w:shd w:val="clear" w:color="auto" w:fill="auto"/>
            <w:noWrap/>
            <w:vAlign w:val="center"/>
          </w:tcPr>
          <w:p w14:paraId="52380550" w14:textId="5D32CABF"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162,7</w:t>
            </w:r>
          </w:p>
        </w:tc>
        <w:tc>
          <w:tcPr>
            <w:tcW w:w="1224" w:type="dxa"/>
            <w:tcBorders>
              <w:top w:val="nil"/>
              <w:left w:val="nil"/>
              <w:bottom w:val="single" w:sz="4" w:space="0" w:color="auto"/>
              <w:right w:val="single" w:sz="4" w:space="0" w:color="auto"/>
            </w:tcBorders>
            <w:shd w:val="clear" w:color="auto" w:fill="auto"/>
            <w:noWrap/>
            <w:vAlign w:val="center"/>
          </w:tcPr>
          <w:p w14:paraId="4A30A5F4" w14:textId="06ED85E8"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125,0</w:t>
            </w:r>
          </w:p>
        </w:tc>
        <w:tc>
          <w:tcPr>
            <w:tcW w:w="1184" w:type="dxa"/>
            <w:tcBorders>
              <w:top w:val="nil"/>
              <w:left w:val="nil"/>
              <w:bottom w:val="single" w:sz="4" w:space="0" w:color="auto"/>
              <w:right w:val="single" w:sz="4" w:space="0" w:color="auto"/>
            </w:tcBorders>
            <w:shd w:val="clear" w:color="auto" w:fill="auto"/>
            <w:noWrap/>
            <w:vAlign w:val="center"/>
          </w:tcPr>
          <w:p w14:paraId="475B5DF4" w14:textId="0B4B13FA"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76,8</w:t>
            </w:r>
          </w:p>
        </w:tc>
        <w:tc>
          <w:tcPr>
            <w:tcW w:w="1134" w:type="dxa"/>
            <w:tcBorders>
              <w:top w:val="nil"/>
              <w:left w:val="nil"/>
              <w:bottom w:val="single" w:sz="4" w:space="0" w:color="auto"/>
              <w:right w:val="single" w:sz="4" w:space="0" w:color="auto"/>
            </w:tcBorders>
            <w:shd w:val="clear" w:color="auto" w:fill="auto"/>
            <w:noWrap/>
            <w:vAlign w:val="center"/>
          </w:tcPr>
          <w:p w14:paraId="17302B17" w14:textId="65EE0922"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52,9</w:t>
            </w:r>
          </w:p>
        </w:tc>
      </w:tr>
      <w:tr w:rsidR="00EC3951" w:rsidRPr="0033462C" w14:paraId="7B49B0E4"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1A573B2"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33543E4B" w14:textId="19FA5757"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802,7</w:t>
            </w:r>
          </w:p>
        </w:tc>
        <w:tc>
          <w:tcPr>
            <w:tcW w:w="1233" w:type="dxa"/>
            <w:tcBorders>
              <w:top w:val="nil"/>
              <w:left w:val="nil"/>
              <w:bottom w:val="single" w:sz="4" w:space="0" w:color="auto"/>
              <w:right w:val="single" w:sz="4" w:space="0" w:color="auto"/>
            </w:tcBorders>
            <w:shd w:val="clear" w:color="auto" w:fill="auto"/>
            <w:noWrap/>
            <w:vAlign w:val="center"/>
          </w:tcPr>
          <w:p w14:paraId="41E699CA" w14:textId="6920CE3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578,5</w:t>
            </w:r>
          </w:p>
        </w:tc>
        <w:tc>
          <w:tcPr>
            <w:tcW w:w="1118" w:type="dxa"/>
            <w:tcBorders>
              <w:top w:val="nil"/>
              <w:left w:val="nil"/>
              <w:bottom w:val="single" w:sz="4" w:space="0" w:color="auto"/>
              <w:right w:val="single" w:sz="4" w:space="0" w:color="auto"/>
            </w:tcBorders>
            <w:shd w:val="clear" w:color="auto" w:fill="auto"/>
            <w:noWrap/>
            <w:vAlign w:val="center"/>
          </w:tcPr>
          <w:p w14:paraId="46A6AC5B" w14:textId="68678FE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72,1</w:t>
            </w:r>
          </w:p>
        </w:tc>
        <w:tc>
          <w:tcPr>
            <w:tcW w:w="1103" w:type="dxa"/>
            <w:tcBorders>
              <w:top w:val="nil"/>
              <w:left w:val="nil"/>
              <w:bottom w:val="single" w:sz="4" w:space="0" w:color="auto"/>
              <w:right w:val="single" w:sz="4" w:space="0" w:color="auto"/>
            </w:tcBorders>
            <w:shd w:val="clear" w:color="auto" w:fill="auto"/>
            <w:noWrap/>
            <w:vAlign w:val="center"/>
          </w:tcPr>
          <w:p w14:paraId="032EEDF6" w14:textId="3DB6D47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755,8</w:t>
            </w:r>
          </w:p>
        </w:tc>
        <w:tc>
          <w:tcPr>
            <w:tcW w:w="1224" w:type="dxa"/>
            <w:tcBorders>
              <w:top w:val="nil"/>
              <w:left w:val="nil"/>
              <w:bottom w:val="single" w:sz="4" w:space="0" w:color="auto"/>
              <w:right w:val="single" w:sz="4" w:space="0" w:color="auto"/>
            </w:tcBorders>
            <w:shd w:val="clear" w:color="auto" w:fill="auto"/>
            <w:noWrap/>
            <w:vAlign w:val="center"/>
          </w:tcPr>
          <w:p w14:paraId="3A6BB41C" w14:textId="4A6BCE7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527,5</w:t>
            </w:r>
          </w:p>
        </w:tc>
        <w:tc>
          <w:tcPr>
            <w:tcW w:w="1184" w:type="dxa"/>
            <w:tcBorders>
              <w:top w:val="nil"/>
              <w:left w:val="nil"/>
              <w:bottom w:val="single" w:sz="4" w:space="0" w:color="auto"/>
              <w:right w:val="single" w:sz="4" w:space="0" w:color="auto"/>
            </w:tcBorders>
            <w:shd w:val="clear" w:color="auto" w:fill="auto"/>
            <w:noWrap/>
            <w:vAlign w:val="center"/>
          </w:tcPr>
          <w:p w14:paraId="50E9636D" w14:textId="1AAA48A3"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69,8</w:t>
            </w:r>
          </w:p>
        </w:tc>
        <w:tc>
          <w:tcPr>
            <w:tcW w:w="1134" w:type="dxa"/>
            <w:tcBorders>
              <w:top w:val="nil"/>
              <w:left w:val="nil"/>
              <w:bottom w:val="single" w:sz="4" w:space="0" w:color="auto"/>
              <w:right w:val="single" w:sz="4" w:space="0" w:color="auto"/>
            </w:tcBorders>
            <w:shd w:val="clear" w:color="auto" w:fill="auto"/>
            <w:noWrap/>
            <w:vAlign w:val="center"/>
          </w:tcPr>
          <w:p w14:paraId="2498217E" w14:textId="5C241E9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91,2</w:t>
            </w:r>
          </w:p>
        </w:tc>
      </w:tr>
      <w:tr w:rsidR="00EC3951" w:rsidRPr="0033462C" w14:paraId="6EA69F1A"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55141E07"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7FD0CE7A" w14:textId="3839C35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538,8</w:t>
            </w:r>
          </w:p>
        </w:tc>
        <w:tc>
          <w:tcPr>
            <w:tcW w:w="1233" w:type="dxa"/>
            <w:tcBorders>
              <w:top w:val="nil"/>
              <w:left w:val="nil"/>
              <w:bottom w:val="single" w:sz="4" w:space="0" w:color="auto"/>
              <w:right w:val="single" w:sz="4" w:space="0" w:color="auto"/>
            </w:tcBorders>
            <w:shd w:val="clear" w:color="auto" w:fill="auto"/>
            <w:noWrap/>
            <w:vAlign w:val="center"/>
          </w:tcPr>
          <w:p w14:paraId="088E19A8" w14:textId="40416A79"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342,4</w:t>
            </w:r>
          </w:p>
        </w:tc>
        <w:tc>
          <w:tcPr>
            <w:tcW w:w="1118" w:type="dxa"/>
            <w:tcBorders>
              <w:top w:val="nil"/>
              <w:left w:val="nil"/>
              <w:bottom w:val="single" w:sz="4" w:space="0" w:color="auto"/>
              <w:right w:val="single" w:sz="4" w:space="0" w:color="auto"/>
            </w:tcBorders>
            <w:shd w:val="clear" w:color="auto" w:fill="auto"/>
            <w:noWrap/>
            <w:vAlign w:val="center"/>
          </w:tcPr>
          <w:p w14:paraId="4E7AF4E8" w14:textId="60CEA97D"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63,5</w:t>
            </w:r>
          </w:p>
        </w:tc>
        <w:tc>
          <w:tcPr>
            <w:tcW w:w="1103" w:type="dxa"/>
            <w:tcBorders>
              <w:top w:val="nil"/>
              <w:left w:val="nil"/>
              <w:bottom w:val="single" w:sz="4" w:space="0" w:color="auto"/>
              <w:right w:val="single" w:sz="4" w:space="0" w:color="auto"/>
            </w:tcBorders>
            <w:shd w:val="clear" w:color="auto" w:fill="auto"/>
            <w:noWrap/>
            <w:vAlign w:val="center"/>
          </w:tcPr>
          <w:p w14:paraId="5E124EEE" w14:textId="56838392"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593,1</w:t>
            </w:r>
          </w:p>
        </w:tc>
        <w:tc>
          <w:tcPr>
            <w:tcW w:w="1224" w:type="dxa"/>
            <w:tcBorders>
              <w:top w:val="nil"/>
              <w:left w:val="nil"/>
              <w:bottom w:val="single" w:sz="4" w:space="0" w:color="auto"/>
              <w:right w:val="single" w:sz="4" w:space="0" w:color="auto"/>
            </w:tcBorders>
            <w:shd w:val="clear" w:color="auto" w:fill="auto"/>
            <w:noWrap/>
            <w:vAlign w:val="center"/>
          </w:tcPr>
          <w:p w14:paraId="7F6AFAD1" w14:textId="6077F560"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402,5</w:t>
            </w:r>
          </w:p>
        </w:tc>
        <w:tc>
          <w:tcPr>
            <w:tcW w:w="1184" w:type="dxa"/>
            <w:tcBorders>
              <w:top w:val="nil"/>
              <w:left w:val="nil"/>
              <w:bottom w:val="single" w:sz="4" w:space="0" w:color="auto"/>
              <w:right w:val="single" w:sz="4" w:space="0" w:color="auto"/>
            </w:tcBorders>
            <w:shd w:val="clear" w:color="auto" w:fill="auto"/>
            <w:noWrap/>
            <w:vAlign w:val="center"/>
          </w:tcPr>
          <w:p w14:paraId="46251584" w14:textId="18C31E9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67,9</w:t>
            </w:r>
          </w:p>
        </w:tc>
        <w:tc>
          <w:tcPr>
            <w:tcW w:w="1134" w:type="dxa"/>
            <w:tcBorders>
              <w:top w:val="nil"/>
              <w:left w:val="nil"/>
              <w:bottom w:val="single" w:sz="4" w:space="0" w:color="auto"/>
              <w:right w:val="single" w:sz="4" w:space="0" w:color="auto"/>
            </w:tcBorders>
            <w:shd w:val="clear" w:color="auto" w:fill="auto"/>
            <w:noWrap/>
            <w:vAlign w:val="center"/>
          </w:tcPr>
          <w:p w14:paraId="17B750E2" w14:textId="4328158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117,6</w:t>
            </w:r>
          </w:p>
        </w:tc>
      </w:tr>
      <w:tr w:rsidR="00EC3951" w:rsidRPr="0033462C" w14:paraId="6C1A0BA7" w14:textId="77777777" w:rsidTr="397FF86C">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932A0B5" w14:textId="77777777" w:rsidR="00EC3951" w:rsidRPr="0033462C"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Társadalombiztosítás pénzügyi alapjainak egyenlege</w:t>
            </w:r>
          </w:p>
        </w:tc>
        <w:tc>
          <w:tcPr>
            <w:tcW w:w="1067" w:type="dxa"/>
            <w:tcBorders>
              <w:top w:val="nil"/>
              <w:left w:val="nil"/>
              <w:bottom w:val="single" w:sz="4" w:space="0" w:color="auto"/>
              <w:right w:val="single" w:sz="4" w:space="0" w:color="auto"/>
            </w:tcBorders>
            <w:shd w:val="clear" w:color="auto" w:fill="auto"/>
            <w:noWrap/>
            <w:vAlign w:val="center"/>
          </w:tcPr>
          <w:p w14:paraId="764C07C2" w14:textId="07AFBB40"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-405,8</w:t>
            </w:r>
          </w:p>
        </w:tc>
        <w:tc>
          <w:tcPr>
            <w:tcW w:w="1233" w:type="dxa"/>
            <w:tcBorders>
              <w:top w:val="nil"/>
              <w:left w:val="nil"/>
              <w:bottom w:val="single" w:sz="4" w:space="0" w:color="auto"/>
              <w:right w:val="single" w:sz="4" w:space="0" w:color="auto"/>
            </w:tcBorders>
            <w:shd w:val="clear" w:color="auto" w:fill="auto"/>
            <w:noWrap/>
            <w:vAlign w:val="center"/>
          </w:tcPr>
          <w:p w14:paraId="5DD28CAB" w14:textId="0E9C4B59"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-144,2</w:t>
            </w:r>
          </w:p>
        </w:tc>
        <w:tc>
          <w:tcPr>
            <w:tcW w:w="1118" w:type="dxa"/>
            <w:tcBorders>
              <w:top w:val="nil"/>
              <w:left w:val="nil"/>
              <w:bottom w:val="single" w:sz="4" w:space="0" w:color="auto"/>
              <w:right w:val="single" w:sz="4" w:space="0" w:color="auto"/>
            </w:tcBorders>
            <w:shd w:val="clear" w:color="auto" w:fill="auto"/>
            <w:noWrap/>
            <w:vAlign w:val="center"/>
          </w:tcPr>
          <w:p w14:paraId="716B6B3D" w14:textId="20079627"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35,5</w:t>
            </w:r>
          </w:p>
        </w:tc>
        <w:tc>
          <w:tcPr>
            <w:tcW w:w="1103" w:type="dxa"/>
            <w:tcBorders>
              <w:top w:val="nil"/>
              <w:left w:val="nil"/>
              <w:bottom w:val="single" w:sz="4" w:space="0" w:color="auto"/>
              <w:right w:val="single" w:sz="4" w:space="0" w:color="auto"/>
            </w:tcBorders>
            <w:shd w:val="clear" w:color="auto" w:fill="auto"/>
            <w:noWrap/>
            <w:vAlign w:val="center"/>
          </w:tcPr>
          <w:p w14:paraId="40FDEB50" w14:textId="5D13FB25"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0,</w:t>
            </w:r>
            <w:proofErr w:type="spellStart"/>
            <w:r w:rsidRPr="397FF86C">
              <w:rPr>
                <w:rFonts w:ascii="Garamond" w:hAnsi="Garamond"/>
                <w:b/>
                <w:bCs/>
                <w:sz w:val="20"/>
                <w:szCs w:val="20"/>
              </w:rPr>
              <w:t>0</w:t>
            </w:r>
            <w:proofErr w:type="spellEnd"/>
          </w:p>
        </w:tc>
        <w:tc>
          <w:tcPr>
            <w:tcW w:w="1224" w:type="dxa"/>
            <w:tcBorders>
              <w:top w:val="nil"/>
              <w:left w:val="nil"/>
              <w:bottom w:val="single" w:sz="4" w:space="0" w:color="auto"/>
              <w:right w:val="single" w:sz="4" w:space="0" w:color="auto"/>
            </w:tcBorders>
            <w:shd w:val="clear" w:color="auto" w:fill="auto"/>
            <w:noWrap/>
            <w:vAlign w:val="center"/>
          </w:tcPr>
          <w:p w14:paraId="6839221E" w14:textId="46A9557B"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-93,0</w:t>
            </w:r>
          </w:p>
        </w:tc>
        <w:tc>
          <w:tcPr>
            <w:tcW w:w="1184" w:type="dxa"/>
            <w:tcBorders>
              <w:top w:val="nil"/>
              <w:left w:val="nil"/>
              <w:bottom w:val="single" w:sz="4" w:space="0" w:color="auto"/>
              <w:right w:val="single" w:sz="4" w:space="0" w:color="auto"/>
            </w:tcBorders>
            <w:shd w:val="clear" w:color="auto" w:fill="auto"/>
            <w:noWrap/>
            <w:vAlign w:val="center"/>
          </w:tcPr>
          <w:p w14:paraId="72DED2BB" w14:textId="0627713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6947371C" w14:textId="688D042D"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64,5</w:t>
            </w:r>
          </w:p>
        </w:tc>
      </w:tr>
      <w:tr w:rsidR="00EC3951" w:rsidRPr="0033462C" w14:paraId="5EA2BB6F"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E3E07BE"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6CBBEA73" w14:textId="08F2992A"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8 132,8</w:t>
            </w:r>
          </w:p>
        </w:tc>
        <w:tc>
          <w:tcPr>
            <w:tcW w:w="1233" w:type="dxa"/>
            <w:tcBorders>
              <w:top w:val="nil"/>
              <w:left w:val="nil"/>
              <w:bottom w:val="single" w:sz="4" w:space="0" w:color="auto"/>
              <w:right w:val="single" w:sz="4" w:space="0" w:color="auto"/>
            </w:tcBorders>
            <w:shd w:val="clear" w:color="auto" w:fill="auto"/>
            <w:noWrap/>
            <w:vAlign w:val="center"/>
          </w:tcPr>
          <w:p w14:paraId="001E233C" w14:textId="0B7761DE"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5 452,7</w:t>
            </w:r>
          </w:p>
        </w:tc>
        <w:tc>
          <w:tcPr>
            <w:tcW w:w="1118" w:type="dxa"/>
            <w:tcBorders>
              <w:top w:val="nil"/>
              <w:left w:val="nil"/>
              <w:bottom w:val="single" w:sz="4" w:space="0" w:color="auto"/>
              <w:right w:val="single" w:sz="4" w:space="0" w:color="auto"/>
            </w:tcBorders>
            <w:shd w:val="clear" w:color="auto" w:fill="auto"/>
            <w:noWrap/>
            <w:vAlign w:val="center"/>
          </w:tcPr>
          <w:p w14:paraId="1F3A662D" w14:textId="52488323"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67,0</w:t>
            </w:r>
          </w:p>
        </w:tc>
        <w:tc>
          <w:tcPr>
            <w:tcW w:w="1103" w:type="dxa"/>
            <w:tcBorders>
              <w:top w:val="nil"/>
              <w:left w:val="nil"/>
              <w:bottom w:val="single" w:sz="4" w:space="0" w:color="auto"/>
              <w:right w:val="single" w:sz="4" w:space="0" w:color="auto"/>
            </w:tcBorders>
            <w:shd w:val="clear" w:color="auto" w:fill="auto"/>
            <w:noWrap/>
            <w:vAlign w:val="center"/>
          </w:tcPr>
          <w:p w14:paraId="1E6E9ABA" w14:textId="03630FC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9 587,9</w:t>
            </w:r>
          </w:p>
        </w:tc>
        <w:tc>
          <w:tcPr>
            <w:tcW w:w="1224" w:type="dxa"/>
            <w:tcBorders>
              <w:top w:val="nil"/>
              <w:left w:val="nil"/>
              <w:bottom w:val="single" w:sz="4" w:space="0" w:color="auto"/>
              <w:right w:val="single" w:sz="4" w:space="0" w:color="auto"/>
            </w:tcBorders>
            <w:shd w:val="clear" w:color="auto" w:fill="auto"/>
            <w:noWrap/>
            <w:vAlign w:val="center"/>
          </w:tcPr>
          <w:p w14:paraId="14329349" w14:textId="753D85F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6 392,9</w:t>
            </w:r>
          </w:p>
        </w:tc>
        <w:tc>
          <w:tcPr>
            <w:tcW w:w="1184" w:type="dxa"/>
            <w:tcBorders>
              <w:top w:val="nil"/>
              <w:left w:val="nil"/>
              <w:bottom w:val="single" w:sz="4" w:space="0" w:color="auto"/>
              <w:right w:val="single" w:sz="4" w:space="0" w:color="auto"/>
            </w:tcBorders>
            <w:shd w:val="clear" w:color="auto" w:fill="auto"/>
            <w:noWrap/>
            <w:vAlign w:val="center"/>
          </w:tcPr>
          <w:p w14:paraId="73491675" w14:textId="300F42F5"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66,7</w:t>
            </w:r>
          </w:p>
        </w:tc>
        <w:tc>
          <w:tcPr>
            <w:tcW w:w="1134" w:type="dxa"/>
            <w:tcBorders>
              <w:top w:val="nil"/>
              <w:left w:val="nil"/>
              <w:bottom w:val="single" w:sz="4" w:space="0" w:color="auto"/>
              <w:right w:val="single" w:sz="4" w:space="0" w:color="auto"/>
            </w:tcBorders>
            <w:shd w:val="clear" w:color="auto" w:fill="auto"/>
            <w:noWrap/>
            <w:vAlign w:val="center"/>
          </w:tcPr>
          <w:p w14:paraId="55EF7685" w14:textId="15E16B08"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117,2</w:t>
            </w:r>
          </w:p>
        </w:tc>
      </w:tr>
      <w:tr w:rsidR="00EC3951" w:rsidRPr="0033462C" w14:paraId="67C00D39"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23FD797A"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4E2A033A" w14:textId="6EBDECF8"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8 538,6</w:t>
            </w:r>
          </w:p>
        </w:tc>
        <w:tc>
          <w:tcPr>
            <w:tcW w:w="1233" w:type="dxa"/>
            <w:tcBorders>
              <w:top w:val="nil"/>
              <w:left w:val="nil"/>
              <w:bottom w:val="single" w:sz="4" w:space="0" w:color="auto"/>
              <w:right w:val="single" w:sz="4" w:space="0" w:color="auto"/>
            </w:tcBorders>
            <w:shd w:val="clear" w:color="auto" w:fill="auto"/>
            <w:noWrap/>
            <w:vAlign w:val="center"/>
          </w:tcPr>
          <w:p w14:paraId="3CCAB3F8" w14:textId="2A837EF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5 596,9</w:t>
            </w:r>
          </w:p>
        </w:tc>
        <w:tc>
          <w:tcPr>
            <w:tcW w:w="1118" w:type="dxa"/>
            <w:tcBorders>
              <w:top w:val="nil"/>
              <w:left w:val="nil"/>
              <w:bottom w:val="single" w:sz="4" w:space="0" w:color="auto"/>
              <w:right w:val="single" w:sz="4" w:space="0" w:color="auto"/>
            </w:tcBorders>
            <w:shd w:val="clear" w:color="auto" w:fill="auto"/>
            <w:noWrap/>
            <w:vAlign w:val="center"/>
          </w:tcPr>
          <w:p w14:paraId="4766FA26" w14:textId="6CE733AD"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65,5</w:t>
            </w:r>
          </w:p>
        </w:tc>
        <w:tc>
          <w:tcPr>
            <w:tcW w:w="1103" w:type="dxa"/>
            <w:tcBorders>
              <w:top w:val="nil"/>
              <w:left w:val="nil"/>
              <w:bottom w:val="single" w:sz="4" w:space="0" w:color="auto"/>
              <w:right w:val="single" w:sz="4" w:space="0" w:color="auto"/>
            </w:tcBorders>
            <w:shd w:val="clear" w:color="auto" w:fill="auto"/>
            <w:noWrap/>
            <w:vAlign w:val="center"/>
          </w:tcPr>
          <w:p w14:paraId="54976177" w14:textId="79FCFD07"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9 587,9</w:t>
            </w:r>
          </w:p>
        </w:tc>
        <w:tc>
          <w:tcPr>
            <w:tcW w:w="1224" w:type="dxa"/>
            <w:tcBorders>
              <w:top w:val="nil"/>
              <w:left w:val="nil"/>
              <w:bottom w:val="single" w:sz="4" w:space="0" w:color="auto"/>
              <w:right w:val="single" w:sz="4" w:space="0" w:color="auto"/>
            </w:tcBorders>
            <w:shd w:val="clear" w:color="auto" w:fill="auto"/>
            <w:noWrap/>
            <w:vAlign w:val="center"/>
          </w:tcPr>
          <w:p w14:paraId="4E82EE04" w14:textId="54CE0546"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6 485,9</w:t>
            </w:r>
          </w:p>
        </w:tc>
        <w:tc>
          <w:tcPr>
            <w:tcW w:w="1184" w:type="dxa"/>
            <w:tcBorders>
              <w:top w:val="nil"/>
              <w:left w:val="nil"/>
              <w:bottom w:val="single" w:sz="4" w:space="0" w:color="auto"/>
              <w:right w:val="single" w:sz="4" w:space="0" w:color="auto"/>
            </w:tcBorders>
            <w:shd w:val="clear" w:color="auto" w:fill="auto"/>
            <w:noWrap/>
            <w:vAlign w:val="center"/>
          </w:tcPr>
          <w:p w14:paraId="0FF1FCDA" w14:textId="54562C15"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67,6</w:t>
            </w:r>
          </w:p>
        </w:tc>
        <w:tc>
          <w:tcPr>
            <w:tcW w:w="1134" w:type="dxa"/>
            <w:tcBorders>
              <w:top w:val="nil"/>
              <w:left w:val="nil"/>
              <w:bottom w:val="single" w:sz="4" w:space="0" w:color="auto"/>
              <w:right w:val="single" w:sz="4" w:space="0" w:color="auto"/>
            </w:tcBorders>
            <w:shd w:val="clear" w:color="auto" w:fill="auto"/>
            <w:noWrap/>
            <w:vAlign w:val="center"/>
          </w:tcPr>
          <w:p w14:paraId="517DF22A" w14:textId="7AA4F3FC"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115,9</w:t>
            </w:r>
          </w:p>
        </w:tc>
      </w:tr>
      <w:tr w:rsidR="00EC3951" w:rsidRPr="0033462C" w14:paraId="693893FF" w14:textId="77777777" w:rsidTr="397FF86C">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DC826FD" w14:textId="77777777" w:rsidR="00EC3951" w:rsidRPr="0033462C"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Egyenleg összesen</w:t>
            </w:r>
          </w:p>
        </w:tc>
        <w:tc>
          <w:tcPr>
            <w:tcW w:w="1067" w:type="dxa"/>
            <w:tcBorders>
              <w:top w:val="nil"/>
              <w:left w:val="nil"/>
              <w:bottom w:val="single" w:sz="4" w:space="0" w:color="auto"/>
              <w:right w:val="single" w:sz="4" w:space="0" w:color="auto"/>
            </w:tcBorders>
            <w:shd w:val="clear" w:color="auto" w:fill="auto"/>
            <w:noWrap/>
            <w:vAlign w:val="center"/>
          </w:tcPr>
          <w:p w14:paraId="128C853D" w14:textId="661CF1FE"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-4 753,4</w:t>
            </w:r>
          </w:p>
        </w:tc>
        <w:tc>
          <w:tcPr>
            <w:tcW w:w="1233" w:type="dxa"/>
            <w:tcBorders>
              <w:top w:val="nil"/>
              <w:left w:val="nil"/>
              <w:bottom w:val="single" w:sz="4" w:space="0" w:color="auto"/>
              <w:right w:val="single" w:sz="4" w:space="0" w:color="auto"/>
            </w:tcBorders>
            <w:shd w:val="clear" w:color="auto" w:fill="auto"/>
            <w:noWrap/>
            <w:vAlign w:val="center"/>
          </w:tcPr>
          <w:p w14:paraId="33E03A05" w14:textId="6A590700"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-2 872,7</w:t>
            </w:r>
          </w:p>
        </w:tc>
        <w:tc>
          <w:tcPr>
            <w:tcW w:w="1118" w:type="dxa"/>
            <w:tcBorders>
              <w:top w:val="nil"/>
              <w:left w:val="nil"/>
              <w:bottom w:val="single" w:sz="4" w:space="0" w:color="auto"/>
              <w:right w:val="single" w:sz="4" w:space="0" w:color="auto"/>
            </w:tcBorders>
            <w:shd w:val="clear" w:color="auto" w:fill="auto"/>
            <w:noWrap/>
            <w:vAlign w:val="center"/>
          </w:tcPr>
          <w:p w14:paraId="3C1EA8E2" w14:textId="4BF6C89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60,4</w:t>
            </w:r>
          </w:p>
        </w:tc>
        <w:tc>
          <w:tcPr>
            <w:tcW w:w="1103" w:type="dxa"/>
            <w:tcBorders>
              <w:top w:val="nil"/>
              <w:left w:val="nil"/>
              <w:bottom w:val="single" w:sz="4" w:space="0" w:color="auto"/>
              <w:right w:val="single" w:sz="4" w:space="0" w:color="auto"/>
            </w:tcBorders>
            <w:shd w:val="clear" w:color="auto" w:fill="auto"/>
            <w:noWrap/>
            <w:vAlign w:val="center"/>
          </w:tcPr>
          <w:p w14:paraId="7F41C27C" w14:textId="293B4CCC"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-3 400,2</w:t>
            </w:r>
          </w:p>
        </w:tc>
        <w:tc>
          <w:tcPr>
            <w:tcW w:w="1224" w:type="dxa"/>
            <w:tcBorders>
              <w:top w:val="nil"/>
              <w:left w:val="nil"/>
              <w:bottom w:val="single" w:sz="4" w:space="0" w:color="auto"/>
              <w:right w:val="single" w:sz="4" w:space="0" w:color="auto"/>
            </w:tcBorders>
            <w:shd w:val="clear" w:color="auto" w:fill="auto"/>
            <w:noWrap/>
            <w:vAlign w:val="center"/>
          </w:tcPr>
          <w:p w14:paraId="18CF0DD4" w14:textId="42DAB11C" w:rsidR="00EC3951" w:rsidRPr="008A1AFA"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Garamond" w:hAnsi="Garamond"/>
                <w:b/>
                <w:bCs/>
                <w:sz w:val="20"/>
                <w:szCs w:val="20"/>
              </w:rPr>
              <w:t>-3 298,7</w:t>
            </w:r>
          </w:p>
        </w:tc>
        <w:tc>
          <w:tcPr>
            <w:tcW w:w="1184" w:type="dxa"/>
            <w:tcBorders>
              <w:top w:val="nil"/>
              <w:left w:val="nil"/>
              <w:bottom w:val="single" w:sz="4" w:space="0" w:color="auto"/>
              <w:right w:val="single" w:sz="4" w:space="0" w:color="auto"/>
            </w:tcBorders>
            <w:shd w:val="clear" w:color="auto" w:fill="auto"/>
            <w:noWrap/>
            <w:vAlign w:val="center"/>
          </w:tcPr>
          <w:p w14:paraId="5A523E61" w14:textId="7974193E"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97,0</w:t>
            </w:r>
          </w:p>
        </w:tc>
        <w:tc>
          <w:tcPr>
            <w:tcW w:w="1134" w:type="dxa"/>
            <w:tcBorders>
              <w:top w:val="nil"/>
              <w:left w:val="nil"/>
              <w:bottom w:val="single" w:sz="4" w:space="0" w:color="auto"/>
              <w:right w:val="single" w:sz="4" w:space="0" w:color="auto"/>
            </w:tcBorders>
            <w:shd w:val="clear" w:color="auto" w:fill="auto"/>
            <w:noWrap/>
            <w:vAlign w:val="center"/>
          </w:tcPr>
          <w:p w14:paraId="202FEA34" w14:textId="7850918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114,8</w:t>
            </w:r>
          </w:p>
        </w:tc>
      </w:tr>
      <w:tr w:rsidR="00EC3951" w:rsidRPr="0033462C" w14:paraId="74B0812B"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A9285F0"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bevétel:</w:t>
            </w:r>
          </w:p>
        </w:tc>
        <w:tc>
          <w:tcPr>
            <w:tcW w:w="1067" w:type="dxa"/>
            <w:tcBorders>
              <w:top w:val="nil"/>
              <w:left w:val="nil"/>
              <w:bottom w:val="single" w:sz="4" w:space="0" w:color="auto"/>
              <w:right w:val="single" w:sz="4" w:space="0" w:color="auto"/>
            </w:tcBorders>
            <w:shd w:val="clear" w:color="auto" w:fill="auto"/>
            <w:noWrap/>
            <w:vAlign w:val="center"/>
          </w:tcPr>
          <w:p w14:paraId="22291C09" w14:textId="1A0DE63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29 786,1</w:t>
            </w:r>
          </w:p>
        </w:tc>
        <w:tc>
          <w:tcPr>
            <w:tcW w:w="1233" w:type="dxa"/>
            <w:tcBorders>
              <w:top w:val="nil"/>
              <w:left w:val="nil"/>
              <w:bottom w:val="single" w:sz="4" w:space="0" w:color="auto"/>
              <w:right w:val="single" w:sz="4" w:space="0" w:color="auto"/>
            </w:tcBorders>
            <w:shd w:val="clear" w:color="auto" w:fill="auto"/>
            <w:noWrap/>
            <w:vAlign w:val="center"/>
          </w:tcPr>
          <w:p w14:paraId="1E254290" w14:textId="0FDEACCF"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19 183,4</w:t>
            </w:r>
          </w:p>
        </w:tc>
        <w:tc>
          <w:tcPr>
            <w:tcW w:w="1118" w:type="dxa"/>
            <w:tcBorders>
              <w:top w:val="nil"/>
              <w:left w:val="nil"/>
              <w:bottom w:val="single" w:sz="4" w:space="0" w:color="auto"/>
              <w:right w:val="single" w:sz="4" w:space="0" w:color="auto"/>
            </w:tcBorders>
            <w:shd w:val="clear" w:color="auto" w:fill="auto"/>
            <w:noWrap/>
            <w:vAlign w:val="center"/>
          </w:tcPr>
          <w:p w14:paraId="1677581F" w14:textId="29349F79"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64,4</w:t>
            </w:r>
          </w:p>
        </w:tc>
        <w:tc>
          <w:tcPr>
            <w:tcW w:w="1103" w:type="dxa"/>
            <w:tcBorders>
              <w:top w:val="nil"/>
              <w:left w:val="nil"/>
              <w:bottom w:val="single" w:sz="4" w:space="0" w:color="auto"/>
              <w:right w:val="single" w:sz="4" w:space="0" w:color="auto"/>
            </w:tcBorders>
            <w:shd w:val="clear" w:color="auto" w:fill="auto"/>
            <w:noWrap/>
            <w:vAlign w:val="center"/>
          </w:tcPr>
          <w:p w14:paraId="7B7C4D83" w14:textId="62B031CC"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36 375,9</w:t>
            </w:r>
          </w:p>
        </w:tc>
        <w:tc>
          <w:tcPr>
            <w:tcW w:w="1224" w:type="dxa"/>
            <w:tcBorders>
              <w:top w:val="nil"/>
              <w:left w:val="nil"/>
              <w:bottom w:val="single" w:sz="4" w:space="0" w:color="auto"/>
              <w:right w:val="single" w:sz="4" w:space="0" w:color="auto"/>
            </w:tcBorders>
            <w:shd w:val="clear" w:color="auto" w:fill="auto"/>
            <w:noWrap/>
            <w:vAlign w:val="center"/>
          </w:tcPr>
          <w:p w14:paraId="6AB699E4" w14:textId="0F16E904"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23 040,9</w:t>
            </w:r>
          </w:p>
        </w:tc>
        <w:tc>
          <w:tcPr>
            <w:tcW w:w="1184" w:type="dxa"/>
            <w:tcBorders>
              <w:top w:val="nil"/>
              <w:left w:val="nil"/>
              <w:bottom w:val="single" w:sz="4" w:space="0" w:color="auto"/>
              <w:right w:val="single" w:sz="4" w:space="0" w:color="auto"/>
            </w:tcBorders>
            <w:shd w:val="clear" w:color="auto" w:fill="auto"/>
            <w:noWrap/>
            <w:vAlign w:val="center"/>
          </w:tcPr>
          <w:p w14:paraId="7A3AB10B" w14:textId="042C33AB"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63,3</w:t>
            </w:r>
          </w:p>
        </w:tc>
        <w:tc>
          <w:tcPr>
            <w:tcW w:w="1134" w:type="dxa"/>
            <w:tcBorders>
              <w:top w:val="nil"/>
              <w:left w:val="nil"/>
              <w:bottom w:val="single" w:sz="4" w:space="0" w:color="auto"/>
              <w:right w:val="single" w:sz="4" w:space="0" w:color="auto"/>
            </w:tcBorders>
            <w:shd w:val="clear" w:color="auto" w:fill="auto"/>
            <w:noWrap/>
            <w:vAlign w:val="center"/>
          </w:tcPr>
          <w:p w14:paraId="38A6DE72" w14:textId="1EA2E6E9"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120,1</w:t>
            </w:r>
          </w:p>
        </w:tc>
      </w:tr>
      <w:tr w:rsidR="00EC3951" w:rsidRPr="0033462C" w14:paraId="185112E4" w14:textId="77777777" w:rsidTr="397FF86C">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25852F2" w14:textId="77777777" w:rsidR="00EC3951" w:rsidRPr="0033462C"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kiadás:</w:t>
            </w:r>
          </w:p>
        </w:tc>
        <w:tc>
          <w:tcPr>
            <w:tcW w:w="1067" w:type="dxa"/>
            <w:tcBorders>
              <w:top w:val="nil"/>
              <w:left w:val="nil"/>
              <w:bottom w:val="single" w:sz="4" w:space="0" w:color="auto"/>
              <w:right w:val="single" w:sz="4" w:space="0" w:color="auto"/>
            </w:tcBorders>
            <w:shd w:val="clear" w:color="auto" w:fill="auto"/>
            <w:noWrap/>
            <w:vAlign w:val="center"/>
          </w:tcPr>
          <w:p w14:paraId="0172DF5E" w14:textId="7ACB18CE"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34 539,5</w:t>
            </w:r>
          </w:p>
        </w:tc>
        <w:tc>
          <w:tcPr>
            <w:tcW w:w="1233" w:type="dxa"/>
            <w:tcBorders>
              <w:top w:val="nil"/>
              <w:left w:val="nil"/>
              <w:bottom w:val="single" w:sz="4" w:space="0" w:color="auto"/>
              <w:right w:val="single" w:sz="4" w:space="0" w:color="auto"/>
            </w:tcBorders>
            <w:shd w:val="clear" w:color="auto" w:fill="auto"/>
            <w:noWrap/>
            <w:vAlign w:val="center"/>
          </w:tcPr>
          <w:p w14:paraId="2EEFB745" w14:textId="40EF993D"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22 056,2</w:t>
            </w:r>
          </w:p>
        </w:tc>
        <w:tc>
          <w:tcPr>
            <w:tcW w:w="1118" w:type="dxa"/>
            <w:tcBorders>
              <w:top w:val="nil"/>
              <w:left w:val="nil"/>
              <w:bottom w:val="single" w:sz="4" w:space="0" w:color="auto"/>
              <w:right w:val="single" w:sz="4" w:space="0" w:color="auto"/>
            </w:tcBorders>
            <w:shd w:val="clear" w:color="auto" w:fill="auto"/>
            <w:noWrap/>
            <w:vAlign w:val="center"/>
          </w:tcPr>
          <w:p w14:paraId="3D56ACA8" w14:textId="3E61C6B2"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63,9</w:t>
            </w:r>
          </w:p>
        </w:tc>
        <w:tc>
          <w:tcPr>
            <w:tcW w:w="1103" w:type="dxa"/>
            <w:tcBorders>
              <w:top w:val="nil"/>
              <w:left w:val="nil"/>
              <w:bottom w:val="single" w:sz="4" w:space="0" w:color="auto"/>
              <w:right w:val="single" w:sz="4" w:space="0" w:color="auto"/>
            </w:tcBorders>
            <w:shd w:val="clear" w:color="auto" w:fill="auto"/>
            <w:noWrap/>
            <w:vAlign w:val="center"/>
          </w:tcPr>
          <w:p w14:paraId="412A7F29" w14:textId="3AA5A6C9"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39 776,1</w:t>
            </w:r>
          </w:p>
        </w:tc>
        <w:tc>
          <w:tcPr>
            <w:tcW w:w="1224" w:type="dxa"/>
            <w:tcBorders>
              <w:top w:val="nil"/>
              <w:left w:val="nil"/>
              <w:bottom w:val="single" w:sz="4" w:space="0" w:color="auto"/>
              <w:right w:val="single" w:sz="4" w:space="0" w:color="auto"/>
            </w:tcBorders>
            <w:shd w:val="clear" w:color="auto" w:fill="auto"/>
            <w:noWrap/>
            <w:vAlign w:val="center"/>
          </w:tcPr>
          <w:p w14:paraId="165D2D0D" w14:textId="0B7C6001"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26 339,6</w:t>
            </w:r>
          </w:p>
        </w:tc>
        <w:tc>
          <w:tcPr>
            <w:tcW w:w="1184" w:type="dxa"/>
            <w:tcBorders>
              <w:top w:val="nil"/>
              <w:left w:val="nil"/>
              <w:bottom w:val="single" w:sz="4" w:space="0" w:color="auto"/>
              <w:right w:val="single" w:sz="4" w:space="0" w:color="auto"/>
            </w:tcBorders>
            <w:shd w:val="clear" w:color="auto" w:fill="auto"/>
            <w:noWrap/>
            <w:vAlign w:val="center"/>
          </w:tcPr>
          <w:p w14:paraId="0F960772" w14:textId="4E6D0096"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66,2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A84AFA" w14:textId="44D071F6" w:rsidR="00EC3951" w:rsidRPr="008A1AFA"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Garamond" w:hAnsi="Garamond"/>
                <w:sz w:val="20"/>
                <w:szCs w:val="20"/>
              </w:rPr>
              <w:t>119,4</w:t>
            </w:r>
          </w:p>
        </w:tc>
      </w:tr>
    </w:tbl>
    <w:p w14:paraId="7B768A91" w14:textId="77777777" w:rsidR="00B155FE" w:rsidRPr="00B155FE" w:rsidRDefault="00B155FE" w:rsidP="00B155FE">
      <w:pPr>
        <w:spacing w:after="120" w:line="240" w:lineRule="auto"/>
        <w:jc w:val="both"/>
        <w:rPr>
          <w:rFonts w:ascii="Times New Roman" w:eastAsia="Times New Roman" w:hAnsi="Times New Roman" w:cs="Times New Roman"/>
          <w:b/>
          <w:bCs/>
          <w:sz w:val="26"/>
          <w:szCs w:val="20"/>
          <w:lang w:eastAsia="hu-HU"/>
        </w:rPr>
      </w:pPr>
    </w:p>
    <w:p w14:paraId="7B768A92" w14:textId="77777777" w:rsidR="00B155FE" w:rsidRPr="00B155FE" w:rsidRDefault="00B155FE" w:rsidP="00B155FE">
      <w:pPr>
        <w:spacing w:after="120" w:line="240" w:lineRule="auto"/>
        <w:jc w:val="both"/>
        <w:rPr>
          <w:rFonts w:ascii="Times New Roman" w:eastAsia="Times New Roman" w:hAnsi="Times New Roman" w:cs="Times New Roman"/>
          <w:b/>
          <w:bCs/>
          <w:sz w:val="26"/>
          <w:szCs w:val="20"/>
          <w:lang w:eastAsia="hu-HU"/>
        </w:rPr>
      </w:pPr>
      <w:r w:rsidRPr="00B155FE">
        <w:rPr>
          <w:rFonts w:ascii="Times New Roman" w:eastAsia="Times New Roman" w:hAnsi="Times New Roman" w:cs="Times New Roman"/>
          <w:b/>
          <w:bCs/>
          <w:sz w:val="26"/>
          <w:szCs w:val="20"/>
          <w:lang w:eastAsia="hu-HU"/>
        </w:rPr>
        <w:br w:type="page"/>
      </w:r>
    </w:p>
    <w:p w14:paraId="7B768A93" w14:textId="77777777" w:rsidR="00B155FE" w:rsidRPr="00B155FE" w:rsidRDefault="397FF86C" w:rsidP="397FF86C">
      <w:pPr>
        <w:spacing w:after="120" w:line="240" w:lineRule="auto"/>
        <w:jc w:val="center"/>
        <w:rPr>
          <w:rFonts w:ascii="Times New Roman" w:eastAsia="Times New Roman" w:hAnsi="Times New Roman" w:cs="Times New Roman"/>
          <w:b/>
          <w:bCs/>
          <w:sz w:val="26"/>
          <w:szCs w:val="26"/>
          <w:lang w:eastAsia="hu-HU"/>
        </w:rPr>
      </w:pPr>
      <w:r w:rsidRPr="397FF86C">
        <w:rPr>
          <w:rFonts w:ascii="Times New Roman" w:eastAsia="Times New Roman" w:hAnsi="Times New Roman" w:cs="Times New Roman"/>
          <w:b/>
          <w:bCs/>
          <w:sz w:val="26"/>
          <w:szCs w:val="26"/>
          <w:lang w:eastAsia="hu-HU"/>
        </w:rPr>
        <w:t>I.</w:t>
      </w:r>
    </w:p>
    <w:p w14:paraId="7B768A94" w14:textId="77777777" w:rsidR="00B155FE" w:rsidRPr="00B155FE" w:rsidRDefault="397FF86C" w:rsidP="397FF86C">
      <w:pPr>
        <w:keepNext/>
        <w:spacing w:after="120" w:line="240" w:lineRule="auto"/>
        <w:jc w:val="center"/>
        <w:outlineLvl w:val="1"/>
        <w:rPr>
          <w:rFonts w:ascii="Times New Roman" w:eastAsia="Times New Roman" w:hAnsi="Times New Roman" w:cs="Times New Roman"/>
          <w:b/>
          <w:bCs/>
          <w:caps/>
          <w:sz w:val="26"/>
          <w:szCs w:val="26"/>
          <w:lang w:eastAsia="hu-HU"/>
        </w:rPr>
      </w:pPr>
      <w:r w:rsidRPr="397FF86C">
        <w:rPr>
          <w:rFonts w:ascii="Times New Roman" w:eastAsia="Times New Roman" w:hAnsi="Times New Roman" w:cs="Times New Roman"/>
          <w:b/>
          <w:bCs/>
          <w:caps/>
          <w:sz w:val="26"/>
          <w:szCs w:val="26"/>
          <w:lang w:eastAsia="hu-HU"/>
        </w:rPr>
        <w:t xml:space="preserve">A központi alrendszer pénzügyi folyamatainak </w:t>
      </w:r>
      <w:r w:rsidR="1ADA31FC">
        <w:br/>
      </w:r>
      <w:r w:rsidRPr="397FF86C">
        <w:rPr>
          <w:rFonts w:ascii="Times New Roman" w:eastAsia="Times New Roman" w:hAnsi="Times New Roman" w:cs="Times New Roman"/>
          <w:b/>
          <w:bCs/>
          <w:caps/>
          <w:sz w:val="26"/>
          <w:szCs w:val="26"/>
          <w:lang w:eastAsia="hu-HU"/>
        </w:rPr>
        <w:t>alakulása</w:t>
      </w:r>
    </w:p>
    <w:p w14:paraId="7B768A95" w14:textId="77777777" w:rsidR="00B155FE" w:rsidRPr="00B155FE" w:rsidRDefault="397FF86C" w:rsidP="397FF86C">
      <w:pPr>
        <w:keepNext/>
        <w:numPr>
          <w:ilvl w:val="0"/>
          <w:numId w:val="2"/>
        </w:numPr>
        <w:spacing w:after="120" w:line="240" w:lineRule="auto"/>
        <w:jc w:val="both"/>
        <w:outlineLvl w:val="2"/>
        <w:rPr>
          <w:rFonts w:ascii="Times New Roman" w:eastAsia="Times New Roman" w:hAnsi="Times New Roman" w:cs="Times New Roman"/>
          <w:b/>
          <w:bCs/>
          <w:smallCaps/>
          <w:sz w:val="26"/>
          <w:szCs w:val="26"/>
          <w:lang w:eastAsia="hu-HU"/>
        </w:rPr>
      </w:pPr>
      <w:r w:rsidRPr="397FF86C">
        <w:rPr>
          <w:rFonts w:ascii="Times New Roman" w:eastAsia="Times New Roman" w:hAnsi="Times New Roman" w:cs="Times New Roman"/>
          <w:b/>
          <w:bCs/>
          <w:smallCaps/>
          <w:sz w:val="26"/>
          <w:szCs w:val="26"/>
          <w:lang w:eastAsia="hu-HU"/>
        </w:rPr>
        <w:t>A főbb bevételek</w:t>
      </w:r>
    </w:p>
    <w:p w14:paraId="7B768A96" w14:textId="41A82DD5" w:rsidR="00B155FE" w:rsidRDefault="397FF86C" w:rsidP="397FF86C">
      <w:pPr>
        <w:spacing w:after="120" w:line="240" w:lineRule="auto"/>
        <w:jc w:val="both"/>
        <w:rPr>
          <w:rFonts w:ascii="Times New Roman" w:eastAsia="Times New Roman" w:hAnsi="Times New Roman" w:cs="Times New Roman"/>
          <w:b/>
          <w:bCs/>
          <w:sz w:val="26"/>
          <w:szCs w:val="26"/>
          <w:lang w:eastAsia="hu-HU"/>
        </w:rPr>
      </w:pPr>
      <w:r w:rsidRPr="397FF86C">
        <w:rPr>
          <w:rFonts w:ascii="Times New Roman" w:eastAsia="Times New Roman" w:hAnsi="Times New Roman" w:cs="Times New Roman"/>
          <w:b/>
          <w:bCs/>
          <w:sz w:val="26"/>
          <w:szCs w:val="26"/>
          <w:lang w:eastAsia="hu-HU"/>
        </w:rPr>
        <w:t xml:space="preserve">A központi alrendszer </w:t>
      </w:r>
      <w:r w:rsidR="00763ED2">
        <w:rPr>
          <w:rFonts w:ascii="Times New Roman" w:eastAsia="Times New Roman" w:hAnsi="Times New Roman" w:cs="Times New Roman"/>
          <w:b/>
          <w:bCs/>
          <w:sz w:val="26"/>
          <w:szCs w:val="26"/>
          <w:lang w:eastAsia="hu-HU"/>
        </w:rPr>
        <w:t>augusztus</w:t>
      </w:r>
      <w:r w:rsidRPr="397FF86C">
        <w:rPr>
          <w:rFonts w:ascii="Times New Roman" w:eastAsia="Times New Roman" w:hAnsi="Times New Roman" w:cs="Times New Roman"/>
          <w:b/>
          <w:bCs/>
          <w:sz w:val="26"/>
          <w:szCs w:val="26"/>
          <w:lang w:eastAsia="hu-HU"/>
        </w:rPr>
        <w:t xml:space="preserve"> végi 23 040,9 milliárd forint összegű bevételei az előző év azonos időszakához képest 3 857,5 milliárd forinttal, 20,1%-kal magasabb összegben alakultak.</w:t>
      </w:r>
    </w:p>
    <w:p w14:paraId="2A0EB549" w14:textId="26ABDF18" w:rsidR="007535E7" w:rsidRPr="00B155FE" w:rsidRDefault="00681D20" w:rsidP="007535E7">
      <w:pPr>
        <w:spacing w:after="120" w:line="240" w:lineRule="auto"/>
        <w:jc w:val="center"/>
        <w:rPr>
          <w:rFonts w:ascii="Times New Roman" w:eastAsia="Times New Roman" w:hAnsi="Times New Roman" w:cs="Times New Roman"/>
          <w:b/>
          <w:bCs/>
          <w:sz w:val="26"/>
          <w:szCs w:val="26"/>
          <w:lang w:eastAsia="hu-HU"/>
        </w:rPr>
      </w:pPr>
      <w:r>
        <w:rPr>
          <w:noProof/>
          <w:lang w:eastAsia="hu-HU"/>
        </w:rPr>
        <w:drawing>
          <wp:inline distT="0" distB="0" distL="0" distR="0" wp14:anchorId="30326F47" wp14:editId="14FC208F">
            <wp:extent cx="5940427" cy="2205024"/>
            <wp:effectExtent l="0" t="0" r="3175" b="5080"/>
            <wp:docPr id="1436385443" name="picture" descr="Z:\monitoring\2023\MÉRLEG\08\ábrák\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940427" cy="2205024"/>
                    </a:xfrm>
                    <a:prstGeom prst="rect">
                      <a:avLst/>
                    </a:prstGeom>
                  </pic:spPr>
                </pic:pic>
              </a:graphicData>
            </a:graphic>
          </wp:inline>
        </w:drawing>
      </w:r>
    </w:p>
    <w:p w14:paraId="7A25DF16" w14:textId="77777777"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b/>
          <w:bCs/>
          <w:sz w:val="26"/>
          <w:szCs w:val="20"/>
          <w:lang w:eastAsia="hu-HU"/>
        </w:rPr>
        <w:t xml:space="preserve">Társasági adó </w:t>
      </w:r>
      <w:r w:rsidRPr="00815E8F">
        <w:rPr>
          <w:rFonts w:ascii="Times New Roman" w:eastAsia="Times New Roman" w:hAnsi="Times New Roman" w:cs="Times New Roman"/>
          <w:sz w:val="26"/>
          <w:szCs w:val="20"/>
          <w:lang w:eastAsia="hu-HU"/>
        </w:rPr>
        <w:t>jogcímen a 2023. év első nyolc hónapjában 749,3 milliárd forint realizálódott, amely az előző év azonos időszakának egyenlegét 207,3 milliárd forinttal haladta meg. A bázisévhez viszonyítva az eltérést a májusi elszámolásokhoz köthető magasabb pénzforgalom és az előlegek előző évinél magasabb szintje, valamint egyedi és eltérő üzleti éves adózók elszámolásához köthető befizetések okozzák.</w:t>
      </w:r>
    </w:p>
    <w:p w14:paraId="357F9C3C" w14:textId="6BF30CFB"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bCs/>
          <w:sz w:val="26"/>
          <w:szCs w:val="20"/>
          <w:lang w:eastAsia="hu-HU"/>
        </w:rPr>
        <w:t>A</w:t>
      </w:r>
      <w:r w:rsidRPr="00815E8F">
        <w:rPr>
          <w:rFonts w:ascii="Times New Roman" w:eastAsia="Times New Roman" w:hAnsi="Times New Roman" w:cs="Times New Roman"/>
          <w:b/>
          <w:bCs/>
          <w:sz w:val="26"/>
          <w:szCs w:val="20"/>
          <w:lang w:eastAsia="hu-HU"/>
        </w:rPr>
        <w:t xml:space="preserve"> pénzügyi szervezetek befizetés</w:t>
      </w:r>
      <w:r w:rsidR="00763ED2">
        <w:rPr>
          <w:rFonts w:ascii="Times New Roman" w:eastAsia="Times New Roman" w:hAnsi="Times New Roman" w:cs="Times New Roman"/>
          <w:b/>
          <w:bCs/>
          <w:sz w:val="26"/>
          <w:szCs w:val="20"/>
          <w:lang w:eastAsia="hu-HU"/>
        </w:rPr>
        <w:t>e</w:t>
      </w:r>
      <w:r w:rsidRPr="00815E8F">
        <w:rPr>
          <w:rFonts w:ascii="Times New Roman" w:eastAsia="Times New Roman" w:hAnsi="Times New Roman" w:cs="Times New Roman"/>
          <w:b/>
          <w:bCs/>
          <w:sz w:val="26"/>
          <w:szCs w:val="20"/>
          <w:lang w:eastAsia="hu-HU"/>
        </w:rPr>
        <w:t xml:space="preserve">i </w:t>
      </w:r>
      <w:r w:rsidRPr="00815E8F">
        <w:rPr>
          <w:rFonts w:ascii="Times New Roman" w:eastAsia="Times New Roman" w:hAnsi="Times New Roman" w:cs="Times New Roman"/>
          <w:bCs/>
          <w:sz w:val="26"/>
          <w:szCs w:val="20"/>
          <w:lang w:eastAsia="hu-HU"/>
        </w:rPr>
        <w:t>mérlegsoron</w:t>
      </w:r>
      <w:r w:rsidRPr="00815E8F">
        <w:rPr>
          <w:rFonts w:ascii="Times New Roman" w:eastAsia="Times New Roman" w:hAnsi="Times New Roman" w:cs="Times New Roman"/>
          <w:b/>
          <w:bCs/>
          <w:sz w:val="26"/>
          <w:szCs w:val="20"/>
          <w:lang w:eastAsia="hu-HU"/>
        </w:rPr>
        <w:t xml:space="preserve"> </w:t>
      </w:r>
      <w:r w:rsidRPr="00815E8F">
        <w:rPr>
          <w:rFonts w:ascii="Times New Roman" w:eastAsia="Times New Roman" w:hAnsi="Times New Roman" w:cs="Times New Roman"/>
          <w:sz w:val="26"/>
          <w:szCs w:val="20"/>
          <w:lang w:eastAsia="hu-HU"/>
        </w:rPr>
        <w:t xml:space="preserve">a 2023. év első nyolc hónapjában 152,9 milliárd forint teljesült, mely az előző év azonos időszakának egyenlegét meghaladja 111,4 milliárd forinttal. Ennek oka a bevallási adatok alapján előírt magasabb előlegkötelezettségek a pénzügyi szervezetek különadójából, továbbá a hitelintézetek és pénzügyi vállalkozások extraprofitadójából befolyt bevétel. </w:t>
      </w:r>
    </w:p>
    <w:p w14:paraId="48A15550" w14:textId="77777777"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bCs/>
          <w:sz w:val="26"/>
          <w:szCs w:val="20"/>
          <w:lang w:eastAsia="hu-HU"/>
        </w:rPr>
        <w:t>A</w:t>
      </w:r>
      <w:r w:rsidRPr="00815E8F">
        <w:rPr>
          <w:rFonts w:ascii="Times New Roman" w:eastAsia="Times New Roman" w:hAnsi="Times New Roman" w:cs="Times New Roman"/>
          <w:b/>
          <w:bCs/>
          <w:sz w:val="26"/>
          <w:szCs w:val="20"/>
          <w:lang w:eastAsia="hu-HU"/>
        </w:rPr>
        <w:t xml:space="preserve"> kisadózók tételes adójából</w:t>
      </w:r>
      <w:r w:rsidRPr="00815E8F">
        <w:rPr>
          <w:rFonts w:ascii="Times New Roman" w:eastAsia="Times New Roman" w:hAnsi="Times New Roman" w:cs="Times New Roman"/>
          <w:sz w:val="26"/>
          <w:szCs w:val="20"/>
          <w:lang w:eastAsia="hu-HU"/>
        </w:rPr>
        <w:t xml:space="preserve"> 2023 első nyolc hónapjában a költségvetésnek 47,8 milliárd forint bevétele keletkezett, mely 95,8 milliárd forinttal kevesebb az egy évvel korábbinál. Ennek legfőbb oka, az adónem 2022. szeptemberi átalakítását követő jelentős létszám szűkülés.</w:t>
      </w:r>
    </w:p>
    <w:p w14:paraId="30EFE462" w14:textId="77777777"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bCs/>
          <w:sz w:val="26"/>
          <w:szCs w:val="20"/>
          <w:lang w:eastAsia="hu-HU"/>
        </w:rPr>
        <w:t>A</w:t>
      </w:r>
      <w:r w:rsidRPr="00815E8F">
        <w:rPr>
          <w:rFonts w:ascii="Times New Roman" w:eastAsia="Times New Roman" w:hAnsi="Times New Roman" w:cs="Times New Roman"/>
          <w:b/>
          <w:bCs/>
          <w:sz w:val="26"/>
          <w:szCs w:val="20"/>
          <w:lang w:eastAsia="hu-HU"/>
        </w:rPr>
        <w:t xml:space="preserve"> kisvállalati adóból</w:t>
      </w:r>
      <w:r w:rsidRPr="00815E8F">
        <w:rPr>
          <w:rFonts w:ascii="Times New Roman" w:eastAsia="Times New Roman" w:hAnsi="Times New Roman" w:cs="Times New Roman"/>
          <w:sz w:val="26"/>
          <w:szCs w:val="20"/>
          <w:lang w:eastAsia="hu-HU"/>
        </w:rPr>
        <w:t xml:space="preserve"> származó bevétel a 2023. év első nyolc hónapjában 134,7 milliárd forint volt, mely 29,3 milliárd forinttal magasabb az egy évvel korábbi egyenlegnél. Ennek oka az adóalanyok számának jelentős mértékű bővülése.</w:t>
      </w:r>
    </w:p>
    <w:p w14:paraId="5E880764" w14:textId="14B0954B" w:rsidR="004D06BA" w:rsidRPr="00B72569"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bányajáradék-bevétel</w:t>
      </w:r>
      <w:r w:rsidRPr="397FF86C">
        <w:rPr>
          <w:rFonts w:ascii="Times New Roman" w:eastAsia="Times New Roman" w:hAnsi="Times New Roman" w:cs="Times New Roman"/>
          <w:sz w:val="26"/>
          <w:szCs w:val="26"/>
          <w:lang w:eastAsia="hu-HU"/>
        </w:rPr>
        <w:t xml:space="preserve"> az év első nyolc hónapjában 185,9 milliárd forint volt, amely 80,5 milliárd forinttal magasabb az egy évvel korábbi azonos időszakénál. Ennek oka a kitermelési kötelezettség előírása, a Brent kőolajár, a holland tőzsdei (TTF) gázár és a devizaárfolyam változása, valamint a bányajáradék számítási módjának módosítása.</w:t>
      </w:r>
    </w:p>
    <w:p w14:paraId="239067D6" w14:textId="1D428F1A" w:rsidR="004D06BA" w:rsidRPr="00B72569"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Az </w:t>
      </w:r>
      <w:r w:rsidRPr="397FF86C">
        <w:rPr>
          <w:rFonts w:ascii="Times New Roman" w:eastAsia="Times New Roman" w:hAnsi="Times New Roman" w:cs="Times New Roman"/>
          <w:b/>
          <w:bCs/>
          <w:sz w:val="26"/>
          <w:szCs w:val="26"/>
          <w:lang w:eastAsia="hu-HU"/>
        </w:rPr>
        <w:t>egyéb központosított bevételekből</w:t>
      </w:r>
      <w:r w:rsidRPr="397FF86C">
        <w:rPr>
          <w:rFonts w:ascii="Times New Roman" w:eastAsia="Times New Roman" w:hAnsi="Times New Roman" w:cs="Times New Roman"/>
          <w:sz w:val="26"/>
          <w:szCs w:val="26"/>
          <w:lang w:eastAsia="hu-HU"/>
        </w:rPr>
        <w:t xml:space="preserve"> augusztus végéig összesen 381,6 milliárd forint bevétel teljesült, amely a törvényi előirányzat 67,4%-ának felel meg. Ezen belül kiemelendő az elektronikus </w:t>
      </w:r>
      <w:r w:rsidRPr="004B391E">
        <w:rPr>
          <w:rFonts w:ascii="Times New Roman" w:eastAsia="Times New Roman" w:hAnsi="Times New Roman" w:cs="Times New Roman"/>
          <w:sz w:val="26"/>
          <w:szCs w:val="26"/>
          <w:lang w:eastAsia="hu-HU"/>
        </w:rPr>
        <w:t xml:space="preserve">útdíj 189,3 milliárd </w:t>
      </w:r>
      <w:r w:rsidRPr="397FF86C">
        <w:rPr>
          <w:rFonts w:ascii="Times New Roman" w:eastAsia="Times New Roman" w:hAnsi="Times New Roman" w:cs="Times New Roman"/>
          <w:sz w:val="26"/>
          <w:szCs w:val="26"/>
          <w:lang w:eastAsia="hu-HU"/>
        </w:rPr>
        <w:t>forintot kitevő összege.</w:t>
      </w:r>
    </w:p>
    <w:p w14:paraId="4DAF6DBB" w14:textId="77777777" w:rsidR="004D06BA" w:rsidRPr="002655BB" w:rsidRDefault="004D06BA" w:rsidP="587E035A">
      <w:pPr>
        <w:spacing w:after="120" w:line="240" w:lineRule="auto"/>
        <w:jc w:val="both"/>
        <w:rPr>
          <w:rFonts w:ascii="Times New Roman" w:eastAsia="Times New Roman" w:hAnsi="Times New Roman" w:cs="Times New Roman"/>
          <w:sz w:val="26"/>
          <w:szCs w:val="26"/>
          <w:lang w:eastAsia="hu-HU"/>
        </w:rPr>
      </w:pPr>
    </w:p>
    <w:p w14:paraId="2D311496" w14:textId="595CA383" w:rsidR="00815E8F" w:rsidRPr="00815E8F" w:rsidRDefault="00815E8F" w:rsidP="00815E8F">
      <w:pPr>
        <w:spacing w:after="120" w:line="240" w:lineRule="auto"/>
        <w:jc w:val="both"/>
        <w:rPr>
          <w:rFonts w:ascii="Times New Roman" w:eastAsia="Times New Roman" w:hAnsi="Times New Roman" w:cs="Times New Roman"/>
          <w:b/>
          <w:sz w:val="26"/>
          <w:szCs w:val="20"/>
          <w:lang w:eastAsia="hu-HU"/>
        </w:rPr>
      </w:pPr>
      <w:r w:rsidRPr="00815E8F">
        <w:rPr>
          <w:rFonts w:ascii="Times New Roman" w:eastAsia="Times New Roman" w:hAnsi="Times New Roman" w:cs="Times New Roman"/>
          <w:sz w:val="26"/>
          <w:szCs w:val="20"/>
          <w:lang w:eastAsia="hu-HU"/>
        </w:rPr>
        <w:t>Az</w:t>
      </w:r>
      <w:r w:rsidRPr="00815E8F">
        <w:rPr>
          <w:rFonts w:ascii="Times New Roman" w:eastAsia="Times New Roman" w:hAnsi="Times New Roman" w:cs="Times New Roman"/>
          <w:b/>
          <w:sz w:val="26"/>
          <w:szCs w:val="20"/>
          <w:lang w:eastAsia="hu-HU"/>
        </w:rPr>
        <w:t xml:space="preserve"> energia ágazat befizetései </w:t>
      </w:r>
      <w:r w:rsidRPr="00815E8F">
        <w:rPr>
          <w:rFonts w:ascii="Times New Roman" w:eastAsia="Times New Roman" w:hAnsi="Times New Roman" w:cs="Times New Roman"/>
          <w:sz w:val="26"/>
          <w:szCs w:val="20"/>
          <w:lang w:eastAsia="hu-HU"/>
        </w:rPr>
        <w:t>jogcímen a 2023. év első nyolc hónapjában 307,9 milliárd forint pénzforgalom teljesült, mely az előző év egyenlegét 244,0 milliárd forinttal haladta meg. A bázisévhez viszonyítva az eltérést az ezen a jogcímen fizetendő adónemek adószabályainak változása és az extraprofitadók teljesülése okozza. Egyrészt az energiaellátók jövedelemadójának alanyi köre kibővült, az adómérték 41</w:t>
      </w:r>
      <w:r w:rsidR="00CC075B">
        <w:rPr>
          <w:rFonts w:ascii="Times New Roman" w:eastAsia="Times New Roman" w:hAnsi="Times New Roman" w:cs="Times New Roman"/>
          <w:sz w:val="26"/>
          <w:szCs w:val="20"/>
          <w:lang w:eastAsia="hu-HU"/>
        </w:rPr>
        <w:t>,0</w:t>
      </w:r>
      <w:r w:rsidRPr="00815E8F">
        <w:rPr>
          <w:rFonts w:ascii="Times New Roman" w:eastAsia="Times New Roman" w:hAnsi="Times New Roman" w:cs="Times New Roman"/>
          <w:sz w:val="26"/>
          <w:szCs w:val="20"/>
          <w:lang w:eastAsia="hu-HU"/>
        </w:rPr>
        <w:t xml:space="preserve">%-ra emelkedett, másrészt ezen a mérlegsoron kerülnek könyvelésre az energiaágazatot érintő extraprofitadók: az </w:t>
      </w:r>
      <w:proofErr w:type="spellStart"/>
      <w:r w:rsidRPr="00815E8F">
        <w:rPr>
          <w:rFonts w:ascii="Times New Roman" w:eastAsia="Times New Roman" w:hAnsi="Times New Roman" w:cs="Times New Roman"/>
          <w:sz w:val="26"/>
          <w:szCs w:val="20"/>
          <w:lang w:eastAsia="hu-HU"/>
        </w:rPr>
        <w:t>Urals-Brent</w:t>
      </w:r>
      <w:proofErr w:type="spellEnd"/>
      <w:r w:rsidRPr="00815E8F">
        <w:rPr>
          <w:rFonts w:ascii="Times New Roman" w:eastAsia="Times New Roman" w:hAnsi="Times New Roman" w:cs="Times New Roman"/>
          <w:sz w:val="26"/>
          <w:szCs w:val="20"/>
          <w:lang w:eastAsia="hu-HU"/>
        </w:rPr>
        <w:t xml:space="preserve"> </w:t>
      </w:r>
      <w:proofErr w:type="spellStart"/>
      <w:r w:rsidRPr="00815E8F">
        <w:rPr>
          <w:rFonts w:ascii="Times New Roman" w:eastAsia="Times New Roman" w:hAnsi="Times New Roman" w:cs="Times New Roman"/>
          <w:sz w:val="26"/>
          <w:szCs w:val="20"/>
          <w:lang w:eastAsia="hu-HU"/>
        </w:rPr>
        <w:t>árfolyamkülönbözet</w:t>
      </w:r>
      <w:proofErr w:type="spellEnd"/>
      <w:r w:rsidRPr="00815E8F">
        <w:rPr>
          <w:rFonts w:ascii="Times New Roman" w:eastAsia="Times New Roman" w:hAnsi="Times New Roman" w:cs="Times New Roman"/>
          <w:sz w:val="26"/>
          <w:szCs w:val="20"/>
          <w:lang w:eastAsia="hu-HU"/>
        </w:rPr>
        <w:t xml:space="preserve"> alapján fizetett extraprofitadó, a kiegyenlítő erőművek extraprofitadója, a támogatott átvételi rendszerből kilépő megújuló energiatermelők extraprofitadója, valamint az új, árbevétel alapú extraprofit adó az </w:t>
      </w:r>
      <w:proofErr w:type="spellStart"/>
      <w:r w:rsidRPr="00815E8F">
        <w:rPr>
          <w:rFonts w:ascii="Times New Roman" w:eastAsia="Times New Roman" w:hAnsi="Times New Roman" w:cs="Times New Roman"/>
          <w:sz w:val="26"/>
          <w:szCs w:val="20"/>
          <w:lang w:eastAsia="hu-HU"/>
        </w:rPr>
        <w:t>Urals-Brents</w:t>
      </w:r>
      <w:proofErr w:type="spellEnd"/>
      <w:r w:rsidRPr="00815E8F">
        <w:rPr>
          <w:rFonts w:ascii="Times New Roman" w:eastAsia="Times New Roman" w:hAnsi="Times New Roman" w:cs="Times New Roman"/>
          <w:sz w:val="26"/>
          <w:szCs w:val="20"/>
          <w:lang w:eastAsia="hu-HU"/>
        </w:rPr>
        <w:t xml:space="preserve"> különadó adóalanyai számára. </w:t>
      </w:r>
    </w:p>
    <w:p w14:paraId="58CAC584" w14:textId="39C343A9"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b/>
          <w:sz w:val="26"/>
          <w:szCs w:val="20"/>
          <w:lang w:eastAsia="hu-HU"/>
        </w:rPr>
        <w:t>K</w:t>
      </w:r>
      <w:r w:rsidRPr="00815E8F">
        <w:rPr>
          <w:rFonts w:ascii="Times New Roman" w:eastAsia="Times New Roman" w:hAnsi="Times New Roman" w:cs="Times New Roman"/>
          <w:b/>
          <w:bCs/>
          <w:sz w:val="26"/>
          <w:szCs w:val="20"/>
          <w:lang w:eastAsia="hu-HU"/>
        </w:rPr>
        <w:t xml:space="preserve">iskereskedelmi adó </w:t>
      </w:r>
      <w:r w:rsidRPr="00815E8F">
        <w:rPr>
          <w:rFonts w:ascii="Times New Roman" w:eastAsia="Times New Roman" w:hAnsi="Times New Roman" w:cs="Times New Roman"/>
          <w:sz w:val="26"/>
          <w:szCs w:val="20"/>
          <w:lang w:eastAsia="hu-HU"/>
        </w:rPr>
        <w:t xml:space="preserve">jogcímen az év első nyolc hónapjában 115,6 milliárd forint bevétel teljesült, amely az előző év azonos időszakának egyenlegénél 69,5 milliárd forinttal </w:t>
      </w:r>
      <w:r w:rsidR="00A54466">
        <w:rPr>
          <w:rFonts w:ascii="Times New Roman" w:eastAsia="Times New Roman" w:hAnsi="Times New Roman" w:cs="Times New Roman"/>
          <w:sz w:val="26"/>
          <w:szCs w:val="20"/>
          <w:lang w:eastAsia="hu-HU"/>
        </w:rPr>
        <w:t>tö</w:t>
      </w:r>
      <w:r w:rsidRPr="00815E8F">
        <w:rPr>
          <w:rFonts w:ascii="Times New Roman" w:eastAsia="Times New Roman" w:hAnsi="Times New Roman" w:cs="Times New Roman"/>
          <w:sz w:val="26"/>
          <w:szCs w:val="20"/>
          <w:lang w:eastAsia="hu-HU"/>
        </w:rPr>
        <w:t xml:space="preserve">bb. A </w:t>
      </w:r>
      <w:r w:rsidR="00A54466">
        <w:rPr>
          <w:rFonts w:ascii="Times New Roman" w:eastAsia="Times New Roman" w:hAnsi="Times New Roman" w:cs="Times New Roman"/>
          <w:sz w:val="26"/>
          <w:szCs w:val="20"/>
          <w:lang w:eastAsia="hu-HU"/>
        </w:rPr>
        <w:t>nagyo</w:t>
      </w:r>
      <w:r w:rsidRPr="00815E8F">
        <w:rPr>
          <w:rFonts w:ascii="Times New Roman" w:eastAsia="Times New Roman" w:hAnsi="Times New Roman" w:cs="Times New Roman"/>
          <w:sz w:val="26"/>
          <w:szCs w:val="20"/>
          <w:lang w:eastAsia="hu-HU"/>
        </w:rPr>
        <w:t>bb teljesülés az elszámolásokhoz köthető befizetéseknek</w:t>
      </w:r>
      <w:r w:rsidR="00C95900">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 2023-as évre vonatkozó adómértékek miatti magas szinten teljesült júliusi első előlegfizetésnek köszönhető.</w:t>
      </w:r>
    </w:p>
    <w:p w14:paraId="344F1EE2" w14:textId="77777777" w:rsidR="00815E8F" w:rsidRPr="00815E8F" w:rsidRDefault="00815E8F" w:rsidP="00815E8F">
      <w:pPr>
        <w:spacing w:after="120" w:line="240" w:lineRule="auto"/>
        <w:jc w:val="both"/>
        <w:rPr>
          <w:rFonts w:ascii="Times New Roman" w:eastAsia="Times New Roman" w:hAnsi="Times New Roman" w:cs="Times New Roman"/>
          <w:b/>
          <w:sz w:val="26"/>
          <w:szCs w:val="20"/>
          <w:lang w:eastAsia="hu-HU"/>
        </w:rPr>
      </w:pPr>
      <w:r w:rsidRPr="00815E8F">
        <w:rPr>
          <w:rFonts w:ascii="Times New Roman" w:eastAsia="Times New Roman" w:hAnsi="Times New Roman" w:cs="Times New Roman"/>
          <w:b/>
          <w:sz w:val="26"/>
          <w:szCs w:val="20"/>
          <w:lang w:eastAsia="hu-HU"/>
        </w:rPr>
        <w:t xml:space="preserve">Gyógyszergyártói adó </w:t>
      </w:r>
      <w:r w:rsidRPr="00815E8F">
        <w:rPr>
          <w:rFonts w:ascii="Times New Roman" w:eastAsia="Times New Roman" w:hAnsi="Times New Roman" w:cs="Times New Roman"/>
          <w:sz w:val="26"/>
          <w:szCs w:val="20"/>
          <w:lang w:eastAsia="hu-HU"/>
        </w:rPr>
        <w:t>jogcímen a 2023. év első nyolc hónapjában 43,6 milliárd forint pénzforgalom teljesült. Az adó 2023. évben került bevezetésre, mérlegsora 2022. évben nem volt.</w:t>
      </w:r>
    </w:p>
    <w:p w14:paraId="3EB57844" w14:textId="77777777" w:rsidR="00815E8F" w:rsidRPr="00815E8F" w:rsidRDefault="00815E8F" w:rsidP="00815E8F">
      <w:pPr>
        <w:widowControl w:val="0"/>
        <w:spacing w:after="120" w:line="240" w:lineRule="auto"/>
        <w:jc w:val="both"/>
        <w:rPr>
          <w:rFonts w:ascii="Times New Roman" w:eastAsia="Times New Roman" w:hAnsi="Times New Roman" w:cs="Times New Roman"/>
          <w:sz w:val="26"/>
          <w:szCs w:val="26"/>
          <w:lang w:eastAsia="hu-HU"/>
        </w:rPr>
      </w:pPr>
      <w:r w:rsidRPr="00815E8F">
        <w:rPr>
          <w:rFonts w:ascii="Times New Roman" w:eastAsia="Times New Roman" w:hAnsi="Times New Roman" w:cs="Times New Roman"/>
          <w:sz w:val="26"/>
          <w:szCs w:val="26"/>
          <w:lang w:eastAsia="hu-HU"/>
        </w:rPr>
        <w:t xml:space="preserve">A </w:t>
      </w:r>
      <w:r w:rsidRPr="00815E8F">
        <w:rPr>
          <w:rFonts w:ascii="Times New Roman" w:eastAsia="Times New Roman" w:hAnsi="Times New Roman" w:cs="Times New Roman"/>
          <w:b/>
          <w:bCs/>
          <w:sz w:val="26"/>
          <w:szCs w:val="26"/>
          <w:lang w:eastAsia="hu-HU"/>
        </w:rPr>
        <w:t>rehabilitációs hozzájárulásból</w:t>
      </w:r>
      <w:r w:rsidRPr="00815E8F">
        <w:rPr>
          <w:rFonts w:ascii="Times New Roman" w:eastAsia="Times New Roman" w:hAnsi="Times New Roman" w:cs="Times New Roman"/>
          <w:sz w:val="26"/>
          <w:szCs w:val="26"/>
          <w:lang w:eastAsia="hu-HU"/>
        </w:rPr>
        <w:t xml:space="preserve"> származó bevétel az év első nyolc hónapjában 119,2 milliárd forint volt, amely 20,8 milliárd forinttal magasabb az egy évvel korábbi összegnél. Ennek oka a minimálbérnek, így az adó mértékének az emelkedése, illetve a létszám bővülése.</w:t>
      </w:r>
    </w:p>
    <w:p w14:paraId="66EB612C" w14:textId="3432A86A" w:rsidR="00815E8F" w:rsidRPr="00815E8F" w:rsidRDefault="00815E8F" w:rsidP="00815E8F">
      <w:pPr>
        <w:widowControl w:val="0"/>
        <w:tabs>
          <w:tab w:val="left" w:pos="3105"/>
        </w:tabs>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sz w:val="26"/>
          <w:szCs w:val="20"/>
          <w:lang w:eastAsia="hu-HU"/>
        </w:rPr>
        <w:t xml:space="preserve">Az év első nyolc hónapjában </w:t>
      </w:r>
      <w:r w:rsidRPr="00815E8F">
        <w:rPr>
          <w:rFonts w:ascii="Times New Roman" w:eastAsia="Times New Roman" w:hAnsi="Times New Roman" w:cs="Times New Roman"/>
          <w:b/>
          <w:bCs/>
          <w:sz w:val="26"/>
          <w:szCs w:val="20"/>
          <w:lang w:eastAsia="hu-HU"/>
        </w:rPr>
        <w:t>általános forgalmi adóból</w:t>
      </w:r>
      <w:r w:rsidRPr="00815E8F">
        <w:rPr>
          <w:rFonts w:ascii="Times New Roman" w:eastAsia="Times New Roman" w:hAnsi="Times New Roman" w:cs="Times New Roman"/>
          <w:sz w:val="26"/>
          <w:szCs w:val="20"/>
          <w:lang w:eastAsia="hu-HU"/>
        </w:rPr>
        <w:t xml:space="preserve"> 4 352,4</w:t>
      </w:r>
      <w:r w:rsidRPr="00815E8F">
        <w:rPr>
          <w:rFonts w:ascii="Times New Roman" w:eastAsia="Times New Roman" w:hAnsi="Times New Roman" w:cs="Times New Roman"/>
          <w:color w:val="000000"/>
          <w:sz w:val="26"/>
          <w:szCs w:val="20"/>
          <w:lang w:eastAsia="hu-HU"/>
        </w:rPr>
        <w:t> </w:t>
      </w:r>
      <w:r w:rsidRPr="00815E8F">
        <w:rPr>
          <w:rFonts w:ascii="Times New Roman" w:eastAsia="Times New Roman" w:hAnsi="Times New Roman" w:cs="Times New Roman"/>
          <w:sz w:val="26"/>
          <w:szCs w:val="20"/>
          <w:lang w:eastAsia="hu-HU"/>
        </w:rPr>
        <w:t>milliárd forint bevétele keletkezett a költségvetésnek, ami az egy évvel korábbi bevételt 6,</w:t>
      </w:r>
      <w:r w:rsidR="00C95900">
        <w:rPr>
          <w:rFonts w:ascii="Times New Roman" w:eastAsia="Times New Roman" w:hAnsi="Times New Roman" w:cs="Times New Roman"/>
          <w:sz w:val="26"/>
          <w:szCs w:val="20"/>
          <w:lang w:eastAsia="hu-HU"/>
        </w:rPr>
        <w:t>2</w:t>
      </w:r>
      <w:r w:rsidRPr="00815E8F">
        <w:rPr>
          <w:rFonts w:ascii="Times New Roman" w:eastAsia="Times New Roman" w:hAnsi="Times New Roman" w:cs="Times New Roman"/>
          <w:color w:val="000000"/>
          <w:sz w:val="26"/>
          <w:szCs w:val="20"/>
          <w:lang w:eastAsia="hu-HU"/>
        </w:rPr>
        <w:t> </w:t>
      </w:r>
      <w:r w:rsidRPr="00815E8F">
        <w:rPr>
          <w:rFonts w:ascii="Times New Roman" w:eastAsia="Times New Roman" w:hAnsi="Times New Roman" w:cs="Times New Roman"/>
          <w:sz w:val="26"/>
          <w:szCs w:val="20"/>
          <w:lang w:eastAsia="hu-HU"/>
        </w:rPr>
        <w:t>milliárd forinttal haladta meg.</w:t>
      </w:r>
    </w:p>
    <w:p w14:paraId="7E1135DB" w14:textId="77777777" w:rsidR="00275CF5" w:rsidRPr="002655BB" w:rsidRDefault="00275CF5" w:rsidP="00A40F40">
      <w:pPr>
        <w:widowControl w:val="0"/>
        <w:spacing w:after="120" w:line="240" w:lineRule="auto"/>
        <w:jc w:val="both"/>
        <w:rPr>
          <w:rFonts w:ascii="Times New Roman" w:eastAsia="Times New Roman" w:hAnsi="Times New Roman" w:cs="Times New Roman"/>
          <w:sz w:val="26"/>
          <w:szCs w:val="26"/>
          <w:lang w:eastAsia="hu-HU"/>
        </w:rPr>
      </w:pPr>
    </w:p>
    <w:tbl>
      <w:tblPr>
        <w:tblW w:w="6905" w:type="dxa"/>
        <w:jc w:val="center"/>
        <w:tblCellMar>
          <w:left w:w="70" w:type="dxa"/>
          <w:right w:w="70" w:type="dxa"/>
        </w:tblCellMar>
        <w:tblLook w:val="04A0" w:firstRow="1" w:lastRow="0" w:firstColumn="1" w:lastColumn="0" w:noHBand="0" w:noVBand="1"/>
      </w:tblPr>
      <w:tblGrid>
        <w:gridCol w:w="1537"/>
        <w:gridCol w:w="1576"/>
        <w:gridCol w:w="1848"/>
        <w:gridCol w:w="884"/>
        <w:gridCol w:w="835"/>
        <w:gridCol w:w="225"/>
      </w:tblGrid>
      <w:tr w:rsidR="005A684D" w:rsidRPr="005A684D" w14:paraId="7B768AA4" w14:textId="77777777" w:rsidTr="397FF86C">
        <w:trPr>
          <w:trHeight w:val="255"/>
          <w:jc w:val="center"/>
        </w:trPr>
        <w:tc>
          <w:tcPr>
            <w:tcW w:w="6905" w:type="dxa"/>
            <w:gridSpan w:val="6"/>
            <w:tcBorders>
              <w:top w:val="nil"/>
              <w:left w:val="nil"/>
              <w:bottom w:val="nil"/>
              <w:right w:val="nil"/>
            </w:tcBorders>
            <w:shd w:val="clear" w:color="auto" w:fill="auto"/>
            <w:noWrap/>
            <w:vAlign w:val="bottom"/>
            <w:hideMark/>
          </w:tcPr>
          <w:p w14:paraId="7B768AA3" w14:textId="77777777" w:rsidR="00B155FE" w:rsidRPr="005A684D" w:rsidRDefault="397FF86C" w:rsidP="397FF86C">
            <w:pPr>
              <w:widowControl w:val="0"/>
              <w:spacing w:after="12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Általános forgalmi adó bevétel alakulása (milliárd forint)</w:t>
            </w:r>
          </w:p>
        </w:tc>
      </w:tr>
      <w:tr w:rsidR="00DA1682" w:rsidRPr="00DA1682" w14:paraId="7B768AAB" w14:textId="77777777" w:rsidTr="397FF86C">
        <w:trPr>
          <w:gridAfter w:val="1"/>
          <w:wAfter w:w="225" w:type="dxa"/>
          <w:trHeight w:val="340"/>
          <w:jc w:val="center"/>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A5"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Megnevezés</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AA6"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2022.</w:t>
            </w:r>
          </w:p>
          <w:p w14:paraId="7B768AA7" w14:textId="0B829201"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F76C4">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AA8"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2023.</w:t>
            </w:r>
          </w:p>
          <w:p w14:paraId="7B768AA9" w14:textId="2B27F839"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F76C4">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AA"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Eltérés</w:t>
            </w:r>
          </w:p>
        </w:tc>
      </w:tr>
      <w:tr w:rsidR="00DA1682" w:rsidRPr="00DA1682" w14:paraId="7B768AB1" w14:textId="77777777" w:rsidTr="397FF86C">
        <w:trPr>
          <w:gridAfter w:val="1"/>
          <w:wAfter w:w="225" w:type="dxa"/>
          <w:trHeight w:val="340"/>
          <w:jc w:val="cent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7B768AAC" w14:textId="77777777" w:rsidR="00B155FE" w:rsidRPr="00DA1682" w:rsidRDefault="00B155FE" w:rsidP="00B155FE">
            <w:pPr>
              <w:spacing w:after="0" w:line="240" w:lineRule="auto"/>
              <w:rPr>
                <w:rFonts w:ascii="Times New Roman" w:eastAsia="Times New Roman" w:hAnsi="Times New Roman" w:cs="Times New Roman"/>
                <w:b/>
                <w:bCs/>
                <w:lang w:eastAsia="hu-HU"/>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7B768AAD" w14:textId="77777777" w:rsidR="00B155FE" w:rsidRPr="00DA1682" w:rsidRDefault="00B155FE" w:rsidP="00B155FE">
            <w:pPr>
              <w:spacing w:after="0" w:line="240" w:lineRule="auto"/>
              <w:rPr>
                <w:rFonts w:ascii="Times New Roman" w:eastAsia="Times New Roman" w:hAnsi="Times New Roman" w:cs="Times New Roman"/>
                <w:b/>
                <w:bCs/>
                <w:lang w:eastAsia="hu-H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7B768AAE" w14:textId="77777777" w:rsidR="00B155FE" w:rsidRPr="00DA1682" w:rsidRDefault="00B155FE" w:rsidP="00B155FE">
            <w:pPr>
              <w:spacing w:after="0" w:line="240" w:lineRule="auto"/>
              <w:rPr>
                <w:rFonts w:ascii="Times New Roman" w:eastAsia="Times New Roman" w:hAnsi="Times New Roman" w:cs="Times New Roman"/>
                <w:b/>
                <w:bCs/>
                <w:lang w:eastAsia="hu-HU"/>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AF"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Mrd Ft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B0" w14:textId="77777777" w:rsidR="00B155FE" w:rsidRPr="00DA1682"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w:t>
            </w:r>
          </w:p>
        </w:tc>
      </w:tr>
      <w:tr w:rsidR="00DA1682" w:rsidRPr="00DA1682" w14:paraId="7B768AB7" w14:textId="77777777" w:rsidTr="397FF86C">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B2" w14:textId="77777777" w:rsidR="00B155FE" w:rsidRPr="00DA1682"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Befizetés</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3" w14:textId="00EC56FD" w:rsidR="00B155FE" w:rsidRPr="0034134A" w:rsidRDefault="007F76C4"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7 792,3</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4" w14:textId="5E98B430" w:rsidR="00B155FE" w:rsidRPr="0034134A" w:rsidRDefault="007F76C4"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8</w:t>
            </w:r>
            <w:r w:rsidR="001B307C" w:rsidRPr="0034134A">
              <w:rPr>
                <w:rFonts w:ascii="Times New Roman" w:eastAsia="Times New Roman" w:hAnsi="Times New Roman" w:cs="Times New Roman"/>
                <w:lang w:eastAsia="hu-HU"/>
              </w:rPr>
              <w:t> </w:t>
            </w:r>
            <w:r w:rsidRPr="0034134A">
              <w:rPr>
                <w:rFonts w:ascii="Times New Roman" w:eastAsia="Times New Roman" w:hAnsi="Times New Roman" w:cs="Times New Roman"/>
                <w:lang w:eastAsia="hu-HU"/>
              </w:rPr>
              <w:t>42</w:t>
            </w:r>
            <w:r w:rsidR="001B307C" w:rsidRPr="0034134A">
              <w:rPr>
                <w:rFonts w:ascii="Times New Roman" w:eastAsia="Times New Roman" w:hAnsi="Times New Roman" w:cs="Times New Roman"/>
                <w:lang w:eastAsia="hu-HU"/>
              </w:rPr>
              <w:t>5,0</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5" w14:textId="3B9993A5" w:rsidR="00B155FE" w:rsidRPr="0034134A" w:rsidRDefault="001B307C" w:rsidP="001B307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632,7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6" w14:textId="63FB50A1" w:rsidR="00B155FE" w:rsidRPr="0034134A" w:rsidRDefault="001B307C"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108,1</w:t>
            </w:r>
          </w:p>
        </w:tc>
      </w:tr>
      <w:tr w:rsidR="00DA1682" w:rsidRPr="00DA1682" w14:paraId="7B768ABD" w14:textId="77777777" w:rsidTr="397FF86C">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B8" w14:textId="77777777" w:rsidR="00B155FE" w:rsidRPr="00DA1682"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Kiutalás</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9" w14:textId="05D1D997" w:rsidR="00B155FE" w:rsidRPr="0034134A" w:rsidRDefault="007F76C4"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3 446,1</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A" w14:textId="0487BAF1" w:rsidR="00B155FE" w:rsidRPr="0034134A" w:rsidRDefault="007F76C4" w:rsidP="007F76C4">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4 072,6</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B" w14:textId="39FC1066" w:rsidR="00B155FE" w:rsidRPr="0034134A" w:rsidRDefault="001B307C"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626,5</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C" w14:textId="33EE31AC" w:rsidR="00B155FE" w:rsidRPr="0034134A" w:rsidRDefault="001B307C" w:rsidP="397FF86C">
            <w:pPr>
              <w:spacing w:after="0" w:line="240" w:lineRule="auto"/>
              <w:jc w:val="right"/>
              <w:rPr>
                <w:rFonts w:ascii="Times New Roman" w:eastAsia="Times New Roman" w:hAnsi="Times New Roman" w:cs="Times New Roman"/>
                <w:lang w:eastAsia="hu-HU"/>
              </w:rPr>
            </w:pPr>
            <w:r w:rsidRPr="0034134A">
              <w:rPr>
                <w:rFonts w:ascii="Times New Roman" w:eastAsia="Times New Roman" w:hAnsi="Times New Roman" w:cs="Times New Roman"/>
                <w:lang w:eastAsia="hu-HU"/>
              </w:rPr>
              <w:t>118,2</w:t>
            </w:r>
          </w:p>
        </w:tc>
      </w:tr>
      <w:tr w:rsidR="00880C11" w:rsidRPr="00DA1682" w14:paraId="7B768AC3" w14:textId="77777777" w:rsidTr="397FF86C">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BE" w14:textId="77777777" w:rsidR="00B155FE" w:rsidRPr="00DA1682" w:rsidRDefault="397FF86C" w:rsidP="397FF86C">
            <w:pPr>
              <w:spacing w:after="0" w:line="240" w:lineRule="auto"/>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Egyenleg</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BF" w14:textId="373EDDF4" w:rsidR="00B155FE" w:rsidRPr="00DA1682" w:rsidRDefault="007F76C4" w:rsidP="397FF86C">
            <w:pPr>
              <w:spacing w:after="0" w:line="240" w:lineRule="auto"/>
              <w:jc w:val="righ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4 346,2</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C0" w14:textId="568FF646" w:rsidR="00B155FE" w:rsidRPr="00DA1682" w:rsidRDefault="397FF86C" w:rsidP="001B307C">
            <w:pPr>
              <w:spacing w:after="0" w:line="240" w:lineRule="auto"/>
              <w:jc w:val="right"/>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4</w:t>
            </w:r>
            <w:r w:rsidR="007F76C4">
              <w:rPr>
                <w:rFonts w:ascii="Times New Roman" w:eastAsia="Times New Roman" w:hAnsi="Times New Roman" w:cs="Times New Roman"/>
                <w:b/>
                <w:bCs/>
                <w:lang w:eastAsia="hu-HU"/>
              </w:rPr>
              <w:t> 352,</w:t>
            </w:r>
            <w:r w:rsidR="001B307C">
              <w:rPr>
                <w:rFonts w:ascii="Times New Roman" w:eastAsia="Times New Roman" w:hAnsi="Times New Roman" w:cs="Times New Roman"/>
                <w:b/>
                <w:bCs/>
                <w:lang w:eastAsia="hu-HU"/>
              </w:rPr>
              <w:t>4</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C1" w14:textId="00FF92F2" w:rsidR="00B155FE" w:rsidRPr="00DA1682" w:rsidRDefault="007F76C4" w:rsidP="397FF86C">
            <w:pPr>
              <w:spacing w:after="0" w:line="240" w:lineRule="auto"/>
              <w:jc w:val="righ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6,2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C2" w14:textId="23DB43D5" w:rsidR="00B155FE" w:rsidRPr="00DA1682" w:rsidRDefault="007F76C4" w:rsidP="397FF86C">
            <w:pPr>
              <w:spacing w:after="0" w:line="240" w:lineRule="auto"/>
              <w:jc w:val="righ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100,1</w:t>
            </w:r>
          </w:p>
        </w:tc>
      </w:tr>
    </w:tbl>
    <w:p w14:paraId="7B768AC4" w14:textId="77777777" w:rsidR="00B155FE" w:rsidRPr="00DA1682" w:rsidRDefault="00B155FE" w:rsidP="002B7C36">
      <w:pPr>
        <w:widowControl w:val="0"/>
        <w:spacing w:after="120" w:line="240" w:lineRule="auto"/>
        <w:jc w:val="both"/>
        <w:rPr>
          <w:rFonts w:ascii="Times New Roman" w:eastAsia="Times New Roman" w:hAnsi="Times New Roman" w:cs="Times New Roman"/>
          <w:sz w:val="26"/>
          <w:szCs w:val="20"/>
          <w:lang w:eastAsia="hu-HU"/>
        </w:rPr>
      </w:pPr>
    </w:p>
    <w:p w14:paraId="4B8802A1" w14:textId="13078F07" w:rsidR="00815E8F" w:rsidRPr="00815E8F" w:rsidRDefault="00815E8F" w:rsidP="00815E8F">
      <w:pPr>
        <w:spacing w:after="120" w:line="240" w:lineRule="auto"/>
        <w:jc w:val="both"/>
        <w:rPr>
          <w:rFonts w:ascii="Times New Roman" w:eastAsia="Times New Roman" w:hAnsi="Times New Roman" w:cs="Times New Roman"/>
          <w:sz w:val="26"/>
          <w:szCs w:val="20"/>
          <w:lang w:eastAsia="hu-HU"/>
        </w:rPr>
      </w:pPr>
      <w:r w:rsidRPr="00815E8F">
        <w:rPr>
          <w:rFonts w:ascii="Times New Roman" w:eastAsia="Times New Roman" w:hAnsi="Times New Roman" w:cs="Times New Roman"/>
          <w:sz w:val="26"/>
          <w:szCs w:val="20"/>
          <w:lang w:eastAsia="hu-HU"/>
        </w:rPr>
        <w:t>A belföldi, az import és dohánytermékek utáni áfa bevétel egyaránt növekedett. A belföldi befizetések növekedése elsősorban a villamos</w:t>
      </w:r>
      <w:r w:rsidR="00B43A9F">
        <w:rPr>
          <w:rFonts w:ascii="Times New Roman" w:eastAsia="Times New Roman" w:hAnsi="Times New Roman" w:cs="Times New Roman"/>
          <w:sz w:val="26"/>
          <w:szCs w:val="20"/>
          <w:lang w:eastAsia="hu-HU"/>
        </w:rPr>
        <w:t xml:space="preserve"> </w:t>
      </w:r>
      <w:r w:rsidRPr="00815E8F">
        <w:rPr>
          <w:rFonts w:ascii="Times New Roman" w:eastAsia="Times New Roman" w:hAnsi="Times New Roman" w:cs="Times New Roman"/>
          <w:sz w:val="26"/>
          <w:szCs w:val="20"/>
          <w:lang w:eastAsia="hu-HU"/>
        </w:rPr>
        <w:t>energia-, gáz-, gőzellátás iparághoz</w:t>
      </w:r>
      <w:r w:rsidR="00B43A9F">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 kereskedelem, gépjárműjavítás továbbá a feldolgozóiparhoz köthető. Az import utáni befizetések növekedésének hátterében a forgalom bővülése áll. A dohánytermékek utáni bevételek előző évhez viszonyított alakulását a 2022. júliusi</w:t>
      </w:r>
      <w:r w:rsidR="00B43A9F">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 2023. januári jövedéki adómérték-emelésre adott piaci</w:t>
      </w:r>
      <w:r w:rsidR="00B43A9F">
        <w:rPr>
          <w:rFonts w:ascii="Times New Roman" w:eastAsia="Times New Roman" w:hAnsi="Times New Roman" w:cs="Times New Roman"/>
          <w:sz w:val="26"/>
          <w:szCs w:val="20"/>
          <w:lang w:eastAsia="hu-HU"/>
        </w:rPr>
        <w:t xml:space="preserve"> </w:t>
      </w:r>
      <w:r w:rsidRPr="00815E8F">
        <w:rPr>
          <w:rFonts w:ascii="Times New Roman" w:eastAsia="Times New Roman" w:hAnsi="Times New Roman" w:cs="Times New Roman"/>
          <w:sz w:val="26"/>
          <w:szCs w:val="20"/>
          <w:lang w:eastAsia="hu-HU"/>
        </w:rPr>
        <w:t>reakciók, a forgalomváltozás</w:t>
      </w:r>
      <w:r w:rsidR="00A54466">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 készletezés befolyásolja. A kiutalások növekedéséhez hozzájárult a köztes ágazatok magasabb befizetése.</w:t>
      </w:r>
    </w:p>
    <w:p w14:paraId="7B768AC6" w14:textId="429073A8" w:rsidR="00B155FE" w:rsidRPr="00B155FE" w:rsidRDefault="00681D20" w:rsidP="00B155FE">
      <w:pPr>
        <w:widowControl w:val="0"/>
        <w:spacing w:after="120" w:line="240" w:lineRule="auto"/>
        <w:jc w:val="center"/>
        <w:rPr>
          <w:rFonts w:ascii="Times New Roman" w:eastAsia="Times New Roman" w:hAnsi="Times New Roman" w:cs="Times New Roman"/>
          <w:sz w:val="26"/>
          <w:szCs w:val="20"/>
          <w:lang w:eastAsia="hu-HU"/>
        </w:rPr>
      </w:pPr>
      <w:r>
        <w:rPr>
          <w:noProof/>
          <w:lang w:eastAsia="hu-HU"/>
        </w:rPr>
        <w:drawing>
          <wp:inline distT="0" distB="0" distL="0" distR="0" wp14:anchorId="12B62271" wp14:editId="598E8D16">
            <wp:extent cx="5940427" cy="3899772"/>
            <wp:effectExtent l="0" t="0" r="3175" b="5715"/>
            <wp:docPr id="2098365369" name="picture" descr="Z:\Áht_gyors_moni\2023_08_aug\0_feljegyzés_monitoring\ábrák\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940427" cy="3899772"/>
                    </a:xfrm>
                    <a:prstGeom prst="rect">
                      <a:avLst/>
                    </a:prstGeom>
                  </pic:spPr>
                </pic:pic>
              </a:graphicData>
            </a:graphic>
          </wp:inline>
        </w:drawing>
      </w:r>
    </w:p>
    <w:p w14:paraId="0CF9F396" w14:textId="2406B0D9" w:rsidR="00815E8F" w:rsidRPr="00815E8F" w:rsidRDefault="00815E8F" w:rsidP="00815E8F">
      <w:pPr>
        <w:spacing w:before="120" w:after="120" w:line="240" w:lineRule="auto"/>
        <w:jc w:val="both"/>
        <w:rPr>
          <w:rFonts w:ascii="Times New Roman" w:eastAsia="Times New Roman" w:hAnsi="Times New Roman" w:cs="Times New Roman"/>
          <w:sz w:val="26"/>
          <w:szCs w:val="20"/>
          <w:highlight w:val="yellow"/>
          <w:lang w:eastAsia="hu-HU"/>
        </w:rPr>
      </w:pPr>
      <w:r w:rsidRPr="00815E8F">
        <w:rPr>
          <w:rFonts w:ascii="Times New Roman" w:eastAsia="Times New Roman" w:hAnsi="Times New Roman" w:cs="Times New Roman"/>
          <w:sz w:val="26"/>
          <w:szCs w:val="20"/>
          <w:lang w:eastAsia="hu-HU"/>
        </w:rPr>
        <w:t xml:space="preserve">A </w:t>
      </w:r>
      <w:r w:rsidRPr="00815E8F">
        <w:rPr>
          <w:rFonts w:ascii="Times New Roman" w:eastAsia="Times New Roman" w:hAnsi="Times New Roman" w:cs="Times New Roman"/>
          <w:b/>
          <w:sz w:val="26"/>
          <w:szCs w:val="20"/>
          <w:lang w:eastAsia="hu-HU"/>
        </w:rPr>
        <w:t>jövedéki adóból</w:t>
      </w:r>
      <w:r w:rsidRPr="00815E8F">
        <w:rPr>
          <w:rFonts w:ascii="Times New Roman" w:eastAsia="Times New Roman" w:hAnsi="Times New Roman" w:cs="Times New Roman"/>
          <w:sz w:val="26"/>
          <w:szCs w:val="20"/>
          <w:lang w:eastAsia="hu-HU"/>
        </w:rPr>
        <w:t xml:space="preserve"> származó bevétel az év első nyolc hónapjában 885,6</w:t>
      </w:r>
      <w:r w:rsidRPr="00815E8F">
        <w:rPr>
          <w:rFonts w:ascii="Times New Roman" w:eastAsia="Times New Roman" w:hAnsi="Times New Roman" w:cs="Times New Roman"/>
          <w:color w:val="000000"/>
          <w:sz w:val="26"/>
          <w:szCs w:val="20"/>
          <w:lang w:eastAsia="hu-HU"/>
        </w:rPr>
        <w:t> </w:t>
      </w:r>
      <w:r w:rsidRPr="00815E8F">
        <w:rPr>
          <w:rFonts w:ascii="Times New Roman" w:eastAsia="Times New Roman" w:hAnsi="Times New Roman" w:cs="Times New Roman"/>
          <w:sz w:val="26"/>
          <w:szCs w:val="20"/>
          <w:lang w:eastAsia="hu-HU"/>
        </w:rPr>
        <w:t>milliárd forintot tett ki, amely 70,2</w:t>
      </w:r>
      <w:r w:rsidRPr="00815E8F">
        <w:rPr>
          <w:rFonts w:ascii="Times New Roman" w:eastAsia="Times New Roman" w:hAnsi="Times New Roman" w:cs="Times New Roman"/>
          <w:color w:val="000000"/>
          <w:sz w:val="26"/>
          <w:szCs w:val="20"/>
          <w:lang w:eastAsia="hu-HU"/>
        </w:rPr>
        <w:t> </w:t>
      </w:r>
      <w:r w:rsidRPr="00815E8F">
        <w:rPr>
          <w:rFonts w:ascii="Times New Roman" w:eastAsia="Times New Roman" w:hAnsi="Times New Roman" w:cs="Times New Roman"/>
          <w:sz w:val="26"/>
          <w:szCs w:val="20"/>
          <w:lang w:eastAsia="hu-HU"/>
        </w:rPr>
        <w:t>milliárd forinttal magasabb az egy évvel korábbi bevételnél. Az üzemanyagok utáni bevételek alakulásának hátterében a bázisévi hatósági árral kapcsolatos rendelkezések</w:t>
      </w:r>
      <w:r w:rsidR="00715220">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a 2022 márciusától 2022. december 6-áig átmenetileg érvényben lévő csökkentett adómértékek</w:t>
      </w:r>
      <w:r w:rsidR="00715220">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az üzemanyag</w:t>
      </w:r>
      <w:r w:rsidR="00715220">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forgalom alakulásának együttes hatásai állnak. A dohánytermékek utáni bevételek növekedésének hátterében a 2022. júliusi és a 2023. januári adómérték-emelés</w:t>
      </w:r>
      <w:r w:rsidR="00A54466">
        <w:rPr>
          <w:rFonts w:ascii="Times New Roman" w:eastAsia="Times New Roman" w:hAnsi="Times New Roman" w:cs="Times New Roman"/>
          <w:sz w:val="26"/>
          <w:szCs w:val="20"/>
          <w:lang w:eastAsia="hu-HU"/>
        </w:rPr>
        <w:t>,</w:t>
      </w:r>
      <w:r w:rsidRPr="00815E8F">
        <w:rPr>
          <w:rFonts w:ascii="Times New Roman" w:eastAsia="Times New Roman" w:hAnsi="Times New Roman" w:cs="Times New Roman"/>
          <w:sz w:val="26"/>
          <w:szCs w:val="20"/>
          <w:lang w:eastAsia="hu-HU"/>
        </w:rPr>
        <w:t xml:space="preserve"> valamint az abból fakadó piaci reakciók, készletezési hatások állnak. A szeszesitalok és egyéb termékek esetében a bevételek növekedését a 2022. júliusi adóváltozások indokolják. Az energiaadó bevételek alakulása adónem-elszámoláshoz köthető.</w:t>
      </w:r>
    </w:p>
    <w:tbl>
      <w:tblPr>
        <w:tblW w:w="8752" w:type="dxa"/>
        <w:jc w:val="center"/>
        <w:tblCellMar>
          <w:left w:w="70" w:type="dxa"/>
          <w:right w:w="70" w:type="dxa"/>
        </w:tblCellMar>
        <w:tblLook w:val="04A0" w:firstRow="1" w:lastRow="0" w:firstColumn="1" w:lastColumn="0" w:noHBand="0" w:noVBand="1"/>
      </w:tblPr>
      <w:tblGrid>
        <w:gridCol w:w="3402"/>
        <w:gridCol w:w="1418"/>
        <w:gridCol w:w="1736"/>
        <w:gridCol w:w="1061"/>
        <w:gridCol w:w="1135"/>
      </w:tblGrid>
      <w:tr w:rsidR="00B155FE" w:rsidRPr="00B155FE" w14:paraId="7B768AC9" w14:textId="77777777" w:rsidTr="397FF86C">
        <w:trPr>
          <w:trHeight w:val="255"/>
          <w:jc w:val="center"/>
        </w:trPr>
        <w:tc>
          <w:tcPr>
            <w:tcW w:w="8752" w:type="dxa"/>
            <w:gridSpan w:val="5"/>
            <w:tcBorders>
              <w:top w:val="nil"/>
              <w:left w:val="nil"/>
              <w:bottom w:val="single" w:sz="4" w:space="0" w:color="auto"/>
              <w:right w:val="nil"/>
            </w:tcBorders>
            <w:shd w:val="clear" w:color="auto" w:fill="auto"/>
            <w:noWrap/>
            <w:vAlign w:val="bottom"/>
            <w:hideMark/>
          </w:tcPr>
          <w:p w14:paraId="7B768AC8" w14:textId="77777777" w:rsidR="00B155FE" w:rsidRPr="00B155FE" w:rsidRDefault="397FF86C" w:rsidP="397FF86C">
            <w:pPr>
              <w:spacing w:before="120" w:after="12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Jövedéki adó bevétel alakulása (milliárd forint)</w:t>
            </w:r>
          </w:p>
        </w:tc>
      </w:tr>
      <w:tr w:rsidR="00B155FE" w:rsidRPr="00B155FE" w14:paraId="7B768AD0" w14:textId="77777777" w:rsidTr="397FF86C">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CA"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Megnevezés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ACB"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2022.</w:t>
            </w:r>
          </w:p>
          <w:p w14:paraId="7B768ACC" w14:textId="73041CB1"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15220">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ACD"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2023.</w:t>
            </w:r>
          </w:p>
          <w:p w14:paraId="7B768ACE" w14:textId="7FCDB9D8"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15220">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CF"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Eltérés</w:t>
            </w:r>
          </w:p>
        </w:tc>
      </w:tr>
      <w:tr w:rsidR="00B155FE" w:rsidRPr="00B155FE" w14:paraId="7B768AD6" w14:textId="77777777" w:rsidTr="397FF86C">
        <w:trPr>
          <w:trHeight w:val="340"/>
          <w:jc w:val="center"/>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68AD1" w14:textId="77777777" w:rsidR="00B155FE" w:rsidRPr="00B155FE" w:rsidRDefault="00B155FE" w:rsidP="00B155FE">
            <w:pPr>
              <w:spacing w:after="0" w:line="240" w:lineRule="auto"/>
              <w:rPr>
                <w:rFonts w:ascii="Times New Roman" w:eastAsia="Times New Roman" w:hAnsi="Times New Roman" w:cs="Times New Roman"/>
                <w:b/>
                <w:bCs/>
                <w:lang w:eastAsia="hu-HU"/>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68AD2" w14:textId="77777777" w:rsidR="00B155FE" w:rsidRPr="00B155FE" w:rsidRDefault="00B155FE" w:rsidP="00B155FE">
            <w:pPr>
              <w:spacing w:after="0" w:line="240" w:lineRule="auto"/>
              <w:jc w:val="center"/>
              <w:rPr>
                <w:rFonts w:ascii="Times New Roman" w:eastAsia="Times New Roman" w:hAnsi="Times New Roman" w:cs="Times New Roman"/>
                <w:b/>
                <w:bCs/>
                <w:lang w:eastAsia="hu-HU"/>
              </w:rPr>
            </w:pP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68AD3" w14:textId="77777777" w:rsidR="00B155FE" w:rsidRPr="00B155FE" w:rsidRDefault="00B155FE" w:rsidP="00B155FE">
            <w:pPr>
              <w:spacing w:after="0" w:line="240" w:lineRule="auto"/>
              <w:jc w:val="center"/>
              <w:rPr>
                <w:rFonts w:ascii="Times New Roman" w:eastAsia="Times New Roman" w:hAnsi="Times New Roman" w:cs="Times New Roman"/>
                <w:b/>
                <w:bCs/>
                <w:lang w:eastAsia="hu-HU"/>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D4"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Mrd Ft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D5" w14:textId="77777777" w:rsidR="00B155FE" w:rsidRPr="00B155FE"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w:t>
            </w:r>
          </w:p>
        </w:tc>
      </w:tr>
      <w:tr w:rsidR="00B155FE" w:rsidRPr="00B155FE" w14:paraId="7B768ADC" w14:textId="77777777" w:rsidTr="397FF86C">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D7" w14:textId="77777777" w:rsidR="00B155FE" w:rsidRPr="00B155FE"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Üzemanyag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8" w14:textId="2C481986"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425,7</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9" w14:textId="1F3C1B9E"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453,5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A" w14:textId="44BF7239"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27,8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B" w14:textId="45B884FF"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106,5</w:t>
            </w:r>
          </w:p>
        </w:tc>
      </w:tr>
      <w:tr w:rsidR="00B155FE" w:rsidRPr="00B155FE" w14:paraId="7B768AE2" w14:textId="77777777" w:rsidTr="397FF86C">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DD" w14:textId="77777777" w:rsidR="00B155FE" w:rsidRPr="00B155FE"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Dohánygyártmány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E" w14:textId="65080730"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302,0</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DF" w14:textId="6B68F7A7"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334,4</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0" w14:textId="7F8DCFF7"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32,4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1" w14:textId="52D31063"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110,7</w:t>
            </w:r>
          </w:p>
        </w:tc>
      </w:tr>
      <w:tr w:rsidR="00B155FE" w:rsidRPr="00B155FE" w14:paraId="7B768AE8" w14:textId="77777777" w:rsidTr="397FF86C">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E3" w14:textId="77777777" w:rsidR="00B155FE" w:rsidRPr="00B155FE"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Egyéb termék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4" w14:textId="0008B0A8"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73,1</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5" w14:textId="382ECAA0"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85,1</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6" w14:textId="7E704012"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12,0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7" w14:textId="0628996F"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116,4</w:t>
            </w:r>
          </w:p>
        </w:tc>
      </w:tr>
      <w:tr w:rsidR="00B155FE" w:rsidRPr="00B155FE" w14:paraId="7B768AEE" w14:textId="77777777" w:rsidTr="397FF86C">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E9" w14:textId="77777777" w:rsidR="00B155FE" w:rsidRPr="00B155FE" w:rsidRDefault="397FF86C" w:rsidP="397FF86C">
            <w:pPr>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Import jövedéki adó és energiaadó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A" w14:textId="686DC5F1"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14,6</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B" w14:textId="4D1C3265"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12,6</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C" w14:textId="3356F0CB"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-2,0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ED" w14:textId="5E92E747" w:rsidR="00B155FE" w:rsidRPr="008C22A1" w:rsidRDefault="00785DD9" w:rsidP="397FF86C">
            <w:pPr>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86,3</w:t>
            </w:r>
          </w:p>
        </w:tc>
      </w:tr>
      <w:tr w:rsidR="00B155FE" w:rsidRPr="00B155FE" w14:paraId="7B768AF4" w14:textId="77777777" w:rsidTr="397FF86C">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AEF" w14:textId="77777777" w:rsidR="00B155FE" w:rsidRPr="00B155FE" w:rsidRDefault="397FF86C" w:rsidP="397FF86C">
            <w:pPr>
              <w:spacing w:after="0" w:line="240" w:lineRule="auto"/>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Jövedéki adók összesen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F0" w14:textId="3DEFF042" w:rsidR="00B155FE" w:rsidRPr="008C22A1" w:rsidRDefault="00785DD9" w:rsidP="397FF86C">
            <w:pPr>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815,4</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F1" w14:textId="249244D2" w:rsidR="00B155FE" w:rsidRPr="008C22A1" w:rsidRDefault="00785DD9" w:rsidP="397FF86C">
            <w:pPr>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885,6</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F2" w14:textId="79EAB99E" w:rsidR="00B155FE" w:rsidRPr="008C22A1" w:rsidRDefault="00785DD9" w:rsidP="397FF86C">
            <w:pPr>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70,2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68AF3" w14:textId="75105396" w:rsidR="00B155FE" w:rsidRPr="008C22A1" w:rsidRDefault="00785DD9" w:rsidP="397FF86C">
            <w:pPr>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108,6</w:t>
            </w:r>
          </w:p>
        </w:tc>
      </w:tr>
    </w:tbl>
    <w:p w14:paraId="7B768AF5" w14:textId="77777777" w:rsidR="00B155FE" w:rsidRPr="00B155FE" w:rsidRDefault="00B155FE" w:rsidP="00DA30F4">
      <w:pPr>
        <w:spacing w:after="120" w:line="240" w:lineRule="auto"/>
        <w:jc w:val="both"/>
        <w:rPr>
          <w:rFonts w:ascii="Times New Roman" w:eastAsia="Times New Roman" w:hAnsi="Times New Roman" w:cs="Times New Roman"/>
          <w:sz w:val="26"/>
          <w:szCs w:val="26"/>
          <w:lang w:eastAsia="hu-HU"/>
        </w:rPr>
      </w:pPr>
    </w:p>
    <w:p w14:paraId="37B26438" w14:textId="77777777" w:rsidR="00815E8F" w:rsidRPr="00815E8F" w:rsidRDefault="00815E8F" w:rsidP="00815E8F">
      <w:pPr>
        <w:spacing w:after="120" w:line="240" w:lineRule="auto"/>
        <w:jc w:val="both"/>
        <w:rPr>
          <w:rFonts w:ascii="Times New Roman" w:eastAsia="Times New Roman" w:hAnsi="Times New Roman" w:cs="Times New Roman"/>
          <w:color w:val="000000"/>
          <w:sz w:val="26"/>
          <w:szCs w:val="20"/>
          <w:lang w:eastAsia="hu-HU"/>
        </w:rPr>
      </w:pPr>
      <w:r w:rsidRPr="00815E8F">
        <w:rPr>
          <w:rFonts w:ascii="Times New Roman" w:eastAsia="Times New Roman" w:hAnsi="Times New Roman" w:cs="Times New Roman"/>
          <w:color w:val="000000"/>
          <w:sz w:val="26"/>
          <w:szCs w:val="20"/>
          <w:lang w:eastAsia="hu-HU"/>
        </w:rPr>
        <w:t xml:space="preserve">A </w:t>
      </w:r>
      <w:r w:rsidRPr="00815E8F">
        <w:rPr>
          <w:rFonts w:ascii="Times New Roman" w:eastAsia="Times New Roman" w:hAnsi="Times New Roman" w:cs="Times New Roman"/>
          <w:b/>
          <w:bCs/>
          <w:color w:val="000000"/>
          <w:sz w:val="26"/>
          <w:szCs w:val="20"/>
          <w:lang w:eastAsia="hu-HU"/>
        </w:rPr>
        <w:t>személyi jövedelemadó</w:t>
      </w:r>
      <w:r w:rsidRPr="00815E8F">
        <w:rPr>
          <w:rFonts w:ascii="Times New Roman" w:eastAsia="Times New Roman" w:hAnsi="Times New Roman" w:cs="Times New Roman"/>
          <w:color w:val="000000"/>
          <w:sz w:val="26"/>
          <w:szCs w:val="20"/>
          <w:lang w:eastAsia="hu-HU"/>
        </w:rPr>
        <w:t xml:space="preserve"> államháztartási szintű bevétele az év első nyolc hónapjában 2 629,8</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color w:val="000000"/>
          <w:sz w:val="26"/>
          <w:szCs w:val="20"/>
          <w:lang w:eastAsia="hu-HU"/>
        </w:rPr>
        <w:t>milliárd forint volt, amely 1 009,8</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color w:val="000000"/>
          <w:sz w:val="26"/>
          <w:szCs w:val="20"/>
          <w:lang w:eastAsia="hu-HU"/>
        </w:rPr>
        <w:t>milliárd forinttal magasabb az egy évvel korábbi összegnél. Ennek oka a bértömeg növekedése és a családi visszatérítés miatti alacsony bázis.</w:t>
      </w:r>
    </w:p>
    <w:p w14:paraId="7B768AF9" w14:textId="77777777" w:rsidR="00B155FE" w:rsidRPr="00136087" w:rsidRDefault="397FF86C" w:rsidP="397FF86C">
      <w:pPr>
        <w:keepNext/>
        <w:keepLines/>
        <w:spacing w:before="120" w:after="12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Személyi jövedelemadó bevétel alakulása (kerekítve, milliárd forint)</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1506"/>
        <w:gridCol w:w="1368"/>
        <w:gridCol w:w="882"/>
      </w:tblGrid>
      <w:tr w:rsidR="00675784" w:rsidRPr="00136087" w14:paraId="7B768B00" w14:textId="77777777" w:rsidTr="001F7BB0">
        <w:trPr>
          <w:trHeight w:val="283"/>
          <w:jc w:val="center"/>
        </w:trPr>
        <w:tc>
          <w:tcPr>
            <w:tcW w:w="1484" w:type="dxa"/>
            <w:shd w:val="clear" w:color="auto" w:fill="auto"/>
            <w:noWrap/>
            <w:vAlign w:val="center"/>
            <w:hideMark/>
          </w:tcPr>
          <w:p w14:paraId="7B768AFA" w14:textId="77777777" w:rsidR="00B155FE" w:rsidRPr="00136087" w:rsidRDefault="397FF86C" w:rsidP="397FF86C">
            <w:pPr>
              <w:keepNext/>
              <w:keepLines/>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Megnevezés</w:t>
            </w:r>
          </w:p>
        </w:tc>
        <w:tc>
          <w:tcPr>
            <w:tcW w:w="1506" w:type="dxa"/>
            <w:shd w:val="clear" w:color="auto" w:fill="auto"/>
            <w:vAlign w:val="center"/>
            <w:hideMark/>
          </w:tcPr>
          <w:p w14:paraId="7B768AFB" w14:textId="77777777" w:rsidR="00B155FE" w:rsidRPr="00136087"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2022.</w:t>
            </w:r>
          </w:p>
          <w:p w14:paraId="7B768AFC" w14:textId="29607822" w:rsidR="00B155FE" w:rsidRPr="00136087" w:rsidRDefault="397FF86C" w:rsidP="397FF86C">
            <w:pPr>
              <w:keepNext/>
              <w:keepLines/>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85DD9">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1368" w:type="dxa"/>
            <w:shd w:val="clear" w:color="auto" w:fill="auto"/>
            <w:vAlign w:val="center"/>
            <w:hideMark/>
          </w:tcPr>
          <w:p w14:paraId="7B768AFD" w14:textId="77777777" w:rsidR="00B155FE" w:rsidRPr="00136087" w:rsidRDefault="397FF86C" w:rsidP="397FF86C">
            <w:pPr>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2023.</w:t>
            </w:r>
          </w:p>
          <w:p w14:paraId="7B768AFE" w14:textId="74ED88C4" w:rsidR="00B155FE" w:rsidRPr="00136087" w:rsidRDefault="397FF86C" w:rsidP="397FF86C">
            <w:pPr>
              <w:keepNext/>
              <w:keepLines/>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I-VII</w:t>
            </w:r>
            <w:r w:rsidR="00785DD9">
              <w:rPr>
                <w:rFonts w:ascii="Times New Roman" w:eastAsia="Times New Roman" w:hAnsi="Times New Roman" w:cs="Times New Roman"/>
                <w:b/>
                <w:bCs/>
                <w:lang w:eastAsia="hu-HU"/>
              </w:rPr>
              <w:t>I</w:t>
            </w:r>
            <w:r w:rsidRPr="397FF86C">
              <w:rPr>
                <w:rFonts w:ascii="Times New Roman" w:eastAsia="Times New Roman" w:hAnsi="Times New Roman" w:cs="Times New Roman"/>
                <w:b/>
                <w:bCs/>
                <w:lang w:eastAsia="hu-HU"/>
              </w:rPr>
              <w:t>. hó</w:t>
            </w:r>
          </w:p>
        </w:tc>
        <w:tc>
          <w:tcPr>
            <w:tcW w:w="882" w:type="dxa"/>
            <w:shd w:val="clear" w:color="auto" w:fill="auto"/>
            <w:vAlign w:val="center"/>
            <w:hideMark/>
          </w:tcPr>
          <w:p w14:paraId="7B768AFF" w14:textId="77777777" w:rsidR="00B155FE" w:rsidRPr="00136087" w:rsidRDefault="397FF86C" w:rsidP="397FF86C">
            <w:pPr>
              <w:keepNext/>
              <w:keepLines/>
              <w:spacing w:after="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Eltérés</w:t>
            </w:r>
          </w:p>
        </w:tc>
      </w:tr>
      <w:tr w:rsidR="00675784" w:rsidRPr="00136087" w14:paraId="7B768B05" w14:textId="77777777" w:rsidTr="001F7BB0">
        <w:trPr>
          <w:trHeight w:val="283"/>
          <w:jc w:val="center"/>
        </w:trPr>
        <w:tc>
          <w:tcPr>
            <w:tcW w:w="1484" w:type="dxa"/>
            <w:shd w:val="clear" w:color="auto" w:fill="auto"/>
            <w:noWrap/>
            <w:vAlign w:val="center"/>
            <w:hideMark/>
          </w:tcPr>
          <w:p w14:paraId="7B768B01" w14:textId="77777777" w:rsidR="00B155FE" w:rsidRPr="00136087" w:rsidRDefault="397FF86C" w:rsidP="397FF86C">
            <w:pPr>
              <w:keepNext/>
              <w:keepLines/>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Befizetés</w:t>
            </w:r>
          </w:p>
        </w:tc>
        <w:tc>
          <w:tcPr>
            <w:tcW w:w="1506" w:type="dxa"/>
            <w:shd w:val="clear" w:color="auto" w:fill="auto"/>
            <w:noWrap/>
            <w:vAlign w:val="center"/>
          </w:tcPr>
          <w:p w14:paraId="7B768B02" w14:textId="10C4395A" w:rsidR="00B155FE" w:rsidRPr="0069214F" w:rsidRDefault="397FF86C" w:rsidP="00785DD9">
            <w:pPr>
              <w:keepNext/>
              <w:keepLines/>
              <w:spacing w:after="0" w:line="240" w:lineRule="auto"/>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2</w:t>
            </w:r>
            <w:r w:rsidR="00785DD9">
              <w:rPr>
                <w:rFonts w:ascii="Times New Roman" w:eastAsia="Times New Roman" w:hAnsi="Times New Roman" w:cs="Times New Roman"/>
                <w:lang w:eastAsia="hu-HU"/>
              </w:rPr>
              <w:t> 668,8</w:t>
            </w:r>
          </w:p>
        </w:tc>
        <w:tc>
          <w:tcPr>
            <w:tcW w:w="1368" w:type="dxa"/>
            <w:shd w:val="clear" w:color="auto" w:fill="auto"/>
            <w:noWrap/>
            <w:vAlign w:val="center"/>
          </w:tcPr>
          <w:p w14:paraId="7B768B03" w14:textId="2458C069" w:rsidR="00B155FE" w:rsidRPr="008C22A1" w:rsidRDefault="00507BC3" w:rsidP="397FF86C">
            <w:pPr>
              <w:keepNext/>
              <w:keepLines/>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2 826,6</w:t>
            </w:r>
          </w:p>
        </w:tc>
        <w:tc>
          <w:tcPr>
            <w:tcW w:w="882" w:type="dxa"/>
            <w:shd w:val="clear" w:color="auto" w:fill="auto"/>
            <w:noWrap/>
            <w:vAlign w:val="center"/>
          </w:tcPr>
          <w:p w14:paraId="7B768B04" w14:textId="2FCB9D3F" w:rsidR="00B155FE" w:rsidRPr="008C22A1" w:rsidRDefault="00507BC3" w:rsidP="397FF86C">
            <w:pPr>
              <w:keepNext/>
              <w:keepLines/>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157,8</w:t>
            </w:r>
          </w:p>
        </w:tc>
      </w:tr>
      <w:tr w:rsidR="00136087" w:rsidRPr="00136087" w14:paraId="7B768B0A" w14:textId="77777777" w:rsidTr="001F7BB0">
        <w:trPr>
          <w:trHeight w:val="283"/>
          <w:jc w:val="center"/>
        </w:trPr>
        <w:tc>
          <w:tcPr>
            <w:tcW w:w="1484" w:type="dxa"/>
            <w:shd w:val="clear" w:color="auto" w:fill="auto"/>
            <w:noWrap/>
            <w:vAlign w:val="center"/>
            <w:hideMark/>
          </w:tcPr>
          <w:p w14:paraId="7B768B06" w14:textId="77777777" w:rsidR="00B155FE" w:rsidRPr="00136087" w:rsidRDefault="397FF86C" w:rsidP="397FF86C">
            <w:pPr>
              <w:keepNext/>
              <w:keepLines/>
              <w:spacing w:after="0" w:line="240" w:lineRule="auto"/>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Kiutalás</w:t>
            </w:r>
          </w:p>
        </w:tc>
        <w:tc>
          <w:tcPr>
            <w:tcW w:w="1506" w:type="dxa"/>
            <w:shd w:val="clear" w:color="auto" w:fill="auto"/>
            <w:noWrap/>
            <w:vAlign w:val="center"/>
          </w:tcPr>
          <w:p w14:paraId="7B768B07" w14:textId="0FE2C69E" w:rsidR="00B155FE" w:rsidRPr="0069214F" w:rsidRDefault="397FF86C" w:rsidP="00785DD9">
            <w:pPr>
              <w:keepNext/>
              <w:keepLines/>
              <w:spacing w:after="0" w:line="240" w:lineRule="auto"/>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w:t>
            </w:r>
            <w:r w:rsidR="00785DD9">
              <w:rPr>
                <w:rFonts w:ascii="Times New Roman" w:eastAsia="Times New Roman" w:hAnsi="Times New Roman" w:cs="Times New Roman"/>
                <w:lang w:eastAsia="hu-HU"/>
              </w:rPr>
              <w:t> 048,8</w:t>
            </w:r>
          </w:p>
        </w:tc>
        <w:tc>
          <w:tcPr>
            <w:tcW w:w="1368" w:type="dxa"/>
            <w:shd w:val="clear" w:color="auto" w:fill="auto"/>
            <w:noWrap/>
            <w:vAlign w:val="center"/>
          </w:tcPr>
          <w:p w14:paraId="7B768B08" w14:textId="7ECBBCA0" w:rsidR="00B155FE" w:rsidRPr="008C22A1" w:rsidRDefault="00507BC3" w:rsidP="397FF86C">
            <w:pPr>
              <w:keepNext/>
              <w:keepLines/>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196,8</w:t>
            </w:r>
          </w:p>
        </w:tc>
        <w:tc>
          <w:tcPr>
            <w:tcW w:w="882" w:type="dxa"/>
            <w:shd w:val="clear" w:color="auto" w:fill="auto"/>
            <w:noWrap/>
            <w:vAlign w:val="center"/>
          </w:tcPr>
          <w:p w14:paraId="7B768B09" w14:textId="3DD9BA2F" w:rsidR="00B155FE" w:rsidRPr="008C22A1" w:rsidRDefault="397FF86C" w:rsidP="00507BC3">
            <w:pPr>
              <w:keepNext/>
              <w:keepLines/>
              <w:spacing w:after="0" w:line="240" w:lineRule="auto"/>
              <w:jc w:val="right"/>
              <w:rPr>
                <w:rFonts w:ascii="Times New Roman" w:eastAsia="Times New Roman" w:hAnsi="Times New Roman" w:cs="Times New Roman"/>
                <w:lang w:eastAsia="hu-HU"/>
              </w:rPr>
            </w:pPr>
            <w:r w:rsidRPr="008C22A1">
              <w:rPr>
                <w:rFonts w:ascii="Times New Roman" w:eastAsia="Times New Roman" w:hAnsi="Times New Roman" w:cs="Times New Roman"/>
                <w:lang w:eastAsia="hu-HU"/>
              </w:rPr>
              <w:t>-852,</w:t>
            </w:r>
            <w:r w:rsidR="00507BC3" w:rsidRPr="008C22A1">
              <w:rPr>
                <w:rFonts w:ascii="Times New Roman" w:eastAsia="Times New Roman" w:hAnsi="Times New Roman" w:cs="Times New Roman"/>
                <w:lang w:eastAsia="hu-HU"/>
              </w:rPr>
              <w:t>0</w:t>
            </w:r>
          </w:p>
        </w:tc>
      </w:tr>
      <w:tr w:rsidR="00675784" w:rsidRPr="00136087" w14:paraId="7B768B0F" w14:textId="77777777" w:rsidTr="001F7BB0">
        <w:trPr>
          <w:trHeight w:val="283"/>
          <w:jc w:val="center"/>
        </w:trPr>
        <w:tc>
          <w:tcPr>
            <w:tcW w:w="1484" w:type="dxa"/>
            <w:shd w:val="clear" w:color="auto" w:fill="auto"/>
            <w:noWrap/>
            <w:vAlign w:val="center"/>
            <w:hideMark/>
          </w:tcPr>
          <w:p w14:paraId="7B768B0B" w14:textId="77777777" w:rsidR="00B155FE" w:rsidRPr="00136087" w:rsidRDefault="397FF86C" w:rsidP="397FF86C">
            <w:pPr>
              <w:widowControl w:val="0"/>
              <w:spacing w:after="0" w:line="240" w:lineRule="auto"/>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Egyenleg</w:t>
            </w:r>
          </w:p>
        </w:tc>
        <w:tc>
          <w:tcPr>
            <w:tcW w:w="1506" w:type="dxa"/>
            <w:shd w:val="clear" w:color="auto" w:fill="auto"/>
            <w:noWrap/>
            <w:vAlign w:val="center"/>
          </w:tcPr>
          <w:p w14:paraId="7B768B0C" w14:textId="3ABF2A56" w:rsidR="00B155FE" w:rsidRPr="00136087" w:rsidRDefault="397FF86C" w:rsidP="00785DD9">
            <w:pPr>
              <w:widowControl w:val="0"/>
              <w:spacing w:after="0" w:line="240" w:lineRule="auto"/>
              <w:jc w:val="right"/>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1</w:t>
            </w:r>
            <w:r w:rsidR="00785DD9">
              <w:rPr>
                <w:rFonts w:ascii="Times New Roman" w:eastAsia="Times New Roman" w:hAnsi="Times New Roman" w:cs="Times New Roman"/>
                <w:b/>
                <w:bCs/>
                <w:lang w:eastAsia="hu-HU"/>
              </w:rPr>
              <w:t> 620,0</w:t>
            </w:r>
          </w:p>
        </w:tc>
        <w:tc>
          <w:tcPr>
            <w:tcW w:w="1368" w:type="dxa"/>
            <w:shd w:val="clear" w:color="auto" w:fill="auto"/>
            <w:noWrap/>
            <w:vAlign w:val="center"/>
          </w:tcPr>
          <w:p w14:paraId="7B768B0D" w14:textId="47AF4684" w:rsidR="00B155FE" w:rsidRPr="008C22A1" w:rsidRDefault="001F7BB0" w:rsidP="397FF86C">
            <w:pPr>
              <w:widowControl w:val="0"/>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2 629,8</w:t>
            </w:r>
          </w:p>
        </w:tc>
        <w:tc>
          <w:tcPr>
            <w:tcW w:w="882" w:type="dxa"/>
            <w:shd w:val="clear" w:color="auto" w:fill="auto"/>
            <w:noWrap/>
            <w:vAlign w:val="center"/>
          </w:tcPr>
          <w:p w14:paraId="7B768B0E" w14:textId="6458FC58" w:rsidR="00B155FE" w:rsidRPr="008C22A1" w:rsidRDefault="001F7BB0" w:rsidP="397FF86C">
            <w:pPr>
              <w:widowControl w:val="0"/>
              <w:spacing w:after="0" w:line="240" w:lineRule="auto"/>
              <w:jc w:val="right"/>
              <w:rPr>
                <w:rFonts w:ascii="Times New Roman" w:eastAsia="Times New Roman" w:hAnsi="Times New Roman" w:cs="Times New Roman"/>
                <w:b/>
                <w:bCs/>
                <w:lang w:eastAsia="hu-HU"/>
              </w:rPr>
            </w:pPr>
            <w:r w:rsidRPr="008C22A1">
              <w:rPr>
                <w:rFonts w:ascii="Times New Roman" w:eastAsia="Times New Roman" w:hAnsi="Times New Roman" w:cs="Times New Roman"/>
                <w:b/>
                <w:bCs/>
                <w:lang w:eastAsia="hu-HU"/>
              </w:rPr>
              <w:t>1 009,8</w:t>
            </w:r>
          </w:p>
        </w:tc>
      </w:tr>
    </w:tbl>
    <w:p w14:paraId="7B768B10" w14:textId="77777777" w:rsidR="00B155FE" w:rsidRPr="00136087" w:rsidRDefault="00B155FE" w:rsidP="002B7C36">
      <w:pPr>
        <w:tabs>
          <w:tab w:val="left" w:pos="5550"/>
        </w:tabs>
        <w:spacing w:after="120" w:line="240" w:lineRule="auto"/>
        <w:jc w:val="both"/>
        <w:rPr>
          <w:rFonts w:ascii="Times New Roman" w:eastAsia="Times New Roman" w:hAnsi="Times New Roman" w:cs="Times New Roman"/>
          <w:sz w:val="26"/>
          <w:szCs w:val="20"/>
          <w:lang w:eastAsia="hu-HU"/>
        </w:rPr>
      </w:pPr>
    </w:p>
    <w:p w14:paraId="7B768B11" w14:textId="14F1E32A" w:rsidR="00B155FE" w:rsidRPr="00B155FE" w:rsidRDefault="397FF86C" w:rsidP="397FF86C">
      <w:pPr>
        <w:tabs>
          <w:tab w:val="left" w:pos="5550"/>
        </w:tabs>
        <w:spacing w:before="12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Központi Maradványelszámolási Alap</w:t>
      </w:r>
      <w:r w:rsidRPr="397FF86C">
        <w:rPr>
          <w:rFonts w:ascii="Times New Roman" w:eastAsia="Times New Roman" w:hAnsi="Times New Roman" w:cs="Times New Roman"/>
          <w:sz w:val="26"/>
          <w:szCs w:val="26"/>
          <w:lang w:eastAsia="hu-HU"/>
        </w:rPr>
        <w:t>ba történő befizetések mérlegsorra az év első nyolc hónapjában 98,7 milliárd forint maradvány került befizetésre, szemben az előző év azonos időszakában befolyt 119,</w:t>
      </w:r>
      <w:r w:rsidR="00CF0DB6">
        <w:rPr>
          <w:rFonts w:ascii="Times New Roman" w:eastAsia="Times New Roman" w:hAnsi="Times New Roman" w:cs="Times New Roman"/>
          <w:sz w:val="26"/>
          <w:szCs w:val="26"/>
          <w:lang w:eastAsia="hu-HU"/>
        </w:rPr>
        <w:t>3</w:t>
      </w:r>
      <w:r w:rsidRPr="397FF86C">
        <w:rPr>
          <w:rFonts w:ascii="Times New Roman" w:eastAsia="Times New Roman" w:hAnsi="Times New Roman" w:cs="Times New Roman"/>
          <w:sz w:val="26"/>
          <w:szCs w:val="26"/>
          <w:lang w:eastAsia="hu-HU"/>
        </w:rPr>
        <w:t> milliárd forintos összeggel.</w:t>
      </w:r>
    </w:p>
    <w:p w14:paraId="7B768B12" w14:textId="591FD2EF" w:rsidR="00B155FE" w:rsidRPr="00B155FE"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Megtakarítási Alap</w:t>
      </w:r>
      <w:r w:rsidRPr="397FF86C">
        <w:rPr>
          <w:rFonts w:ascii="Times New Roman" w:eastAsia="Times New Roman" w:hAnsi="Times New Roman" w:cs="Times New Roman"/>
          <w:sz w:val="26"/>
          <w:szCs w:val="26"/>
          <w:lang w:eastAsia="hu-HU"/>
        </w:rPr>
        <w:t xml:space="preserve">ba történő befizetések mérlegsorra augusztus végéig 246,1 milliárd forint maradvány került befizetésre, ez az összeg a 2022. év első </w:t>
      </w:r>
      <w:r w:rsidR="00362276">
        <w:rPr>
          <w:rFonts w:ascii="Times New Roman" w:eastAsia="Times New Roman" w:hAnsi="Times New Roman" w:cs="Times New Roman"/>
          <w:sz w:val="26"/>
          <w:szCs w:val="26"/>
          <w:lang w:eastAsia="hu-HU"/>
        </w:rPr>
        <w:t>nyolc</w:t>
      </w:r>
      <w:r w:rsidRPr="397FF86C">
        <w:rPr>
          <w:rFonts w:ascii="Times New Roman" w:eastAsia="Times New Roman" w:hAnsi="Times New Roman" w:cs="Times New Roman"/>
          <w:sz w:val="26"/>
          <w:szCs w:val="26"/>
          <w:lang w:eastAsia="hu-HU"/>
        </w:rPr>
        <w:t xml:space="preserve"> hónapjában 746,4 milliárd forint volt. </w:t>
      </w:r>
    </w:p>
    <w:p w14:paraId="6FA09DCF" w14:textId="28DD2B78" w:rsidR="0097329F"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Az </w:t>
      </w:r>
      <w:r w:rsidRPr="397FF86C">
        <w:rPr>
          <w:rFonts w:ascii="Times New Roman" w:eastAsia="Times New Roman" w:hAnsi="Times New Roman" w:cs="Times New Roman"/>
          <w:b/>
          <w:bCs/>
          <w:sz w:val="26"/>
          <w:szCs w:val="26"/>
          <w:lang w:eastAsia="hu-HU"/>
        </w:rPr>
        <w:t>állami vagyonnal kapcsolatos befizetések</w:t>
      </w:r>
      <w:r w:rsidRPr="397FF86C">
        <w:rPr>
          <w:rFonts w:ascii="Times New Roman" w:eastAsia="Times New Roman" w:hAnsi="Times New Roman" w:cs="Times New Roman"/>
          <w:sz w:val="26"/>
          <w:szCs w:val="26"/>
          <w:lang w:eastAsia="hu-HU"/>
        </w:rPr>
        <w:t xml:space="preserve"> 2023 első </w:t>
      </w:r>
      <w:r w:rsidR="001F7BB0">
        <w:rPr>
          <w:rFonts w:ascii="Times New Roman" w:eastAsia="Times New Roman" w:hAnsi="Times New Roman" w:cs="Times New Roman"/>
          <w:sz w:val="26"/>
          <w:szCs w:val="26"/>
          <w:lang w:eastAsia="hu-HU"/>
        </w:rPr>
        <w:t>nyolc</w:t>
      </w:r>
      <w:r w:rsidRPr="397FF86C">
        <w:rPr>
          <w:rFonts w:ascii="Times New Roman" w:eastAsia="Times New Roman" w:hAnsi="Times New Roman" w:cs="Times New Roman"/>
          <w:sz w:val="26"/>
          <w:szCs w:val="26"/>
          <w:lang w:eastAsia="hu-HU"/>
        </w:rPr>
        <w:t xml:space="preserve"> hónapjában 3</w:t>
      </w:r>
      <w:r w:rsidR="001F7BB0">
        <w:rPr>
          <w:rFonts w:ascii="Times New Roman" w:eastAsia="Times New Roman" w:hAnsi="Times New Roman" w:cs="Times New Roman"/>
          <w:sz w:val="26"/>
          <w:szCs w:val="26"/>
          <w:lang w:eastAsia="hu-HU"/>
        </w:rPr>
        <w:t xml:space="preserve">78,4 </w:t>
      </w:r>
      <w:r w:rsidRPr="397FF86C">
        <w:rPr>
          <w:rFonts w:ascii="Times New Roman" w:eastAsia="Times New Roman" w:hAnsi="Times New Roman" w:cs="Times New Roman"/>
          <w:sz w:val="26"/>
          <w:szCs w:val="26"/>
          <w:lang w:eastAsia="hu-HU"/>
        </w:rPr>
        <w:t>milliárd forintot tettek ki, melynek meghatározó tételeit az osztalékbevételek, a kvótaértékesítés és a beruházások kapcsán elszámolt bevételek jelentették. A befizetések összetételét a következő diagram szemlélteti:</w:t>
      </w:r>
    </w:p>
    <w:p w14:paraId="7B768B14" w14:textId="0AE40133" w:rsidR="00B155FE" w:rsidRPr="00B155FE" w:rsidRDefault="009704FA" w:rsidP="0097329F">
      <w:pPr>
        <w:spacing w:after="120" w:line="240" w:lineRule="auto"/>
        <w:jc w:val="both"/>
        <w:rPr>
          <w:rFonts w:ascii="Times New Roman" w:eastAsia="Times New Roman" w:hAnsi="Times New Roman" w:cs="Times New Roman"/>
          <w:color w:val="000000"/>
          <w:sz w:val="26"/>
          <w:szCs w:val="20"/>
          <w:lang w:eastAsia="hu-HU"/>
        </w:rPr>
      </w:pPr>
      <w:r w:rsidRPr="009704FA">
        <w:rPr>
          <w:rFonts w:ascii="Times New Roman" w:eastAsia="Times New Roman" w:hAnsi="Times New Roman" w:cs="Times New Roman"/>
          <w:noProof/>
          <w:color w:val="000000"/>
          <w:sz w:val="26"/>
          <w:szCs w:val="20"/>
          <w:lang w:eastAsia="hu-HU"/>
        </w:rPr>
        <w:drawing>
          <wp:inline distT="0" distB="0" distL="0" distR="0" wp14:anchorId="680EC9AE" wp14:editId="5D31AD5B">
            <wp:extent cx="5940425" cy="3690620"/>
            <wp:effectExtent l="0" t="0" r="3175" b="508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690620"/>
                    </a:xfrm>
                    <a:prstGeom prst="rect">
                      <a:avLst/>
                    </a:prstGeom>
                  </pic:spPr>
                </pic:pic>
              </a:graphicData>
            </a:graphic>
          </wp:inline>
        </w:drawing>
      </w:r>
    </w:p>
    <w:p w14:paraId="7B768B15" w14:textId="62FFE12A" w:rsidR="00B155FE" w:rsidRPr="00B155FE" w:rsidRDefault="397FF86C" w:rsidP="397FF86C">
      <w:pPr>
        <w:spacing w:line="22" w:lineRule="atLeast"/>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Az </w:t>
      </w:r>
      <w:r w:rsidRPr="397FF86C">
        <w:rPr>
          <w:rFonts w:ascii="Times New Roman" w:eastAsia="Times New Roman" w:hAnsi="Times New Roman" w:cs="Times New Roman"/>
          <w:b/>
          <w:bCs/>
          <w:sz w:val="26"/>
          <w:szCs w:val="26"/>
          <w:lang w:eastAsia="hu-HU"/>
        </w:rPr>
        <w:t>Uniós programok bevételei</w:t>
      </w:r>
      <w:r w:rsidRPr="397FF86C">
        <w:rPr>
          <w:rFonts w:ascii="Times New Roman" w:eastAsia="Times New Roman" w:hAnsi="Times New Roman" w:cs="Times New Roman"/>
          <w:sz w:val="26"/>
          <w:szCs w:val="26"/>
          <w:lang w:eastAsia="hu-HU"/>
        </w:rPr>
        <w:t xml:space="preserve"> mérlegsoron 2023. augusztus végéig 1</w:t>
      </w:r>
      <w:r w:rsidR="0015385C">
        <w:rPr>
          <w:rFonts w:ascii="Times New Roman" w:eastAsia="Times New Roman" w:hAnsi="Times New Roman" w:cs="Times New Roman"/>
          <w:sz w:val="26"/>
          <w:szCs w:val="26"/>
          <w:lang w:eastAsia="hu-HU"/>
        </w:rPr>
        <w:t> </w:t>
      </w:r>
      <w:r w:rsidRPr="397FF86C">
        <w:rPr>
          <w:rFonts w:ascii="Times New Roman" w:eastAsia="Times New Roman" w:hAnsi="Times New Roman" w:cs="Times New Roman"/>
          <w:sz w:val="26"/>
          <w:szCs w:val="26"/>
          <w:lang w:eastAsia="hu-HU"/>
        </w:rPr>
        <w:t>040,9 milliárd forint bevétel keletkezett. Ez az összeg a törvényi előirányzat (2 244,5 milliárd forint) 46,4%-át teszi ki. A teljesült bevételből 833,4 milliárd forint az uniós és 207,5 milliárd forint az egyéb bevétel.</w:t>
      </w:r>
    </w:p>
    <w:p w14:paraId="2484DF81" w14:textId="74CFA13F" w:rsidR="00815E8F" w:rsidRPr="00815E8F" w:rsidRDefault="00815E8F" w:rsidP="00815E8F">
      <w:pPr>
        <w:spacing w:after="120" w:line="240" w:lineRule="auto"/>
        <w:jc w:val="both"/>
        <w:rPr>
          <w:rFonts w:ascii="Times New Roman" w:eastAsia="Calibri" w:hAnsi="Times New Roman" w:cs="Times New Roman"/>
          <w:sz w:val="26"/>
          <w:szCs w:val="26"/>
          <w:lang w:eastAsia="hu-HU"/>
        </w:rPr>
      </w:pPr>
      <w:r w:rsidRPr="00815E8F">
        <w:rPr>
          <w:rFonts w:ascii="Times New Roman" w:eastAsia="Calibri" w:hAnsi="Times New Roman" w:cs="Times New Roman"/>
          <w:sz w:val="26"/>
          <w:szCs w:val="26"/>
          <w:lang w:eastAsia="hu-HU"/>
        </w:rPr>
        <w:t xml:space="preserve">A befizetett társadalombiztosítási járulék 8,1%-át az állami adóhatóság a foglalkoztatási programokkal kapcsolatos elkülönített állami pénzalapnak utalja át. 2023. augusztus végéig a </w:t>
      </w:r>
      <w:r w:rsidRPr="00815E8F">
        <w:rPr>
          <w:rFonts w:ascii="Times New Roman" w:eastAsia="Calibri" w:hAnsi="Times New Roman" w:cs="Times New Roman"/>
          <w:b/>
          <w:bCs/>
          <w:sz w:val="26"/>
          <w:szCs w:val="26"/>
          <w:lang w:eastAsia="hu-HU"/>
        </w:rPr>
        <w:t xml:space="preserve">társadalombiztosítási járulék </w:t>
      </w:r>
      <w:r w:rsidRPr="00815E8F">
        <w:rPr>
          <w:rFonts w:ascii="Times New Roman" w:eastAsia="Times New Roman" w:hAnsi="Times New Roman" w:cs="Times New Roman"/>
          <w:b/>
          <w:bCs/>
          <w:sz w:val="26"/>
          <w:szCs w:val="26"/>
          <w:lang w:eastAsia="hu-HU"/>
        </w:rPr>
        <w:t xml:space="preserve">Nemzeti Foglalkoztatási </w:t>
      </w:r>
      <w:r w:rsidRPr="00815E8F">
        <w:rPr>
          <w:rFonts w:ascii="Times New Roman" w:eastAsia="Calibri" w:hAnsi="Times New Roman" w:cs="Times New Roman"/>
          <w:b/>
          <w:bCs/>
          <w:sz w:val="26"/>
          <w:szCs w:val="26"/>
          <w:lang w:eastAsia="hu-HU"/>
        </w:rPr>
        <w:t xml:space="preserve">Alapot megillető része </w:t>
      </w:r>
      <w:r w:rsidRPr="00815E8F">
        <w:rPr>
          <w:rFonts w:ascii="Times New Roman" w:eastAsia="Calibri" w:hAnsi="Times New Roman" w:cs="Times New Roman"/>
          <w:sz w:val="26"/>
          <w:szCs w:val="26"/>
          <w:lang w:eastAsia="hu-HU"/>
        </w:rPr>
        <w:t>232,0 milliárd forintban teljesült, mely az előző év azonos időszakában befolyt bevételt 34,3</w:t>
      </w:r>
      <w:r w:rsidRPr="00815E8F">
        <w:rPr>
          <w:rFonts w:ascii="Times New Roman" w:eastAsia="Times New Roman" w:hAnsi="Times New Roman" w:cs="Times New Roman"/>
          <w:sz w:val="26"/>
          <w:szCs w:val="20"/>
          <w:lang w:eastAsia="hu-HU"/>
        </w:rPr>
        <w:t> </w:t>
      </w:r>
      <w:r w:rsidRPr="00815E8F">
        <w:rPr>
          <w:rFonts w:ascii="Times New Roman" w:eastAsia="Calibri" w:hAnsi="Times New Roman" w:cs="Times New Roman"/>
          <w:sz w:val="26"/>
          <w:szCs w:val="26"/>
          <w:lang w:eastAsia="hu-HU"/>
        </w:rPr>
        <w:t>milliárd forinttal, 17,</w:t>
      </w:r>
      <w:r w:rsidR="003D16B4">
        <w:rPr>
          <w:rFonts w:ascii="Times New Roman" w:eastAsia="Calibri" w:hAnsi="Times New Roman" w:cs="Times New Roman"/>
          <w:sz w:val="26"/>
          <w:szCs w:val="26"/>
          <w:lang w:eastAsia="hu-HU"/>
        </w:rPr>
        <w:t>3</w:t>
      </w:r>
      <w:r w:rsidRPr="00815E8F">
        <w:rPr>
          <w:rFonts w:ascii="Times New Roman" w:eastAsia="Calibri" w:hAnsi="Times New Roman" w:cs="Times New Roman"/>
          <w:sz w:val="26"/>
          <w:szCs w:val="26"/>
          <w:lang w:eastAsia="hu-HU"/>
        </w:rPr>
        <w:t xml:space="preserve">%-kal haladta meg. A </w:t>
      </w:r>
      <w:proofErr w:type="spellStart"/>
      <w:r w:rsidRPr="00815E8F">
        <w:rPr>
          <w:rFonts w:ascii="Times New Roman" w:eastAsia="Calibri" w:hAnsi="Times New Roman" w:cs="Times New Roman"/>
          <w:sz w:val="26"/>
          <w:szCs w:val="26"/>
          <w:lang w:eastAsia="hu-HU"/>
        </w:rPr>
        <w:t>bevételnövekedés</w:t>
      </w:r>
      <w:proofErr w:type="spellEnd"/>
      <w:r w:rsidRPr="00815E8F">
        <w:rPr>
          <w:rFonts w:ascii="Times New Roman" w:eastAsia="Calibri" w:hAnsi="Times New Roman" w:cs="Times New Roman"/>
          <w:sz w:val="26"/>
          <w:szCs w:val="26"/>
          <w:lang w:eastAsia="hu-HU"/>
        </w:rPr>
        <w:t xml:space="preserve"> oka a járulékköteles jövedelmek növekedése.</w:t>
      </w:r>
    </w:p>
    <w:p w14:paraId="627A59DF" w14:textId="7C3AB928" w:rsidR="00815E8F" w:rsidRPr="00815E8F" w:rsidRDefault="00815E8F" w:rsidP="00815E8F">
      <w:pPr>
        <w:spacing w:after="120" w:line="240" w:lineRule="auto"/>
        <w:jc w:val="both"/>
        <w:rPr>
          <w:rFonts w:ascii="Times New Roman" w:eastAsia="Times New Roman" w:hAnsi="Times New Roman" w:cs="Times New Roman"/>
          <w:sz w:val="26"/>
          <w:szCs w:val="26"/>
          <w:lang w:eastAsia="hu-HU"/>
        </w:rPr>
      </w:pPr>
      <w:r w:rsidRPr="00815E8F">
        <w:rPr>
          <w:rFonts w:ascii="Times New Roman" w:eastAsia="Times New Roman" w:hAnsi="Times New Roman" w:cs="Times New Roman"/>
          <w:sz w:val="26"/>
          <w:szCs w:val="26"/>
          <w:lang w:eastAsia="hu-HU"/>
        </w:rPr>
        <w:t xml:space="preserve">2023 első nyolc hónapjában a </w:t>
      </w:r>
      <w:r w:rsidRPr="00815E8F">
        <w:rPr>
          <w:rFonts w:ascii="Times New Roman" w:eastAsia="Times New Roman" w:hAnsi="Times New Roman" w:cs="Times New Roman"/>
          <w:b/>
          <w:bCs/>
          <w:sz w:val="26"/>
          <w:szCs w:val="26"/>
          <w:lang w:eastAsia="hu-HU"/>
        </w:rPr>
        <w:t>szociális hozzájárulási adó Nyugdíjbiztosítási Alapot megillető része</w:t>
      </w:r>
      <w:r w:rsidRPr="00815E8F">
        <w:rPr>
          <w:rFonts w:ascii="Times New Roman" w:eastAsia="Times New Roman" w:hAnsi="Times New Roman" w:cs="Times New Roman"/>
          <w:sz w:val="26"/>
          <w:szCs w:val="26"/>
          <w:lang w:eastAsia="hu-HU"/>
        </w:rPr>
        <w:t xml:space="preserve"> (</w:t>
      </w:r>
      <w:r w:rsidRPr="00815E8F">
        <w:rPr>
          <w:rFonts w:ascii="Times New Roman" w:eastAsia="Times New Roman" w:hAnsi="Times New Roman" w:cs="Times New Roman"/>
          <w:sz w:val="26"/>
          <w:szCs w:val="20"/>
          <w:lang w:eastAsia="hu-HU"/>
        </w:rPr>
        <w:t>1 255,6 </w:t>
      </w:r>
      <w:r w:rsidRPr="00815E8F">
        <w:rPr>
          <w:rFonts w:ascii="Times New Roman" w:eastAsia="Times New Roman" w:hAnsi="Times New Roman" w:cs="Times New Roman"/>
          <w:sz w:val="26"/>
          <w:szCs w:val="26"/>
          <w:lang w:eastAsia="hu-HU"/>
        </w:rPr>
        <w:t>milliárd forint) 10,9%-kal, 123,</w:t>
      </w:r>
      <w:r w:rsidR="001F7BB0">
        <w:rPr>
          <w:rFonts w:ascii="Times New Roman" w:eastAsia="Times New Roman" w:hAnsi="Times New Roman" w:cs="Times New Roman"/>
          <w:sz w:val="26"/>
          <w:szCs w:val="26"/>
          <w:lang w:eastAsia="hu-HU"/>
        </w:rPr>
        <w:t>4</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sz w:val="26"/>
          <w:szCs w:val="26"/>
          <w:lang w:eastAsia="hu-HU"/>
        </w:rPr>
        <w:t>milliárd forinttal haladta meg az előző év azonos időszakában befolyt bevételeket. A bevétel változása az adóköteles jövedelmek növekedésével magyarázható.</w:t>
      </w:r>
    </w:p>
    <w:p w14:paraId="68AD7146" w14:textId="2EFE696C" w:rsidR="00815E8F" w:rsidRPr="00815E8F" w:rsidRDefault="00815E8F" w:rsidP="00815E8F">
      <w:pPr>
        <w:spacing w:after="120" w:line="240" w:lineRule="auto"/>
        <w:jc w:val="both"/>
        <w:rPr>
          <w:rFonts w:ascii="Times New Roman" w:eastAsia="Calibri" w:hAnsi="Times New Roman" w:cs="Times New Roman"/>
          <w:sz w:val="26"/>
          <w:szCs w:val="26"/>
          <w:lang w:eastAsia="hu-HU"/>
        </w:rPr>
      </w:pPr>
      <w:r w:rsidRPr="00815E8F">
        <w:rPr>
          <w:rFonts w:ascii="Times New Roman" w:eastAsia="Times New Roman" w:hAnsi="Times New Roman" w:cs="Times New Roman"/>
          <w:sz w:val="26"/>
          <w:szCs w:val="26"/>
          <w:lang w:eastAsia="hu-HU"/>
        </w:rPr>
        <w:t xml:space="preserve">A befizetett társadalombiztosítási járulék 54%-át az állami adóhatóság a Nyugdíjbiztosítási Alapnak utalja át. 2023. augusztus végéig a </w:t>
      </w:r>
      <w:r w:rsidRPr="00815E8F">
        <w:rPr>
          <w:rFonts w:ascii="Times New Roman" w:eastAsia="Times New Roman" w:hAnsi="Times New Roman" w:cs="Times New Roman"/>
          <w:b/>
          <w:bCs/>
          <w:sz w:val="26"/>
          <w:szCs w:val="26"/>
          <w:lang w:eastAsia="hu-HU"/>
        </w:rPr>
        <w:t>társadalombiztosítási járulék Nyugdíjbiztosítási Alapot megillető része és nyugdíjjárulék</w:t>
      </w:r>
      <w:r w:rsidRPr="00815E8F">
        <w:rPr>
          <w:rFonts w:ascii="Times New Roman" w:eastAsia="Times New Roman" w:hAnsi="Times New Roman" w:cs="Times New Roman"/>
          <w:sz w:val="26"/>
          <w:szCs w:val="26"/>
          <w:lang w:eastAsia="hu-HU"/>
        </w:rPr>
        <w:t xml:space="preserve"> 1</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sz w:val="26"/>
          <w:szCs w:val="26"/>
          <w:lang w:eastAsia="hu-HU"/>
        </w:rPr>
        <w:t>579,5</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sz w:val="26"/>
          <w:szCs w:val="26"/>
          <w:lang w:eastAsia="hu-HU"/>
        </w:rPr>
        <w:t>milliárd forintban teljesült, mely az előző év azonos időszakában befolyt bevételt 229,</w:t>
      </w:r>
      <w:r w:rsidR="001F7BB0">
        <w:rPr>
          <w:rFonts w:ascii="Times New Roman" w:eastAsia="Times New Roman" w:hAnsi="Times New Roman" w:cs="Times New Roman"/>
          <w:sz w:val="26"/>
          <w:szCs w:val="26"/>
          <w:lang w:eastAsia="hu-HU"/>
        </w:rPr>
        <w:t>3</w:t>
      </w:r>
      <w:r w:rsidRPr="00815E8F">
        <w:rPr>
          <w:rFonts w:ascii="Times New Roman" w:eastAsia="Times New Roman" w:hAnsi="Times New Roman" w:cs="Times New Roman"/>
          <w:sz w:val="26"/>
          <w:szCs w:val="20"/>
          <w:lang w:eastAsia="hu-HU"/>
        </w:rPr>
        <w:t> </w:t>
      </w:r>
      <w:r w:rsidRPr="00815E8F">
        <w:rPr>
          <w:rFonts w:ascii="Times New Roman" w:eastAsia="Times New Roman" w:hAnsi="Times New Roman" w:cs="Times New Roman"/>
          <w:sz w:val="26"/>
          <w:szCs w:val="26"/>
          <w:lang w:eastAsia="hu-HU"/>
        </w:rPr>
        <w:t xml:space="preserve">milliárd forinttal, 17,0%-kal haladta meg. </w:t>
      </w:r>
      <w:r w:rsidRPr="00815E8F">
        <w:rPr>
          <w:rFonts w:ascii="Times New Roman" w:eastAsia="Calibri" w:hAnsi="Times New Roman" w:cs="Times New Roman"/>
          <w:sz w:val="26"/>
          <w:szCs w:val="26"/>
          <w:lang w:eastAsia="hu-HU"/>
        </w:rPr>
        <w:t xml:space="preserve">A </w:t>
      </w:r>
      <w:proofErr w:type="spellStart"/>
      <w:r w:rsidRPr="00815E8F">
        <w:rPr>
          <w:rFonts w:ascii="Times New Roman" w:eastAsia="Calibri" w:hAnsi="Times New Roman" w:cs="Times New Roman"/>
          <w:sz w:val="26"/>
          <w:szCs w:val="26"/>
          <w:lang w:eastAsia="hu-HU"/>
        </w:rPr>
        <w:t>bevételnövekedés</w:t>
      </w:r>
      <w:proofErr w:type="spellEnd"/>
      <w:r w:rsidRPr="00815E8F">
        <w:rPr>
          <w:rFonts w:ascii="Times New Roman" w:eastAsia="Calibri" w:hAnsi="Times New Roman" w:cs="Times New Roman"/>
          <w:sz w:val="26"/>
          <w:szCs w:val="26"/>
          <w:lang w:eastAsia="hu-HU"/>
        </w:rPr>
        <w:t xml:space="preserve"> oka a járulékköteles jövedelmek növekedése.</w:t>
      </w:r>
    </w:p>
    <w:p w14:paraId="3A5B427A" w14:textId="769B2D56" w:rsidR="587E035A" w:rsidRDefault="397FF86C" w:rsidP="397FF86C">
      <w:pPr>
        <w:spacing w:line="22" w:lineRule="atLeast"/>
        <w:jc w:val="both"/>
        <w:rPr>
          <w:rFonts w:ascii="Times New Roman" w:eastAsia="Calibri" w:hAnsi="Times New Roman" w:cs="Times New Roman"/>
          <w:sz w:val="26"/>
          <w:szCs w:val="26"/>
          <w:lang w:eastAsia="hu-HU"/>
        </w:rPr>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Nyugdíjbiztosítási Alap</w:t>
      </w:r>
      <w:r w:rsidRPr="397FF86C">
        <w:rPr>
          <w:rFonts w:ascii="Times New Roman" w:eastAsia="Times New Roman" w:hAnsi="Times New Roman" w:cs="Times New Roman"/>
          <w:sz w:val="26"/>
          <w:szCs w:val="26"/>
        </w:rPr>
        <w:t xml:space="preserve"> 2023. évi költségvetése az ellátási kiadások támogatására 1 071,6 milliárd forint </w:t>
      </w:r>
      <w:r w:rsidRPr="397FF86C">
        <w:rPr>
          <w:rFonts w:ascii="Times New Roman" w:eastAsia="Times New Roman" w:hAnsi="Times New Roman" w:cs="Times New Roman"/>
          <w:b/>
          <w:bCs/>
          <w:sz w:val="26"/>
          <w:szCs w:val="26"/>
        </w:rPr>
        <w:t>központi költségvetési hozzájárulást</w:t>
      </w:r>
      <w:r w:rsidRPr="397FF86C">
        <w:rPr>
          <w:rFonts w:ascii="Times New Roman" w:eastAsia="Times New Roman" w:hAnsi="Times New Roman" w:cs="Times New Roman"/>
          <w:sz w:val="26"/>
          <w:szCs w:val="26"/>
        </w:rPr>
        <w:t xml:space="preserve"> tartalmaz, ami 375,2 milliárd forinttal haladja meg az előző évi teljesítés előzetes tényadatát.</w:t>
      </w:r>
    </w:p>
    <w:p w14:paraId="36B06F49" w14:textId="16A36416" w:rsidR="587E035A" w:rsidRDefault="397FF86C" w:rsidP="00BF4035">
      <w:pPr>
        <w:spacing w:line="22" w:lineRule="atLeast"/>
        <w:jc w:val="both"/>
      </w:pPr>
      <w:r w:rsidRPr="397FF86C">
        <w:rPr>
          <w:rFonts w:ascii="Times New Roman" w:eastAsia="Times New Roman" w:hAnsi="Times New Roman" w:cs="Times New Roman"/>
          <w:sz w:val="26"/>
          <w:szCs w:val="26"/>
        </w:rPr>
        <w:t>A költségvetési hozzájárulás előirányzatából a XLII. A költségvetés közvetlen bevételei és kiadásai fejezet 652,6 milliárd forintot pénzeszközátadás útján biztosít az alap részére, míg további 419,0 milliárd forintot a 13. havi nyugdíj, illetve a nyugdíjprémium fedezeteként címzett támogatás formájában. A nyugdíjprémium egy milliárd forintos előirányzata a tárgyévet megelőző évben keletkezett, de a tárgyévben kifizetésre kerülő jogosultságok kielégítésére szolgál. A 13. havi nyugdíj és a nyugdíjprémium támogatásának előirányzatai év közben előirányzat-módosítás nélkül túlléphetők.</w:t>
      </w:r>
    </w:p>
    <w:p w14:paraId="63D34FE7" w14:textId="34B86214" w:rsidR="587E035A" w:rsidRDefault="397FF86C" w:rsidP="00BF4035">
      <w:pPr>
        <w:spacing w:line="22" w:lineRule="atLeast"/>
        <w:jc w:val="both"/>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Nyugdíjbiztosítási Alap</w:t>
      </w:r>
      <w:r w:rsidRPr="397FF86C">
        <w:rPr>
          <w:rFonts w:ascii="Times New Roman" w:eastAsia="Times New Roman" w:hAnsi="Times New Roman" w:cs="Times New Roman"/>
          <w:sz w:val="26"/>
          <w:szCs w:val="26"/>
        </w:rPr>
        <w:t xml:space="preserve"> részére 2023. augusztus végéig a Magyar Államkincstár az éves előirányzat-felhasználási terv ütemezésének megfelelően 435,0 milliárd forint központi támogatást utalt át </w:t>
      </w:r>
      <w:r w:rsidRPr="397FF86C">
        <w:rPr>
          <w:rFonts w:ascii="Times New Roman" w:eastAsia="Times New Roman" w:hAnsi="Times New Roman" w:cs="Times New Roman"/>
          <w:b/>
          <w:bCs/>
          <w:sz w:val="26"/>
          <w:szCs w:val="26"/>
        </w:rPr>
        <w:t>pénzeszköz-átadás jogcímen,</w:t>
      </w:r>
      <w:r w:rsidRPr="397FF86C">
        <w:rPr>
          <w:rFonts w:ascii="Times New Roman" w:eastAsia="Times New Roman" w:hAnsi="Times New Roman" w:cs="Times New Roman"/>
          <w:sz w:val="26"/>
          <w:szCs w:val="26"/>
        </w:rPr>
        <w:t xml:space="preserve"> ami 217,9 milliárd forinttal haladja meg az előző év azonos időszakában folyósított támogatás összegét. A pénzeszköz-átadás az alap költségvetési egyensúlyának biztosítását szolgálja.</w:t>
      </w:r>
    </w:p>
    <w:p w14:paraId="2859B78D" w14:textId="20976625" w:rsidR="587E035A" w:rsidRDefault="397FF86C" w:rsidP="00BF4035">
      <w:pPr>
        <w:spacing w:line="22" w:lineRule="atLeast"/>
        <w:jc w:val="both"/>
      </w:pPr>
      <w:r w:rsidRPr="397FF86C">
        <w:rPr>
          <w:rFonts w:ascii="Times New Roman" w:eastAsia="Times New Roman" w:hAnsi="Times New Roman" w:cs="Times New Roman"/>
          <w:sz w:val="26"/>
          <w:szCs w:val="26"/>
        </w:rPr>
        <w:t xml:space="preserve">Az I-VIII. hónap alatt a </w:t>
      </w:r>
      <w:r w:rsidRPr="397FF86C">
        <w:rPr>
          <w:rFonts w:ascii="Times New Roman" w:eastAsia="Times New Roman" w:hAnsi="Times New Roman" w:cs="Times New Roman"/>
          <w:b/>
          <w:bCs/>
          <w:sz w:val="26"/>
          <w:szCs w:val="26"/>
        </w:rPr>
        <w:t>13. havi nyugdíj visszaépítésének támogatására</w:t>
      </w:r>
      <w:r w:rsidRPr="397FF86C">
        <w:rPr>
          <w:rFonts w:ascii="Times New Roman" w:eastAsia="Times New Roman" w:hAnsi="Times New Roman" w:cs="Times New Roman"/>
          <w:sz w:val="26"/>
          <w:szCs w:val="26"/>
        </w:rPr>
        <w:t xml:space="preserve"> a Nyugdíjbiztosítási Alap a törvényi előirányzat összegével megegyező 418,0 milliárd forint költségvetési támogatásban részesült, ami 82,2 milliárd forinttal haladja meg az előző év azonos időszakában átutalt támogatás összegét.</w:t>
      </w:r>
    </w:p>
    <w:p w14:paraId="006108D8" w14:textId="28691338" w:rsidR="587E035A" w:rsidRDefault="397FF86C" w:rsidP="00BF4035">
      <w:pPr>
        <w:spacing w:line="22" w:lineRule="atLeast"/>
        <w:jc w:val="both"/>
      </w:pPr>
      <w:r w:rsidRPr="397FF86C">
        <w:rPr>
          <w:rFonts w:ascii="Times New Roman" w:eastAsia="Times New Roman" w:hAnsi="Times New Roman" w:cs="Times New Roman"/>
          <w:sz w:val="26"/>
          <w:szCs w:val="26"/>
        </w:rPr>
        <w:t xml:space="preserve">Augusztus végéig </w:t>
      </w:r>
      <w:r w:rsidRPr="397FF86C">
        <w:rPr>
          <w:rFonts w:ascii="Times New Roman" w:eastAsia="Times New Roman" w:hAnsi="Times New Roman" w:cs="Times New Roman"/>
          <w:b/>
          <w:bCs/>
          <w:sz w:val="26"/>
          <w:szCs w:val="26"/>
        </w:rPr>
        <w:t>nyugdíjprémium</w:t>
      </w:r>
      <w:r w:rsidRPr="397FF86C">
        <w:rPr>
          <w:rFonts w:ascii="Times New Roman" w:eastAsia="Times New Roman" w:hAnsi="Times New Roman" w:cs="Times New Roman"/>
          <w:sz w:val="26"/>
          <w:szCs w:val="26"/>
        </w:rPr>
        <w:t xml:space="preserve"> céltartalék jogcímen az előző évről áthúzódó kifizetések támogatására 0,7 milliárd forintot utalt át a Magyar Államkincstár az alapkezelőnek.</w:t>
      </w:r>
    </w:p>
    <w:p w14:paraId="7B768B1D" w14:textId="74CAB6E1" w:rsidR="00B155FE" w:rsidRPr="00B155FE" w:rsidRDefault="00B155FE" w:rsidP="587E035A">
      <w:pPr>
        <w:spacing w:after="120" w:line="240" w:lineRule="auto"/>
        <w:jc w:val="both"/>
        <w:rPr>
          <w:rFonts w:ascii="Times New Roman" w:eastAsia="Times New Roman" w:hAnsi="Times New Roman" w:cs="Times New Roman"/>
          <w:sz w:val="26"/>
          <w:szCs w:val="26"/>
          <w:lang w:eastAsia="hu-HU"/>
        </w:rPr>
      </w:pPr>
    </w:p>
    <w:p w14:paraId="7B768B1E" w14:textId="77777777" w:rsidR="00B155FE" w:rsidRPr="00B155FE" w:rsidRDefault="00B155FE" w:rsidP="00B155FE">
      <w:pPr>
        <w:spacing w:after="120" w:line="240" w:lineRule="auto"/>
        <w:jc w:val="center"/>
        <w:rPr>
          <w:rFonts w:ascii="Times New Roman" w:eastAsia="Calibri" w:hAnsi="Times New Roman" w:cs="Times New Roman"/>
          <w:sz w:val="26"/>
          <w:szCs w:val="20"/>
          <w:lang w:eastAsia="hu-HU"/>
        </w:rPr>
      </w:pPr>
    </w:p>
    <w:p w14:paraId="7B768B1F" w14:textId="6C79FA7D" w:rsidR="00B155FE" w:rsidRPr="00B155FE" w:rsidRDefault="009704FA" w:rsidP="00B155FE">
      <w:pPr>
        <w:spacing w:after="120" w:line="240" w:lineRule="auto"/>
        <w:jc w:val="center"/>
        <w:rPr>
          <w:rFonts w:ascii="Times New Roman" w:eastAsia="Calibri" w:hAnsi="Times New Roman" w:cs="Times New Roman"/>
          <w:sz w:val="26"/>
          <w:szCs w:val="20"/>
          <w:lang w:eastAsia="hu-HU"/>
        </w:rPr>
      </w:pPr>
      <w:r w:rsidRPr="009704FA">
        <w:rPr>
          <w:rFonts w:ascii="Times New Roman" w:eastAsia="Calibri" w:hAnsi="Times New Roman" w:cs="Times New Roman"/>
          <w:noProof/>
          <w:sz w:val="26"/>
          <w:szCs w:val="20"/>
          <w:lang w:eastAsia="hu-HU"/>
        </w:rPr>
        <w:drawing>
          <wp:inline distT="0" distB="0" distL="0" distR="0" wp14:anchorId="1E8B6C6C" wp14:editId="78086668">
            <wp:extent cx="5940425" cy="2540635"/>
            <wp:effectExtent l="0" t="0" r="317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2540635"/>
                    </a:xfrm>
                    <a:prstGeom prst="rect">
                      <a:avLst/>
                    </a:prstGeom>
                  </pic:spPr>
                </pic:pic>
              </a:graphicData>
            </a:graphic>
          </wp:inline>
        </w:drawing>
      </w:r>
    </w:p>
    <w:p w14:paraId="2FDA5853" w14:textId="754D93CC" w:rsidR="00DE7A5C" w:rsidRPr="00DE7A5C" w:rsidRDefault="00DE7A5C" w:rsidP="00DE7A5C">
      <w:pPr>
        <w:spacing w:after="120" w:line="240" w:lineRule="auto"/>
        <w:jc w:val="both"/>
        <w:rPr>
          <w:rFonts w:ascii="Times New Roman" w:eastAsia="Times New Roman" w:hAnsi="Times New Roman" w:cs="Times New Roman"/>
          <w:sz w:val="26"/>
          <w:szCs w:val="26"/>
          <w:lang w:eastAsia="hu-HU"/>
        </w:rPr>
      </w:pPr>
      <w:r w:rsidRPr="00DE7A5C">
        <w:rPr>
          <w:rFonts w:ascii="Times New Roman" w:eastAsia="Calibri" w:hAnsi="Times New Roman" w:cs="Times New Roman"/>
          <w:sz w:val="26"/>
          <w:szCs w:val="26"/>
          <w:lang w:eastAsia="hu-HU"/>
        </w:rPr>
        <w:t xml:space="preserve">2023. augusztus végéig a </w:t>
      </w:r>
      <w:r w:rsidRPr="00DE7A5C">
        <w:rPr>
          <w:rFonts w:ascii="Times New Roman" w:eastAsia="Calibri" w:hAnsi="Times New Roman" w:cs="Times New Roman"/>
          <w:b/>
          <w:bCs/>
          <w:sz w:val="26"/>
          <w:szCs w:val="26"/>
          <w:lang w:eastAsia="hu-HU"/>
        </w:rPr>
        <w:t>szociális hozzájárulási adó Egészségbiztosítási Alapot megillető része</w:t>
      </w:r>
      <w:r w:rsidRPr="00DE7A5C">
        <w:rPr>
          <w:rFonts w:ascii="Times New Roman" w:eastAsia="Calibri" w:hAnsi="Times New Roman" w:cs="Times New Roman"/>
          <w:sz w:val="26"/>
          <w:szCs w:val="26"/>
          <w:lang w:eastAsia="hu-HU"/>
        </w:rPr>
        <w:t xml:space="preserve"> (497,3</w:t>
      </w:r>
      <w:r w:rsidRPr="00DE7A5C">
        <w:rPr>
          <w:rFonts w:ascii="Times New Roman" w:eastAsia="Times New Roman" w:hAnsi="Times New Roman" w:cs="Times New Roman"/>
          <w:sz w:val="26"/>
          <w:szCs w:val="20"/>
          <w:lang w:eastAsia="hu-HU"/>
        </w:rPr>
        <w:t> </w:t>
      </w:r>
      <w:r w:rsidRPr="00DE7A5C">
        <w:rPr>
          <w:rFonts w:ascii="Times New Roman" w:eastAsia="Calibri" w:hAnsi="Times New Roman" w:cs="Times New Roman"/>
          <w:sz w:val="26"/>
          <w:szCs w:val="26"/>
          <w:lang w:eastAsia="hu-HU"/>
        </w:rPr>
        <w:t>milliárd forint) 10,9%-kal, 49,0</w:t>
      </w:r>
      <w:r w:rsidRPr="00DE7A5C">
        <w:rPr>
          <w:rFonts w:ascii="Times New Roman" w:eastAsia="Times New Roman" w:hAnsi="Times New Roman" w:cs="Times New Roman"/>
          <w:sz w:val="26"/>
          <w:szCs w:val="20"/>
          <w:lang w:eastAsia="hu-HU"/>
        </w:rPr>
        <w:t> </w:t>
      </w:r>
      <w:r w:rsidRPr="00DE7A5C">
        <w:rPr>
          <w:rFonts w:ascii="Times New Roman" w:eastAsia="Calibri" w:hAnsi="Times New Roman" w:cs="Times New Roman"/>
          <w:sz w:val="26"/>
          <w:szCs w:val="26"/>
          <w:lang w:eastAsia="hu-HU"/>
        </w:rPr>
        <w:t xml:space="preserve">milliárd forinttal haladta meg az előző év azonos időszakában befolyt bevételeket. </w:t>
      </w:r>
      <w:r w:rsidRPr="00DE7A5C">
        <w:rPr>
          <w:rFonts w:ascii="Times New Roman" w:eastAsia="Times New Roman" w:hAnsi="Times New Roman" w:cs="Times New Roman"/>
          <w:sz w:val="26"/>
          <w:szCs w:val="26"/>
          <w:lang w:eastAsia="hu-HU"/>
        </w:rPr>
        <w:t>A bevétel változása az adóköteles jövedelmek növekedésével magyarázható.</w:t>
      </w:r>
    </w:p>
    <w:p w14:paraId="20A065AD" w14:textId="77777777" w:rsidR="00DE7A5C" w:rsidRPr="00DE7A5C" w:rsidRDefault="00DE7A5C" w:rsidP="00DE7A5C">
      <w:pPr>
        <w:spacing w:after="120" w:line="240" w:lineRule="auto"/>
        <w:jc w:val="both"/>
        <w:rPr>
          <w:rFonts w:ascii="Times New Roman" w:eastAsia="Calibri" w:hAnsi="Times New Roman" w:cs="Times New Roman"/>
          <w:sz w:val="26"/>
          <w:szCs w:val="26"/>
          <w:lang w:eastAsia="hu-HU"/>
        </w:rPr>
      </w:pPr>
      <w:r w:rsidRPr="00DE7A5C">
        <w:rPr>
          <w:rFonts w:ascii="Times New Roman" w:eastAsia="Calibri" w:hAnsi="Times New Roman" w:cs="Times New Roman"/>
          <w:sz w:val="26"/>
          <w:szCs w:val="26"/>
          <w:lang w:eastAsia="hu-HU"/>
        </w:rPr>
        <w:t xml:space="preserve">A befizetett társadalombiztosítási járulék 37,9%-át az állami adóhatóság az Egészségbiztosítási Alapnak utalja át. 2023. augusztus végéig a </w:t>
      </w:r>
      <w:r w:rsidRPr="00DE7A5C">
        <w:rPr>
          <w:rFonts w:ascii="Times New Roman" w:eastAsia="Calibri" w:hAnsi="Times New Roman" w:cs="Times New Roman"/>
          <w:b/>
          <w:bCs/>
          <w:sz w:val="26"/>
          <w:szCs w:val="26"/>
          <w:lang w:eastAsia="hu-HU"/>
        </w:rPr>
        <w:t>társadalombiztosítási járulék Egészségbiztosítási Alapot megillető része és egészségbiztosítási járulék</w:t>
      </w:r>
      <w:r w:rsidRPr="00DE7A5C">
        <w:rPr>
          <w:rFonts w:ascii="Times New Roman" w:eastAsia="Calibri" w:hAnsi="Times New Roman" w:cs="Times New Roman"/>
          <w:sz w:val="26"/>
          <w:szCs w:val="26"/>
          <w:lang w:eastAsia="hu-HU"/>
        </w:rPr>
        <w:t xml:space="preserve"> 1</w:t>
      </w:r>
      <w:r w:rsidRPr="00DE7A5C">
        <w:rPr>
          <w:rFonts w:ascii="Times New Roman" w:eastAsia="Times New Roman" w:hAnsi="Times New Roman" w:cs="Times New Roman"/>
          <w:sz w:val="26"/>
          <w:szCs w:val="20"/>
          <w:lang w:eastAsia="hu-HU"/>
        </w:rPr>
        <w:t> 078</w:t>
      </w:r>
      <w:r w:rsidRPr="00DE7A5C">
        <w:rPr>
          <w:rFonts w:ascii="Times New Roman" w:eastAsia="Calibri" w:hAnsi="Times New Roman" w:cs="Times New Roman"/>
          <w:sz w:val="26"/>
          <w:szCs w:val="26"/>
          <w:lang w:eastAsia="hu-HU"/>
        </w:rPr>
        <w:t>,0</w:t>
      </w:r>
      <w:r w:rsidRPr="00DE7A5C">
        <w:rPr>
          <w:rFonts w:ascii="Times New Roman" w:eastAsia="Times New Roman" w:hAnsi="Times New Roman" w:cs="Times New Roman"/>
          <w:sz w:val="26"/>
          <w:szCs w:val="20"/>
          <w:lang w:eastAsia="hu-HU"/>
        </w:rPr>
        <w:t> </w:t>
      </w:r>
      <w:r w:rsidRPr="00DE7A5C">
        <w:rPr>
          <w:rFonts w:ascii="Times New Roman" w:eastAsia="Calibri" w:hAnsi="Times New Roman" w:cs="Times New Roman"/>
          <w:sz w:val="26"/>
          <w:szCs w:val="26"/>
          <w:lang w:eastAsia="hu-HU"/>
        </w:rPr>
        <w:t xml:space="preserve"> milliárd forintban teljesült, mely az előző év azonos időszakában befolyt bevételt 156,7 milliárd forinttal, 17,0%-kal haladta meg. A </w:t>
      </w:r>
      <w:proofErr w:type="spellStart"/>
      <w:r w:rsidRPr="00DE7A5C">
        <w:rPr>
          <w:rFonts w:ascii="Times New Roman" w:eastAsia="Calibri" w:hAnsi="Times New Roman" w:cs="Times New Roman"/>
          <w:sz w:val="26"/>
          <w:szCs w:val="26"/>
          <w:lang w:eastAsia="hu-HU"/>
        </w:rPr>
        <w:t>bevételnövekedés</w:t>
      </w:r>
      <w:proofErr w:type="spellEnd"/>
      <w:r w:rsidRPr="00DE7A5C">
        <w:rPr>
          <w:rFonts w:ascii="Times New Roman" w:eastAsia="Calibri" w:hAnsi="Times New Roman" w:cs="Times New Roman"/>
          <w:sz w:val="26"/>
          <w:szCs w:val="26"/>
          <w:lang w:eastAsia="hu-HU"/>
        </w:rPr>
        <w:t xml:space="preserve"> oka a járulékköteles jövedelmek növekedése.</w:t>
      </w:r>
    </w:p>
    <w:p w14:paraId="7B768B23" w14:textId="73258842" w:rsidR="00B155FE" w:rsidRPr="00B155FE" w:rsidRDefault="397FF86C" w:rsidP="397FF86C">
      <w:pPr>
        <w:spacing w:after="120" w:line="240" w:lineRule="auto"/>
        <w:jc w:val="both"/>
        <w:rPr>
          <w:rFonts w:ascii="Times New Roman" w:eastAsia="Times New Roman" w:hAnsi="Times New Roman" w:cs="Times New Roman"/>
          <w:b/>
          <w:bCs/>
          <w:smallCaps/>
          <w:sz w:val="26"/>
          <w:szCs w:val="26"/>
          <w:lang w:eastAsia="hu-HU"/>
        </w:rPr>
      </w:pPr>
      <w:r w:rsidRPr="397FF86C">
        <w:rPr>
          <w:rFonts w:ascii="Times New Roman" w:eastAsia="Times New Roman" w:hAnsi="Times New Roman" w:cs="Times New Roman"/>
          <w:sz w:val="26"/>
          <w:szCs w:val="26"/>
          <w:lang w:eastAsia="hu-HU"/>
        </w:rPr>
        <w:t xml:space="preserve">Az </w:t>
      </w:r>
      <w:r w:rsidRPr="397FF86C">
        <w:rPr>
          <w:rFonts w:ascii="Times New Roman" w:eastAsia="Times New Roman" w:hAnsi="Times New Roman" w:cs="Times New Roman"/>
          <w:b/>
          <w:bCs/>
          <w:sz w:val="26"/>
          <w:szCs w:val="26"/>
          <w:lang w:eastAsia="hu-HU"/>
        </w:rPr>
        <w:t>Egészségbiztosítási Alap költségvetési hozzájárulásai</w:t>
      </w:r>
      <w:r w:rsidRPr="397FF86C">
        <w:rPr>
          <w:rFonts w:ascii="Times New Roman" w:eastAsia="Times New Roman" w:hAnsi="Times New Roman" w:cs="Times New Roman"/>
          <w:sz w:val="26"/>
          <w:szCs w:val="26"/>
          <w:lang w:eastAsia="hu-HU"/>
        </w:rPr>
        <w:t xml:space="preserve"> 2023. augusztus végéig összesen 844,8 milliárd forintot tettek ki, amely 20,6 milliárd forinttal magasabb, mint az előző év azonos időszakában átutalt összeg. 2023. augusztus végéig az Egészségbiztosítási Alap járulék címen átvett pénzeszközként 377,8 milliárd forint támogatást kapott, szemben a tavalyi év azonos időszakában átutalt 327,6 milliárd forintos összeggel. Az alap kiadásainak támogatására szolgáló tervezett pénzeszköz-átvétel és az egészségügyi feladatok ellátásával kapcsolatos hozzájárulás együttes összege 2023. augusztus végéig 467,0 milliárd forintot tett ki, amely 276,</w:t>
      </w:r>
      <w:r w:rsidR="00AB3613">
        <w:rPr>
          <w:rFonts w:ascii="Times New Roman" w:eastAsia="Times New Roman" w:hAnsi="Times New Roman" w:cs="Times New Roman"/>
          <w:sz w:val="26"/>
          <w:szCs w:val="26"/>
          <w:lang w:eastAsia="hu-HU"/>
        </w:rPr>
        <w:t>2</w:t>
      </w:r>
      <w:r w:rsidRPr="397FF86C">
        <w:rPr>
          <w:rFonts w:ascii="Times New Roman" w:eastAsia="Times New Roman" w:hAnsi="Times New Roman" w:cs="Times New Roman"/>
          <w:sz w:val="26"/>
          <w:szCs w:val="26"/>
          <w:lang w:eastAsia="hu-HU"/>
        </w:rPr>
        <w:t> milliárd forinttal haladta meg a tavalyi év ezen időszakában átutalt összeget.</w:t>
      </w:r>
      <w:r w:rsidR="1ADA31FC" w:rsidRPr="397FF86C">
        <w:rPr>
          <w:rFonts w:ascii="Times New Roman" w:eastAsia="Times New Roman" w:hAnsi="Times New Roman" w:cs="Times New Roman"/>
          <w:b/>
          <w:bCs/>
          <w:smallCaps/>
          <w:sz w:val="26"/>
          <w:szCs w:val="26"/>
          <w:lang w:eastAsia="hu-HU"/>
        </w:rPr>
        <w:br w:type="page"/>
      </w:r>
    </w:p>
    <w:p w14:paraId="7B768B24" w14:textId="77777777" w:rsidR="00B155FE" w:rsidRPr="00B155FE" w:rsidRDefault="397FF86C" w:rsidP="397FF86C">
      <w:pPr>
        <w:keepNext/>
        <w:numPr>
          <w:ilvl w:val="0"/>
          <w:numId w:val="2"/>
        </w:numPr>
        <w:spacing w:after="120" w:line="240" w:lineRule="auto"/>
        <w:jc w:val="both"/>
        <w:outlineLvl w:val="2"/>
        <w:rPr>
          <w:rFonts w:ascii="Times New Roman" w:eastAsia="Times New Roman" w:hAnsi="Times New Roman" w:cs="Times New Roman"/>
          <w:b/>
          <w:bCs/>
          <w:smallCaps/>
          <w:sz w:val="26"/>
          <w:szCs w:val="26"/>
          <w:lang w:eastAsia="hu-HU"/>
        </w:rPr>
      </w:pPr>
      <w:r w:rsidRPr="397FF86C">
        <w:rPr>
          <w:rFonts w:ascii="Times New Roman" w:eastAsia="Times New Roman" w:hAnsi="Times New Roman" w:cs="Times New Roman"/>
          <w:b/>
          <w:bCs/>
          <w:smallCaps/>
          <w:sz w:val="26"/>
          <w:szCs w:val="26"/>
          <w:lang w:eastAsia="hu-HU"/>
        </w:rPr>
        <w:t xml:space="preserve">A főbb kiadások </w:t>
      </w:r>
    </w:p>
    <w:p w14:paraId="7B768B25" w14:textId="4968AC02" w:rsidR="00B155FE" w:rsidRPr="00B155FE" w:rsidRDefault="397FF86C" w:rsidP="397FF86C">
      <w:pPr>
        <w:spacing w:after="120" w:line="240" w:lineRule="auto"/>
        <w:jc w:val="both"/>
        <w:rPr>
          <w:rFonts w:ascii="Times New Roman" w:eastAsia="Calibri" w:hAnsi="Times New Roman" w:cs="Times New Roman"/>
          <w:b/>
          <w:bCs/>
          <w:sz w:val="26"/>
          <w:szCs w:val="26"/>
          <w:lang w:eastAsia="hu-HU"/>
        </w:rPr>
      </w:pPr>
      <w:r w:rsidRPr="397FF86C">
        <w:rPr>
          <w:rFonts w:ascii="Times New Roman" w:eastAsia="Calibri" w:hAnsi="Times New Roman" w:cs="Times New Roman"/>
          <w:b/>
          <w:bCs/>
          <w:sz w:val="26"/>
          <w:szCs w:val="26"/>
          <w:lang w:eastAsia="hu-HU"/>
        </w:rPr>
        <w:t xml:space="preserve">A központi alrendszer </w:t>
      </w:r>
      <w:r w:rsidR="00AB3613">
        <w:rPr>
          <w:rFonts w:ascii="Times New Roman" w:eastAsia="Calibri" w:hAnsi="Times New Roman" w:cs="Times New Roman"/>
          <w:b/>
          <w:bCs/>
          <w:sz w:val="26"/>
          <w:szCs w:val="26"/>
          <w:lang w:eastAsia="hu-HU"/>
        </w:rPr>
        <w:t>augusztus</w:t>
      </w:r>
      <w:r w:rsidRPr="397FF86C">
        <w:rPr>
          <w:rFonts w:ascii="Times New Roman" w:eastAsia="Calibri" w:hAnsi="Times New Roman" w:cs="Times New Roman"/>
          <w:b/>
          <w:bCs/>
          <w:sz w:val="26"/>
          <w:szCs w:val="26"/>
          <w:lang w:eastAsia="hu-HU"/>
        </w:rPr>
        <w:t xml:space="preserve"> végi 2</w:t>
      </w:r>
      <w:r w:rsidR="00E56767">
        <w:rPr>
          <w:rFonts w:ascii="Times New Roman" w:eastAsia="Calibri" w:hAnsi="Times New Roman" w:cs="Times New Roman"/>
          <w:b/>
          <w:bCs/>
          <w:sz w:val="26"/>
          <w:szCs w:val="26"/>
          <w:lang w:eastAsia="hu-HU"/>
        </w:rPr>
        <w:t xml:space="preserve">6 339,6 </w:t>
      </w:r>
      <w:r w:rsidRPr="397FF86C">
        <w:rPr>
          <w:rFonts w:ascii="Times New Roman" w:eastAsia="Calibri" w:hAnsi="Times New Roman" w:cs="Times New Roman"/>
          <w:b/>
          <w:bCs/>
          <w:sz w:val="26"/>
          <w:szCs w:val="26"/>
          <w:lang w:eastAsia="hu-HU"/>
        </w:rPr>
        <w:t xml:space="preserve">milliárd forint összegű kiadásai </w:t>
      </w:r>
      <w:r w:rsidR="00E56767">
        <w:rPr>
          <w:rFonts w:ascii="Times New Roman" w:eastAsia="Calibri" w:hAnsi="Times New Roman" w:cs="Times New Roman"/>
          <w:b/>
          <w:bCs/>
          <w:sz w:val="26"/>
          <w:szCs w:val="26"/>
          <w:lang w:eastAsia="hu-HU"/>
        </w:rPr>
        <w:t>4 283,4 milliárd forinttal, 19,4</w:t>
      </w:r>
      <w:r w:rsidRPr="397FF86C">
        <w:rPr>
          <w:rFonts w:ascii="Times New Roman" w:eastAsia="Calibri" w:hAnsi="Times New Roman" w:cs="Times New Roman"/>
          <w:b/>
          <w:bCs/>
          <w:sz w:val="26"/>
          <w:szCs w:val="26"/>
          <w:lang w:eastAsia="hu-HU"/>
        </w:rPr>
        <w:t xml:space="preserve">%-kal haladták meg az előző év azonos időszakának adatát. </w:t>
      </w:r>
    </w:p>
    <w:p w14:paraId="7B768B26" w14:textId="0721FB0A" w:rsidR="00B155FE" w:rsidRDefault="397FF86C" w:rsidP="397FF86C">
      <w:pPr>
        <w:spacing w:after="120" w:line="240" w:lineRule="auto"/>
        <w:jc w:val="both"/>
        <w:rPr>
          <w:rFonts w:ascii="Times New Roman" w:eastAsia="Calibri" w:hAnsi="Times New Roman" w:cs="Times New Roman"/>
          <w:b/>
          <w:bCs/>
          <w:sz w:val="26"/>
          <w:szCs w:val="26"/>
          <w:lang w:eastAsia="hu-HU"/>
        </w:rPr>
      </w:pPr>
      <w:r w:rsidRPr="397FF86C">
        <w:rPr>
          <w:rFonts w:ascii="Times New Roman" w:eastAsia="Calibri" w:hAnsi="Times New Roman" w:cs="Times New Roman"/>
          <w:b/>
          <w:bCs/>
          <w:sz w:val="26"/>
          <w:szCs w:val="26"/>
          <w:lang w:eastAsia="hu-HU"/>
        </w:rPr>
        <w:t>Magasabban teljesültek az egy évvel korábbihoz képest – többek között – a</w:t>
      </w:r>
      <w:r w:rsidR="00A54466">
        <w:rPr>
          <w:rFonts w:ascii="Times New Roman" w:eastAsia="Calibri" w:hAnsi="Times New Roman" w:cs="Times New Roman"/>
          <w:b/>
          <w:bCs/>
          <w:sz w:val="26"/>
          <w:szCs w:val="26"/>
          <w:lang w:eastAsia="hu-HU"/>
        </w:rPr>
        <w:t>z</w:t>
      </w:r>
      <w:r w:rsidRPr="397FF86C">
        <w:rPr>
          <w:rFonts w:ascii="Times New Roman" w:eastAsia="Calibri" w:hAnsi="Times New Roman" w:cs="Times New Roman"/>
          <w:b/>
          <w:bCs/>
          <w:sz w:val="26"/>
          <w:szCs w:val="26"/>
          <w:lang w:eastAsia="hu-HU"/>
        </w:rPr>
        <w:t> </w:t>
      </w:r>
      <w:r w:rsidR="00A54466" w:rsidRPr="00A54466">
        <w:rPr>
          <w:rFonts w:ascii="Times New Roman" w:eastAsia="Calibri" w:hAnsi="Times New Roman" w:cs="Times New Roman"/>
          <w:b/>
          <w:bCs/>
          <w:sz w:val="26"/>
          <w:szCs w:val="26"/>
          <w:lang w:eastAsia="hu-HU"/>
        </w:rPr>
        <w:t>egyedi és normatív támogatások</w:t>
      </w:r>
      <w:r w:rsidRPr="397FF86C">
        <w:rPr>
          <w:rFonts w:ascii="Times New Roman" w:eastAsia="Calibri" w:hAnsi="Times New Roman" w:cs="Times New Roman"/>
          <w:b/>
          <w:bCs/>
          <w:sz w:val="26"/>
          <w:szCs w:val="26"/>
          <w:lang w:eastAsia="hu-HU"/>
        </w:rPr>
        <w:t xml:space="preserve"> és az állami vagyonnal kapcsolatos kiadások. Meghaladták az egy évvel korábbi kifizetést a nyugellátásokra és a gyógyító-megelőző ellátásra fordított összegek is. Nyugellátásokra 3</w:t>
      </w:r>
      <w:r w:rsidR="00072A58">
        <w:rPr>
          <w:rFonts w:ascii="Times New Roman" w:eastAsia="Calibri" w:hAnsi="Times New Roman" w:cs="Times New Roman"/>
          <w:b/>
          <w:bCs/>
          <w:sz w:val="26"/>
          <w:szCs w:val="26"/>
          <w:lang w:eastAsia="hu-HU"/>
        </w:rPr>
        <w:t> 859,0</w:t>
      </w:r>
      <w:r w:rsidRPr="397FF86C">
        <w:rPr>
          <w:rFonts w:ascii="Times New Roman" w:eastAsia="Calibri" w:hAnsi="Times New Roman" w:cs="Times New Roman"/>
          <w:b/>
          <w:bCs/>
          <w:sz w:val="26"/>
          <w:szCs w:val="26"/>
          <w:lang w:eastAsia="hu-HU"/>
        </w:rPr>
        <w:t xml:space="preserve"> milliárd forint, míg a gyógyító-megelőző ellátásra 1 512,1 milliárd forint került kifizetésre augusztus végéig.</w:t>
      </w:r>
    </w:p>
    <w:p w14:paraId="50D43377" w14:textId="294FBB07" w:rsidR="007535E7" w:rsidRPr="00B155FE" w:rsidRDefault="00681D20" w:rsidP="007535E7">
      <w:pPr>
        <w:spacing w:after="120" w:line="240" w:lineRule="auto"/>
        <w:jc w:val="center"/>
        <w:rPr>
          <w:rFonts w:ascii="Times New Roman" w:eastAsia="Calibri" w:hAnsi="Times New Roman" w:cs="Times New Roman"/>
          <w:b/>
          <w:bCs/>
          <w:sz w:val="26"/>
          <w:szCs w:val="26"/>
          <w:lang w:eastAsia="hu-HU"/>
        </w:rPr>
      </w:pPr>
      <w:r>
        <w:rPr>
          <w:noProof/>
          <w:lang w:eastAsia="hu-HU"/>
        </w:rPr>
        <w:drawing>
          <wp:inline distT="0" distB="0" distL="0" distR="0" wp14:anchorId="327AFB12" wp14:editId="79354A54">
            <wp:extent cx="5940427" cy="2113622"/>
            <wp:effectExtent l="0" t="0" r="3175" b="1270"/>
            <wp:docPr id="286082868" name="picture" descr="Z:\Áht_gyors_moni\2023_08_aug\0_feljegyzés_monitoring\ábrák\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940427" cy="2113622"/>
                    </a:xfrm>
                    <a:prstGeom prst="rect">
                      <a:avLst/>
                    </a:prstGeom>
                  </pic:spPr>
                </pic:pic>
              </a:graphicData>
            </a:graphic>
          </wp:inline>
        </w:drawing>
      </w:r>
    </w:p>
    <w:p w14:paraId="0769C5B8" w14:textId="01DF45CB" w:rsidR="30FC3356" w:rsidRDefault="587E035A" w:rsidP="397FF86C">
      <w:pPr>
        <w:spacing w:after="120" w:line="240" w:lineRule="auto"/>
        <w:jc w:val="both"/>
        <w:rPr>
          <w:rFonts w:ascii="Times New Roman" w:eastAsia="Times New Roman" w:hAnsi="Times New Roman" w:cs="Times New Roman"/>
          <w:sz w:val="26"/>
          <w:szCs w:val="26"/>
        </w:rPr>
      </w:pPr>
      <w:r w:rsidRPr="587E035A">
        <w:rPr>
          <w:rFonts w:ascii="Times New Roman" w:eastAsia="Times New Roman" w:hAnsi="Times New Roman" w:cs="Times New Roman"/>
          <w:sz w:val="26"/>
          <w:szCs w:val="26"/>
        </w:rPr>
        <w:t xml:space="preserve">Az </w:t>
      </w:r>
      <w:r w:rsidRPr="587E035A">
        <w:rPr>
          <w:rFonts w:ascii="Times New Roman" w:eastAsia="Times New Roman" w:hAnsi="Times New Roman" w:cs="Times New Roman"/>
          <w:b/>
          <w:bCs/>
          <w:sz w:val="26"/>
          <w:szCs w:val="26"/>
        </w:rPr>
        <w:t>egyedi és normatív támogatásokra</w:t>
      </w:r>
      <w:r w:rsidRPr="587E035A">
        <w:rPr>
          <w:rFonts w:ascii="Times New Roman" w:eastAsia="Times New Roman" w:hAnsi="Times New Roman" w:cs="Times New Roman"/>
          <w:sz w:val="26"/>
          <w:szCs w:val="26"/>
        </w:rPr>
        <w:t xml:space="preserve"> fordított kiadások augusztus végéig 1</w:t>
      </w:r>
      <w:r w:rsidR="00DE1B2C">
        <w:rPr>
          <w:rFonts w:ascii="Times New Roman" w:eastAsia="Times New Roman" w:hAnsi="Times New Roman" w:cs="Times New Roman"/>
          <w:sz w:val="26"/>
          <w:szCs w:val="26"/>
        </w:rPr>
        <w:t> 844</w:t>
      </w:r>
      <w:r w:rsidRPr="587E035A">
        <w:rPr>
          <w:rFonts w:ascii="Times New Roman" w:eastAsia="Times New Roman" w:hAnsi="Times New Roman" w:cs="Times New Roman"/>
          <w:sz w:val="26"/>
          <w:szCs w:val="26"/>
        </w:rPr>
        <w:t>,</w:t>
      </w:r>
      <w:r w:rsidR="00072A58">
        <w:rPr>
          <w:rFonts w:ascii="Times New Roman" w:eastAsia="Times New Roman" w:hAnsi="Times New Roman" w:cs="Times New Roman"/>
          <w:sz w:val="26"/>
          <w:szCs w:val="26"/>
        </w:rPr>
        <w:t>7</w:t>
      </w:r>
      <w:r w:rsidR="0067190E">
        <w:rPr>
          <w:rFonts w:ascii="Times New Roman" w:eastAsia="Times New Roman" w:hAnsi="Times New Roman" w:cs="Times New Roman"/>
          <w:sz w:val="26"/>
          <w:szCs w:val="26"/>
        </w:rPr>
        <w:t> </w:t>
      </w:r>
      <w:r w:rsidRPr="587E035A">
        <w:rPr>
          <w:rFonts w:ascii="Times New Roman" w:eastAsia="Times New Roman" w:hAnsi="Times New Roman" w:cs="Times New Roman"/>
          <w:sz w:val="26"/>
          <w:szCs w:val="26"/>
        </w:rPr>
        <w:t>milliárd forintot tettek ki, amely 1</w:t>
      </w:r>
      <w:r w:rsidR="004D5146">
        <w:rPr>
          <w:rFonts w:ascii="Times New Roman" w:eastAsia="Times New Roman" w:hAnsi="Times New Roman" w:cs="Times New Roman"/>
          <w:sz w:val="26"/>
          <w:szCs w:val="26"/>
        </w:rPr>
        <w:t> </w:t>
      </w:r>
      <w:r w:rsidRPr="587E035A">
        <w:rPr>
          <w:rFonts w:ascii="Times New Roman" w:eastAsia="Times New Roman" w:hAnsi="Times New Roman" w:cs="Times New Roman"/>
          <w:sz w:val="26"/>
          <w:szCs w:val="26"/>
        </w:rPr>
        <w:t xml:space="preserve">449,9 milliárd forinttal magasabb a megelőző év azonos időszaki teljesítésénél. Az eltérés fő oka, hogy a rezsivédelmi </w:t>
      </w:r>
      <w:r w:rsidR="0002674A">
        <w:rPr>
          <w:rFonts w:ascii="Times New Roman" w:eastAsia="Times New Roman" w:hAnsi="Times New Roman" w:cs="Times New Roman"/>
          <w:sz w:val="26"/>
          <w:szCs w:val="26"/>
        </w:rPr>
        <w:t>k</w:t>
      </w:r>
      <w:r w:rsidR="00072A58">
        <w:rPr>
          <w:rFonts w:ascii="Times New Roman" w:eastAsia="Times New Roman" w:hAnsi="Times New Roman" w:cs="Times New Roman"/>
          <w:sz w:val="26"/>
          <w:szCs w:val="26"/>
        </w:rPr>
        <w:t>iadásokkal összefüggésben 2022-</w:t>
      </w:r>
      <w:r w:rsidRPr="587E035A">
        <w:rPr>
          <w:rFonts w:ascii="Times New Roman" w:eastAsia="Times New Roman" w:hAnsi="Times New Roman" w:cs="Times New Roman"/>
          <w:sz w:val="26"/>
          <w:szCs w:val="26"/>
        </w:rPr>
        <w:t>ben augusztus végéig csak a távhőszolgáltatók kompenzációjával kapcsolatban történt 7,5 milliárd forint kifizetés, az idei évben azonban 1</w:t>
      </w:r>
      <w:r w:rsidR="004D5146">
        <w:rPr>
          <w:rFonts w:ascii="Times New Roman" w:eastAsia="Times New Roman" w:hAnsi="Times New Roman" w:cs="Times New Roman"/>
          <w:sz w:val="26"/>
          <w:szCs w:val="26"/>
        </w:rPr>
        <w:t> </w:t>
      </w:r>
      <w:r w:rsidRPr="587E035A">
        <w:rPr>
          <w:rFonts w:ascii="Times New Roman" w:eastAsia="Times New Roman" w:hAnsi="Times New Roman" w:cs="Times New Roman"/>
          <w:sz w:val="26"/>
          <w:szCs w:val="26"/>
        </w:rPr>
        <w:t>085,</w:t>
      </w:r>
      <w:r w:rsidR="00A54466">
        <w:rPr>
          <w:rFonts w:ascii="Times New Roman" w:eastAsia="Times New Roman" w:hAnsi="Times New Roman" w:cs="Times New Roman"/>
          <w:sz w:val="26"/>
          <w:szCs w:val="26"/>
        </w:rPr>
        <w:t>1</w:t>
      </w:r>
      <w:r w:rsidRPr="587E035A">
        <w:rPr>
          <w:rFonts w:ascii="Times New Roman" w:eastAsia="Times New Roman" w:hAnsi="Times New Roman" w:cs="Times New Roman"/>
          <w:sz w:val="26"/>
          <w:szCs w:val="26"/>
        </w:rPr>
        <w:t xml:space="preserve"> milliárd forint került kifizetésre ezen a mérlegsoron a távhőszolgáltatók és a lakossági villamos</w:t>
      </w:r>
      <w:r w:rsidR="00DE1B2C">
        <w:rPr>
          <w:rFonts w:ascii="Times New Roman" w:eastAsia="Times New Roman" w:hAnsi="Times New Roman" w:cs="Times New Roman"/>
          <w:sz w:val="26"/>
          <w:szCs w:val="26"/>
        </w:rPr>
        <w:t xml:space="preserve"> </w:t>
      </w:r>
      <w:r w:rsidRPr="587E035A">
        <w:rPr>
          <w:rFonts w:ascii="Times New Roman" w:eastAsia="Times New Roman" w:hAnsi="Times New Roman" w:cs="Times New Roman"/>
          <w:sz w:val="26"/>
          <w:szCs w:val="26"/>
        </w:rPr>
        <w:t xml:space="preserve">energia és földgáz egyetemes szolgáltatás és készletezés kompenzációjára. </w:t>
      </w:r>
    </w:p>
    <w:p w14:paraId="627B7895" w14:textId="33F147B7" w:rsidR="30FC3356" w:rsidRDefault="397FF86C" w:rsidP="397FF86C">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A mérlegsoron belül az országos és elővárosi közlekedési közszolgáltatások költségtérítésére összesen 440,5 milliárd forint kiadás teljesült idén (szemben az előző év azonos időszakában teljesült 3</w:t>
      </w:r>
      <w:r w:rsidR="00FC7DF0">
        <w:rPr>
          <w:rFonts w:ascii="Times New Roman" w:eastAsia="Times New Roman" w:hAnsi="Times New Roman" w:cs="Times New Roman"/>
          <w:sz w:val="26"/>
          <w:szCs w:val="26"/>
        </w:rPr>
        <w:t xml:space="preserve">55,2 </w:t>
      </w:r>
      <w:bookmarkStart w:id="0" w:name="_GoBack"/>
      <w:bookmarkEnd w:id="0"/>
      <w:r w:rsidRPr="397FF86C">
        <w:rPr>
          <w:rFonts w:ascii="Times New Roman" w:eastAsia="Times New Roman" w:hAnsi="Times New Roman" w:cs="Times New Roman"/>
          <w:sz w:val="26"/>
          <w:szCs w:val="26"/>
        </w:rPr>
        <w:t xml:space="preserve">milliárd forinttal). Közúti rendelkezésre állási díjak tekintetében a mérlegsoron idén augusztus </w:t>
      </w:r>
      <w:r w:rsidRPr="0067190E">
        <w:rPr>
          <w:rFonts w:ascii="Times New Roman" w:eastAsia="Times New Roman" w:hAnsi="Times New Roman" w:cs="Times New Roman"/>
          <w:sz w:val="26"/>
          <w:szCs w:val="26"/>
        </w:rPr>
        <w:t xml:space="preserve">végéig 231,1 milliárd </w:t>
      </w:r>
      <w:r w:rsidRPr="397FF86C">
        <w:rPr>
          <w:rFonts w:ascii="Times New Roman" w:eastAsia="Times New Roman" w:hAnsi="Times New Roman" w:cs="Times New Roman"/>
          <w:sz w:val="26"/>
          <w:szCs w:val="26"/>
        </w:rPr>
        <w:t xml:space="preserve">forint teljesülés történt, ami egyben azonos </w:t>
      </w:r>
      <w:proofErr w:type="gramStart"/>
      <w:r w:rsidRPr="397FF86C">
        <w:rPr>
          <w:rFonts w:ascii="Times New Roman" w:eastAsia="Times New Roman" w:hAnsi="Times New Roman" w:cs="Times New Roman"/>
          <w:sz w:val="26"/>
          <w:szCs w:val="26"/>
        </w:rPr>
        <w:t>ezen</w:t>
      </w:r>
      <w:proofErr w:type="gramEnd"/>
      <w:r w:rsidRPr="397FF86C">
        <w:rPr>
          <w:rFonts w:ascii="Times New Roman" w:eastAsia="Times New Roman" w:hAnsi="Times New Roman" w:cs="Times New Roman"/>
          <w:sz w:val="26"/>
          <w:szCs w:val="26"/>
        </w:rPr>
        <w:t xml:space="preserve"> mérlegsor tekintetében az előző év azonos időszakához számított többlettel. Ennek oka részben technikainak tekinthető, hiszen az M5 és M6 gyorsforgalmi utak kapcsán felmerülő rendelkezésre állási díj a bázis időszakban még nem ezen a mérlegsoron került figyelembevételre, míg a 2022-ben indult új gyorsforgalmi koncessziós szerződéshez kapcsolódóan 2022. I-VIII. </w:t>
      </w:r>
      <w:proofErr w:type="gramStart"/>
      <w:r w:rsidRPr="397FF86C">
        <w:rPr>
          <w:rFonts w:ascii="Times New Roman" w:eastAsia="Times New Roman" w:hAnsi="Times New Roman" w:cs="Times New Roman"/>
          <w:sz w:val="26"/>
          <w:szCs w:val="26"/>
        </w:rPr>
        <w:t>hónapjaiban</w:t>
      </w:r>
      <w:proofErr w:type="gramEnd"/>
      <w:r w:rsidRPr="397FF86C">
        <w:rPr>
          <w:rFonts w:ascii="Times New Roman" w:eastAsia="Times New Roman" w:hAnsi="Times New Roman" w:cs="Times New Roman"/>
          <w:sz w:val="26"/>
          <w:szCs w:val="26"/>
        </w:rPr>
        <w:t xml:space="preserve"> nem történt kifizetés.</w:t>
      </w:r>
    </w:p>
    <w:p w14:paraId="7B768B2A" w14:textId="77777777" w:rsidR="00B155FE" w:rsidRPr="00B155FE" w:rsidRDefault="00B155FE" w:rsidP="00B155FE">
      <w:pPr>
        <w:spacing w:after="240" w:line="240" w:lineRule="auto"/>
        <w:jc w:val="both"/>
        <w:rPr>
          <w:rFonts w:ascii="Times New Roman" w:eastAsia="Calibri" w:hAnsi="Times New Roman" w:cs="Times New Roman"/>
          <w:sz w:val="26"/>
          <w:szCs w:val="20"/>
          <w:lang w:eastAsia="hu-HU"/>
        </w:rPr>
      </w:pPr>
    </w:p>
    <w:p w14:paraId="7B768B2B" w14:textId="584A18AD" w:rsidR="00B155FE" w:rsidRPr="00B155FE" w:rsidRDefault="002B09F4" w:rsidP="00B155FE">
      <w:pPr>
        <w:spacing w:after="120" w:line="240" w:lineRule="auto"/>
        <w:jc w:val="center"/>
        <w:rPr>
          <w:rFonts w:ascii="Times New Roman" w:eastAsia="Times New Roman" w:hAnsi="Times New Roman" w:cs="Times New Roman"/>
          <w:sz w:val="26"/>
          <w:szCs w:val="26"/>
          <w:lang w:eastAsia="hu-HU"/>
        </w:rPr>
      </w:pPr>
      <w:r w:rsidRPr="002B09F4">
        <w:rPr>
          <w:rFonts w:ascii="Times New Roman" w:eastAsia="Times New Roman" w:hAnsi="Times New Roman" w:cs="Times New Roman"/>
          <w:noProof/>
          <w:sz w:val="26"/>
          <w:szCs w:val="26"/>
          <w:lang w:eastAsia="hu-HU"/>
        </w:rPr>
        <w:drawing>
          <wp:inline distT="0" distB="0" distL="0" distR="0" wp14:anchorId="2DA17FD0" wp14:editId="6BD182EC">
            <wp:extent cx="4791694" cy="2595863"/>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8026" cy="2610128"/>
                    </a:xfrm>
                    <a:prstGeom prst="rect">
                      <a:avLst/>
                    </a:prstGeom>
                  </pic:spPr>
                </pic:pic>
              </a:graphicData>
            </a:graphic>
          </wp:inline>
        </w:drawing>
      </w:r>
    </w:p>
    <w:p w14:paraId="7B768B2C" w14:textId="063A61A5" w:rsidR="00B155FE" w:rsidRPr="00B155FE" w:rsidRDefault="397FF86C" w:rsidP="397FF86C">
      <w:pPr>
        <w:spacing w:after="120" w:line="240" w:lineRule="auto"/>
        <w:jc w:val="both"/>
        <w:rPr>
          <w:rFonts w:ascii="Times New Roman" w:eastAsia="Times New Roman" w:hAnsi="Times New Roman" w:cs="Times New Roman"/>
          <w:sz w:val="26"/>
          <w:szCs w:val="26"/>
          <w:lang w:eastAsia="hu-HU"/>
        </w:rPr>
      </w:pPr>
      <w:r w:rsidRPr="00403D7E">
        <w:rPr>
          <w:rFonts w:ascii="Times New Roman" w:eastAsia="Times New Roman" w:hAnsi="Times New Roman" w:cs="Times New Roman"/>
          <w:sz w:val="26"/>
          <w:szCs w:val="26"/>
          <w:lang w:eastAsia="hu-HU"/>
        </w:rPr>
        <w:t xml:space="preserve">A </w:t>
      </w:r>
      <w:r w:rsidRPr="00403D7E">
        <w:rPr>
          <w:rFonts w:ascii="Times New Roman" w:eastAsia="Times New Roman" w:hAnsi="Times New Roman" w:cs="Times New Roman"/>
          <w:b/>
          <w:bCs/>
          <w:sz w:val="26"/>
          <w:szCs w:val="26"/>
          <w:lang w:eastAsia="hu-HU"/>
        </w:rPr>
        <w:t>lakástámogatásokra</w:t>
      </w:r>
      <w:r w:rsidRPr="00403D7E">
        <w:rPr>
          <w:rFonts w:ascii="Times New Roman" w:eastAsia="Times New Roman" w:hAnsi="Times New Roman" w:cs="Times New Roman"/>
          <w:sz w:val="26"/>
          <w:szCs w:val="26"/>
          <w:lang w:eastAsia="hu-HU"/>
        </w:rPr>
        <w:t xml:space="preserve"> fordított </w:t>
      </w:r>
      <w:r w:rsidRPr="397FF86C">
        <w:rPr>
          <w:rFonts w:ascii="Times New Roman" w:eastAsia="Times New Roman" w:hAnsi="Times New Roman" w:cs="Times New Roman"/>
          <w:sz w:val="26"/>
          <w:szCs w:val="26"/>
          <w:lang w:eastAsia="hu-HU"/>
        </w:rPr>
        <w:t>kiadások összege augusztus végéig 369,3 milliárd forint volt, mely az előző év azonos időszakához viszonyítva 5,4 milliárd forinttal teljesült alacsonyabban. Az eltérésben szerepet játszik az otthonfelújítási támogatás és az ehhez 2021 februárjától kapcsolódó kölcsön tavaly év végi megszüntetésének áthúzódó hatása, mely az év első hónapjaiban kifizetésre került. Emellett az árfolyam- és a referenciahozamok, valamint a további konstrukciókat igénybe vevők létszámának alakulása is befolyásolta a kifizetéseket.</w:t>
      </w:r>
    </w:p>
    <w:p w14:paraId="7B768B2D" w14:textId="77777777" w:rsidR="00B155FE" w:rsidRPr="00B155FE"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Nemzeti Család- és Szociálpolitikai Alap</w:t>
      </w:r>
      <w:r w:rsidRPr="397FF86C">
        <w:rPr>
          <w:rFonts w:ascii="Times New Roman" w:eastAsia="Times New Roman" w:hAnsi="Times New Roman" w:cs="Times New Roman"/>
          <w:sz w:val="26"/>
          <w:szCs w:val="26"/>
          <w:lang w:eastAsia="hu-HU"/>
        </w:rPr>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351" w:type="dxa"/>
        <w:tblCellMar>
          <w:left w:w="70" w:type="dxa"/>
          <w:right w:w="70" w:type="dxa"/>
        </w:tblCellMar>
        <w:tblLook w:val="04A0" w:firstRow="1" w:lastRow="0" w:firstColumn="1" w:lastColumn="0" w:noHBand="0" w:noVBand="1"/>
      </w:tblPr>
      <w:tblGrid>
        <w:gridCol w:w="5082"/>
        <w:gridCol w:w="1167"/>
        <w:gridCol w:w="1167"/>
        <w:gridCol w:w="981"/>
        <w:gridCol w:w="954"/>
      </w:tblGrid>
      <w:tr w:rsidR="00B155FE" w:rsidRPr="00B155FE" w14:paraId="7B768B32" w14:textId="77777777" w:rsidTr="397FF86C">
        <w:trPr>
          <w:trHeight w:val="380"/>
        </w:trPr>
        <w:tc>
          <w:tcPr>
            <w:tcW w:w="5082"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B768B2E" w14:textId="77777777"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Megnevezés</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B2F" w14:textId="48FB3B20"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2022.</w:t>
            </w:r>
            <w:r w:rsidR="559D80A3">
              <w:br/>
            </w:r>
            <w:r w:rsidRPr="397FF86C">
              <w:rPr>
                <w:rFonts w:ascii="Times New Roman" w:eastAsia="Times New Roman" w:hAnsi="Times New Roman" w:cs="Times New Roman"/>
                <w:b/>
                <w:bCs/>
                <w:sz w:val="20"/>
                <w:szCs w:val="20"/>
                <w:lang w:eastAsia="hu-HU"/>
              </w:rPr>
              <w:t>I-VIII. hó</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B30" w14:textId="1ED22C21"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2023.</w:t>
            </w:r>
            <w:r w:rsidR="559D80A3">
              <w:br/>
            </w:r>
            <w:r w:rsidRPr="397FF86C">
              <w:rPr>
                <w:rFonts w:ascii="Times New Roman" w:eastAsia="Times New Roman" w:hAnsi="Times New Roman" w:cs="Times New Roman"/>
                <w:b/>
                <w:bCs/>
                <w:sz w:val="20"/>
                <w:szCs w:val="20"/>
                <w:lang w:eastAsia="hu-HU"/>
              </w:rPr>
              <w:t>I-VIII. hó</w:t>
            </w:r>
          </w:p>
        </w:tc>
        <w:tc>
          <w:tcPr>
            <w:tcW w:w="19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768B31" w14:textId="77777777"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Eltérés</w:t>
            </w:r>
          </w:p>
        </w:tc>
      </w:tr>
      <w:tr w:rsidR="00B155FE" w:rsidRPr="00B155FE" w14:paraId="7B768B38" w14:textId="77777777" w:rsidTr="397FF86C">
        <w:trPr>
          <w:trHeight w:val="317"/>
        </w:trPr>
        <w:tc>
          <w:tcPr>
            <w:tcW w:w="5082" w:type="dxa"/>
            <w:vMerge/>
            <w:tcBorders>
              <w:top w:val="single" w:sz="4" w:space="0" w:color="auto"/>
              <w:left w:val="single" w:sz="4" w:space="0" w:color="auto"/>
              <w:bottom w:val="single" w:sz="4" w:space="0" w:color="000000"/>
              <w:right w:val="single" w:sz="4" w:space="0" w:color="auto"/>
            </w:tcBorders>
            <w:vAlign w:val="center"/>
            <w:hideMark/>
          </w:tcPr>
          <w:p w14:paraId="7B768B33" w14:textId="77777777" w:rsidR="00B155FE" w:rsidRPr="003F267F" w:rsidRDefault="00B155FE" w:rsidP="00B155FE">
            <w:pPr>
              <w:spacing w:after="0" w:line="240" w:lineRule="auto"/>
              <w:rPr>
                <w:rFonts w:ascii="Times New Roman" w:eastAsia="Times New Roman" w:hAnsi="Times New Roman" w:cs="Times New Roman"/>
                <w:b/>
                <w:bCs/>
                <w:sz w:val="20"/>
                <w:szCs w:val="20"/>
                <w:lang w:eastAsia="hu-H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B768B34" w14:textId="77777777" w:rsidR="00B155FE" w:rsidRPr="003F267F" w:rsidRDefault="00B155FE" w:rsidP="00B155FE">
            <w:pPr>
              <w:spacing w:after="0" w:line="240" w:lineRule="auto"/>
              <w:rPr>
                <w:rFonts w:ascii="Times New Roman" w:eastAsia="Times New Roman" w:hAnsi="Times New Roman" w:cs="Times New Roman"/>
                <w:b/>
                <w:bCs/>
                <w:sz w:val="20"/>
                <w:szCs w:val="20"/>
                <w:lang w:eastAsia="hu-H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B768B35" w14:textId="77777777" w:rsidR="00B155FE" w:rsidRPr="003F267F" w:rsidRDefault="00B155FE" w:rsidP="00B155FE">
            <w:pPr>
              <w:spacing w:after="0" w:line="240" w:lineRule="auto"/>
              <w:rPr>
                <w:rFonts w:ascii="Times New Roman" w:eastAsia="Times New Roman" w:hAnsi="Times New Roman" w:cs="Times New Roman"/>
                <w:b/>
                <w:bCs/>
                <w:sz w:val="20"/>
                <w:szCs w:val="20"/>
                <w:lang w:eastAsia="hu-HU"/>
              </w:rPr>
            </w:pPr>
          </w:p>
        </w:tc>
        <w:tc>
          <w:tcPr>
            <w:tcW w:w="981" w:type="dxa"/>
            <w:tcBorders>
              <w:top w:val="nil"/>
              <w:left w:val="nil"/>
              <w:bottom w:val="single" w:sz="4" w:space="0" w:color="auto"/>
              <w:right w:val="single" w:sz="4" w:space="0" w:color="auto"/>
            </w:tcBorders>
            <w:shd w:val="clear" w:color="auto" w:fill="auto"/>
            <w:noWrap/>
            <w:vAlign w:val="center"/>
            <w:hideMark/>
          </w:tcPr>
          <w:p w14:paraId="7B768B36" w14:textId="77777777"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Mrd Ft</w:t>
            </w:r>
          </w:p>
        </w:tc>
        <w:tc>
          <w:tcPr>
            <w:tcW w:w="954" w:type="dxa"/>
            <w:tcBorders>
              <w:top w:val="nil"/>
              <w:left w:val="nil"/>
              <w:bottom w:val="single" w:sz="4" w:space="0" w:color="auto"/>
              <w:right w:val="single" w:sz="4" w:space="0" w:color="auto"/>
            </w:tcBorders>
            <w:shd w:val="clear" w:color="auto" w:fill="auto"/>
            <w:noWrap/>
            <w:vAlign w:val="center"/>
            <w:hideMark/>
          </w:tcPr>
          <w:p w14:paraId="7B768B37" w14:textId="77777777" w:rsidR="00B155FE" w:rsidRPr="003F267F" w:rsidRDefault="397FF86C" w:rsidP="397FF86C">
            <w:pPr>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w:t>
            </w:r>
          </w:p>
        </w:tc>
      </w:tr>
      <w:tr w:rsidR="00B155FE" w:rsidRPr="00B155FE" w14:paraId="7B768B3E"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39" w14:textId="77777777" w:rsidR="00B155FE" w:rsidRPr="003F267F" w:rsidRDefault="397FF86C" w:rsidP="397FF86C">
            <w:pPr>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Családi támogatások</w:t>
            </w:r>
          </w:p>
        </w:tc>
        <w:tc>
          <w:tcPr>
            <w:tcW w:w="1167" w:type="dxa"/>
            <w:tcBorders>
              <w:top w:val="nil"/>
              <w:left w:val="nil"/>
              <w:bottom w:val="single" w:sz="4" w:space="0" w:color="auto"/>
              <w:right w:val="single" w:sz="4" w:space="0" w:color="auto"/>
            </w:tcBorders>
            <w:shd w:val="clear" w:color="auto" w:fill="auto"/>
            <w:noWrap/>
            <w:vAlign w:val="center"/>
            <w:hideMark/>
          </w:tcPr>
          <w:p w14:paraId="7B768B3A" w14:textId="3B1686BE"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299,9</w:t>
            </w:r>
          </w:p>
        </w:tc>
        <w:tc>
          <w:tcPr>
            <w:tcW w:w="1167" w:type="dxa"/>
            <w:tcBorders>
              <w:top w:val="nil"/>
              <w:left w:val="nil"/>
              <w:bottom w:val="single" w:sz="4" w:space="0" w:color="auto"/>
              <w:right w:val="single" w:sz="4" w:space="0" w:color="auto"/>
            </w:tcBorders>
            <w:shd w:val="clear" w:color="auto" w:fill="auto"/>
            <w:noWrap/>
            <w:vAlign w:val="center"/>
            <w:hideMark/>
          </w:tcPr>
          <w:p w14:paraId="7B768B3B" w14:textId="40499815"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305,7</w:t>
            </w:r>
          </w:p>
        </w:tc>
        <w:tc>
          <w:tcPr>
            <w:tcW w:w="981" w:type="dxa"/>
            <w:tcBorders>
              <w:top w:val="nil"/>
              <w:left w:val="nil"/>
              <w:bottom w:val="single" w:sz="4" w:space="0" w:color="auto"/>
              <w:right w:val="single" w:sz="4" w:space="0" w:color="auto"/>
            </w:tcBorders>
            <w:shd w:val="clear" w:color="auto" w:fill="auto"/>
            <w:noWrap/>
            <w:vAlign w:val="center"/>
            <w:hideMark/>
          </w:tcPr>
          <w:p w14:paraId="7B768B3C" w14:textId="31897E8B"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5,8</w:t>
            </w:r>
          </w:p>
        </w:tc>
        <w:tc>
          <w:tcPr>
            <w:tcW w:w="954" w:type="dxa"/>
            <w:tcBorders>
              <w:top w:val="nil"/>
              <w:left w:val="nil"/>
              <w:bottom w:val="single" w:sz="4" w:space="0" w:color="auto"/>
              <w:right w:val="single" w:sz="4" w:space="0" w:color="auto"/>
            </w:tcBorders>
            <w:shd w:val="clear" w:color="auto" w:fill="auto"/>
            <w:noWrap/>
            <w:vAlign w:val="center"/>
            <w:hideMark/>
          </w:tcPr>
          <w:p w14:paraId="7B768B3D" w14:textId="58D364F1"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101,9</w:t>
            </w:r>
          </w:p>
        </w:tc>
      </w:tr>
      <w:tr w:rsidR="00B155FE" w:rsidRPr="00B155FE" w14:paraId="7B768B44"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3F" w14:textId="77777777" w:rsidR="00B155FE" w:rsidRPr="003F267F" w:rsidRDefault="397FF86C" w:rsidP="397FF86C">
            <w:pPr>
              <w:spacing w:after="0" w:line="240" w:lineRule="auto"/>
              <w:ind w:firstLineChars="100" w:firstLine="2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Ebből:</w:t>
            </w:r>
          </w:p>
        </w:tc>
        <w:tc>
          <w:tcPr>
            <w:tcW w:w="1167" w:type="dxa"/>
            <w:tcBorders>
              <w:top w:val="nil"/>
              <w:left w:val="nil"/>
              <w:bottom w:val="single" w:sz="4" w:space="0" w:color="auto"/>
              <w:right w:val="single" w:sz="4" w:space="0" w:color="auto"/>
            </w:tcBorders>
            <w:shd w:val="clear" w:color="auto" w:fill="auto"/>
            <w:noWrap/>
            <w:vAlign w:val="center"/>
            <w:hideMark/>
          </w:tcPr>
          <w:p w14:paraId="7B768B40"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1167" w:type="dxa"/>
            <w:tcBorders>
              <w:top w:val="nil"/>
              <w:left w:val="nil"/>
              <w:bottom w:val="single" w:sz="4" w:space="0" w:color="auto"/>
              <w:right w:val="single" w:sz="4" w:space="0" w:color="auto"/>
            </w:tcBorders>
            <w:shd w:val="clear" w:color="auto" w:fill="auto"/>
            <w:noWrap/>
            <w:vAlign w:val="center"/>
            <w:hideMark/>
          </w:tcPr>
          <w:p w14:paraId="7B768B41" w14:textId="77777777" w:rsidR="00B155FE" w:rsidRPr="003F267F" w:rsidRDefault="00B155FE" w:rsidP="00B155FE">
            <w:pPr>
              <w:spacing w:after="0" w:line="240" w:lineRule="auto"/>
              <w:jc w:val="right"/>
              <w:rPr>
                <w:rFonts w:ascii="Times New Roman" w:eastAsia="Times New Roman" w:hAnsi="Times New Roman" w:cs="Times New Roman"/>
                <w:sz w:val="20"/>
                <w:szCs w:val="20"/>
                <w:lang w:eastAsia="hu-HU"/>
              </w:rPr>
            </w:pPr>
          </w:p>
        </w:tc>
        <w:tc>
          <w:tcPr>
            <w:tcW w:w="981" w:type="dxa"/>
            <w:tcBorders>
              <w:top w:val="nil"/>
              <w:left w:val="nil"/>
              <w:bottom w:val="single" w:sz="4" w:space="0" w:color="auto"/>
              <w:right w:val="single" w:sz="4" w:space="0" w:color="auto"/>
            </w:tcBorders>
            <w:shd w:val="clear" w:color="auto" w:fill="auto"/>
            <w:noWrap/>
            <w:vAlign w:val="center"/>
            <w:hideMark/>
          </w:tcPr>
          <w:p w14:paraId="7B768B42"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954" w:type="dxa"/>
            <w:tcBorders>
              <w:top w:val="nil"/>
              <w:left w:val="nil"/>
              <w:bottom w:val="single" w:sz="4" w:space="0" w:color="auto"/>
              <w:right w:val="single" w:sz="4" w:space="0" w:color="auto"/>
            </w:tcBorders>
            <w:shd w:val="clear" w:color="auto" w:fill="auto"/>
            <w:noWrap/>
            <w:vAlign w:val="center"/>
            <w:hideMark/>
          </w:tcPr>
          <w:p w14:paraId="7B768B43"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r>
      <w:tr w:rsidR="00B155FE" w:rsidRPr="00B155FE" w14:paraId="7B768B4A"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45"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családi pótlék</w:t>
            </w:r>
          </w:p>
        </w:tc>
        <w:tc>
          <w:tcPr>
            <w:tcW w:w="1167" w:type="dxa"/>
            <w:tcBorders>
              <w:top w:val="nil"/>
              <w:left w:val="nil"/>
              <w:bottom w:val="single" w:sz="4" w:space="0" w:color="auto"/>
              <w:right w:val="single" w:sz="4" w:space="0" w:color="auto"/>
            </w:tcBorders>
            <w:shd w:val="clear" w:color="auto" w:fill="auto"/>
            <w:noWrap/>
            <w:vAlign w:val="center"/>
            <w:hideMark/>
          </w:tcPr>
          <w:p w14:paraId="7B768B46" w14:textId="60F8E0E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232,2</w:t>
            </w:r>
          </w:p>
        </w:tc>
        <w:tc>
          <w:tcPr>
            <w:tcW w:w="1167" w:type="dxa"/>
            <w:tcBorders>
              <w:top w:val="nil"/>
              <w:left w:val="nil"/>
              <w:bottom w:val="single" w:sz="4" w:space="0" w:color="auto"/>
              <w:right w:val="single" w:sz="4" w:space="0" w:color="auto"/>
            </w:tcBorders>
            <w:shd w:val="clear" w:color="auto" w:fill="auto"/>
            <w:noWrap/>
            <w:vAlign w:val="center"/>
            <w:hideMark/>
          </w:tcPr>
          <w:p w14:paraId="7B768B47" w14:textId="574B80DD" w:rsidR="00B155FE" w:rsidRPr="003F267F" w:rsidRDefault="397FF86C" w:rsidP="397FF86C">
            <w:pPr>
              <w:spacing w:after="0"/>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230,3</w:t>
            </w:r>
          </w:p>
        </w:tc>
        <w:tc>
          <w:tcPr>
            <w:tcW w:w="981" w:type="dxa"/>
            <w:tcBorders>
              <w:top w:val="nil"/>
              <w:left w:val="nil"/>
              <w:bottom w:val="single" w:sz="4" w:space="0" w:color="auto"/>
              <w:right w:val="single" w:sz="4" w:space="0" w:color="auto"/>
            </w:tcBorders>
            <w:shd w:val="clear" w:color="auto" w:fill="auto"/>
            <w:noWrap/>
            <w:vAlign w:val="center"/>
            <w:hideMark/>
          </w:tcPr>
          <w:p w14:paraId="7B768B48" w14:textId="6185F17F"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-1,9</w:t>
            </w:r>
          </w:p>
        </w:tc>
        <w:tc>
          <w:tcPr>
            <w:tcW w:w="954" w:type="dxa"/>
            <w:tcBorders>
              <w:top w:val="nil"/>
              <w:left w:val="nil"/>
              <w:bottom w:val="single" w:sz="4" w:space="0" w:color="auto"/>
              <w:right w:val="single" w:sz="4" w:space="0" w:color="auto"/>
            </w:tcBorders>
            <w:shd w:val="clear" w:color="auto" w:fill="auto"/>
            <w:noWrap/>
            <w:vAlign w:val="center"/>
            <w:hideMark/>
          </w:tcPr>
          <w:p w14:paraId="7B768B49" w14:textId="7E6E2942"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99,2</w:t>
            </w:r>
          </w:p>
        </w:tc>
      </w:tr>
      <w:tr w:rsidR="00B155FE" w:rsidRPr="00B155FE" w14:paraId="7B768B50"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4B"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anyasági támogatás</w:t>
            </w:r>
          </w:p>
        </w:tc>
        <w:tc>
          <w:tcPr>
            <w:tcW w:w="1167" w:type="dxa"/>
            <w:tcBorders>
              <w:top w:val="nil"/>
              <w:left w:val="nil"/>
              <w:bottom w:val="single" w:sz="4" w:space="0" w:color="auto"/>
              <w:right w:val="single" w:sz="4" w:space="0" w:color="auto"/>
            </w:tcBorders>
            <w:shd w:val="clear" w:color="auto" w:fill="auto"/>
            <w:noWrap/>
            <w:vAlign w:val="center"/>
            <w:hideMark/>
          </w:tcPr>
          <w:p w14:paraId="7B768B4C" w14:textId="61C504A2"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4,0</w:t>
            </w:r>
          </w:p>
        </w:tc>
        <w:tc>
          <w:tcPr>
            <w:tcW w:w="1167" w:type="dxa"/>
            <w:tcBorders>
              <w:top w:val="nil"/>
              <w:left w:val="nil"/>
              <w:bottom w:val="single" w:sz="4" w:space="0" w:color="auto"/>
              <w:right w:val="single" w:sz="4" w:space="0" w:color="auto"/>
            </w:tcBorders>
            <w:shd w:val="clear" w:color="auto" w:fill="auto"/>
            <w:noWrap/>
            <w:vAlign w:val="center"/>
            <w:hideMark/>
          </w:tcPr>
          <w:p w14:paraId="7B768B4D" w14:textId="5FF6DE05"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4,1</w:t>
            </w:r>
          </w:p>
        </w:tc>
        <w:tc>
          <w:tcPr>
            <w:tcW w:w="981" w:type="dxa"/>
            <w:tcBorders>
              <w:top w:val="nil"/>
              <w:left w:val="nil"/>
              <w:bottom w:val="single" w:sz="4" w:space="0" w:color="auto"/>
              <w:right w:val="single" w:sz="4" w:space="0" w:color="auto"/>
            </w:tcBorders>
            <w:shd w:val="clear" w:color="auto" w:fill="auto"/>
            <w:noWrap/>
            <w:vAlign w:val="center"/>
            <w:hideMark/>
          </w:tcPr>
          <w:p w14:paraId="7B768B4E" w14:textId="7A6E1BCA"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0,1</w:t>
            </w:r>
          </w:p>
        </w:tc>
        <w:tc>
          <w:tcPr>
            <w:tcW w:w="954" w:type="dxa"/>
            <w:tcBorders>
              <w:top w:val="nil"/>
              <w:left w:val="nil"/>
              <w:bottom w:val="single" w:sz="4" w:space="0" w:color="auto"/>
              <w:right w:val="single" w:sz="4" w:space="0" w:color="auto"/>
            </w:tcBorders>
            <w:shd w:val="clear" w:color="auto" w:fill="auto"/>
            <w:noWrap/>
            <w:vAlign w:val="center"/>
            <w:hideMark/>
          </w:tcPr>
          <w:p w14:paraId="7B768B4F" w14:textId="2556FA5A"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102,5</w:t>
            </w:r>
          </w:p>
        </w:tc>
      </w:tr>
      <w:tr w:rsidR="00B155FE" w:rsidRPr="00B155FE" w14:paraId="7B768B56"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7B768B51"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gyermekgondozást segítő ellátás</w:t>
            </w:r>
          </w:p>
        </w:tc>
        <w:tc>
          <w:tcPr>
            <w:tcW w:w="1167" w:type="dxa"/>
            <w:tcBorders>
              <w:top w:val="nil"/>
              <w:left w:val="nil"/>
              <w:bottom w:val="single" w:sz="4" w:space="0" w:color="auto"/>
              <w:right w:val="single" w:sz="4" w:space="0" w:color="auto"/>
            </w:tcBorders>
            <w:shd w:val="clear" w:color="auto" w:fill="auto"/>
            <w:noWrap/>
            <w:vAlign w:val="center"/>
            <w:hideMark/>
          </w:tcPr>
          <w:p w14:paraId="7B768B52" w14:textId="0B066810"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41,2</w:t>
            </w:r>
          </w:p>
        </w:tc>
        <w:tc>
          <w:tcPr>
            <w:tcW w:w="1167" w:type="dxa"/>
            <w:tcBorders>
              <w:top w:val="nil"/>
              <w:left w:val="nil"/>
              <w:bottom w:val="single" w:sz="4" w:space="0" w:color="auto"/>
              <w:right w:val="single" w:sz="4" w:space="0" w:color="auto"/>
            </w:tcBorders>
            <w:shd w:val="clear" w:color="auto" w:fill="auto"/>
            <w:noWrap/>
            <w:vAlign w:val="center"/>
            <w:hideMark/>
          </w:tcPr>
          <w:p w14:paraId="7B768B53" w14:textId="4D1A0181"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40,5</w:t>
            </w:r>
          </w:p>
        </w:tc>
        <w:tc>
          <w:tcPr>
            <w:tcW w:w="981" w:type="dxa"/>
            <w:tcBorders>
              <w:top w:val="nil"/>
              <w:left w:val="nil"/>
              <w:bottom w:val="single" w:sz="4" w:space="0" w:color="auto"/>
              <w:right w:val="single" w:sz="4" w:space="0" w:color="auto"/>
            </w:tcBorders>
            <w:shd w:val="clear" w:color="auto" w:fill="auto"/>
            <w:noWrap/>
            <w:vAlign w:val="center"/>
            <w:hideMark/>
          </w:tcPr>
          <w:p w14:paraId="7B768B54" w14:textId="087B6DB5"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-0,7</w:t>
            </w:r>
          </w:p>
        </w:tc>
        <w:tc>
          <w:tcPr>
            <w:tcW w:w="954" w:type="dxa"/>
            <w:tcBorders>
              <w:top w:val="nil"/>
              <w:left w:val="nil"/>
              <w:bottom w:val="single" w:sz="4" w:space="0" w:color="auto"/>
              <w:right w:val="single" w:sz="4" w:space="0" w:color="auto"/>
            </w:tcBorders>
            <w:shd w:val="clear" w:color="auto" w:fill="auto"/>
            <w:noWrap/>
            <w:vAlign w:val="center"/>
            <w:hideMark/>
          </w:tcPr>
          <w:p w14:paraId="7B768B55" w14:textId="0ACD6A32"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98,3</w:t>
            </w:r>
          </w:p>
        </w:tc>
      </w:tr>
      <w:tr w:rsidR="00B155FE" w:rsidRPr="00B155FE" w14:paraId="7B768B5C"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7B768B57"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gyermeknevelési támogatás</w:t>
            </w:r>
          </w:p>
        </w:tc>
        <w:tc>
          <w:tcPr>
            <w:tcW w:w="1167" w:type="dxa"/>
            <w:tcBorders>
              <w:top w:val="nil"/>
              <w:left w:val="nil"/>
              <w:bottom w:val="single" w:sz="4" w:space="0" w:color="auto"/>
              <w:right w:val="single" w:sz="4" w:space="0" w:color="auto"/>
            </w:tcBorders>
            <w:shd w:val="clear" w:color="auto" w:fill="auto"/>
            <w:noWrap/>
            <w:vAlign w:val="center"/>
            <w:hideMark/>
          </w:tcPr>
          <w:p w14:paraId="7B768B58" w14:textId="2BC9EA33"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7,6</w:t>
            </w:r>
          </w:p>
        </w:tc>
        <w:tc>
          <w:tcPr>
            <w:tcW w:w="1167" w:type="dxa"/>
            <w:tcBorders>
              <w:top w:val="nil"/>
              <w:left w:val="nil"/>
              <w:bottom w:val="single" w:sz="4" w:space="0" w:color="auto"/>
              <w:right w:val="single" w:sz="4" w:space="0" w:color="auto"/>
            </w:tcBorders>
            <w:shd w:val="clear" w:color="auto" w:fill="auto"/>
            <w:noWrap/>
            <w:vAlign w:val="center"/>
            <w:hideMark/>
          </w:tcPr>
          <w:p w14:paraId="7B768B59" w14:textId="3EC4411C"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7,3</w:t>
            </w:r>
          </w:p>
        </w:tc>
        <w:tc>
          <w:tcPr>
            <w:tcW w:w="981" w:type="dxa"/>
            <w:tcBorders>
              <w:top w:val="nil"/>
              <w:left w:val="nil"/>
              <w:bottom w:val="single" w:sz="4" w:space="0" w:color="auto"/>
              <w:right w:val="single" w:sz="4" w:space="0" w:color="auto"/>
            </w:tcBorders>
            <w:shd w:val="clear" w:color="auto" w:fill="auto"/>
            <w:noWrap/>
            <w:vAlign w:val="center"/>
            <w:hideMark/>
          </w:tcPr>
          <w:p w14:paraId="7B768B5A" w14:textId="196676B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-0,3</w:t>
            </w:r>
          </w:p>
        </w:tc>
        <w:tc>
          <w:tcPr>
            <w:tcW w:w="954" w:type="dxa"/>
            <w:tcBorders>
              <w:top w:val="nil"/>
              <w:left w:val="nil"/>
              <w:bottom w:val="single" w:sz="4" w:space="0" w:color="auto"/>
              <w:right w:val="single" w:sz="4" w:space="0" w:color="auto"/>
            </w:tcBorders>
            <w:shd w:val="clear" w:color="auto" w:fill="auto"/>
            <w:noWrap/>
            <w:vAlign w:val="center"/>
            <w:hideMark/>
          </w:tcPr>
          <w:p w14:paraId="7B768B5B" w14:textId="69F88074"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96,1</w:t>
            </w:r>
          </w:p>
        </w:tc>
      </w:tr>
      <w:tr w:rsidR="00B155FE" w:rsidRPr="00B155FE" w14:paraId="7B768B62"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7B768B5D"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gyermekek születésével kapcsolatos szabadság megtérítése</w:t>
            </w:r>
          </w:p>
        </w:tc>
        <w:tc>
          <w:tcPr>
            <w:tcW w:w="1167" w:type="dxa"/>
            <w:tcBorders>
              <w:top w:val="nil"/>
              <w:left w:val="nil"/>
              <w:bottom w:val="single" w:sz="4" w:space="0" w:color="auto"/>
              <w:right w:val="single" w:sz="4" w:space="0" w:color="auto"/>
            </w:tcBorders>
            <w:shd w:val="clear" w:color="auto" w:fill="auto"/>
            <w:noWrap/>
            <w:vAlign w:val="center"/>
            <w:hideMark/>
          </w:tcPr>
          <w:p w14:paraId="7B768B5E" w14:textId="2E6C63F4"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3,1</w:t>
            </w:r>
          </w:p>
        </w:tc>
        <w:tc>
          <w:tcPr>
            <w:tcW w:w="1167" w:type="dxa"/>
            <w:tcBorders>
              <w:top w:val="nil"/>
              <w:left w:val="nil"/>
              <w:bottom w:val="single" w:sz="4" w:space="0" w:color="auto"/>
              <w:right w:val="single" w:sz="4" w:space="0" w:color="auto"/>
            </w:tcBorders>
            <w:shd w:val="clear" w:color="auto" w:fill="auto"/>
            <w:noWrap/>
            <w:vAlign w:val="center"/>
            <w:hideMark/>
          </w:tcPr>
          <w:p w14:paraId="7B768B5F" w14:textId="5DCF6463"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3,5</w:t>
            </w:r>
          </w:p>
        </w:tc>
        <w:tc>
          <w:tcPr>
            <w:tcW w:w="981" w:type="dxa"/>
            <w:tcBorders>
              <w:top w:val="nil"/>
              <w:left w:val="nil"/>
              <w:bottom w:val="single" w:sz="4" w:space="0" w:color="auto"/>
              <w:right w:val="single" w:sz="4" w:space="0" w:color="auto"/>
            </w:tcBorders>
            <w:shd w:val="clear" w:color="auto" w:fill="auto"/>
            <w:noWrap/>
            <w:vAlign w:val="center"/>
            <w:hideMark/>
          </w:tcPr>
          <w:p w14:paraId="7B768B60" w14:textId="24F3B536"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0,4</w:t>
            </w:r>
          </w:p>
        </w:tc>
        <w:tc>
          <w:tcPr>
            <w:tcW w:w="954" w:type="dxa"/>
            <w:tcBorders>
              <w:top w:val="nil"/>
              <w:left w:val="nil"/>
              <w:bottom w:val="single" w:sz="4" w:space="0" w:color="auto"/>
              <w:right w:val="single" w:sz="4" w:space="0" w:color="auto"/>
            </w:tcBorders>
            <w:shd w:val="clear" w:color="auto" w:fill="auto"/>
            <w:noWrap/>
            <w:vAlign w:val="center"/>
            <w:hideMark/>
          </w:tcPr>
          <w:p w14:paraId="7B768B61" w14:textId="0E76B535"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112,9</w:t>
            </w:r>
          </w:p>
        </w:tc>
      </w:tr>
      <w:tr w:rsidR="00B155FE" w:rsidRPr="00B155FE" w14:paraId="7B768B68"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7B768B63"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életkezdési támogatás</w:t>
            </w:r>
          </w:p>
        </w:tc>
        <w:tc>
          <w:tcPr>
            <w:tcW w:w="1167" w:type="dxa"/>
            <w:tcBorders>
              <w:top w:val="nil"/>
              <w:left w:val="nil"/>
              <w:bottom w:val="single" w:sz="4" w:space="0" w:color="auto"/>
              <w:right w:val="single" w:sz="4" w:space="0" w:color="auto"/>
            </w:tcBorders>
            <w:shd w:val="clear" w:color="auto" w:fill="auto"/>
            <w:noWrap/>
            <w:vAlign w:val="center"/>
            <w:hideMark/>
          </w:tcPr>
          <w:p w14:paraId="7B768B64" w14:textId="7A7FC96D"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9,4</w:t>
            </w:r>
          </w:p>
        </w:tc>
        <w:tc>
          <w:tcPr>
            <w:tcW w:w="1167" w:type="dxa"/>
            <w:tcBorders>
              <w:top w:val="nil"/>
              <w:left w:val="nil"/>
              <w:bottom w:val="single" w:sz="4" w:space="0" w:color="auto"/>
              <w:right w:val="single" w:sz="4" w:space="0" w:color="auto"/>
            </w:tcBorders>
            <w:shd w:val="clear" w:color="auto" w:fill="auto"/>
            <w:noWrap/>
            <w:vAlign w:val="center"/>
            <w:hideMark/>
          </w:tcPr>
          <w:p w14:paraId="7B768B65" w14:textId="7674CE3D"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17,7</w:t>
            </w:r>
          </w:p>
        </w:tc>
        <w:tc>
          <w:tcPr>
            <w:tcW w:w="981" w:type="dxa"/>
            <w:tcBorders>
              <w:top w:val="nil"/>
              <w:left w:val="nil"/>
              <w:bottom w:val="single" w:sz="4" w:space="0" w:color="auto"/>
              <w:right w:val="single" w:sz="4" w:space="0" w:color="auto"/>
            </w:tcBorders>
            <w:shd w:val="clear" w:color="auto" w:fill="auto"/>
            <w:noWrap/>
            <w:vAlign w:val="center"/>
            <w:hideMark/>
          </w:tcPr>
          <w:p w14:paraId="7B768B66" w14:textId="040297EF"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8,3</w:t>
            </w:r>
          </w:p>
        </w:tc>
        <w:tc>
          <w:tcPr>
            <w:tcW w:w="954" w:type="dxa"/>
            <w:tcBorders>
              <w:top w:val="nil"/>
              <w:left w:val="nil"/>
              <w:bottom w:val="single" w:sz="4" w:space="0" w:color="auto"/>
              <w:right w:val="single" w:sz="4" w:space="0" w:color="auto"/>
            </w:tcBorders>
            <w:shd w:val="clear" w:color="auto" w:fill="auto"/>
            <w:noWrap/>
            <w:vAlign w:val="center"/>
            <w:hideMark/>
          </w:tcPr>
          <w:p w14:paraId="7B768B67" w14:textId="432AB67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188,3</w:t>
            </w:r>
          </w:p>
        </w:tc>
      </w:tr>
      <w:tr w:rsidR="00B155FE" w:rsidRPr="00B155FE" w14:paraId="7B768B6E"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69" w14:textId="77777777" w:rsidR="00B155FE" w:rsidRPr="003F267F" w:rsidRDefault="397FF86C" w:rsidP="397FF86C">
            <w:pPr>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Korhatár alatti ellátások</w:t>
            </w:r>
          </w:p>
        </w:tc>
        <w:tc>
          <w:tcPr>
            <w:tcW w:w="1167" w:type="dxa"/>
            <w:tcBorders>
              <w:top w:val="nil"/>
              <w:left w:val="nil"/>
              <w:bottom w:val="single" w:sz="4" w:space="0" w:color="auto"/>
              <w:right w:val="single" w:sz="4" w:space="0" w:color="auto"/>
            </w:tcBorders>
            <w:shd w:val="clear" w:color="auto" w:fill="auto"/>
            <w:noWrap/>
            <w:vAlign w:val="center"/>
            <w:hideMark/>
          </w:tcPr>
          <w:p w14:paraId="7B768B6A" w14:textId="605282EA"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77,2</w:t>
            </w:r>
          </w:p>
        </w:tc>
        <w:tc>
          <w:tcPr>
            <w:tcW w:w="1167" w:type="dxa"/>
            <w:tcBorders>
              <w:top w:val="nil"/>
              <w:left w:val="nil"/>
              <w:bottom w:val="single" w:sz="4" w:space="0" w:color="auto"/>
              <w:right w:val="single" w:sz="4" w:space="0" w:color="auto"/>
            </w:tcBorders>
            <w:shd w:val="clear" w:color="auto" w:fill="auto"/>
            <w:noWrap/>
            <w:vAlign w:val="center"/>
            <w:hideMark/>
          </w:tcPr>
          <w:p w14:paraId="7B768B6B" w14:textId="7A6C5D25"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86,1</w:t>
            </w:r>
          </w:p>
        </w:tc>
        <w:tc>
          <w:tcPr>
            <w:tcW w:w="981" w:type="dxa"/>
            <w:tcBorders>
              <w:top w:val="nil"/>
              <w:left w:val="nil"/>
              <w:bottom w:val="single" w:sz="4" w:space="0" w:color="auto"/>
              <w:right w:val="single" w:sz="4" w:space="0" w:color="auto"/>
            </w:tcBorders>
            <w:shd w:val="clear" w:color="auto" w:fill="auto"/>
            <w:noWrap/>
            <w:vAlign w:val="center"/>
            <w:hideMark/>
          </w:tcPr>
          <w:p w14:paraId="7B768B6C" w14:textId="752FD191"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8,9</w:t>
            </w:r>
          </w:p>
        </w:tc>
        <w:tc>
          <w:tcPr>
            <w:tcW w:w="954" w:type="dxa"/>
            <w:tcBorders>
              <w:top w:val="nil"/>
              <w:left w:val="nil"/>
              <w:bottom w:val="single" w:sz="4" w:space="0" w:color="auto"/>
              <w:right w:val="single" w:sz="4" w:space="0" w:color="auto"/>
            </w:tcBorders>
            <w:shd w:val="clear" w:color="auto" w:fill="auto"/>
            <w:noWrap/>
            <w:vAlign w:val="center"/>
            <w:hideMark/>
          </w:tcPr>
          <w:p w14:paraId="7B768B6D" w14:textId="61CCB122"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111,5</w:t>
            </w:r>
          </w:p>
        </w:tc>
      </w:tr>
      <w:tr w:rsidR="00B155FE" w:rsidRPr="00B155FE" w14:paraId="7B768B74"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6F" w14:textId="77777777" w:rsidR="00B155FE" w:rsidRPr="003F267F" w:rsidRDefault="397FF86C" w:rsidP="397FF86C">
            <w:pPr>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Jövedelempótló és jövedelemkiegészítő szociális támogatások</w:t>
            </w:r>
          </w:p>
        </w:tc>
        <w:tc>
          <w:tcPr>
            <w:tcW w:w="1167" w:type="dxa"/>
            <w:tcBorders>
              <w:top w:val="nil"/>
              <w:left w:val="nil"/>
              <w:bottom w:val="single" w:sz="4" w:space="0" w:color="auto"/>
              <w:right w:val="single" w:sz="4" w:space="0" w:color="auto"/>
            </w:tcBorders>
            <w:shd w:val="clear" w:color="auto" w:fill="auto"/>
            <w:noWrap/>
            <w:vAlign w:val="center"/>
            <w:hideMark/>
          </w:tcPr>
          <w:p w14:paraId="7B768B70" w14:textId="3D8B6122"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122,7</w:t>
            </w:r>
          </w:p>
        </w:tc>
        <w:tc>
          <w:tcPr>
            <w:tcW w:w="1167" w:type="dxa"/>
            <w:tcBorders>
              <w:top w:val="nil"/>
              <w:left w:val="nil"/>
              <w:bottom w:val="single" w:sz="4" w:space="0" w:color="auto"/>
              <w:right w:val="single" w:sz="4" w:space="0" w:color="auto"/>
            </w:tcBorders>
            <w:shd w:val="clear" w:color="auto" w:fill="auto"/>
            <w:noWrap/>
            <w:vAlign w:val="center"/>
            <w:hideMark/>
          </w:tcPr>
          <w:p w14:paraId="7B768B71" w14:textId="03941D43"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132,9</w:t>
            </w:r>
          </w:p>
        </w:tc>
        <w:tc>
          <w:tcPr>
            <w:tcW w:w="981" w:type="dxa"/>
            <w:tcBorders>
              <w:top w:val="nil"/>
              <w:left w:val="nil"/>
              <w:bottom w:val="single" w:sz="4" w:space="0" w:color="auto"/>
              <w:right w:val="single" w:sz="4" w:space="0" w:color="auto"/>
            </w:tcBorders>
            <w:shd w:val="clear" w:color="auto" w:fill="auto"/>
            <w:noWrap/>
            <w:vAlign w:val="center"/>
            <w:hideMark/>
          </w:tcPr>
          <w:p w14:paraId="7B768B72" w14:textId="56374011"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10,2</w:t>
            </w:r>
          </w:p>
        </w:tc>
        <w:tc>
          <w:tcPr>
            <w:tcW w:w="954" w:type="dxa"/>
            <w:tcBorders>
              <w:top w:val="nil"/>
              <w:left w:val="nil"/>
              <w:bottom w:val="single" w:sz="4" w:space="0" w:color="auto"/>
              <w:right w:val="single" w:sz="4" w:space="0" w:color="auto"/>
            </w:tcBorders>
            <w:shd w:val="clear" w:color="auto" w:fill="auto"/>
            <w:noWrap/>
            <w:vAlign w:val="center"/>
            <w:hideMark/>
          </w:tcPr>
          <w:p w14:paraId="7B768B73" w14:textId="7A6CD6E8"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108,3</w:t>
            </w:r>
          </w:p>
        </w:tc>
      </w:tr>
      <w:tr w:rsidR="00B155FE" w:rsidRPr="00B155FE" w14:paraId="7B768B7A"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75" w14:textId="77777777" w:rsidR="00B155FE" w:rsidRPr="003F267F" w:rsidRDefault="397FF86C" w:rsidP="397FF86C">
            <w:pPr>
              <w:spacing w:after="0" w:line="240" w:lineRule="auto"/>
              <w:ind w:firstLineChars="100" w:firstLine="2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Ebből:</w:t>
            </w:r>
          </w:p>
        </w:tc>
        <w:tc>
          <w:tcPr>
            <w:tcW w:w="1167" w:type="dxa"/>
            <w:tcBorders>
              <w:top w:val="nil"/>
              <w:left w:val="nil"/>
              <w:bottom w:val="single" w:sz="4" w:space="0" w:color="auto"/>
              <w:right w:val="single" w:sz="4" w:space="0" w:color="auto"/>
            </w:tcBorders>
            <w:shd w:val="clear" w:color="auto" w:fill="auto"/>
            <w:noWrap/>
            <w:vAlign w:val="center"/>
            <w:hideMark/>
          </w:tcPr>
          <w:p w14:paraId="7B768B76"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1167" w:type="dxa"/>
            <w:tcBorders>
              <w:top w:val="nil"/>
              <w:left w:val="nil"/>
              <w:bottom w:val="single" w:sz="4" w:space="0" w:color="auto"/>
              <w:right w:val="single" w:sz="4" w:space="0" w:color="auto"/>
            </w:tcBorders>
            <w:shd w:val="clear" w:color="auto" w:fill="auto"/>
            <w:noWrap/>
            <w:vAlign w:val="center"/>
            <w:hideMark/>
          </w:tcPr>
          <w:p w14:paraId="7B768B77" w14:textId="77777777" w:rsidR="00B155FE" w:rsidRPr="003F267F" w:rsidRDefault="00B155FE" w:rsidP="00B155FE">
            <w:pPr>
              <w:spacing w:after="0" w:line="240" w:lineRule="auto"/>
              <w:jc w:val="right"/>
              <w:rPr>
                <w:rFonts w:ascii="Times New Roman" w:eastAsia="Times New Roman" w:hAnsi="Times New Roman" w:cs="Times New Roman"/>
                <w:sz w:val="20"/>
                <w:szCs w:val="20"/>
                <w:lang w:eastAsia="hu-HU"/>
              </w:rPr>
            </w:pPr>
          </w:p>
        </w:tc>
        <w:tc>
          <w:tcPr>
            <w:tcW w:w="981" w:type="dxa"/>
            <w:tcBorders>
              <w:top w:val="nil"/>
              <w:left w:val="nil"/>
              <w:bottom w:val="single" w:sz="4" w:space="0" w:color="auto"/>
              <w:right w:val="single" w:sz="4" w:space="0" w:color="auto"/>
            </w:tcBorders>
            <w:shd w:val="clear" w:color="auto" w:fill="auto"/>
            <w:noWrap/>
            <w:vAlign w:val="center"/>
            <w:hideMark/>
          </w:tcPr>
          <w:p w14:paraId="7B768B78"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954" w:type="dxa"/>
            <w:tcBorders>
              <w:top w:val="nil"/>
              <w:left w:val="nil"/>
              <w:bottom w:val="single" w:sz="4" w:space="0" w:color="auto"/>
              <w:right w:val="single" w:sz="4" w:space="0" w:color="auto"/>
            </w:tcBorders>
            <w:shd w:val="clear" w:color="auto" w:fill="auto"/>
            <w:noWrap/>
            <w:vAlign w:val="center"/>
            <w:hideMark/>
          </w:tcPr>
          <w:p w14:paraId="7B768B79" w14:textId="77777777"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 </w:t>
            </w:r>
          </w:p>
        </w:tc>
      </w:tr>
      <w:tr w:rsidR="00B155FE" w:rsidRPr="00B155FE" w14:paraId="7B768B80"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7B"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Jövedelempótló és jövedelemkiegészítő ellátások</w:t>
            </w:r>
          </w:p>
        </w:tc>
        <w:tc>
          <w:tcPr>
            <w:tcW w:w="1167" w:type="dxa"/>
            <w:tcBorders>
              <w:top w:val="nil"/>
              <w:left w:val="nil"/>
              <w:bottom w:val="single" w:sz="4" w:space="0" w:color="auto"/>
              <w:right w:val="single" w:sz="4" w:space="0" w:color="auto"/>
            </w:tcBorders>
            <w:shd w:val="clear" w:color="auto" w:fill="auto"/>
            <w:noWrap/>
            <w:vAlign w:val="center"/>
            <w:hideMark/>
          </w:tcPr>
          <w:p w14:paraId="7B768B7C" w14:textId="2508B3D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48,2</w:t>
            </w:r>
          </w:p>
        </w:tc>
        <w:tc>
          <w:tcPr>
            <w:tcW w:w="1167" w:type="dxa"/>
            <w:tcBorders>
              <w:top w:val="nil"/>
              <w:left w:val="nil"/>
              <w:bottom w:val="single" w:sz="4" w:space="0" w:color="auto"/>
              <w:right w:val="single" w:sz="4" w:space="0" w:color="auto"/>
            </w:tcBorders>
            <w:shd w:val="clear" w:color="auto" w:fill="auto"/>
            <w:noWrap/>
            <w:vAlign w:val="center"/>
            <w:hideMark/>
          </w:tcPr>
          <w:p w14:paraId="7B768B7D" w14:textId="172E8606"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55,4</w:t>
            </w:r>
          </w:p>
        </w:tc>
        <w:tc>
          <w:tcPr>
            <w:tcW w:w="981" w:type="dxa"/>
            <w:tcBorders>
              <w:top w:val="nil"/>
              <w:left w:val="nil"/>
              <w:bottom w:val="single" w:sz="4" w:space="0" w:color="auto"/>
              <w:right w:val="single" w:sz="4" w:space="0" w:color="auto"/>
            </w:tcBorders>
            <w:shd w:val="clear" w:color="auto" w:fill="auto"/>
            <w:noWrap/>
            <w:vAlign w:val="center"/>
            <w:hideMark/>
          </w:tcPr>
          <w:p w14:paraId="7B768B7E" w14:textId="3FF4D760"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7,2</w:t>
            </w:r>
          </w:p>
        </w:tc>
        <w:tc>
          <w:tcPr>
            <w:tcW w:w="954" w:type="dxa"/>
            <w:tcBorders>
              <w:top w:val="nil"/>
              <w:left w:val="nil"/>
              <w:bottom w:val="single" w:sz="4" w:space="0" w:color="auto"/>
              <w:right w:val="single" w:sz="4" w:space="0" w:color="auto"/>
            </w:tcBorders>
            <w:shd w:val="clear" w:color="auto" w:fill="auto"/>
            <w:noWrap/>
            <w:vAlign w:val="center"/>
            <w:hideMark/>
          </w:tcPr>
          <w:p w14:paraId="7B768B7F" w14:textId="2150767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114,9</w:t>
            </w:r>
          </w:p>
        </w:tc>
      </w:tr>
      <w:tr w:rsidR="00B155FE" w:rsidRPr="00B155FE" w14:paraId="7B768B86"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81"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Járási szociális feladatok ellátása</w:t>
            </w:r>
          </w:p>
        </w:tc>
        <w:tc>
          <w:tcPr>
            <w:tcW w:w="1167" w:type="dxa"/>
            <w:tcBorders>
              <w:top w:val="nil"/>
              <w:left w:val="nil"/>
              <w:bottom w:val="single" w:sz="4" w:space="0" w:color="auto"/>
              <w:right w:val="single" w:sz="4" w:space="0" w:color="auto"/>
            </w:tcBorders>
            <w:shd w:val="clear" w:color="auto" w:fill="auto"/>
            <w:noWrap/>
            <w:vAlign w:val="center"/>
            <w:hideMark/>
          </w:tcPr>
          <w:p w14:paraId="7B768B82" w14:textId="4C18623C"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74,5</w:t>
            </w:r>
          </w:p>
        </w:tc>
        <w:tc>
          <w:tcPr>
            <w:tcW w:w="1167" w:type="dxa"/>
            <w:tcBorders>
              <w:top w:val="nil"/>
              <w:left w:val="nil"/>
              <w:bottom w:val="single" w:sz="4" w:space="0" w:color="auto"/>
              <w:right w:val="single" w:sz="4" w:space="0" w:color="auto"/>
            </w:tcBorders>
            <w:shd w:val="clear" w:color="auto" w:fill="auto"/>
            <w:noWrap/>
            <w:vAlign w:val="center"/>
            <w:hideMark/>
          </w:tcPr>
          <w:p w14:paraId="7B768B83" w14:textId="47CF9C92"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77,5</w:t>
            </w:r>
          </w:p>
        </w:tc>
        <w:tc>
          <w:tcPr>
            <w:tcW w:w="981" w:type="dxa"/>
            <w:tcBorders>
              <w:top w:val="nil"/>
              <w:left w:val="nil"/>
              <w:bottom w:val="single" w:sz="4" w:space="0" w:color="auto"/>
              <w:right w:val="single" w:sz="4" w:space="0" w:color="auto"/>
            </w:tcBorders>
            <w:shd w:val="clear" w:color="auto" w:fill="auto"/>
            <w:noWrap/>
            <w:vAlign w:val="center"/>
            <w:hideMark/>
          </w:tcPr>
          <w:p w14:paraId="7B768B84" w14:textId="1418CF18"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3,0</w:t>
            </w:r>
          </w:p>
        </w:tc>
        <w:tc>
          <w:tcPr>
            <w:tcW w:w="954" w:type="dxa"/>
            <w:tcBorders>
              <w:top w:val="nil"/>
              <w:left w:val="nil"/>
              <w:bottom w:val="single" w:sz="4" w:space="0" w:color="auto"/>
              <w:right w:val="single" w:sz="4" w:space="0" w:color="auto"/>
            </w:tcBorders>
            <w:shd w:val="clear" w:color="auto" w:fill="auto"/>
            <w:noWrap/>
            <w:vAlign w:val="center"/>
            <w:hideMark/>
          </w:tcPr>
          <w:p w14:paraId="7B768B85" w14:textId="47814594"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104,0</w:t>
            </w:r>
          </w:p>
        </w:tc>
      </w:tr>
      <w:tr w:rsidR="00B155FE" w:rsidRPr="00B155FE" w14:paraId="7B768B8C"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87" w14:textId="77777777" w:rsidR="00B155FE" w:rsidRPr="003F267F" w:rsidRDefault="397FF86C" w:rsidP="397FF86C">
            <w:pPr>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Különféle jogcímen adott térítések</w:t>
            </w:r>
          </w:p>
        </w:tc>
        <w:tc>
          <w:tcPr>
            <w:tcW w:w="1167" w:type="dxa"/>
            <w:tcBorders>
              <w:top w:val="nil"/>
              <w:left w:val="nil"/>
              <w:bottom w:val="single" w:sz="4" w:space="0" w:color="auto"/>
              <w:right w:val="single" w:sz="4" w:space="0" w:color="auto"/>
            </w:tcBorders>
            <w:shd w:val="clear" w:color="auto" w:fill="auto"/>
            <w:noWrap/>
            <w:vAlign w:val="center"/>
            <w:hideMark/>
          </w:tcPr>
          <w:p w14:paraId="7B768B88" w14:textId="091C35F3"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16,1</w:t>
            </w:r>
          </w:p>
        </w:tc>
        <w:tc>
          <w:tcPr>
            <w:tcW w:w="1167" w:type="dxa"/>
            <w:tcBorders>
              <w:top w:val="nil"/>
              <w:left w:val="nil"/>
              <w:bottom w:val="single" w:sz="4" w:space="0" w:color="auto"/>
              <w:right w:val="single" w:sz="4" w:space="0" w:color="auto"/>
            </w:tcBorders>
            <w:shd w:val="clear" w:color="auto" w:fill="auto"/>
            <w:noWrap/>
            <w:vAlign w:val="center"/>
            <w:hideMark/>
          </w:tcPr>
          <w:p w14:paraId="7B768B89" w14:textId="6B7AB0DD"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16,5</w:t>
            </w:r>
          </w:p>
        </w:tc>
        <w:tc>
          <w:tcPr>
            <w:tcW w:w="981" w:type="dxa"/>
            <w:tcBorders>
              <w:top w:val="nil"/>
              <w:left w:val="nil"/>
              <w:bottom w:val="single" w:sz="4" w:space="0" w:color="auto"/>
              <w:right w:val="single" w:sz="4" w:space="0" w:color="auto"/>
            </w:tcBorders>
            <w:shd w:val="clear" w:color="auto" w:fill="auto"/>
            <w:noWrap/>
            <w:vAlign w:val="center"/>
            <w:hideMark/>
          </w:tcPr>
          <w:p w14:paraId="7B768B8A" w14:textId="0024C093"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0,4</w:t>
            </w:r>
          </w:p>
        </w:tc>
        <w:tc>
          <w:tcPr>
            <w:tcW w:w="954" w:type="dxa"/>
            <w:tcBorders>
              <w:top w:val="nil"/>
              <w:left w:val="nil"/>
              <w:bottom w:val="single" w:sz="4" w:space="0" w:color="auto"/>
              <w:right w:val="single" w:sz="4" w:space="0" w:color="auto"/>
            </w:tcBorders>
            <w:shd w:val="clear" w:color="auto" w:fill="auto"/>
            <w:noWrap/>
            <w:vAlign w:val="center"/>
            <w:hideMark/>
          </w:tcPr>
          <w:p w14:paraId="7B768B8B" w14:textId="7D54E35D"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102,5</w:t>
            </w:r>
          </w:p>
        </w:tc>
      </w:tr>
      <w:tr w:rsidR="00B155FE" w:rsidRPr="00B155FE" w14:paraId="7B768B92"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8D" w14:textId="77777777" w:rsidR="00B155FE" w:rsidRPr="003F267F" w:rsidRDefault="397FF86C" w:rsidP="397FF86C">
            <w:pPr>
              <w:spacing w:after="0" w:line="240" w:lineRule="auto"/>
              <w:ind w:firstLineChars="100" w:firstLine="2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 xml:space="preserve">Ebből: </w:t>
            </w:r>
          </w:p>
        </w:tc>
        <w:tc>
          <w:tcPr>
            <w:tcW w:w="1167" w:type="dxa"/>
            <w:tcBorders>
              <w:top w:val="nil"/>
              <w:left w:val="nil"/>
              <w:bottom w:val="single" w:sz="4" w:space="0" w:color="auto"/>
              <w:right w:val="single" w:sz="4" w:space="0" w:color="auto"/>
            </w:tcBorders>
            <w:shd w:val="clear" w:color="auto" w:fill="auto"/>
            <w:noWrap/>
            <w:vAlign w:val="center"/>
            <w:hideMark/>
          </w:tcPr>
          <w:p w14:paraId="7B768B8E"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1167" w:type="dxa"/>
            <w:tcBorders>
              <w:top w:val="nil"/>
              <w:left w:val="nil"/>
              <w:bottom w:val="single" w:sz="4" w:space="0" w:color="auto"/>
              <w:right w:val="single" w:sz="4" w:space="0" w:color="auto"/>
            </w:tcBorders>
            <w:shd w:val="clear" w:color="auto" w:fill="auto"/>
            <w:noWrap/>
            <w:vAlign w:val="center"/>
            <w:hideMark/>
          </w:tcPr>
          <w:p w14:paraId="7B768B8F" w14:textId="77777777" w:rsidR="00B155FE" w:rsidRPr="003F267F" w:rsidRDefault="00B155FE" w:rsidP="00B155FE">
            <w:pPr>
              <w:spacing w:after="0" w:line="240" w:lineRule="auto"/>
              <w:jc w:val="right"/>
              <w:rPr>
                <w:rFonts w:ascii="Times New Roman" w:eastAsia="Times New Roman" w:hAnsi="Times New Roman" w:cs="Times New Roman"/>
                <w:sz w:val="20"/>
                <w:szCs w:val="20"/>
                <w:lang w:eastAsia="hu-HU"/>
              </w:rPr>
            </w:pPr>
          </w:p>
        </w:tc>
        <w:tc>
          <w:tcPr>
            <w:tcW w:w="981" w:type="dxa"/>
            <w:tcBorders>
              <w:top w:val="nil"/>
              <w:left w:val="nil"/>
              <w:bottom w:val="single" w:sz="4" w:space="0" w:color="auto"/>
              <w:right w:val="single" w:sz="4" w:space="0" w:color="auto"/>
            </w:tcBorders>
            <w:shd w:val="clear" w:color="auto" w:fill="auto"/>
            <w:noWrap/>
            <w:vAlign w:val="center"/>
            <w:hideMark/>
          </w:tcPr>
          <w:p w14:paraId="7B768B90"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c>
          <w:tcPr>
            <w:tcW w:w="954" w:type="dxa"/>
            <w:tcBorders>
              <w:top w:val="nil"/>
              <w:left w:val="nil"/>
              <w:bottom w:val="single" w:sz="4" w:space="0" w:color="auto"/>
              <w:right w:val="single" w:sz="4" w:space="0" w:color="auto"/>
            </w:tcBorders>
            <w:shd w:val="clear" w:color="auto" w:fill="auto"/>
            <w:noWrap/>
            <w:vAlign w:val="center"/>
            <w:hideMark/>
          </w:tcPr>
          <w:p w14:paraId="7B768B91" w14:textId="77777777"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 </w:t>
            </w:r>
          </w:p>
        </w:tc>
      </w:tr>
      <w:tr w:rsidR="00B155FE" w:rsidRPr="00B155FE" w14:paraId="7B768B98"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93" w14:textId="77777777" w:rsidR="00B155FE" w:rsidRPr="003F267F" w:rsidRDefault="397FF86C" w:rsidP="397FF86C">
            <w:pPr>
              <w:spacing w:after="0" w:line="240" w:lineRule="auto"/>
              <w:ind w:firstLineChars="400" w:firstLine="800"/>
              <w:rPr>
                <w:rFonts w:ascii="Times New Roman" w:eastAsia="Times New Roman" w:hAnsi="Times New Roman" w:cs="Times New Roman"/>
                <w:i/>
                <w:iCs/>
                <w:sz w:val="20"/>
                <w:szCs w:val="20"/>
                <w:lang w:eastAsia="hu-HU"/>
              </w:rPr>
            </w:pPr>
            <w:r w:rsidRPr="397FF86C">
              <w:rPr>
                <w:rFonts w:ascii="Times New Roman" w:eastAsia="Times New Roman" w:hAnsi="Times New Roman" w:cs="Times New Roman"/>
                <w:i/>
                <w:iCs/>
                <w:sz w:val="20"/>
                <w:szCs w:val="20"/>
                <w:lang w:eastAsia="hu-HU"/>
              </w:rPr>
              <w:t>közgyógyellátás</w:t>
            </w:r>
          </w:p>
        </w:tc>
        <w:tc>
          <w:tcPr>
            <w:tcW w:w="1167" w:type="dxa"/>
            <w:tcBorders>
              <w:top w:val="nil"/>
              <w:left w:val="nil"/>
              <w:bottom w:val="single" w:sz="4" w:space="0" w:color="auto"/>
              <w:right w:val="single" w:sz="4" w:space="0" w:color="auto"/>
            </w:tcBorders>
            <w:shd w:val="clear" w:color="auto" w:fill="auto"/>
            <w:noWrap/>
            <w:vAlign w:val="center"/>
            <w:hideMark/>
          </w:tcPr>
          <w:p w14:paraId="7B768B94" w14:textId="5125945A"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11,1</w:t>
            </w:r>
          </w:p>
        </w:tc>
        <w:tc>
          <w:tcPr>
            <w:tcW w:w="1167" w:type="dxa"/>
            <w:tcBorders>
              <w:top w:val="nil"/>
              <w:left w:val="nil"/>
              <w:bottom w:val="single" w:sz="4" w:space="0" w:color="auto"/>
              <w:right w:val="single" w:sz="4" w:space="0" w:color="auto"/>
            </w:tcBorders>
            <w:shd w:val="clear" w:color="auto" w:fill="auto"/>
            <w:noWrap/>
            <w:vAlign w:val="center"/>
            <w:hideMark/>
          </w:tcPr>
          <w:p w14:paraId="7B768B95" w14:textId="3EDA4A7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11,3</w:t>
            </w:r>
          </w:p>
        </w:tc>
        <w:tc>
          <w:tcPr>
            <w:tcW w:w="981" w:type="dxa"/>
            <w:tcBorders>
              <w:top w:val="nil"/>
              <w:left w:val="nil"/>
              <w:bottom w:val="single" w:sz="4" w:space="0" w:color="auto"/>
              <w:right w:val="single" w:sz="4" w:space="0" w:color="auto"/>
            </w:tcBorders>
            <w:shd w:val="clear" w:color="auto" w:fill="auto"/>
            <w:noWrap/>
            <w:vAlign w:val="center"/>
            <w:hideMark/>
          </w:tcPr>
          <w:p w14:paraId="7B768B96" w14:textId="0CD218A9"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0,2</w:t>
            </w:r>
          </w:p>
        </w:tc>
        <w:tc>
          <w:tcPr>
            <w:tcW w:w="954" w:type="dxa"/>
            <w:tcBorders>
              <w:top w:val="nil"/>
              <w:left w:val="nil"/>
              <w:bottom w:val="single" w:sz="4" w:space="0" w:color="auto"/>
              <w:right w:val="single" w:sz="4" w:space="0" w:color="auto"/>
            </w:tcBorders>
            <w:shd w:val="clear" w:color="auto" w:fill="auto"/>
            <w:noWrap/>
            <w:vAlign w:val="center"/>
            <w:hideMark/>
          </w:tcPr>
          <w:p w14:paraId="7B768B97" w14:textId="7AD6906C" w:rsidR="00B155FE" w:rsidRPr="003F267F" w:rsidRDefault="397FF86C" w:rsidP="397FF86C">
            <w:pPr>
              <w:spacing w:after="0" w:line="240" w:lineRule="auto"/>
              <w:jc w:val="right"/>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101,8</w:t>
            </w:r>
          </w:p>
        </w:tc>
      </w:tr>
      <w:tr w:rsidR="00B155FE" w:rsidRPr="00B155FE" w14:paraId="7B768B9E" w14:textId="77777777" w:rsidTr="397FF86C">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B768B99" w14:textId="44F2CAA1" w:rsidR="00B155FE" w:rsidRPr="003F267F" w:rsidRDefault="397FF86C" w:rsidP="397FF86C">
            <w:pPr>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Összesen</w:t>
            </w:r>
          </w:p>
        </w:tc>
        <w:tc>
          <w:tcPr>
            <w:tcW w:w="1167" w:type="dxa"/>
            <w:tcBorders>
              <w:top w:val="nil"/>
              <w:left w:val="nil"/>
              <w:bottom w:val="single" w:sz="4" w:space="0" w:color="auto"/>
              <w:right w:val="single" w:sz="4" w:space="0" w:color="auto"/>
            </w:tcBorders>
            <w:shd w:val="clear" w:color="auto" w:fill="auto"/>
            <w:noWrap/>
            <w:vAlign w:val="center"/>
            <w:hideMark/>
          </w:tcPr>
          <w:p w14:paraId="7B768B9A" w14:textId="0388B9E8"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515,9</w:t>
            </w:r>
          </w:p>
        </w:tc>
        <w:tc>
          <w:tcPr>
            <w:tcW w:w="1167" w:type="dxa"/>
            <w:tcBorders>
              <w:top w:val="nil"/>
              <w:left w:val="nil"/>
              <w:bottom w:val="single" w:sz="4" w:space="0" w:color="auto"/>
              <w:right w:val="single" w:sz="4" w:space="0" w:color="auto"/>
            </w:tcBorders>
            <w:shd w:val="clear" w:color="auto" w:fill="auto"/>
            <w:noWrap/>
            <w:vAlign w:val="center"/>
            <w:hideMark/>
          </w:tcPr>
          <w:p w14:paraId="7B768B9B" w14:textId="4671088C"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541,1</w:t>
            </w:r>
          </w:p>
        </w:tc>
        <w:tc>
          <w:tcPr>
            <w:tcW w:w="981" w:type="dxa"/>
            <w:tcBorders>
              <w:top w:val="nil"/>
              <w:left w:val="nil"/>
              <w:bottom w:val="single" w:sz="4" w:space="0" w:color="auto"/>
              <w:right w:val="single" w:sz="4" w:space="0" w:color="auto"/>
            </w:tcBorders>
            <w:shd w:val="clear" w:color="auto" w:fill="auto"/>
            <w:noWrap/>
            <w:vAlign w:val="center"/>
            <w:hideMark/>
          </w:tcPr>
          <w:p w14:paraId="7B768B9C" w14:textId="43D1D88F"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25,2</w:t>
            </w:r>
          </w:p>
        </w:tc>
        <w:tc>
          <w:tcPr>
            <w:tcW w:w="954" w:type="dxa"/>
            <w:tcBorders>
              <w:top w:val="nil"/>
              <w:left w:val="nil"/>
              <w:bottom w:val="single" w:sz="4" w:space="0" w:color="auto"/>
              <w:right w:val="single" w:sz="4" w:space="0" w:color="auto"/>
            </w:tcBorders>
            <w:shd w:val="clear" w:color="auto" w:fill="auto"/>
            <w:noWrap/>
            <w:vAlign w:val="center"/>
            <w:hideMark/>
          </w:tcPr>
          <w:p w14:paraId="7B768B9D" w14:textId="6349B14E" w:rsidR="00B155FE" w:rsidRPr="003F267F" w:rsidRDefault="397FF86C" w:rsidP="397FF86C">
            <w:pPr>
              <w:spacing w:after="0" w:line="240" w:lineRule="auto"/>
              <w:jc w:val="right"/>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104,9</w:t>
            </w:r>
          </w:p>
        </w:tc>
      </w:tr>
    </w:tbl>
    <w:p w14:paraId="5DE65EF2" w14:textId="0D516D08" w:rsidR="13A79940" w:rsidRPr="00A6446F" w:rsidRDefault="13A79940" w:rsidP="559D80A3">
      <w:pPr>
        <w:spacing w:after="120" w:line="240" w:lineRule="auto"/>
        <w:jc w:val="both"/>
        <w:rPr>
          <w:rFonts w:ascii="Times New Roman" w:eastAsia="Times New Roman" w:hAnsi="Times New Roman" w:cs="Times New Roman"/>
          <w:sz w:val="26"/>
          <w:szCs w:val="26"/>
        </w:rPr>
      </w:pPr>
    </w:p>
    <w:p w14:paraId="324EC236" w14:textId="53A5FC07" w:rsidR="13A79940" w:rsidRPr="00A6446F" w:rsidRDefault="397FF86C" w:rsidP="559D80A3">
      <w:pPr>
        <w:spacing w:after="120" w:line="240" w:lineRule="auto"/>
        <w:jc w:val="both"/>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családi támogatásokra</w:t>
      </w:r>
      <w:r w:rsidRPr="397FF86C">
        <w:rPr>
          <w:rFonts w:ascii="Times New Roman" w:eastAsia="Times New Roman" w:hAnsi="Times New Roman" w:cs="Times New Roman"/>
          <w:sz w:val="26"/>
          <w:szCs w:val="26"/>
        </w:rPr>
        <w:t xml:space="preserve"> augusztus végéig összesen 305,7 milliárd forintot fizettek ki. A 2023. évi nyolchavi kiadás 5,8 milliárd forinttal haladta meg az előző év azonos időszakának teljesítését. Az eltérés részben az életkezdési támogatáshoz kapcsolódó kiadások növekedésének következménye, amely 8,3 milliárd forinttal haladta meg az előző évi augusztus végi teljesítést. Ennek oka az, hogy 2023-ban az életkezdési letéti számlákon nyilvántartott követelés összegére tekintettel fizetett kamat mértéke 14,6% volt (a 2022. évi infláció mértékének megfelelően), ami meghaladta a 2022-ben fizetett kamat mértékét (5,2%-ot), ezen kívül az életkezdési letéti számlákon nyilvántartott összeg is nőtt a tavalyihoz képest. </w:t>
      </w:r>
    </w:p>
    <w:p w14:paraId="32E7036F" w14:textId="586DE3D2" w:rsidR="13A79940" w:rsidRPr="00A6446F" w:rsidRDefault="397FF86C" w:rsidP="559D80A3">
      <w:pPr>
        <w:spacing w:after="120" w:line="240" w:lineRule="auto"/>
        <w:jc w:val="both"/>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korhatár alatti ellátások</w:t>
      </w:r>
      <w:r w:rsidRPr="397FF86C">
        <w:rPr>
          <w:rFonts w:ascii="Times New Roman" w:eastAsia="Times New Roman" w:hAnsi="Times New Roman" w:cs="Times New Roman"/>
          <w:sz w:val="26"/>
          <w:szCs w:val="26"/>
        </w:rPr>
        <w:t xml:space="preserve"> esetében a kiadások növekedését elsősorban az okozta, hogy a 13. havi nyugdíjhoz hasonlóan februárban a korhatár előtti ellátásban részesülő személyek is részesültek 13. havi ellátásban. Ezen túlmenően januárban sor került az ellátások 15</w:t>
      </w:r>
      <w:r w:rsidR="0072076F">
        <w:rPr>
          <w:rFonts w:ascii="Times New Roman" w:eastAsia="Times New Roman" w:hAnsi="Times New Roman" w:cs="Times New Roman"/>
          <w:sz w:val="26"/>
          <w:szCs w:val="26"/>
        </w:rPr>
        <w:t>,0</w:t>
      </w:r>
      <w:r w:rsidRPr="397FF86C">
        <w:rPr>
          <w:rFonts w:ascii="Times New Roman" w:eastAsia="Times New Roman" w:hAnsi="Times New Roman" w:cs="Times New Roman"/>
          <w:sz w:val="26"/>
          <w:szCs w:val="26"/>
        </w:rPr>
        <w:t xml:space="preserve">%‑os emelésére is. </w:t>
      </w:r>
    </w:p>
    <w:p w14:paraId="3E8E40D5" w14:textId="6A3AFFDA" w:rsidR="13A79940" w:rsidRPr="00A6446F" w:rsidRDefault="397FF86C" w:rsidP="559D80A3">
      <w:pPr>
        <w:spacing w:after="120" w:line="240" w:lineRule="auto"/>
        <w:jc w:val="both"/>
      </w:pPr>
      <w:r w:rsidRPr="397FF86C">
        <w:rPr>
          <w:rFonts w:ascii="Times New Roman" w:eastAsia="Times New Roman" w:hAnsi="Times New Roman" w:cs="Times New Roman"/>
          <w:sz w:val="26"/>
          <w:szCs w:val="26"/>
        </w:rPr>
        <w:t xml:space="preserve">2023. augusztus végéig a </w:t>
      </w:r>
      <w:r w:rsidRPr="397FF86C">
        <w:rPr>
          <w:rFonts w:ascii="Times New Roman" w:eastAsia="Times New Roman" w:hAnsi="Times New Roman" w:cs="Times New Roman"/>
          <w:b/>
          <w:bCs/>
          <w:sz w:val="26"/>
          <w:szCs w:val="26"/>
        </w:rPr>
        <w:t>jövedelempótló és jövedelemkiegészítő szociális támogatásokra</w:t>
      </w:r>
      <w:r w:rsidRPr="397FF86C">
        <w:rPr>
          <w:rFonts w:ascii="Times New Roman" w:eastAsia="Times New Roman" w:hAnsi="Times New Roman" w:cs="Times New Roman"/>
          <w:sz w:val="26"/>
          <w:szCs w:val="26"/>
        </w:rPr>
        <w:t xml:space="preserve"> biztosított kiadásokon belül a járási szociális feladatok ellátására (gyermekek otthongondozási díja, ápolási díj, időskorúak járadéka, foglalkoztatást helyettesítő támogatás, egészségkárosodási és gyermekfelügyeleti támogatás</w:t>
      </w:r>
      <w:r w:rsidRPr="00803A01">
        <w:rPr>
          <w:rFonts w:ascii="Times New Roman" w:eastAsia="Times New Roman" w:hAnsi="Times New Roman" w:cs="Times New Roman"/>
          <w:sz w:val="26"/>
          <w:szCs w:val="26"/>
        </w:rPr>
        <w:t>) 77,</w:t>
      </w:r>
      <w:r w:rsidR="00A54466">
        <w:rPr>
          <w:rFonts w:ascii="Times New Roman" w:eastAsia="Times New Roman" w:hAnsi="Times New Roman" w:cs="Times New Roman"/>
          <w:sz w:val="26"/>
          <w:szCs w:val="26"/>
        </w:rPr>
        <w:t>5</w:t>
      </w:r>
      <w:r w:rsidRPr="00803A01">
        <w:rPr>
          <w:rFonts w:ascii="Times New Roman" w:eastAsia="Times New Roman" w:hAnsi="Times New Roman" w:cs="Times New Roman"/>
          <w:sz w:val="26"/>
          <w:szCs w:val="26"/>
        </w:rPr>
        <w:t xml:space="preserve"> </w:t>
      </w:r>
      <w:r w:rsidRPr="397FF86C">
        <w:rPr>
          <w:rFonts w:ascii="Times New Roman" w:eastAsia="Times New Roman" w:hAnsi="Times New Roman" w:cs="Times New Roman"/>
          <w:sz w:val="26"/>
          <w:szCs w:val="26"/>
        </w:rPr>
        <w:t xml:space="preserve">milliárd forintot fordítottak, mely </w:t>
      </w:r>
      <w:r w:rsidR="00A54466">
        <w:rPr>
          <w:rFonts w:ascii="Times New Roman" w:eastAsia="Times New Roman" w:hAnsi="Times New Roman" w:cs="Times New Roman"/>
          <w:sz w:val="26"/>
          <w:szCs w:val="26"/>
        </w:rPr>
        <w:t>3,0 </w:t>
      </w:r>
      <w:r w:rsidRPr="397FF86C">
        <w:rPr>
          <w:rFonts w:ascii="Times New Roman" w:eastAsia="Times New Roman" w:hAnsi="Times New Roman" w:cs="Times New Roman"/>
          <w:sz w:val="26"/>
          <w:szCs w:val="26"/>
        </w:rPr>
        <w:t>milliárd forinttal haladta meg az előző évi augusztus végi adatot. Ennek oka, hogy 2023. januártól a gyermekek otthongondozási díjának összege a minimálbér emelésének hatására 200 000 forintról 232 000 forintra emelkedett, az ápolási díj összege pedig 5,2%-kal nőtt.</w:t>
      </w:r>
    </w:p>
    <w:p w14:paraId="00378390" w14:textId="201167D4" w:rsidR="13A79940" w:rsidRPr="00A6446F" w:rsidRDefault="397FF86C" w:rsidP="559D80A3">
      <w:pPr>
        <w:spacing w:after="120" w:line="240" w:lineRule="auto"/>
        <w:jc w:val="both"/>
      </w:pPr>
      <w:r w:rsidRPr="397FF86C">
        <w:rPr>
          <w:rFonts w:ascii="Times New Roman" w:eastAsia="Times New Roman" w:hAnsi="Times New Roman" w:cs="Times New Roman"/>
          <w:sz w:val="26"/>
          <w:szCs w:val="26"/>
        </w:rPr>
        <w:t>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55,4 milliárd forintot fizettek ki, mely az előző évi azonos időszaki kifizetésénél 7,</w:t>
      </w:r>
      <w:r w:rsidR="006200F6">
        <w:rPr>
          <w:rFonts w:ascii="Times New Roman" w:eastAsia="Times New Roman" w:hAnsi="Times New Roman" w:cs="Times New Roman"/>
          <w:sz w:val="26"/>
          <w:szCs w:val="26"/>
        </w:rPr>
        <w:t>2</w:t>
      </w:r>
      <w:r w:rsidRPr="397FF86C">
        <w:rPr>
          <w:rFonts w:ascii="Times New Roman" w:eastAsia="Times New Roman" w:hAnsi="Times New Roman" w:cs="Times New Roman"/>
          <w:sz w:val="26"/>
          <w:szCs w:val="26"/>
        </w:rPr>
        <w:t xml:space="preserve"> milliárd forinttal magasabb. A kiadások növekedését egyes ellátások januárban végrehajtott 1</w:t>
      </w:r>
      <w:r w:rsidR="00DD1EE7">
        <w:rPr>
          <w:rFonts w:ascii="Times New Roman" w:eastAsia="Times New Roman" w:hAnsi="Times New Roman" w:cs="Times New Roman"/>
          <w:sz w:val="26"/>
          <w:szCs w:val="26"/>
        </w:rPr>
        <w:t>5,0</w:t>
      </w:r>
      <w:r w:rsidRPr="397FF86C">
        <w:rPr>
          <w:rFonts w:ascii="Times New Roman" w:eastAsia="Times New Roman" w:hAnsi="Times New Roman" w:cs="Times New Roman"/>
          <w:sz w:val="26"/>
          <w:szCs w:val="26"/>
        </w:rPr>
        <w:t>%-</w:t>
      </w:r>
      <w:r w:rsidR="00DD1EE7">
        <w:rPr>
          <w:rFonts w:ascii="Times New Roman" w:eastAsia="Times New Roman" w:hAnsi="Times New Roman" w:cs="Times New Roman"/>
          <w:sz w:val="26"/>
          <w:szCs w:val="26"/>
        </w:rPr>
        <w:t>os emelésének, valamint a 2023. </w:t>
      </w:r>
      <w:r w:rsidRPr="397FF86C">
        <w:rPr>
          <w:rFonts w:ascii="Times New Roman" w:eastAsia="Times New Roman" w:hAnsi="Times New Roman" w:cs="Times New Roman"/>
          <w:sz w:val="26"/>
          <w:szCs w:val="26"/>
        </w:rPr>
        <w:t xml:space="preserve">februárjában kifizetett 13. havi ellátásnak a hatása okozza. </w:t>
      </w:r>
    </w:p>
    <w:p w14:paraId="5F05F0BD" w14:textId="5838A8F2" w:rsidR="13A79940" w:rsidRPr="00DD1EE7" w:rsidRDefault="397FF86C" w:rsidP="559D80A3">
      <w:pPr>
        <w:spacing w:after="120" w:line="240" w:lineRule="auto"/>
        <w:jc w:val="both"/>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különféle jogcímen adott térítések</w:t>
      </w:r>
      <w:r w:rsidRPr="397FF86C">
        <w:rPr>
          <w:rFonts w:ascii="Times New Roman" w:eastAsia="Times New Roman" w:hAnsi="Times New Roman" w:cs="Times New Roman"/>
          <w:sz w:val="26"/>
          <w:szCs w:val="26"/>
        </w:rPr>
        <w:t xml:space="preserve"> 2023. évi nyolchavi összege nagyságrendjében hasonló volt az előző év azonos időszakához viszonyítva. A térítéseken belül a legnagyobb összeget, 11,3 milliárd forintot a közgyógyellátásra fizették ki.</w:t>
      </w:r>
    </w:p>
    <w:p w14:paraId="64996926" w14:textId="7B71FA6E" w:rsidR="00A6446F"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helyi önkormányzatok</w:t>
      </w:r>
      <w:r w:rsidRPr="397FF86C">
        <w:rPr>
          <w:rFonts w:ascii="Times New Roman" w:eastAsia="Times New Roman" w:hAnsi="Times New Roman" w:cs="Times New Roman"/>
          <w:sz w:val="26"/>
          <w:szCs w:val="26"/>
          <w:lang w:eastAsia="hu-HU"/>
        </w:rPr>
        <w:t xml:space="preserve"> 2023. évi feladataihoz a hatályos jogszabályok alapján 1 113,3 milliárd forint állami </w:t>
      </w:r>
      <w:r w:rsidRPr="397FF86C">
        <w:rPr>
          <w:rFonts w:ascii="Times New Roman" w:eastAsia="Times New Roman" w:hAnsi="Times New Roman" w:cs="Times New Roman"/>
          <w:b/>
          <w:bCs/>
          <w:sz w:val="26"/>
          <w:szCs w:val="26"/>
          <w:lang w:eastAsia="hu-HU"/>
        </w:rPr>
        <w:t>támogatásban részesülnek</w:t>
      </w:r>
      <w:r w:rsidRPr="397FF86C">
        <w:rPr>
          <w:rFonts w:ascii="Times New Roman" w:eastAsia="Times New Roman" w:hAnsi="Times New Roman" w:cs="Times New Roman"/>
          <w:sz w:val="26"/>
          <w:szCs w:val="26"/>
          <w:lang w:eastAsia="hu-HU"/>
        </w:rPr>
        <w:t>.</w:t>
      </w:r>
    </w:p>
    <w:p w14:paraId="4981A9E5" w14:textId="582B0497" w:rsidR="00C24948"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 jelentősebb tételek alakulását a következő táblázat mutatja</w:t>
      </w:r>
      <w:r w:rsidR="00A54466">
        <w:rPr>
          <w:rFonts w:ascii="Times New Roman" w:eastAsia="Times New Roman" w:hAnsi="Times New Roman" w:cs="Times New Roman"/>
          <w:sz w:val="26"/>
          <w:szCs w:val="26"/>
          <w:lang w:eastAsia="hu-HU"/>
        </w:rPr>
        <w:t xml:space="preserve"> augusztus végéig</w:t>
      </w:r>
      <w:r w:rsidRPr="397FF86C">
        <w:rPr>
          <w:rFonts w:ascii="Times New Roman" w:eastAsia="Times New Roman" w:hAnsi="Times New Roman" w:cs="Times New Roman"/>
          <w:sz w:val="26"/>
          <w:szCs w:val="26"/>
          <w:lang w:eastAsia="hu-HU"/>
        </w:rPr>
        <w:t>:</w:t>
      </w:r>
    </w:p>
    <w:p w14:paraId="2723D8B3" w14:textId="06950B5A" w:rsidR="00C24948" w:rsidRPr="00C24948" w:rsidRDefault="397FF86C" w:rsidP="0072076F">
      <w:pPr>
        <w:pageBreakBefore/>
        <w:spacing w:after="120" w:line="240" w:lineRule="auto"/>
        <w:jc w:val="center"/>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A helyi önkormányzatok támogatásának alakulása (milliárd forint)</w:t>
      </w:r>
    </w:p>
    <w:tbl>
      <w:tblPr>
        <w:tblpPr w:leftFromText="141" w:rightFromText="141" w:vertAnchor="text" w:horzAnchor="margin" w:tblpY="20"/>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5"/>
        <w:gridCol w:w="993"/>
        <w:gridCol w:w="992"/>
        <w:gridCol w:w="850"/>
        <w:gridCol w:w="851"/>
      </w:tblGrid>
      <w:tr w:rsidR="00C24948" w:rsidRPr="009C40EA" w14:paraId="6741B982" w14:textId="77777777" w:rsidTr="397FF86C">
        <w:trPr>
          <w:trHeight w:val="283"/>
        </w:trPr>
        <w:tc>
          <w:tcPr>
            <w:tcW w:w="5585" w:type="dxa"/>
            <w:vMerge w:val="restart"/>
            <w:shd w:val="clear" w:color="auto" w:fill="auto"/>
            <w:noWrap/>
            <w:vAlign w:val="center"/>
            <w:hideMark/>
          </w:tcPr>
          <w:p w14:paraId="07514BAA"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Megnevezés</w:t>
            </w:r>
          </w:p>
        </w:tc>
        <w:tc>
          <w:tcPr>
            <w:tcW w:w="993" w:type="dxa"/>
            <w:vMerge w:val="restart"/>
            <w:shd w:val="clear" w:color="auto" w:fill="auto"/>
            <w:vAlign w:val="center"/>
            <w:hideMark/>
          </w:tcPr>
          <w:p w14:paraId="54D07FB7"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2022. évi</w:t>
            </w:r>
          </w:p>
          <w:p w14:paraId="5DC080D6" w14:textId="0ED3986F"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I-VIII. hó</w:t>
            </w:r>
          </w:p>
        </w:tc>
        <w:tc>
          <w:tcPr>
            <w:tcW w:w="992" w:type="dxa"/>
            <w:vMerge w:val="restart"/>
            <w:shd w:val="clear" w:color="auto" w:fill="auto"/>
            <w:vAlign w:val="center"/>
            <w:hideMark/>
          </w:tcPr>
          <w:p w14:paraId="3D1B7BD7"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 xml:space="preserve">2023. évi </w:t>
            </w:r>
          </w:p>
          <w:p w14:paraId="626AC8BC" w14:textId="668B9B5C"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I-VIII. hó</w:t>
            </w:r>
          </w:p>
        </w:tc>
        <w:tc>
          <w:tcPr>
            <w:tcW w:w="1701" w:type="dxa"/>
            <w:gridSpan w:val="2"/>
            <w:shd w:val="clear" w:color="auto" w:fill="auto"/>
            <w:noWrap/>
            <w:vAlign w:val="center"/>
            <w:hideMark/>
          </w:tcPr>
          <w:p w14:paraId="35A3C823"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Eltérés</w:t>
            </w:r>
          </w:p>
        </w:tc>
      </w:tr>
      <w:tr w:rsidR="00C24948" w:rsidRPr="009C40EA" w14:paraId="2DD9A798" w14:textId="77777777" w:rsidTr="397FF86C">
        <w:trPr>
          <w:trHeight w:val="158"/>
        </w:trPr>
        <w:tc>
          <w:tcPr>
            <w:tcW w:w="5585" w:type="dxa"/>
            <w:vMerge/>
            <w:vAlign w:val="center"/>
            <w:hideMark/>
          </w:tcPr>
          <w:p w14:paraId="5F76A56A" w14:textId="77777777" w:rsidR="00C24948" w:rsidRPr="00C24948" w:rsidRDefault="00C24948" w:rsidP="00C24948">
            <w:pPr>
              <w:keepNext/>
              <w:keepLines/>
              <w:spacing w:after="0" w:line="240" w:lineRule="auto"/>
              <w:rPr>
                <w:rFonts w:ascii="Times New Roman" w:eastAsia="Times New Roman" w:hAnsi="Times New Roman" w:cs="Times New Roman"/>
                <w:b/>
                <w:bCs/>
                <w:sz w:val="20"/>
                <w:szCs w:val="20"/>
                <w:lang w:eastAsia="hu-HU"/>
              </w:rPr>
            </w:pPr>
          </w:p>
        </w:tc>
        <w:tc>
          <w:tcPr>
            <w:tcW w:w="993" w:type="dxa"/>
            <w:vMerge/>
            <w:shd w:val="clear" w:color="auto" w:fill="auto"/>
            <w:vAlign w:val="center"/>
            <w:hideMark/>
          </w:tcPr>
          <w:p w14:paraId="65B4B0A4" w14:textId="77777777" w:rsidR="00C24948" w:rsidRPr="00C24948"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992" w:type="dxa"/>
            <w:vMerge/>
            <w:shd w:val="clear" w:color="auto" w:fill="auto"/>
            <w:vAlign w:val="center"/>
            <w:hideMark/>
          </w:tcPr>
          <w:p w14:paraId="5FE97B50" w14:textId="77777777" w:rsidR="00C24948" w:rsidRPr="00C24948" w:rsidRDefault="00C24948" w:rsidP="00C24948">
            <w:pPr>
              <w:keepNext/>
              <w:keepLines/>
              <w:spacing w:after="0" w:line="240" w:lineRule="auto"/>
              <w:jc w:val="center"/>
              <w:rPr>
                <w:rFonts w:ascii="Times New Roman" w:eastAsia="Times New Roman" w:hAnsi="Times New Roman" w:cs="Times New Roman"/>
                <w:b/>
                <w:bCs/>
                <w:sz w:val="20"/>
                <w:szCs w:val="20"/>
                <w:lang w:eastAsia="hu-HU"/>
              </w:rPr>
            </w:pPr>
          </w:p>
        </w:tc>
        <w:tc>
          <w:tcPr>
            <w:tcW w:w="850" w:type="dxa"/>
            <w:shd w:val="clear" w:color="auto" w:fill="auto"/>
            <w:noWrap/>
            <w:vAlign w:val="center"/>
            <w:hideMark/>
          </w:tcPr>
          <w:p w14:paraId="1B2C8FF2"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Mrd Ft</w:t>
            </w:r>
          </w:p>
        </w:tc>
        <w:tc>
          <w:tcPr>
            <w:tcW w:w="851" w:type="dxa"/>
            <w:shd w:val="clear" w:color="auto" w:fill="auto"/>
            <w:noWrap/>
            <w:vAlign w:val="center"/>
            <w:hideMark/>
          </w:tcPr>
          <w:p w14:paraId="179AEF43" w14:textId="77777777" w:rsidR="00C24948" w:rsidRPr="00C24948" w:rsidRDefault="397FF86C" w:rsidP="397FF86C">
            <w:pPr>
              <w:keepNext/>
              <w:keepLines/>
              <w:spacing w:after="0" w:line="240" w:lineRule="auto"/>
              <w:jc w:val="center"/>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w:t>
            </w:r>
          </w:p>
        </w:tc>
      </w:tr>
      <w:tr w:rsidR="001B4DF1" w:rsidRPr="009C40EA" w14:paraId="5CF52B9C" w14:textId="77777777" w:rsidTr="00FD7247">
        <w:trPr>
          <w:trHeight w:val="510"/>
        </w:trPr>
        <w:tc>
          <w:tcPr>
            <w:tcW w:w="5585" w:type="dxa"/>
            <w:shd w:val="clear" w:color="auto" w:fill="auto"/>
            <w:vAlign w:val="center"/>
            <w:hideMark/>
          </w:tcPr>
          <w:p w14:paraId="11FF4C49" w14:textId="77777777" w:rsidR="001B4DF1" w:rsidRPr="00C24948"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A helyi önkormányzatok általános működésének és ágazati feladatainak támogatása</w:t>
            </w:r>
          </w:p>
        </w:tc>
        <w:tc>
          <w:tcPr>
            <w:tcW w:w="993" w:type="dxa"/>
            <w:shd w:val="clear" w:color="auto" w:fill="auto"/>
            <w:noWrap/>
            <w:vAlign w:val="center"/>
          </w:tcPr>
          <w:p w14:paraId="0A1E4CBD" w14:textId="0A17A8BA"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530,3</w:t>
            </w:r>
          </w:p>
        </w:tc>
        <w:tc>
          <w:tcPr>
            <w:tcW w:w="992" w:type="dxa"/>
            <w:shd w:val="clear" w:color="auto" w:fill="auto"/>
            <w:noWrap/>
            <w:vAlign w:val="center"/>
          </w:tcPr>
          <w:p w14:paraId="47729553" w14:textId="38A95F02"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610,1</w:t>
            </w:r>
          </w:p>
        </w:tc>
        <w:tc>
          <w:tcPr>
            <w:tcW w:w="850" w:type="dxa"/>
            <w:shd w:val="clear" w:color="auto" w:fill="auto"/>
            <w:noWrap/>
            <w:vAlign w:val="center"/>
          </w:tcPr>
          <w:p w14:paraId="11D76081" w14:textId="4B3616A6"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sz w:val="20"/>
                <w:szCs w:val="20"/>
              </w:rPr>
              <w:t>79,8</w:t>
            </w:r>
          </w:p>
        </w:tc>
        <w:tc>
          <w:tcPr>
            <w:tcW w:w="851" w:type="dxa"/>
            <w:shd w:val="clear" w:color="auto" w:fill="auto"/>
            <w:noWrap/>
            <w:vAlign w:val="center"/>
          </w:tcPr>
          <w:p w14:paraId="0E9DF60E" w14:textId="7959FB1E"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115,0</w:t>
            </w:r>
          </w:p>
        </w:tc>
      </w:tr>
      <w:tr w:rsidR="001B4DF1" w:rsidRPr="009C40EA" w14:paraId="66D88640" w14:textId="77777777" w:rsidTr="00FD7247">
        <w:trPr>
          <w:trHeight w:val="283"/>
        </w:trPr>
        <w:tc>
          <w:tcPr>
            <w:tcW w:w="5585" w:type="dxa"/>
            <w:shd w:val="clear" w:color="auto" w:fill="auto"/>
            <w:vAlign w:val="center"/>
            <w:hideMark/>
          </w:tcPr>
          <w:p w14:paraId="4496E62C" w14:textId="77777777" w:rsidR="001B4DF1" w:rsidRPr="00C24948" w:rsidRDefault="397FF86C" w:rsidP="397FF86C">
            <w:pPr>
              <w:keepNext/>
              <w:keepLines/>
              <w:spacing w:after="0" w:line="240" w:lineRule="auto"/>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A helyi önkormányzatok működésének általános támogatása</w:t>
            </w:r>
          </w:p>
        </w:tc>
        <w:tc>
          <w:tcPr>
            <w:tcW w:w="993" w:type="dxa"/>
            <w:shd w:val="clear" w:color="auto" w:fill="auto"/>
            <w:noWrap/>
            <w:vAlign w:val="center"/>
          </w:tcPr>
          <w:p w14:paraId="6C091267" w14:textId="00C59507"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178,5</w:t>
            </w:r>
          </w:p>
        </w:tc>
        <w:tc>
          <w:tcPr>
            <w:tcW w:w="992" w:type="dxa"/>
            <w:shd w:val="clear" w:color="auto" w:fill="auto"/>
            <w:noWrap/>
            <w:vAlign w:val="center"/>
          </w:tcPr>
          <w:p w14:paraId="3313F341" w14:textId="2027DD8D"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194,8</w:t>
            </w:r>
          </w:p>
        </w:tc>
        <w:tc>
          <w:tcPr>
            <w:tcW w:w="850" w:type="dxa"/>
            <w:shd w:val="clear" w:color="auto" w:fill="auto"/>
            <w:noWrap/>
            <w:vAlign w:val="center"/>
          </w:tcPr>
          <w:p w14:paraId="1F67C594" w14:textId="0D9B5F7A"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16,3</w:t>
            </w:r>
          </w:p>
        </w:tc>
        <w:tc>
          <w:tcPr>
            <w:tcW w:w="851" w:type="dxa"/>
            <w:shd w:val="clear" w:color="auto" w:fill="auto"/>
            <w:noWrap/>
            <w:vAlign w:val="center"/>
          </w:tcPr>
          <w:p w14:paraId="6B1384BF" w14:textId="54CC1E66"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109,1</w:t>
            </w:r>
          </w:p>
        </w:tc>
      </w:tr>
      <w:tr w:rsidR="001B4DF1" w:rsidRPr="009C40EA" w14:paraId="644FC967" w14:textId="77777777" w:rsidTr="00FD7247">
        <w:trPr>
          <w:trHeight w:val="510"/>
        </w:trPr>
        <w:tc>
          <w:tcPr>
            <w:tcW w:w="5585" w:type="dxa"/>
            <w:shd w:val="clear" w:color="auto" w:fill="auto"/>
            <w:vAlign w:val="center"/>
            <w:hideMark/>
          </w:tcPr>
          <w:p w14:paraId="1BA330A0" w14:textId="77777777" w:rsidR="001B4DF1" w:rsidRPr="00C24948" w:rsidRDefault="397FF86C" w:rsidP="397FF86C">
            <w:pPr>
              <w:keepNext/>
              <w:keepLines/>
              <w:spacing w:after="0" w:line="240" w:lineRule="auto"/>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A települési önkormányzatok egyes köznevelési feladatainak támogatása</w:t>
            </w:r>
          </w:p>
        </w:tc>
        <w:tc>
          <w:tcPr>
            <w:tcW w:w="993" w:type="dxa"/>
            <w:shd w:val="clear" w:color="auto" w:fill="auto"/>
            <w:noWrap/>
            <w:vAlign w:val="center"/>
          </w:tcPr>
          <w:p w14:paraId="5E8D28C3" w14:textId="4CF0A76D"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144,8</w:t>
            </w:r>
          </w:p>
        </w:tc>
        <w:tc>
          <w:tcPr>
            <w:tcW w:w="992" w:type="dxa"/>
            <w:shd w:val="clear" w:color="auto" w:fill="auto"/>
            <w:noWrap/>
            <w:vAlign w:val="center"/>
          </w:tcPr>
          <w:p w14:paraId="6861BB58" w14:textId="7A2027A1"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164,7</w:t>
            </w:r>
          </w:p>
        </w:tc>
        <w:tc>
          <w:tcPr>
            <w:tcW w:w="850" w:type="dxa"/>
            <w:shd w:val="clear" w:color="auto" w:fill="auto"/>
            <w:noWrap/>
            <w:vAlign w:val="center"/>
          </w:tcPr>
          <w:p w14:paraId="085D1E80" w14:textId="3070F973"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19,9</w:t>
            </w:r>
          </w:p>
        </w:tc>
        <w:tc>
          <w:tcPr>
            <w:tcW w:w="851" w:type="dxa"/>
            <w:shd w:val="clear" w:color="auto" w:fill="auto"/>
            <w:noWrap/>
            <w:vAlign w:val="center"/>
          </w:tcPr>
          <w:p w14:paraId="7767CDD1" w14:textId="22401204"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113,7</w:t>
            </w:r>
          </w:p>
        </w:tc>
      </w:tr>
      <w:tr w:rsidR="001B4DF1" w:rsidRPr="009C40EA" w14:paraId="11F06AEB" w14:textId="77777777" w:rsidTr="00FD7247">
        <w:trPr>
          <w:trHeight w:val="510"/>
        </w:trPr>
        <w:tc>
          <w:tcPr>
            <w:tcW w:w="5585" w:type="dxa"/>
            <w:shd w:val="clear" w:color="auto" w:fill="auto"/>
            <w:vAlign w:val="center"/>
            <w:hideMark/>
          </w:tcPr>
          <w:p w14:paraId="63EE65A2" w14:textId="77777777" w:rsidR="001B4DF1" w:rsidRPr="00C24948" w:rsidRDefault="397FF86C" w:rsidP="397FF86C">
            <w:pPr>
              <w:keepNext/>
              <w:keepLines/>
              <w:spacing w:after="0" w:line="240" w:lineRule="auto"/>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A települési önkormányzatok egyes szociális, gyermekjóléti és gyermekétkeztetési feladatainak támogatása</w:t>
            </w:r>
          </w:p>
        </w:tc>
        <w:tc>
          <w:tcPr>
            <w:tcW w:w="993" w:type="dxa"/>
            <w:shd w:val="clear" w:color="auto" w:fill="auto"/>
            <w:noWrap/>
            <w:vAlign w:val="center"/>
          </w:tcPr>
          <w:p w14:paraId="4BBDE34C" w14:textId="08413600"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191,6</w:t>
            </w:r>
          </w:p>
        </w:tc>
        <w:tc>
          <w:tcPr>
            <w:tcW w:w="992" w:type="dxa"/>
            <w:shd w:val="clear" w:color="auto" w:fill="auto"/>
            <w:noWrap/>
            <w:vAlign w:val="center"/>
          </w:tcPr>
          <w:p w14:paraId="4EC5C695" w14:textId="38CA64BD"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235,2</w:t>
            </w:r>
          </w:p>
        </w:tc>
        <w:tc>
          <w:tcPr>
            <w:tcW w:w="850" w:type="dxa"/>
            <w:shd w:val="clear" w:color="auto" w:fill="auto"/>
            <w:noWrap/>
            <w:vAlign w:val="center"/>
          </w:tcPr>
          <w:p w14:paraId="14601228" w14:textId="32991459"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43,6</w:t>
            </w:r>
          </w:p>
        </w:tc>
        <w:tc>
          <w:tcPr>
            <w:tcW w:w="851" w:type="dxa"/>
            <w:shd w:val="clear" w:color="auto" w:fill="auto"/>
            <w:noWrap/>
            <w:vAlign w:val="center"/>
          </w:tcPr>
          <w:p w14:paraId="44A53BB5" w14:textId="7F35DE77"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122,8</w:t>
            </w:r>
          </w:p>
        </w:tc>
      </w:tr>
      <w:tr w:rsidR="001B4DF1" w:rsidRPr="009C40EA" w14:paraId="1FC403F4" w14:textId="77777777" w:rsidTr="00FD7247">
        <w:trPr>
          <w:trHeight w:val="349"/>
        </w:trPr>
        <w:tc>
          <w:tcPr>
            <w:tcW w:w="5585" w:type="dxa"/>
            <w:shd w:val="clear" w:color="auto" w:fill="auto"/>
            <w:vAlign w:val="center"/>
            <w:hideMark/>
          </w:tcPr>
          <w:p w14:paraId="4F427CE2" w14:textId="77777777" w:rsidR="001B4DF1" w:rsidRPr="00C24948" w:rsidRDefault="397FF86C" w:rsidP="397FF86C">
            <w:pPr>
              <w:keepNext/>
              <w:keepLines/>
              <w:spacing w:after="0" w:line="240" w:lineRule="auto"/>
              <w:rPr>
                <w:rFonts w:ascii="Times New Roman" w:eastAsia="Times New Roman" w:hAnsi="Times New Roman" w:cs="Times New Roman"/>
                <w:sz w:val="20"/>
                <w:szCs w:val="20"/>
                <w:lang w:eastAsia="hu-HU"/>
              </w:rPr>
            </w:pPr>
            <w:r w:rsidRPr="397FF86C">
              <w:rPr>
                <w:rFonts w:ascii="Times New Roman" w:eastAsia="Times New Roman" w:hAnsi="Times New Roman" w:cs="Times New Roman"/>
                <w:sz w:val="20"/>
                <w:szCs w:val="20"/>
                <w:lang w:eastAsia="hu-HU"/>
              </w:rPr>
              <w:t>A települési önkormányzatok kulturális feladatainak támogatása</w:t>
            </w:r>
          </w:p>
        </w:tc>
        <w:tc>
          <w:tcPr>
            <w:tcW w:w="993" w:type="dxa"/>
            <w:shd w:val="clear" w:color="auto" w:fill="auto"/>
            <w:noWrap/>
            <w:vAlign w:val="center"/>
          </w:tcPr>
          <w:p w14:paraId="44BDB6D4" w14:textId="50DB262D"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15,4</w:t>
            </w:r>
          </w:p>
        </w:tc>
        <w:tc>
          <w:tcPr>
            <w:tcW w:w="992" w:type="dxa"/>
            <w:shd w:val="clear" w:color="auto" w:fill="auto"/>
            <w:noWrap/>
            <w:vAlign w:val="center"/>
          </w:tcPr>
          <w:p w14:paraId="3D1BBCDB" w14:textId="796E41CA" w:rsidR="001B4DF1" w:rsidRPr="0072076F"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72076F">
              <w:rPr>
                <w:rFonts w:ascii="Times New Roman" w:hAnsi="Times New Roman" w:cs="Times New Roman"/>
                <w:sz w:val="20"/>
                <w:szCs w:val="20"/>
              </w:rPr>
              <w:t>15,4</w:t>
            </w:r>
          </w:p>
        </w:tc>
        <w:tc>
          <w:tcPr>
            <w:tcW w:w="850" w:type="dxa"/>
            <w:shd w:val="clear" w:color="auto" w:fill="auto"/>
            <w:noWrap/>
            <w:vAlign w:val="center"/>
          </w:tcPr>
          <w:p w14:paraId="6C28EF3A" w14:textId="21C46776"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0,</w:t>
            </w:r>
            <w:proofErr w:type="spellStart"/>
            <w:r w:rsidRPr="008A3B0D">
              <w:rPr>
                <w:rFonts w:ascii="Times New Roman" w:hAnsi="Times New Roman" w:cs="Times New Roman"/>
                <w:sz w:val="20"/>
                <w:szCs w:val="20"/>
              </w:rPr>
              <w:t>0</w:t>
            </w:r>
            <w:proofErr w:type="spellEnd"/>
          </w:p>
        </w:tc>
        <w:tc>
          <w:tcPr>
            <w:tcW w:w="851" w:type="dxa"/>
            <w:shd w:val="clear" w:color="auto" w:fill="auto"/>
            <w:noWrap/>
            <w:vAlign w:val="center"/>
          </w:tcPr>
          <w:p w14:paraId="796E83D2" w14:textId="56597ED6" w:rsidR="001B4DF1" w:rsidRPr="008A3B0D" w:rsidRDefault="397FF86C" w:rsidP="397FF86C">
            <w:pPr>
              <w:keepNext/>
              <w:keepLines/>
              <w:spacing w:after="0" w:line="240" w:lineRule="auto"/>
              <w:jc w:val="right"/>
              <w:rPr>
                <w:rFonts w:ascii="Times New Roman" w:eastAsia="Times New Roman" w:hAnsi="Times New Roman" w:cs="Times New Roman"/>
                <w:sz w:val="20"/>
                <w:szCs w:val="20"/>
                <w:lang w:eastAsia="hu-HU"/>
              </w:rPr>
            </w:pPr>
            <w:r w:rsidRPr="008A3B0D">
              <w:rPr>
                <w:rFonts w:ascii="Times New Roman" w:hAnsi="Times New Roman" w:cs="Times New Roman"/>
                <w:sz w:val="20"/>
                <w:szCs w:val="20"/>
              </w:rPr>
              <w:t>100,0</w:t>
            </w:r>
          </w:p>
        </w:tc>
      </w:tr>
      <w:tr w:rsidR="001B4DF1" w:rsidRPr="009C40EA" w14:paraId="44EF96BF" w14:textId="77777777" w:rsidTr="00FD7247">
        <w:trPr>
          <w:trHeight w:val="283"/>
        </w:trPr>
        <w:tc>
          <w:tcPr>
            <w:tcW w:w="5585" w:type="dxa"/>
            <w:shd w:val="clear" w:color="auto" w:fill="auto"/>
            <w:vAlign w:val="center"/>
            <w:hideMark/>
          </w:tcPr>
          <w:p w14:paraId="3DD87A70" w14:textId="77777777" w:rsidR="001B4DF1" w:rsidRPr="00C24948"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Helyi önkormányzatok kiegészítő támogatása</w:t>
            </w:r>
          </w:p>
        </w:tc>
        <w:tc>
          <w:tcPr>
            <w:tcW w:w="993" w:type="dxa"/>
            <w:shd w:val="clear" w:color="auto" w:fill="auto"/>
            <w:noWrap/>
            <w:vAlign w:val="center"/>
          </w:tcPr>
          <w:p w14:paraId="34DDE983" w14:textId="050259EB"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48,9</w:t>
            </w:r>
          </w:p>
        </w:tc>
        <w:tc>
          <w:tcPr>
            <w:tcW w:w="992" w:type="dxa"/>
            <w:shd w:val="clear" w:color="auto" w:fill="auto"/>
            <w:noWrap/>
            <w:vAlign w:val="center"/>
          </w:tcPr>
          <w:p w14:paraId="405423BA" w14:textId="2945E05C"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104,3</w:t>
            </w:r>
          </w:p>
        </w:tc>
        <w:tc>
          <w:tcPr>
            <w:tcW w:w="850" w:type="dxa"/>
            <w:shd w:val="clear" w:color="auto" w:fill="auto"/>
            <w:noWrap/>
            <w:vAlign w:val="center"/>
          </w:tcPr>
          <w:p w14:paraId="76EB67F0" w14:textId="045E6819"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55,4</w:t>
            </w:r>
          </w:p>
        </w:tc>
        <w:tc>
          <w:tcPr>
            <w:tcW w:w="851" w:type="dxa"/>
            <w:shd w:val="clear" w:color="auto" w:fill="auto"/>
            <w:noWrap/>
            <w:vAlign w:val="center"/>
          </w:tcPr>
          <w:p w14:paraId="3FFF6C6E" w14:textId="170F72BB"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213,3</w:t>
            </w:r>
          </w:p>
        </w:tc>
      </w:tr>
      <w:tr w:rsidR="001B4DF1" w:rsidRPr="009C40EA" w14:paraId="648C3F54" w14:textId="77777777" w:rsidTr="00FD7247">
        <w:trPr>
          <w:trHeight w:val="283"/>
        </w:trPr>
        <w:tc>
          <w:tcPr>
            <w:tcW w:w="5585" w:type="dxa"/>
            <w:shd w:val="clear" w:color="auto" w:fill="auto"/>
            <w:vAlign w:val="center"/>
            <w:hideMark/>
          </w:tcPr>
          <w:p w14:paraId="3676EE9C" w14:textId="77777777" w:rsidR="001B4DF1" w:rsidRPr="00C24948" w:rsidRDefault="397FF86C" w:rsidP="397FF86C">
            <w:pPr>
              <w:keepNext/>
              <w:keepLines/>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Év közben létrejött új jogcímek kiadásai</w:t>
            </w:r>
          </w:p>
        </w:tc>
        <w:tc>
          <w:tcPr>
            <w:tcW w:w="993" w:type="dxa"/>
            <w:shd w:val="clear" w:color="auto" w:fill="auto"/>
            <w:noWrap/>
            <w:vAlign w:val="center"/>
          </w:tcPr>
          <w:p w14:paraId="0BACAC9E" w14:textId="1776E47D"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136,6</w:t>
            </w:r>
          </w:p>
        </w:tc>
        <w:tc>
          <w:tcPr>
            <w:tcW w:w="992" w:type="dxa"/>
            <w:shd w:val="clear" w:color="auto" w:fill="auto"/>
            <w:noWrap/>
            <w:vAlign w:val="center"/>
          </w:tcPr>
          <w:p w14:paraId="7A66E9FC" w14:textId="6F5E4757"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70,5</w:t>
            </w:r>
          </w:p>
        </w:tc>
        <w:tc>
          <w:tcPr>
            <w:tcW w:w="850" w:type="dxa"/>
            <w:shd w:val="clear" w:color="auto" w:fill="auto"/>
            <w:noWrap/>
            <w:vAlign w:val="center"/>
          </w:tcPr>
          <w:p w14:paraId="592B586A" w14:textId="53962FE5"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-66,1</w:t>
            </w:r>
          </w:p>
        </w:tc>
        <w:tc>
          <w:tcPr>
            <w:tcW w:w="851" w:type="dxa"/>
            <w:shd w:val="clear" w:color="auto" w:fill="auto"/>
            <w:noWrap/>
            <w:vAlign w:val="center"/>
          </w:tcPr>
          <w:p w14:paraId="6EEBBBB0" w14:textId="117AC4B0"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51,6</w:t>
            </w:r>
          </w:p>
        </w:tc>
      </w:tr>
      <w:tr w:rsidR="00001DDD" w:rsidRPr="00001DDD" w14:paraId="60064293" w14:textId="77777777" w:rsidTr="00FD7247">
        <w:trPr>
          <w:trHeight w:val="283"/>
        </w:trPr>
        <w:tc>
          <w:tcPr>
            <w:tcW w:w="5585" w:type="dxa"/>
            <w:shd w:val="clear" w:color="auto" w:fill="auto"/>
            <w:noWrap/>
            <w:vAlign w:val="center"/>
            <w:hideMark/>
          </w:tcPr>
          <w:p w14:paraId="73666509" w14:textId="77777777" w:rsidR="001B4DF1" w:rsidRPr="00C24948" w:rsidRDefault="397FF86C" w:rsidP="397FF86C">
            <w:pPr>
              <w:widowControl w:val="0"/>
              <w:spacing w:after="0" w:line="240" w:lineRule="auto"/>
              <w:rPr>
                <w:rFonts w:ascii="Times New Roman" w:eastAsia="Times New Roman" w:hAnsi="Times New Roman" w:cs="Times New Roman"/>
                <w:b/>
                <w:bCs/>
                <w:sz w:val="20"/>
                <w:szCs w:val="20"/>
                <w:lang w:eastAsia="hu-HU"/>
              </w:rPr>
            </w:pPr>
            <w:r w:rsidRPr="397FF86C">
              <w:rPr>
                <w:rFonts w:ascii="Times New Roman" w:eastAsia="Times New Roman" w:hAnsi="Times New Roman" w:cs="Times New Roman"/>
                <w:b/>
                <w:bCs/>
                <w:sz w:val="20"/>
                <w:szCs w:val="20"/>
                <w:lang w:eastAsia="hu-HU"/>
              </w:rPr>
              <w:t>Összesen</w:t>
            </w:r>
          </w:p>
        </w:tc>
        <w:tc>
          <w:tcPr>
            <w:tcW w:w="993" w:type="dxa"/>
            <w:shd w:val="clear" w:color="auto" w:fill="auto"/>
            <w:noWrap/>
            <w:vAlign w:val="center"/>
          </w:tcPr>
          <w:p w14:paraId="3A3EFD36" w14:textId="602C7D2A"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715,8</w:t>
            </w:r>
          </w:p>
        </w:tc>
        <w:tc>
          <w:tcPr>
            <w:tcW w:w="992" w:type="dxa"/>
            <w:shd w:val="clear" w:color="auto" w:fill="auto"/>
            <w:noWrap/>
            <w:vAlign w:val="center"/>
          </w:tcPr>
          <w:p w14:paraId="1D84CCAC" w14:textId="6AF5D5FF" w:rsidR="001B4DF1" w:rsidRPr="0072076F"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72076F">
              <w:rPr>
                <w:rFonts w:ascii="Times New Roman" w:hAnsi="Times New Roman" w:cs="Times New Roman"/>
                <w:b/>
                <w:bCs/>
                <w:sz w:val="20"/>
                <w:szCs w:val="20"/>
              </w:rPr>
              <w:t>784,9</w:t>
            </w:r>
          </w:p>
        </w:tc>
        <w:tc>
          <w:tcPr>
            <w:tcW w:w="850" w:type="dxa"/>
            <w:shd w:val="clear" w:color="auto" w:fill="auto"/>
            <w:noWrap/>
            <w:vAlign w:val="center"/>
          </w:tcPr>
          <w:p w14:paraId="0AACA3FA" w14:textId="7822A6AE"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69,1</w:t>
            </w:r>
          </w:p>
        </w:tc>
        <w:tc>
          <w:tcPr>
            <w:tcW w:w="851" w:type="dxa"/>
            <w:shd w:val="clear" w:color="auto" w:fill="auto"/>
            <w:noWrap/>
            <w:vAlign w:val="center"/>
          </w:tcPr>
          <w:p w14:paraId="1C1B57DC" w14:textId="0362199C" w:rsidR="001B4DF1" w:rsidRPr="008A3B0D" w:rsidRDefault="397FF86C" w:rsidP="397FF86C">
            <w:pPr>
              <w:keepNext/>
              <w:keepLines/>
              <w:spacing w:after="0" w:line="240" w:lineRule="auto"/>
              <w:jc w:val="right"/>
              <w:rPr>
                <w:rFonts w:ascii="Times New Roman" w:eastAsia="Times New Roman" w:hAnsi="Times New Roman" w:cs="Times New Roman"/>
                <w:b/>
                <w:bCs/>
                <w:sz w:val="20"/>
                <w:szCs w:val="20"/>
                <w:lang w:eastAsia="hu-HU"/>
              </w:rPr>
            </w:pPr>
            <w:r w:rsidRPr="008A3B0D">
              <w:rPr>
                <w:rFonts w:ascii="Times New Roman" w:hAnsi="Times New Roman" w:cs="Times New Roman"/>
                <w:b/>
                <w:bCs/>
                <w:sz w:val="20"/>
                <w:szCs w:val="20"/>
              </w:rPr>
              <w:t>109,7</w:t>
            </w:r>
          </w:p>
        </w:tc>
      </w:tr>
    </w:tbl>
    <w:p w14:paraId="7B768BE5" w14:textId="6B29B49E" w:rsidR="00B155FE" w:rsidRPr="00B155FE" w:rsidRDefault="00B155FE" w:rsidP="17DC55AF">
      <w:pPr>
        <w:spacing w:after="120" w:line="240" w:lineRule="auto"/>
        <w:jc w:val="both"/>
        <w:rPr>
          <w:rFonts w:ascii="Times New Roman" w:eastAsia="Times New Roman" w:hAnsi="Times New Roman" w:cs="Times New Roman"/>
          <w:sz w:val="26"/>
          <w:szCs w:val="26"/>
          <w:lang w:eastAsia="hu-HU"/>
        </w:rPr>
      </w:pPr>
    </w:p>
    <w:p w14:paraId="6B6004BC" w14:textId="2215AF91" w:rsidR="07A6191C" w:rsidRDefault="397FF86C" w:rsidP="00E012DF">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Az </w:t>
      </w:r>
      <w:r w:rsidRPr="397FF86C">
        <w:rPr>
          <w:rFonts w:ascii="Times New Roman" w:eastAsia="Times New Roman" w:hAnsi="Times New Roman" w:cs="Times New Roman"/>
          <w:b/>
          <w:bCs/>
          <w:sz w:val="26"/>
          <w:szCs w:val="26"/>
        </w:rPr>
        <w:t>Uniós programok kiadásai</w:t>
      </w:r>
      <w:r w:rsidRPr="397FF86C">
        <w:rPr>
          <w:rFonts w:ascii="Times New Roman" w:eastAsia="Times New Roman" w:hAnsi="Times New Roman" w:cs="Times New Roman"/>
          <w:i/>
          <w:iCs/>
          <w:sz w:val="26"/>
          <w:szCs w:val="26"/>
        </w:rPr>
        <w:t xml:space="preserve"> </w:t>
      </w:r>
      <w:r w:rsidRPr="397FF86C">
        <w:rPr>
          <w:rFonts w:ascii="Times New Roman" w:eastAsia="Times New Roman" w:hAnsi="Times New Roman" w:cs="Times New Roman"/>
          <w:sz w:val="26"/>
          <w:szCs w:val="26"/>
        </w:rPr>
        <w:t>mérlegsoron 2023. augusztus végéig 1 813,8 milliárd forint összegű kifizetés történt, amely a törvényi előirányzat (3</w:t>
      </w:r>
      <w:r w:rsidR="00F72867">
        <w:rPr>
          <w:rFonts w:ascii="Times New Roman" w:eastAsia="Times New Roman" w:hAnsi="Times New Roman" w:cs="Times New Roman"/>
          <w:sz w:val="26"/>
          <w:szCs w:val="26"/>
        </w:rPr>
        <w:t> </w:t>
      </w:r>
      <w:r w:rsidRPr="397FF86C">
        <w:rPr>
          <w:rFonts w:ascii="Times New Roman" w:eastAsia="Times New Roman" w:hAnsi="Times New Roman" w:cs="Times New Roman"/>
          <w:sz w:val="26"/>
          <w:szCs w:val="26"/>
        </w:rPr>
        <w:t>793,5 milliárd forint) 47,8%-os teljesítését jelenti. A felmerült kiadások túlnyomó részét a Széchenyi 2020 programjai és a Vidékfejlesztési Program adták. A legnagyobb összegű kifizetést teljesítő Széchenyi 2020 operatív programok a Gazdaságfejlesztés és Innovációs Operatív Program, a Környezeti és Energiahatékonysági Operatív Program és az Integrált Közlekedésfejlesztési Operatív Program. A Széchenyi Terv Plusz programjai közül a Terület- és Településfejlesztési Operatív Program Plusz, a Gazdaságfejlesztés és Innovációs Operatív Program Plusz valamint a Végrehajtás Operatív Program Plusz esetében történt kifizetés 2023 augusztus végéig.</w:t>
      </w:r>
    </w:p>
    <w:p w14:paraId="299A3BA0" w14:textId="349E804B" w:rsidR="000D7EFD" w:rsidRDefault="397FF86C" w:rsidP="00E012DF">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Az </w:t>
      </w:r>
      <w:r w:rsidRPr="00A54466">
        <w:rPr>
          <w:rFonts w:ascii="Times New Roman" w:eastAsia="Times New Roman" w:hAnsi="Times New Roman" w:cs="Times New Roman"/>
          <w:b/>
          <w:sz w:val="26"/>
          <w:szCs w:val="26"/>
        </w:rPr>
        <w:t>állami vagyonnal kapcsolato</w:t>
      </w:r>
      <w:r w:rsidR="008A3B0D" w:rsidRPr="00A54466">
        <w:rPr>
          <w:rFonts w:ascii="Times New Roman" w:eastAsia="Times New Roman" w:hAnsi="Times New Roman" w:cs="Times New Roman"/>
          <w:b/>
          <w:sz w:val="26"/>
          <w:szCs w:val="26"/>
        </w:rPr>
        <w:t>s kiadások</w:t>
      </w:r>
      <w:r w:rsidR="008A3B0D">
        <w:rPr>
          <w:rFonts w:ascii="Times New Roman" w:eastAsia="Times New Roman" w:hAnsi="Times New Roman" w:cs="Times New Roman"/>
          <w:sz w:val="26"/>
          <w:szCs w:val="26"/>
        </w:rPr>
        <w:t xml:space="preserve"> 2023. évi első nyolc</w:t>
      </w:r>
      <w:r w:rsidRPr="397FF86C">
        <w:rPr>
          <w:rFonts w:ascii="Times New Roman" w:eastAsia="Times New Roman" w:hAnsi="Times New Roman" w:cs="Times New Roman"/>
          <w:sz w:val="26"/>
          <w:szCs w:val="26"/>
        </w:rPr>
        <w:t xml:space="preserve">havi összege </w:t>
      </w:r>
      <w:r w:rsidR="00F72867">
        <w:rPr>
          <w:rFonts w:ascii="Times New Roman" w:eastAsia="Times New Roman" w:hAnsi="Times New Roman" w:cs="Times New Roman"/>
          <w:sz w:val="26"/>
          <w:szCs w:val="26"/>
        </w:rPr>
        <w:t>924,8</w:t>
      </w:r>
      <w:r w:rsidR="00A54466">
        <w:rPr>
          <w:rFonts w:ascii="Times New Roman" w:eastAsia="Times New Roman" w:hAnsi="Times New Roman" w:cs="Times New Roman"/>
          <w:sz w:val="26"/>
          <w:szCs w:val="26"/>
        </w:rPr>
        <w:t> </w:t>
      </w:r>
      <w:r w:rsidRPr="397FF86C">
        <w:rPr>
          <w:rFonts w:ascii="Times New Roman" w:eastAsia="Times New Roman" w:hAnsi="Times New Roman" w:cs="Times New Roman"/>
          <w:sz w:val="26"/>
          <w:szCs w:val="26"/>
        </w:rPr>
        <w:t>milliárd forint volt, amelynek összetételét az alábbi diagram mutatja be (az újonnan megjelenő Kiemelt állami beruházások kategóriája a központi költségvetés XLV. Állami Beruházások fejezetét fedi le):</w:t>
      </w:r>
    </w:p>
    <w:p w14:paraId="7B768BE7" w14:textId="13A8EF2F" w:rsidR="00B155FE" w:rsidRDefault="000D7EFD" w:rsidP="000D7EFD">
      <w:pPr>
        <w:spacing w:after="120" w:line="240" w:lineRule="auto"/>
        <w:jc w:val="center"/>
        <w:rPr>
          <w:rFonts w:ascii="Times New Roman" w:eastAsia="Times New Roman" w:hAnsi="Times New Roman" w:cs="Times New Roman"/>
          <w:sz w:val="26"/>
          <w:szCs w:val="26"/>
        </w:rPr>
      </w:pPr>
      <w:r w:rsidRPr="000D7EFD">
        <w:rPr>
          <w:rFonts w:ascii="Times New Roman" w:eastAsia="Times New Roman" w:hAnsi="Times New Roman" w:cs="Times New Roman"/>
          <w:b/>
          <w:bCs/>
          <w:noProof/>
          <w:sz w:val="26"/>
          <w:szCs w:val="26"/>
          <w:lang w:eastAsia="hu-HU"/>
        </w:rPr>
        <w:drawing>
          <wp:inline distT="0" distB="0" distL="0" distR="0" wp14:anchorId="3755380D" wp14:editId="0AF7901E">
            <wp:extent cx="4905955" cy="3162781"/>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78142" cy="3273787"/>
                    </a:xfrm>
                    <a:prstGeom prst="rect">
                      <a:avLst/>
                    </a:prstGeom>
                  </pic:spPr>
                </pic:pic>
              </a:graphicData>
            </a:graphic>
          </wp:inline>
        </w:drawing>
      </w:r>
    </w:p>
    <w:p w14:paraId="291AE4A3" w14:textId="5FB53910" w:rsidR="0097329F" w:rsidRDefault="0097329F" w:rsidP="002B09F4">
      <w:pPr>
        <w:keepNext/>
        <w:keepLines/>
        <w:spacing w:after="120" w:line="240" w:lineRule="auto"/>
        <w:jc w:val="center"/>
        <w:rPr>
          <w:rFonts w:ascii="Times New Roman" w:eastAsia="Times New Roman" w:hAnsi="Times New Roman" w:cs="Times New Roman"/>
          <w:b/>
          <w:bCs/>
          <w:sz w:val="26"/>
          <w:szCs w:val="26"/>
        </w:rPr>
      </w:pPr>
    </w:p>
    <w:p w14:paraId="7B768BE8" w14:textId="1B86B557" w:rsidR="00B155FE" w:rsidRPr="00B155FE" w:rsidRDefault="397FF86C" w:rsidP="397FF86C">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 </w:t>
      </w:r>
      <w:r w:rsidRPr="397FF86C">
        <w:rPr>
          <w:rFonts w:ascii="Times New Roman" w:eastAsia="Times New Roman" w:hAnsi="Times New Roman" w:cs="Times New Roman"/>
          <w:b/>
          <w:bCs/>
          <w:sz w:val="26"/>
          <w:szCs w:val="26"/>
        </w:rPr>
        <w:t>Hozzájárulás az EU költségvetéséhez</w:t>
      </w:r>
      <w:r w:rsidRPr="397FF86C">
        <w:rPr>
          <w:rFonts w:ascii="Times New Roman" w:eastAsia="Times New Roman" w:hAnsi="Times New Roman" w:cs="Times New Roman"/>
          <w:sz w:val="26"/>
          <w:szCs w:val="26"/>
        </w:rPr>
        <w:t xml:space="preserve"> mérlegsor</w:t>
      </w:r>
      <w:r w:rsidR="000D7EFD">
        <w:rPr>
          <w:rFonts w:ascii="Times New Roman" w:eastAsia="Times New Roman" w:hAnsi="Times New Roman" w:cs="Times New Roman"/>
          <w:sz w:val="26"/>
          <w:szCs w:val="26"/>
        </w:rPr>
        <w:t>on 2023. augusztus végéig 422,5 </w:t>
      </w:r>
      <w:r w:rsidRPr="397FF86C">
        <w:rPr>
          <w:rFonts w:ascii="Times New Roman" w:eastAsia="Times New Roman" w:hAnsi="Times New Roman" w:cs="Times New Roman"/>
          <w:sz w:val="26"/>
          <w:szCs w:val="26"/>
        </w:rPr>
        <w:t>milliárd forint kiadás teljesült, ami a törvényi előirányzat 63,8%-a. E hozzájárulás 26,5 milliárd forinttal haladja meg a 2022. év azonos időszakában teljesített kiadásokat.</w:t>
      </w:r>
    </w:p>
    <w:p w14:paraId="7B768BE9" w14:textId="17C88574" w:rsidR="00B155FE" w:rsidRPr="00B155FE" w:rsidRDefault="397FF86C" w:rsidP="397FF86C">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 </w:t>
      </w:r>
      <w:r w:rsidRPr="00DD1EE7">
        <w:rPr>
          <w:rFonts w:ascii="Times New Roman" w:eastAsia="Times New Roman" w:hAnsi="Times New Roman" w:cs="Times New Roman"/>
          <w:b/>
          <w:sz w:val="26"/>
          <w:szCs w:val="26"/>
        </w:rPr>
        <w:t>Nemzeti Kutatási, Fejlesztési és Innovációs Alapból</w:t>
      </w:r>
      <w:r w:rsidRPr="397FF86C">
        <w:rPr>
          <w:rFonts w:ascii="Times New Roman" w:eastAsia="Times New Roman" w:hAnsi="Times New Roman" w:cs="Times New Roman"/>
          <w:sz w:val="26"/>
          <w:szCs w:val="26"/>
        </w:rPr>
        <w:t xml:space="preserve"> (NKFI Alap) összesen 86,4 milliárd forint teljesült, ami 10,6 milliárd forinttal magasabb kifizetést jelent a 2022. év azonos időszakának teljesítéséhez képest. A különbözet az éves magasabb előirányzatból, illetve a kifizetések eltérő ütemezéséből ered. </w:t>
      </w:r>
    </w:p>
    <w:p w14:paraId="7B768BEA" w14:textId="1B56C6F7" w:rsidR="00B155FE" w:rsidRPr="00B155FE" w:rsidRDefault="397FF86C" w:rsidP="397FF86C">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 </w:t>
      </w:r>
      <w:r w:rsidRPr="00DD1EE7">
        <w:rPr>
          <w:rFonts w:ascii="Times New Roman" w:eastAsia="Times New Roman" w:hAnsi="Times New Roman" w:cs="Times New Roman"/>
          <w:b/>
          <w:sz w:val="26"/>
          <w:szCs w:val="26"/>
        </w:rPr>
        <w:t>Nemzeti Foglalkoztatási Alap</w:t>
      </w:r>
      <w:r w:rsidRPr="397FF86C">
        <w:rPr>
          <w:rFonts w:ascii="Times New Roman" w:eastAsia="Times New Roman" w:hAnsi="Times New Roman" w:cs="Times New Roman"/>
          <w:sz w:val="26"/>
          <w:szCs w:val="26"/>
        </w:rPr>
        <w:t xml:space="preserve"> (NFA) kiadásai estében a Start-munkaprogramra eddig összesen 75,3 milliárd forint teljesült. Az uniós elő- és társfinanszírozásra 26,9 milliárd forintot fordítottak. </w:t>
      </w:r>
    </w:p>
    <w:p w14:paraId="7B768BEB" w14:textId="1D5E5528" w:rsidR="00B155FE" w:rsidRPr="00B155FE" w:rsidRDefault="397FF86C" w:rsidP="397FF86C">
      <w:pPr>
        <w:spacing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 </w:t>
      </w:r>
      <w:r w:rsidRPr="00DD1EE7">
        <w:rPr>
          <w:rFonts w:ascii="Times New Roman" w:eastAsia="Times New Roman" w:hAnsi="Times New Roman" w:cs="Times New Roman"/>
          <w:b/>
          <w:sz w:val="26"/>
          <w:szCs w:val="26"/>
        </w:rPr>
        <w:t>Bethlen Gábor Alapból</w:t>
      </w:r>
      <w:r w:rsidRPr="397FF86C">
        <w:rPr>
          <w:rFonts w:ascii="Times New Roman" w:eastAsia="Times New Roman" w:hAnsi="Times New Roman" w:cs="Times New Roman"/>
          <w:sz w:val="26"/>
          <w:szCs w:val="26"/>
        </w:rPr>
        <w:t xml:space="preserve"> (BGA) összesen </w:t>
      </w:r>
      <w:r w:rsidR="00F72867">
        <w:rPr>
          <w:rFonts w:ascii="Times New Roman" w:eastAsia="Times New Roman" w:hAnsi="Times New Roman" w:cs="Times New Roman"/>
          <w:sz w:val="26"/>
          <w:szCs w:val="26"/>
        </w:rPr>
        <w:t>60,0</w:t>
      </w:r>
      <w:r w:rsidRPr="397FF86C">
        <w:rPr>
          <w:rFonts w:ascii="Times New Roman" w:eastAsia="Times New Roman" w:hAnsi="Times New Roman" w:cs="Times New Roman"/>
          <w:sz w:val="26"/>
          <w:szCs w:val="26"/>
        </w:rPr>
        <w:t> milliárd forint kiadás teljesült. Az alapból nyújtott támogatások a BGA irányítását ellátó Bizottság döntései alapján, ütemezetten kerültek kifizetésre.</w:t>
      </w:r>
    </w:p>
    <w:p w14:paraId="430A09AD" w14:textId="4251CAFC" w:rsidR="587E035A" w:rsidRDefault="397FF86C" w:rsidP="397FF86C">
      <w:pPr>
        <w:spacing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 </w:t>
      </w:r>
      <w:r w:rsidRPr="00DD1EE7">
        <w:rPr>
          <w:rFonts w:ascii="Times New Roman" w:eastAsia="Times New Roman" w:hAnsi="Times New Roman" w:cs="Times New Roman"/>
          <w:b/>
          <w:sz w:val="26"/>
          <w:szCs w:val="26"/>
        </w:rPr>
        <w:t>Nyugdíjbiztosítási Alap</w:t>
      </w:r>
      <w:r w:rsidRPr="397FF86C">
        <w:rPr>
          <w:rFonts w:ascii="Times New Roman" w:eastAsia="Times New Roman" w:hAnsi="Times New Roman" w:cs="Times New Roman"/>
          <w:sz w:val="26"/>
          <w:szCs w:val="26"/>
        </w:rPr>
        <w:t xml:space="preserve"> I-VIII. </w:t>
      </w:r>
      <w:proofErr w:type="gramStart"/>
      <w:r w:rsidRPr="397FF86C">
        <w:rPr>
          <w:rFonts w:ascii="Times New Roman" w:eastAsia="Times New Roman" w:hAnsi="Times New Roman" w:cs="Times New Roman"/>
          <w:sz w:val="26"/>
          <w:szCs w:val="26"/>
        </w:rPr>
        <w:t>havi</w:t>
      </w:r>
      <w:proofErr w:type="gramEnd"/>
      <w:r w:rsidRPr="397FF86C">
        <w:rPr>
          <w:rFonts w:ascii="Times New Roman" w:eastAsia="Times New Roman" w:hAnsi="Times New Roman" w:cs="Times New Roman"/>
          <w:sz w:val="26"/>
          <w:szCs w:val="26"/>
        </w:rPr>
        <w:t xml:space="preserve"> </w:t>
      </w:r>
      <w:r w:rsidRPr="00DD1EE7">
        <w:rPr>
          <w:rFonts w:ascii="Times New Roman" w:eastAsia="Times New Roman" w:hAnsi="Times New Roman" w:cs="Times New Roman"/>
          <w:b/>
          <w:sz w:val="26"/>
          <w:szCs w:val="26"/>
        </w:rPr>
        <w:t>nyugellátási kiadása</w:t>
      </w:r>
      <w:r w:rsidRPr="397FF86C">
        <w:rPr>
          <w:rFonts w:ascii="Times New Roman" w:eastAsia="Times New Roman" w:hAnsi="Times New Roman" w:cs="Times New Roman"/>
          <w:sz w:val="26"/>
          <w:szCs w:val="26"/>
        </w:rPr>
        <w:t xml:space="preserve"> 3 859,0 milliárd forintban teljesült, ami 706,</w:t>
      </w:r>
      <w:r w:rsidR="00945CE5">
        <w:rPr>
          <w:rFonts w:ascii="Times New Roman" w:eastAsia="Times New Roman" w:hAnsi="Times New Roman" w:cs="Times New Roman"/>
          <w:sz w:val="26"/>
          <w:szCs w:val="26"/>
        </w:rPr>
        <w:t>1</w:t>
      </w:r>
      <w:r w:rsidRPr="397FF86C">
        <w:rPr>
          <w:rFonts w:ascii="Times New Roman" w:eastAsia="Times New Roman" w:hAnsi="Times New Roman" w:cs="Times New Roman"/>
          <w:sz w:val="26"/>
          <w:szCs w:val="26"/>
        </w:rPr>
        <w:t xml:space="preserve"> milliárd forinttal haladta meg az előző év azonos időszakának nyugdíjkiadását. A 22,4%-os kiadásnövekedést a 2022. évben a vártnál magasabb inflációs hatás miatt két részletben, júliusban és novemberben végrehajtott 3,9%-os és 4,5%-os kiegészítő nyugdíjemelés 2023-ra áthúzódó hatása, a tárgyév január hónapban végrehajtott 15,0%-os nyugdíjemelés hatása, valamint az induló nyugdíjak megállapítása során alkalmazott, márciusban kihirdetett valorizációs szorzó okozta.</w:t>
      </w:r>
    </w:p>
    <w:p w14:paraId="4BB2BEA0" w14:textId="70907C9F" w:rsidR="587E035A" w:rsidRDefault="397FF86C" w:rsidP="397FF86C">
      <w:pPr>
        <w:spacing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2023. január hónapban mintegy 2,5 millió nyugdíjban és nyugdíjszerű ellátásban részesülő személynek emelkedett az ellátása 15,0%-kal, aminek a költségvetési forrásigénye (éves szinten) mintegy 774,0 milliárd forint. Ebből a Nyugdíjbiztosítási Alapot terhelő kiadás éves szinten 659,5 milliárd forint, a januári nyugdíjemelésre jogosultak száma pedig 2,1 millió fő volt.</w:t>
      </w:r>
    </w:p>
    <w:p w14:paraId="7B768BEE" w14:textId="6F99492E" w:rsidR="00B155FE" w:rsidRDefault="397FF86C" w:rsidP="005D42A9">
      <w:pPr>
        <w:spacing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Idén februárban 13. havi nyugdíj jogcímen - ahogy 2022-ben - ismét a teljes havi nyugdíjjal azonos összeget kaptak a nyugdíjasok. A 2023. évi 425,2 milliárd forint összegű kifizetés 77,8 milliárd forinttal haladta meg az előző év azonos időszakában e jogcímen kifizetett juttatások összegét.</w:t>
      </w:r>
    </w:p>
    <w:p w14:paraId="66996D95" w14:textId="77777777" w:rsidR="005D42A9" w:rsidRPr="00B155FE" w:rsidRDefault="005D42A9" w:rsidP="005D42A9">
      <w:pPr>
        <w:spacing w:line="240" w:lineRule="auto"/>
        <w:jc w:val="both"/>
        <w:rPr>
          <w:rFonts w:ascii="Times New Roman" w:eastAsia="Times New Roman" w:hAnsi="Times New Roman" w:cs="Times New Roman"/>
          <w:sz w:val="26"/>
          <w:szCs w:val="26"/>
        </w:rPr>
      </w:pPr>
    </w:p>
    <w:p w14:paraId="7B768BEF" w14:textId="1E711668" w:rsidR="00B155FE" w:rsidRPr="00B155FE" w:rsidRDefault="005D42A9" w:rsidP="17DC55AF">
      <w:pPr>
        <w:spacing w:after="120" w:line="240" w:lineRule="auto"/>
        <w:jc w:val="center"/>
        <w:rPr>
          <w:rFonts w:ascii="Times New Roman" w:eastAsia="Times New Roman" w:hAnsi="Times New Roman" w:cs="Times New Roman"/>
          <w:sz w:val="26"/>
          <w:szCs w:val="26"/>
        </w:rPr>
      </w:pPr>
      <w:r w:rsidRPr="005D42A9">
        <w:rPr>
          <w:rFonts w:ascii="Times New Roman" w:eastAsia="Times New Roman" w:hAnsi="Times New Roman" w:cs="Times New Roman"/>
          <w:noProof/>
          <w:sz w:val="26"/>
          <w:szCs w:val="26"/>
          <w:lang w:eastAsia="hu-HU"/>
        </w:rPr>
        <w:drawing>
          <wp:inline distT="0" distB="0" distL="0" distR="0" wp14:anchorId="7375471B" wp14:editId="3EC03AB7">
            <wp:extent cx="5940425" cy="2187575"/>
            <wp:effectExtent l="0" t="0" r="3175" b="317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2187575"/>
                    </a:xfrm>
                    <a:prstGeom prst="rect">
                      <a:avLst/>
                    </a:prstGeom>
                  </pic:spPr>
                </pic:pic>
              </a:graphicData>
            </a:graphic>
          </wp:inline>
        </w:drawing>
      </w:r>
    </w:p>
    <w:p w14:paraId="4A282CB8" w14:textId="742D4F6F" w:rsidR="587E035A" w:rsidRDefault="397FF86C" w:rsidP="397FF86C">
      <w:pPr>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Az I-VIII. </w:t>
      </w:r>
      <w:proofErr w:type="gramStart"/>
      <w:r w:rsidRPr="397FF86C">
        <w:rPr>
          <w:rFonts w:ascii="Times New Roman" w:eastAsia="Times New Roman" w:hAnsi="Times New Roman" w:cs="Times New Roman"/>
          <w:sz w:val="26"/>
          <w:szCs w:val="26"/>
        </w:rPr>
        <w:t>havi</w:t>
      </w:r>
      <w:proofErr w:type="gramEnd"/>
      <w:r w:rsidRPr="397FF86C">
        <w:rPr>
          <w:rFonts w:ascii="Times New Roman" w:eastAsia="Times New Roman" w:hAnsi="Times New Roman" w:cs="Times New Roman"/>
          <w:sz w:val="26"/>
          <w:szCs w:val="26"/>
        </w:rPr>
        <w:t xml:space="preserve"> adatok alapján a nyugellátási kiadásokon belül a korhatár felettiek öregségi nyugdíja 23,3%-kal, a „nők 40” kedvezménnyel nyugdíjba vonultak közül a korhatár alattiak ellátása pedig 20,2%-kal haladta meg a 2022. év azonos időszakának kiadásait.</w:t>
      </w:r>
    </w:p>
    <w:p w14:paraId="7453BA8F" w14:textId="1A3AE95A" w:rsidR="587E035A" w:rsidRDefault="397FF86C" w:rsidP="397FF86C">
      <w:pPr>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Az öregségi nyugdíjkorhatár emelkedése 2022-re lezárult, a korhatár a nők és a férfiak esetében egységesen 65 év. Ennek következtében a megelőző éveket jellemző erőteljes, több tízezer fős létszámcsökkenés fokozatosan megszűnt. A korhatáremelés 2022. évi lezárása a nők 40 év jogosultsági idővel igényelhető öregségi nyugdíjában részesülők létszámára ellentétes hatást gyakorolt, a nyugdíj-megállapítások ismét folytonossá váltak, így az öregségi nyugdíjkorhatár folyamatos betöltésével a kedvezményes nyugdíjban részesülők létszáma egyre csökken. A létszámcsökkenés 2023. augusztus hónapban az előző év azonos időszakához képest 4,1%-os, a létszám pedig 6 284 fővel lett alacsonyabb ezen a jogcímen.</w:t>
      </w:r>
    </w:p>
    <w:p w14:paraId="7B768BF2" w14:textId="45C5FE7D" w:rsidR="00B155FE" w:rsidRPr="00B155FE" w:rsidRDefault="008F2C57" w:rsidP="17DC55AF">
      <w:pPr>
        <w:spacing w:before="240" w:after="240" w:line="240" w:lineRule="auto"/>
        <w:jc w:val="center"/>
        <w:rPr>
          <w:rFonts w:ascii="Times New Roman" w:eastAsia="Times New Roman" w:hAnsi="Times New Roman" w:cs="Times New Roman"/>
          <w:noProof/>
          <w:sz w:val="26"/>
          <w:szCs w:val="26"/>
        </w:rPr>
      </w:pPr>
      <w:r>
        <w:rPr>
          <w:noProof/>
          <w:lang w:eastAsia="hu-HU"/>
        </w:rPr>
        <w:drawing>
          <wp:inline distT="0" distB="0" distL="0" distR="0" wp14:anchorId="1F736E19" wp14:editId="1E21D449">
            <wp:extent cx="5940427" cy="3160772"/>
            <wp:effectExtent l="0" t="0" r="3175" b="1905"/>
            <wp:docPr id="1257043406" name="picture" descr="Z:\Áht_gyors_moni\2023_07_júl\0_feljegyzés_monitoring\ábrák\oregsegi_nyugdij_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940427" cy="3160772"/>
                    </a:xfrm>
                    <a:prstGeom prst="rect">
                      <a:avLst/>
                    </a:prstGeom>
                  </pic:spPr>
                </pic:pic>
              </a:graphicData>
            </a:graphic>
          </wp:inline>
        </w:drawing>
      </w:r>
    </w:p>
    <w:p w14:paraId="7B768BF3" w14:textId="77777777" w:rsidR="00B155FE" w:rsidRPr="00B155FE" w:rsidRDefault="00B155FE" w:rsidP="17DC55AF">
      <w:pPr>
        <w:spacing w:before="240" w:after="240" w:line="240" w:lineRule="auto"/>
        <w:jc w:val="both"/>
        <w:rPr>
          <w:rFonts w:ascii="Times New Roman" w:eastAsia="Times New Roman" w:hAnsi="Times New Roman" w:cs="Times New Roman"/>
          <w:sz w:val="26"/>
          <w:szCs w:val="26"/>
        </w:rPr>
      </w:pPr>
    </w:p>
    <w:p w14:paraId="7B768BF4" w14:textId="77777777" w:rsidR="00B155FE" w:rsidRDefault="397FF86C" w:rsidP="397FF86C">
      <w:pPr>
        <w:spacing w:before="240" w:after="24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 xml:space="preserve">Az </w:t>
      </w:r>
      <w:r w:rsidRPr="00DD1EE7">
        <w:rPr>
          <w:rFonts w:ascii="Times New Roman" w:eastAsia="Times New Roman" w:hAnsi="Times New Roman" w:cs="Times New Roman"/>
          <w:b/>
          <w:sz w:val="26"/>
          <w:szCs w:val="26"/>
        </w:rPr>
        <w:t>Egészségbiztosítási Alap kiadásainak</w:t>
      </w:r>
      <w:r w:rsidRPr="397FF86C">
        <w:rPr>
          <w:rFonts w:ascii="Times New Roman" w:eastAsia="Times New Roman" w:hAnsi="Times New Roman" w:cs="Times New Roman"/>
          <w:sz w:val="26"/>
          <w:szCs w:val="26"/>
        </w:rPr>
        <w:t xml:space="preserve"> összetételét a következő ábra mutatja be:</w:t>
      </w:r>
    </w:p>
    <w:p w14:paraId="43269532" w14:textId="0B2E0AEE" w:rsidR="007535E7" w:rsidRPr="00B155FE" w:rsidRDefault="00681D20" w:rsidP="17DC55AF">
      <w:pPr>
        <w:spacing w:before="240" w:after="240" w:line="240" w:lineRule="auto"/>
        <w:jc w:val="center"/>
        <w:rPr>
          <w:rFonts w:ascii="Times New Roman" w:eastAsia="Times New Roman" w:hAnsi="Times New Roman" w:cs="Times New Roman"/>
          <w:sz w:val="26"/>
          <w:szCs w:val="26"/>
        </w:rPr>
      </w:pPr>
      <w:r>
        <w:rPr>
          <w:noProof/>
          <w:lang w:eastAsia="hu-HU"/>
        </w:rPr>
        <w:drawing>
          <wp:inline distT="0" distB="0" distL="0" distR="0" wp14:anchorId="2EB7A7B9" wp14:editId="1E3B3F62">
            <wp:extent cx="5940427" cy="2314108"/>
            <wp:effectExtent l="0" t="0" r="3175" b="0"/>
            <wp:docPr id="1582477919" name="picture" descr="Z:\Áht_gyors_moni\2023_08_aug\0_feljegyzés_monitoring\ábrák\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5940427" cy="2314108"/>
                    </a:xfrm>
                    <a:prstGeom prst="rect">
                      <a:avLst/>
                    </a:prstGeom>
                  </pic:spPr>
                </pic:pic>
              </a:graphicData>
            </a:graphic>
          </wp:inline>
        </w:drawing>
      </w:r>
    </w:p>
    <w:p w14:paraId="7B768BF6" w14:textId="3C031462" w:rsidR="00B155FE" w:rsidRDefault="397FF86C" w:rsidP="397FF86C">
      <w:pPr>
        <w:keepNext/>
        <w:spacing w:after="120" w:line="240" w:lineRule="auto"/>
        <w:jc w:val="both"/>
        <w:rPr>
          <w:rFonts w:ascii="Times New Roman" w:eastAsia="Times New Roman" w:hAnsi="Times New Roman" w:cs="Times New Roman"/>
          <w:sz w:val="26"/>
          <w:szCs w:val="26"/>
        </w:rPr>
      </w:pPr>
      <w:r w:rsidRPr="397FF86C">
        <w:rPr>
          <w:rFonts w:ascii="Times New Roman" w:eastAsia="Times New Roman" w:hAnsi="Times New Roman" w:cs="Times New Roman"/>
          <w:sz w:val="26"/>
          <w:szCs w:val="26"/>
        </w:rPr>
        <w:t>Az Egészségbiztosítási Alap összes kiadásának 25,5%-át a pénzbeli ellátásokra fordított összeg adta. Az ellátások részletes bemutatását a következő táblázat tartalmazza:</w:t>
      </w:r>
    </w:p>
    <w:p w14:paraId="0FC76DA3" w14:textId="77777777" w:rsidR="008343F0" w:rsidRPr="00B155FE" w:rsidRDefault="008343F0" w:rsidP="397FF86C">
      <w:pPr>
        <w:keepNext/>
        <w:spacing w:after="120" w:line="240" w:lineRule="auto"/>
        <w:jc w:val="both"/>
        <w:rPr>
          <w:rFonts w:ascii="Times New Roman" w:eastAsia="Times New Roman" w:hAnsi="Times New Roman" w:cs="Times New Roman"/>
          <w:sz w:val="26"/>
          <w:szCs w:val="26"/>
        </w:rPr>
      </w:pPr>
    </w:p>
    <w:p w14:paraId="7B768BF7" w14:textId="77777777" w:rsidR="00B155FE" w:rsidRPr="008343F0" w:rsidRDefault="397FF86C" w:rsidP="397FF86C">
      <w:pPr>
        <w:keepNext/>
        <w:keepLines/>
        <w:spacing w:before="240" w:after="240" w:line="240" w:lineRule="auto"/>
        <w:jc w:val="center"/>
        <w:rPr>
          <w:rFonts w:ascii="Times New Roman" w:eastAsia="Times New Roman" w:hAnsi="Times New Roman" w:cs="Times New Roman"/>
          <w:b/>
        </w:rPr>
      </w:pPr>
      <w:r w:rsidRPr="008343F0">
        <w:rPr>
          <w:rFonts w:ascii="Times New Roman" w:eastAsia="Times New Roman" w:hAnsi="Times New Roman" w:cs="Times New Roman"/>
          <w:b/>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420"/>
        <w:gridCol w:w="992"/>
        <w:gridCol w:w="993"/>
      </w:tblGrid>
      <w:tr w:rsidR="00B155FE" w:rsidRPr="00B155FE" w14:paraId="7B768BFE" w14:textId="77777777" w:rsidTr="397FF86C">
        <w:trPr>
          <w:trHeight w:val="283"/>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B768BF8" w14:textId="77777777"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BF9" w14:textId="77777777"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 xml:space="preserve">2022. </w:t>
            </w:r>
          </w:p>
          <w:p w14:paraId="7B768BFA" w14:textId="37770F0B"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I-VIII. hó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68BFB" w14:textId="77777777"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 xml:space="preserve">2023. </w:t>
            </w:r>
          </w:p>
          <w:p w14:paraId="7B768BFC" w14:textId="25C31E61"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I-VIII. hó</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768BFD" w14:textId="77777777" w:rsidR="00B155FE" w:rsidRPr="00AB7A63" w:rsidRDefault="397FF86C" w:rsidP="397FF86C">
            <w:pPr>
              <w:keepNext/>
              <w:keepLines/>
              <w:spacing w:after="0" w:line="240" w:lineRule="auto"/>
              <w:jc w:val="center"/>
              <w:rPr>
                <w:rFonts w:ascii="Times New Roman" w:eastAsia="Times New Roman" w:hAnsi="Times New Roman" w:cs="Times New Roman"/>
                <w:b/>
              </w:rPr>
            </w:pPr>
            <w:r w:rsidRPr="00AB7A63">
              <w:rPr>
                <w:rFonts w:ascii="Times New Roman" w:eastAsia="Times New Roman" w:hAnsi="Times New Roman" w:cs="Times New Roman"/>
                <w:b/>
              </w:rPr>
              <w:t>Eltérés</w:t>
            </w:r>
          </w:p>
        </w:tc>
      </w:tr>
      <w:tr w:rsidR="00B155FE" w:rsidRPr="00B155FE" w14:paraId="7B768C04" w14:textId="77777777" w:rsidTr="397FF86C">
        <w:trPr>
          <w:trHeight w:val="283"/>
        </w:trPr>
        <w:tc>
          <w:tcPr>
            <w:tcW w:w="4179" w:type="dxa"/>
            <w:vMerge/>
            <w:tcBorders>
              <w:top w:val="single" w:sz="4" w:space="0" w:color="auto"/>
              <w:left w:val="single" w:sz="4" w:space="0" w:color="auto"/>
              <w:bottom w:val="single" w:sz="4" w:space="0" w:color="000000"/>
              <w:right w:val="single" w:sz="4" w:space="0" w:color="auto"/>
            </w:tcBorders>
            <w:vAlign w:val="center"/>
            <w:hideMark/>
          </w:tcPr>
          <w:p w14:paraId="7B768BFF" w14:textId="77777777" w:rsidR="00B155FE" w:rsidRPr="00AB7A63" w:rsidRDefault="00B155FE" w:rsidP="00B155FE">
            <w:pPr>
              <w:keepNext/>
              <w:keepLines/>
              <w:spacing w:after="0" w:line="240" w:lineRule="auto"/>
              <w:rPr>
                <w:rFonts w:ascii="Times New Roman" w:eastAsia="Times New Roman" w:hAnsi="Times New Roman" w:cs="Times New Roman"/>
                <w:b/>
                <w:bCs/>
                <w:lang w:eastAsia="hu-H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768C00" w14:textId="77777777" w:rsidR="00B155FE" w:rsidRPr="00AB7A63" w:rsidRDefault="00B155FE" w:rsidP="00B155FE">
            <w:pPr>
              <w:keepNext/>
              <w:keepLines/>
              <w:spacing w:after="0" w:line="240" w:lineRule="auto"/>
              <w:jc w:val="center"/>
              <w:rPr>
                <w:rFonts w:ascii="Times New Roman" w:eastAsia="Times New Roman" w:hAnsi="Times New Roman" w:cs="Times New Roman"/>
                <w:b/>
                <w:bCs/>
                <w:lang w:eastAsia="hu-H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7B768C01" w14:textId="77777777" w:rsidR="00B155FE" w:rsidRPr="00AB7A63" w:rsidRDefault="00B155FE" w:rsidP="00B155FE">
            <w:pPr>
              <w:keepNext/>
              <w:keepLines/>
              <w:spacing w:after="0" w:line="240" w:lineRule="auto"/>
              <w:jc w:val="center"/>
              <w:rPr>
                <w:rFonts w:ascii="Times New Roman" w:eastAsia="Times New Roman" w:hAnsi="Times New Roman" w:cs="Times New Roman"/>
                <w:b/>
                <w:bCs/>
                <w:lang w:eastAsia="hu-HU"/>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768C02" w14:textId="77777777" w:rsidR="00B155FE" w:rsidRPr="00AB7A63" w:rsidRDefault="397FF86C" w:rsidP="397FF86C">
            <w:pPr>
              <w:keepNext/>
              <w:keepLines/>
              <w:spacing w:after="0" w:line="240" w:lineRule="auto"/>
              <w:jc w:val="center"/>
              <w:rPr>
                <w:rFonts w:ascii="Times New Roman" w:eastAsia="Times New Roman" w:hAnsi="Times New Roman" w:cs="Times New Roman"/>
                <w:b/>
                <w:bCs/>
                <w:lang w:eastAsia="hu-HU"/>
              </w:rPr>
            </w:pPr>
            <w:r w:rsidRPr="00AB7A63">
              <w:rPr>
                <w:rFonts w:ascii="Times New Roman" w:eastAsia="Times New Roman" w:hAnsi="Times New Roman" w:cs="Times New Roman"/>
                <w:b/>
                <w:bCs/>
                <w:lang w:eastAsia="hu-HU"/>
              </w:rPr>
              <w:t>Mrd Ft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768C03" w14:textId="77777777" w:rsidR="00B155FE" w:rsidRPr="00AB7A63" w:rsidRDefault="397FF86C" w:rsidP="397FF86C">
            <w:pPr>
              <w:keepNext/>
              <w:keepLines/>
              <w:spacing w:after="0" w:line="240" w:lineRule="auto"/>
              <w:jc w:val="center"/>
              <w:rPr>
                <w:rFonts w:ascii="Times New Roman" w:eastAsia="Times New Roman" w:hAnsi="Times New Roman" w:cs="Times New Roman"/>
                <w:b/>
                <w:bCs/>
                <w:lang w:eastAsia="hu-HU"/>
              </w:rPr>
            </w:pPr>
            <w:r w:rsidRPr="00AB7A63">
              <w:rPr>
                <w:rFonts w:ascii="Times New Roman" w:eastAsia="Times New Roman" w:hAnsi="Times New Roman" w:cs="Times New Roman"/>
                <w:b/>
                <w:bCs/>
                <w:lang w:eastAsia="hu-HU"/>
              </w:rPr>
              <w:t>%</w:t>
            </w:r>
          </w:p>
        </w:tc>
      </w:tr>
      <w:tr w:rsidR="00B155FE" w:rsidRPr="00B155FE" w14:paraId="7B768C0A" w14:textId="77777777" w:rsidTr="397FF86C">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7B768C05" w14:textId="77777777" w:rsidR="00B155FE" w:rsidRPr="00B155FE" w:rsidRDefault="397FF86C" w:rsidP="397FF86C">
            <w:pPr>
              <w:keepNext/>
              <w:keepLines/>
              <w:spacing w:after="0" w:line="240" w:lineRule="auto"/>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Pénzbeli ellátások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768C06" w14:textId="579CEBBA" w:rsidR="00B155FE" w:rsidRPr="00B155FE" w:rsidRDefault="397FF86C" w:rsidP="397FF86C">
            <w:pPr>
              <w:keepNext/>
              <w:keepLines/>
              <w:spacing w:after="0"/>
              <w:jc w:val="right"/>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629,9</w:t>
            </w:r>
          </w:p>
        </w:tc>
        <w:tc>
          <w:tcPr>
            <w:tcW w:w="1420" w:type="dxa"/>
            <w:tcBorders>
              <w:top w:val="single" w:sz="4" w:space="0" w:color="auto"/>
              <w:left w:val="nil"/>
              <w:bottom w:val="single" w:sz="4" w:space="0" w:color="auto"/>
              <w:right w:val="single" w:sz="4" w:space="0" w:color="auto"/>
            </w:tcBorders>
            <w:shd w:val="clear" w:color="auto" w:fill="auto"/>
            <w:vAlign w:val="center"/>
          </w:tcPr>
          <w:p w14:paraId="7B768C07" w14:textId="14038FD4" w:rsidR="00B155FE" w:rsidRPr="00B155FE" w:rsidRDefault="397FF86C" w:rsidP="00117E64">
            <w:pPr>
              <w:keepNext/>
              <w:keepLines/>
              <w:spacing w:after="0"/>
              <w:jc w:val="right"/>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6</w:t>
            </w:r>
            <w:r w:rsidR="00117E64">
              <w:rPr>
                <w:rFonts w:ascii="Times New Roman" w:eastAsia="Times New Roman" w:hAnsi="Times New Roman" w:cs="Times New Roman"/>
                <w:b/>
                <w:bCs/>
                <w:lang w:eastAsia="hu-HU"/>
              </w:rPr>
              <w:t>9</w:t>
            </w:r>
            <w:r w:rsidRPr="397FF86C">
              <w:rPr>
                <w:rFonts w:ascii="Times New Roman" w:eastAsia="Times New Roman" w:hAnsi="Times New Roman" w:cs="Times New Roman"/>
                <w:b/>
                <w:bCs/>
                <w:lang w:eastAsia="hu-HU"/>
              </w:rPr>
              <w:t>7,7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768C08" w14:textId="1EA6193B" w:rsidR="00B155FE" w:rsidRPr="00B155FE" w:rsidRDefault="00117E64" w:rsidP="397FF86C">
            <w:pPr>
              <w:keepNext/>
              <w:keepLines/>
              <w:spacing w:after="0"/>
              <w:jc w:val="right"/>
              <w:rPr>
                <w:rFonts w:ascii="Times New Roman" w:eastAsia="Times New Roman" w:hAnsi="Times New Roman" w:cs="Times New Roman"/>
                <w:b/>
                <w:bCs/>
                <w:lang w:eastAsia="hu-HU"/>
              </w:rPr>
            </w:pPr>
            <w:r>
              <w:rPr>
                <w:rFonts w:ascii="Times New Roman" w:eastAsia="Times New Roman" w:hAnsi="Times New Roman" w:cs="Times New Roman"/>
                <w:b/>
                <w:bCs/>
                <w:lang w:eastAsia="hu-HU"/>
              </w:rPr>
              <w:t>6</w:t>
            </w:r>
            <w:r w:rsidR="397FF86C" w:rsidRPr="397FF86C">
              <w:rPr>
                <w:rFonts w:ascii="Times New Roman" w:eastAsia="Times New Roman" w:hAnsi="Times New Roman" w:cs="Times New Roman"/>
                <w:b/>
                <w:bCs/>
                <w:lang w:eastAsia="hu-HU"/>
              </w:rPr>
              <w:t>7,8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768C09" w14:textId="7C99DC99" w:rsidR="00B155FE" w:rsidRPr="00B155FE" w:rsidRDefault="397FF86C" w:rsidP="00117E64">
            <w:pPr>
              <w:keepNext/>
              <w:keepLines/>
              <w:spacing w:after="0"/>
              <w:jc w:val="right"/>
              <w:rPr>
                <w:rFonts w:ascii="Times New Roman" w:eastAsia="Times New Roman" w:hAnsi="Times New Roman" w:cs="Times New Roman"/>
                <w:b/>
                <w:bCs/>
                <w:lang w:eastAsia="hu-HU"/>
              </w:rPr>
            </w:pPr>
            <w:r w:rsidRPr="397FF86C">
              <w:rPr>
                <w:rFonts w:ascii="Times New Roman" w:eastAsia="Times New Roman" w:hAnsi="Times New Roman" w:cs="Times New Roman"/>
                <w:b/>
                <w:bCs/>
                <w:lang w:eastAsia="hu-HU"/>
              </w:rPr>
              <w:t>1</w:t>
            </w:r>
            <w:r w:rsidR="00117E64">
              <w:rPr>
                <w:rFonts w:ascii="Times New Roman" w:eastAsia="Times New Roman" w:hAnsi="Times New Roman" w:cs="Times New Roman"/>
                <w:b/>
                <w:bCs/>
                <w:lang w:eastAsia="hu-HU"/>
              </w:rPr>
              <w:t>10,8</w:t>
            </w:r>
          </w:p>
        </w:tc>
      </w:tr>
      <w:tr w:rsidR="00B155FE" w:rsidRPr="00B155FE" w14:paraId="7B768C0D" w14:textId="77777777" w:rsidTr="397FF86C">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7B768C0B" w14:textId="77777777" w:rsidR="00B155FE" w:rsidRPr="00B155FE" w:rsidRDefault="397FF86C" w:rsidP="397FF86C">
            <w:pPr>
              <w:keepNext/>
              <w:keepLines/>
              <w:spacing w:after="0" w:line="240" w:lineRule="auto"/>
              <w:ind w:firstLine="285"/>
              <w:rPr>
                <w:rFonts w:ascii="Times New Roman" w:eastAsia="Times New Roman" w:hAnsi="Times New Roman" w:cs="Times New Roman"/>
                <w:i/>
                <w:iCs/>
                <w:lang w:eastAsia="hu-HU"/>
              </w:rPr>
            </w:pPr>
            <w:r w:rsidRPr="397FF86C">
              <w:rPr>
                <w:rFonts w:ascii="Times New Roman" w:eastAsia="Times New Roman" w:hAnsi="Times New Roman" w:cs="Times New Roman"/>
                <w:i/>
                <w:iCs/>
                <w:lang w:eastAsia="hu-HU"/>
              </w:rPr>
              <w:t>Ebből:</w:t>
            </w:r>
          </w:p>
        </w:tc>
        <w:tc>
          <w:tcPr>
            <w:tcW w:w="4539" w:type="dxa"/>
            <w:gridSpan w:val="4"/>
            <w:tcBorders>
              <w:top w:val="single" w:sz="4" w:space="0" w:color="auto"/>
              <w:left w:val="nil"/>
              <w:bottom w:val="single" w:sz="4" w:space="0" w:color="auto"/>
              <w:right w:val="single" w:sz="4" w:space="0" w:color="auto"/>
            </w:tcBorders>
            <w:shd w:val="clear" w:color="auto" w:fill="auto"/>
            <w:vAlign w:val="center"/>
          </w:tcPr>
          <w:p w14:paraId="7B768C0C" w14:textId="77777777" w:rsidR="00B155FE" w:rsidRPr="00B155FE" w:rsidRDefault="00B155FE" w:rsidP="00B155FE">
            <w:pPr>
              <w:keepNext/>
              <w:keepLines/>
              <w:spacing w:after="0" w:line="240" w:lineRule="auto"/>
              <w:jc w:val="right"/>
              <w:rPr>
                <w:rFonts w:ascii="Times New Roman" w:eastAsia="Times New Roman" w:hAnsi="Times New Roman" w:cs="Times New Roman"/>
                <w:lang w:eastAsia="hu-HU"/>
              </w:rPr>
            </w:pPr>
          </w:p>
        </w:tc>
      </w:tr>
      <w:tr w:rsidR="00B155FE" w:rsidRPr="00B155FE" w14:paraId="7B768C13" w14:textId="77777777" w:rsidTr="397FF86C">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7B768C0E" w14:textId="77777777" w:rsidR="00B155FE" w:rsidRPr="00B155FE" w:rsidRDefault="397FF86C" w:rsidP="397FF86C">
            <w:pPr>
              <w:keepNext/>
              <w:keepLines/>
              <w:spacing w:after="0" w:line="240" w:lineRule="auto"/>
              <w:ind w:firstLineChars="284" w:firstLine="625"/>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Rokkantsági, rehabilitációs ellátások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768C0F" w14:textId="302A1E61"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225,6</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B768C10" w14:textId="42C2D5AF" w:rsidR="00B155FE" w:rsidRPr="00B155FE" w:rsidRDefault="397FF86C" w:rsidP="005652EE">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2</w:t>
            </w:r>
            <w:r w:rsidR="005652EE">
              <w:rPr>
                <w:rFonts w:ascii="Times New Roman" w:eastAsia="Times New Roman" w:hAnsi="Times New Roman" w:cs="Times New Roman"/>
                <w:lang w:eastAsia="hu-HU"/>
              </w:rPr>
              <w:t>5</w:t>
            </w:r>
            <w:r w:rsidRPr="397FF86C">
              <w:rPr>
                <w:rFonts w:ascii="Times New Roman" w:eastAsia="Times New Roman" w:hAnsi="Times New Roman" w:cs="Times New Roman"/>
                <w:lang w:eastAsia="hu-HU"/>
              </w:rPr>
              <w:t>5,8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768C11" w14:textId="674EB6B9" w:rsidR="00B155FE" w:rsidRPr="00B155FE" w:rsidRDefault="00BE354F" w:rsidP="397FF86C">
            <w:pPr>
              <w:keepNext/>
              <w:keepLines/>
              <w:spacing w:after="0"/>
              <w:jc w:val="right"/>
              <w:rPr>
                <w:rFonts w:ascii="Times New Roman" w:eastAsia="Times New Roman" w:hAnsi="Times New Roman" w:cs="Times New Roman"/>
                <w:lang w:eastAsia="hu-HU"/>
              </w:rPr>
            </w:pPr>
            <w:r>
              <w:rPr>
                <w:rFonts w:ascii="Times New Roman" w:eastAsia="Times New Roman" w:hAnsi="Times New Roman" w:cs="Times New Roman"/>
                <w:lang w:eastAsia="hu-HU"/>
              </w:rPr>
              <w:t>3</w:t>
            </w:r>
            <w:r w:rsidR="397FF86C" w:rsidRPr="397FF86C">
              <w:rPr>
                <w:rFonts w:ascii="Times New Roman" w:eastAsia="Times New Roman" w:hAnsi="Times New Roman" w:cs="Times New Roman"/>
                <w:lang w:eastAsia="hu-HU"/>
              </w:rPr>
              <w:t>0,2</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768C12" w14:textId="0807B1F5" w:rsidR="00B155FE" w:rsidRPr="00B155FE" w:rsidRDefault="397FF86C" w:rsidP="00EE1E12">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w:t>
            </w:r>
            <w:r w:rsidR="00EE1E12">
              <w:rPr>
                <w:rFonts w:ascii="Times New Roman" w:eastAsia="Times New Roman" w:hAnsi="Times New Roman" w:cs="Times New Roman"/>
                <w:lang w:eastAsia="hu-HU"/>
              </w:rPr>
              <w:t>13,4</w:t>
            </w:r>
          </w:p>
        </w:tc>
      </w:tr>
      <w:tr w:rsidR="00B155FE" w:rsidRPr="00B155FE" w14:paraId="7B768C19" w14:textId="77777777" w:rsidTr="397FF86C">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7B768C14" w14:textId="77777777" w:rsidR="00B155FE" w:rsidRPr="00B155FE" w:rsidRDefault="397FF86C" w:rsidP="397FF86C">
            <w:pPr>
              <w:keepNext/>
              <w:keepLines/>
              <w:spacing w:after="0" w:line="240" w:lineRule="auto"/>
              <w:ind w:firstLineChars="284" w:firstLine="625"/>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Gyermekgondozási díj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768C15" w14:textId="08B58696"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190,0</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B768C16" w14:textId="7F892370"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214,0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768C17" w14:textId="2A24B152"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24,0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768C18" w14:textId="6E392118"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112,6</w:t>
            </w:r>
          </w:p>
        </w:tc>
      </w:tr>
      <w:tr w:rsidR="00B155FE" w:rsidRPr="00B155FE" w14:paraId="7B768C1F" w14:textId="77777777" w:rsidTr="397FF86C">
        <w:trPr>
          <w:trHeight w:val="283"/>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68C1A" w14:textId="77777777" w:rsidR="00B155FE" w:rsidRPr="00B155FE" w:rsidRDefault="397FF86C" w:rsidP="397FF86C">
            <w:pPr>
              <w:keepNext/>
              <w:keepLines/>
              <w:spacing w:after="0" w:line="240" w:lineRule="auto"/>
              <w:ind w:firstLineChars="284" w:firstLine="625"/>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768C1B" w14:textId="300BAA4C"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124,3</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B768C1C" w14:textId="55897E58"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121,3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B768C1D" w14:textId="3BDD0534"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-3,0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B768C1E" w14:textId="6642E819" w:rsidR="00B155FE" w:rsidRPr="00B155FE" w:rsidRDefault="397FF86C" w:rsidP="397FF86C">
            <w:pPr>
              <w:keepNext/>
              <w:keepLines/>
              <w:spacing w:after="0"/>
              <w:jc w:val="right"/>
              <w:rPr>
                <w:rFonts w:ascii="Times New Roman" w:eastAsia="Times New Roman" w:hAnsi="Times New Roman" w:cs="Times New Roman"/>
                <w:lang w:eastAsia="hu-HU"/>
              </w:rPr>
            </w:pPr>
            <w:r w:rsidRPr="397FF86C">
              <w:rPr>
                <w:rFonts w:ascii="Times New Roman" w:eastAsia="Times New Roman" w:hAnsi="Times New Roman" w:cs="Times New Roman"/>
                <w:lang w:eastAsia="hu-HU"/>
              </w:rPr>
              <w:t>97,6</w:t>
            </w:r>
          </w:p>
        </w:tc>
      </w:tr>
    </w:tbl>
    <w:p w14:paraId="5FE82FE3" w14:textId="095D617C" w:rsidR="00E97147" w:rsidRDefault="00E97147">
      <w:pPr>
        <w:rPr>
          <w:rFonts w:ascii="Times New Roman" w:eastAsia="Times New Roman" w:hAnsi="Times New Roman" w:cs="Times New Roman"/>
          <w:lang w:eastAsia="hu-HU"/>
        </w:rPr>
      </w:pPr>
    </w:p>
    <w:p w14:paraId="7B768C21" w14:textId="45136C3B" w:rsidR="00B155FE" w:rsidRPr="00B155FE"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gyógyító-megelőző ellátásokra</w:t>
      </w:r>
      <w:r w:rsidRPr="397FF86C">
        <w:rPr>
          <w:rFonts w:ascii="Times New Roman" w:eastAsia="Times New Roman" w:hAnsi="Times New Roman" w:cs="Times New Roman"/>
          <w:sz w:val="26"/>
          <w:szCs w:val="26"/>
          <w:lang w:eastAsia="hu-HU"/>
        </w:rPr>
        <w:t xml:space="preserve"> fordított kiadás 2023 első nyolc hónapjában 1 512,1 milliárd forintot tett ki a 2022. január-augusztusi 1 436,3 milliárd forint összegű kiadással szemben. Az előző évhez viszonyított magasabb összegű kiadás elsődlegesen a 2023. januártól harmadik ütemben tovább folytatott, az állami és önkormányzati fekvő- és járóbeteg-ellátásban dolgozó orvosok béremelésével, valamint a háziorvosok, fogorvosok bértámogatásával és az egészségügyi szakdolgozók és egészségügyben dolgozók 2023. július 1</w:t>
      </w:r>
      <w:r w:rsidR="00AB7A63">
        <w:rPr>
          <w:rFonts w:ascii="Times New Roman" w:eastAsia="Times New Roman" w:hAnsi="Times New Roman" w:cs="Times New Roman"/>
          <w:sz w:val="26"/>
          <w:szCs w:val="26"/>
          <w:lang w:eastAsia="hu-HU"/>
        </w:rPr>
        <w:t>-jével megkezdődő béremelésével</w:t>
      </w:r>
      <w:r w:rsidRPr="397FF86C">
        <w:rPr>
          <w:rFonts w:ascii="Times New Roman" w:eastAsia="Times New Roman" w:hAnsi="Times New Roman" w:cs="Times New Roman"/>
          <w:sz w:val="26"/>
          <w:szCs w:val="26"/>
          <w:lang w:eastAsia="hu-HU"/>
        </w:rPr>
        <w:t xml:space="preserve"> kapcsolatosan jelentkezik.</w:t>
      </w:r>
    </w:p>
    <w:p w14:paraId="7B768C22" w14:textId="0DB6AE31" w:rsidR="00B155FE" w:rsidRPr="00B155FE"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Gyógyszertámogatásra</w:t>
      </w:r>
      <w:r w:rsidRPr="397FF86C">
        <w:rPr>
          <w:rFonts w:ascii="Times New Roman" w:eastAsia="Times New Roman" w:hAnsi="Times New Roman" w:cs="Times New Roman"/>
          <w:sz w:val="26"/>
          <w:szCs w:val="26"/>
          <w:lang w:eastAsia="hu-HU"/>
        </w:rPr>
        <w:t xml:space="preserve"> az év első nyolc hónapjában 325,7 milliárd forintot fordítottak, amely 39,2 milliárd forinttal több az előző évben kifizetett összegnél.</w:t>
      </w:r>
    </w:p>
    <w:p w14:paraId="7B768C23" w14:textId="77777777" w:rsidR="00B155FE" w:rsidRPr="00B155FE" w:rsidRDefault="00B155FE" w:rsidP="00B155FE">
      <w:pPr>
        <w:spacing w:after="120" w:line="240" w:lineRule="auto"/>
        <w:rPr>
          <w:rFonts w:ascii="Times New Roman" w:eastAsia="Times New Roman" w:hAnsi="Times New Roman" w:cs="Times New Roman"/>
          <w:sz w:val="26"/>
          <w:szCs w:val="20"/>
          <w:lang w:eastAsia="hu-HU"/>
        </w:rPr>
      </w:pPr>
      <w:r w:rsidRPr="00B155FE">
        <w:rPr>
          <w:rFonts w:ascii="Times New Roman" w:eastAsia="Times New Roman" w:hAnsi="Times New Roman" w:cs="Times New Roman"/>
          <w:sz w:val="26"/>
          <w:szCs w:val="20"/>
          <w:lang w:eastAsia="hu-HU"/>
        </w:rPr>
        <w:br w:type="page"/>
      </w:r>
    </w:p>
    <w:p w14:paraId="7B768C24" w14:textId="77777777" w:rsidR="00B155FE" w:rsidRPr="00B155FE" w:rsidRDefault="397FF86C" w:rsidP="397FF86C">
      <w:pPr>
        <w:keepNext/>
        <w:numPr>
          <w:ilvl w:val="0"/>
          <w:numId w:val="2"/>
        </w:numPr>
        <w:spacing w:after="120" w:line="240" w:lineRule="auto"/>
        <w:jc w:val="both"/>
        <w:outlineLvl w:val="2"/>
        <w:rPr>
          <w:rFonts w:ascii="Times New Roman" w:eastAsia="Times New Roman" w:hAnsi="Times New Roman" w:cs="Times New Roman"/>
          <w:b/>
          <w:bCs/>
          <w:smallCaps/>
          <w:sz w:val="26"/>
          <w:szCs w:val="26"/>
          <w:lang w:eastAsia="hu-HU"/>
        </w:rPr>
      </w:pPr>
      <w:r w:rsidRPr="397FF86C">
        <w:rPr>
          <w:rFonts w:ascii="Times New Roman" w:eastAsia="Times New Roman" w:hAnsi="Times New Roman" w:cs="Times New Roman"/>
          <w:b/>
          <w:bCs/>
          <w:smallCaps/>
          <w:sz w:val="26"/>
          <w:szCs w:val="26"/>
          <w:lang w:eastAsia="hu-HU"/>
        </w:rPr>
        <w:t xml:space="preserve">A költségvetési szervek és fejezeti kezelésű előirányzatok alakulása </w:t>
      </w:r>
    </w:p>
    <w:p w14:paraId="01073969" w14:textId="52ABC71E" w:rsidR="0033462C" w:rsidRPr="001A2835" w:rsidRDefault="397FF86C" w:rsidP="397FF86C">
      <w:pPr>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w:t>
      </w:r>
      <w:r w:rsidRPr="397FF86C">
        <w:rPr>
          <w:rFonts w:ascii="Times New Roman" w:eastAsia="Times New Roman" w:hAnsi="Times New Roman" w:cs="Times New Roman"/>
          <w:b/>
          <w:bCs/>
          <w:sz w:val="26"/>
          <w:szCs w:val="26"/>
          <w:lang w:eastAsia="hu-HU"/>
        </w:rPr>
        <w:t>költségvetési szervek bevételei</w:t>
      </w:r>
      <w:r w:rsidRPr="397FF86C">
        <w:rPr>
          <w:rFonts w:ascii="Times New Roman" w:eastAsia="Times New Roman" w:hAnsi="Times New Roman" w:cs="Times New Roman"/>
          <w:sz w:val="26"/>
          <w:szCs w:val="26"/>
          <w:lang w:eastAsia="hu-HU"/>
        </w:rPr>
        <w:t xml:space="preserve"> 2023 első </w:t>
      </w:r>
      <w:r w:rsidR="00E02EEE">
        <w:rPr>
          <w:rFonts w:ascii="Times New Roman" w:eastAsia="Times New Roman" w:hAnsi="Times New Roman" w:cs="Times New Roman"/>
          <w:sz w:val="26"/>
          <w:szCs w:val="26"/>
          <w:lang w:eastAsia="hu-HU"/>
        </w:rPr>
        <w:t>nyolc</w:t>
      </w:r>
      <w:r w:rsidRPr="397FF86C">
        <w:rPr>
          <w:rFonts w:ascii="Times New Roman" w:eastAsia="Times New Roman" w:hAnsi="Times New Roman" w:cs="Times New Roman"/>
          <w:sz w:val="26"/>
          <w:szCs w:val="26"/>
          <w:lang w:eastAsia="hu-HU"/>
        </w:rPr>
        <w:t xml:space="preserve"> hónapjában 1</w:t>
      </w:r>
      <w:r w:rsidR="001A2835">
        <w:rPr>
          <w:rFonts w:ascii="Times New Roman" w:eastAsia="Times New Roman" w:hAnsi="Times New Roman" w:cs="Times New Roman"/>
          <w:sz w:val="26"/>
          <w:szCs w:val="26"/>
          <w:lang w:eastAsia="hu-HU"/>
        </w:rPr>
        <w:t> 428,5</w:t>
      </w:r>
      <w:r w:rsidRPr="397FF86C">
        <w:rPr>
          <w:rFonts w:ascii="Times New Roman" w:eastAsia="Times New Roman" w:hAnsi="Times New Roman" w:cs="Times New Roman"/>
          <w:sz w:val="26"/>
          <w:szCs w:val="26"/>
          <w:lang w:eastAsia="hu-HU"/>
        </w:rPr>
        <w:t xml:space="preserve"> milliárd forintot tettek ki, amely 2</w:t>
      </w:r>
      <w:r w:rsidR="001A2835">
        <w:rPr>
          <w:rFonts w:ascii="Times New Roman" w:eastAsia="Times New Roman" w:hAnsi="Times New Roman" w:cs="Times New Roman"/>
          <w:sz w:val="26"/>
          <w:szCs w:val="26"/>
          <w:lang w:eastAsia="hu-HU"/>
        </w:rPr>
        <w:t>37,3</w:t>
      </w:r>
      <w:r w:rsidRPr="397FF86C">
        <w:rPr>
          <w:rFonts w:ascii="Times New Roman" w:eastAsia="Times New Roman" w:hAnsi="Times New Roman" w:cs="Times New Roman"/>
          <w:sz w:val="26"/>
          <w:szCs w:val="26"/>
          <w:lang w:eastAsia="hu-HU"/>
        </w:rPr>
        <w:t xml:space="preserve"> milliárd forinttal alacsonyabb az előző év első </w:t>
      </w:r>
      <w:r w:rsidR="001A2835">
        <w:rPr>
          <w:rFonts w:ascii="Times New Roman" w:eastAsia="Times New Roman" w:hAnsi="Times New Roman" w:cs="Times New Roman"/>
          <w:sz w:val="26"/>
          <w:szCs w:val="26"/>
          <w:lang w:eastAsia="hu-HU"/>
        </w:rPr>
        <w:t>nyolc</w:t>
      </w:r>
      <w:r w:rsidRPr="397FF86C">
        <w:rPr>
          <w:rFonts w:ascii="Times New Roman" w:eastAsia="Times New Roman" w:hAnsi="Times New Roman" w:cs="Times New Roman"/>
          <w:sz w:val="26"/>
          <w:szCs w:val="26"/>
          <w:lang w:eastAsia="hu-HU"/>
        </w:rPr>
        <w:t xml:space="preserve">havi bevételéhez képest. Az intézmények bevételei közül </w:t>
      </w:r>
      <w:r w:rsidR="001A2835">
        <w:rPr>
          <w:rFonts w:ascii="Times New Roman" w:eastAsia="Times New Roman" w:hAnsi="Times New Roman" w:cs="Times New Roman"/>
          <w:sz w:val="26"/>
          <w:szCs w:val="26"/>
          <w:lang w:eastAsia="hu-HU"/>
        </w:rPr>
        <w:t>807,1</w:t>
      </w:r>
      <w:r w:rsidRPr="397FF86C">
        <w:rPr>
          <w:rFonts w:ascii="Times New Roman" w:eastAsia="Times New Roman" w:hAnsi="Times New Roman" w:cs="Times New Roman"/>
          <w:sz w:val="26"/>
          <w:szCs w:val="26"/>
          <w:lang w:eastAsia="hu-HU"/>
        </w:rPr>
        <w:t xml:space="preserve"> milliárd forintot tett ki a Nemzeti Egészségbiztosítási Alapkezelő által az egészségügyi intézményeknek utalt </w:t>
      </w:r>
      <w:r w:rsidRPr="001A2835">
        <w:rPr>
          <w:rFonts w:ascii="Times New Roman" w:eastAsia="Times New Roman" w:hAnsi="Times New Roman" w:cs="Times New Roman"/>
          <w:sz w:val="26"/>
          <w:szCs w:val="26"/>
          <w:lang w:eastAsia="hu-HU"/>
        </w:rPr>
        <w:t>támogatás.</w:t>
      </w:r>
    </w:p>
    <w:p w14:paraId="0D321D81" w14:textId="2302A011" w:rsidR="0033462C" w:rsidRPr="001A2835" w:rsidRDefault="397FF86C" w:rsidP="397FF86C">
      <w:pPr>
        <w:spacing w:after="120" w:line="240" w:lineRule="auto"/>
        <w:jc w:val="both"/>
        <w:rPr>
          <w:rFonts w:ascii="Times New Roman" w:eastAsia="Times New Roman" w:hAnsi="Times New Roman" w:cs="Times New Roman"/>
          <w:sz w:val="26"/>
          <w:szCs w:val="26"/>
          <w:lang w:eastAsia="hu-HU"/>
        </w:rPr>
      </w:pPr>
      <w:r w:rsidRPr="001A2835">
        <w:rPr>
          <w:rFonts w:ascii="Times New Roman" w:eastAsia="Times New Roman" w:hAnsi="Times New Roman" w:cs="Times New Roman"/>
          <w:sz w:val="26"/>
          <w:szCs w:val="26"/>
          <w:lang w:eastAsia="hu-HU"/>
        </w:rPr>
        <w:t xml:space="preserve">A </w:t>
      </w:r>
      <w:r w:rsidRPr="001A2835">
        <w:rPr>
          <w:rFonts w:ascii="Times New Roman" w:eastAsia="Times New Roman" w:hAnsi="Times New Roman" w:cs="Times New Roman"/>
          <w:b/>
          <w:bCs/>
          <w:sz w:val="26"/>
          <w:szCs w:val="26"/>
          <w:lang w:eastAsia="hu-HU"/>
        </w:rPr>
        <w:t>Szakmai fejezeti kezelésű előirányzatok bevételei</w:t>
      </w:r>
      <w:r w:rsidRPr="001A2835">
        <w:rPr>
          <w:rFonts w:ascii="Times New Roman" w:eastAsia="Times New Roman" w:hAnsi="Times New Roman" w:cs="Times New Roman"/>
          <w:sz w:val="26"/>
          <w:szCs w:val="26"/>
          <w:lang w:eastAsia="hu-HU"/>
        </w:rPr>
        <w:t xml:space="preserve"> 2023. január-</w:t>
      </w:r>
      <w:r w:rsidR="001A2835" w:rsidRPr="001A2835">
        <w:rPr>
          <w:rFonts w:ascii="Times New Roman" w:eastAsia="Times New Roman" w:hAnsi="Times New Roman" w:cs="Times New Roman"/>
          <w:sz w:val="26"/>
          <w:szCs w:val="26"/>
          <w:lang w:eastAsia="hu-HU"/>
        </w:rPr>
        <w:t>augusztus</w:t>
      </w:r>
      <w:r w:rsidRPr="001A2835">
        <w:rPr>
          <w:rFonts w:ascii="Times New Roman" w:eastAsia="Times New Roman" w:hAnsi="Times New Roman" w:cs="Times New Roman"/>
          <w:sz w:val="26"/>
          <w:szCs w:val="26"/>
          <w:lang w:eastAsia="hu-HU"/>
        </w:rPr>
        <w:t xml:space="preserve"> hónapban 4</w:t>
      </w:r>
      <w:r w:rsidR="001A2835" w:rsidRPr="001A2835">
        <w:rPr>
          <w:rFonts w:ascii="Times New Roman" w:eastAsia="Times New Roman" w:hAnsi="Times New Roman" w:cs="Times New Roman"/>
          <w:sz w:val="26"/>
          <w:szCs w:val="26"/>
          <w:lang w:eastAsia="hu-HU"/>
        </w:rPr>
        <w:t>59,7</w:t>
      </w:r>
      <w:r w:rsidRPr="001A2835">
        <w:rPr>
          <w:rFonts w:ascii="Times New Roman" w:eastAsia="Times New Roman" w:hAnsi="Times New Roman" w:cs="Times New Roman"/>
          <w:sz w:val="26"/>
          <w:szCs w:val="26"/>
          <w:lang w:eastAsia="hu-HU"/>
        </w:rPr>
        <w:t xml:space="preserve"> milliárd forintot tettek ki, mely </w:t>
      </w:r>
      <w:r w:rsidR="001A2835" w:rsidRPr="001A2835">
        <w:rPr>
          <w:rFonts w:ascii="Times New Roman" w:eastAsia="Times New Roman" w:hAnsi="Times New Roman" w:cs="Times New Roman"/>
          <w:sz w:val="26"/>
          <w:szCs w:val="26"/>
          <w:lang w:eastAsia="hu-HU"/>
        </w:rPr>
        <w:t>85,4</w:t>
      </w:r>
      <w:r w:rsidRPr="001A2835">
        <w:rPr>
          <w:rFonts w:ascii="Times New Roman" w:eastAsia="Times New Roman" w:hAnsi="Times New Roman" w:cs="Times New Roman"/>
          <w:sz w:val="26"/>
          <w:szCs w:val="26"/>
          <w:lang w:eastAsia="hu-HU"/>
        </w:rPr>
        <w:t xml:space="preserve">%-kal magasabb az előző év első </w:t>
      </w:r>
      <w:r w:rsidR="001A2835" w:rsidRPr="001A2835">
        <w:rPr>
          <w:rFonts w:ascii="Times New Roman" w:eastAsia="Times New Roman" w:hAnsi="Times New Roman" w:cs="Times New Roman"/>
          <w:sz w:val="26"/>
          <w:szCs w:val="26"/>
          <w:lang w:eastAsia="hu-HU"/>
        </w:rPr>
        <w:t>nyolc</w:t>
      </w:r>
      <w:r w:rsidRPr="001A2835">
        <w:rPr>
          <w:rFonts w:ascii="Times New Roman" w:eastAsia="Times New Roman" w:hAnsi="Times New Roman" w:cs="Times New Roman"/>
          <w:sz w:val="26"/>
          <w:szCs w:val="26"/>
          <w:lang w:eastAsia="hu-HU"/>
        </w:rPr>
        <w:t>havi bevételéhez képest. A bevételek jelentős részét az „Alapok alapja GINOP pénzügyi eszközök” törvényi sorra befolyt összeg teszi ki, mely nem uniós bevételként jóváírt tétel.</w:t>
      </w:r>
    </w:p>
    <w:p w14:paraId="7B768C27" w14:textId="34564B46" w:rsidR="00B155FE" w:rsidRPr="001A2835" w:rsidRDefault="397FF86C" w:rsidP="397FF86C">
      <w:pPr>
        <w:spacing w:after="120" w:line="240" w:lineRule="auto"/>
        <w:jc w:val="both"/>
        <w:rPr>
          <w:rFonts w:ascii="Times New Roman" w:eastAsia="Times New Roman" w:hAnsi="Times New Roman" w:cs="Times New Roman"/>
          <w:sz w:val="26"/>
          <w:szCs w:val="26"/>
          <w:lang w:eastAsia="hu-HU"/>
        </w:rPr>
      </w:pPr>
      <w:r w:rsidRPr="001A2835">
        <w:rPr>
          <w:rFonts w:ascii="Times New Roman" w:eastAsia="Times New Roman" w:hAnsi="Times New Roman" w:cs="Times New Roman"/>
          <w:sz w:val="26"/>
          <w:szCs w:val="26"/>
          <w:lang w:eastAsia="hu-HU"/>
        </w:rPr>
        <w:t xml:space="preserve">A 2023. első </w:t>
      </w:r>
      <w:r w:rsidR="001A2835" w:rsidRPr="001A2835">
        <w:rPr>
          <w:rFonts w:ascii="Times New Roman" w:eastAsia="Times New Roman" w:hAnsi="Times New Roman" w:cs="Times New Roman"/>
          <w:sz w:val="26"/>
          <w:szCs w:val="26"/>
          <w:lang w:eastAsia="hu-HU"/>
        </w:rPr>
        <w:t>nyolc</w:t>
      </w:r>
      <w:r w:rsidRPr="001A2835">
        <w:rPr>
          <w:rFonts w:ascii="Times New Roman" w:eastAsia="Times New Roman" w:hAnsi="Times New Roman" w:cs="Times New Roman"/>
          <w:sz w:val="26"/>
          <w:szCs w:val="26"/>
          <w:lang w:eastAsia="hu-HU"/>
        </w:rPr>
        <w:t>havi, 1</w:t>
      </w:r>
      <w:r w:rsidR="001A2835" w:rsidRPr="001A2835">
        <w:rPr>
          <w:rFonts w:ascii="Times New Roman" w:eastAsia="Times New Roman" w:hAnsi="Times New Roman" w:cs="Times New Roman"/>
          <w:sz w:val="26"/>
          <w:szCs w:val="26"/>
          <w:lang w:eastAsia="hu-HU"/>
        </w:rPr>
        <w:t> 88</w:t>
      </w:r>
      <w:r w:rsidR="00C61227">
        <w:rPr>
          <w:rFonts w:ascii="Times New Roman" w:eastAsia="Times New Roman" w:hAnsi="Times New Roman" w:cs="Times New Roman"/>
          <w:sz w:val="26"/>
          <w:szCs w:val="26"/>
          <w:lang w:eastAsia="hu-HU"/>
        </w:rPr>
        <w:t>8</w:t>
      </w:r>
      <w:r w:rsidR="001A2835" w:rsidRPr="001A2835">
        <w:rPr>
          <w:rFonts w:ascii="Times New Roman" w:eastAsia="Times New Roman" w:hAnsi="Times New Roman" w:cs="Times New Roman"/>
          <w:sz w:val="26"/>
          <w:szCs w:val="26"/>
          <w:lang w:eastAsia="hu-HU"/>
        </w:rPr>
        <w:t>,2</w:t>
      </w:r>
      <w:r w:rsidRPr="001A2835">
        <w:rPr>
          <w:rFonts w:ascii="Times New Roman" w:eastAsia="Times New Roman" w:hAnsi="Times New Roman" w:cs="Times New Roman"/>
          <w:sz w:val="26"/>
          <w:szCs w:val="26"/>
          <w:lang w:eastAsia="hu-HU"/>
        </w:rPr>
        <w:t> milliárd forint összegű bevétel megoszlását a következő grafikon szemlélteti:</w:t>
      </w:r>
    </w:p>
    <w:p w14:paraId="6CB9A8CC" w14:textId="48DF7E23" w:rsidR="007535E7" w:rsidRPr="00B155FE" w:rsidRDefault="00681D20" w:rsidP="007535E7">
      <w:pPr>
        <w:spacing w:after="120" w:line="240" w:lineRule="auto"/>
        <w:jc w:val="center"/>
        <w:rPr>
          <w:rFonts w:ascii="Times New Roman" w:eastAsia="Times New Roman" w:hAnsi="Times New Roman" w:cs="Times New Roman"/>
          <w:sz w:val="26"/>
          <w:szCs w:val="26"/>
          <w:lang w:eastAsia="hu-HU"/>
        </w:rPr>
      </w:pPr>
      <w:r>
        <w:rPr>
          <w:noProof/>
          <w:lang w:eastAsia="hu-HU"/>
        </w:rPr>
        <w:drawing>
          <wp:inline distT="0" distB="0" distL="0" distR="0" wp14:anchorId="42C5FCA5" wp14:editId="1A8DA3C2">
            <wp:extent cx="5940427" cy="3395180"/>
            <wp:effectExtent l="0" t="0" r="3175" b="0"/>
            <wp:docPr id="936309524" name="picture" descr="Z:\Áht_gyors_moni\2023_08_aug\0_feljegyzés_monitoring\ábrák\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3">
                      <a:extLst>
                        <a:ext uri="{28A0092B-C50C-407E-A947-70E740481C1C}">
                          <a14:useLocalDpi xmlns:a14="http://schemas.microsoft.com/office/drawing/2010/main" val="0"/>
                        </a:ext>
                      </a:extLst>
                    </a:blip>
                    <a:stretch>
                      <a:fillRect/>
                    </a:stretch>
                  </pic:blipFill>
                  <pic:spPr>
                    <a:xfrm>
                      <a:off x="0" y="0"/>
                      <a:ext cx="5940427" cy="3395180"/>
                    </a:xfrm>
                    <a:prstGeom prst="rect">
                      <a:avLst/>
                    </a:prstGeom>
                  </pic:spPr>
                </pic:pic>
              </a:graphicData>
            </a:graphic>
          </wp:inline>
        </w:drawing>
      </w:r>
    </w:p>
    <w:p w14:paraId="1F3A0EC6" w14:textId="08B178C1" w:rsidR="0033462C" w:rsidRPr="00C52FED" w:rsidRDefault="397FF86C" w:rsidP="397FF86C">
      <w:pPr>
        <w:spacing w:after="120" w:line="240" w:lineRule="auto"/>
        <w:jc w:val="both"/>
        <w:rPr>
          <w:rFonts w:ascii="Times New Roman" w:eastAsia="Times New Roman" w:hAnsi="Times New Roman" w:cs="Times New Roman"/>
          <w:sz w:val="26"/>
          <w:szCs w:val="26"/>
          <w:lang w:eastAsia="hu-HU"/>
        </w:rPr>
      </w:pPr>
      <w:r w:rsidRPr="001A2835">
        <w:rPr>
          <w:rFonts w:ascii="Times New Roman" w:eastAsia="Times New Roman" w:hAnsi="Times New Roman" w:cs="Times New Roman"/>
          <w:sz w:val="26"/>
          <w:szCs w:val="26"/>
          <w:lang w:eastAsia="hu-HU"/>
        </w:rPr>
        <w:t xml:space="preserve">A </w:t>
      </w:r>
      <w:r w:rsidRPr="001A2835">
        <w:rPr>
          <w:rFonts w:ascii="Times New Roman" w:eastAsia="Times New Roman" w:hAnsi="Times New Roman" w:cs="Times New Roman"/>
          <w:b/>
          <w:bCs/>
          <w:sz w:val="26"/>
          <w:szCs w:val="26"/>
          <w:lang w:eastAsia="hu-HU"/>
        </w:rPr>
        <w:t>Költségvetési szervek kiadásai</w:t>
      </w:r>
      <w:r w:rsidRPr="001A2835">
        <w:rPr>
          <w:rFonts w:ascii="Times New Roman" w:eastAsia="Times New Roman" w:hAnsi="Times New Roman" w:cs="Times New Roman"/>
          <w:sz w:val="26"/>
          <w:szCs w:val="26"/>
          <w:lang w:eastAsia="hu-HU"/>
        </w:rPr>
        <w:t xml:space="preserve"> mérlegsoron 2023 első </w:t>
      </w:r>
      <w:r w:rsidR="001A2835" w:rsidRPr="001A2835">
        <w:rPr>
          <w:rFonts w:ascii="Times New Roman" w:eastAsia="Times New Roman" w:hAnsi="Times New Roman" w:cs="Times New Roman"/>
          <w:sz w:val="26"/>
          <w:szCs w:val="26"/>
          <w:lang w:eastAsia="hu-HU"/>
        </w:rPr>
        <w:t>nyolc</w:t>
      </w:r>
      <w:r w:rsidRPr="001A2835">
        <w:rPr>
          <w:rFonts w:ascii="Times New Roman" w:eastAsia="Times New Roman" w:hAnsi="Times New Roman" w:cs="Times New Roman"/>
          <w:sz w:val="26"/>
          <w:szCs w:val="26"/>
          <w:lang w:eastAsia="hu-HU"/>
        </w:rPr>
        <w:t xml:space="preserve"> hónapjában 4</w:t>
      </w:r>
      <w:r w:rsidR="001A2835" w:rsidRPr="001A2835">
        <w:rPr>
          <w:rFonts w:ascii="Times New Roman" w:eastAsia="Times New Roman" w:hAnsi="Times New Roman" w:cs="Times New Roman"/>
          <w:sz w:val="26"/>
          <w:szCs w:val="26"/>
          <w:lang w:eastAsia="hu-HU"/>
        </w:rPr>
        <w:t> 709,0 </w:t>
      </w:r>
      <w:r w:rsidRPr="001A2835">
        <w:rPr>
          <w:rFonts w:ascii="Times New Roman" w:eastAsia="Times New Roman" w:hAnsi="Times New Roman" w:cs="Times New Roman"/>
          <w:sz w:val="26"/>
          <w:szCs w:val="26"/>
          <w:lang w:eastAsia="hu-HU"/>
        </w:rPr>
        <w:t xml:space="preserve">milliárd forint kiadás teljesült, mely </w:t>
      </w:r>
      <w:r w:rsidR="001A2835" w:rsidRPr="001A2835">
        <w:rPr>
          <w:rFonts w:ascii="Times New Roman" w:eastAsia="Times New Roman" w:hAnsi="Times New Roman" w:cs="Times New Roman"/>
          <w:sz w:val="26"/>
          <w:szCs w:val="26"/>
          <w:lang w:eastAsia="hu-HU"/>
        </w:rPr>
        <w:t>5,4</w:t>
      </w:r>
      <w:r w:rsidRPr="001A2835">
        <w:rPr>
          <w:rFonts w:ascii="Times New Roman" w:eastAsia="Times New Roman" w:hAnsi="Times New Roman" w:cs="Times New Roman"/>
          <w:sz w:val="26"/>
          <w:szCs w:val="26"/>
          <w:lang w:eastAsia="hu-HU"/>
        </w:rPr>
        <w:t xml:space="preserve">%-kal magasabb az előző év első </w:t>
      </w:r>
      <w:r w:rsidR="001A2835" w:rsidRPr="001A2835">
        <w:rPr>
          <w:rFonts w:ascii="Times New Roman" w:eastAsia="Times New Roman" w:hAnsi="Times New Roman" w:cs="Times New Roman"/>
          <w:sz w:val="26"/>
          <w:szCs w:val="26"/>
          <w:lang w:eastAsia="hu-HU"/>
        </w:rPr>
        <w:t>nyolc</w:t>
      </w:r>
      <w:r w:rsidRPr="001A2835">
        <w:rPr>
          <w:rFonts w:ascii="Times New Roman" w:eastAsia="Times New Roman" w:hAnsi="Times New Roman" w:cs="Times New Roman"/>
          <w:sz w:val="26"/>
          <w:szCs w:val="26"/>
          <w:lang w:eastAsia="hu-HU"/>
        </w:rPr>
        <w:t xml:space="preserve"> </w:t>
      </w:r>
      <w:r w:rsidRPr="00C52FED">
        <w:rPr>
          <w:rFonts w:ascii="Times New Roman" w:eastAsia="Times New Roman" w:hAnsi="Times New Roman" w:cs="Times New Roman"/>
          <w:sz w:val="26"/>
          <w:szCs w:val="26"/>
          <w:lang w:eastAsia="hu-HU"/>
        </w:rPr>
        <w:t>hó</w:t>
      </w:r>
      <w:r w:rsidR="001A2835" w:rsidRPr="00C52FED">
        <w:rPr>
          <w:rFonts w:ascii="Times New Roman" w:eastAsia="Times New Roman" w:hAnsi="Times New Roman" w:cs="Times New Roman"/>
          <w:sz w:val="26"/>
          <w:szCs w:val="26"/>
          <w:lang w:eastAsia="hu-HU"/>
        </w:rPr>
        <w:t xml:space="preserve">napjához képest. A </w:t>
      </w:r>
      <w:r w:rsidR="001A2835" w:rsidRPr="008877C7">
        <w:rPr>
          <w:rFonts w:ascii="Times New Roman" w:eastAsia="Times New Roman" w:hAnsi="Times New Roman" w:cs="Times New Roman"/>
          <w:sz w:val="26"/>
          <w:szCs w:val="26"/>
          <w:lang w:eastAsia="hu-HU"/>
        </w:rPr>
        <w:t>kiadásból 2 760,6</w:t>
      </w:r>
      <w:r w:rsidRPr="008877C7">
        <w:rPr>
          <w:rFonts w:ascii="Times New Roman" w:eastAsia="Times New Roman" w:hAnsi="Times New Roman" w:cs="Times New Roman"/>
          <w:sz w:val="26"/>
          <w:szCs w:val="26"/>
          <w:lang w:eastAsia="hu-HU"/>
        </w:rPr>
        <w:t xml:space="preserve"> milliárd </w:t>
      </w:r>
      <w:r w:rsidRPr="00C52FED">
        <w:rPr>
          <w:rFonts w:ascii="Times New Roman" w:eastAsia="Times New Roman" w:hAnsi="Times New Roman" w:cs="Times New Roman"/>
          <w:sz w:val="26"/>
          <w:szCs w:val="26"/>
          <w:lang w:eastAsia="hu-HU"/>
        </w:rPr>
        <w:t>forint a személyi juttatásokra és munkaadókat terhelő járulékokra kifizetett összeg.</w:t>
      </w:r>
    </w:p>
    <w:p w14:paraId="130E1B4D" w14:textId="22EF8890" w:rsidR="0033462C" w:rsidRPr="00C52FED" w:rsidRDefault="397FF86C" w:rsidP="397FF86C">
      <w:pPr>
        <w:spacing w:after="120" w:line="240" w:lineRule="auto"/>
        <w:jc w:val="both"/>
        <w:rPr>
          <w:rFonts w:ascii="Times New Roman" w:eastAsia="Times New Roman" w:hAnsi="Times New Roman" w:cs="Times New Roman"/>
          <w:sz w:val="26"/>
          <w:szCs w:val="26"/>
          <w:lang w:eastAsia="hu-HU"/>
        </w:rPr>
      </w:pPr>
      <w:r w:rsidRPr="00C52FED">
        <w:rPr>
          <w:rFonts w:ascii="Times New Roman" w:eastAsia="Times New Roman" w:hAnsi="Times New Roman" w:cs="Times New Roman"/>
          <w:sz w:val="26"/>
          <w:szCs w:val="26"/>
          <w:lang w:eastAsia="hu-HU"/>
        </w:rPr>
        <w:t xml:space="preserve">A </w:t>
      </w:r>
      <w:r w:rsidRPr="00C52FED">
        <w:rPr>
          <w:rFonts w:ascii="Times New Roman" w:eastAsia="Times New Roman" w:hAnsi="Times New Roman" w:cs="Times New Roman"/>
          <w:b/>
          <w:bCs/>
          <w:sz w:val="26"/>
          <w:szCs w:val="26"/>
          <w:lang w:eastAsia="hu-HU"/>
        </w:rPr>
        <w:t>Szakmai fejezeti kezelésű előirányzatok kiadásai</w:t>
      </w:r>
      <w:r w:rsidRPr="00C52FED">
        <w:rPr>
          <w:rFonts w:ascii="Times New Roman" w:eastAsia="Times New Roman" w:hAnsi="Times New Roman" w:cs="Times New Roman"/>
          <w:sz w:val="26"/>
          <w:szCs w:val="26"/>
          <w:lang w:eastAsia="hu-HU"/>
        </w:rPr>
        <w:t xml:space="preserve"> mérlegsoron 2023 első </w:t>
      </w:r>
      <w:r w:rsidR="00C52FED" w:rsidRPr="00C52FED">
        <w:rPr>
          <w:rFonts w:ascii="Times New Roman" w:eastAsia="Times New Roman" w:hAnsi="Times New Roman" w:cs="Times New Roman"/>
          <w:sz w:val="26"/>
          <w:szCs w:val="26"/>
          <w:lang w:eastAsia="hu-HU"/>
        </w:rPr>
        <w:t>nyolc</w:t>
      </w:r>
      <w:r w:rsidRPr="00C52FED">
        <w:rPr>
          <w:rFonts w:ascii="Times New Roman" w:eastAsia="Times New Roman" w:hAnsi="Times New Roman" w:cs="Times New Roman"/>
          <w:sz w:val="26"/>
          <w:szCs w:val="26"/>
          <w:lang w:eastAsia="hu-HU"/>
        </w:rPr>
        <w:t xml:space="preserve"> hónapjában 3</w:t>
      </w:r>
      <w:r w:rsidR="00C52FED" w:rsidRPr="00C52FED">
        <w:rPr>
          <w:rFonts w:ascii="Times New Roman" w:eastAsia="Times New Roman" w:hAnsi="Times New Roman" w:cs="Times New Roman"/>
          <w:sz w:val="26"/>
          <w:szCs w:val="26"/>
          <w:lang w:eastAsia="hu-HU"/>
        </w:rPr>
        <w:t> 329,</w:t>
      </w:r>
      <w:r w:rsidR="00EF22AA">
        <w:rPr>
          <w:rFonts w:ascii="Times New Roman" w:eastAsia="Times New Roman" w:hAnsi="Times New Roman" w:cs="Times New Roman"/>
          <w:sz w:val="26"/>
          <w:szCs w:val="26"/>
          <w:lang w:eastAsia="hu-HU"/>
        </w:rPr>
        <w:t>8</w:t>
      </w:r>
      <w:r w:rsidRPr="00C52FED">
        <w:rPr>
          <w:rFonts w:ascii="Times New Roman" w:eastAsia="Times New Roman" w:hAnsi="Times New Roman" w:cs="Times New Roman"/>
          <w:sz w:val="26"/>
          <w:szCs w:val="26"/>
          <w:lang w:eastAsia="hu-HU"/>
        </w:rPr>
        <w:t xml:space="preserve"> milliárd forint kiadás teljesült, mely 7,</w:t>
      </w:r>
      <w:r w:rsidR="00C52FED" w:rsidRPr="00C52FED">
        <w:rPr>
          <w:rFonts w:ascii="Times New Roman" w:eastAsia="Times New Roman" w:hAnsi="Times New Roman" w:cs="Times New Roman"/>
          <w:sz w:val="26"/>
          <w:szCs w:val="26"/>
          <w:lang w:eastAsia="hu-HU"/>
        </w:rPr>
        <w:t>5</w:t>
      </w:r>
      <w:r w:rsidRPr="00C52FED">
        <w:rPr>
          <w:rFonts w:ascii="Times New Roman" w:eastAsia="Times New Roman" w:hAnsi="Times New Roman" w:cs="Times New Roman"/>
          <w:sz w:val="26"/>
          <w:szCs w:val="26"/>
          <w:lang w:eastAsia="hu-HU"/>
        </w:rPr>
        <w:t xml:space="preserve">%-kal alacsonyabb, mint az előző év első </w:t>
      </w:r>
      <w:r w:rsidR="00C52FED" w:rsidRPr="00C52FED">
        <w:rPr>
          <w:rFonts w:ascii="Times New Roman" w:eastAsia="Times New Roman" w:hAnsi="Times New Roman" w:cs="Times New Roman"/>
          <w:sz w:val="26"/>
          <w:szCs w:val="26"/>
          <w:lang w:eastAsia="hu-HU"/>
        </w:rPr>
        <w:t>nyolc</w:t>
      </w:r>
      <w:r w:rsidRPr="00C52FED">
        <w:rPr>
          <w:rFonts w:ascii="Times New Roman" w:eastAsia="Times New Roman" w:hAnsi="Times New Roman" w:cs="Times New Roman"/>
          <w:sz w:val="26"/>
          <w:szCs w:val="26"/>
          <w:lang w:eastAsia="hu-HU"/>
        </w:rPr>
        <w:t>havi kiadása. Ezen időszak teljesítéséből az alábbi kiadások emelhetők ki:</w:t>
      </w:r>
    </w:p>
    <w:p w14:paraId="27FF9712" w14:textId="7782107F" w:rsidR="00CF533D" w:rsidRPr="001A2835" w:rsidRDefault="00CF533D">
      <w:pPr>
        <w:rPr>
          <w:rFonts w:ascii="Times New Roman" w:eastAsia="Times New Roman" w:hAnsi="Times New Roman" w:cs="Times New Roman"/>
          <w:color w:val="FF0000"/>
          <w:sz w:val="26"/>
          <w:szCs w:val="26"/>
          <w:lang w:eastAsia="hu-HU"/>
        </w:rPr>
      </w:pPr>
      <w:r w:rsidRPr="001A2835">
        <w:rPr>
          <w:rFonts w:ascii="Times New Roman" w:eastAsia="Times New Roman" w:hAnsi="Times New Roman" w:cs="Times New Roman"/>
          <w:color w:val="FF0000"/>
          <w:sz w:val="26"/>
          <w:szCs w:val="26"/>
          <w:lang w:eastAsia="hu-HU"/>
        </w:rPr>
        <w:br w:type="page"/>
      </w:r>
    </w:p>
    <w:p w14:paraId="7B768C2C" w14:textId="314465BB" w:rsidR="00B155FE" w:rsidRPr="00904BD8" w:rsidRDefault="397FF86C" w:rsidP="397FF86C">
      <w:pPr>
        <w:spacing w:after="120" w:line="240" w:lineRule="auto"/>
        <w:jc w:val="right"/>
        <w:rPr>
          <w:rFonts w:ascii="Times New Roman" w:eastAsia="Times New Roman" w:hAnsi="Times New Roman" w:cs="Times New Roman"/>
          <w:i/>
          <w:iCs/>
          <w:sz w:val="20"/>
          <w:szCs w:val="20"/>
          <w:lang w:eastAsia="hu-HU"/>
        </w:rPr>
      </w:pPr>
      <w:proofErr w:type="gramStart"/>
      <w:r w:rsidRPr="00904BD8">
        <w:rPr>
          <w:rFonts w:ascii="Times New Roman" w:eastAsia="Times New Roman" w:hAnsi="Times New Roman" w:cs="Times New Roman"/>
          <w:i/>
          <w:iCs/>
          <w:sz w:val="20"/>
          <w:szCs w:val="20"/>
          <w:lang w:eastAsia="hu-HU"/>
        </w:rPr>
        <w:t>milliárd</w:t>
      </w:r>
      <w:proofErr w:type="gramEnd"/>
      <w:r w:rsidRPr="00904BD8">
        <w:rPr>
          <w:rFonts w:ascii="Times New Roman" w:eastAsia="Times New Roman" w:hAnsi="Times New Roman" w:cs="Times New Roman"/>
          <w:i/>
          <w:iCs/>
          <w:sz w:val="20"/>
          <w:szCs w:val="20"/>
          <w:lang w:eastAsia="hu-HU"/>
        </w:rPr>
        <w:t xml:space="preserve"> forint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1"/>
        <w:gridCol w:w="1026"/>
      </w:tblGrid>
      <w:tr w:rsidR="00904BD8" w:rsidRPr="00904BD8" w14:paraId="7B768C2F" w14:textId="77777777" w:rsidTr="397FF86C">
        <w:trPr>
          <w:trHeight w:val="340"/>
        </w:trPr>
        <w:tc>
          <w:tcPr>
            <w:tcW w:w="8211" w:type="dxa"/>
            <w:tcMar>
              <w:top w:w="0" w:type="dxa"/>
              <w:left w:w="108" w:type="dxa"/>
              <w:bottom w:w="0" w:type="dxa"/>
              <w:right w:w="108" w:type="dxa"/>
            </w:tcMar>
            <w:vAlign w:val="center"/>
            <w:hideMark/>
          </w:tcPr>
          <w:p w14:paraId="7B768C2D" w14:textId="043CF05D" w:rsidR="001D04FF" w:rsidRPr="00904BD8" w:rsidRDefault="397FF86C" w:rsidP="397FF86C">
            <w:pPr>
              <w:spacing w:after="0" w:line="240" w:lineRule="auto"/>
              <w:jc w:val="both"/>
              <w:rPr>
                <w:rFonts w:ascii="Times New Roman" w:eastAsia="Times New Roman" w:hAnsi="Times New Roman" w:cs="Times New Roman"/>
                <w:lang w:eastAsia="hu-HU"/>
              </w:rPr>
            </w:pPr>
            <w:r w:rsidRPr="00904BD8">
              <w:rPr>
                <w:rFonts w:ascii="Times New Roman" w:hAnsi="Times New Roman" w:cs="Times New Roman"/>
                <w:lang w:eastAsia="hu-HU"/>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1026" w:type="dxa"/>
            <w:noWrap/>
            <w:tcMar>
              <w:top w:w="0" w:type="dxa"/>
              <w:left w:w="108" w:type="dxa"/>
              <w:bottom w:w="0" w:type="dxa"/>
              <w:right w:w="108" w:type="dxa"/>
            </w:tcMar>
            <w:vAlign w:val="center"/>
            <w:hideMark/>
          </w:tcPr>
          <w:p w14:paraId="7B768C2E" w14:textId="2F67BB5B" w:rsidR="001D04FF" w:rsidRPr="00904BD8" w:rsidRDefault="00904BD8" w:rsidP="00904BD8">
            <w:pPr>
              <w:spacing w:after="0" w:line="240" w:lineRule="auto"/>
              <w:jc w:val="right"/>
              <w:rPr>
                <w:rFonts w:ascii="Times New Roman" w:eastAsia="Times New Roman" w:hAnsi="Times New Roman" w:cs="Times New Roman"/>
                <w:lang w:eastAsia="hu-HU"/>
              </w:rPr>
            </w:pPr>
            <w:r w:rsidRPr="00904BD8">
              <w:rPr>
                <w:rFonts w:ascii="Times New Roman" w:hAnsi="Times New Roman" w:cs="Times New Roman"/>
                <w:lang w:eastAsia="hu-HU"/>
              </w:rPr>
              <w:t>461,2</w:t>
            </w:r>
          </w:p>
        </w:tc>
      </w:tr>
      <w:tr w:rsidR="008E6833" w:rsidRPr="008E6833" w14:paraId="7B768C32" w14:textId="77777777" w:rsidTr="397FF86C">
        <w:trPr>
          <w:trHeight w:val="340"/>
        </w:trPr>
        <w:tc>
          <w:tcPr>
            <w:tcW w:w="8211" w:type="dxa"/>
            <w:tcMar>
              <w:top w:w="0" w:type="dxa"/>
              <w:left w:w="108" w:type="dxa"/>
              <w:bottom w:w="0" w:type="dxa"/>
              <w:right w:w="108" w:type="dxa"/>
            </w:tcMar>
            <w:vAlign w:val="center"/>
            <w:hideMark/>
          </w:tcPr>
          <w:p w14:paraId="7B768C30" w14:textId="2F7BF8CC" w:rsidR="001D04FF" w:rsidRPr="008E6833" w:rsidRDefault="397FF86C" w:rsidP="397FF86C">
            <w:pPr>
              <w:spacing w:after="0" w:line="240" w:lineRule="auto"/>
              <w:jc w:val="both"/>
              <w:rPr>
                <w:rFonts w:ascii="Times New Roman" w:eastAsia="Times New Roman" w:hAnsi="Times New Roman" w:cs="Times New Roman"/>
                <w:lang w:eastAsia="hu-HU"/>
              </w:rPr>
            </w:pPr>
            <w:r w:rsidRPr="008E6833">
              <w:rPr>
                <w:rFonts w:ascii="Times New Roman" w:hAnsi="Times New Roman" w:cs="Times New Roman"/>
                <w:lang w:eastAsia="hu-HU"/>
              </w:rPr>
              <w:t>Nem állami felsőoktatási intézmények támogatása</w:t>
            </w:r>
          </w:p>
        </w:tc>
        <w:tc>
          <w:tcPr>
            <w:tcW w:w="1026" w:type="dxa"/>
            <w:noWrap/>
            <w:tcMar>
              <w:top w:w="0" w:type="dxa"/>
              <w:left w:w="108" w:type="dxa"/>
              <w:bottom w:w="0" w:type="dxa"/>
              <w:right w:w="108" w:type="dxa"/>
            </w:tcMar>
            <w:vAlign w:val="center"/>
            <w:hideMark/>
          </w:tcPr>
          <w:p w14:paraId="7B768C31" w14:textId="006A53DD" w:rsidR="001D04FF" w:rsidRPr="008E6833" w:rsidRDefault="397FF86C" w:rsidP="008E6833">
            <w:pPr>
              <w:spacing w:after="0" w:line="240" w:lineRule="auto"/>
              <w:jc w:val="right"/>
              <w:rPr>
                <w:rFonts w:ascii="Times New Roman" w:eastAsia="Times New Roman" w:hAnsi="Times New Roman" w:cs="Times New Roman"/>
                <w:lang w:eastAsia="hu-HU"/>
              </w:rPr>
            </w:pPr>
            <w:r w:rsidRPr="008E6833">
              <w:rPr>
                <w:rFonts w:ascii="Times New Roman" w:hAnsi="Times New Roman" w:cs="Times New Roman"/>
                <w:lang w:eastAsia="hu-HU"/>
              </w:rPr>
              <w:t>29</w:t>
            </w:r>
            <w:r w:rsidR="008E6833" w:rsidRPr="008E6833">
              <w:rPr>
                <w:rFonts w:ascii="Times New Roman" w:hAnsi="Times New Roman" w:cs="Times New Roman"/>
                <w:lang w:eastAsia="hu-HU"/>
              </w:rPr>
              <w:t>6,9</w:t>
            </w:r>
          </w:p>
        </w:tc>
      </w:tr>
      <w:tr w:rsidR="008E6833" w:rsidRPr="008E6833" w14:paraId="30AB198A" w14:textId="77777777" w:rsidTr="00815E8F">
        <w:trPr>
          <w:trHeight w:val="283"/>
        </w:trPr>
        <w:tc>
          <w:tcPr>
            <w:tcW w:w="8211" w:type="dxa"/>
            <w:tcMar>
              <w:top w:w="0" w:type="dxa"/>
              <w:left w:w="108" w:type="dxa"/>
              <w:bottom w:w="0" w:type="dxa"/>
              <w:right w:w="108" w:type="dxa"/>
            </w:tcMar>
            <w:vAlign w:val="center"/>
          </w:tcPr>
          <w:p w14:paraId="78943A41" w14:textId="77777777" w:rsidR="008E6833" w:rsidRPr="008E6833" w:rsidRDefault="008E6833" w:rsidP="00815E8F">
            <w:pPr>
              <w:spacing w:after="0" w:line="240" w:lineRule="auto"/>
              <w:jc w:val="both"/>
              <w:rPr>
                <w:rFonts w:ascii="Times New Roman" w:eastAsia="Times New Roman" w:hAnsi="Times New Roman" w:cs="Times New Roman"/>
                <w:lang w:eastAsia="hu-HU"/>
              </w:rPr>
            </w:pPr>
            <w:r w:rsidRPr="008E6833">
              <w:rPr>
                <w:rFonts w:ascii="Times New Roman" w:hAnsi="Times New Roman" w:cs="Times New Roman"/>
                <w:lang w:eastAsia="hu-HU"/>
              </w:rPr>
              <w:t>Vasúti fejlesztések</w:t>
            </w:r>
          </w:p>
        </w:tc>
        <w:tc>
          <w:tcPr>
            <w:tcW w:w="1026" w:type="dxa"/>
            <w:noWrap/>
            <w:tcMar>
              <w:top w:w="0" w:type="dxa"/>
              <w:left w:w="108" w:type="dxa"/>
              <w:bottom w:w="0" w:type="dxa"/>
              <w:right w:w="108" w:type="dxa"/>
            </w:tcMar>
            <w:vAlign w:val="center"/>
          </w:tcPr>
          <w:p w14:paraId="698BBBA8" w14:textId="77777777" w:rsidR="008E6833" w:rsidRPr="008E6833" w:rsidRDefault="008E6833" w:rsidP="00815E8F">
            <w:pPr>
              <w:spacing w:after="0" w:line="240" w:lineRule="auto"/>
              <w:jc w:val="right"/>
              <w:rPr>
                <w:rFonts w:ascii="Times New Roman" w:eastAsia="Times New Roman" w:hAnsi="Times New Roman" w:cs="Times New Roman"/>
                <w:lang w:eastAsia="hu-HU"/>
              </w:rPr>
            </w:pPr>
            <w:r w:rsidRPr="008E6833">
              <w:rPr>
                <w:rFonts w:ascii="Times New Roman" w:hAnsi="Times New Roman" w:cs="Times New Roman"/>
                <w:lang w:eastAsia="hu-HU"/>
              </w:rPr>
              <w:t>111,8</w:t>
            </w:r>
          </w:p>
        </w:tc>
      </w:tr>
      <w:tr w:rsidR="008E6833" w:rsidRPr="008E6833" w14:paraId="3C0B2CD7" w14:textId="77777777" w:rsidTr="00815E8F">
        <w:trPr>
          <w:trHeight w:val="283"/>
        </w:trPr>
        <w:tc>
          <w:tcPr>
            <w:tcW w:w="8211" w:type="dxa"/>
            <w:tcMar>
              <w:top w:w="0" w:type="dxa"/>
              <w:left w:w="108" w:type="dxa"/>
              <w:bottom w:w="0" w:type="dxa"/>
              <w:right w:w="108" w:type="dxa"/>
            </w:tcMar>
            <w:vAlign w:val="center"/>
          </w:tcPr>
          <w:p w14:paraId="1AD19514" w14:textId="77777777" w:rsidR="008E6833" w:rsidRPr="008E6833" w:rsidRDefault="008E6833" w:rsidP="00815E8F">
            <w:pPr>
              <w:spacing w:after="0" w:line="240" w:lineRule="auto"/>
              <w:jc w:val="both"/>
              <w:rPr>
                <w:rFonts w:ascii="Times New Roman" w:eastAsia="Times New Roman" w:hAnsi="Times New Roman" w:cs="Times New Roman"/>
                <w:lang w:eastAsia="hu-HU"/>
              </w:rPr>
            </w:pPr>
            <w:r w:rsidRPr="008E6833">
              <w:rPr>
                <w:rFonts w:ascii="Times New Roman" w:hAnsi="Times New Roman" w:cs="Times New Roman"/>
                <w:lang w:eastAsia="hu-HU"/>
              </w:rPr>
              <w:t>Beruházás ösztönzési célelőirányzat</w:t>
            </w:r>
          </w:p>
        </w:tc>
        <w:tc>
          <w:tcPr>
            <w:tcW w:w="1026" w:type="dxa"/>
            <w:noWrap/>
            <w:tcMar>
              <w:top w:w="0" w:type="dxa"/>
              <w:left w:w="108" w:type="dxa"/>
              <w:bottom w:w="0" w:type="dxa"/>
              <w:right w:w="108" w:type="dxa"/>
            </w:tcMar>
            <w:vAlign w:val="center"/>
          </w:tcPr>
          <w:p w14:paraId="7550E918" w14:textId="77777777" w:rsidR="008E6833" w:rsidRPr="008E6833" w:rsidRDefault="008E6833" w:rsidP="00815E8F">
            <w:pPr>
              <w:spacing w:after="0" w:line="240" w:lineRule="auto"/>
              <w:jc w:val="right"/>
              <w:rPr>
                <w:rFonts w:ascii="Times New Roman" w:hAnsi="Times New Roman" w:cs="Times New Roman"/>
                <w:lang w:eastAsia="hu-HU"/>
              </w:rPr>
            </w:pPr>
            <w:r w:rsidRPr="008E6833">
              <w:rPr>
                <w:rFonts w:ascii="Times New Roman" w:hAnsi="Times New Roman" w:cs="Times New Roman"/>
                <w:lang w:eastAsia="hu-HU"/>
              </w:rPr>
              <w:t>98,2</w:t>
            </w:r>
          </w:p>
        </w:tc>
      </w:tr>
      <w:tr w:rsidR="008E6833" w:rsidRPr="008E6833" w14:paraId="7B768C35" w14:textId="77777777" w:rsidTr="397FF86C">
        <w:trPr>
          <w:trHeight w:val="340"/>
        </w:trPr>
        <w:tc>
          <w:tcPr>
            <w:tcW w:w="8211" w:type="dxa"/>
            <w:tcMar>
              <w:top w:w="0" w:type="dxa"/>
              <w:left w:w="108" w:type="dxa"/>
              <w:bottom w:w="0" w:type="dxa"/>
              <w:right w:w="108" w:type="dxa"/>
            </w:tcMar>
            <w:vAlign w:val="center"/>
          </w:tcPr>
          <w:p w14:paraId="7B768C33" w14:textId="6022C1FB" w:rsidR="001D04FF" w:rsidRPr="008E6833" w:rsidRDefault="397FF86C" w:rsidP="397FF86C">
            <w:pPr>
              <w:spacing w:after="0" w:line="240" w:lineRule="auto"/>
              <w:jc w:val="both"/>
              <w:rPr>
                <w:rFonts w:ascii="Times New Roman" w:eastAsia="Times New Roman" w:hAnsi="Times New Roman" w:cs="Times New Roman"/>
                <w:lang w:eastAsia="hu-HU"/>
              </w:rPr>
            </w:pPr>
            <w:r w:rsidRPr="008E6833">
              <w:rPr>
                <w:rFonts w:ascii="Times New Roman" w:hAnsi="Times New Roman" w:cs="Times New Roman"/>
                <w:lang w:eastAsia="hu-HU"/>
              </w:rPr>
              <w:t>Térségi fejlesztési feladatok</w:t>
            </w:r>
          </w:p>
        </w:tc>
        <w:tc>
          <w:tcPr>
            <w:tcW w:w="1026" w:type="dxa"/>
            <w:noWrap/>
            <w:tcMar>
              <w:top w:w="0" w:type="dxa"/>
              <w:left w:w="108" w:type="dxa"/>
              <w:bottom w:w="0" w:type="dxa"/>
              <w:right w:w="108" w:type="dxa"/>
            </w:tcMar>
            <w:vAlign w:val="center"/>
          </w:tcPr>
          <w:p w14:paraId="7B768C34" w14:textId="1E6E895C" w:rsidR="001D04FF" w:rsidRPr="008E6833" w:rsidRDefault="397FF86C" w:rsidP="397FF86C">
            <w:pPr>
              <w:spacing w:after="0" w:line="240" w:lineRule="auto"/>
              <w:jc w:val="right"/>
              <w:rPr>
                <w:rFonts w:ascii="Times New Roman" w:eastAsia="Times New Roman" w:hAnsi="Times New Roman" w:cs="Times New Roman"/>
                <w:lang w:eastAsia="hu-HU"/>
              </w:rPr>
            </w:pPr>
            <w:r w:rsidRPr="008E6833">
              <w:rPr>
                <w:rFonts w:ascii="Times New Roman" w:hAnsi="Times New Roman" w:cs="Times New Roman"/>
                <w:lang w:eastAsia="hu-HU"/>
              </w:rPr>
              <w:t>97,8</w:t>
            </w:r>
          </w:p>
        </w:tc>
      </w:tr>
      <w:tr w:rsidR="0006496D" w:rsidRPr="0006496D" w14:paraId="50243270" w14:textId="77777777" w:rsidTr="397FF86C">
        <w:trPr>
          <w:trHeight w:val="283"/>
        </w:trPr>
        <w:tc>
          <w:tcPr>
            <w:tcW w:w="8211" w:type="dxa"/>
            <w:tcMar>
              <w:top w:w="0" w:type="dxa"/>
              <w:left w:w="108" w:type="dxa"/>
              <w:bottom w:w="0" w:type="dxa"/>
              <w:right w:w="108" w:type="dxa"/>
            </w:tcMar>
            <w:vAlign w:val="center"/>
          </w:tcPr>
          <w:p w14:paraId="360FCE77" w14:textId="77CE7047" w:rsidR="001D04FF" w:rsidRPr="0006496D" w:rsidRDefault="397FF86C" w:rsidP="397FF86C">
            <w:pPr>
              <w:spacing w:after="0" w:line="240" w:lineRule="auto"/>
              <w:jc w:val="both"/>
              <w:rPr>
                <w:rFonts w:ascii="Times New Roman" w:eastAsia="Times New Roman" w:hAnsi="Times New Roman" w:cs="Times New Roman"/>
                <w:lang w:eastAsia="hu-HU"/>
              </w:rPr>
            </w:pPr>
            <w:r w:rsidRPr="0006496D">
              <w:rPr>
                <w:rFonts w:ascii="Times New Roman" w:hAnsi="Times New Roman" w:cs="Times New Roman"/>
                <w:lang w:eastAsia="hu-HU"/>
              </w:rPr>
              <w:t>Közlekedési ágazati programok</w:t>
            </w:r>
          </w:p>
        </w:tc>
        <w:tc>
          <w:tcPr>
            <w:tcW w:w="1026" w:type="dxa"/>
            <w:noWrap/>
            <w:tcMar>
              <w:top w:w="0" w:type="dxa"/>
              <w:left w:w="108" w:type="dxa"/>
              <w:bottom w:w="0" w:type="dxa"/>
              <w:right w:w="108" w:type="dxa"/>
            </w:tcMar>
            <w:vAlign w:val="center"/>
          </w:tcPr>
          <w:p w14:paraId="17707423" w14:textId="403FAD5D" w:rsidR="001D04FF" w:rsidRPr="0006496D" w:rsidRDefault="0006496D" w:rsidP="0006496D">
            <w:pPr>
              <w:spacing w:after="0" w:line="240" w:lineRule="auto"/>
              <w:jc w:val="right"/>
              <w:rPr>
                <w:rFonts w:ascii="Times New Roman" w:eastAsia="Times New Roman" w:hAnsi="Times New Roman" w:cs="Times New Roman"/>
                <w:lang w:eastAsia="hu-HU"/>
              </w:rPr>
            </w:pPr>
            <w:r w:rsidRPr="0006496D">
              <w:rPr>
                <w:rFonts w:ascii="Times New Roman" w:hAnsi="Times New Roman" w:cs="Times New Roman"/>
                <w:lang w:eastAsia="hu-HU"/>
              </w:rPr>
              <w:t>81,5</w:t>
            </w:r>
          </w:p>
        </w:tc>
      </w:tr>
      <w:tr w:rsidR="0006496D" w:rsidRPr="0006496D" w14:paraId="7B768C41" w14:textId="77777777" w:rsidTr="397FF86C">
        <w:trPr>
          <w:trHeight w:val="283"/>
        </w:trPr>
        <w:tc>
          <w:tcPr>
            <w:tcW w:w="8211" w:type="dxa"/>
            <w:tcMar>
              <w:top w:w="0" w:type="dxa"/>
              <w:left w:w="108" w:type="dxa"/>
              <w:bottom w:w="0" w:type="dxa"/>
              <w:right w:w="108" w:type="dxa"/>
            </w:tcMar>
            <w:vAlign w:val="center"/>
          </w:tcPr>
          <w:p w14:paraId="7B768C3F" w14:textId="48ADED8A" w:rsidR="001D04FF" w:rsidRPr="0006496D" w:rsidRDefault="397FF86C" w:rsidP="397FF86C">
            <w:pPr>
              <w:spacing w:after="0" w:line="240" w:lineRule="auto"/>
              <w:jc w:val="both"/>
              <w:rPr>
                <w:rFonts w:ascii="Times New Roman" w:eastAsia="Times New Roman" w:hAnsi="Times New Roman" w:cs="Times New Roman"/>
                <w:lang w:eastAsia="hu-HU"/>
              </w:rPr>
            </w:pPr>
            <w:r w:rsidRPr="0006496D">
              <w:rPr>
                <w:rFonts w:ascii="Times New Roman" w:hAnsi="Times New Roman" w:cs="Times New Roman"/>
                <w:lang w:eastAsia="hu-HU"/>
              </w:rPr>
              <w:t>Kulturális értékmegőrző beruházások</w:t>
            </w:r>
          </w:p>
        </w:tc>
        <w:tc>
          <w:tcPr>
            <w:tcW w:w="1026" w:type="dxa"/>
            <w:noWrap/>
            <w:tcMar>
              <w:top w:w="0" w:type="dxa"/>
              <w:left w:w="108" w:type="dxa"/>
              <w:bottom w:w="0" w:type="dxa"/>
              <w:right w:w="108" w:type="dxa"/>
            </w:tcMar>
            <w:vAlign w:val="center"/>
          </w:tcPr>
          <w:p w14:paraId="7B768C40" w14:textId="48CFA0B0" w:rsidR="001D04FF" w:rsidRPr="0006496D" w:rsidRDefault="397FF86C" w:rsidP="397FF86C">
            <w:pPr>
              <w:spacing w:after="0" w:line="240" w:lineRule="auto"/>
              <w:jc w:val="right"/>
              <w:rPr>
                <w:rFonts w:ascii="Times New Roman" w:eastAsia="Times New Roman" w:hAnsi="Times New Roman" w:cs="Times New Roman"/>
                <w:lang w:eastAsia="hu-HU"/>
              </w:rPr>
            </w:pPr>
            <w:r w:rsidRPr="0006496D">
              <w:rPr>
                <w:rFonts w:ascii="Times New Roman" w:hAnsi="Times New Roman" w:cs="Times New Roman"/>
                <w:lang w:eastAsia="hu-HU"/>
              </w:rPr>
              <w:t>74,5</w:t>
            </w:r>
          </w:p>
        </w:tc>
      </w:tr>
      <w:tr w:rsidR="008E6833" w:rsidRPr="008E6833" w14:paraId="2216D374" w14:textId="77777777" w:rsidTr="397FF86C">
        <w:trPr>
          <w:trHeight w:val="283"/>
        </w:trPr>
        <w:tc>
          <w:tcPr>
            <w:tcW w:w="8211" w:type="dxa"/>
            <w:tcMar>
              <w:top w:w="0" w:type="dxa"/>
              <w:left w:w="108" w:type="dxa"/>
              <w:bottom w:w="0" w:type="dxa"/>
              <w:right w:w="108" w:type="dxa"/>
            </w:tcMar>
            <w:vAlign w:val="center"/>
          </w:tcPr>
          <w:p w14:paraId="4332D931" w14:textId="17D90442" w:rsidR="008E6833" w:rsidRPr="008E6833" w:rsidRDefault="008E6833" w:rsidP="397FF86C">
            <w:pPr>
              <w:spacing w:after="0" w:line="240" w:lineRule="auto"/>
              <w:jc w:val="both"/>
              <w:rPr>
                <w:rFonts w:ascii="Times New Roman" w:hAnsi="Times New Roman" w:cs="Times New Roman"/>
                <w:lang w:eastAsia="hu-HU"/>
              </w:rPr>
            </w:pPr>
            <w:r w:rsidRPr="008E6833">
              <w:rPr>
                <w:rFonts w:ascii="Times New Roman" w:hAnsi="Times New Roman" w:cs="Times New Roman"/>
                <w:lang w:eastAsia="hu-HU"/>
              </w:rPr>
              <w:t>Gazdaságfejlesztési prog</w:t>
            </w:r>
            <w:r w:rsidR="00EF22AA">
              <w:rPr>
                <w:rFonts w:ascii="Times New Roman" w:hAnsi="Times New Roman" w:cs="Times New Roman"/>
                <w:lang w:eastAsia="hu-HU"/>
              </w:rPr>
              <w:t>ram</w:t>
            </w:r>
            <w:r w:rsidRPr="008E6833">
              <w:rPr>
                <w:rFonts w:ascii="Times New Roman" w:hAnsi="Times New Roman" w:cs="Times New Roman"/>
                <w:lang w:eastAsia="hu-HU"/>
              </w:rPr>
              <w:t>ok</w:t>
            </w:r>
          </w:p>
        </w:tc>
        <w:tc>
          <w:tcPr>
            <w:tcW w:w="1026" w:type="dxa"/>
            <w:noWrap/>
            <w:tcMar>
              <w:top w:w="0" w:type="dxa"/>
              <w:left w:w="108" w:type="dxa"/>
              <w:bottom w:w="0" w:type="dxa"/>
              <w:right w:w="108" w:type="dxa"/>
            </w:tcMar>
            <w:vAlign w:val="center"/>
          </w:tcPr>
          <w:p w14:paraId="10C2F3FC" w14:textId="56CA7747" w:rsidR="008E6833" w:rsidRPr="008E6833" w:rsidRDefault="008E6833" w:rsidP="397FF86C">
            <w:pPr>
              <w:spacing w:after="0" w:line="240" w:lineRule="auto"/>
              <w:jc w:val="right"/>
              <w:rPr>
                <w:rFonts w:ascii="Times New Roman" w:hAnsi="Times New Roman" w:cs="Times New Roman"/>
                <w:lang w:eastAsia="hu-HU"/>
              </w:rPr>
            </w:pPr>
            <w:r w:rsidRPr="008E6833">
              <w:rPr>
                <w:rFonts w:ascii="Times New Roman" w:hAnsi="Times New Roman" w:cs="Times New Roman"/>
                <w:lang w:eastAsia="hu-HU"/>
              </w:rPr>
              <w:t>52,2</w:t>
            </w:r>
          </w:p>
        </w:tc>
      </w:tr>
      <w:tr w:rsidR="0049287F" w:rsidRPr="0049287F" w14:paraId="6CEDC13A" w14:textId="77777777" w:rsidTr="00815E8F">
        <w:trPr>
          <w:trHeight w:val="283"/>
        </w:trPr>
        <w:tc>
          <w:tcPr>
            <w:tcW w:w="8211" w:type="dxa"/>
            <w:tcMar>
              <w:top w:w="0" w:type="dxa"/>
              <w:left w:w="108" w:type="dxa"/>
              <w:bottom w:w="0" w:type="dxa"/>
              <w:right w:w="108" w:type="dxa"/>
            </w:tcMar>
            <w:vAlign w:val="center"/>
          </w:tcPr>
          <w:p w14:paraId="0A32F4AF" w14:textId="77777777" w:rsidR="0049287F" w:rsidRPr="0049287F" w:rsidRDefault="0049287F" w:rsidP="00815E8F">
            <w:pPr>
              <w:spacing w:after="0" w:line="240" w:lineRule="auto"/>
              <w:jc w:val="both"/>
              <w:rPr>
                <w:rFonts w:ascii="Times New Roman" w:eastAsia="Times New Roman" w:hAnsi="Times New Roman" w:cs="Times New Roman"/>
                <w:lang w:eastAsia="hu-HU"/>
              </w:rPr>
            </w:pPr>
            <w:r w:rsidRPr="0049287F">
              <w:rPr>
                <w:rFonts w:ascii="Times New Roman" w:hAnsi="Times New Roman" w:cs="Times New Roman"/>
                <w:lang w:eastAsia="hu-HU"/>
              </w:rPr>
              <w:t>Fenntarthatósági feladatok és közmű-szolgáltatások</w:t>
            </w:r>
          </w:p>
        </w:tc>
        <w:tc>
          <w:tcPr>
            <w:tcW w:w="1026" w:type="dxa"/>
            <w:noWrap/>
            <w:tcMar>
              <w:top w:w="0" w:type="dxa"/>
              <w:left w:w="108" w:type="dxa"/>
              <w:bottom w:w="0" w:type="dxa"/>
              <w:right w:w="108" w:type="dxa"/>
            </w:tcMar>
            <w:vAlign w:val="center"/>
          </w:tcPr>
          <w:p w14:paraId="5FE19A6A" w14:textId="77777777" w:rsidR="0049287F" w:rsidRPr="0049287F" w:rsidRDefault="0049287F" w:rsidP="00815E8F">
            <w:pPr>
              <w:spacing w:after="0" w:line="240" w:lineRule="auto"/>
              <w:jc w:val="right"/>
              <w:rPr>
                <w:rFonts w:ascii="Times New Roman" w:hAnsi="Times New Roman" w:cs="Times New Roman"/>
                <w:lang w:eastAsia="hu-HU"/>
              </w:rPr>
            </w:pPr>
            <w:r w:rsidRPr="0049287F">
              <w:rPr>
                <w:rFonts w:ascii="Times New Roman" w:hAnsi="Times New Roman" w:cs="Times New Roman"/>
                <w:lang w:eastAsia="hu-HU"/>
              </w:rPr>
              <w:t>40,9</w:t>
            </w:r>
          </w:p>
        </w:tc>
      </w:tr>
      <w:tr w:rsidR="0006496D" w:rsidRPr="008E6833" w14:paraId="2516530D" w14:textId="77777777" w:rsidTr="397FF86C">
        <w:trPr>
          <w:trHeight w:val="283"/>
        </w:trPr>
        <w:tc>
          <w:tcPr>
            <w:tcW w:w="8211" w:type="dxa"/>
            <w:tcMar>
              <w:top w:w="0" w:type="dxa"/>
              <w:left w:w="108" w:type="dxa"/>
              <w:bottom w:w="0" w:type="dxa"/>
              <w:right w:w="108" w:type="dxa"/>
            </w:tcMar>
            <w:vAlign w:val="center"/>
          </w:tcPr>
          <w:p w14:paraId="332FEC60" w14:textId="6D202DF4" w:rsidR="0006496D" w:rsidRPr="008E6833" w:rsidRDefault="0006496D" w:rsidP="397FF86C">
            <w:pPr>
              <w:spacing w:after="0" w:line="240" w:lineRule="auto"/>
              <w:jc w:val="both"/>
              <w:rPr>
                <w:rFonts w:ascii="Times New Roman" w:hAnsi="Times New Roman" w:cs="Times New Roman"/>
                <w:lang w:eastAsia="hu-HU"/>
              </w:rPr>
            </w:pPr>
            <w:r>
              <w:rPr>
                <w:rFonts w:ascii="Times New Roman" w:hAnsi="Times New Roman" w:cs="Times New Roman"/>
                <w:lang w:eastAsia="hu-HU"/>
              </w:rPr>
              <w:t>Művészeti tevékenységek és egyéb feladatok támogatása</w:t>
            </w:r>
          </w:p>
        </w:tc>
        <w:tc>
          <w:tcPr>
            <w:tcW w:w="1026" w:type="dxa"/>
            <w:noWrap/>
            <w:tcMar>
              <w:top w:w="0" w:type="dxa"/>
              <w:left w:w="108" w:type="dxa"/>
              <w:bottom w:w="0" w:type="dxa"/>
              <w:right w:w="108" w:type="dxa"/>
            </w:tcMar>
            <w:vAlign w:val="center"/>
          </w:tcPr>
          <w:p w14:paraId="508BFA83" w14:textId="4D42DF06" w:rsidR="0006496D" w:rsidRPr="008E6833" w:rsidRDefault="0049287F" w:rsidP="397FF86C">
            <w:pPr>
              <w:spacing w:after="0" w:line="240" w:lineRule="auto"/>
              <w:jc w:val="right"/>
              <w:rPr>
                <w:rFonts w:ascii="Times New Roman" w:hAnsi="Times New Roman" w:cs="Times New Roman"/>
                <w:lang w:eastAsia="hu-HU"/>
              </w:rPr>
            </w:pPr>
            <w:r>
              <w:rPr>
                <w:rFonts w:ascii="Times New Roman" w:hAnsi="Times New Roman" w:cs="Times New Roman"/>
                <w:lang w:eastAsia="hu-HU"/>
              </w:rPr>
              <w:t>37,3</w:t>
            </w:r>
          </w:p>
        </w:tc>
      </w:tr>
      <w:tr w:rsidR="0049287F" w:rsidRPr="0049287F" w14:paraId="7B768C4A" w14:textId="77777777" w:rsidTr="397FF86C">
        <w:trPr>
          <w:trHeight w:val="283"/>
        </w:trPr>
        <w:tc>
          <w:tcPr>
            <w:tcW w:w="8211" w:type="dxa"/>
            <w:tcMar>
              <w:top w:w="0" w:type="dxa"/>
              <w:left w:w="108" w:type="dxa"/>
              <w:bottom w:w="0" w:type="dxa"/>
              <w:right w:w="108" w:type="dxa"/>
            </w:tcMar>
            <w:vAlign w:val="center"/>
          </w:tcPr>
          <w:p w14:paraId="7B768C48" w14:textId="00481E66" w:rsidR="001D04FF" w:rsidRPr="0049287F" w:rsidRDefault="397FF86C" w:rsidP="397FF86C">
            <w:pPr>
              <w:spacing w:after="0" w:line="240" w:lineRule="auto"/>
              <w:jc w:val="both"/>
              <w:rPr>
                <w:rFonts w:ascii="Times New Roman" w:eastAsia="Times New Roman" w:hAnsi="Times New Roman" w:cs="Times New Roman"/>
                <w:lang w:eastAsia="hu-HU"/>
              </w:rPr>
            </w:pPr>
            <w:r w:rsidRPr="0049287F">
              <w:rPr>
                <w:rFonts w:ascii="Times New Roman" w:hAnsi="Times New Roman" w:cs="Times New Roman"/>
                <w:lang w:eastAsia="hu-HU"/>
              </w:rPr>
              <w:t>Egyházi működési, program és fejlesztési támogatások</w:t>
            </w:r>
          </w:p>
        </w:tc>
        <w:tc>
          <w:tcPr>
            <w:tcW w:w="1026" w:type="dxa"/>
            <w:noWrap/>
            <w:tcMar>
              <w:top w:w="0" w:type="dxa"/>
              <w:left w:w="108" w:type="dxa"/>
              <w:bottom w:w="0" w:type="dxa"/>
              <w:right w:w="108" w:type="dxa"/>
            </w:tcMar>
            <w:vAlign w:val="center"/>
          </w:tcPr>
          <w:p w14:paraId="7B768C49" w14:textId="00F19BEB" w:rsidR="001D04FF" w:rsidRPr="0049287F" w:rsidRDefault="0049287F" w:rsidP="397FF86C">
            <w:pPr>
              <w:spacing w:after="0" w:line="240" w:lineRule="auto"/>
              <w:jc w:val="right"/>
              <w:rPr>
                <w:rFonts w:ascii="Times New Roman" w:eastAsia="Times New Roman" w:hAnsi="Times New Roman" w:cs="Times New Roman"/>
                <w:lang w:eastAsia="hu-HU"/>
              </w:rPr>
            </w:pPr>
            <w:r w:rsidRPr="0049287F">
              <w:rPr>
                <w:rFonts w:ascii="Times New Roman" w:hAnsi="Times New Roman" w:cs="Times New Roman"/>
                <w:lang w:eastAsia="hu-HU"/>
              </w:rPr>
              <w:t>33,7</w:t>
            </w:r>
          </w:p>
        </w:tc>
      </w:tr>
    </w:tbl>
    <w:p w14:paraId="10B64347" w14:textId="77777777" w:rsidR="00DD1EE7" w:rsidRDefault="00DD1EE7" w:rsidP="397FF86C">
      <w:pPr>
        <w:spacing w:before="120" w:after="120" w:line="240" w:lineRule="auto"/>
        <w:jc w:val="both"/>
        <w:rPr>
          <w:rFonts w:ascii="Times New Roman" w:eastAsia="Times New Roman" w:hAnsi="Times New Roman" w:cs="Times New Roman"/>
          <w:sz w:val="26"/>
          <w:szCs w:val="26"/>
          <w:lang w:eastAsia="hu-HU"/>
        </w:rPr>
      </w:pPr>
    </w:p>
    <w:p w14:paraId="7B768C4C" w14:textId="0F9E4397" w:rsidR="00B155FE" w:rsidRPr="004E13F6" w:rsidRDefault="397FF86C" w:rsidP="397FF86C">
      <w:pPr>
        <w:spacing w:before="120" w:after="120" w:line="240" w:lineRule="auto"/>
        <w:jc w:val="both"/>
        <w:rPr>
          <w:rFonts w:ascii="Times New Roman" w:eastAsia="Times New Roman" w:hAnsi="Times New Roman" w:cs="Times New Roman"/>
          <w:sz w:val="26"/>
          <w:szCs w:val="26"/>
          <w:lang w:eastAsia="hu-HU"/>
        </w:rPr>
      </w:pPr>
      <w:r w:rsidRPr="004E13F6">
        <w:rPr>
          <w:rFonts w:ascii="Times New Roman" w:eastAsia="Times New Roman" w:hAnsi="Times New Roman" w:cs="Times New Roman"/>
          <w:sz w:val="26"/>
          <w:szCs w:val="26"/>
          <w:lang w:eastAsia="hu-HU"/>
        </w:rPr>
        <w:t xml:space="preserve">A 2023. első </w:t>
      </w:r>
      <w:r w:rsidR="004E13F6" w:rsidRPr="004E13F6">
        <w:rPr>
          <w:rFonts w:ascii="Times New Roman" w:eastAsia="Times New Roman" w:hAnsi="Times New Roman" w:cs="Times New Roman"/>
          <w:sz w:val="26"/>
          <w:szCs w:val="26"/>
          <w:lang w:eastAsia="hu-HU"/>
        </w:rPr>
        <w:t>nyolc</w:t>
      </w:r>
      <w:r w:rsidRPr="004E13F6">
        <w:rPr>
          <w:rFonts w:ascii="Times New Roman" w:eastAsia="Times New Roman" w:hAnsi="Times New Roman" w:cs="Times New Roman"/>
          <w:sz w:val="26"/>
          <w:szCs w:val="26"/>
          <w:lang w:eastAsia="hu-HU"/>
        </w:rPr>
        <w:t xml:space="preserve"> havi, </w:t>
      </w:r>
      <w:r w:rsidR="004E13F6" w:rsidRPr="004E13F6">
        <w:rPr>
          <w:rFonts w:ascii="Times New Roman" w:eastAsia="Times New Roman" w:hAnsi="Times New Roman" w:cs="Times New Roman"/>
          <w:sz w:val="26"/>
          <w:szCs w:val="26"/>
          <w:lang w:eastAsia="hu-HU"/>
        </w:rPr>
        <w:t>8 038,8 </w:t>
      </w:r>
      <w:r w:rsidRPr="004E13F6">
        <w:rPr>
          <w:rFonts w:ascii="Times New Roman" w:eastAsia="Times New Roman" w:hAnsi="Times New Roman" w:cs="Times New Roman"/>
          <w:sz w:val="26"/>
          <w:szCs w:val="26"/>
          <w:lang w:eastAsia="hu-HU"/>
        </w:rPr>
        <w:t>milliárd forint összegű kiadások megoszlását a következő grafikon szemlélteti:</w:t>
      </w:r>
    </w:p>
    <w:p w14:paraId="152B3C04" w14:textId="4B7A3205" w:rsidR="007535E7" w:rsidRPr="00B155FE" w:rsidRDefault="00681D20" w:rsidP="007535E7">
      <w:pPr>
        <w:spacing w:before="120" w:after="120" w:line="240" w:lineRule="auto"/>
        <w:jc w:val="center"/>
        <w:rPr>
          <w:rFonts w:ascii="Times New Roman" w:eastAsia="Times New Roman" w:hAnsi="Times New Roman" w:cs="Times New Roman"/>
          <w:sz w:val="26"/>
          <w:szCs w:val="26"/>
          <w:lang w:eastAsia="hu-HU"/>
        </w:rPr>
      </w:pPr>
      <w:r>
        <w:rPr>
          <w:noProof/>
          <w:lang w:eastAsia="hu-HU"/>
        </w:rPr>
        <w:drawing>
          <wp:inline distT="0" distB="0" distL="0" distR="0" wp14:anchorId="7310B469" wp14:editId="7DA1EFD6">
            <wp:extent cx="5940427" cy="3321845"/>
            <wp:effectExtent l="0" t="0" r="3175" b="0"/>
            <wp:docPr id="274571975" name="picture" descr="Z:\Áht_gyors_moni\2023_08_aug\0_feljegyzés_monitoring\ábrák\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5940427" cy="3321845"/>
                    </a:xfrm>
                    <a:prstGeom prst="rect">
                      <a:avLst/>
                    </a:prstGeom>
                  </pic:spPr>
                </pic:pic>
              </a:graphicData>
            </a:graphic>
          </wp:inline>
        </w:drawing>
      </w:r>
    </w:p>
    <w:p w14:paraId="7B768C4E" w14:textId="77777777" w:rsidR="00B155FE" w:rsidRPr="00B155FE" w:rsidRDefault="397FF86C" w:rsidP="397FF86C">
      <w:pPr>
        <w:keepNext/>
        <w:numPr>
          <w:ilvl w:val="0"/>
          <w:numId w:val="2"/>
        </w:numPr>
        <w:spacing w:after="120" w:line="240" w:lineRule="auto"/>
        <w:jc w:val="both"/>
        <w:outlineLvl w:val="2"/>
        <w:rPr>
          <w:rFonts w:ascii="Times New Roman" w:eastAsia="Times New Roman" w:hAnsi="Times New Roman" w:cs="Times New Roman"/>
          <w:b/>
          <w:bCs/>
          <w:smallCaps/>
          <w:sz w:val="26"/>
          <w:szCs w:val="26"/>
          <w:lang w:eastAsia="hu-HU"/>
        </w:rPr>
      </w:pPr>
      <w:r w:rsidRPr="397FF86C">
        <w:rPr>
          <w:rFonts w:ascii="Times New Roman" w:eastAsia="Times New Roman" w:hAnsi="Times New Roman" w:cs="Times New Roman"/>
          <w:b/>
          <w:bCs/>
          <w:smallCaps/>
          <w:sz w:val="26"/>
          <w:szCs w:val="26"/>
          <w:lang w:eastAsia="hu-HU"/>
        </w:rPr>
        <w:t>Kamategyenleg</w:t>
      </w:r>
    </w:p>
    <w:p w14:paraId="7B768C4F" w14:textId="0D76938A" w:rsidR="00B155FE" w:rsidRPr="00B155FE" w:rsidRDefault="397FF86C" w:rsidP="397FF86C">
      <w:pPr>
        <w:widowControl w:val="0"/>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 bevételek és kiadások egyenlegeként adódó 1</w:t>
      </w:r>
      <w:r w:rsidR="006106CD">
        <w:rPr>
          <w:rFonts w:ascii="Times New Roman" w:eastAsia="Times New Roman" w:hAnsi="Times New Roman" w:cs="Times New Roman"/>
          <w:sz w:val="26"/>
          <w:szCs w:val="26"/>
          <w:lang w:eastAsia="hu-HU"/>
        </w:rPr>
        <w:t> </w:t>
      </w:r>
      <w:r w:rsidRPr="397FF86C">
        <w:rPr>
          <w:rFonts w:ascii="Times New Roman" w:eastAsia="Times New Roman" w:hAnsi="Times New Roman" w:cs="Times New Roman"/>
          <w:sz w:val="26"/>
          <w:szCs w:val="26"/>
          <w:lang w:eastAsia="hu-HU"/>
        </w:rPr>
        <w:t xml:space="preserve">434,7 milliárd forint összegű </w:t>
      </w:r>
      <w:r w:rsidRPr="397FF86C">
        <w:rPr>
          <w:rFonts w:ascii="Times New Roman" w:eastAsia="Times New Roman" w:hAnsi="Times New Roman" w:cs="Times New Roman"/>
          <w:b/>
          <w:bCs/>
          <w:sz w:val="26"/>
          <w:szCs w:val="26"/>
          <w:lang w:eastAsia="hu-HU"/>
        </w:rPr>
        <w:t>nettó kamatkiadás</w:t>
      </w:r>
      <w:r w:rsidRPr="397FF86C">
        <w:rPr>
          <w:rFonts w:ascii="Times New Roman" w:eastAsia="Times New Roman" w:hAnsi="Times New Roman" w:cs="Times New Roman"/>
          <w:sz w:val="26"/>
          <w:szCs w:val="26"/>
          <w:lang w:eastAsia="hu-HU"/>
        </w:rPr>
        <w:t xml:space="preserve"> 452,4 milliárd forinttal lett több az előző évhez képest, mely a kamatfizetések éven belüli eltérő lefutásával, az előző évitől különböző hozamokkal és finanszírozási szerkezettel magyarázható.</w:t>
      </w:r>
    </w:p>
    <w:p w14:paraId="7B768C50" w14:textId="77777777" w:rsidR="00B155FE" w:rsidRPr="00B155FE" w:rsidRDefault="00B155FE" w:rsidP="00B155FE">
      <w:pPr>
        <w:tabs>
          <w:tab w:val="left" w:pos="550"/>
        </w:tabs>
        <w:spacing w:before="120" w:after="120" w:line="240" w:lineRule="auto"/>
        <w:jc w:val="both"/>
        <w:rPr>
          <w:rFonts w:ascii="Times New Roman" w:eastAsia="Times New Roman" w:hAnsi="Times New Roman" w:cs="Times New Roman"/>
          <w:caps/>
          <w:sz w:val="26"/>
          <w:szCs w:val="20"/>
          <w:lang w:eastAsia="hu-HU"/>
        </w:rPr>
      </w:pPr>
      <w:r w:rsidRPr="00B155FE">
        <w:rPr>
          <w:rFonts w:ascii="Times New Roman" w:eastAsia="Times New Roman" w:hAnsi="Times New Roman" w:cs="Times New Roman"/>
          <w:caps/>
          <w:sz w:val="26"/>
          <w:szCs w:val="20"/>
          <w:lang w:eastAsia="hu-HU"/>
        </w:rPr>
        <w:br w:type="page"/>
      </w:r>
    </w:p>
    <w:p w14:paraId="7B768C51" w14:textId="77777777" w:rsidR="00B155FE" w:rsidRPr="00B155FE" w:rsidRDefault="397FF86C" w:rsidP="397FF86C">
      <w:pPr>
        <w:keepNext/>
        <w:spacing w:after="120" w:line="240" w:lineRule="auto"/>
        <w:ind w:left="425" w:right="-1" w:hanging="425"/>
        <w:jc w:val="center"/>
        <w:outlineLvl w:val="3"/>
        <w:rPr>
          <w:rFonts w:ascii="Times New Roman" w:eastAsia="Times New Roman" w:hAnsi="Times New Roman" w:cs="Times New Roman"/>
          <w:b/>
          <w:bCs/>
          <w:caps/>
          <w:sz w:val="26"/>
          <w:szCs w:val="26"/>
          <w:lang w:eastAsia="hu-HU"/>
        </w:rPr>
      </w:pPr>
      <w:r w:rsidRPr="397FF86C">
        <w:rPr>
          <w:rFonts w:ascii="Times New Roman" w:eastAsia="Times New Roman" w:hAnsi="Times New Roman" w:cs="Times New Roman"/>
          <w:b/>
          <w:bCs/>
          <w:caps/>
          <w:sz w:val="26"/>
          <w:szCs w:val="26"/>
          <w:lang w:eastAsia="hu-HU"/>
        </w:rPr>
        <w:t>II.</w:t>
      </w:r>
      <w:r w:rsidR="1ADA31FC">
        <w:br/>
      </w:r>
      <w:r w:rsidRPr="397FF86C">
        <w:rPr>
          <w:rFonts w:ascii="Times New Roman" w:eastAsia="Times New Roman" w:hAnsi="Times New Roman" w:cs="Times New Roman"/>
          <w:b/>
          <w:bCs/>
          <w:caps/>
          <w:sz w:val="26"/>
          <w:szCs w:val="26"/>
          <w:lang w:eastAsia="hu-HU"/>
        </w:rPr>
        <w:t>Az államháztartás központi alrendszerének finanszírozása</w:t>
      </w:r>
    </w:p>
    <w:p w14:paraId="7B768C52" w14:textId="77777777" w:rsidR="00B155FE" w:rsidRPr="00B155FE" w:rsidRDefault="00B155FE" w:rsidP="00B155FE">
      <w:pPr>
        <w:widowControl w:val="0"/>
        <w:spacing w:after="120" w:line="240" w:lineRule="auto"/>
        <w:jc w:val="both"/>
        <w:rPr>
          <w:rFonts w:ascii="Times New Roman" w:eastAsia="Times New Roman" w:hAnsi="Times New Roman" w:cs="Times New Roman"/>
          <w:sz w:val="26"/>
          <w:szCs w:val="26"/>
          <w:lang w:eastAsia="hu-HU"/>
        </w:rPr>
      </w:pPr>
    </w:p>
    <w:p w14:paraId="7B768C53" w14:textId="77777777" w:rsidR="00B155FE" w:rsidRPr="00B155FE" w:rsidRDefault="397FF86C" w:rsidP="397FF86C">
      <w:pPr>
        <w:keepNext/>
        <w:spacing w:after="120" w:line="240" w:lineRule="auto"/>
        <w:ind w:left="425" w:hanging="425"/>
        <w:jc w:val="both"/>
        <w:outlineLvl w:val="3"/>
        <w:rPr>
          <w:rFonts w:ascii="Times New Roman" w:eastAsia="Times New Roman" w:hAnsi="Times New Roman" w:cs="Times New Roman"/>
          <w:b/>
          <w:bCs/>
          <w:sz w:val="26"/>
          <w:szCs w:val="26"/>
          <w:lang w:eastAsia="hu-HU"/>
        </w:rPr>
      </w:pPr>
      <w:r w:rsidRPr="397FF86C">
        <w:rPr>
          <w:rFonts w:ascii="Times New Roman" w:eastAsia="Times New Roman" w:hAnsi="Times New Roman" w:cs="Times New Roman"/>
          <w:b/>
          <w:bCs/>
          <w:sz w:val="26"/>
          <w:szCs w:val="26"/>
          <w:lang w:eastAsia="hu-HU"/>
        </w:rPr>
        <w:t xml:space="preserve">Állományi adatok </w:t>
      </w:r>
    </w:p>
    <w:p w14:paraId="7B768C54" w14:textId="77777777" w:rsidR="00B155FE" w:rsidRPr="00B155FE" w:rsidRDefault="00B155FE" w:rsidP="002B7C36">
      <w:pPr>
        <w:keepNext/>
        <w:spacing w:after="120" w:line="240" w:lineRule="auto"/>
        <w:jc w:val="both"/>
        <w:rPr>
          <w:rFonts w:ascii="Times New Roman" w:eastAsia="Times New Roman" w:hAnsi="Times New Roman" w:cs="Times New Roman"/>
          <w:sz w:val="26"/>
          <w:szCs w:val="26"/>
          <w:lang w:eastAsia="hu-HU"/>
        </w:rPr>
      </w:pPr>
    </w:p>
    <w:p w14:paraId="7B768C55" w14:textId="036E1790" w:rsidR="00B155FE" w:rsidRPr="00B155FE" w:rsidRDefault="397FF86C" w:rsidP="397FF86C">
      <w:pPr>
        <w:spacing w:after="120" w:line="240" w:lineRule="auto"/>
        <w:ind w:right="23"/>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 xml:space="preserve">A központi költségvetés adóssága 2023. augusztus végéig </w:t>
      </w:r>
      <w:r w:rsidRPr="397FF86C">
        <w:rPr>
          <w:rFonts w:ascii="Times New Roman" w:eastAsia="Times New Roman" w:hAnsi="Times New Roman" w:cs="Times New Roman"/>
          <w:sz w:val="26"/>
          <w:szCs w:val="26"/>
          <w:lang w:eastAsia="hu-HU"/>
        </w:rPr>
        <w:t xml:space="preserve">2 702,0 milliárd forinttal </w:t>
      </w:r>
      <w:r w:rsidRPr="397FF86C">
        <w:rPr>
          <w:rFonts w:ascii="Times New Roman" w:eastAsia="Times New Roman" w:hAnsi="Times New Roman" w:cs="Times New Roman"/>
          <w:b/>
          <w:bCs/>
          <w:sz w:val="26"/>
          <w:szCs w:val="26"/>
          <w:lang w:eastAsia="hu-HU"/>
        </w:rPr>
        <w:t xml:space="preserve">növekedett </w:t>
      </w:r>
      <w:r w:rsidRPr="397FF86C">
        <w:rPr>
          <w:rFonts w:ascii="Times New Roman" w:eastAsia="Times New Roman" w:hAnsi="Times New Roman" w:cs="Times New Roman"/>
          <w:sz w:val="26"/>
          <w:szCs w:val="26"/>
          <w:lang w:eastAsia="hu-HU"/>
        </w:rPr>
        <w:t>a következő négy tényező eredményeképpen:</w:t>
      </w:r>
    </w:p>
    <w:p w14:paraId="7B768C56" w14:textId="034FC82D" w:rsidR="00B155FE" w:rsidRPr="00B155FE" w:rsidRDefault="397FF86C" w:rsidP="397FF86C">
      <w:pPr>
        <w:numPr>
          <w:ilvl w:val="0"/>
          <w:numId w:val="1"/>
        </w:numPr>
        <w:spacing w:after="120" w:line="240" w:lineRule="auto"/>
        <w:ind w:right="23"/>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 xml:space="preserve">Az első tényező, </w:t>
      </w:r>
      <w:r w:rsidRPr="397FF86C">
        <w:rPr>
          <w:rFonts w:ascii="Times New Roman" w:eastAsia="Times New Roman" w:hAnsi="Times New Roman" w:cs="Times New Roman"/>
          <w:sz w:val="26"/>
          <w:szCs w:val="26"/>
          <w:lang w:eastAsia="hu-HU"/>
        </w:rPr>
        <w:t>amely</w:t>
      </w:r>
      <w:r w:rsidRPr="397FF86C">
        <w:rPr>
          <w:rFonts w:ascii="Times New Roman" w:eastAsia="Times New Roman" w:hAnsi="Times New Roman" w:cs="Times New Roman"/>
          <w:b/>
          <w:bCs/>
          <w:sz w:val="26"/>
          <w:szCs w:val="26"/>
          <w:lang w:eastAsia="hu-HU"/>
        </w:rPr>
        <w:t xml:space="preserve"> növelte </w:t>
      </w:r>
      <w:r w:rsidRPr="397FF86C">
        <w:rPr>
          <w:rFonts w:ascii="Times New Roman" w:eastAsia="Times New Roman" w:hAnsi="Times New Roman" w:cs="Times New Roman"/>
          <w:sz w:val="26"/>
          <w:szCs w:val="26"/>
          <w:lang w:eastAsia="hu-HU"/>
        </w:rPr>
        <w:t>az adósságot a nettó forintkibocsátás 2 055,4 milliárd forint összegben, ami a költségvetés hiányát finanszírozza.</w:t>
      </w:r>
    </w:p>
    <w:p w14:paraId="30EA4D80" w14:textId="50CD3323" w:rsidR="00F71CAC" w:rsidRPr="00F71CAC" w:rsidRDefault="397FF86C" w:rsidP="397FF86C">
      <w:pPr>
        <w:pStyle w:val="Listaszerbekezds"/>
        <w:numPr>
          <w:ilvl w:val="0"/>
          <w:numId w:val="1"/>
        </w:numPr>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 xml:space="preserve">A második – szintén növelő hatású – tényező </w:t>
      </w:r>
      <w:r w:rsidRPr="397FF86C">
        <w:rPr>
          <w:rFonts w:ascii="Times New Roman" w:eastAsia="Times New Roman" w:hAnsi="Times New Roman" w:cs="Times New Roman"/>
          <w:sz w:val="26"/>
          <w:szCs w:val="26"/>
          <w:lang w:eastAsia="hu-HU"/>
        </w:rPr>
        <w:t xml:space="preserve">a nettó </w:t>
      </w:r>
      <w:proofErr w:type="spellStart"/>
      <w:r w:rsidRPr="397FF86C">
        <w:rPr>
          <w:rFonts w:ascii="Times New Roman" w:eastAsia="Times New Roman" w:hAnsi="Times New Roman" w:cs="Times New Roman"/>
          <w:sz w:val="26"/>
          <w:szCs w:val="26"/>
          <w:lang w:eastAsia="hu-HU"/>
        </w:rPr>
        <w:t>devizakibocsátás</w:t>
      </w:r>
      <w:proofErr w:type="spellEnd"/>
      <w:r w:rsidRPr="397FF86C">
        <w:rPr>
          <w:rFonts w:ascii="Times New Roman" w:eastAsia="Times New Roman" w:hAnsi="Times New Roman" w:cs="Times New Roman"/>
          <w:sz w:val="26"/>
          <w:szCs w:val="26"/>
          <w:lang w:eastAsia="hu-HU"/>
        </w:rPr>
        <w:t>, amely 1 575,7 milliárd forint összegben szintén hozzájárult a hiány finanszírozásához.</w:t>
      </w:r>
    </w:p>
    <w:p w14:paraId="1A7AFC51" w14:textId="3B98E841" w:rsidR="00F71CAC" w:rsidRPr="00F71CAC" w:rsidRDefault="397FF86C" w:rsidP="397FF86C">
      <w:pPr>
        <w:numPr>
          <w:ilvl w:val="0"/>
          <w:numId w:val="1"/>
        </w:numPr>
        <w:spacing w:after="120" w:line="240" w:lineRule="auto"/>
        <w:ind w:right="23"/>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A harmadik – fentiekkel ellentétes, csökkentő hatá</w:t>
      </w:r>
      <w:r w:rsidRPr="006106CD">
        <w:rPr>
          <w:rFonts w:ascii="Times New Roman" w:eastAsia="Times New Roman" w:hAnsi="Times New Roman" w:cs="Times New Roman"/>
          <w:b/>
          <w:sz w:val="26"/>
          <w:szCs w:val="26"/>
          <w:lang w:eastAsia="hu-HU"/>
        </w:rPr>
        <w:t>sú</w:t>
      </w:r>
      <w:r w:rsidRPr="397FF86C">
        <w:rPr>
          <w:rFonts w:ascii="Times New Roman" w:eastAsia="Times New Roman" w:hAnsi="Times New Roman" w:cs="Times New Roman"/>
          <w:sz w:val="26"/>
          <w:szCs w:val="26"/>
          <w:lang w:eastAsia="hu-HU"/>
        </w:rPr>
        <w:t xml:space="preserve"> – tényező a forint árfolyamának az elmúlt év végéhez képest bekövetkezett erősödése, amely az adósság devizában fennálló részének forintban számított nyilvántartási értékét 653,3 milliárd forinttal csökkentette.</w:t>
      </w:r>
    </w:p>
    <w:p w14:paraId="7B768C59" w14:textId="61389BC1" w:rsidR="00B155FE" w:rsidRPr="00F71CAC" w:rsidRDefault="397FF86C" w:rsidP="397FF86C">
      <w:pPr>
        <w:numPr>
          <w:ilvl w:val="0"/>
          <w:numId w:val="1"/>
        </w:numPr>
        <w:spacing w:after="120" w:line="240" w:lineRule="auto"/>
        <w:ind w:right="23"/>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A negyedik – további csökkentő hatású – tényező</w:t>
      </w:r>
      <w:r w:rsidRPr="397FF86C">
        <w:rPr>
          <w:rFonts w:ascii="Times New Roman" w:eastAsia="Times New Roman" w:hAnsi="Times New Roman" w:cs="Times New Roman"/>
          <w:sz w:val="26"/>
          <w:szCs w:val="26"/>
          <w:lang w:eastAsia="hu-HU"/>
        </w:rPr>
        <w:t xml:space="preserve"> a deviza-keresztárfolyamok változása és egyéb tényezők miatt bekövetkezett </w:t>
      </w:r>
      <w:proofErr w:type="spellStart"/>
      <w:r w:rsidRPr="397FF86C">
        <w:rPr>
          <w:rFonts w:ascii="Times New Roman" w:eastAsia="Times New Roman" w:hAnsi="Times New Roman" w:cs="Times New Roman"/>
          <w:sz w:val="26"/>
          <w:szCs w:val="26"/>
          <w:lang w:eastAsia="hu-HU"/>
        </w:rPr>
        <w:t>mark-to-market</w:t>
      </w:r>
      <w:proofErr w:type="spellEnd"/>
      <w:r w:rsidRPr="397FF86C">
        <w:rPr>
          <w:rFonts w:ascii="Times New Roman" w:eastAsia="Times New Roman" w:hAnsi="Times New Roman" w:cs="Times New Roman"/>
          <w:sz w:val="26"/>
          <w:szCs w:val="26"/>
          <w:lang w:eastAsia="hu-HU"/>
        </w:rPr>
        <w:t xml:space="preserve"> betétállományok csökkenése 275,9 milliárd forint összegben.</w:t>
      </w:r>
    </w:p>
    <w:p w14:paraId="7B768C5A" w14:textId="77777777" w:rsidR="00B155FE" w:rsidRPr="00B155FE" w:rsidRDefault="00B155FE" w:rsidP="002B7C36">
      <w:pPr>
        <w:spacing w:after="120" w:line="240" w:lineRule="auto"/>
        <w:jc w:val="both"/>
        <w:rPr>
          <w:rFonts w:ascii="Times New Roman" w:eastAsia="Times New Roman" w:hAnsi="Times New Roman" w:cs="Times New Roman"/>
          <w:sz w:val="26"/>
          <w:szCs w:val="26"/>
          <w:lang w:eastAsia="hu-HU"/>
        </w:rPr>
      </w:pPr>
    </w:p>
    <w:p w14:paraId="7B768C5B" w14:textId="77777777" w:rsidR="00B155FE" w:rsidRPr="00B155FE" w:rsidRDefault="00B155FE" w:rsidP="00B155FE">
      <w:pPr>
        <w:spacing w:after="120" w:line="240" w:lineRule="auto"/>
        <w:ind w:right="23"/>
        <w:jc w:val="both"/>
        <w:rPr>
          <w:rFonts w:ascii="Times New Roman" w:eastAsia="Times New Roman" w:hAnsi="Times New Roman" w:cs="Times New Roman"/>
          <w:bCs/>
          <w:sz w:val="26"/>
          <w:szCs w:val="26"/>
          <w:lang w:eastAsia="hu-HU"/>
        </w:rPr>
        <w:sectPr w:rsidR="00B155FE" w:rsidRPr="00B155FE" w:rsidSect="00556984">
          <w:footerReference w:type="default" r:id="rId25"/>
          <w:footnotePr>
            <w:numRestart w:val="eachPage"/>
          </w:footnotePr>
          <w:pgSz w:w="11907" w:h="16840" w:code="9"/>
          <w:pgMar w:top="1134" w:right="1134" w:bottom="1418" w:left="1418" w:header="709" w:footer="709" w:gutter="0"/>
          <w:cols w:space="708"/>
          <w:docGrid w:linePitch="354"/>
        </w:sectPr>
      </w:pPr>
    </w:p>
    <w:p w14:paraId="7B768C5C" w14:textId="3DE394B6" w:rsidR="00B155FE" w:rsidRPr="00B155FE" w:rsidRDefault="397FF86C" w:rsidP="397FF86C">
      <w:pPr>
        <w:spacing w:after="120" w:line="240" w:lineRule="auto"/>
        <w:ind w:right="23"/>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Az előzetes adatok szerint augusztus végén a </w:t>
      </w:r>
      <w:r w:rsidRPr="397FF86C">
        <w:rPr>
          <w:rFonts w:ascii="Times New Roman" w:eastAsia="Times New Roman" w:hAnsi="Times New Roman" w:cs="Times New Roman"/>
          <w:b/>
          <w:bCs/>
          <w:sz w:val="26"/>
          <w:szCs w:val="26"/>
          <w:lang w:eastAsia="hu-HU"/>
        </w:rPr>
        <w:t xml:space="preserve">központi költségvetés forint- és devizaadóssága </w:t>
      </w:r>
      <w:r w:rsidRPr="397FF86C">
        <w:rPr>
          <w:rFonts w:ascii="Times New Roman" w:eastAsia="Times New Roman" w:hAnsi="Times New Roman" w:cs="Times New Roman"/>
          <w:sz w:val="26"/>
          <w:szCs w:val="26"/>
          <w:lang w:eastAsia="hu-HU"/>
        </w:rPr>
        <w:t>az alábbiak szerint alakult:</w:t>
      </w:r>
    </w:p>
    <w:p w14:paraId="7B768C5D" w14:textId="77777777" w:rsidR="00B155FE" w:rsidRDefault="397FF86C" w:rsidP="397FF86C">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 központi költségvetés adósságának alakulása 2023-ban, milliárd forint</w:t>
      </w:r>
    </w:p>
    <w:p w14:paraId="7B768C5E" w14:textId="297F03BF" w:rsidR="00B155FE" w:rsidRPr="00B155FE" w:rsidRDefault="004D32C3" w:rsidP="004D32C3">
      <w:pPr>
        <w:overflowPunct w:val="0"/>
        <w:autoSpaceDE w:val="0"/>
        <w:autoSpaceDN w:val="0"/>
        <w:adjustRightInd w:val="0"/>
        <w:spacing w:after="120" w:line="240" w:lineRule="auto"/>
        <w:ind w:right="23"/>
        <w:jc w:val="center"/>
        <w:textAlignment w:val="baseline"/>
        <w:rPr>
          <w:rFonts w:ascii="Times New Roman" w:eastAsia="Times New Roman" w:hAnsi="Times New Roman" w:cs="Times New Roman"/>
          <w:sz w:val="26"/>
          <w:szCs w:val="26"/>
          <w:lang w:eastAsia="hu-HU"/>
        </w:rPr>
      </w:pPr>
      <w:r w:rsidRPr="004D32C3">
        <w:rPr>
          <w:noProof/>
          <w:lang w:eastAsia="hu-HU"/>
        </w:rPr>
        <w:drawing>
          <wp:inline distT="0" distB="0" distL="0" distR="0" wp14:anchorId="68825815" wp14:editId="7571C44C">
            <wp:extent cx="9072880" cy="4429176"/>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4429176"/>
                    </a:xfrm>
                    <a:prstGeom prst="rect">
                      <a:avLst/>
                    </a:prstGeom>
                    <a:noFill/>
                    <a:ln>
                      <a:noFill/>
                    </a:ln>
                  </pic:spPr>
                </pic:pic>
              </a:graphicData>
            </a:graphic>
          </wp:inline>
        </w:drawing>
      </w:r>
    </w:p>
    <w:p w14:paraId="7B768C5F" w14:textId="77777777" w:rsidR="00B155FE" w:rsidRPr="00B155FE" w:rsidRDefault="397FF86C" w:rsidP="397FF86C">
      <w:pPr>
        <w:spacing w:after="120" w:line="240" w:lineRule="auto"/>
        <w:jc w:val="both"/>
        <w:rPr>
          <w:rFonts w:ascii="Times New Roman" w:eastAsia="Times New Roman" w:hAnsi="Times New Roman" w:cs="Times New Roman"/>
          <w:sz w:val="24"/>
          <w:szCs w:val="24"/>
          <w:lang w:eastAsia="hu-HU"/>
        </w:rPr>
      </w:pPr>
      <w:r w:rsidRPr="397FF86C">
        <w:rPr>
          <w:rFonts w:ascii="Times New Roman" w:eastAsia="Times New Roman" w:hAnsi="Times New Roman" w:cs="Times New Roman"/>
          <w:i/>
          <w:iCs/>
          <w:sz w:val="24"/>
          <w:szCs w:val="24"/>
          <w:lang w:eastAsia="hu-HU"/>
        </w:rPr>
        <w:t>Megjegyzés: a táblában szereplő tizedes eltérések kerekítésből adódnak.</w:t>
      </w:r>
    </w:p>
    <w:p w14:paraId="7B768C60" w14:textId="0988A485" w:rsidR="00B155FE" w:rsidRDefault="00B155FE" w:rsidP="00B155FE">
      <w:pPr>
        <w:overflowPunct w:val="0"/>
        <w:autoSpaceDE w:val="0"/>
        <w:autoSpaceDN w:val="0"/>
        <w:adjustRightInd w:val="0"/>
        <w:spacing w:after="120" w:line="240" w:lineRule="auto"/>
        <w:ind w:right="23"/>
        <w:jc w:val="both"/>
        <w:textAlignment w:val="baseline"/>
        <w:rPr>
          <w:rFonts w:ascii="Times New Roman" w:eastAsia="Times New Roman" w:hAnsi="Times New Roman" w:cs="Times New Roman"/>
          <w:b/>
          <w:bCs/>
          <w:sz w:val="26"/>
          <w:szCs w:val="26"/>
          <w:lang w:eastAsia="hu-HU"/>
        </w:rPr>
      </w:pPr>
    </w:p>
    <w:p w14:paraId="658B1BB1" w14:textId="77777777" w:rsidR="00EA1F58" w:rsidRPr="00B155FE" w:rsidRDefault="00EA1F58" w:rsidP="00B155FE">
      <w:pPr>
        <w:overflowPunct w:val="0"/>
        <w:autoSpaceDE w:val="0"/>
        <w:autoSpaceDN w:val="0"/>
        <w:adjustRightInd w:val="0"/>
        <w:spacing w:after="120" w:line="240" w:lineRule="auto"/>
        <w:ind w:right="23"/>
        <w:jc w:val="both"/>
        <w:textAlignment w:val="baseline"/>
        <w:rPr>
          <w:rFonts w:ascii="Times New Roman" w:eastAsia="Times New Roman" w:hAnsi="Times New Roman" w:cs="Times New Roman"/>
          <w:b/>
          <w:bCs/>
          <w:sz w:val="26"/>
          <w:szCs w:val="26"/>
          <w:lang w:eastAsia="hu-HU"/>
        </w:rPr>
        <w:sectPr w:rsidR="00EA1F58" w:rsidRPr="00B155FE" w:rsidSect="00EA1F58">
          <w:headerReference w:type="default" r:id="rId27"/>
          <w:headerReference w:type="first" r:id="rId28"/>
          <w:footnotePr>
            <w:numRestart w:val="eachPage"/>
          </w:footnotePr>
          <w:pgSz w:w="16840" w:h="11907" w:orient="landscape" w:code="9"/>
          <w:pgMar w:top="993" w:right="1134" w:bottom="1134" w:left="1418" w:header="709" w:footer="709" w:gutter="0"/>
          <w:pgNumType w:start="19"/>
          <w:cols w:space="708"/>
          <w:titlePg/>
        </w:sectPr>
      </w:pPr>
    </w:p>
    <w:p w14:paraId="7F18B4B9" w14:textId="31CBDE56" w:rsidR="004D32C3" w:rsidRPr="004D32C3" w:rsidRDefault="397FF86C" w:rsidP="397FF86C">
      <w:pPr>
        <w:widowControl w:val="0"/>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 xml:space="preserve">A központi költségvetés devizaadóssága </w:t>
      </w:r>
      <w:r w:rsidRPr="397FF86C">
        <w:rPr>
          <w:rFonts w:ascii="Times New Roman" w:eastAsia="Times New Roman" w:hAnsi="Times New Roman" w:cs="Times New Roman"/>
          <w:sz w:val="26"/>
          <w:szCs w:val="26"/>
          <w:lang w:eastAsia="hu-HU"/>
        </w:rPr>
        <w:t>2023-ban 922,5 milliárd forinttal 12 319,8 milliárd forintra növekedett az elmúlt év végéhez képest. A devizaadósság részaránya a 2022. év végi 25,0%-os szintről 25,5%-os szintre emelkedett a teljes adósságon belül.</w:t>
      </w:r>
    </w:p>
    <w:p w14:paraId="7B768C62" w14:textId="02FBEEFF" w:rsidR="00B155FE" w:rsidRPr="00B155FE" w:rsidRDefault="397FF86C" w:rsidP="397FF86C">
      <w:pPr>
        <w:widowControl w:val="0"/>
        <w:spacing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növekedés hátterében elsősorban a januárban végrehajtott devizakötvény-kibocsátások állnak: 5 éves futamidejű 558,1 milliárd forint (1,5 milliárd USD) összegű és 10 éves futamidejű 558,1 milliárd forint (1,5 milliárd USD) összegű, valamint 465,1 milliárd forint (1,25 milliárd USD) összegű 30 éves futamidejű devizakötvények. Tovább emelte a devizaadósságot, hogy márciusban zárt körben megemelésre kerültek a januárban kibocsátott 5 és 10 éves futamidejű devizakötvények 54,3 milliárd forint (150 millió USD) és 108,6 milliárd forint (300 millió USD) összegben. A januári </w:t>
      </w:r>
      <w:proofErr w:type="spellStart"/>
      <w:r w:rsidRPr="397FF86C">
        <w:rPr>
          <w:rFonts w:ascii="Times New Roman" w:eastAsia="Times New Roman" w:hAnsi="Times New Roman" w:cs="Times New Roman"/>
          <w:sz w:val="26"/>
          <w:szCs w:val="26"/>
          <w:lang w:eastAsia="hu-HU"/>
        </w:rPr>
        <w:t>devizakibocsátásból</w:t>
      </w:r>
      <w:proofErr w:type="spellEnd"/>
      <w:r w:rsidRPr="397FF86C">
        <w:rPr>
          <w:rFonts w:ascii="Times New Roman" w:eastAsia="Times New Roman" w:hAnsi="Times New Roman" w:cs="Times New Roman"/>
          <w:sz w:val="26"/>
          <w:szCs w:val="26"/>
          <w:lang w:eastAsia="hu-HU"/>
        </w:rPr>
        <w:t xml:space="preserve"> befolyó összeg egy részéből két 2023-24 közötti lejáratú USD kötvény részbeni visszavásárlása valósult meg, a vonatkozó </w:t>
      </w:r>
      <w:proofErr w:type="spellStart"/>
      <w:r w:rsidRPr="397FF86C">
        <w:rPr>
          <w:rFonts w:ascii="Times New Roman" w:eastAsia="Times New Roman" w:hAnsi="Times New Roman" w:cs="Times New Roman"/>
          <w:sz w:val="26"/>
          <w:szCs w:val="26"/>
          <w:lang w:eastAsia="hu-HU"/>
        </w:rPr>
        <w:t>swapok</w:t>
      </w:r>
      <w:proofErr w:type="spellEnd"/>
      <w:r w:rsidRPr="397FF86C">
        <w:rPr>
          <w:rFonts w:ascii="Times New Roman" w:eastAsia="Times New Roman" w:hAnsi="Times New Roman" w:cs="Times New Roman"/>
          <w:sz w:val="26"/>
          <w:szCs w:val="26"/>
          <w:lang w:eastAsia="hu-HU"/>
        </w:rPr>
        <w:t xml:space="preserve"> lezárásával együtt 289,9 milliárd forint (1,0 milliárd USD) névértéken. Az </w:t>
      </w:r>
      <w:proofErr w:type="spellStart"/>
      <w:r w:rsidRPr="397FF86C">
        <w:rPr>
          <w:rFonts w:ascii="Times New Roman" w:eastAsia="Times New Roman" w:hAnsi="Times New Roman" w:cs="Times New Roman"/>
          <w:sz w:val="26"/>
          <w:szCs w:val="26"/>
          <w:lang w:eastAsia="hu-HU"/>
        </w:rPr>
        <w:t>árfolyamerősödés</w:t>
      </w:r>
      <w:proofErr w:type="spellEnd"/>
      <w:r w:rsidRPr="397FF86C">
        <w:rPr>
          <w:rFonts w:ascii="Times New Roman" w:eastAsia="Times New Roman" w:hAnsi="Times New Roman" w:cs="Times New Roman"/>
          <w:sz w:val="26"/>
          <w:szCs w:val="26"/>
          <w:lang w:eastAsia="hu-HU"/>
        </w:rPr>
        <w:t xml:space="preserve"> ugyanakkor csökkentette a devizaadósság részarányát.</w:t>
      </w:r>
    </w:p>
    <w:p w14:paraId="69266416" w14:textId="63805EE5"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b/>
          <w:bCs/>
          <w:sz w:val="26"/>
          <w:szCs w:val="26"/>
          <w:lang w:eastAsia="hu-HU"/>
        </w:rPr>
        <w:t>A költségvetés forintadóssága</w:t>
      </w:r>
      <w:r w:rsidRPr="397FF86C">
        <w:rPr>
          <w:rFonts w:ascii="Times New Roman" w:eastAsia="Times New Roman" w:hAnsi="Times New Roman" w:cs="Times New Roman"/>
          <w:sz w:val="26"/>
          <w:szCs w:val="26"/>
          <w:lang w:eastAsia="hu-HU"/>
        </w:rPr>
        <w:t xml:space="preserve"> augusztus végéig 2055,4 milliárd forinttal növekedett és 35 831,0 milliárd forintot ért el, a forint adósság a teljes államadósság 74,2%-át teszi ki. 2022 decemberében ez az arány 74,1% volt.</w:t>
      </w:r>
    </w:p>
    <w:p w14:paraId="00DA8992" w14:textId="1242253E"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2023. augusztus végén a forint lakossági állampapírok állománya 9460,7 milliárd forintot tett ki, ami 841,4 milliárd forint növekedést jelent 2022. december vége óta.</w:t>
      </w:r>
    </w:p>
    <w:p w14:paraId="5ADC56E4" w14:textId="5F885DE3"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lakossági állampapír-kereslet döntő hányadát az egy évnél hosszabb futamidejű Prémium Magyar Állampapír értékesítése képezte. A Prémium Magyar Állampapír állománya 2023. augusztus végére 2076,4 milliárd forinttal növekedett, amely így 6398,0 milliárd forintot tett ki. A Bónusz Magyar Állampapírt állománya 368,5 milliárd forinttal növekedett, és augusztus végén 883,2 milliárd forintot tett ki. A Magyar Állampapír Plusz állománya augusztus végéig 1252,4 milliárd forinttal 931,5 milliárd forintra csökkent. A nyomdai úton előállított Magyar Állampapír Plusz állománya 120,9 milliárd forint csökkenés következtében 129,6 milliárd forint volt hó végén. </w:t>
      </w:r>
    </w:p>
    <w:p w14:paraId="51FE5327" w14:textId="107A035D"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Az Egyéves Magyar Állampapír állománya 459,3 milliárd forint volt augusztus végén, ami 348,5 milliárd forinttal alacsonyabb a 2022. év végi állománynál. A gyermekek életkezdési támogatását szolgáló Babakötvény állománya 2023-ban 34,0 milliárd forinttal növekedett és augusztus végére elérte a 232,9 milliárd forintot. </w:t>
      </w:r>
    </w:p>
    <w:p w14:paraId="24C8DACF" w14:textId="2C942480"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Az Államadósság Kezelő Központ (ÁKK Zrt.) augusztus hó folyamán összesen 89,6 milliárd forint összegben vásárolt vissza lakossági állampapírokat a forgalmazó bankoktól.</w:t>
      </w:r>
    </w:p>
    <w:p w14:paraId="487EF04B" w14:textId="49651AA4" w:rsidR="002F7F1A"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A külföldi befektetők állampapír állománya augusztusban 120,8 milliárd forinttal 7016,4 milliárd forintra növekedett az előző hónaphoz képest. A külföldi állomány 1,0%-</w:t>
      </w:r>
      <w:proofErr w:type="gramStart"/>
      <w:r w:rsidRPr="397FF86C">
        <w:rPr>
          <w:rFonts w:ascii="Times New Roman" w:eastAsia="Times New Roman" w:hAnsi="Times New Roman" w:cs="Times New Roman"/>
          <w:sz w:val="26"/>
          <w:szCs w:val="26"/>
          <w:lang w:eastAsia="hu-HU"/>
        </w:rPr>
        <w:t>a</w:t>
      </w:r>
      <w:proofErr w:type="gramEnd"/>
      <w:r w:rsidRPr="397FF86C">
        <w:rPr>
          <w:rFonts w:ascii="Times New Roman" w:eastAsia="Times New Roman" w:hAnsi="Times New Roman" w:cs="Times New Roman"/>
          <w:sz w:val="26"/>
          <w:szCs w:val="26"/>
          <w:lang w:eastAsia="hu-HU"/>
        </w:rPr>
        <w:t>, 72,9 milliárd forint diszkontkincstárjegy, 99,0%-a, 6943,5 milliárd forint államkötvény. A külföldi állomány átlagos hátralévő futamideje augusztus végén 5,7 év volt.</w:t>
      </w:r>
    </w:p>
    <w:p w14:paraId="7B768C6B" w14:textId="2769F807" w:rsidR="00464D42" w:rsidRPr="002F7F1A" w:rsidRDefault="397FF86C" w:rsidP="397FF86C">
      <w:pPr>
        <w:spacing w:before="240" w:after="120" w:line="240" w:lineRule="auto"/>
        <w:jc w:val="both"/>
        <w:rPr>
          <w:rFonts w:ascii="Times New Roman" w:eastAsia="Times New Roman" w:hAnsi="Times New Roman" w:cs="Times New Roman"/>
          <w:sz w:val="26"/>
          <w:szCs w:val="26"/>
          <w:lang w:eastAsia="hu-HU"/>
        </w:rPr>
      </w:pPr>
      <w:r w:rsidRPr="397FF86C">
        <w:rPr>
          <w:rFonts w:ascii="Times New Roman" w:eastAsia="Times New Roman" w:hAnsi="Times New Roman" w:cs="Times New Roman"/>
          <w:sz w:val="26"/>
          <w:szCs w:val="26"/>
          <w:lang w:eastAsia="hu-HU"/>
        </w:rPr>
        <w:t xml:space="preserve">A deviza-államadósság kockázatainak csökkentése érdekében az ÁKK Zrt. </w:t>
      </w:r>
      <w:proofErr w:type="spellStart"/>
      <w:r w:rsidRPr="397FF86C">
        <w:rPr>
          <w:rFonts w:ascii="Times New Roman" w:eastAsia="Times New Roman" w:hAnsi="Times New Roman" w:cs="Times New Roman"/>
          <w:sz w:val="26"/>
          <w:szCs w:val="26"/>
          <w:lang w:eastAsia="hu-HU"/>
        </w:rPr>
        <w:t>swap</w:t>
      </w:r>
      <w:proofErr w:type="spellEnd"/>
      <w:r w:rsidRPr="397FF86C">
        <w:rPr>
          <w:rFonts w:ascii="Times New Roman" w:eastAsia="Times New Roman" w:hAnsi="Times New Roman" w:cs="Times New Roman"/>
          <w:sz w:val="26"/>
          <w:szCs w:val="26"/>
          <w:lang w:eastAsia="hu-HU"/>
        </w:rPr>
        <w:t xml:space="preserve"> műveleteket köt, amiből az adósságállomány részét képezik az ezen ügyletek után az ÁKK </w:t>
      </w:r>
      <w:proofErr w:type="spellStart"/>
      <w:r w:rsidRPr="397FF86C">
        <w:rPr>
          <w:rFonts w:ascii="Times New Roman" w:eastAsia="Times New Roman" w:hAnsi="Times New Roman" w:cs="Times New Roman"/>
          <w:sz w:val="26"/>
          <w:szCs w:val="26"/>
          <w:lang w:eastAsia="hu-HU"/>
        </w:rPr>
        <w:t>Zrt-nél</w:t>
      </w:r>
      <w:proofErr w:type="spellEnd"/>
      <w:r w:rsidRPr="397FF86C">
        <w:rPr>
          <w:rFonts w:ascii="Times New Roman" w:eastAsia="Times New Roman" w:hAnsi="Times New Roman" w:cs="Times New Roman"/>
          <w:sz w:val="26"/>
          <w:szCs w:val="26"/>
          <w:lang w:eastAsia="hu-HU"/>
        </w:rPr>
        <w:t xml:space="preserve"> elhelyezésre kerülő fedezeti összegek (az ún. </w:t>
      </w:r>
      <w:proofErr w:type="spellStart"/>
      <w:r w:rsidRPr="397FF86C">
        <w:rPr>
          <w:rFonts w:ascii="Times New Roman" w:eastAsia="Times New Roman" w:hAnsi="Times New Roman" w:cs="Times New Roman"/>
          <w:sz w:val="26"/>
          <w:szCs w:val="26"/>
          <w:lang w:eastAsia="hu-HU"/>
        </w:rPr>
        <w:t>mark-to-market</w:t>
      </w:r>
      <w:proofErr w:type="spellEnd"/>
      <w:r w:rsidRPr="397FF86C">
        <w:rPr>
          <w:rFonts w:ascii="Times New Roman" w:eastAsia="Times New Roman" w:hAnsi="Times New Roman" w:cs="Times New Roman"/>
          <w:sz w:val="26"/>
          <w:szCs w:val="26"/>
          <w:lang w:eastAsia="hu-HU"/>
        </w:rPr>
        <w:t xml:space="preserve"> betétek) az egyéb kötelezettségek soron. A korábbi dollárkötvény kibocsátások óta eltelt időszakban az egyéb devizák (főként az USD) jelentősen felértékelődtek az euróhoz képest, az emiatt keletkező többletadósságot viszont a </w:t>
      </w:r>
      <w:proofErr w:type="spellStart"/>
      <w:r w:rsidRPr="397FF86C">
        <w:rPr>
          <w:rFonts w:ascii="Times New Roman" w:eastAsia="Times New Roman" w:hAnsi="Times New Roman" w:cs="Times New Roman"/>
          <w:sz w:val="26"/>
          <w:szCs w:val="26"/>
          <w:lang w:eastAsia="hu-HU"/>
        </w:rPr>
        <w:t>swapkötéssel</w:t>
      </w:r>
      <w:proofErr w:type="spellEnd"/>
      <w:r w:rsidRPr="397FF86C">
        <w:rPr>
          <w:rFonts w:ascii="Times New Roman" w:eastAsia="Times New Roman" w:hAnsi="Times New Roman" w:cs="Times New Roman"/>
          <w:sz w:val="26"/>
          <w:szCs w:val="26"/>
          <w:lang w:eastAsia="hu-HU"/>
        </w:rPr>
        <w:t xml:space="preserve"> sikerült kizárni. A vizsgált időszakban az egyéb kötelezettségek állománya 275,9 milliárd forinttal csökkent. Augusztus végén az állomány 113,5 milliárd forintot tett ki, ami a teljes államadósság 0,2%-át jelenti.</w:t>
      </w:r>
    </w:p>
    <w:sectPr w:rsidR="00464D42" w:rsidRPr="002F7F1A" w:rsidSect="00EA1F58">
      <w:headerReference w:type="even" r:id="rId29"/>
      <w:footerReference w:type="default" r:id="rId30"/>
      <w:pgSz w:w="11906" w:h="16838"/>
      <w:pgMar w:top="1418" w:right="1134" w:bottom="1418" w:left="1134" w:header="708"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CE70A" w14:textId="77777777" w:rsidR="00B622E5" w:rsidRDefault="00B622E5" w:rsidP="00B155FE">
      <w:pPr>
        <w:spacing w:after="0" w:line="240" w:lineRule="auto"/>
      </w:pPr>
      <w:r>
        <w:separator/>
      </w:r>
    </w:p>
  </w:endnote>
  <w:endnote w:type="continuationSeparator" w:id="0">
    <w:p w14:paraId="3F2D9D5C" w14:textId="77777777" w:rsidR="00B622E5" w:rsidRDefault="00B622E5" w:rsidP="00B155FE">
      <w:pPr>
        <w:spacing w:after="0" w:line="240" w:lineRule="auto"/>
      </w:pPr>
      <w:r>
        <w:continuationSeparator/>
      </w:r>
    </w:p>
  </w:endnote>
  <w:endnote w:type="continuationNotice" w:id="1">
    <w:p w14:paraId="1D3A639A" w14:textId="77777777" w:rsidR="00B622E5" w:rsidRDefault="00B62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2D1F" w14:textId="4DE2DC1D" w:rsidR="00B622E5" w:rsidRDefault="00B622E5">
    <w:pPr>
      <w:pStyle w:val="llb"/>
      <w:jc w:val="center"/>
    </w:pPr>
  </w:p>
  <w:p w14:paraId="41773F2F" w14:textId="77777777" w:rsidR="00B622E5" w:rsidRDefault="00B622E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54505"/>
      <w:docPartObj>
        <w:docPartGallery w:val="Page Numbers (Bottom of Page)"/>
        <w:docPartUnique/>
      </w:docPartObj>
    </w:sdtPr>
    <w:sdtEndPr/>
    <w:sdtContent>
      <w:p w14:paraId="52C756D2" w14:textId="6426B354" w:rsidR="00B622E5" w:rsidRDefault="00B622E5">
        <w:pPr>
          <w:pStyle w:val="llb"/>
          <w:jc w:val="center"/>
        </w:pPr>
        <w:r>
          <w:fldChar w:fldCharType="begin"/>
        </w:r>
        <w:r>
          <w:instrText>PAGE   \* MERGEFORMAT</w:instrText>
        </w:r>
        <w:r>
          <w:fldChar w:fldCharType="separate"/>
        </w:r>
        <w:r w:rsidR="00FC7DF0">
          <w:rPr>
            <w:noProof/>
          </w:rPr>
          <w:t>19</w:t>
        </w:r>
        <w:r>
          <w:fldChar w:fldCharType="end"/>
        </w:r>
      </w:p>
    </w:sdtContent>
  </w:sdt>
  <w:p w14:paraId="64304736" w14:textId="77777777" w:rsidR="00B622E5" w:rsidRDefault="00B622E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355557"/>
      <w:docPartObj>
        <w:docPartGallery w:val="Page Numbers (Bottom of Page)"/>
        <w:docPartUnique/>
      </w:docPartObj>
    </w:sdtPr>
    <w:sdtEndPr/>
    <w:sdtContent>
      <w:p w14:paraId="10FD5F29" w14:textId="02F989FE" w:rsidR="00B622E5" w:rsidRDefault="00B622E5">
        <w:pPr>
          <w:pStyle w:val="llb"/>
          <w:jc w:val="center"/>
        </w:pPr>
        <w:r>
          <w:fldChar w:fldCharType="begin"/>
        </w:r>
        <w:r>
          <w:instrText>PAGE   \* MERGEFORMAT</w:instrText>
        </w:r>
        <w:r>
          <w:fldChar w:fldCharType="separate"/>
        </w:r>
        <w:r w:rsidR="00FC7DF0">
          <w:rPr>
            <w:noProof/>
          </w:rPr>
          <w:t>18</w:t>
        </w:r>
        <w:r>
          <w:fldChar w:fldCharType="end"/>
        </w:r>
      </w:p>
    </w:sdtContent>
  </w:sdt>
  <w:p w14:paraId="17329691" w14:textId="773A5D5E" w:rsidR="00B622E5" w:rsidRPr="00556984" w:rsidRDefault="00B622E5" w:rsidP="00556984">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7640"/>
      <w:docPartObj>
        <w:docPartGallery w:val="Page Numbers (Bottom of Page)"/>
        <w:docPartUnique/>
      </w:docPartObj>
    </w:sdtPr>
    <w:sdtEndPr/>
    <w:sdtContent>
      <w:p w14:paraId="15CC8C69" w14:textId="42D1B9F5" w:rsidR="00B622E5" w:rsidRDefault="00B622E5">
        <w:pPr>
          <w:pStyle w:val="llb"/>
          <w:jc w:val="center"/>
        </w:pPr>
        <w:r>
          <w:fldChar w:fldCharType="begin"/>
        </w:r>
        <w:r>
          <w:instrText>PAGE   \* MERGEFORMAT</w:instrText>
        </w:r>
        <w:r>
          <w:fldChar w:fldCharType="separate"/>
        </w:r>
        <w:r w:rsidR="00FC7DF0">
          <w:rPr>
            <w:noProof/>
          </w:rPr>
          <w:t>20</w:t>
        </w:r>
        <w:r>
          <w:fldChar w:fldCharType="end"/>
        </w:r>
      </w:p>
    </w:sdtContent>
  </w:sdt>
  <w:p w14:paraId="7B768C9B" w14:textId="77777777" w:rsidR="00B622E5" w:rsidRDefault="00B622E5" w:rsidP="00C74E0F">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544A1" w14:textId="77777777" w:rsidR="00B622E5" w:rsidRDefault="00B622E5" w:rsidP="00B155FE">
      <w:pPr>
        <w:spacing w:after="0" w:line="240" w:lineRule="auto"/>
      </w:pPr>
      <w:r>
        <w:separator/>
      </w:r>
    </w:p>
  </w:footnote>
  <w:footnote w:type="continuationSeparator" w:id="0">
    <w:p w14:paraId="74EAB2FD" w14:textId="77777777" w:rsidR="00B622E5" w:rsidRDefault="00B622E5" w:rsidP="00B155FE">
      <w:pPr>
        <w:spacing w:after="0" w:line="240" w:lineRule="auto"/>
      </w:pPr>
      <w:r>
        <w:continuationSeparator/>
      </w:r>
    </w:p>
  </w:footnote>
  <w:footnote w:type="continuationNotice" w:id="1">
    <w:p w14:paraId="596C71FD" w14:textId="77777777" w:rsidR="00B622E5" w:rsidRDefault="00B622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6" w14:textId="77777777" w:rsidR="00B622E5" w:rsidRPr="00881044" w:rsidRDefault="00B622E5" w:rsidP="00C74E0F">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C97" w14:textId="77777777" w:rsidR="00B622E5" w:rsidRPr="00FE4DD1" w:rsidRDefault="00B622E5" w:rsidP="00C74E0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8622"/>
      <w:docPartObj>
        <w:docPartGallery w:val="Page Numbers (Top of Page)"/>
        <w:docPartUnique/>
      </w:docPartObj>
    </w:sdtPr>
    <w:sdtEndPr>
      <w:rPr>
        <w:noProof/>
      </w:rPr>
    </w:sdtEndPr>
    <w:sdtContent>
      <w:p w14:paraId="7B768C98" w14:textId="77777777" w:rsidR="00B622E5" w:rsidRDefault="00B622E5">
        <w:pPr>
          <w:pStyle w:val="lfej"/>
          <w:jc w:val="center"/>
        </w:pPr>
        <w:r>
          <w:fldChar w:fldCharType="begin"/>
        </w:r>
        <w:r>
          <w:instrText xml:space="preserve"> PAGE   \* MERGEFORMAT </w:instrText>
        </w:r>
        <w:r>
          <w:fldChar w:fldCharType="separate"/>
        </w:r>
        <w:r>
          <w:rPr>
            <w:noProof/>
          </w:rPr>
          <w:t>20</w:t>
        </w:r>
        <w:r>
          <w:rPr>
            <w:noProof/>
          </w:rPr>
          <w:fldChar w:fldCharType="end"/>
        </w:r>
      </w:p>
    </w:sdtContent>
  </w:sdt>
  <w:p w14:paraId="7B768C99" w14:textId="77777777" w:rsidR="00B622E5" w:rsidRDefault="00B622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481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FE"/>
    <w:rsid w:val="00001DDD"/>
    <w:rsid w:val="00015945"/>
    <w:rsid w:val="00020D17"/>
    <w:rsid w:val="0002674A"/>
    <w:rsid w:val="000302F3"/>
    <w:rsid w:val="000471E4"/>
    <w:rsid w:val="00051E9B"/>
    <w:rsid w:val="00052502"/>
    <w:rsid w:val="00054CDA"/>
    <w:rsid w:val="0006496D"/>
    <w:rsid w:val="00065E19"/>
    <w:rsid w:val="00072A58"/>
    <w:rsid w:val="00082ADE"/>
    <w:rsid w:val="000846A7"/>
    <w:rsid w:val="0009484D"/>
    <w:rsid w:val="00095C95"/>
    <w:rsid w:val="000C13F2"/>
    <w:rsid w:val="000C31E5"/>
    <w:rsid w:val="000C3D4C"/>
    <w:rsid w:val="000C7CC7"/>
    <w:rsid w:val="000D1BA8"/>
    <w:rsid w:val="000D7EFD"/>
    <w:rsid w:val="000E4745"/>
    <w:rsid w:val="000F13BA"/>
    <w:rsid w:val="00117E64"/>
    <w:rsid w:val="001209E7"/>
    <w:rsid w:val="00133EE6"/>
    <w:rsid w:val="00136087"/>
    <w:rsid w:val="0015385C"/>
    <w:rsid w:val="00153C19"/>
    <w:rsid w:val="001970FB"/>
    <w:rsid w:val="001A2835"/>
    <w:rsid w:val="001B307C"/>
    <w:rsid w:val="001B4DF1"/>
    <w:rsid w:val="001B50D2"/>
    <w:rsid w:val="001D04FF"/>
    <w:rsid w:val="001D7FB5"/>
    <w:rsid w:val="001E689B"/>
    <w:rsid w:val="001F7BB0"/>
    <w:rsid w:val="002276A7"/>
    <w:rsid w:val="002655BB"/>
    <w:rsid w:val="00275CF5"/>
    <w:rsid w:val="002A4B97"/>
    <w:rsid w:val="002B09F4"/>
    <w:rsid w:val="002B7C36"/>
    <w:rsid w:val="002E1C57"/>
    <w:rsid w:val="002F5E69"/>
    <w:rsid w:val="002F7F1A"/>
    <w:rsid w:val="0030136A"/>
    <w:rsid w:val="00311E85"/>
    <w:rsid w:val="0033462C"/>
    <w:rsid w:val="0034134A"/>
    <w:rsid w:val="0035701C"/>
    <w:rsid w:val="00360024"/>
    <w:rsid w:val="00362276"/>
    <w:rsid w:val="00380D8A"/>
    <w:rsid w:val="003C2D6B"/>
    <w:rsid w:val="003D16B4"/>
    <w:rsid w:val="003F267F"/>
    <w:rsid w:val="00403D7E"/>
    <w:rsid w:val="0042380D"/>
    <w:rsid w:val="004412D5"/>
    <w:rsid w:val="00464D42"/>
    <w:rsid w:val="00474AC8"/>
    <w:rsid w:val="0049287F"/>
    <w:rsid w:val="004B0F31"/>
    <w:rsid w:val="004B1132"/>
    <w:rsid w:val="004B391E"/>
    <w:rsid w:val="004B7931"/>
    <w:rsid w:val="004D06BA"/>
    <w:rsid w:val="004D32C3"/>
    <w:rsid w:val="004D50F6"/>
    <w:rsid w:val="004D5146"/>
    <w:rsid w:val="004E13F6"/>
    <w:rsid w:val="004F41FE"/>
    <w:rsid w:val="00507BC3"/>
    <w:rsid w:val="00510655"/>
    <w:rsid w:val="005271DC"/>
    <w:rsid w:val="00530561"/>
    <w:rsid w:val="0053190B"/>
    <w:rsid w:val="005521BE"/>
    <w:rsid w:val="005535B5"/>
    <w:rsid w:val="00556984"/>
    <w:rsid w:val="005652EE"/>
    <w:rsid w:val="005920CB"/>
    <w:rsid w:val="005A684D"/>
    <w:rsid w:val="005A799B"/>
    <w:rsid w:val="005C32F3"/>
    <w:rsid w:val="005D42A9"/>
    <w:rsid w:val="006106CD"/>
    <w:rsid w:val="006200F6"/>
    <w:rsid w:val="00670A50"/>
    <w:rsid w:val="0067190E"/>
    <w:rsid w:val="00675784"/>
    <w:rsid w:val="00681D20"/>
    <w:rsid w:val="00681D62"/>
    <w:rsid w:val="0069214F"/>
    <w:rsid w:val="0069615E"/>
    <w:rsid w:val="006B50D4"/>
    <w:rsid w:val="006D304F"/>
    <w:rsid w:val="006E045D"/>
    <w:rsid w:val="006E311E"/>
    <w:rsid w:val="006E7C4E"/>
    <w:rsid w:val="006F6524"/>
    <w:rsid w:val="00715220"/>
    <w:rsid w:val="0072076F"/>
    <w:rsid w:val="0073772C"/>
    <w:rsid w:val="00742B4A"/>
    <w:rsid w:val="007535E7"/>
    <w:rsid w:val="007557AF"/>
    <w:rsid w:val="00763ED2"/>
    <w:rsid w:val="0078542D"/>
    <w:rsid w:val="00785DD9"/>
    <w:rsid w:val="00787E89"/>
    <w:rsid w:val="007B3563"/>
    <w:rsid w:val="007E13DB"/>
    <w:rsid w:val="007E4009"/>
    <w:rsid w:val="007F3717"/>
    <w:rsid w:val="007F76C4"/>
    <w:rsid w:val="00803A01"/>
    <w:rsid w:val="00815E8F"/>
    <w:rsid w:val="008343F0"/>
    <w:rsid w:val="00841ABD"/>
    <w:rsid w:val="00861563"/>
    <w:rsid w:val="00880C11"/>
    <w:rsid w:val="008877C7"/>
    <w:rsid w:val="008A3B0D"/>
    <w:rsid w:val="008A7E51"/>
    <w:rsid w:val="008C22A1"/>
    <w:rsid w:val="008D01C3"/>
    <w:rsid w:val="008E322E"/>
    <w:rsid w:val="008E5FE2"/>
    <w:rsid w:val="008E6833"/>
    <w:rsid w:val="008F2C57"/>
    <w:rsid w:val="00904BD8"/>
    <w:rsid w:val="009278F9"/>
    <w:rsid w:val="009422F9"/>
    <w:rsid w:val="00945147"/>
    <w:rsid w:val="00945CE5"/>
    <w:rsid w:val="00947DAB"/>
    <w:rsid w:val="009704FA"/>
    <w:rsid w:val="0097271E"/>
    <w:rsid w:val="0097327C"/>
    <w:rsid w:val="0097329F"/>
    <w:rsid w:val="00993967"/>
    <w:rsid w:val="009C40EA"/>
    <w:rsid w:val="009C49CC"/>
    <w:rsid w:val="009F66DB"/>
    <w:rsid w:val="00A02DDD"/>
    <w:rsid w:val="00A161A8"/>
    <w:rsid w:val="00A40F40"/>
    <w:rsid w:val="00A54466"/>
    <w:rsid w:val="00A62B93"/>
    <w:rsid w:val="00A6446F"/>
    <w:rsid w:val="00A82F6B"/>
    <w:rsid w:val="00A8723E"/>
    <w:rsid w:val="00A95CB6"/>
    <w:rsid w:val="00A95D1D"/>
    <w:rsid w:val="00AB3613"/>
    <w:rsid w:val="00AB7A63"/>
    <w:rsid w:val="00AD169C"/>
    <w:rsid w:val="00AD6A38"/>
    <w:rsid w:val="00AE43BB"/>
    <w:rsid w:val="00B13AB1"/>
    <w:rsid w:val="00B155FE"/>
    <w:rsid w:val="00B43A9F"/>
    <w:rsid w:val="00B622E5"/>
    <w:rsid w:val="00B72569"/>
    <w:rsid w:val="00B8447F"/>
    <w:rsid w:val="00B94CCA"/>
    <w:rsid w:val="00B97A62"/>
    <w:rsid w:val="00BB5D94"/>
    <w:rsid w:val="00BE354F"/>
    <w:rsid w:val="00BE7750"/>
    <w:rsid w:val="00BF4035"/>
    <w:rsid w:val="00BF48C3"/>
    <w:rsid w:val="00C24948"/>
    <w:rsid w:val="00C46F63"/>
    <w:rsid w:val="00C52FED"/>
    <w:rsid w:val="00C53C2A"/>
    <w:rsid w:val="00C61227"/>
    <w:rsid w:val="00C65238"/>
    <w:rsid w:val="00C74E0F"/>
    <w:rsid w:val="00C7666C"/>
    <w:rsid w:val="00C776A0"/>
    <w:rsid w:val="00C872F4"/>
    <w:rsid w:val="00C95900"/>
    <w:rsid w:val="00CB3696"/>
    <w:rsid w:val="00CC075B"/>
    <w:rsid w:val="00CD0F03"/>
    <w:rsid w:val="00CE0F40"/>
    <w:rsid w:val="00CF0DB6"/>
    <w:rsid w:val="00CF533D"/>
    <w:rsid w:val="00CF75FB"/>
    <w:rsid w:val="00D23FED"/>
    <w:rsid w:val="00D3076A"/>
    <w:rsid w:val="00D36123"/>
    <w:rsid w:val="00D50A39"/>
    <w:rsid w:val="00D50A45"/>
    <w:rsid w:val="00D511E9"/>
    <w:rsid w:val="00D557C7"/>
    <w:rsid w:val="00D5594E"/>
    <w:rsid w:val="00D916FA"/>
    <w:rsid w:val="00DA1682"/>
    <w:rsid w:val="00DA30F4"/>
    <w:rsid w:val="00DA363F"/>
    <w:rsid w:val="00DD1EE7"/>
    <w:rsid w:val="00DD25C1"/>
    <w:rsid w:val="00DD30E6"/>
    <w:rsid w:val="00DE084E"/>
    <w:rsid w:val="00DE1B2C"/>
    <w:rsid w:val="00DE7A5C"/>
    <w:rsid w:val="00DE7C03"/>
    <w:rsid w:val="00E012DF"/>
    <w:rsid w:val="00E02EEE"/>
    <w:rsid w:val="00E37F8C"/>
    <w:rsid w:val="00E42061"/>
    <w:rsid w:val="00E440AB"/>
    <w:rsid w:val="00E56767"/>
    <w:rsid w:val="00E92BE7"/>
    <w:rsid w:val="00E97147"/>
    <w:rsid w:val="00EA1F58"/>
    <w:rsid w:val="00EA435E"/>
    <w:rsid w:val="00EC3951"/>
    <w:rsid w:val="00ED0EA7"/>
    <w:rsid w:val="00ED1AEF"/>
    <w:rsid w:val="00EE1E12"/>
    <w:rsid w:val="00EF22AA"/>
    <w:rsid w:val="00F224A0"/>
    <w:rsid w:val="00F33AE7"/>
    <w:rsid w:val="00F71CAC"/>
    <w:rsid w:val="00F72867"/>
    <w:rsid w:val="00F8132B"/>
    <w:rsid w:val="00FA3BFF"/>
    <w:rsid w:val="00FC4CD2"/>
    <w:rsid w:val="00FC4EDF"/>
    <w:rsid w:val="00FC7DF0"/>
    <w:rsid w:val="00FD7247"/>
    <w:rsid w:val="00FF50AB"/>
    <w:rsid w:val="066432AC"/>
    <w:rsid w:val="069B7ADC"/>
    <w:rsid w:val="07A6191C"/>
    <w:rsid w:val="0B0022D9"/>
    <w:rsid w:val="0C689E27"/>
    <w:rsid w:val="0F95990C"/>
    <w:rsid w:val="13A79940"/>
    <w:rsid w:val="17131A31"/>
    <w:rsid w:val="17DC55AF"/>
    <w:rsid w:val="1ADA31FC"/>
    <w:rsid w:val="1DD9EF3C"/>
    <w:rsid w:val="2E2AB90F"/>
    <w:rsid w:val="2EE8C294"/>
    <w:rsid w:val="30FC3356"/>
    <w:rsid w:val="33059570"/>
    <w:rsid w:val="36C1AD60"/>
    <w:rsid w:val="38303276"/>
    <w:rsid w:val="397FF86C"/>
    <w:rsid w:val="3F8285E0"/>
    <w:rsid w:val="404A42F7"/>
    <w:rsid w:val="4254DCC1"/>
    <w:rsid w:val="45866D16"/>
    <w:rsid w:val="4F9EA472"/>
    <w:rsid w:val="537B7A8F"/>
    <w:rsid w:val="559D80A3"/>
    <w:rsid w:val="587E035A"/>
    <w:rsid w:val="5C24D288"/>
    <w:rsid w:val="649087DC"/>
    <w:rsid w:val="6924D4D1"/>
    <w:rsid w:val="6987D822"/>
    <w:rsid w:val="6B5B80CE"/>
    <w:rsid w:val="6DE954D4"/>
    <w:rsid w:val="727A167A"/>
    <w:rsid w:val="73F401F8"/>
    <w:rsid w:val="77446A4A"/>
    <w:rsid w:val="79CB34D5"/>
    <w:rsid w:val="7B51F349"/>
    <w:rsid w:val="7C97CD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B7689E2"/>
  <w15:docId w15:val="{C2762030-B562-42D1-9A60-D0E77B4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155FE"/>
    <w:pPr>
      <w:tabs>
        <w:tab w:val="center" w:pos="4536"/>
        <w:tab w:val="right" w:pos="9072"/>
      </w:tabs>
      <w:spacing w:after="0" w:line="240" w:lineRule="auto"/>
    </w:pPr>
  </w:style>
  <w:style w:type="character" w:customStyle="1" w:styleId="lfejChar">
    <w:name w:val="Élőfej Char"/>
    <w:basedOn w:val="Bekezdsalapbettpusa"/>
    <w:link w:val="lfej"/>
    <w:uiPriority w:val="99"/>
    <w:rsid w:val="00B155FE"/>
  </w:style>
  <w:style w:type="paragraph" w:styleId="llb">
    <w:name w:val="footer"/>
    <w:basedOn w:val="Norml"/>
    <w:link w:val="llbChar"/>
    <w:uiPriority w:val="99"/>
    <w:unhideWhenUsed/>
    <w:rsid w:val="00B155FE"/>
    <w:pPr>
      <w:tabs>
        <w:tab w:val="center" w:pos="4536"/>
        <w:tab w:val="right" w:pos="9072"/>
      </w:tabs>
      <w:spacing w:after="0" w:line="240" w:lineRule="auto"/>
    </w:pPr>
  </w:style>
  <w:style w:type="character" w:customStyle="1" w:styleId="llbChar">
    <w:name w:val="Élőláb Char"/>
    <w:basedOn w:val="Bekezdsalapbettpusa"/>
    <w:link w:val="llb"/>
    <w:uiPriority w:val="99"/>
    <w:rsid w:val="00B155FE"/>
  </w:style>
  <w:style w:type="paragraph" w:styleId="Lbjegyzetszveg">
    <w:name w:val="footnote text"/>
    <w:basedOn w:val="Norml"/>
    <w:link w:val="LbjegyzetszvegChar"/>
    <w:uiPriority w:val="99"/>
    <w:semiHidden/>
    <w:unhideWhenUsed/>
    <w:rsid w:val="00B155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155FE"/>
    <w:rPr>
      <w:sz w:val="20"/>
      <w:szCs w:val="20"/>
    </w:rPr>
  </w:style>
  <w:style w:type="character" w:styleId="Lbjegyzet-hivatkozs">
    <w:name w:val="footnote reference"/>
    <w:semiHidden/>
    <w:rsid w:val="00B155FE"/>
    <w:rPr>
      <w:vertAlign w:val="superscript"/>
    </w:rPr>
  </w:style>
  <w:style w:type="character" w:styleId="Oldalszm">
    <w:name w:val="page number"/>
    <w:basedOn w:val="Bekezdsalapbettpusa"/>
    <w:rsid w:val="00B155FE"/>
  </w:style>
  <w:style w:type="paragraph" w:styleId="Buborkszveg">
    <w:name w:val="Balloon Text"/>
    <w:basedOn w:val="Norml"/>
    <w:link w:val="BuborkszvegChar"/>
    <w:uiPriority w:val="99"/>
    <w:semiHidden/>
    <w:unhideWhenUsed/>
    <w:rsid w:val="0097327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327C"/>
    <w:rPr>
      <w:rFonts w:ascii="Tahoma" w:hAnsi="Tahoma" w:cs="Tahoma"/>
      <w:sz w:val="16"/>
      <w:szCs w:val="16"/>
    </w:rPr>
  </w:style>
  <w:style w:type="paragraph" w:styleId="Listaszerbekezds">
    <w:name w:val="List Paragraph"/>
    <w:basedOn w:val="Norml"/>
    <w:uiPriority w:val="34"/>
    <w:qFormat/>
    <w:rsid w:val="00F7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7097">
      <w:bodyDiv w:val="1"/>
      <w:marLeft w:val="0"/>
      <w:marRight w:val="0"/>
      <w:marTop w:val="0"/>
      <w:marBottom w:val="0"/>
      <w:divBdr>
        <w:top w:val="none" w:sz="0" w:space="0" w:color="auto"/>
        <w:left w:val="none" w:sz="0" w:space="0" w:color="auto"/>
        <w:bottom w:val="none" w:sz="0" w:space="0" w:color="auto"/>
        <w:right w:val="none" w:sz="0" w:space="0" w:color="auto"/>
      </w:divBdr>
    </w:div>
    <w:div w:id="831945513">
      <w:bodyDiv w:val="1"/>
      <w:marLeft w:val="0"/>
      <w:marRight w:val="0"/>
      <w:marTop w:val="0"/>
      <w:marBottom w:val="0"/>
      <w:divBdr>
        <w:top w:val="none" w:sz="0" w:space="0" w:color="auto"/>
        <w:left w:val="none" w:sz="0" w:space="0" w:color="auto"/>
        <w:bottom w:val="none" w:sz="0" w:space="0" w:color="auto"/>
        <w:right w:val="none" w:sz="0" w:space="0" w:color="auto"/>
      </w:divBdr>
    </w:div>
    <w:div w:id="1137841753">
      <w:bodyDiv w:val="1"/>
      <w:marLeft w:val="0"/>
      <w:marRight w:val="0"/>
      <w:marTop w:val="0"/>
      <w:marBottom w:val="0"/>
      <w:divBdr>
        <w:top w:val="none" w:sz="0" w:space="0" w:color="auto"/>
        <w:left w:val="none" w:sz="0" w:space="0" w:color="auto"/>
        <w:bottom w:val="none" w:sz="0" w:space="0" w:color="auto"/>
        <w:right w:val="none" w:sz="0" w:space="0" w:color="auto"/>
      </w:divBdr>
    </w:div>
    <w:div w:id="11540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2023</_x00c9_v>
    <T_x00e9_ma xmlns="cb7eed14-1ed6-4f4f-9464-e9d73fc2f8e9" xsi:nil="true"/>
    <L_x00e1_that_x00f3_s_x00e1_g xmlns="cb7eed14-1ed6-4f4f-9464-e9d73fc2f8e9">Publikus</L_x00e1_that_x00f3_s_x00e1_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5" ma:contentTypeDescription="Új dokumentum létrehozása." ma:contentTypeScope="" ma:versionID="6d56f7fd0d783ce102c587405f700cd8">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a5fa3bc901a08a787cacabcfb16fbbfc"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958D-48DC-4564-B24D-56E63215790F}">
  <ds:schemaRefs>
    <ds:schemaRef ds:uri="http://purl.org/dc/elements/1.1/"/>
    <ds:schemaRef ds:uri="http://schemas.microsoft.com/office/2006/metadata/properties"/>
    <ds:schemaRef ds:uri="http://schemas.microsoft.com/office/2006/documentManagement/types"/>
    <ds:schemaRef ds:uri="http://purl.org/dc/terms/"/>
    <ds:schemaRef ds:uri="cb7eed14-1ed6-4f4f-9464-e9d73fc2f8e9"/>
    <ds:schemaRef ds:uri="http://purl.org/dc/dcmitype/"/>
    <ds:schemaRef ds:uri="http://schemas.microsoft.com/office/infopath/2007/PartnerControls"/>
    <ds:schemaRef ds:uri="9669010e-b829-4d86-87dd-cdce11b02043"/>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D0F6AD-19C0-4D6B-ABDF-2564A2CC5C1F}">
  <ds:schemaRefs>
    <ds:schemaRef ds:uri="http://schemas.microsoft.com/sharepoint/v3/contenttype/forms"/>
  </ds:schemaRefs>
</ds:datastoreItem>
</file>

<file path=customXml/itemProps3.xml><?xml version="1.0" encoding="utf-8"?>
<ds:datastoreItem xmlns:ds="http://schemas.openxmlformats.org/officeDocument/2006/customXml" ds:itemID="{35F214DC-C9F0-4D2A-8D55-0D19B5431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D93F0-1F13-4901-8EE7-AB36F616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22</Pages>
  <Words>4490</Words>
  <Characters>30985</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35405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Márta</dc:creator>
  <cp:keywords/>
  <dc:description/>
  <cp:lastModifiedBy>Ivók Aurél Csaba</cp:lastModifiedBy>
  <cp:revision>79</cp:revision>
  <cp:lastPrinted>2023-09-18T13:16:00Z</cp:lastPrinted>
  <dcterms:created xsi:type="dcterms:W3CDTF">2023-09-04T14:03:00Z</dcterms:created>
  <dcterms:modified xsi:type="dcterms:W3CDTF">2023-09-19T10:55:00Z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