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89E2" w14:textId="6B71AC8F" w:rsidR="00B155FE" w:rsidRPr="00377D59" w:rsidRDefault="66BD4B63" w:rsidP="66BD4B63">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66BD4B63">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B" w14:textId="74BA5630" w:rsidR="00B155FE" w:rsidRDefault="00B155FE"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4EE6826E" w14:textId="77777777" w:rsidR="000A4839" w:rsidRPr="00377D59" w:rsidRDefault="000A4839"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66BD4B63">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3CA64CEF" w:rsidR="00B94CCA" w:rsidRPr="00377D59" w:rsidRDefault="66BD4B63" w:rsidP="66BD4B63">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66BD4B63">
        <w:rPr>
          <w:rFonts w:ascii="Times New Roman" w:eastAsia="Times New Roman" w:hAnsi="Times New Roman" w:cs="Times New Roman"/>
          <w:b/>
          <w:bCs/>
          <w:i/>
          <w:iCs/>
          <w:sz w:val="26"/>
          <w:szCs w:val="26"/>
          <w:lang w:eastAsia="hu-HU"/>
        </w:rPr>
        <w:t>az államháztartás központi alrendszerének</w:t>
      </w:r>
      <w:r w:rsidR="30EDBFC2">
        <w:br/>
      </w:r>
      <w:r w:rsidRPr="66BD4B63">
        <w:rPr>
          <w:rFonts w:ascii="Times New Roman" w:eastAsia="Times New Roman" w:hAnsi="Times New Roman" w:cs="Times New Roman"/>
          <w:b/>
          <w:bCs/>
          <w:i/>
          <w:iCs/>
          <w:sz w:val="26"/>
          <w:szCs w:val="26"/>
          <w:lang w:eastAsia="hu-HU"/>
        </w:rPr>
        <w:t>2025. június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4D19E0CD" w:rsidR="00E97147" w:rsidRPr="00377D59" w:rsidRDefault="00B155FE" w:rsidP="66BD4B63">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fl="http://schemas.microsoft.com/office/word/2024/wordml/sdtformatlock" xmlns:w16du="http://schemas.microsoft.com/office/word/2023/wordml/word16du">
            <w:pict w14:anchorId="0D87395B">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986F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6E3821">
        <w:rPr>
          <w:rFonts w:ascii="Times New Roman" w:eastAsia="Times New Roman" w:hAnsi="Times New Roman" w:cs="Times New Roman"/>
          <w:b/>
          <w:bCs/>
          <w:lang w:eastAsia="hu-HU"/>
        </w:rPr>
        <w:t>jú</w:t>
      </w:r>
      <w:r w:rsidR="00FD0226">
        <w:rPr>
          <w:rFonts w:ascii="Times New Roman" w:eastAsia="Times New Roman" w:hAnsi="Times New Roman" w:cs="Times New Roman"/>
          <w:b/>
          <w:bCs/>
          <w:lang w:eastAsia="hu-HU"/>
        </w:rPr>
        <w:t>l</w:t>
      </w:r>
      <w:r w:rsidR="006E3821">
        <w:rPr>
          <w:rFonts w:ascii="Times New Roman" w:eastAsia="Times New Roman" w:hAnsi="Times New Roman" w:cs="Times New Roman"/>
          <w:b/>
          <w:bCs/>
          <w:lang w:eastAsia="hu-HU"/>
        </w:rPr>
        <w:t>ius</w:t>
      </w:r>
    </w:p>
    <w:p w14:paraId="7B7689FF" w14:textId="77777777" w:rsidR="00B155FE" w:rsidRPr="00377D59" w:rsidRDefault="66BD4B63" w:rsidP="66BD4B63">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66BD4B63">
        <w:rPr>
          <w:rFonts w:ascii="Times New Roman" w:eastAsia="Times New Roman" w:hAnsi="Times New Roman" w:cs="Times New Roman"/>
          <w:b/>
          <w:bCs/>
          <w:caps/>
          <w:color w:val="000000" w:themeColor="text1"/>
          <w:sz w:val="26"/>
          <w:szCs w:val="26"/>
          <w:lang w:eastAsia="hu-HU"/>
        </w:rPr>
        <w:lastRenderedPageBreak/>
        <w:t>Összefoglalás</w:t>
      </w:r>
    </w:p>
    <w:p w14:paraId="7A8D292E" w14:textId="30A8B824" w:rsidR="00873644" w:rsidRPr="00873644" w:rsidRDefault="00873644" w:rsidP="00873644">
      <w:pPr>
        <w:widowControl w:val="0"/>
        <w:jc w:val="both"/>
        <w:rPr>
          <w:rFonts w:ascii="Times New Roman" w:eastAsia="Times New Roman" w:hAnsi="Times New Roman" w:cs="Times New Roman"/>
          <w:b/>
          <w:bCs/>
          <w:color w:val="000000" w:themeColor="text1"/>
          <w:sz w:val="26"/>
          <w:szCs w:val="26"/>
          <w:lang w:eastAsia="hu-HU"/>
        </w:rPr>
      </w:pPr>
      <w:r w:rsidRPr="00873644">
        <w:rPr>
          <w:rFonts w:ascii="Times New Roman" w:eastAsia="Times New Roman" w:hAnsi="Times New Roman" w:cs="Times New Roman"/>
          <w:b/>
          <w:bCs/>
          <w:color w:val="000000" w:themeColor="text1"/>
          <w:sz w:val="26"/>
          <w:szCs w:val="26"/>
          <w:lang w:eastAsia="hu-HU"/>
        </w:rPr>
        <w:t>Magyarország pénzügyei rendezettek, a szigorú költségvetési fegyelem fenntartása változatlanul a kormány kiemelt prioritása.</w:t>
      </w:r>
      <w:r w:rsidR="008D2C21">
        <w:rPr>
          <w:rFonts w:ascii="Times New Roman" w:eastAsia="Times New Roman" w:hAnsi="Times New Roman" w:cs="Times New Roman"/>
          <w:b/>
          <w:bCs/>
          <w:color w:val="000000" w:themeColor="text1"/>
          <w:sz w:val="26"/>
          <w:szCs w:val="26"/>
          <w:lang w:eastAsia="hu-HU"/>
        </w:rPr>
        <w:t xml:space="preserve"> </w:t>
      </w:r>
      <w:r w:rsidRPr="00873644">
        <w:rPr>
          <w:rFonts w:ascii="Times New Roman" w:eastAsia="Times New Roman" w:hAnsi="Times New Roman" w:cs="Times New Roman"/>
          <w:b/>
          <w:bCs/>
          <w:color w:val="000000" w:themeColor="text1"/>
          <w:sz w:val="26"/>
          <w:szCs w:val="26"/>
          <w:lang w:eastAsia="hu-HU"/>
        </w:rPr>
        <w:t>A költségvetés középpontjában a</w:t>
      </w:r>
      <w:r>
        <w:rPr>
          <w:rFonts w:ascii="Times New Roman" w:eastAsia="Times New Roman" w:hAnsi="Times New Roman" w:cs="Times New Roman"/>
          <w:b/>
          <w:bCs/>
          <w:color w:val="000000" w:themeColor="text1"/>
          <w:sz w:val="26"/>
          <w:szCs w:val="26"/>
          <w:lang w:eastAsia="hu-HU"/>
        </w:rPr>
        <w:t> </w:t>
      </w:r>
      <w:r w:rsidRPr="00873644">
        <w:rPr>
          <w:rFonts w:ascii="Times New Roman" w:eastAsia="Times New Roman" w:hAnsi="Times New Roman" w:cs="Times New Roman"/>
          <w:b/>
          <w:bCs/>
          <w:color w:val="000000" w:themeColor="text1"/>
          <w:sz w:val="26"/>
          <w:szCs w:val="26"/>
          <w:lang w:eastAsia="hu-HU"/>
        </w:rPr>
        <w:t>családok és nyugdíjasok állnak, a kormány Európa legnagyobb adócsökkentési programját hajtja végre, miközben továbbra is elkötelezett az államadósság és a</w:t>
      </w:r>
      <w:r>
        <w:rPr>
          <w:rFonts w:ascii="Times New Roman" w:eastAsia="Times New Roman" w:hAnsi="Times New Roman" w:cs="Times New Roman"/>
          <w:b/>
          <w:bCs/>
          <w:color w:val="000000" w:themeColor="text1"/>
          <w:sz w:val="26"/>
          <w:szCs w:val="26"/>
          <w:lang w:eastAsia="hu-HU"/>
        </w:rPr>
        <w:t> </w:t>
      </w:r>
      <w:r w:rsidRPr="00873644">
        <w:rPr>
          <w:rFonts w:ascii="Times New Roman" w:eastAsia="Times New Roman" w:hAnsi="Times New Roman" w:cs="Times New Roman"/>
          <w:b/>
          <w:bCs/>
          <w:color w:val="000000" w:themeColor="text1"/>
          <w:sz w:val="26"/>
          <w:szCs w:val="26"/>
          <w:lang w:eastAsia="hu-HU"/>
        </w:rPr>
        <w:t>költségvetési hiány csökkentése mellett.</w:t>
      </w:r>
      <w:r w:rsidR="008D2C21">
        <w:rPr>
          <w:rFonts w:ascii="Times New Roman" w:eastAsia="Times New Roman" w:hAnsi="Times New Roman" w:cs="Times New Roman"/>
          <w:b/>
          <w:bCs/>
          <w:color w:val="000000" w:themeColor="text1"/>
          <w:sz w:val="26"/>
          <w:szCs w:val="26"/>
          <w:lang w:eastAsia="hu-HU"/>
        </w:rPr>
        <w:t xml:space="preserve"> </w:t>
      </w:r>
      <w:r w:rsidR="008D2C21" w:rsidRPr="008D2C21">
        <w:rPr>
          <w:rFonts w:ascii="Times New Roman" w:eastAsia="Times New Roman" w:hAnsi="Times New Roman" w:cs="Times New Roman"/>
          <w:b/>
          <w:bCs/>
          <w:color w:val="000000" w:themeColor="text1"/>
          <w:sz w:val="26"/>
          <w:szCs w:val="26"/>
          <w:lang w:eastAsia="hu-HU"/>
        </w:rPr>
        <w:t>A</w:t>
      </w:r>
      <w:r w:rsidR="00150CCD">
        <w:rPr>
          <w:rFonts w:ascii="Times New Roman" w:eastAsia="Times New Roman" w:hAnsi="Times New Roman" w:cs="Times New Roman"/>
          <w:b/>
          <w:bCs/>
          <w:color w:val="000000" w:themeColor="text1"/>
          <w:sz w:val="26"/>
          <w:szCs w:val="26"/>
          <w:lang w:eastAsia="hu-HU"/>
        </w:rPr>
        <w:t>z idei évi</w:t>
      </w:r>
      <w:r w:rsidR="008D2C21" w:rsidRPr="008D2C21">
        <w:rPr>
          <w:rFonts w:ascii="Times New Roman" w:eastAsia="Times New Roman" w:hAnsi="Times New Roman" w:cs="Times New Roman"/>
          <w:b/>
          <w:bCs/>
          <w:color w:val="000000" w:themeColor="text1"/>
          <w:sz w:val="26"/>
          <w:szCs w:val="26"/>
          <w:lang w:eastAsia="hu-HU"/>
        </w:rPr>
        <w:t xml:space="preserve"> 4,1%-os várható ESA-hiányhoz tartozó várható éves pénzforgalmi hiány 4 774,0 milliárd forint</w:t>
      </w:r>
      <w:r w:rsidR="008D2C21">
        <w:rPr>
          <w:rFonts w:ascii="Times New Roman" w:eastAsia="Times New Roman" w:hAnsi="Times New Roman" w:cs="Times New Roman"/>
          <w:b/>
          <w:bCs/>
          <w:color w:val="000000" w:themeColor="text1"/>
          <w:sz w:val="26"/>
          <w:szCs w:val="26"/>
          <w:lang w:eastAsia="hu-HU"/>
        </w:rPr>
        <w:t>,</w:t>
      </w:r>
      <w:r w:rsidR="008D2C21" w:rsidRPr="008D2C21">
        <w:rPr>
          <w:rFonts w:ascii="Times New Roman" w:eastAsia="Times New Roman" w:hAnsi="Times New Roman" w:cs="Times New Roman"/>
          <w:b/>
          <w:bCs/>
          <w:color w:val="000000" w:themeColor="text1"/>
          <w:sz w:val="26"/>
          <w:szCs w:val="26"/>
          <w:lang w:eastAsia="hu-HU"/>
        </w:rPr>
        <w:t xml:space="preserve"> </w:t>
      </w:r>
      <w:r w:rsidR="008D2C21">
        <w:rPr>
          <w:rFonts w:ascii="Times New Roman" w:eastAsia="Times New Roman" w:hAnsi="Times New Roman" w:cs="Times New Roman"/>
          <w:b/>
          <w:bCs/>
          <w:color w:val="000000" w:themeColor="text1"/>
          <w:sz w:val="26"/>
          <w:szCs w:val="26"/>
          <w:lang w:eastAsia="hu-HU"/>
        </w:rPr>
        <w:t>a</w:t>
      </w:r>
      <w:r w:rsidR="008D2C21" w:rsidRPr="008D2C21">
        <w:rPr>
          <w:rFonts w:ascii="Times New Roman" w:eastAsia="Times New Roman" w:hAnsi="Times New Roman" w:cs="Times New Roman"/>
          <w:b/>
          <w:bCs/>
          <w:color w:val="000000" w:themeColor="text1"/>
          <w:sz w:val="26"/>
          <w:szCs w:val="26"/>
          <w:lang w:eastAsia="hu-HU"/>
        </w:rPr>
        <w:t xml:space="preserve"> központi alrendszer június végi hiánya (2 773,6 milliárd forint) </w:t>
      </w:r>
      <w:r w:rsidR="008D2C21">
        <w:rPr>
          <w:rFonts w:ascii="Times New Roman" w:eastAsia="Times New Roman" w:hAnsi="Times New Roman" w:cs="Times New Roman"/>
          <w:b/>
          <w:bCs/>
          <w:color w:val="000000" w:themeColor="text1"/>
          <w:sz w:val="26"/>
          <w:szCs w:val="26"/>
          <w:lang w:eastAsia="hu-HU"/>
        </w:rPr>
        <w:t xml:space="preserve">így </w:t>
      </w:r>
      <w:r w:rsidR="008D2C21" w:rsidRPr="008D2C21">
        <w:rPr>
          <w:rFonts w:ascii="Times New Roman" w:eastAsia="Times New Roman" w:hAnsi="Times New Roman" w:cs="Times New Roman"/>
          <w:b/>
          <w:bCs/>
          <w:color w:val="000000" w:themeColor="text1"/>
          <w:sz w:val="26"/>
          <w:szCs w:val="26"/>
          <w:lang w:eastAsia="hu-HU"/>
        </w:rPr>
        <w:t>ennek 58,1%-a.</w:t>
      </w:r>
    </w:p>
    <w:p w14:paraId="1471C306" w14:textId="529C75C2" w:rsidR="00873644" w:rsidRPr="002564C4" w:rsidRDefault="00873644" w:rsidP="00873644">
      <w:pPr>
        <w:widowControl w:val="0"/>
        <w:jc w:val="both"/>
        <w:rPr>
          <w:rFonts w:ascii="Times New Roman" w:eastAsia="Times New Roman" w:hAnsi="Times New Roman" w:cs="Times New Roman"/>
          <w:color w:val="000000" w:themeColor="text1"/>
          <w:sz w:val="26"/>
          <w:szCs w:val="26"/>
          <w:lang w:eastAsia="hu-HU"/>
        </w:rPr>
      </w:pPr>
      <w:r w:rsidRPr="002564C4">
        <w:rPr>
          <w:rFonts w:ascii="Times New Roman" w:eastAsia="Times New Roman" w:hAnsi="Times New Roman" w:cs="Times New Roman"/>
          <w:color w:val="000000" w:themeColor="text1"/>
          <w:sz w:val="26"/>
          <w:szCs w:val="26"/>
          <w:lang w:eastAsia="hu-HU"/>
        </w:rPr>
        <w:t>Számottevő többlettel zárt júniusban a központi költségvetés: ebben a hónapban 200 milliárd forint összegű osztalékbevétel érkezett a költségvetésbe, részben a Szerencsejáték Zrt-től, részben pedig a Corvinus Zrt-től. Ezen túlmenően jelentős, 100,6 milliárd forint társasági adó befizetés érkezett be a hónap végéig.</w:t>
      </w:r>
    </w:p>
    <w:p w14:paraId="6B5373A6" w14:textId="7CCF0199" w:rsidR="00873644" w:rsidRPr="002564C4" w:rsidRDefault="00873644" w:rsidP="00873644">
      <w:pPr>
        <w:widowControl w:val="0"/>
        <w:jc w:val="both"/>
        <w:rPr>
          <w:rFonts w:ascii="Times New Roman" w:eastAsia="Times New Roman" w:hAnsi="Times New Roman" w:cs="Times New Roman"/>
          <w:color w:val="000000" w:themeColor="text1"/>
          <w:sz w:val="26"/>
          <w:szCs w:val="26"/>
          <w:lang w:eastAsia="hu-HU"/>
        </w:rPr>
      </w:pPr>
      <w:r w:rsidRPr="002564C4">
        <w:rPr>
          <w:rFonts w:ascii="Times New Roman" w:eastAsia="Times New Roman" w:hAnsi="Times New Roman" w:cs="Times New Roman"/>
          <w:color w:val="000000" w:themeColor="text1"/>
          <w:sz w:val="26"/>
          <w:szCs w:val="26"/>
          <w:lang w:eastAsia="hu-HU"/>
        </w:rPr>
        <w:t>Június végéig az államháztartás központi alrendszere 2 773,6 milliárd forintos hiánnyal zárt. Ezen belül a központi költségvetés 2 727,6 milliárd forintos hiányt, az elkülönített állami pénzalapok 72,9 milliárd forintos többletet, a társadalombiztosítás pénzügyi alapjai pedig 118,9 milliárd forintos hiányt mutattak.</w:t>
      </w:r>
    </w:p>
    <w:p w14:paraId="7B88A987" w14:textId="77777777" w:rsidR="00873644" w:rsidRPr="002564C4" w:rsidRDefault="00873644" w:rsidP="00873644">
      <w:pPr>
        <w:widowControl w:val="0"/>
        <w:jc w:val="both"/>
        <w:rPr>
          <w:rFonts w:ascii="Times New Roman" w:eastAsia="Times New Roman" w:hAnsi="Times New Roman" w:cs="Times New Roman"/>
          <w:color w:val="000000" w:themeColor="text1"/>
          <w:sz w:val="26"/>
          <w:szCs w:val="26"/>
          <w:lang w:eastAsia="hu-HU"/>
        </w:rPr>
      </w:pPr>
      <w:r w:rsidRPr="002564C4">
        <w:rPr>
          <w:rFonts w:ascii="Times New Roman" w:eastAsia="Times New Roman" w:hAnsi="Times New Roman" w:cs="Times New Roman"/>
          <w:color w:val="000000" w:themeColor="text1"/>
          <w:sz w:val="26"/>
          <w:szCs w:val="26"/>
          <w:lang w:eastAsia="hu-HU"/>
        </w:rPr>
        <w:t>Az előző év azonos időszakához viszonyítva a központi alrendszer adó- és járulékbevételei 9,5 százalékkal magasabban alakultak. Ezen belül is a fogyasztáshoz kapcsolódó adók esetében megközelítőleg 12 százalékos növekedés történt.</w:t>
      </w:r>
    </w:p>
    <w:p w14:paraId="44DC948E" w14:textId="640E0935" w:rsidR="00873644" w:rsidRPr="002564C4" w:rsidRDefault="00873644" w:rsidP="00873644">
      <w:pPr>
        <w:widowControl w:val="0"/>
        <w:jc w:val="both"/>
        <w:rPr>
          <w:rFonts w:ascii="Times New Roman" w:eastAsia="Times New Roman" w:hAnsi="Times New Roman" w:cs="Times New Roman"/>
          <w:color w:val="000000" w:themeColor="text1"/>
          <w:sz w:val="26"/>
          <w:szCs w:val="26"/>
          <w:lang w:eastAsia="hu-HU"/>
        </w:rPr>
      </w:pPr>
      <w:r w:rsidRPr="002564C4">
        <w:rPr>
          <w:rFonts w:ascii="Times New Roman" w:eastAsia="Times New Roman" w:hAnsi="Times New Roman" w:cs="Times New Roman"/>
          <w:color w:val="000000" w:themeColor="text1"/>
          <w:sz w:val="26"/>
          <w:szCs w:val="26"/>
          <w:lang w:eastAsia="hu-HU"/>
        </w:rPr>
        <w:t>A kamatkiadások június végéig 2 494,3 milliárd forintot tettek ki, ami 484,8 milliárd forinttal magasabb az előző év első félévében történt teljesítésnél. Ennek oka – az előző hónapokhoz hasonlóan – az egyes lejáratok eltérő kamatfizetési időpontja, valamint az államadósság eltérő szerkezete.</w:t>
      </w:r>
    </w:p>
    <w:p w14:paraId="5D3BF6CF" w14:textId="52F8E77D" w:rsidR="00873644" w:rsidRPr="002564C4" w:rsidRDefault="00873644" w:rsidP="00873644">
      <w:pPr>
        <w:widowControl w:val="0"/>
        <w:jc w:val="both"/>
        <w:rPr>
          <w:rFonts w:ascii="Times New Roman" w:eastAsia="Times New Roman" w:hAnsi="Times New Roman" w:cs="Times New Roman"/>
          <w:color w:val="000000" w:themeColor="text1"/>
          <w:sz w:val="26"/>
          <w:szCs w:val="26"/>
          <w:lang w:eastAsia="hu-HU"/>
        </w:rPr>
      </w:pPr>
      <w:r w:rsidRPr="002564C4">
        <w:rPr>
          <w:rFonts w:ascii="Times New Roman" w:eastAsia="Times New Roman" w:hAnsi="Times New Roman" w:cs="Times New Roman"/>
          <w:color w:val="000000" w:themeColor="text1"/>
          <w:sz w:val="26"/>
          <w:szCs w:val="26"/>
          <w:lang w:eastAsia="hu-HU"/>
        </w:rPr>
        <w:t xml:space="preserve">Meghaladták az egy évvel megelőző kifizetést a nyugellátásokra fordított összegek is: </w:t>
      </w:r>
      <w:r w:rsidRPr="002564C4">
        <w:rPr>
          <w:rFonts w:ascii="Times New Roman" w:hAnsi="Times New Roman" w:cs="Times New Roman"/>
          <w:sz w:val="26"/>
          <w:szCs w:val="26"/>
          <w:lang w:eastAsia="hu-HU"/>
        </w:rPr>
        <w:t>2025</w:t>
      </w:r>
      <w:r w:rsidR="002564C4">
        <w:rPr>
          <w:rFonts w:ascii="Times New Roman" w:hAnsi="Times New Roman" w:cs="Times New Roman"/>
          <w:sz w:val="26"/>
          <w:szCs w:val="26"/>
          <w:lang w:eastAsia="hu-HU"/>
        </w:rPr>
        <w:t> </w:t>
      </w:r>
      <w:r w:rsidRPr="002564C4">
        <w:rPr>
          <w:rFonts w:ascii="Times New Roman" w:hAnsi="Times New Roman" w:cs="Times New Roman"/>
          <w:sz w:val="26"/>
          <w:szCs w:val="26"/>
          <w:lang w:eastAsia="hu-HU"/>
        </w:rPr>
        <w:t>első</w:t>
      </w:r>
      <w:r w:rsidRPr="002564C4">
        <w:rPr>
          <w:rFonts w:ascii="Times New Roman" w:eastAsia="Times New Roman" w:hAnsi="Times New Roman" w:cs="Times New Roman"/>
          <w:color w:val="000000" w:themeColor="text1"/>
          <w:sz w:val="26"/>
          <w:szCs w:val="26"/>
          <w:lang w:eastAsia="hu-HU"/>
        </w:rPr>
        <w:t xml:space="preserve"> félévében – a 13. havi nyugdíjjal és ellátással együtt – nyugellátásokra és nyugdíjszerű ellátásokra összesen 3</w:t>
      </w:r>
      <w:r w:rsidR="00C03376">
        <w:rPr>
          <w:rFonts w:ascii="Times New Roman" w:eastAsia="Times New Roman" w:hAnsi="Times New Roman" w:cs="Times New Roman"/>
          <w:color w:val="000000" w:themeColor="text1"/>
          <w:sz w:val="26"/>
          <w:szCs w:val="26"/>
          <w:lang w:eastAsia="hu-HU"/>
        </w:rPr>
        <w:t> </w:t>
      </w:r>
      <w:r w:rsidRPr="002564C4">
        <w:rPr>
          <w:rFonts w:ascii="Times New Roman" w:eastAsia="Times New Roman" w:hAnsi="Times New Roman" w:cs="Times New Roman"/>
          <w:color w:val="000000" w:themeColor="text1"/>
          <w:sz w:val="26"/>
          <w:szCs w:val="26"/>
          <w:lang w:eastAsia="hu-HU"/>
        </w:rPr>
        <w:t>849,6 milliárd forint, míg gyógyító-megelőző ellátásokra 1</w:t>
      </w:r>
      <w:r w:rsidR="00C03376">
        <w:rPr>
          <w:rFonts w:ascii="Times New Roman" w:eastAsia="Times New Roman" w:hAnsi="Times New Roman" w:cs="Times New Roman"/>
          <w:color w:val="000000" w:themeColor="text1"/>
          <w:sz w:val="26"/>
          <w:szCs w:val="26"/>
          <w:lang w:eastAsia="hu-HU"/>
        </w:rPr>
        <w:t> </w:t>
      </w:r>
      <w:r w:rsidRPr="002564C4">
        <w:rPr>
          <w:rFonts w:ascii="Times New Roman" w:eastAsia="Times New Roman" w:hAnsi="Times New Roman" w:cs="Times New Roman"/>
          <w:color w:val="000000" w:themeColor="text1"/>
          <w:sz w:val="26"/>
          <w:szCs w:val="26"/>
          <w:lang w:eastAsia="hu-HU"/>
        </w:rPr>
        <w:t>494,5 milliárd forintot fizettek ki.</w:t>
      </w:r>
    </w:p>
    <w:p w14:paraId="60783A44" w14:textId="77777777" w:rsidR="00873644" w:rsidRPr="002564C4" w:rsidRDefault="00873644" w:rsidP="00873644">
      <w:pPr>
        <w:widowControl w:val="0"/>
        <w:jc w:val="both"/>
        <w:rPr>
          <w:rFonts w:ascii="Times New Roman" w:eastAsia="Times New Roman" w:hAnsi="Times New Roman" w:cs="Times New Roman"/>
          <w:color w:val="000000" w:themeColor="text1"/>
          <w:sz w:val="26"/>
          <w:szCs w:val="26"/>
          <w:lang w:eastAsia="hu-HU"/>
        </w:rPr>
      </w:pPr>
      <w:r w:rsidRPr="002564C4">
        <w:rPr>
          <w:rFonts w:ascii="Times New Roman" w:eastAsia="Times New Roman" w:hAnsi="Times New Roman" w:cs="Times New Roman"/>
          <w:color w:val="000000" w:themeColor="text1"/>
          <w:sz w:val="26"/>
          <w:szCs w:val="26"/>
          <w:lang w:eastAsia="hu-HU"/>
        </w:rPr>
        <w:t>Idén június hónapban a központi költségvetés 27,4 milliárd forint többlettel zárt, szemben az előző év június havi 107,8 milliárd forintos deficitjével.</w:t>
      </w:r>
    </w:p>
    <w:p w14:paraId="7D3CC063" w14:textId="0476AD67" w:rsidR="00EC00A2" w:rsidRPr="002564C4" w:rsidRDefault="00873644" w:rsidP="00873644">
      <w:pPr>
        <w:widowControl w:val="0"/>
        <w:jc w:val="both"/>
        <w:rPr>
          <w:rFonts w:ascii="Times New Roman" w:hAnsi="Times New Roman" w:cs="Times New Roman"/>
          <w:sz w:val="26"/>
          <w:szCs w:val="26"/>
        </w:rPr>
      </w:pPr>
      <w:r w:rsidRPr="002564C4">
        <w:rPr>
          <w:rFonts w:ascii="Times New Roman" w:eastAsia="Times New Roman" w:hAnsi="Times New Roman" w:cs="Times New Roman"/>
          <w:color w:val="000000" w:themeColor="text1"/>
          <w:sz w:val="26"/>
          <w:szCs w:val="26"/>
          <w:lang w:eastAsia="hu-HU"/>
        </w:rPr>
        <w:t>Az idei évi többlet alakulását befolyásolta, hogy mintegy 200 milliárd forint összegű osztalékbevétel érkezett a költségvetésbe, részben a Szerencsejáték Zrt-től, részben pedig a Corvinus Zrt-től. Ez utóbbi társaság befizetését a Budapest Airport Zrt-től elvont osztalék alapozta meg. Ezen túlmenően jelentős, 100,6 milliárd forint társasági adó befizetés érkezett idén júniusban, ami összefügg azzal, hogy a 2024. évi adóbefizetési határidő június 2-ra, hétfőre esett.</w:t>
      </w:r>
    </w:p>
    <w:p w14:paraId="686D9FB2" w14:textId="77777777" w:rsidR="00EC00A2" w:rsidRDefault="00EC00A2" w:rsidP="3782F5BA">
      <w:pPr>
        <w:widowControl w:val="0"/>
        <w:jc w:val="both"/>
        <w:rPr>
          <w:rFonts w:ascii="Times New Roman" w:hAnsi="Times New Roman" w:cs="Times New Roman"/>
          <w:sz w:val="26"/>
          <w:szCs w:val="26"/>
        </w:rPr>
      </w:pPr>
    </w:p>
    <w:p w14:paraId="7B768A0B" w14:textId="1A7D82D3" w:rsidR="005171E0" w:rsidRDefault="00920F4D" w:rsidP="66BD4B63">
      <w:pPr>
        <w:widowControl w:val="0"/>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873644">
        <w:rPr>
          <w:rFonts w:ascii="Times New Roman" w:eastAsia="Times New Roman" w:hAnsi="Times New Roman" w:cs="Times New Roman"/>
          <w:sz w:val="26"/>
          <w:szCs w:val="26"/>
          <w:lang w:eastAsia="hu-HU"/>
        </w:rPr>
        <w:t>június</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209"/>
        <w:gridCol w:w="1134"/>
        <w:gridCol w:w="1075"/>
        <w:gridCol w:w="1103"/>
        <w:gridCol w:w="1224"/>
        <w:gridCol w:w="1159"/>
        <w:gridCol w:w="1113"/>
      </w:tblGrid>
      <w:tr w:rsidR="00935118" w:rsidRPr="003D514A" w14:paraId="7C2CBF88" w14:textId="77777777" w:rsidTr="66BD4B63">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66BD4B63" w:rsidP="66BD4B63">
            <w:pPr>
              <w:keepNext/>
              <w:keepLines/>
              <w:rPr>
                <w:rFonts w:ascii="Times New Roman" w:hAnsi="Times New Roman" w:cs="Times New Roman"/>
                <w:sz w:val="20"/>
                <w:szCs w:val="20"/>
              </w:rPr>
            </w:pPr>
            <w:r w:rsidRPr="66BD4B63">
              <w:rPr>
                <w:rFonts w:ascii="Times New Roman" w:hAnsi="Times New Roman" w:cs="Times New Roman"/>
                <w:sz w:val="20"/>
                <w:szCs w:val="20"/>
              </w:rPr>
              <w:t> </w:t>
            </w:r>
          </w:p>
        </w:tc>
        <w:tc>
          <w:tcPr>
            <w:tcW w:w="120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b/>
                <w:bCs/>
                <w:sz w:val="20"/>
                <w:szCs w:val="20"/>
              </w:rPr>
              <w:t>2024. évi előzetes</w:t>
            </w:r>
            <w:r w:rsidR="30EDBFC2">
              <w:br/>
            </w:r>
            <w:r w:rsidRPr="66BD4B63">
              <w:rPr>
                <w:rFonts w:ascii="Times New Roman" w:hAnsi="Times New Roman" w:cs="Times New Roman"/>
                <w:b/>
                <w:bCs/>
                <w:sz w:val="20"/>
                <w:szCs w:val="20"/>
              </w:rPr>
              <w:t>tény</w:t>
            </w:r>
            <w:r w:rsidR="30EDBFC2">
              <w:br/>
            </w:r>
            <w:r w:rsidRPr="66BD4B63">
              <w:rPr>
                <w:rFonts w:ascii="Times New Roman" w:hAnsi="Times New Roman" w:cs="Times New Roman"/>
                <w:sz w:val="20"/>
                <w:szCs w:val="20"/>
              </w:rPr>
              <w:t>milliárd forintban</w:t>
            </w:r>
          </w:p>
          <w:p w14:paraId="36F5C342" w14:textId="76728DC5"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31946237"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b/>
                <w:bCs/>
                <w:sz w:val="20"/>
                <w:szCs w:val="20"/>
              </w:rPr>
              <w:t>2024. I-V</w:t>
            </w:r>
            <w:r w:rsidR="00873644">
              <w:rPr>
                <w:rFonts w:ascii="Times New Roman" w:hAnsi="Times New Roman" w:cs="Times New Roman"/>
                <w:b/>
                <w:bCs/>
                <w:sz w:val="20"/>
                <w:szCs w:val="20"/>
              </w:rPr>
              <w:t xml:space="preserve">I. </w:t>
            </w:r>
            <w:r w:rsidRPr="66BD4B63">
              <w:rPr>
                <w:rFonts w:ascii="Times New Roman" w:hAnsi="Times New Roman" w:cs="Times New Roman"/>
                <w:b/>
                <w:bCs/>
                <w:sz w:val="20"/>
                <w:szCs w:val="20"/>
              </w:rPr>
              <w:t>hó tény</w:t>
            </w:r>
            <w:r w:rsidR="30EDBFC2">
              <w:br/>
            </w:r>
            <w:r w:rsidRPr="66BD4B63">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éves előzetes tény=100%</w:t>
            </w:r>
            <w:r w:rsidR="30EDBFC2">
              <w:br/>
            </w:r>
            <w:r w:rsidRPr="66BD4B63">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b/>
                <w:bCs/>
                <w:sz w:val="20"/>
                <w:szCs w:val="20"/>
              </w:rPr>
              <w:t>2025. évi előirányzat</w:t>
            </w:r>
            <w:r w:rsidR="30EDBFC2">
              <w:br/>
            </w:r>
            <w:r w:rsidRPr="66BD4B63">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78232629" w:rsidR="00B6763B"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b/>
                <w:bCs/>
                <w:sz w:val="20"/>
                <w:szCs w:val="20"/>
              </w:rPr>
              <w:t>2025. I-V</w:t>
            </w:r>
            <w:r w:rsidR="00873644">
              <w:rPr>
                <w:rFonts w:ascii="Times New Roman" w:hAnsi="Times New Roman" w:cs="Times New Roman"/>
                <w:b/>
                <w:bCs/>
                <w:sz w:val="20"/>
                <w:szCs w:val="20"/>
              </w:rPr>
              <w:t>I.</w:t>
            </w:r>
            <w:r w:rsidRPr="66BD4B63">
              <w:rPr>
                <w:rFonts w:ascii="Times New Roman" w:hAnsi="Times New Roman" w:cs="Times New Roman"/>
                <w:b/>
                <w:bCs/>
                <w:sz w:val="20"/>
                <w:szCs w:val="20"/>
              </w:rPr>
              <w:t xml:space="preserve"> hó tény</w:t>
            </w:r>
            <w:r w:rsidR="30EDBFC2">
              <w:br/>
            </w:r>
            <w:r w:rsidRPr="66BD4B63">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előirányzat=</w:t>
            </w:r>
            <w:r w:rsidR="30EDBFC2">
              <w:br/>
            </w:r>
            <w:r w:rsidRPr="66BD4B63">
              <w:rPr>
                <w:rFonts w:ascii="Times New Roman" w:hAnsi="Times New Roman" w:cs="Times New Roman"/>
                <w:sz w:val="20"/>
                <w:szCs w:val="20"/>
              </w:rPr>
              <w:t>100%</w:t>
            </w:r>
            <w:r w:rsidR="30EDBFC2">
              <w:br/>
            </w:r>
            <w:r w:rsidRPr="66BD4B63">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66BD4B63" w:rsidP="66BD4B63">
            <w:pPr>
              <w:keepNext/>
              <w:keepLines/>
              <w:spacing w:after="0"/>
              <w:jc w:val="center"/>
              <w:rPr>
                <w:rFonts w:ascii="Times New Roman" w:hAnsi="Times New Roman" w:cs="Times New Roman"/>
                <w:sz w:val="20"/>
                <w:szCs w:val="20"/>
              </w:rPr>
            </w:pPr>
            <w:r w:rsidRPr="66BD4B63">
              <w:rPr>
                <w:rFonts w:ascii="Times New Roman" w:hAnsi="Times New Roman" w:cs="Times New Roman"/>
                <w:sz w:val="20"/>
                <w:szCs w:val="20"/>
              </w:rPr>
              <w:t>előző év=</w:t>
            </w:r>
            <w:r w:rsidR="30EDBFC2">
              <w:br/>
            </w:r>
            <w:r w:rsidRPr="66BD4B63">
              <w:rPr>
                <w:rFonts w:ascii="Times New Roman" w:hAnsi="Times New Roman" w:cs="Times New Roman"/>
                <w:sz w:val="20"/>
                <w:szCs w:val="20"/>
              </w:rPr>
              <w:t>100%</w:t>
            </w:r>
            <w:r w:rsidR="30EDBFC2">
              <w:br/>
            </w:r>
            <w:r w:rsidRPr="66BD4B63">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66BD4B63">
            <w:pPr>
              <w:keepNext/>
              <w:keepLines/>
              <w:spacing w:after="0"/>
              <w:jc w:val="center"/>
              <w:rPr>
                <w:rFonts w:ascii="Times New Roman" w:hAnsi="Times New Roman" w:cs="Times New Roman"/>
                <w:sz w:val="20"/>
                <w:szCs w:val="20"/>
              </w:rPr>
            </w:pPr>
            <w:r>
              <w:br/>
            </w:r>
            <w:r w:rsidR="66BD4B63" w:rsidRPr="66BD4B63">
              <w:rPr>
                <w:rFonts w:ascii="Times New Roman" w:hAnsi="Times New Roman" w:cs="Times New Roman"/>
                <w:sz w:val="20"/>
                <w:szCs w:val="20"/>
              </w:rPr>
              <w:t>(4/2)</w:t>
            </w:r>
          </w:p>
        </w:tc>
      </w:tr>
      <w:tr w:rsidR="00873644" w:rsidRPr="003D514A" w14:paraId="272C1797"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873644" w:rsidRPr="00602E3C" w:rsidRDefault="00873644" w:rsidP="00873644">
            <w:pPr>
              <w:keepNext/>
              <w:keepLines/>
              <w:spacing w:before="120" w:after="120"/>
              <w:rPr>
                <w:rFonts w:ascii="Times New Roman" w:hAnsi="Times New Roman" w:cs="Times New Roman"/>
                <w:b/>
                <w:bCs/>
                <w:sz w:val="20"/>
                <w:szCs w:val="20"/>
              </w:rPr>
            </w:pPr>
            <w:r w:rsidRPr="66BD4B63">
              <w:rPr>
                <w:rFonts w:ascii="Times New Roman" w:hAnsi="Times New Roman" w:cs="Times New Roman"/>
                <w:b/>
                <w:bCs/>
                <w:sz w:val="20"/>
                <w:szCs w:val="20"/>
              </w:rPr>
              <w:t>Központi költségvetés egyenlege</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660F75EF"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-4 003,9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AA4960" w14:textId="1067F2D3"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rPr>
              <w:t>-2 640,1</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3A739D1C"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65,9</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5BA75AE6"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2AF65C14"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-2 727,</w:t>
            </w:r>
            <w:r>
              <w:rPr>
                <w:rFonts w:ascii="Garamond" w:hAnsi="Garamond"/>
                <w:b/>
                <w:bCs/>
                <w:szCs w:val="20"/>
              </w:rPr>
              <w:t>6</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0A37FBEF"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64,8</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4F7F180A"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103,3</w:t>
            </w:r>
          </w:p>
        </w:tc>
      </w:tr>
      <w:tr w:rsidR="00873644" w:rsidRPr="003D514A" w14:paraId="43DB1C6B"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013BE1E" w14:textId="391594BB"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26 655,6</w:t>
            </w:r>
          </w:p>
        </w:tc>
        <w:tc>
          <w:tcPr>
            <w:tcW w:w="1134" w:type="dxa"/>
            <w:tcBorders>
              <w:top w:val="nil"/>
              <w:left w:val="nil"/>
              <w:bottom w:val="single" w:sz="4" w:space="0" w:color="auto"/>
              <w:right w:val="single" w:sz="4" w:space="0" w:color="auto"/>
            </w:tcBorders>
            <w:shd w:val="clear" w:color="auto" w:fill="auto"/>
            <w:noWrap/>
            <w:vAlign w:val="center"/>
          </w:tcPr>
          <w:p w14:paraId="00714DA8" w14:textId="36EDED9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13 002,1</w:t>
            </w:r>
          </w:p>
        </w:tc>
        <w:tc>
          <w:tcPr>
            <w:tcW w:w="1075" w:type="dxa"/>
            <w:tcBorders>
              <w:top w:val="nil"/>
              <w:left w:val="nil"/>
              <w:bottom w:val="single" w:sz="4" w:space="0" w:color="auto"/>
              <w:right w:val="single" w:sz="4" w:space="0" w:color="auto"/>
            </w:tcBorders>
            <w:shd w:val="clear" w:color="auto" w:fill="auto"/>
            <w:noWrap/>
            <w:vAlign w:val="center"/>
          </w:tcPr>
          <w:p w14:paraId="15BCE7D2" w14:textId="0041096C"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48,8</w:t>
            </w:r>
          </w:p>
        </w:tc>
        <w:tc>
          <w:tcPr>
            <w:tcW w:w="1103" w:type="dxa"/>
            <w:tcBorders>
              <w:top w:val="nil"/>
              <w:left w:val="nil"/>
              <w:bottom w:val="single" w:sz="4" w:space="0" w:color="auto"/>
              <w:right w:val="single" w:sz="4" w:space="0" w:color="auto"/>
            </w:tcBorders>
            <w:shd w:val="clear" w:color="auto" w:fill="auto"/>
            <w:noWrap/>
            <w:vAlign w:val="center"/>
          </w:tcPr>
          <w:p w14:paraId="0B162934" w14:textId="2A0A1843"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314117AB"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13 407,</w:t>
            </w:r>
            <w:r>
              <w:rPr>
                <w:rFonts w:ascii="Garamond" w:hAnsi="Garamond"/>
                <w:szCs w:val="20"/>
              </w:rPr>
              <w:t>6</w:t>
            </w:r>
          </w:p>
        </w:tc>
        <w:tc>
          <w:tcPr>
            <w:tcW w:w="1159" w:type="dxa"/>
            <w:tcBorders>
              <w:top w:val="nil"/>
              <w:left w:val="nil"/>
              <w:bottom w:val="single" w:sz="4" w:space="0" w:color="auto"/>
              <w:right w:val="single" w:sz="4" w:space="0" w:color="auto"/>
            </w:tcBorders>
            <w:shd w:val="clear" w:color="auto" w:fill="auto"/>
            <w:noWrap/>
            <w:vAlign w:val="center"/>
          </w:tcPr>
          <w:p w14:paraId="229A1E05" w14:textId="0CE224F6"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50,4</w:t>
            </w:r>
          </w:p>
        </w:tc>
        <w:tc>
          <w:tcPr>
            <w:tcW w:w="1113" w:type="dxa"/>
            <w:tcBorders>
              <w:top w:val="nil"/>
              <w:left w:val="nil"/>
              <w:bottom w:val="single" w:sz="4" w:space="0" w:color="auto"/>
              <w:right w:val="single" w:sz="4" w:space="0" w:color="auto"/>
            </w:tcBorders>
            <w:shd w:val="clear" w:color="auto" w:fill="auto"/>
            <w:noWrap/>
            <w:vAlign w:val="center"/>
          </w:tcPr>
          <w:p w14:paraId="0D7E5DA4" w14:textId="484BA623"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103,1</w:t>
            </w:r>
          </w:p>
        </w:tc>
      </w:tr>
      <w:tr w:rsidR="00873644" w:rsidRPr="003D514A" w14:paraId="576245F4"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2B82BDD4" w14:textId="1799E2DD"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30 659,5</w:t>
            </w:r>
          </w:p>
        </w:tc>
        <w:tc>
          <w:tcPr>
            <w:tcW w:w="1134" w:type="dxa"/>
            <w:tcBorders>
              <w:top w:val="nil"/>
              <w:left w:val="nil"/>
              <w:bottom w:val="single" w:sz="4" w:space="0" w:color="auto"/>
              <w:right w:val="single" w:sz="4" w:space="0" w:color="auto"/>
            </w:tcBorders>
            <w:shd w:val="clear" w:color="auto" w:fill="auto"/>
            <w:noWrap/>
            <w:vAlign w:val="center"/>
          </w:tcPr>
          <w:p w14:paraId="51B92D54" w14:textId="0B6FD345"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15 642,2</w:t>
            </w:r>
          </w:p>
        </w:tc>
        <w:tc>
          <w:tcPr>
            <w:tcW w:w="1075" w:type="dxa"/>
            <w:tcBorders>
              <w:top w:val="nil"/>
              <w:left w:val="nil"/>
              <w:bottom w:val="single" w:sz="4" w:space="0" w:color="auto"/>
              <w:right w:val="single" w:sz="4" w:space="0" w:color="auto"/>
            </w:tcBorders>
            <w:shd w:val="clear" w:color="auto" w:fill="auto"/>
            <w:noWrap/>
            <w:vAlign w:val="center"/>
          </w:tcPr>
          <w:p w14:paraId="480CDC03" w14:textId="57811149"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51,0</w:t>
            </w:r>
          </w:p>
        </w:tc>
        <w:tc>
          <w:tcPr>
            <w:tcW w:w="1103" w:type="dxa"/>
            <w:tcBorders>
              <w:top w:val="nil"/>
              <w:left w:val="nil"/>
              <w:bottom w:val="single" w:sz="4" w:space="0" w:color="auto"/>
              <w:right w:val="single" w:sz="4" w:space="0" w:color="auto"/>
            </w:tcBorders>
            <w:shd w:val="clear" w:color="auto" w:fill="auto"/>
            <w:noWrap/>
            <w:vAlign w:val="center"/>
          </w:tcPr>
          <w:p w14:paraId="30613988" w14:textId="26B86071"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03ECE02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16 135,2</w:t>
            </w:r>
          </w:p>
        </w:tc>
        <w:tc>
          <w:tcPr>
            <w:tcW w:w="1159" w:type="dxa"/>
            <w:tcBorders>
              <w:top w:val="nil"/>
              <w:left w:val="nil"/>
              <w:bottom w:val="single" w:sz="4" w:space="0" w:color="auto"/>
              <w:right w:val="single" w:sz="4" w:space="0" w:color="auto"/>
            </w:tcBorders>
            <w:shd w:val="clear" w:color="auto" w:fill="auto"/>
            <w:noWrap/>
            <w:vAlign w:val="center"/>
          </w:tcPr>
          <w:p w14:paraId="2AF744DE" w14:textId="6FFB9CA9"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52,3</w:t>
            </w:r>
          </w:p>
        </w:tc>
        <w:tc>
          <w:tcPr>
            <w:tcW w:w="1113" w:type="dxa"/>
            <w:tcBorders>
              <w:top w:val="nil"/>
              <w:left w:val="nil"/>
              <w:bottom w:val="single" w:sz="4" w:space="0" w:color="auto"/>
              <w:right w:val="single" w:sz="4" w:space="0" w:color="auto"/>
            </w:tcBorders>
            <w:shd w:val="clear" w:color="auto" w:fill="auto"/>
            <w:noWrap/>
            <w:vAlign w:val="center"/>
          </w:tcPr>
          <w:p w14:paraId="6B19C9DE" w14:textId="36F3D22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103,2</w:t>
            </w:r>
          </w:p>
        </w:tc>
      </w:tr>
      <w:tr w:rsidR="00873644" w:rsidRPr="003D514A" w14:paraId="5D1AF47D"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873644" w:rsidRPr="00602E3C" w:rsidRDefault="00873644" w:rsidP="00873644">
            <w:pPr>
              <w:keepNext/>
              <w:keepLines/>
              <w:spacing w:before="120" w:after="120"/>
              <w:rPr>
                <w:rFonts w:ascii="Times New Roman" w:hAnsi="Times New Roman" w:cs="Times New Roman"/>
                <w:b/>
                <w:bCs/>
                <w:sz w:val="20"/>
                <w:szCs w:val="20"/>
              </w:rPr>
            </w:pPr>
            <w:r w:rsidRPr="66BD4B63">
              <w:rPr>
                <w:rFonts w:ascii="Times New Roman" w:hAnsi="Times New Roman" w:cs="Times New Roman"/>
                <w:b/>
                <w:bCs/>
                <w:sz w:val="20"/>
                <w:szCs w:val="20"/>
              </w:rPr>
              <w:t>Elkülönített állami pénzalapok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77E1D897" w14:textId="34804075"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138,2</w:t>
            </w:r>
          </w:p>
        </w:tc>
        <w:tc>
          <w:tcPr>
            <w:tcW w:w="1134" w:type="dxa"/>
            <w:tcBorders>
              <w:top w:val="nil"/>
              <w:left w:val="nil"/>
              <w:bottom w:val="single" w:sz="4" w:space="0" w:color="auto"/>
              <w:right w:val="single" w:sz="4" w:space="0" w:color="auto"/>
            </w:tcBorders>
            <w:shd w:val="clear" w:color="auto" w:fill="auto"/>
            <w:noWrap/>
            <w:vAlign w:val="center"/>
          </w:tcPr>
          <w:p w14:paraId="2E3F1C5B" w14:textId="1D6015A3"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rPr>
              <w:t>145,6</w:t>
            </w:r>
          </w:p>
        </w:tc>
        <w:tc>
          <w:tcPr>
            <w:tcW w:w="1075" w:type="dxa"/>
            <w:tcBorders>
              <w:top w:val="nil"/>
              <w:left w:val="nil"/>
              <w:bottom w:val="single" w:sz="4" w:space="0" w:color="auto"/>
              <w:right w:val="single" w:sz="4" w:space="0" w:color="auto"/>
            </w:tcBorders>
            <w:shd w:val="clear" w:color="auto" w:fill="auto"/>
            <w:noWrap/>
            <w:vAlign w:val="center"/>
          </w:tcPr>
          <w:p w14:paraId="462FA081" w14:textId="28AB2E91"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105,4</w:t>
            </w:r>
          </w:p>
        </w:tc>
        <w:tc>
          <w:tcPr>
            <w:tcW w:w="1103" w:type="dxa"/>
            <w:tcBorders>
              <w:top w:val="nil"/>
              <w:left w:val="nil"/>
              <w:bottom w:val="single" w:sz="4" w:space="0" w:color="auto"/>
              <w:right w:val="single" w:sz="4" w:space="0" w:color="auto"/>
            </w:tcBorders>
            <w:shd w:val="clear" w:color="auto" w:fill="auto"/>
            <w:noWrap/>
            <w:vAlign w:val="center"/>
          </w:tcPr>
          <w:p w14:paraId="2C2D5FB6" w14:textId="34C15848"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4320E115"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7</w:t>
            </w:r>
            <w:r>
              <w:rPr>
                <w:rFonts w:ascii="Garamond" w:hAnsi="Garamond"/>
                <w:b/>
                <w:bCs/>
                <w:szCs w:val="20"/>
              </w:rPr>
              <w:t>2,9</w:t>
            </w:r>
          </w:p>
        </w:tc>
        <w:tc>
          <w:tcPr>
            <w:tcW w:w="1159" w:type="dxa"/>
            <w:tcBorders>
              <w:top w:val="nil"/>
              <w:left w:val="nil"/>
              <w:bottom w:val="single" w:sz="4" w:space="0" w:color="auto"/>
              <w:right w:val="single" w:sz="4" w:space="0" w:color="auto"/>
            </w:tcBorders>
            <w:shd w:val="clear" w:color="auto" w:fill="auto"/>
            <w:noWrap/>
            <w:vAlign w:val="center"/>
          </w:tcPr>
          <w:p w14:paraId="7D3E2161" w14:textId="27EA2DF6"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8</w:t>
            </w:r>
            <w:r>
              <w:rPr>
                <w:rFonts w:ascii="Garamond" w:hAnsi="Garamond"/>
                <w:szCs w:val="20"/>
              </w:rPr>
              <w:t>2,4</w:t>
            </w:r>
          </w:p>
        </w:tc>
        <w:tc>
          <w:tcPr>
            <w:tcW w:w="1113" w:type="dxa"/>
            <w:tcBorders>
              <w:top w:val="nil"/>
              <w:left w:val="nil"/>
              <w:bottom w:val="single" w:sz="4" w:space="0" w:color="auto"/>
              <w:right w:val="single" w:sz="4" w:space="0" w:color="auto"/>
            </w:tcBorders>
            <w:shd w:val="clear" w:color="auto" w:fill="auto"/>
            <w:noWrap/>
            <w:vAlign w:val="center"/>
          </w:tcPr>
          <w:p w14:paraId="53938325" w14:textId="25A78981"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50,1</w:t>
            </w:r>
          </w:p>
        </w:tc>
      </w:tr>
      <w:tr w:rsidR="00873644" w:rsidRPr="003D514A" w14:paraId="28F7F28C"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162C4C7" w14:textId="3073BF12"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856,5</w:t>
            </w:r>
          </w:p>
        </w:tc>
        <w:tc>
          <w:tcPr>
            <w:tcW w:w="1134" w:type="dxa"/>
            <w:tcBorders>
              <w:top w:val="nil"/>
              <w:left w:val="nil"/>
              <w:bottom w:val="single" w:sz="4" w:space="0" w:color="auto"/>
              <w:right w:val="single" w:sz="4" w:space="0" w:color="auto"/>
            </w:tcBorders>
            <w:shd w:val="clear" w:color="auto" w:fill="auto"/>
            <w:noWrap/>
            <w:vAlign w:val="center"/>
          </w:tcPr>
          <w:p w14:paraId="3523D3FF" w14:textId="3ACF978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451,8</w:t>
            </w:r>
          </w:p>
        </w:tc>
        <w:tc>
          <w:tcPr>
            <w:tcW w:w="1075" w:type="dxa"/>
            <w:tcBorders>
              <w:top w:val="nil"/>
              <w:left w:val="nil"/>
              <w:bottom w:val="single" w:sz="4" w:space="0" w:color="auto"/>
              <w:right w:val="single" w:sz="4" w:space="0" w:color="auto"/>
            </w:tcBorders>
            <w:shd w:val="clear" w:color="auto" w:fill="auto"/>
            <w:noWrap/>
            <w:vAlign w:val="center"/>
          </w:tcPr>
          <w:p w14:paraId="3A889EFA" w14:textId="1D74CF35"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52,7</w:t>
            </w:r>
          </w:p>
        </w:tc>
        <w:tc>
          <w:tcPr>
            <w:tcW w:w="1103" w:type="dxa"/>
            <w:tcBorders>
              <w:top w:val="nil"/>
              <w:left w:val="nil"/>
              <w:bottom w:val="single" w:sz="4" w:space="0" w:color="auto"/>
              <w:right w:val="single" w:sz="4" w:space="0" w:color="auto"/>
            </w:tcBorders>
            <w:shd w:val="clear" w:color="auto" w:fill="auto"/>
            <w:noWrap/>
            <w:vAlign w:val="center"/>
          </w:tcPr>
          <w:p w14:paraId="26479F49" w14:textId="51A3A5E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37443E20"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420,</w:t>
            </w:r>
            <w:r>
              <w:rPr>
                <w:rFonts w:ascii="Garamond" w:hAnsi="Garamond"/>
                <w:szCs w:val="20"/>
              </w:rPr>
              <w:t>2</w:t>
            </w:r>
          </w:p>
        </w:tc>
        <w:tc>
          <w:tcPr>
            <w:tcW w:w="1159" w:type="dxa"/>
            <w:tcBorders>
              <w:top w:val="nil"/>
              <w:left w:val="nil"/>
              <w:bottom w:val="single" w:sz="4" w:space="0" w:color="auto"/>
              <w:right w:val="single" w:sz="4" w:space="0" w:color="auto"/>
            </w:tcBorders>
            <w:shd w:val="clear" w:color="auto" w:fill="auto"/>
            <w:noWrap/>
            <w:vAlign w:val="center"/>
          </w:tcPr>
          <w:p w14:paraId="0543AEAF" w14:textId="15499DF6"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49,7</w:t>
            </w:r>
          </w:p>
        </w:tc>
        <w:tc>
          <w:tcPr>
            <w:tcW w:w="1113" w:type="dxa"/>
            <w:tcBorders>
              <w:top w:val="nil"/>
              <w:left w:val="nil"/>
              <w:bottom w:val="single" w:sz="4" w:space="0" w:color="auto"/>
              <w:right w:val="single" w:sz="4" w:space="0" w:color="auto"/>
            </w:tcBorders>
            <w:shd w:val="clear" w:color="auto" w:fill="auto"/>
            <w:noWrap/>
            <w:vAlign w:val="center"/>
          </w:tcPr>
          <w:p w14:paraId="109115A4" w14:textId="0A15C737"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93,0</w:t>
            </w:r>
          </w:p>
        </w:tc>
      </w:tr>
      <w:tr w:rsidR="00873644" w:rsidRPr="00190176" w14:paraId="1E40C612"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DBFFE8F" w14:textId="03D4F994"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718,3</w:t>
            </w:r>
          </w:p>
        </w:tc>
        <w:tc>
          <w:tcPr>
            <w:tcW w:w="1134" w:type="dxa"/>
            <w:tcBorders>
              <w:top w:val="nil"/>
              <w:left w:val="nil"/>
              <w:bottom w:val="single" w:sz="4" w:space="0" w:color="auto"/>
              <w:right w:val="single" w:sz="4" w:space="0" w:color="auto"/>
            </w:tcBorders>
            <w:shd w:val="clear" w:color="auto" w:fill="auto"/>
            <w:noWrap/>
            <w:vAlign w:val="center"/>
          </w:tcPr>
          <w:p w14:paraId="09959044" w14:textId="29C9DEF8"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306,2</w:t>
            </w:r>
          </w:p>
        </w:tc>
        <w:tc>
          <w:tcPr>
            <w:tcW w:w="1075" w:type="dxa"/>
            <w:tcBorders>
              <w:top w:val="nil"/>
              <w:left w:val="nil"/>
              <w:bottom w:val="single" w:sz="4" w:space="0" w:color="auto"/>
              <w:right w:val="single" w:sz="4" w:space="0" w:color="auto"/>
            </w:tcBorders>
            <w:shd w:val="clear" w:color="auto" w:fill="auto"/>
            <w:noWrap/>
            <w:vAlign w:val="center"/>
          </w:tcPr>
          <w:p w14:paraId="49CC2BC9" w14:textId="60D032FA"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 xml:space="preserve">42,6 </w:t>
            </w:r>
          </w:p>
        </w:tc>
        <w:tc>
          <w:tcPr>
            <w:tcW w:w="1103" w:type="dxa"/>
            <w:tcBorders>
              <w:top w:val="nil"/>
              <w:left w:val="nil"/>
              <w:bottom w:val="single" w:sz="4" w:space="0" w:color="auto"/>
              <w:right w:val="single" w:sz="4" w:space="0" w:color="auto"/>
            </w:tcBorders>
            <w:shd w:val="clear" w:color="auto" w:fill="auto"/>
            <w:noWrap/>
            <w:vAlign w:val="center"/>
          </w:tcPr>
          <w:p w14:paraId="38B8A8DE" w14:textId="7C7D423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358D19B2"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347,3</w:t>
            </w:r>
          </w:p>
        </w:tc>
        <w:tc>
          <w:tcPr>
            <w:tcW w:w="1159" w:type="dxa"/>
            <w:tcBorders>
              <w:top w:val="nil"/>
              <w:left w:val="nil"/>
              <w:bottom w:val="single" w:sz="4" w:space="0" w:color="auto"/>
              <w:right w:val="single" w:sz="4" w:space="0" w:color="auto"/>
            </w:tcBorders>
            <w:shd w:val="clear" w:color="auto" w:fill="auto"/>
            <w:noWrap/>
            <w:vAlign w:val="center"/>
          </w:tcPr>
          <w:p w14:paraId="087519CB" w14:textId="35DF670D"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45,9</w:t>
            </w:r>
          </w:p>
        </w:tc>
        <w:tc>
          <w:tcPr>
            <w:tcW w:w="1113" w:type="dxa"/>
            <w:tcBorders>
              <w:top w:val="nil"/>
              <w:left w:val="nil"/>
              <w:bottom w:val="single" w:sz="4" w:space="0" w:color="auto"/>
              <w:right w:val="single" w:sz="4" w:space="0" w:color="auto"/>
            </w:tcBorders>
            <w:shd w:val="clear" w:color="auto" w:fill="auto"/>
            <w:noWrap/>
            <w:vAlign w:val="center"/>
          </w:tcPr>
          <w:p w14:paraId="0F6B30EE" w14:textId="35FE2F4B"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113,4</w:t>
            </w:r>
          </w:p>
        </w:tc>
      </w:tr>
      <w:tr w:rsidR="00873644" w:rsidRPr="003D514A" w14:paraId="76328518"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873644" w:rsidRPr="00602E3C" w:rsidRDefault="00873644" w:rsidP="00873644">
            <w:pPr>
              <w:keepNext/>
              <w:keepLines/>
              <w:spacing w:before="120" w:after="120"/>
              <w:rPr>
                <w:rFonts w:ascii="Times New Roman" w:hAnsi="Times New Roman" w:cs="Times New Roman"/>
                <w:b/>
                <w:bCs/>
                <w:sz w:val="20"/>
                <w:szCs w:val="20"/>
              </w:rPr>
            </w:pPr>
            <w:r w:rsidRPr="66BD4B63">
              <w:rPr>
                <w:rFonts w:ascii="Times New Roman" w:hAnsi="Times New Roman" w:cs="Times New Roman"/>
                <w:b/>
                <w:bCs/>
                <w:sz w:val="20"/>
                <w:szCs w:val="20"/>
              </w:rPr>
              <w:t>Társadalombiztosítás pénzügyi alapjainak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09EEFFCC" w14:textId="2552363A"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-230,1</w:t>
            </w:r>
          </w:p>
        </w:tc>
        <w:tc>
          <w:tcPr>
            <w:tcW w:w="1134" w:type="dxa"/>
            <w:tcBorders>
              <w:top w:val="nil"/>
              <w:left w:val="nil"/>
              <w:bottom w:val="single" w:sz="4" w:space="0" w:color="auto"/>
              <w:right w:val="single" w:sz="4" w:space="0" w:color="auto"/>
            </w:tcBorders>
            <w:shd w:val="clear" w:color="auto" w:fill="auto"/>
            <w:noWrap/>
            <w:vAlign w:val="center"/>
          </w:tcPr>
          <w:p w14:paraId="30D7DC00" w14:textId="6903FCB3"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rPr>
              <w:t>-161,9</w:t>
            </w:r>
          </w:p>
        </w:tc>
        <w:tc>
          <w:tcPr>
            <w:tcW w:w="1075" w:type="dxa"/>
            <w:tcBorders>
              <w:top w:val="nil"/>
              <w:left w:val="nil"/>
              <w:bottom w:val="single" w:sz="4" w:space="0" w:color="auto"/>
              <w:right w:val="single" w:sz="4" w:space="0" w:color="auto"/>
            </w:tcBorders>
            <w:shd w:val="clear" w:color="auto" w:fill="auto"/>
            <w:noWrap/>
            <w:vAlign w:val="center"/>
          </w:tcPr>
          <w:p w14:paraId="641FA9E4" w14:textId="4A0977BF"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70,4</w:t>
            </w:r>
          </w:p>
        </w:tc>
        <w:tc>
          <w:tcPr>
            <w:tcW w:w="1103" w:type="dxa"/>
            <w:tcBorders>
              <w:top w:val="nil"/>
              <w:left w:val="nil"/>
              <w:bottom w:val="single" w:sz="4" w:space="0" w:color="auto"/>
              <w:right w:val="single" w:sz="4" w:space="0" w:color="auto"/>
            </w:tcBorders>
            <w:shd w:val="clear" w:color="auto" w:fill="auto"/>
            <w:noWrap/>
            <w:vAlign w:val="center"/>
          </w:tcPr>
          <w:p w14:paraId="2DC56B04" w14:textId="066BFD82"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0,0</w:t>
            </w:r>
          </w:p>
        </w:tc>
        <w:tc>
          <w:tcPr>
            <w:tcW w:w="1224" w:type="dxa"/>
            <w:tcBorders>
              <w:top w:val="nil"/>
              <w:left w:val="nil"/>
              <w:bottom w:val="single" w:sz="4" w:space="0" w:color="auto"/>
              <w:right w:val="single" w:sz="4" w:space="0" w:color="auto"/>
            </w:tcBorders>
            <w:shd w:val="clear" w:color="auto" w:fill="auto"/>
            <w:noWrap/>
            <w:vAlign w:val="center"/>
          </w:tcPr>
          <w:p w14:paraId="09A75478" w14:textId="43A3ED0C"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-118,9</w:t>
            </w:r>
          </w:p>
        </w:tc>
        <w:tc>
          <w:tcPr>
            <w:tcW w:w="1159" w:type="dxa"/>
            <w:tcBorders>
              <w:top w:val="nil"/>
              <w:left w:val="nil"/>
              <w:bottom w:val="single" w:sz="4" w:space="0" w:color="auto"/>
              <w:right w:val="single" w:sz="4" w:space="0" w:color="auto"/>
            </w:tcBorders>
            <w:shd w:val="clear" w:color="auto" w:fill="auto"/>
            <w:noWrap/>
            <w:vAlign w:val="center"/>
          </w:tcPr>
          <w:p w14:paraId="7360352A" w14:textId="0F82672B"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185510B4"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73,4</w:t>
            </w:r>
          </w:p>
        </w:tc>
      </w:tr>
      <w:tr w:rsidR="00873644" w:rsidRPr="003D514A" w14:paraId="019242A3"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7CEA0A8" w14:textId="35822DC2"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10 526,1</w:t>
            </w:r>
          </w:p>
        </w:tc>
        <w:tc>
          <w:tcPr>
            <w:tcW w:w="1134" w:type="dxa"/>
            <w:tcBorders>
              <w:top w:val="nil"/>
              <w:left w:val="nil"/>
              <w:bottom w:val="single" w:sz="4" w:space="0" w:color="auto"/>
              <w:right w:val="single" w:sz="4" w:space="0" w:color="auto"/>
            </w:tcBorders>
            <w:shd w:val="clear" w:color="auto" w:fill="auto"/>
            <w:noWrap/>
            <w:vAlign w:val="center"/>
          </w:tcPr>
          <w:p w14:paraId="0CF62633" w14:textId="6342EC2D"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5 443,5</w:t>
            </w:r>
          </w:p>
        </w:tc>
        <w:tc>
          <w:tcPr>
            <w:tcW w:w="1075" w:type="dxa"/>
            <w:tcBorders>
              <w:top w:val="nil"/>
              <w:left w:val="nil"/>
              <w:bottom w:val="single" w:sz="4" w:space="0" w:color="auto"/>
              <w:right w:val="single" w:sz="4" w:space="0" w:color="auto"/>
            </w:tcBorders>
            <w:shd w:val="clear" w:color="auto" w:fill="auto"/>
            <w:noWrap/>
            <w:vAlign w:val="center"/>
          </w:tcPr>
          <w:p w14:paraId="5A242BD9" w14:textId="45C024A7"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51,7</w:t>
            </w:r>
          </w:p>
        </w:tc>
        <w:tc>
          <w:tcPr>
            <w:tcW w:w="1103" w:type="dxa"/>
            <w:tcBorders>
              <w:top w:val="nil"/>
              <w:left w:val="nil"/>
              <w:bottom w:val="single" w:sz="4" w:space="0" w:color="auto"/>
              <w:right w:val="single" w:sz="4" w:space="0" w:color="auto"/>
            </w:tcBorders>
            <w:shd w:val="clear" w:color="auto" w:fill="auto"/>
            <w:noWrap/>
            <w:vAlign w:val="center"/>
          </w:tcPr>
          <w:p w14:paraId="38B2FBF3" w14:textId="11455465"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7FC5FC88"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5 858,4</w:t>
            </w:r>
          </w:p>
        </w:tc>
        <w:tc>
          <w:tcPr>
            <w:tcW w:w="1159" w:type="dxa"/>
            <w:tcBorders>
              <w:top w:val="nil"/>
              <w:left w:val="nil"/>
              <w:bottom w:val="single" w:sz="4" w:space="0" w:color="auto"/>
              <w:right w:val="single" w:sz="4" w:space="0" w:color="auto"/>
            </w:tcBorders>
            <w:shd w:val="clear" w:color="auto" w:fill="auto"/>
            <w:noWrap/>
            <w:vAlign w:val="center"/>
          </w:tcPr>
          <w:p w14:paraId="36A63170" w14:textId="6C2F0B28"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52,0</w:t>
            </w:r>
          </w:p>
        </w:tc>
        <w:tc>
          <w:tcPr>
            <w:tcW w:w="1113" w:type="dxa"/>
            <w:tcBorders>
              <w:top w:val="nil"/>
              <w:left w:val="nil"/>
              <w:bottom w:val="single" w:sz="4" w:space="0" w:color="auto"/>
              <w:right w:val="single" w:sz="4" w:space="0" w:color="auto"/>
            </w:tcBorders>
            <w:shd w:val="clear" w:color="auto" w:fill="auto"/>
            <w:noWrap/>
            <w:vAlign w:val="center"/>
          </w:tcPr>
          <w:p w14:paraId="20C35B4C" w14:textId="238FC9F2"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107,6</w:t>
            </w:r>
          </w:p>
        </w:tc>
      </w:tr>
      <w:tr w:rsidR="00873644" w:rsidRPr="003D514A" w14:paraId="57754C66"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6EE84A7D" w14:textId="4D7CDB9C"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10 756,2</w:t>
            </w:r>
          </w:p>
        </w:tc>
        <w:tc>
          <w:tcPr>
            <w:tcW w:w="1134" w:type="dxa"/>
            <w:tcBorders>
              <w:top w:val="nil"/>
              <w:left w:val="nil"/>
              <w:bottom w:val="single" w:sz="4" w:space="0" w:color="auto"/>
              <w:right w:val="single" w:sz="4" w:space="0" w:color="auto"/>
            </w:tcBorders>
            <w:shd w:val="clear" w:color="auto" w:fill="auto"/>
            <w:noWrap/>
            <w:vAlign w:val="center"/>
          </w:tcPr>
          <w:p w14:paraId="607E92BF" w14:textId="4023E934"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5 605,4</w:t>
            </w:r>
          </w:p>
        </w:tc>
        <w:tc>
          <w:tcPr>
            <w:tcW w:w="1075" w:type="dxa"/>
            <w:tcBorders>
              <w:top w:val="nil"/>
              <w:left w:val="nil"/>
              <w:bottom w:val="single" w:sz="4" w:space="0" w:color="auto"/>
              <w:right w:val="single" w:sz="4" w:space="0" w:color="auto"/>
            </w:tcBorders>
            <w:shd w:val="clear" w:color="auto" w:fill="auto"/>
            <w:noWrap/>
            <w:vAlign w:val="center"/>
          </w:tcPr>
          <w:p w14:paraId="72D0949B" w14:textId="38907899"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52,1</w:t>
            </w:r>
          </w:p>
        </w:tc>
        <w:tc>
          <w:tcPr>
            <w:tcW w:w="1103" w:type="dxa"/>
            <w:tcBorders>
              <w:top w:val="nil"/>
              <w:left w:val="nil"/>
              <w:bottom w:val="single" w:sz="4" w:space="0" w:color="auto"/>
              <w:right w:val="single" w:sz="4" w:space="0" w:color="auto"/>
            </w:tcBorders>
            <w:shd w:val="clear" w:color="auto" w:fill="auto"/>
            <w:noWrap/>
            <w:vAlign w:val="center"/>
          </w:tcPr>
          <w:p w14:paraId="46E1FBBD" w14:textId="5EB57A89"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4CBFA53A"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5 977,3</w:t>
            </w:r>
          </w:p>
        </w:tc>
        <w:tc>
          <w:tcPr>
            <w:tcW w:w="1159" w:type="dxa"/>
            <w:tcBorders>
              <w:top w:val="nil"/>
              <w:left w:val="nil"/>
              <w:bottom w:val="single" w:sz="4" w:space="0" w:color="auto"/>
              <w:right w:val="single" w:sz="4" w:space="0" w:color="auto"/>
            </w:tcBorders>
            <w:shd w:val="clear" w:color="auto" w:fill="auto"/>
            <w:noWrap/>
            <w:vAlign w:val="center"/>
          </w:tcPr>
          <w:p w14:paraId="58C18A84" w14:textId="7D0DBF3B"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53,1</w:t>
            </w:r>
          </w:p>
        </w:tc>
        <w:tc>
          <w:tcPr>
            <w:tcW w:w="1113" w:type="dxa"/>
            <w:tcBorders>
              <w:top w:val="nil"/>
              <w:left w:val="nil"/>
              <w:bottom w:val="single" w:sz="4" w:space="0" w:color="auto"/>
              <w:right w:val="single" w:sz="4" w:space="0" w:color="auto"/>
            </w:tcBorders>
            <w:shd w:val="clear" w:color="auto" w:fill="auto"/>
            <w:noWrap/>
            <w:vAlign w:val="center"/>
          </w:tcPr>
          <w:p w14:paraId="13EBC871" w14:textId="041A7001" w:rsidR="00873644" w:rsidRPr="007007A3" w:rsidRDefault="00873644" w:rsidP="00873644">
            <w:pPr>
              <w:spacing w:before="120" w:after="120"/>
              <w:jc w:val="right"/>
              <w:rPr>
                <w:rFonts w:ascii="Times New Roman" w:hAnsi="Times New Roman" w:cs="Times New Roman"/>
                <w:sz w:val="20"/>
                <w:szCs w:val="20"/>
              </w:rPr>
            </w:pPr>
            <w:r>
              <w:rPr>
                <w:rFonts w:ascii="Garamond" w:hAnsi="Garamond"/>
                <w:szCs w:val="20"/>
              </w:rPr>
              <w:t>106,6</w:t>
            </w:r>
          </w:p>
        </w:tc>
      </w:tr>
      <w:tr w:rsidR="00873644" w:rsidRPr="003D514A" w14:paraId="0BB4AC6A"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873644" w:rsidRPr="00602E3C" w:rsidRDefault="00873644" w:rsidP="00873644">
            <w:pPr>
              <w:keepNext/>
              <w:keepLines/>
              <w:spacing w:before="120" w:after="120"/>
              <w:rPr>
                <w:rFonts w:ascii="Times New Roman" w:hAnsi="Times New Roman" w:cs="Times New Roman"/>
                <w:b/>
                <w:bCs/>
                <w:sz w:val="20"/>
                <w:szCs w:val="20"/>
              </w:rPr>
            </w:pPr>
            <w:r w:rsidRPr="66BD4B63">
              <w:rPr>
                <w:rFonts w:ascii="Times New Roman" w:hAnsi="Times New Roman" w:cs="Times New Roman"/>
                <w:b/>
                <w:bCs/>
                <w:sz w:val="20"/>
                <w:szCs w:val="20"/>
              </w:rPr>
              <w:t>Egyenleg összesen</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B8B1324" w14:textId="2437F203"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-4 095,8</w:t>
            </w:r>
          </w:p>
        </w:tc>
        <w:tc>
          <w:tcPr>
            <w:tcW w:w="1134" w:type="dxa"/>
            <w:tcBorders>
              <w:top w:val="nil"/>
              <w:left w:val="nil"/>
              <w:bottom w:val="single" w:sz="4" w:space="0" w:color="auto"/>
              <w:right w:val="single" w:sz="4" w:space="0" w:color="auto"/>
            </w:tcBorders>
            <w:shd w:val="clear" w:color="auto" w:fill="auto"/>
            <w:noWrap/>
            <w:vAlign w:val="center"/>
          </w:tcPr>
          <w:p w14:paraId="4169FD4E" w14:textId="32040FBB"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rPr>
              <w:t>-2 656,4</w:t>
            </w:r>
          </w:p>
        </w:tc>
        <w:tc>
          <w:tcPr>
            <w:tcW w:w="1075" w:type="dxa"/>
            <w:tcBorders>
              <w:top w:val="nil"/>
              <w:left w:val="nil"/>
              <w:bottom w:val="single" w:sz="4" w:space="0" w:color="auto"/>
              <w:right w:val="single" w:sz="4" w:space="0" w:color="auto"/>
            </w:tcBorders>
            <w:shd w:val="clear" w:color="auto" w:fill="auto"/>
            <w:noWrap/>
            <w:vAlign w:val="center"/>
          </w:tcPr>
          <w:p w14:paraId="1A278024" w14:textId="7EF5EC62"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64,9</w:t>
            </w:r>
          </w:p>
        </w:tc>
        <w:tc>
          <w:tcPr>
            <w:tcW w:w="1103" w:type="dxa"/>
            <w:tcBorders>
              <w:top w:val="nil"/>
              <w:left w:val="nil"/>
              <w:bottom w:val="single" w:sz="4" w:space="0" w:color="auto"/>
              <w:right w:val="single" w:sz="4" w:space="0" w:color="auto"/>
            </w:tcBorders>
            <w:shd w:val="clear" w:color="auto" w:fill="auto"/>
            <w:noWrap/>
            <w:vAlign w:val="center"/>
          </w:tcPr>
          <w:p w14:paraId="786BA0A5" w14:textId="624FF1F7"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67EA52C5" w:rsidR="00873644" w:rsidRPr="007007A3" w:rsidRDefault="00873644" w:rsidP="00873644">
            <w:pPr>
              <w:spacing w:before="120" w:after="120"/>
              <w:jc w:val="right"/>
              <w:rPr>
                <w:rFonts w:ascii="Times New Roman" w:hAnsi="Times New Roman" w:cs="Times New Roman"/>
                <w:b/>
                <w:bCs/>
                <w:sz w:val="20"/>
                <w:szCs w:val="20"/>
              </w:rPr>
            </w:pPr>
            <w:r w:rsidRPr="004C4BDE">
              <w:rPr>
                <w:rFonts w:ascii="Garamond" w:hAnsi="Garamond"/>
                <w:b/>
                <w:bCs/>
                <w:szCs w:val="20"/>
              </w:rPr>
              <w:t>-2 773,</w:t>
            </w:r>
            <w:r>
              <w:rPr>
                <w:rFonts w:ascii="Garamond" w:hAnsi="Garamond"/>
                <w:b/>
                <w:bCs/>
                <w:szCs w:val="20"/>
              </w:rPr>
              <w:t>6</w:t>
            </w:r>
          </w:p>
        </w:tc>
        <w:tc>
          <w:tcPr>
            <w:tcW w:w="1159" w:type="dxa"/>
            <w:tcBorders>
              <w:top w:val="nil"/>
              <w:left w:val="nil"/>
              <w:bottom w:val="single" w:sz="4" w:space="0" w:color="auto"/>
              <w:right w:val="single" w:sz="4" w:space="0" w:color="auto"/>
            </w:tcBorders>
            <w:shd w:val="clear" w:color="auto" w:fill="auto"/>
            <w:noWrap/>
            <w:vAlign w:val="center"/>
          </w:tcPr>
          <w:p w14:paraId="6F96D6B4" w14:textId="094A137F"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67,3</w:t>
            </w:r>
          </w:p>
        </w:tc>
        <w:tc>
          <w:tcPr>
            <w:tcW w:w="1113" w:type="dxa"/>
            <w:tcBorders>
              <w:top w:val="nil"/>
              <w:left w:val="nil"/>
              <w:bottom w:val="single" w:sz="4" w:space="0" w:color="auto"/>
              <w:right w:val="single" w:sz="4" w:space="0" w:color="auto"/>
            </w:tcBorders>
            <w:shd w:val="clear" w:color="auto" w:fill="auto"/>
            <w:noWrap/>
            <w:vAlign w:val="center"/>
          </w:tcPr>
          <w:p w14:paraId="08B7BC04" w14:textId="5515C1C4"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104,4</w:t>
            </w:r>
          </w:p>
        </w:tc>
      </w:tr>
      <w:tr w:rsidR="00873644" w:rsidRPr="003D514A" w14:paraId="54A89CE6"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A9DE151" w14:textId="19F3FB1A"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38 038,2</w:t>
            </w:r>
          </w:p>
        </w:tc>
        <w:tc>
          <w:tcPr>
            <w:tcW w:w="1134" w:type="dxa"/>
            <w:tcBorders>
              <w:top w:val="nil"/>
              <w:left w:val="nil"/>
              <w:bottom w:val="single" w:sz="4" w:space="0" w:color="auto"/>
              <w:right w:val="single" w:sz="4" w:space="0" w:color="auto"/>
            </w:tcBorders>
            <w:shd w:val="clear" w:color="auto" w:fill="auto"/>
            <w:noWrap/>
            <w:vAlign w:val="center"/>
          </w:tcPr>
          <w:p w14:paraId="35D99CF8" w14:textId="2F86594D"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18 897,4</w:t>
            </w:r>
          </w:p>
        </w:tc>
        <w:tc>
          <w:tcPr>
            <w:tcW w:w="1075" w:type="dxa"/>
            <w:tcBorders>
              <w:top w:val="nil"/>
              <w:left w:val="nil"/>
              <w:bottom w:val="single" w:sz="4" w:space="0" w:color="auto"/>
              <w:right w:val="single" w:sz="4" w:space="0" w:color="auto"/>
            </w:tcBorders>
            <w:shd w:val="clear" w:color="auto" w:fill="auto"/>
            <w:noWrap/>
            <w:vAlign w:val="center"/>
          </w:tcPr>
          <w:p w14:paraId="7867A6F0" w14:textId="75F9B71D"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49,7</w:t>
            </w:r>
          </w:p>
        </w:tc>
        <w:tc>
          <w:tcPr>
            <w:tcW w:w="1103" w:type="dxa"/>
            <w:tcBorders>
              <w:top w:val="nil"/>
              <w:left w:val="nil"/>
              <w:bottom w:val="single" w:sz="4" w:space="0" w:color="auto"/>
              <w:right w:val="single" w:sz="4" w:space="0" w:color="auto"/>
            </w:tcBorders>
            <w:shd w:val="clear" w:color="auto" w:fill="auto"/>
            <w:noWrap/>
            <w:vAlign w:val="center"/>
          </w:tcPr>
          <w:p w14:paraId="3B7C4504" w14:textId="0A75429E"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62A9BDF8"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19 686,3</w:t>
            </w:r>
          </w:p>
        </w:tc>
        <w:tc>
          <w:tcPr>
            <w:tcW w:w="1159" w:type="dxa"/>
            <w:tcBorders>
              <w:top w:val="nil"/>
              <w:left w:val="nil"/>
              <w:bottom w:val="single" w:sz="4" w:space="0" w:color="auto"/>
              <w:right w:val="single" w:sz="4" w:space="0" w:color="auto"/>
            </w:tcBorders>
            <w:shd w:val="clear" w:color="auto" w:fill="auto"/>
            <w:noWrap/>
            <w:vAlign w:val="center"/>
          </w:tcPr>
          <w:p w14:paraId="5BE38AAD" w14:textId="35E963FC"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50,8</w:t>
            </w:r>
          </w:p>
        </w:tc>
        <w:tc>
          <w:tcPr>
            <w:tcW w:w="1113" w:type="dxa"/>
            <w:tcBorders>
              <w:top w:val="nil"/>
              <w:left w:val="nil"/>
              <w:bottom w:val="single" w:sz="4" w:space="0" w:color="auto"/>
              <w:right w:val="single" w:sz="4" w:space="0" w:color="auto"/>
            </w:tcBorders>
            <w:shd w:val="clear" w:color="auto" w:fill="auto"/>
            <w:noWrap/>
            <w:vAlign w:val="center"/>
          </w:tcPr>
          <w:p w14:paraId="434BF952" w14:textId="7EF18DD5"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104,2</w:t>
            </w:r>
          </w:p>
        </w:tc>
      </w:tr>
      <w:tr w:rsidR="00873644" w:rsidRPr="0096527E" w14:paraId="7BAEDA41" w14:textId="77777777" w:rsidTr="66BD4B63">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873644" w:rsidRPr="00602E3C" w:rsidRDefault="00873644" w:rsidP="00873644">
            <w:pPr>
              <w:keepNext/>
              <w:keepLines/>
              <w:spacing w:before="120" w:after="120"/>
              <w:jc w:val="right"/>
              <w:rPr>
                <w:rFonts w:ascii="Times New Roman" w:hAnsi="Times New Roman" w:cs="Times New Roman"/>
                <w:sz w:val="20"/>
                <w:szCs w:val="20"/>
              </w:rPr>
            </w:pPr>
            <w:r w:rsidRPr="66BD4B63">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59AFD40D" w14:textId="58062616"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42 134,0</w:t>
            </w:r>
          </w:p>
        </w:tc>
        <w:tc>
          <w:tcPr>
            <w:tcW w:w="1134" w:type="dxa"/>
            <w:tcBorders>
              <w:top w:val="nil"/>
              <w:left w:val="nil"/>
              <w:bottom w:val="single" w:sz="4" w:space="0" w:color="auto"/>
              <w:right w:val="single" w:sz="4" w:space="0" w:color="auto"/>
            </w:tcBorders>
            <w:shd w:val="clear" w:color="auto" w:fill="auto"/>
            <w:noWrap/>
            <w:vAlign w:val="center"/>
          </w:tcPr>
          <w:p w14:paraId="4966DA4D" w14:textId="5786973F"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rPr>
              <w:t>21 553,8</w:t>
            </w:r>
          </w:p>
        </w:tc>
        <w:tc>
          <w:tcPr>
            <w:tcW w:w="1075" w:type="dxa"/>
            <w:tcBorders>
              <w:top w:val="nil"/>
              <w:left w:val="nil"/>
              <w:bottom w:val="single" w:sz="4" w:space="0" w:color="auto"/>
              <w:right w:val="single" w:sz="4" w:space="0" w:color="auto"/>
            </w:tcBorders>
            <w:shd w:val="clear" w:color="auto" w:fill="auto"/>
            <w:noWrap/>
            <w:vAlign w:val="center"/>
          </w:tcPr>
          <w:p w14:paraId="09D1A52D" w14:textId="02704AB5"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51,2</w:t>
            </w:r>
          </w:p>
        </w:tc>
        <w:tc>
          <w:tcPr>
            <w:tcW w:w="1103" w:type="dxa"/>
            <w:tcBorders>
              <w:top w:val="nil"/>
              <w:left w:val="nil"/>
              <w:bottom w:val="single" w:sz="4" w:space="0" w:color="auto"/>
              <w:right w:val="single" w:sz="4" w:space="0" w:color="auto"/>
            </w:tcBorders>
            <w:shd w:val="clear" w:color="auto" w:fill="auto"/>
            <w:noWrap/>
            <w:vAlign w:val="center"/>
          </w:tcPr>
          <w:p w14:paraId="4ABA63B9" w14:textId="6B2F4D23"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2A468379"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22 459,9</w:t>
            </w:r>
          </w:p>
        </w:tc>
        <w:tc>
          <w:tcPr>
            <w:tcW w:w="1159" w:type="dxa"/>
            <w:tcBorders>
              <w:top w:val="nil"/>
              <w:left w:val="nil"/>
              <w:bottom w:val="single" w:sz="4" w:space="0" w:color="auto"/>
              <w:right w:val="single" w:sz="4" w:space="0" w:color="auto"/>
            </w:tcBorders>
            <w:shd w:val="clear" w:color="auto" w:fill="auto"/>
            <w:noWrap/>
            <w:vAlign w:val="center"/>
          </w:tcPr>
          <w:p w14:paraId="22DBE23B" w14:textId="0689C9EC"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52,4</w:t>
            </w:r>
          </w:p>
        </w:tc>
        <w:tc>
          <w:tcPr>
            <w:tcW w:w="1113" w:type="dxa"/>
            <w:tcBorders>
              <w:top w:val="nil"/>
              <w:left w:val="nil"/>
              <w:bottom w:val="single" w:sz="4" w:space="0" w:color="auto"/>
              <w:right w:val="single" w:sz="4" w:space="0" w:color="auto"/>
            </w:tcBorders>
            <w:shd w:val="clear" w:color="auto" w:fill="auto"/>
            <w:noWrap/>
            <w:vAlign w:val="center"/>
          </w:tcPr>
          <w:p w14:paraId="6882C43A" w14:textId="704EAB2B" w:rsidR="00873644" w:rsidRPr="007007A3" w:rsidRDefault="00873644" w:rsidP="00873644">
            <w:pPr>
              <w:spacing w:before="120" w:after="120"/>
              <w:jc w:val="right"/>
              <w:rPr>
                <w:rFonts w:ascii="Times New Roman" w:hAnsi="Times New Roman" w:cs="Times New Roman"/>
                <w:sz w:val="20"/>
                <w:szCs w:val="20"/>
              </w:rPr>
            </w:pPr>
            <w:r w:rsidRPr="004C4BDE">
              <w:rPr>
                <w:rFonts w:ascii="Garamond" w:hAnsi="Garamond"/>
                <w:szCs w:val="20"/>
              </w:rPr>
              <w:t>104,2</w:t>
            </w:r>
          </w:p>
        </w:tc>
      </w:tr>
    </w:tbl>
    <w:p w14:paraId="651BA2DD" w14:textId="77777777" w:rsidR="005171E0" w:rsidRDefault="005171E0" w:rsidP="00794A5E">
      <w:pPr>
        <w:jc w:val="both"/>
        <w:rPr>
          <w:rFonts w:ascii="Times New Roman" w:eastAsia="Times New Roman" w:hAnsi="Times New Roman" w:cs="Times New Roman"/>
          <w:sz w:val="26"/>
          <w:szCs w:val="26"/>
          <w:lang w:eastAsia="hu-HU"/>
        </w:rPr>
      </w:pPr>
    </w:p>
    <w:p w14:paraId="6530C941" w14:textId="77777777" w:rsidR="00794A5E" w:rsidRDefault="00794A5E" w:rsidP="00794A5E">
      <w:pPr>
        <w:jc w:val="both"/>
        <w:rPr>
          <w:rFonts w:ascii="Times New Roman" w:eastAsia="Times New Roman" w:hAnsi="Times New Roman" w:cs="Times New Roman"/>
          <w:sz w:val="26"/>
          <w:szCs w:val="26"/>
          <w:lang w:eastAsia="hu-HU"/>
        </w:rPr>
      </w:pPr>
    </w:p>
    <w:p w14:paraId="47665E44" w14:textId="77777777" w:rsidR="00794A5E" w:rsidRPr="00377D59" w:rsidRDefault="66BD4B63" w:rsidP="66BD4B63">
      <w:pPr>
        <w:keepNext/>
        <w:spacing w:line="240" w:lineRule="auto"/>
        <w:ind w:left="425" w:hanging="425"/>
        <w:jc w:val="center"/>
        <w:outlineLvl w:val="3"/>
        <w:rPr>
          <w:rFonts w:ascii="Times New Roman" w:eastAsia="Times New Roman" w:hAnsi="Times New Roman" w:cs="Times New Roman"/>
          <w:b/>
          <w:bCs/>
          <w:caps/>
          <w:sz w:val="26"/>
          <w:szCs w:val="26"/>
          <w:lang w:eastAsia="hu-HU"/>
        </w:rPr>
      </w:pPr>
      <w:r w:rsidRPr="66BD4B63">
        <w:rPr>
          <w:rFonts w:ascii="Times New Roman" w:eastAsia="Times New Roman" w:hAnsi="Times New Roman" w:cs="Times New Roman"/>
          <w:b/>
          <w:bCs/>
          <w:caps/>
          <w:sz w:val="26"/>
          <w:szCs w:val="26"/>
          <w:lang w:eastAsia="hu-HU"/>
        </w:rPr>
        <w:t>Az államháztartás központi alrendszerének HIÁNYA</w:t>
      </w:r>
    </w:p>
    <w:p w14:paraId="48257848" w14:textId="2A0206F2" w:rsidR="00794A5E" w:rsidRPr="00794A5E" w:rsidRDefault="66BD4B63" w:rsidP="66BD4B63">
      <w:pPr>
        <w:jc w:val="both"/>
        <w:rPr>
          <w:rFonts w:ascii="Times New Roman" w:eastAsia="Times New Roman" w:hAnsi="Times New Roman" w:cs="Times New Roman"/>
          <w:color w:val="000000" w:themeColor="text1"/>
          <w:sz w:val="26"/>
          <w:szCs w:val="26"/>
          <w:lang w:eastAsia="hu-HU"/>
        </w:rPr>
      </w:pPr>
      <w:r w:rsidRPr="66BD4B63">
        <w:rPr>
          <w:rFonts w:ascii="Times New Roman" w:eastAsia="Times New Roman" w:hAnsi="Times New Roman" w:cs="Times New Roman"/>
          <w:color w:val="000000" w:themeColor="text1"/>
          <w:sz w:val="26"/>
          <w:szCs w:val="26"/>
          <w:lang w:eastAsia="hu-HU"/>
        </w:rPr>
        <w:t>Az államháztartás központi alrendszerének az elfogadott költségvetési törvényben szereplő 3,7%-os ESA-hiányhoz tartozó pénzforgalmi hiánya 4 123,0 milliárd forint.</w:t>
      </w:r>
    </w:p>
    <w:p w14:paraId="60844057" w14:textId="39330CA9" w:rsidR="00794A5E" w:rsidRPr="00794A5E" w:rsidRDefault="66BD4B63" w:rsidP="66BD4B63">
      <w:pPr>
        <w:jc w:val="both"/>
        <w:rPr>
          <w:rFonts w:ascii="Times New Roman" w:eastAsia="Times New Roman" w:hAnsi="Times New Roman" w:cs="Times New Roman"/>
          <w:color w:val="000000" w:themeColor="text1"/>
          <w:sz w:val="26"/>
          <w:szCs w:val="26"/>
          <w:lang w:eastAsia="hu-HU"/>
        </w:rPr>
      </w:pPr>
      <w:r w:rsidRPr="66BD4B63">
        <w:rPr>
          <w:rFonts w:ascii="Times New Roman" w:eastAsia="Times New Roman" w:hAnsi="Times New Roman" w:cs="Times New Roman"/>
          <w:color w:val="000000" w:themeColor="text1"/>
          <w:sz w:val="26"/>
          <w:szCs w:val="26"/>
          <w:lang w:eastAsia="hu-HU"/>
        </w:rPr>
        <w:t xml:space="preserve">A 4,1%-os </w:t>
      </w:r>
      <w:r w:rsidR="00EF31E7">
        <w:rPr>
          <w:rFonts w:ascii="Times New Roman" w:eastAsia="Times New Roman" w:hAnsi="Times New Roman" w:cs="Times New Roman"/>
          <w:color w:val="000000" w:themeColor="text1"/>
          <w:sz w:val="26"/>
          <w:szCs w:val="26"/>
          <w:lang w:eastAsia="hu-HU"/>
        </w:rPr>
        <w:t>várható ESA-hiányhoz</w:t>
      </w:r>
      <w:r w:rsidRPr="66BD4B63">
        <w:rPr>
          <w:rFonts w:ascii="Times New Roman" w:eastAsia="Times New Roman" w:hAnsi="Times New Roman" w:cs="Times New Roman"/>
          <w:color w:val="000000" w:themeColor="text1"/>
          <w:sz w:val="26"/>
          <w:szCs w:val="26"/>
          <w:lang w:eastAsia="hu-HU"/>
        </w:rPr>
        <w:t xml:space="preserve"> tartozó várható éves pénzforgalmi hiány ugyanakkor 4 774,0 milliárd forint. </w:t>
      </w:r>
      <w:r w:rsidR="00390D71" w:rsidRPr="00390D71">
        <w:rPr>
          <w:rFonts w:ascii="Times New Roman" w:eastAsia="Times New Roman" w:hAnsi="Times New Roman" w:cs="Times New Roman"/>
          <w:color w:val="000000" w:themeColor="text1"/>
          <w:sz w:val="26"/>
          <w:szCs w:val="26"/>
          <w:lang w:eastAsia="hu-HU"/>
        </w:rPr>
        <w:t xml:space="preserve">A központi alrendszer </w:t>
      </w:r>
      <w:r w:rsidR="00EF31E7" w:rsidRPr="00390D71">
        <w:rPr>
          <w:rFonts w:ascii="Times New Roman" w:eastAsia="Times New Roman" w:hAnsi="Times New Roman" w:cs="Times New Roman"/>
          <w:color w:val="000000" w:themeColor="text1"/>
          <w:sz w:val="26"/>
          <w:szCs w:val="26"/>
          <w:lang w:eastAsia="hu-HU"/>
        </w:rPr>
        <w:t>j</w:t>
      </w:r>
      <w:r w:rsidR="00EF31E7">
        <w:rPr>
          <w:rFonts w:ascii="Times New Roman" w:eastAsia="Times New Roman" w:hAnsi="Times New Roman" w:cs="Times New Roman"/>
          <w:color w:val="000000" w:themeColor="text1"/>
          <w:sz w:val="26"/>
          <w:szCs w:val="26"/>
          <w:lang w:eastAsia="hu-HU"/>
        </w:rPr>
        <w:t>úni</w:t>
      </w:r>
      <w:r w:rsidR="00EF31E7" w:rsidRPr="00390D71">
        <w:rPr>
          <w:rFonts w:ascii="Times New Roman" w:eastAsia="Times New Roman" w:hAnsi="Times New Roman" w:cs="Times New Roman"/>
          <w:color w:val="000000" w:themeColor="text1"/>
          <w:sz w:val="26"/>
          <w:szCs w:val="26"/>
          <w:lang w:eastAsia="hu-HU"/>
        </w:rPr>
        <w:t xml:space="preserve">us végi </w:t>
      </w:r>
      <w:r w:rsidR="00390D71" w:rsidRPr="00390D71">
        <w:rPr>
          <w:rFonts w:ascii="Times New Roman" w:eastAsia="Times New Roman" w:hAnsi="Times New Roman" w:cs="Times New Roman"/>
          <w:color w:val="000000" w:themeColor="text1"/>
          <w:sz w:val="26"/>
          <w:szCs w:val="26"/>
          <w:lang w:eastAsia="hu-HU"/>
        </w:rPr>
        <w:t>hiánya (2</w:t>
      </w:r>
      <w:r w:rsidR="00C03376">
        <w:rPr>
          <w:rFonts w:ascii="Times New Roman" w:eastAsia="Times New Roman" w:hAnsi="Times New Roman" w:cs="Times New Roman"/>
          <w:color w:val="000000" w:themeColor="text1"/>
          <w:sz w:val="26"/>
          <w:szCs w:val="26"/>
          <w:lang w:eastAsia="hu-HU"/>
        </w:rPr>
        <w:t> </w:t>
      </w:r>
      <w:r w:rsidR="00C561BC">
        <w:rPr>
          <w:rFonts w:ascii="Times New Roman" w:eastAsia="Times New Roman" w:hAnsi="Times New Roman" w:cs="Times New Roman"/>
          <w:color w:val="000000" w:themeColor="text1"/>
          <w:sz w:val="26"/>
          <w:szCs w:val="26"/>
          <w:lang w:eastAsia="hu-HU"/>
        </w:rPr>
        <w:t>773</w:t>
      </w:r>
      <w:r w:rsidR="00390D71" w:rsidRPr="00390D71">
        <w:rPr>
          <w:rFonts w:ascii="Times New Roman" w:eastAsia="Times New Roman" w:hAnsi="Times New Roman" w:cs="Times New Roman"/>
          <w:color w:val="000000" w:themeColor="text1"/>
          <w:sz w:val="26"/>
          <w:szCs w:val="26"/>
          <w:lang w:eastAsia="hu-HU"/>
        </w:rPr>
        <w:t>,</w:t>
      </w:r>
      <w:r w:rsidR="00C561BC">
        <w:rPr>
          <w:rFonts w:ascii="Times New Roman" w:eastAsia="Times New Roman" w:hAnsi="Times New Roman" w:cs="Times New Roman"/>
          <w:color w:val="000000" w:themeColor="text1"/>
          <w:sz w:val="26"/>
          <w:szCs w:val="26"/>
          <w:lang w:eastAsia="hu-HU"/>
        </w:rPr>
        <w:t>6</w:t>
      </w:r>
      <w:r w:rsidR="00390D71" w:rsidRPr="00390D71">
        <w:rPr>
          <w:rFonts w:ascii="Times New Roman" w:eastAsia="Times New Roman" w:hAnsi="Times New Roman" w:cs="Times New Roman"/>
          <w:color w:val="000000" w:themeColor="text1"/>
          <w:sz w:val="26"/>
          <w:szCs w:val="26"/>
          <w:lang w:eastAsia="hu-HU"/>
        </w:rPr>
        <w:t xml:space="preserve"> milliárd forint) ennek 58,</w:t>
      </w:r>
      <w:r w:rsidR="00C561BC">
        <w:rPr>
          <w:rFonts w:ascii="Times New Roman" w:eastAsia="Times New Roman" w:hAnsi="Times New Roman" w:cs="Times New Roman"/>
          <w:color w:val="000000" w:themeColor="text1"/>
          <w:sz w:val="26"/>
          <w:szCs w:val="26"/>
          <w:lang w:eastAsia="hu-HU"/>
        </w:rPr>
        <w:t>1</w:t>
      </w:r>
      <w:r w:rsidR="00390D71" w:rsidRPr="00390D71">
        <w:rPr>
          <w:rFonts w:ascii="Times New Roman" w:eastAsia="Times New Roman" w:hAnsi="Times New Roman" w:cs="Times New Roman"/>
          <w:color w:val="000000" w:themeColor="text1"/>
          <w:sz w:val="26"/>
          <w:szCs w:val="26"/>
          <w:lang w:eastAsia="hu-HU"/>
        </w:rPr>
        <w:t>%-a</w:t>
      </w:r>
      <w:r w:rsidRPr="66BD4B63">
        <w:rPr>
          <w:rFonts w:ascii="Times New Roman" w:eastAsia="Times New Roman" w:hAnsi="Times New Roman" w:cs="Times New Roman"/>
          <w:color w:val="000000" w:themeColor="text1"/>
          <w:sz w:val="26"/>
          <w:szCs w:val="26"/>
          <w:lang w:eastAsia="hu-HU"/>
        </w:rPr>
        <w:t>.</w:t>
      </w:r>
    </w:p>
    <w:p w14:paraId="1A0A9898" w14:textId="77777777" w:rsidR="00794A5E" w:rsidRDefault="00794A5E" w:rsidP="00794A5E">
      <w:pPr>
        <w:jc w:val="both"/>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66BD4B63" w:rsidP="66BD4B63">
      <w:pPr>
        <w:spacing w:after="120" w:line="240" w:lineRule="auto"/>
        <w:jc w:val="center"/>
        <w:rPr>
          <w:rFonts w:ascii="Times New Roman" w:eastAsia="Times New Roman" w:hAnsi="Times New Roman" w:cs="Times New Roman"/>
          <w:b/>
          <w:bCs/>
          <w:sz w:val="26"/>
          <w:szCs w:val="26"/>
          <w:lang w:eastAsia="hu-HU"/>
        </w:rPr>
      </w:pPr>
      <w:r w:rsidRPr="66BD4B63">
        <w:rPr>
          <w:rFonts w:ascii="Times New Roman" w:eastAsia="Times New Roman" w:hAnsi="Times New Roman" w:cs="Times New Roman"/>
          <w:b/>
          <w:bCs/>
          <w:sz w:val="26"/>
          <w:szCs w:val="26"/>
          <w:lang w:eastAsia="hu-HU"/>
        </w:rPr>
        <w:t>I.</w:t>
      </w:r>
    </w:p>
    <w:p w14:paraId="7B768A94" w14:textId="77777777" w:rsidR="00B155FE" w:rsidRPr="00377D59" w:rsidRDefault="66BD4B63" w:rsidP="66BD4B63">
      <w:pPr>
        <w:keepNext/>
        <w:spacing w:after="120" w:line="240" w:lineRule="auto"/>
        <w:jc w:val="center"/>
        <w:outlineLvl w:val="1"/>
        <w:rPr>
          <w:rFonts w:ascii="Times New Roman" w:eastAsia="Times New Roman" w:hAnsi="Times New Roman" w:cs="Times New Roman"/>
          <w:b/>
          <w:bCs/>
          <w:caps/>
          <w:sz w:val="26"/>
          <w:szCs w:val="26"/>
          <w:lang w:eastAsia="hu-HU"/>
        </w:rPr>
      </w:pPr>
      <w:r w:rsidRPr="66BD4B63">
        <w:rPr>
          <w:rFonts w:ascii="Times New Roman" w:eastAsia="Times New Roman" w:hAnsi="Times New Roman" w:cs="Times New Roman"/>
          <w:b/>
          <w:bCs/>
          <w:caps/>
          <w:sz w:val="26"/>
          <w:szCs w:val="26"/>
          <w:lang w:eastAsia="hu-HU"/>
        </w:rPr>
        <w:t xml:space="preserve">A központi alrendszer pénzügyi folyamatainak </w:t>
      </w:r>
      <w:r w:rsidR="30EDBFC2">
        <w:br/>
      </w:r>
      <w:r w:rsidRPr="66BD4B63">
        <w:rPr>
          <w:rFonts w:ascii="Times New Roman" w:eastAsia="Times New Roman" w:hAnsi="Times New Roman" w:cs="Times New Roman"/>
          <w:b/>
          <w:bCs/>
          <w:caps/>
          <w:sz w:val="26"/>
          <w:szCs w:val="26"/>
          <w:lang w:eastAsia="hu-HU"/>
        </w:rPr>
        <w:t>alakulása</w:t>
      </w:r>
    </w:p>
    <w:p w14:paraId="6D461365" w14:textId="08DC9FC2" w:rsidR="0004032B" w:rsidRPr="00377D59" w:rsidRDefault="66BD4B63" w:rsidP="66BD4B63">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66BD4B63">
        <w:rPr>
          <w:rFonts w:ascii="Times New Roman" w:eastAsia="Times New Roman" w:hAnsi="Times New Roman" w:cs="Times New Roman"/>
          <w:b/>
          <w:bCs/>
          <w:smallCaps/>
          <w:sz w:val="28"/>
          <w:szCs w:val="28"/>
          <w:lang w:eastAsia="hu-HU"/>
        </w:rPr>
        <w:t>A főbb bevételek</w:t>
      </w:r>
    </w:p>
    <w:p w14:paraId="1618CD2C" w14:textId="5083C057" w:rsidR="00C561BC" w:rsidRDefault="66BD4B63" w:rsidP="66BD4B63">
      <w:pPr>
        <w:jc w:val="both"/>
        <w:rPr>
          <w:rFonts w:ascii="Times New Roman" w:eastAsia="Times New Roman" w:hAnsi="Times New Roman" w:cs="Times New Roman"/>
          <w:b/>
          <w:bCs/>
          <w:sz w:val="26"/>
          <w:szCs w:val="26"/>
        </w:rPr>
      </w:pPr>
      <w:r w:rsidRPr="66BD4B63">
        <w:rPr>
          <w:rFonts w:ascii="Times New Roman" w:eastAsia="Times New Roman" w:hAnsi="Times New Roman" w:cs="Times New Roman"/>
          <w:b/>
          <w:bCs/>
          <w:sz w:val="26"/>
          <w:szCs w:val="26"/>
        </w:rPr>
        <w:t xml:space="preserve">A központi alrendszer </w:t>
      </w:r>
      <w:r w:rsidR="0005250F" w:rsidRPr="0005250F">
        <w:rPr>
          <w:rFonts w:ascii="Times New Roman" w:eastAsia="Times New Roman" w:hAnsi="Times New Roman" w:cs="Times New Roman"/>
          <w:b/>
          <w:bCs/>
          <w:sz w:val="26"/>
          <w:szCs w:val="26"/>
        </w:rPr>
        <w:t>június végi 19</w:t>
      </w:r>
      <w:r w:rsidR="0005250F">
        <w:rPr>
          <w:rFonts w:ascii="Times New Roman" w:eastAsia="Times New Roman" w:hAnsi="Times New Roman" w:cs="Times New Roman"/>
          <w:b/>
          <w:bCs/>
          <w:sz w:val="26"/>
          <w:szCs w:val="26"/>
        </w:rPr>
        <w:t> </w:t>
      </w:r>
      <w:r w:rsidR="0005250F" w:rsidRPr="0005250F">
        <w:rPr>
          <w:rFonts w:ascii="Times New Roman" w:eastAsia="Times New Roman" w:hAnsi="Times New Roman" w:cs="Times New Roman"/>
          <w:b/>
          <w:bCs/>
          <w:sz w:val="26"/>
          <w:szCs w:val="26"/>
        </w:rPr>
        <w:t>686,3 milliárd forint összegű bevételei az előző év azonos időszakához képest 788,9 milliárd forinttal, 4,2%-kal magasabb összegben alakultak</w:t>
      </w:r>
      <w:r w:rsidRPr="66BD4B63">
        <w:rPr>
          <w:rFonts w:ascii="Times New Roman" w:eastAsia="Times New Roman" w:hAnsi="Times New Roman" w:cs="Times New Roman"/>
          <w:b/>
          <w:bCs/>
          <w:sz w:val="26"/>
          <w:szCs w:val="26"/>
        </w:rPr>
        <w:t>.</w:t>
      </w:r>
    </w:p>
    <w:p w14:paraId="6BBE59DE" w14:textId="03AF34E5" w:rsidR="00CF551C" w:rsidRDefault="0005250F" w:rsidP="00C11940">
      <w:pPr>
        <w:pStyle w:val="NormlWeb"/>
        <w:spacing w:before="0" w:beforeAutospacing="0" w:after="120" w:afterAutospacing="0"/>
        <w:jc w:val="center"/>
      </w:pPr>
      <w:r>
        <w:rPr>
          <w:noProof/>
        </w:rPr>
        <w:drawing>
          <wp:inline distT="0" distB="0" distL="0" distR="0" wp14:anchorId="738CDFAC" wp14:editId="4EFDAC74">
            <wp:extent cx="5940425" cy="2394585"/>
            <wp:effectExtent l="0" t="0" r="3175" b="5715"/>
            <wp:docPr id="168916781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67818" name=""/>
                    <pic:cNvPicPr/>
                  </pic:nvPicPr>
                  <pic:blipFill>
                    <a:blip r:embed="rId14"/>
                    <a:stretch>
                      <a:fillRect/>
                    </a:stretch>
                  </pic:blipFill>
                  <pic:spPr>
                    <a:xfrm>
                      <a:off x="0" y="0"/>
                      <a:ext cx="5940425" cy="2394585"/>
                    </a:xfrm>
                    <a:prstGeom prst="rect">
                      <a:avLst/>
                    </a:prstGeom>
                  </pic:spPr>
                </pic:pic>
              </a:graphicData>
            </a:graphic>
          </wp:inline>
        </w:drawing>
      </w:r>
    </w:p>
    <w:p w14:paraId="38C7F52C" w14:textId="77777777" w:rsidR="006A6F7F" w:rsidRPr="006A6F7F" w:rsidRDefault="66BD4B63" w:rsidP="00C561BC">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 xml:space="preserve">Társasági adó </w:t>
      </w:r>
      <w:r w:rsidRPr="66BD4B63">
        <w:rPr>
          <w:rFonts w:ascii="Times New Roman" w:eastAsia="Times New Roman" w:hAnsi="Times New Roman" w:cs="Times New Roman"/>
          <w:sz w:val="26"/>
          <w:szCs w:val="26"/>
          <w:lang w:eastAsia="hu-HU"/>
        </w:rPr>
        <w:t>jogcímen a 2025. év első hat hónapjában 621,7 milliárd forint realizálódott, amely az előző év egyenlegétől 21,6 milliárd forinttal maradt el. A bázisévhez viszonyítva az eltérést az előlegek előző évinél alacsonyabb szintje magyarázza.</w:t>
      </w:r>
    </w:p>
    <w:p w14:paraId="6A1568A2" w14:textId="53F5CC25" w:rsidR="006A6F7F" w:rsidRPr="006A6F7F" w:rsidRDefault="66BD4B63" w:rsidP="00C561BC">
      <w:pPr>
        <w:jc w:val="both"/>
        <w:rPr>
          <w:rFonts w:ascii="Times New Roman" w:eastAsia="Times New Roman" w:hAnsi="Times New Roman" w:cs="Times New Roman"/>
          <w:sz w:val="26"/>
          <w:szCs w:val="26"/>
          <w:highlight w:val="yellow"/>
          <w:lang w:eastAsia="hu-HU"/>
        </w:rPr>
      </w:pPr>
      <w:r w:rsidRPr="66BD4B63">
        <w:rPr>
          <w:rFonts w:ascii="Times New Roman" w:eastAsia="Times New Roman" w:hAnsi="Times New Roman" w:cs="Times New Roman"/>
          <w:sz w:val="26"/>
          <w:szCs w:val="26"/>
          <w:lang w:eastAsia="hu-HU"/>
        </w:rPr>
        <w:t>A</w:t>
      </w:r>
      <w:r w:rsidRPr="66BD4B63">
        <w:rPr>
          <w:rFonts w:ascii="Times New Roman" w:eastAsia="Times New Roman" w:hAnsi="Times New Roman" w:cs="Times New Roman"/>
          <w:b/>
          <w:bCs/>
          <w:sz w:val="26"/>
          <w:szCs w:val="26"/>
          <w:lang w:eastAsia="hu-HU"/>
        </w:rPr>
        <w:t xml:space="preserve"> pénzügyi szervezetek befizetései</w:t>
      </w:r>
      <w:r w:rsidRPr="66BD4B63">
        <w:rPr>
          <w:rFonts w:ascii="Times New Roman" w:eastAsia="Times New Roman" w:hAnsi="Times New Roman" w:cs="Times New Roman"/>
          <w:sz w:val="26"/>
          <w:szCs w:val="26"/>
          <w:lang w:eastAsia="hu-HU"/>
        </w:rPr>
        <w:t xml:space="preserve"> mérlegsoron a 2025. év első hat hónapjában 217,0 milliárd forint teljesült, amely az előző év egyenlegét 45,2 milliárd forinttal haladja meg. Ennek oka az előírt magasabb előlegkötelezettségek a pénzügyi szervezetek különadója esetén</w:t>
      </w:r>
      <w:r w:rsidR="00C561BC">
        <w:rPr>
          <w:rFonts w:ascii="Times New Roman" w:eastAsia="Times New Roman" w:hAnsi="Times New Roman" w:cs="Times New Roman"/>
          <w:sz w:val="26"/>
          <w:szCs w:val="26"/>
          <w:lang w:eastAsia="hu-HU"/>
        </w:rPr>
        <w:t>,</w:t>
      </w:r>
      <w:r w:rsidRPr="66BD4B63">
        <w:rPr>
          <w:rFonts w:ascii="Times New Roman" w:eastAsia="Times New Roman" w:hAnsi="Times New Roman" w:cs="Times New Roman"/>
          <w:sz w:val="26"/>
          <w:szCs w:val="26"/>
          <w:lang w:eastAsia="hu-HU"/>
        </w:rPr>
        <w:t xml:space="preserve"> </w:t>
      </w:r>
      <w:r w:rsidR="00C561BC">
        <w:rPr>
          <w:rFonts w:ascii="Times New Roman" w:eastAsia="Times New Roman" w:hAnsi="Times New Roman" w:cs="Times New Roman"/>
          <w:sz w:val="26"/>
          <w:szCs w:val="26"/>
          <w:lang w:eastAsia="hu-HU"/>
        </w:rPr>
        <w:t>valamint</w:t>
      </w:r>
      <w:r w:rsidRPr="66BD4B63">
        <w:rPr>
          <w:rFonts w:ascii="Times New Roman" w:eastAsia="Times New Roman" w:hAnsi="Times New Roman" w:cs="Times New Roman"/>
          <w:sz w:val="26"/>
          <w:szCs w:val="26"/>
          <w:lang w:eastAsia="hu-HU"/>
        </w:rPr>
        <w:t xml:space="preserve"> a magasabb előírt hitelintézeti extraprofitadó bevétel.</w:t>
      </w:r>
    </w:p>
    <w:p w14:paraId="525BEBE9" w14:textId="77777777" w:rsidR="006A6F7F" w:rsidRPr="006A6F7F" w:rsidRDefault="66BD4B63" w:rsidP="00C561BC">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w:t>
      </w:r>
      <w:r w:rsidRPr="66BD4B63">
        <w:rPr>
          <w:rFonts w:ascii="Times New Roman" w:eastAsia="Times New Roman" w:hAnsi="Times New Roman" w:cs="Times New Roman"/>
          <w:b/>
          <w:bCs/>
          <w:sz w:val="26"/>
          <w:szCs w:val="26"/>
          <w:lang w:eastAsia="hu-HU"/>
        </w:rPr>
        <w:t xml:space="preserve"> kisadózók tételes adójából</w:t>
      </w:r>
      <w:r w:rsidRPr="66BD4B63">
        <w:rPr>
          <w:rFonts w:ascii="Times New Roman" w:eastAsia="Times New Roman" w:hAnsi="Times New Roman" w:cs="Times New Roman"/>
          <w:sz w:val="26"/>
          <w:szCs w:val="26"/>
          <w:lang w:eastAsia="hu-HU"/>
        </w:rPr>
        <w:t xml:space="preserve"> 2025 első hat hónapjában a költségvetésnek 34,9 milliárd forint bevétele keletkezett, amely 1,5 milliárd forinttal több az egy évvel korábbinál. Ennek oka az adónemet választók magasabb létszáma.</w:t>
      </w:r>
    </w:p>
    <w:p w14:paraId="2B763A6A" w14:textId="7CF622B6" w:rsidR="006A6F7F" w:rsidRPr="006A6F7F" w:rsidRDefault="66BD4B63" w:rsidP="00C561BC">
      <w:pPr>
        <w:jc w:val="both"/>
        <w:rPr>
          <w:rFonts w:ascii="Times New Roman" w:eastAsia="Times New Roman" w:hAnsi="Times New Roman" w:cs="Times New Roman"/>
          <w:sz w:val="26"/>
          <w:szCs w:val="26"/>
          <w:highlight w:val="yellow"/>
          <w:lang w:eastAsia="hu-HU"/>
        </w:rPr>
      </w:pPr>
      <w:r w:rsidRPr="66BD4B63">
        <w:rPr>
          <w:rFonts w:ascii="Times New Roman" w:eastAsia="Times New Roman" w:hAnsi="Times New Roman" w:cs="Times New Roman"/>
          <w:sz w:val="26"/>
          <w:szCs w:val="26"/>
          <w:lang w:eastAsia="hu-HU"/>
        </w:rPr>
        <w:t>A</w:t>
      </w:r>
      <w:r w:rsidRPr="66BD4B63">
        <w:rPr>
          <w:rFonts w:ascii="Times New Roman" w:eastAsia="Times New Roman" w:hAnsi="Times New Roman" w:cs="Times New Roman"/>
          <w:b/>
          <w:bCs/>
          <w:sz w:val="26"/>
          <w:szCs w:val="26"/>
          <w:lang w:eastAsia="hu-HU"/>
        </w:rPr>
        <w:t xml:space="preserve"> kisvállalati adóból</w:t>
      </w:r>
      <w:r w:rsidRPr="66BD4B63">
        <w:rPr>
          <w:rFonts w:ascii="Times New Roman" w:eastAsia="Times New Roman" w:hAnsi="Times New Roman" w:cs="Times New Roman"/>
          <w:sz w:val="26"/>
          <w:szCs w:val="26"/>
          <w:lang w:eastAsia="hu-HU"/>
        </w:rPr>
        <w:t xml:space="preserve"> származó bevétel a 2025. év első felében 113,7 milliárd forint volt, amely 11,2 milliárd forinttal magasabb az előző év egyenlegénél. Ennek oka az adóalanyok számának jelentős mértékű bővülése. 2025</w:t>
      </w:r>
      <w:r w:rsidR="00C561BC">
        <w:rPr>
          <w:rFonts w:ascii="Times New Roman" w:eastAsia="Times New Roman" w:hAnsi="Times New Roman" w:cs="Times New Roman"/>
          <w:sz w:val="26"/>
          <w:szCs w:val="26"/>
          <w:lang w:eastAsia="hu-HU"/>
        </w:rPr>
        <w:t xml:space="preserve"> </w:t>
      </w:r>
      <w:r w:rsidRPr="66BD4B63">
        <w:rPr>
          <w:rFonts w:ascii="Times New Roman" w:eastAsia="Times New Roman" w:hAnsi="Times New Roman" w:cs="Times New Roman"/>
          <w:sz w:val="26"/>
          <w:szCs w:val="26"/>
          <w:lang w:eastAsia="hu-HU"/>
        </w:rPr>
        <w:t>június</w:t>
      </w:r>
      <w:r w:rsidR="00C561BC">
        <w:rPr>
          <w:rFonts w:ascii="Times New Roman" w:eastAsia="Times New Roman" w:hAnsi="Times New Roman" w:cs="Times New Roman"/>
          <w:sz w:val="26"/>
          <w:szCs w:val="26"/>
          <w:lang w:eastAsia="hu-HU"/>
        </w:rPr>
        <w:t>á</w:t>
      </w:r>
      <w:r w:rsidRPr="66BD4B63">
        <w:rPr>
          <w:rFonts w:ascii="Times New Roman" w:eastAsia="Times New Roman" w:hAnsi="Times New Roman" w:cs="Times New Roman"/>
          <w:sz w:val="26"/>
          <w:szCs w:val="26"/>
          <w:lang w:eastAsia="hu-HU"/>
        </w:rPr>
        <w:t>ban a KIVA alanyok száma 98,6 ezer</w:t>
      </w:r>
      <w:r w:rsidR="00C561BC">
        <w:rPr>
          <w:rFonts w:ascii="Times New Roman" w:eastAsia="Times New Roman" w:hAnsi="Times New Roman" w:cs="Times New Roman"/>
          <w:sz w:val="26"/>
          <w:szCs w:val="26"/>
          <w:lang w:eastAsia="hu-HU"/>
        </w:rPr>
        <w:t xml:space="preserve"> volt</w:t>
      </w:r>
      <w:r w:rsidRPr="66BD4B63">
        <w:rPr>
          <w:rFonts w:ascii="Times New Roman" w:eastAsia="Times New Roman" w:hAnsi="Times New Roman" w:cs="Times New Roman"/>
          <w:sz w:val="26"/>
          <w:szCs w:val="26"/>
          <w:lang w:eastAsia="hu-HU"/>
        </w:rPr>
        <w:t>.</w:t>
      </w:r>
    </w:p>
    <w:p w14:paraId="05A0FCFD" w14:textId="3D68E0A7" w:rsidR="00640595" w:rsidRDefault="66BD4B63" w:rsidP="00C561BC">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bányajáradék-bevétel</w:t>
      </w:r>
      <w:r w:rsidRPr="66BD4B63">
        <w:rPr>
          <w:rFonts w:ascii="Times New Roman" w:eastAsia="Times New Roman" w:hAnsi="Times New Roman" w:cs="Times New Roman"/>
          <w:sz w:val="26"/>
          <w:szCs w:val="26"/>
        </w:rPr>
        <w:t xml:space="preserve"> 2025 első hat hónapjában 62,6 milliárd forint volt, amely 5,8 milliárd forinttal teljesült magasabban az előző év azonos időszakához képest, amelynek fő oka a bányajáradék számításához kapcsolódó makroparaméterek (olajár, gázár, árfolyamok) változása.</w:t>
      </w:r>
    </w:p>
    <w:p w14:paraId="2708C9A3" w14:textId="77777777" w:rsidR="00C561BC" w:rsidRDefault="00C561BC" w:rsidP="00C561BC">
      <w:pPr>
        <w:jc w:val="both"/>
        <w:rPr>
          <w:rFonts w:ascii="Times New Roman" w:eastAsia="Times New Roman" w:hAnsi="Times New Roman" w:cs="Times New Roman"/>
          <w:sz w:val="26"/>
          <w:szCs w:val="26"/>
        </w:rPr>
      </w:pPr>
    </w:p>
    <w:p w14:paraId="5322C39E" w14:textId="3675A574" w:rsidR="72AFD5C4" w:rsidRPr="00377D59" w:rsidRDefault="66BD4B63" w:rsidP="00C561BC">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lastRenderedPageBreak/>
        <w:t xml:space="preserve">Az </w:t>
      </w:r>
      <w:r w:rsidRPr="66BD4B63">
        <w:rPr>
          <w:rFonts w:ascii="Times New Roman" w:eastAsia="Times New Roman" w:hAnsi="Times New Roman" w:cs="Times New Roman"/>
          <w:b/>
          <w:bCs/>
          <w:sz w:val="26"/>
          <w:szCs w:val="26"/>
        </w:rPr>
        <w:t>útdíjakból származó bevétel</w:t>
      </w:r>
      <w:r w:rsidRPr="66BD4B63">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júniusáig 315,0 milliárd forint költségvetési bevétel teljesült ezen a mérlegsoron, amely 16,</w:t>
      </w:r>
      <w:r w:rsidR="00A966B1">
        <w:rPr>
          <w:rFonts w:ascii="Times New Roman" w:eastAsia="Times New Roman" w:hAnsi="Times New Roman" w:cs="Times New Roman"/>
          <w:sz w:val="26"/>
          <w:szCs w:val="26"/>
        </w:rPr>
        <w:t>6</w:t>
      </w:r>
      <w:r w:rsidRPr="66BD4B63">
        <w:rPr>
          <w:rFonts w:ascii="Times New Roman" w:eastAsia="Times New Roman" w:hAnsi="Times New Roman" w:cs="Times New Roman"/>
          <w:sz w:val="26"/>
          <w:szCs w:val="26"/>
        </w:rPr>
        <w:t> milliárd forinttal magasabb az előző év azonos időszakához viszonyítva. A magasabb teljesülést alapvetően a forgalmi viszonyok, valamint a díjrendszereket érintő jogszabályi keretek változása okozza.</w:t>
      </w:r>
    </w:p>
    <w:p w14:paraId="685BE235" w14:textId="35B2368D" w:rsidR="008A66DB" w:rsidRDefault="66BD4B63" w:rsidP="00C561BC">
      <w:pPr>
        <w:jc w:val="both"/>
        <w:rPr>
          <w:rFonts w:ascii="Times New Roman" w:eastAsia="Times New Roman" w:hAnsi="Times New Roman" w:cs="Times New Roman"/>
          <w:sz w:val="26"/>
          <w:szCs w:val="26"/>
        </w:rPr>
      </w:pPr>
      <w:r w:rsidRPr="66BD4B63">
        <w:rPr>
          <w:rFonts w:ascii="Times New Roman" w:eastAsia="Times New Roman" w:hAnsi="Times New Roman" w:cs="Times New Roman"/>
          <w:b/>
          <w:bCs/>
          <w:sz w:val="26"/>
          <w:szCs w:val="26"/>
        </w:rPr>
        <w:t xml:space="preserve">Egyéb központosított bevételekből </w:t>
      </w:r>
      <w:r w:rsidRPr="66BD4B63">
        <w:rPr>
          <w:rFonts w:ascii="Times New Roman" w:eastAsia="Times New Roman" w:hAnsi="Times New Roman" w:cs="Times New Roman"/>
          <w:sz w:val="26"/>
          <w:szCs w:val="26"/>
        </w:rPr>
        <w:t xml:space="preserve">az év első hat hónapjában 83,2 milliárd forint bevétel teljesült, amely a törvényi előirányzat 45,8%-ának felel meg. Ezen belül </w:t>
      </w:r>
      <w:r w:rsidRPr="003517A3">
        <w:rPr>
          <w:rFonts w:ascii="Times New Roman" w:eastAsia="Times New Roman" w:hAnsi="Times New Roman" w:cs="Times New Roman"/>
          <w:sz w:val="26"/>
          <w:szCs w:val="26"/>
        </w:rPr>
        <w:t>kiemelkedő a bírságbevételekből befolyt 46,3 milliárd forint.</w:t>
      </w:r>
    </w:p>
    <w:p w14:paraId="46A64A78" w14:textId="41988BC5" w:rsidR="006A6F7F" w:rsidRPr="006A6F7F" w:rsidRDefault="66BD4B63" w:rsidP="00C561BC">
      <w:pPr>
        <w:jc w:val="both"/>
        <w:rPr>
          <w:rFonts w:ascii="Times New Roman" w:eastAsia="Times New Roman" w:hAnsi="Times New Roman" w:cs="Times New Roman"/>
          <w:b/>
          <w:bCs/>
          <w:sz w:val="26"/>
          <w:szCs w:val="26"/>
          <w:highlight w:val="yellow"/>
          <w:lang w:eastAsia="hu-HU"/>
        </w:rPr>
      </w:pPr>
      <w:r w:rsidRPr="66BD4B63">
        <w:rPr>
          <w:rFonts w:ascii="Times New Roman" w:eastAsia="Times New Roman" w:hAnsi="Times New Roman" w:cs="Times New Roman"/>
          <w:sz w:val="26"/>
          <w:szCs w:val="26"/>
          <w:lang w:eastAsia="hu-HU"/>
        </w:rPr>
        <w:t>Az</w:t>
      </w:r>
      <w:r w:rsidRPr="66BD4B63">
        <w:rPr>
          <w:rFonts w:ascii="Times New Roman" w:eastAsia="Times New Roman" w:hAnsi="Times New Roman" w:cs="Times New Roman"/>
          <w:b/>
          <w:bCs/>
          <w:sz w:val="26"/>
          <w:szCs w:val="26"/>
          <w:lang w:eastAsia="hu-HU"/>
        </w:rPr>
        <w:t xml:space="preserve"> energia ágazat befizetései </w:t>
      </w:r>
      <w:r w:rsidRPr="66BD4B63">
        <w:rPr>
          <w:rFonts w:ascii="Times New Roman" w:eastAsia="Times New Roman" w:hAnsi="Times New Roman" w:cs="Times New Roman"/>
          <w:sz w:val="26"/>
          <w:szCs w:val="26"/>
          <w:lang w:eastAsia="hu-HU"/>
        </w:rPr>
        <w:t xml:space="preserve">jogcímen </w:t>
      </w:r>
      <w:r w:rsidR="003517A3">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sz w:val="26"/>
          <w:szCs w:val="26"/>
          <w:lang w:eastAsia="hu-HU"/>
        </w:rPr>
        <w:t xml:space="preserve">2025. év első hat hónapjában 158,2 milliárd forint pénzforgalom teljesült, amely az előző év egyenlegétől 31,1 milliárd forinttal maradt el. A bázisévhez viszonyított eltérés oka az Ural-Brent spread különadó </w:t>
      </w:r>
      <w:r w:rsidR="003517A3" w:rsidRPr="003517A3">
        <w:rPr>
          <w:rFonts w:ascii="Times New Roman" w:eastAsia="Times New Roman" w:hAnsi="Times New Roman" w:cs="Times New Roman"/>
          <w:sz w:val="26"/>
          <w:szCs w:val="26"/>
          <w:lang w:eastAsia="hu-HU"/>
        </w:rPr>
        <w:t>alacsonyabb mértékű teljesüléséhez köthető.</w:t>
      </w:r>
    </w:p>
    <w:p w14:paraId="7483BC27" w14:textId="77777777" w:rsidR="006A6F7F" w:rsidRPr="006A6F7F" w:rsidRDefault="66BD4B63" w:rsidP="00C561BC">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 xml:space="preserve">Kiskereskedelmi adó </w:t>
      </w:r>
      <w:r w:rsidRPr="66BD4B63">
        <w:rPr>
          <w:rFonts w:ascii="Times New Roman" w:eastAsia="Times New Roman" w:hAnsi="Times New Roman" w:cs="Times New Roman"/>
          <w:sz w:val="26"/>
          <w:szCs w:val="26"/>
          <w:lang w:eastAsia="hu-HU"/>
        </w:rPr>
        <w:t>jogcímen a 2025. év első félévében 26,5 milliárd forint bevétel teljesült, amely a 2024. évi egyenlegénél 4,5 milliárd forinttal kevesebb. A bevételek alakulásának hátterében az elszámolásokhoz köthető befizetések állnak.</w:t>
      </w:r>
    </w:p>
    <w:p w14:paraId="7CD6124F" w14:textId="7B16BD09" w:rsidR="006A6F7F" w:rsidRPr="006A6F7F" w:rsidRDefault="66BD4B63" w:rsidP="00C561BC">
      <w:pPr>
        <w:jc w:val="both"/>
        <w:rPr>
          <w:rFonts w:ascii="Times New Roman" w:eastAsia="Times New Roman" w:hAnsi="Times New Roman" w:cs="Times New Roman"/>
          <w:b/>
          <w:bCs/>
          <w:sz w:val="26"/>
          <w:szCs w:val="26"/>
          <w:highlight w:val="yellow"/>
          <w:lang w:eastAsia="hu-HU"/>
        </w:rPr>
      </w:pPr>
      <w:r w:rsidRPr="66BD4B63">
        <w:rPr>
          <w:rFonts w:ascii="Times New Roman" w:eastAsia="Times New Roman" w:hAnsi="Times New Roman" w:cs="Times New Roman"/>
          <w:b/>
          <w:bCs/>
          <w:sz w:val="26"/>
          <w:szCs w:val="26"/>
          <w:lang w:eastAsia="hu-HU"/>
        </w:rPr>
        <w:t xml:space="preserve">Gyógyszergyártói adó </w:t>
      </w:r>
      <w:r w:rsidRPr="66BD4B63">
        <w:rPr>
          <w:rFonts w:ascii="Times New Roman" w:eastAsia="Times New Roman" w:hAnsi="Times New Roman" w:cs="Times New Roman"/>
          <w:sz w:val="26"/>
          <w:szCs w:val="26"/>
          <w:lang w:eastAsia="hu-HU"/>
        </w:rPr>
        <w:t xml:space="preserve">jogcímen </w:t>
      </w:r>
      <w:r w:rsidR="001135FA">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sz w:val="26"/>
          <w:szCs w:val="26"/>
          <w:lang w:eastAsia="hu-HU"/>
        </w:rPr>
        <w:t>2025. év első hat hónapjában 0,3 milliárd forint pénzforgalom teljesült, amely 10,5</w:t>
      </w:r>
      <w:r w:rsidR="001135FA">
        <w:rPr>
          <w:rFonts w:ascii="Times New Roman" w:eastAsia="Times New Roman" w:hAnsi="Times New Roman" w:cs="Times New Roman"/>
          <w:sz w:val="26"/>
          <w:szCs w:val="26"/>
          <w:lang w:eastAsia="hu-HU"/>
        </w:rPr>
        <w:t> </w:t>
      </w:r>
      <w:r w:rsidRPr="66BD4B63">
        <w:rPr>
          <w:rFonts w:ascii="Times New Roman" w:eastAsia="Times New Roman" w:hAnsi="Times New Roman" w:cs="Times New Roman"/>
          <w:sz w:val="26"/>
          <w:szCs w:val="26"/>
          <w:lang w:eastAsia="hu-HU"/>
        </w:rPr>
        <w:t xml:space="preserve">milliárd forinttal maradt el az előző év azonos időszakához képest. Ennek oka, hogy az eltérő üzleti éves adózói kör már az előző évben megfizette a 2024. évi adókötelezettségét. Az adónem </w:t>
      </w:r>
      <w:r w:rsidR="001135FA">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sz w:val="26"/>
          <w:szCs w:val="26"/>
          <w:lang w:eastAsia="hu-HU"/>
        </w:rPr>
        <w:t>2025. évben megszűnt.</w:t>
      </w:r>
    </w:p>
    <w:p w14:paraId="3B896180" w14:textId="77777777" w:rsidR="006A6F7F" w:rsidRPr="006A6F7F" w:rsidRDefault="66BD4B63" w:rsidP="00C561BC">
      <w:pPr>
        <w:widowControl w:val="0"/>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b/>
          <w:bCs/>
          <w:sz w:val="26"/>
          <w:szCs w:val="26"/>
          <w:lang w:eastAsia="hu-HU"/>
        </w:rPr>
        <w:t xml:space="preserve">rehabilitációs hozzájárulásból </w:t>
      </w:r>
      <w:r w:rsidRPr="66BD4B63">
        <w:rPr>
          <w:rFonts w:ascii="Times New Roman" w:eastAsia="Times New Roman" w:hAnsi="Times New Roman" w:cs="Times New Roman"/>
          <w:sz w:val="26"/>
          <w:szCs w:val="26"/>
          <w:lang w:eastAsia="hu-HU"/>
        </w:rPr>
        <w:t>származó bevétel az év első hat hónapjában 97,3 milliárd forint volt, amely 9,3 milliárd forinttal magasabb az egy évvel korábbi összegnél. Ennek oka a minimálbérnek, így az adó mértékének az emelkedése.</w:t>
      </w:r>
    </w:p>
    <w:p w14:paraId="54046E48" w14:textId="325F0ED6" w:rsidR="006330AD" w:rsidRPr="006330AD" w:rsidRDefault="66BD4B63" w:rsidP="00C561BC">
      <w:pPr>
        <w:widowControl w:val="0"/>
        <w:tabs>
          <w:tab w:val="left" w:pos="3105"/>
        </w:tabs>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2025. év első félévben az </w:t>
      </w:r>
      <w:r w:rsidRPr="66BD4B63">
        <w:rPr>
          <w:rFonts w:ascii="Times New Roman" w:eastAsia="Times New Roman" w:hAnsi="Times New Roman" w:cs="Times New Roman"/>
          <w:b/>
          <w:bCs/>
          <w:sz w:val="26"/>
          <w:szCs w:val="26"/>
          <w:lang w:eastAsia="hu-HU"/>
        </w:rPr>
        <w:t>általános forgalmi adóból</w:t>
      </w:r>
      <w:r w:rsidRPr="66BD4B63">
        <w:rPr>
          <w:rFonts w:ascii="Times New Roman" w:eastAsia="Times New Roman" w:hAnsi="Times New Roman" w:cs="Times New Roman"/>
          <w:sz w:val="26"/>
          <w:szCs w:val="26"/>
          <w:lang w:eastAsia="hu-HU"/>
        </w:rPr>
        <w:t xml:space="preserve"> 4</w:t>
      </w:r>
      <w:r w:rsidR="001135FA">
        <w:rPr>
          <w:rFonts w:ascii="Times New Roman" w:eastAsia="Times New Roman" w:hAnsi="Times New Roman" w:cs="Times New Roman"/>
          <w:sz w:val="26"/>
          <w:szCs w:val="26"/>
          <w:lang w:eastAsia="hu-HU"/>
        </w:rPr>
        <w:t> </w:t>
      </w:r>
      <w:r w:rsidRPr="66BD4B63">
        <w:rPr>
          <w:rFonts w:ascii="Times New Roman" w:eastAsia="Times New Roman" w:hAnsi="Times New Roman" w:cs="Times New Roman"/>
          <w:sz w:val="26"/>
          <w:szCs w:val="26"/>
          <w:lang w:eastAsia="hu-HU"/>
        </w:rPr>
        <w:t>078,4</w:t>
      </w:r>
      <w:r w:rsidRPr="66BD4B63">
        <w:rPr>
          <w:rFonts w:ascii="Times New Roman" w:eastAsia="Times New Roman" w:hAnsi="Times New Roman" w:cs="Times New Roman"/>
          <w:color w:val="000000" w:themeColor="text1"/>
          <w:sz w:val="26"/>
          <w:szCs w:val="26"/>
          <w:lang w:eastAsia="hu-HU"/>
        </w:rPr>
        <w:t> </w:t>
      </w:r>
      <w:r w:rsidRPr="66BD4B63">
        <w:rPr>
          <w:rFonts w:ascii="Times New Roman" w:eastAsia="Times New Roman" w:hAnsi="Times New Roman" w:cs="Times New Roman"/>
          <w:sz w:val="26"/>
          <w:szCs w:val="26"/>
          <w:lang w:eastAsia="hu-HU"/>
        </w:rPr>
        <w:t>milliárd forint bevétele keletkezett a költségvetésnek, ami az egy évvel korábbi bevételt 541,5</w:t>
      </w:r>
      <w:r w:rsidRPr="66BD4B63">
        <w:rPr>
          <w:rFonts w:ascii="Times New Roman" w:eastAsia="Times New Roman" w:hAnsi="Times New Roman" w:cs="Times New Roman"/>
          <w:color w:val="000000" w:themeColor="text1"/>
          <w:sz w:val="26"/>
          <w:szCs w:val="26"/>
          <w:lang w:eastAsia="hu-HU"/>
        </w:rPr>
        <w:t> </w:t>
      </w:r>
      <w:r w:rsidRPr="66BD4B63">
        <w:rPr>
          <w:rFonts w:ascii="Times New Roman" w:eastAsia="Times New Roman" w:hAnsi="Times New Roman" w:cs="Times New Roman"/>
          <w:sz w:val="26"/>
          <w:szCs w:val="26"/>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6A6F7F" w:rsidRPr="006A6F7F" w14:paraId="59841CF6" w14:textId="77777777" w:rsidTr="66BD4B63">
        <w:trPr>
          <w:trHeight w:val="255"/>
          <w:jc w:val="center"/>
        </w:trPr>
        <w:tc>
          <w:tcPr>
            <w:tcW w:w="6905" w:type="dxa"/>
            <w:gridSpan w:val="5"/>
            <w:tcBorders>
              <w:top w:val="nil"/>
              <w:left w:val="nil"/>
              <w:bottom w:val="nil"/>
              <w:right w:val="nil"/>
            </w:tcBorders>
            <w:shd w:val="clear" w:color="auto" w:fill="auto"/>
            <w:noWrap/>
            <w:vAlign w:val="bottom"/>
            <w:hideMark/>
          </w:tcPr>
          <w:p w14:paraId="299879C4" w14:textId="77777777" w:rsidR="006A6F7F" w:rsidRPr="006A6F7F" w:rsidRDefault="66BD4B63" w:rsidP="66BD4B63">
            <w:pPr>
              <w:widowControl w:val="0"/>
              <w:spacing w:before="120" w:after="12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 xml:space="preserve">Általános forgalmi adó bevétel alakulása (milliárd forint) </w:t>
            </w:r>
          </w:p>
        </w:tc>
      </w:tr>
      <w:tr w:rsidR="006A6F7F" w:rsidRPr="006A6F7F" w14:paraId="0469C643" w14:textId="77777777" w:rsidTr="001135FA">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C57E228"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8BFBBD"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2024.</w:t>
            </w:r>
          </w:p>
          <w:p w14:paraId="1F454805" w14:textId="33681765"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I-VI.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E8B0CC"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2025.</w:t>
            </w:r>
          </w:p>
          <w:p w14:paraId="5CD358CD" w14:textId="5AB1391C"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I-VI.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3029062"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Eltérés</w:t>
            </w:r>
          </w:p>
        </w:tc>
      </w:tr>
      <w:tr w:rsidR="006A6F7F" w:rsidRPr="006A6F7F" w14:paraId="09C9ECBE" w14:textId="77777777" w:rsidTr="001135FA">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E7B6D4" w14:textId="77777777" w:rsidR="006A6F7F" w:rsidRPr="006A6F7F" w:rsidRDefault="006A6F7F" w:rsidP="006A6F7F">
            <w:pPr>
              <w:spacing w:after="0" w:line="240" w:lineRule="auto"/>
              <w:jc w:val="both"/>
              <w:rPr>
                <w:rFonts w:ascii="Times New Roman" w:eastAsia="Times New Roman" w:hAnsi="Times New Roman" w:cs="Times New Roman"/>
                <w:b/>
                <w:bCs/>
                <w:szCs w:val="20"/>
                <w:lang w:eastAsia="hu-HU"/>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5DCF97" w14:textId="77777777" w:rsidR="006A6F7F" w:rsidRPr="006A6F7F" w:rsidRDefault="006A6F7F" w:rsidP="006A6F7F">
            <w:pPr>
              <w:spacing w:after="0" w:line="240" w:lineRule="auto"/>
              <w:jc w:val="both"/>
              <w:rPr>
                <w:rFonts w:ascii="Times New Roman" w:eastAsia="Times New Roman" w:hAnsi="Times New Roman" w:cs="Times New Roman"/>
                <w:b/>
                <w:bCs/>
                <w:szCs w:val="20"/>
                <w:lang w:eastAsia="hu-HU"/>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F18EE6" w14:textId="77777777" w:rsidR="006A6F7F" w:rsidRPr="006A6F7F" w:rsidRDefault="006A6F7F" w:rsidP="006A6F7F">
            <w:pPr>
              <w:spacing w:after="0" w:line="240" w:lineRule="auto"/>
              <w:jc w:val="both"/>
              <w:rPr>
                <w:rFonts w:ascii="Times New Roman" w:eastAsia="Times New Roman" w:hAnsi="Times New Roman" w:cs="Times New Roman"/>
                <w:b/>
                <w:bCs/>
                <w:szCs w:val="20"/>
                <w:lang w:eastAsia="hu-HU"/>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F03EC7D"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4945692"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w:t>
            </w:r>
          </w:p>
        </w:tc>
      </w:tr>
      <w:tr w:rsidR="006A6F7F" w:rsidRPr="006A6F7F" w14:paraId="4D1360FA" w14:textId="77777777" w:rsidTr="66BD4B63">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F65D" w14:textId="77777777" w:rsidR="006A6F7F" w:rsidRPr="006A6F7F" w:rsidRDefault="66BD4B63" w:rsidP="66BD4B63">
            <w:pPr>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7103E"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6 306,9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71F25"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6 747,9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2BBC3"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441,0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A0234"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107,0</w:t>
            </w:r>
          </w:p>
        </w:tc>
      </w:tr>
      <w:tr w:rsidR="006A6F7F" w:rsidRPr="006A6F7F" w14:paraId="1A910D59" w14:textId="77777777" w:rsidTr="66BD4B63">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C39B9" w14:textId="77777777" w:rsidR="006A6F7F" w:rsidRPr="006A6F7F" w:rsidRDefault="66BD4B63" w:rsidP="66BD4B63">
            <w:pPr>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F656A"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2 770,0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29369"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2 669,5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DFF4E"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-100,5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83D36" w14:textId="77777777" w:rsidR="006A6F7F" w:rsidRPr="006A6F7F" w:rsidRDefault="66BD4B63" w:rsidP="66BD4B63">
            <w:pPr>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96,4</w:t>
            </w:r>
          </w:p>
        </w:tc>
      </w:tr>
      <w:tr w:rsidR="006A6F7F" w:rsidRPr="006A6F7F" w14:paraId="6F5DBC88" w14:textId="77777777" w:rsidTr="66BD4B63">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C2CF" w14:textId="77777777" w:rsidR="006A6F7F" w:rsidRPr="006A6F7F" w:rsidRDefault="66BD4B63" w:rsidP="66BD4B63">
            <w:pPr>
              <w:spacing w:after="0" w:line="240" w:lineRule="auto"/>
              <w:jc w:val="both"/>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350DE" w14:textId="77777777" w:rsidR="006A6F7F" w:rsidRPr="006A6F7F" w:rsidRDefault="66BD4B63" w:rsidP="66BD4B63">
            <w:pPr>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3 536,9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25467" w14:textId="77777777" w:rsidR="006A6F7F" w:rsidRPr="006A6F7F" w:rsidRDefault="66BD4B63" w:rsidP="66BD4B63">
            <w:pPr>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4 078,4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CC1B8" w14:textId="77777777" w:rsidR="006A6F7F" w:rsidRPr="006A6F7F" w:rsidRDefault="66BD4B63" w:rsidP="66BD4B63">
            <w:pPr>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541,5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8291" w14:textId="77777777" w:rsidR="006A6F7F" w:rsidRPr="006A6F7F" w:rsidRDefault="66BD4B63" w:rsidP="66BD4B63">
            <w:pPr>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115,3</w:t>
            </w:r>
          </w:p>
        </w:tc>
      </w:tr>
    </w:tbl>
    <w:p w14:paraId="412B550A" w14:textId="6F4DD723" w:rsidR="00C91648" w:rsidRDefault="66BD4B63" w:rsidP="66BD4B63">
      <w:pPr>
        <w:spacing w:before="240"/>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 belföldi befizetések és az import utáni áfabevételek növeked</w:t>
      </w:r>
      <w:r w:rsidR="001135FA">
        <w:rPr>
          <w:rFonts w:ascii="Times New Roman" w:eastAsia="Times New Roman" w:hAnsi="Times New Roman" w:cs="Times New Roman"/>
          <w:sz w:val="26"/>
          <w:szCs w:val="26"/>
          <w:lang w:eastAsia="hu-HU"/>
        </w:rPr>
        <w:t>ett</w:t>
      </w:r>
      <w:r w:rsidRPr="66BD4B63">
        <w:rPr>
          <w:rFonts w:ascii="Times New Roman" w:eastAsia="Times New Roman" w:hAnsi="Times New Roman" w:cs="Times New Roman"/>
          <w:sz w:val="26"/>
          <w:szCs w:val="26"/>
          <w:lang w:eastAsia="hu-HU"/>
        </w:rPr>
        <w:t>, ugyanakkor a dohány</w:t>
      </w:r>
      <w:r w:rsidR="001135FA">
        <w:rPr>
          <w:rFonts w:ascii="Times New Roman" w:eastAsia="Times New Roman" w:hAnsi="Times New Roman" w:cs="Times New Roman"/>
          <w:sz w:val="26"/>
          <w:szCs w:val="26"/>
          <w:lang w:eastAsia="hu-HU"/>
        </w:rPr>
        <w:t>-</w:t>
      </w:r>
      <w:r w:rsidRPr="66BD4B63">
        <w:rPr>
          <w:rFonts w:ascii="Times New Roman" w:eastAsia="Times New Roman" w:hAnsi="Times New Roman" w:cs="Times New Roman"/>
          <w:sz w:val="26"/>
          <w:szCs w:val="26"/>
          <w:lang w:eastAsia="hu-HU"/>
        </w:rPr>
        <w:t>termékek utáni áfabevétel csökkent. A belföldi befizetések növekedése elsősorban a kereskedelem ágazathoz köthető. Az import utáni befizetések növekedése hátterében a forgalom alakulása áll. A dohánytermékek utáni bevételek alacsonyabb teljesülését a 2025.</w:t>
      </w:r>
      <w:r w:rsidR="001135FA">
        <w:rPr>
          <w:rFonts w:ascii="Times New Roman" w:eastAsia="Times New Roman" w:hAnsi="Times New Roman" w:cs="Times New Roman"/>
          <w:sz w:val="26"/>
          <w:szCs w:val="26"/>
          <w:lang w:eastAsia="hu-HU"/>
        </w:rPr>
        <w:t> </w:t>
      </w:r>
      <w:r w:rsidRPr="66BD4B63">
        <w:rPr>
          <w:rFonts w:ascii="Times New Roman" w:eastAsia="Times New Roman" w:hAnsi="Times New Roman" w:cs="Times New Roman"/>
          <w:sz w:val="26"/>
          <w:szCs w:val="26"/>
          <w:lang w:eastAsia="hu-HU"/>
        </w:rPr>
        <w:t>januári jövedéki adómérték-emelésre adott piaci reakció, a készletezési hatás magyarázza. A kiutalások alakulását a köztes ágazatok befizetése befolyásolja.</w:t>
      </w:r>
    </w:p>
    <w:p w14:paraId="6BE93CF3" w14:textId="77777777" w:rsidR="00024158" w:rsidRPr="006330AD" w:rsidRDefault="00024158" w:rsidP="00024158">
      <w:pPr>
        <w:spacing w:after="0"/>
        <w:jc w:val="both"/>
        <w:rPr>
          <w:rFonts w:ascii="Times New Roman" w:eastAsia="Times New Roman" w:hAnsi="Times New Roman" w:cs="Times New Roman"/>
          <w:sz w:val="26"/>
          <w:szCs w:val="20"/>
          <w:lang w:eastAsia="hu-HU"/>
        </w:rPr>
      </w:pPr>
    </w:p>
    <w:p w14:paraId="6A4419C7" w14:textId="7B60FEBD" w:rsidR="00CF551C" w:rsidRPr="00945E04" w:rsidRDefault="0005250F" w:rsidP="004C0575">
      <w:pPr>
        <w:pStyle w:val="NormlWeb"/>
        <w:spacing w:before="0" w:beforeAutospacing="0" w:after="0" w:afterAutospacing="0"/>
        <w:jc w:val="center"/>
        <w:rPr>
          <w:sz w:val="22"/>
        </w:rPr>
      </w:pPr>
      <w:r>
        <w:rPr>
          <w:noProof/>
        </w:rPr>
        <w:drawing>
          <wp:inline distT="0" distB="0" distL="0" distR="0" wp14:anchorId="5319800F" wp14:editId="0AE6D39E">
            <wp:extent cx="5940425" cy="3922395"/>
            <wp:effectExtent l="0" t="0" r="3175" b="1905"/>
            <wp:docPr id="171857143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71432" name=""/>
                    <pic:cNvPicPr/>
                  </pic:nvPicPr>
                  <pic:blipFill>
                    <a:blip r:embed="rId15"/>
                    <a:stretch>
                      <a:fillRect/>
                    </a:stretch>
                  </pic:blipFill>
                  <pic:spPr>
                    <a:xfrm>
                      <a:off x="0" y="0"/>
                      <a:ext cx="5940425" cy="3922395"/>
                    </a:xfrm>
                    <a:prstGeom prst="rect">
                      <a:avLst/>
                    </a:prstGeom>
                  </pic:spPr>
                </pic:pic>
              </a:graphicData>
            </a:graphic>
          </wp:inline>
        </w:drawing>
      </w:r>
    </w:p>
    <w:p w14:paraId="61352CF0" w14:textId="2983FB46" w:rsidR="006330AD" w:rsidRPr="006330AD" w:rsidRDefault="66BD4B63" w:rsidP="66BD4B63">
      <w:pPr>
        <w:spacing w:before="240"/>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b/>
          <w:bCs/>
          <w:sz w:val="26"/>
          <w:szCs w:val="26"/>
          <w:lang w:eastAsia="hu-HU"/>
        </w:rPr>
        <w:t>jövedéki adóból</w:t>
      </w:r>
      <w:r w:rsidRPr="66BD4B63">
        <w:rPr>
          <w:rFonts w:ascii="Times New Roman" w:eastAsia="Times New Roman" w:hAnsi="Times New Roman" w:cs="Times New Roman"/>
          <w:sz w:val="26"/>
          <w:szCs w:val="26"/>
          <w:lang w:eastAsia="hu-HU"/>
        </w:rPr>
        <w:t xml:space="preserve"> származó bevétel a 2025. év első félévében 751,1</w:t>
      </w:r>
      <w:r w:rsidRPr="66BD4B63">
        <w:rPr>
          <w:rFonts w:ascii="Times New Roman" w:eastAsia="Times New Roman" w:hAnsi="Times New Roman" w:cs="Times New Roman"/>
          <w:color w:val="000000" w:themeColor="text1"/>
          <w:sz w:val="26"/>
          <w:szCs w:val="26"/>
          <w:lang w:eastAsia="hu-HU"/>
        </w:rPr>
        <w:t> </w:t>
      </w:r>
      <w:r w:rsidRPr="66BD4B63">
        <w:rPr>
          <w:rFonts w:ascii="Times New Roman" w:eastAsia="Times New Roman" w:hAnsi="Times New Roman" w:cs="Times New Roman"/>
          <w:sz w:val="26"/>
          <w:szCs w:val="26"/>
          <w:lang w:eastAsia="hu-HU"/>
        </w:rPr>
        <w:t>milliárd forintot tett ki, amely 3,6 milliárd forinttal magasabb az egy évvel korábbi bevételnél. Az üzemanyagok utáni bevételek növekedését a 2025. január 1-</w:t>
      </w:r>
      <w:r w:rsidR="001135FA">
        <w:rPr>
          <w:rFonts w:ascii="Times New Roman" w:eastAsia="Times New Roman" w:hAnsi="Times New Roman" w:cs="Times New Roman"/>
          <w:sz w:val="26"/>
          <w:szCs w:val="26"/>
          <w:lang w:eastAsia="hu-HU"/>
        </w:rPr>
        <w:t>jé</w:t>
      </w:r>
      <w:r w:rsidRPr="66BD4B63">
        <w:rPr>
          <w:rFonts w:ascii="Times New Roman" w:eastAsia="Times New Roman" w:hAnsi="Times New Roman" w:cs="Times New Roman"/>
          <w:sz w:val="26"/>
          <w:szCs w:val="26"/>
          <w:lang w:eastAsia="hu-HU"/>
        </w:rPr>
        <w:t>től hatályos magasabb adómértékek magyarázzák. A dohánytermékek utáni bevételek csökkenésének hátterében a 2025. januári adómérték-emelésből fakadó készletezési hatás áll. A szeszesitalok és egyéb termékek esetében a bevételek csökkenését az alacsonyabb forgalom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6A6F7F" w:rsidRPr="006A6F7F" w14:paraId="4C94A3B9" w14:textId="77777777" w:rsidTr="66BD4B63">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2A1D9973" w14:textId="77777777" w:rsidR="006A6F7F" w:rsidRPr="006A6F7F" w:rsidRDefault="66BD4B63" w:rsidP="66BD4B63">
            <w:pPr>
              <w:spacing w:before="120" w:after="120" w:line="240" w:lineRule="auto"/>
              <w:jc w:val="center"/>
              <w:rPr>
                <w:rFonts w:ascii="Times New Roman" w:eastAsia="Times New Roman" w:hAnsi="Times New Roman" w:cs="Times New Roman"/>
                <w:b/>
                <w:bCs/>
                <w:sz w:val="26"/>
                <w:szCs w:val="26"/>
                <w:lang w:eastAsia="hu-HU"/>
              </w:rPr>
            </w:pPr>
            <w:r w:rsidRPr="66BD4B63">
              <w:rPr>
                <w:rFonts w:ascii="Times New Roman" w:eastAsia="Times New Roman" w:hAnsi="Times New Roman" w:cs="Times New Roman"/>
                <w:b/>
                <w:bCs/>
                <w:lang w:eastAsia="hu-HU"/>
              </w:rPr>
              <w:t>Jövedéki adó bevétel alakulása (milliárd forint)</w:t>
            </w:r>
          </w:p>
        </w:tc>
      </w:tr>
      <w:tr w:rsidR="006A6F7F" w:rsidRPr="006A6F7F" w14:paraId="3013F117" w14:textId="77777777" w:rsidTr="001135FA">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D59CCF7"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191AFC"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2024.</w:t>
            </w:r>
          </w:p>
          <w:p w14:paraId="532D2E1B" w14:textId="547ADBF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I-VI.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4EA5B1"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2025.</w:t>
            </w:r>
          </w:p>
          <w:p w14:paraId="6F372FA5" w14:textId="534D7106"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I-VI.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32BBD8F"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Eltérés</w:t>
            </w:r>
          </w:p>
        </w:tc>
      </w:tr>
      <w:tr w:rsidR="006A6F7F" w:rsidRPr="006A6F7F" w14:paraId="0EAEACBE" w14:textId="77777777" w:rsidTr="001135FA">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14C68B" w14:textId="77777777" w:rsidR="006A6F7F" w:rsidRPr="006A6F7F" w:rsidRDefault="006A6F7F" w:rsidP="006A6F7F">
            <w:pPr>
              <w:spacing w:after="0" w:line="240" w:lineRule="auto"/>
              <w:jc w:val="both"/>
              <w:rPr>
                <w:rFonts w:ascii="Times New Roman" w:eastAsia="Times New Roman" w:hAnsi="Times New Roman" w:cs="Times New Roman"/>
                <w:b/>
                <w:bCs/>
                <w:szCs w:val="20"/>
                <w:lang w:eastAsia="hu-HU"/>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1650A" w14:textId="77777777" w:rsidR="006A6F7F" w:rsidRPr="006A6F7F" w:rsidRDefault="006A6F7F" w:rsidP="006A6F7F">
            <w:pPr>
              <w:spacing w:after="0" w:line="240" w:lineRule="auto"/>
              <w:jc w:val="center"/>
              <w:rPr>
                <w:rFonts w:ascii="Times New Roman" w:eastAsia="Times New Roman" w:hAnsi="Times New Roman" w:cs="Times New Roman"/>
                <w:b/>
                <w:bCs/>
                <w:szCs w:val="20"/>
                <w:lang w:eastAsia="hu-HU"/>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5E005B" w14:textId="77777777" w:rsidR="006A6F7F" w:rsidRPr="006A6F7F" w:rsidRDefault="006A6F7F" w:rsidP="006A6F7F">
            <w:pPr>
              <w:spacing w:after="0" w:line="240" w:lineRule="auto"/>
              <w:jc w:val="center"/>
              <w:rPr>
                <w:rFonts w:ascii="Times New Roman" w:eastAsia="Times New Roman" w:hAnsi="Times New Roman" w:cs="Times New Roman"/>
                <w:b/>
                <w:bCs/>
                <w:szCs w:val="20"/>
                <w:lang w:eastAsia="hu-HU"/>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F408716"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98B43A4" w14:textId="77777777"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w:t>
            </w:r>
          </w:p>
        </w:tc>
      </w:tr>
      <w:tr w:rsidR="006A6F7F" w:rsidRPr="006A6F7F" w14:paraId="7C77D5C1" w14:textId="77777777" w:rsidTr="66BD4B6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5B769" w14:textId="77777777" w:rsidR="006A6F7F" w:rsidRPr="006A6F7F" w:rsidRDefault="66BD4B63" w:rsidP="66BD4B63">
            <w:pPr>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0E6F"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414,5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8A99D" w14:textId="19C3FD0C"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440,</w:t>
            </w:r>
            <w:r w:rsidR="00656E38">
              <w:rPr>
                <w:rFonts w:ascii="Times New Roman" w:eastAsia="Times New Roman" w:hAnsi="Times New Roman" w:cs="Times New Roman"/>
                <w:color w:val="000000" w:themeColor="text1"/>
                <w:lang w:eastAsia="hu-HU"/>
              </w:rPr>
              <w:t>7</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DE74" w14:textId="0F71D6E6"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26,</w:t>
            </w:r>
            <w:r w:rsidR="00656E38">
              <w:rPr>
                <w:rFonts w:ascii="Times New Roman" w:eastAsia="Times New Roman" w:hAnsi="Times New Roman" w:cs="Times New Roman"/>
                <w:color w:val="000000" w:themeColor="text1"/>
                <w:lang w:eastAsia="hu-HU"/>
              </w:rPr>
              <w:t>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5C9B5"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106,3</w:t>
            </w:r>
          </w:p>
        </w:tc>
      </w:tr>
      <w:tr w:rsidR="006A6F7F" w:rsidRPr="006A6F7F" w14:paraId="36D50827" w14:textId="77777777" w:rsidTr="66BD4B6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4560" w14:textId="77777777" w:rsidR="006A6F7F" w:rsidRPr="006A6F7F" w:rsidRDefault="66BD4B63" w:rsidP="66BD4B63">
            <w:pPr>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23BE1"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254,4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15EE"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233,3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63A95"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-21,1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27FE"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91,7</w:t>
            </w:r>
          </w:p>
        </w:tc>
      </w:tr>
      <w:tr w:rsidR="006A6F7F" w:rsidRPr="006A6F7F" w14:paraId="7D1B373E" w14:textId="77777777" w:rsidTr="66BD4B6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8195" w14:textId="77777777" w:rsidR="006A6F7F" w:rsidRPr="006A6F7F" w:rsidRDefault="66BD4B63" w:rsidP="66BD4B63">
            <w:pPr>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5FA8E"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66,6</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A1A16"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64,1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7AB9E"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F75E8"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96,2</w:t>
            </w:r>
          </w:p>
        </w:tc>
      </w:tr>
      <w:tr w:rsidR="006A6F7F" w:rsidRPr="006A6F7F" w14:paraId="1BF6F403" w14:textId="77777777" w:rsidTr="66BD4B6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504B" w14:textId="77777777" w:rsidR="006A6F7F" w:rsidRPr="006A6F7F" w:rsidRDefault="66BD4B63" w:rsidP="66BD4B63">
            <w:pPr>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1002" w14:textId="77777777"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12,0</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F07F" w14:textId="45631202"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13,</w:t>
            </w:r>
            <w:r w:rsidR="00656E38">
              <w:rPr>
                <w:rFonts w:ascii="Times New Roman" w:eastAsia="Times New Roman" w:hAnsi="Times New Roman" w:cs="Times New Roman"/>
                <w:color w:val="000000" w:themeColor="text1"/>
                <w:lang w:eastAsia="hu-HU"/>
              </w:rPr>
              <w:t>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D14D2" w14:textId="724F7D70"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1,</w:t>
            </w:r>
            <w:r w:rsidR="00656E38">
              <w:rPr>
                <w:rFonts w:ascii="Times New Roman" w:eastAsia="Times New Roman" w:hAnsi="Times New Roman" w:cs="Times New Roman"/>
                <w:color w:val="000000" w:themeColor="text1"/>
                <w:lang w:eastAsia="hu-HU"/>
              </w:rPr>
              <w:t>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B094" w14:textId="02BDCC03" w:rsidR="006A6F7F" w:rsidRPr="006A6F7F" w:rsidRDefault="66BD4B63" w:rsidP="66BD4B63">
            <w:pPr>
              <w:spacing w:after="0" w:line="240" w:lineRule="auto"/>
              <w:jc w:val="right"/>
              <w:rPr>
                <w:rFonts w:ascii="Times New Roman" w:eastAsia="Times New Roman" w:hAnsi="Times New Roman" w:cs="Times New Roman"/>
                <w:highlight w:val="yellow"/>
                <w:lang w:eastAsia="hu-HU"/>
              </w:rPr>
            </w:pPr>
            <w:r w:rsidRPr="66BD4B63">
              <w:rPr>
                <w:rFonts w:ascii="Times New Roman" w:eastAsia="Times New Roman" w:hAnsi="Times New Roman" w:cs="Times New Roman"/>
                <w:color w:val="000000" w:themeColor="text1"/>
                <w:lang w:eastAsia="hu-HU"/>
              </w:rPr>
              <w:t>10</w:t>
            </w:r>
            <w:r w:rsidR="00656E38">
              <w:rPr>
                <w:rFonts w:ascii="Times New Roman" w:eastAsia="Times New Roman" w:hAnsi="Times New Roman" w:cs="Times New Roman"/>
                <w:color w:val="000000" w:themeColor="text1"/>
                <w:lang w:eastAsia="hu-HU"/>
              </w:rPr>
              <w:t>8,3</w:t>
            </w:r>
          </w:p>
        </w:tc>
      </w:tr>
      <w:tr w:rsidR="006A6F7F" w:rsidRPr="006A6F7F" w14:paraId="270E6F2C" w14:textId="77777777" w:rsidTr="66BD4B63">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BCD30" w14:textId="77777777" w:rsidR="006A6F7F" w:rsidRPr="006A6F7F" w:rsidRDefault="66BD4B63" w:rsidP="66BD4B63">
            <w:pPr>
              <w:spacing w:after="0" w:line="240" w:lineRule="auto"/>
              <w:jc w:val="both"/>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B89D2" w14:textId="77777777" w:rsidR="006A6F7F" w:rsidRPr="006A6F7F" w:rsidRDefault="66BD4B63" w:rsidP="66BD4B63">
            <w:pPr>
              <w:spacing w:after="0" w:line="240" w:lineRule="auto"/>
              <w:jc w:val="right"/>
              <w:rPr>
                <w:rFonts w:ascii="Times New Roman" w:eastAsia="Times New Roman" w:hAnsi="Times New Roman" w:cs="Times New Roman"/>
                <w:b/>
                <w:bCs/>
                <w:highlight w:val="yellow"/>
                <w:lang w:eastAsia="hu-HU"/>
              </w:rPr>
            </w:pPr>
            <w:r w:rsidRPr="66BD4B63">
              <w:rPr>
                <w:rFonts w:ascii="Times New Roman" w:eastAsia="Times New Roman" w:hAnsi="Times New Roman" w:cs="Times New Roman"/>
                <w:b/>
                <w:bCs/>
                <w:color w:val="000000" w:themeColor="text1"/>
                <w:lang w:eastAsia="hu-HU"/>
              </w:rPr>
              <w:t>747,5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31FF9" w14:textId="77777777" w:rsidR="006A6F7F" w:rsidRPr="006A6F7F" w:rsidRDefault="66BD4B63" w:rsidP="66BD4B63">
            <w:pPr>
              <w:spacing w:after="0" w:line="240" w:lineRule="auto"/>
              <w:jc w:val="right"/>
              <w:rPr>
                <w:rFonts w:ascii="Times New Roman" w:eastAsia="Times New Roman" w:hAnsi="Times New Roman" w:cs="Times New Roman"/>
                <w:b/>
                <w:bCs/>
                <w:highlight w:val="yellow"/>
                <w:lang w:eastAsia="hu-HU"/>
              </w:rPr>
            </w:pPr>
            <w:r w:rsidRPr="66BD4B63">
              <w:rPr>
                <w:rFonts w:ascii="Times New Roman" w:eastAsia="Times New Roman" w:hAnsi="Times New Roman" w:cs="Times New Roman"/>
                <w:b/>
                <w:bCs/>
                <w:color w:val="000000" w:themeColor="text1"/>
                <w:lang w:eastAsia="hu-HU"/>
              </w:rPr>
              <w:t>751,1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E4F66" w14:textId="77777777" w:rsidR="006A6F7F" w:rsidRPr="006A6F7F" w:rsidRDefault="66BD4B63" w:rsidP="66BD4B63">
            <w:pPr>
              <w:spacing w:after="0" w:line="240" w:lineRule="auto"/>
              <w:jc w:val="right"/>
              <w:rPr>
                <w:rFonts w:ascii="Times New Roman" w:eastAsia="Times New Roman" w:hAnsi="Times New Roman" w:cs="Times New Roman"/>
                <w:b/>
                <w:bCs/>
                <w:highlight w:val="yellow"/>
                <w:lang w:eastAsia="hu-HU"/>
              </w:rPr>
            </w:pPr>
            <w:r w:rsidRPr="66BD4B63">
              <w:rPr>
                <w:rFonts w:ascii="Times New Roman" w:eastAsia="Times New Roman" w:hAnsi="Times New Roman" w:cs="Times New Roman"/>
                <w:b/>
                <w:bCs/>
                <w:color w:val="000000" w:themeColor="text1"/>
                <w:lang w:eastAsia="hu-HU"/>
              </w:rPr>
              <w:t>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8E1E2" w14:textId="77777777" w:rsidR="006A6F7F" w:rsidRPr="006A6F7F" w:rsidRDefault="66BD4B63" w:rsidP="66BD4B63">
            <w:pPr>
              <w:spacing w:after="0" w:line="240" w:lineRule="auto"/>
              <w:jc w:val="right"/>
              <w:rPr>
                <w:rFonts w:ascii="Times New Roman" w:eastAsia="Times New Roman" w:hAnsi="Times New Roman" w:cs="Times New Roman"/>
                <w:b/>
                <w:bCs/>
                <w:highlight w:val="yellow"/>
                <w:lang w:eastAsia="hu-HU"/>
              </w:rPr>
            </w:pPr>
            <w:r w:rsidRPr="66BD4B63">
              <w:rPr>
                <w:rFonts w:ascii="Times New Roman" w:eastAsia="Times New Roman" w:hAnsi="Times New Roman" w:cs="Times New Roman"/>
                <w:b/>
                <w:bCs/>
                <w:color w:val="000000" w:themeColor="text1"/>
                <w:lang w:eastAsia="hu-HU"/>
              </w:rPr>
              <w:t>100,5</w:t>
            </w:r>
          </w:p>
        </w:tc>
      </w:tr>
    </w:tbl>
    <w:p w14:paraId="34DC1AC3" w14:textId="751EC651" w:rsidR="006A6F7F" w:rsidRPr="006A6F7F" w:rsidRDefault="66BD4B63" w:rsidP="00182D6E">
      <w:pPr>
        <w:spacing w:before="240"/>
        <w:jc w:val="both"/>
        <w:rPr>
          <w:rFonts w:ascii="Times New Roman" w:eastAsia="Times New Roman" w:hAnsi="Times New Roman" w:cs="Times New Roman"/>
          <w:sz w:val="26"/>
          <w:szCs w:val="26"/>
          <w:highlight w:val="yellow"/>
          <w:lang w:eastAsia="hu-HU"/>
        </w:rPr>
      </w:pPr>
      <w:r w:rsidRPr="66BD4B63">
        <w:rPr>
          <w:rFonts w:ascii="Times New Roman" w:eastAsia="Times New Roman" w:hAnsi="Times New Roman" w:cs="Times New Roman"/>
          <w:b/>
          <w:bCs/>
          <w:sz w:val="26"/>
          <w:szCs w:val="26"/>
          <w:lang w:eastAsia="hu-HU"/>
        </w:rPr>
        <w:t>Pénzügyi tranzakciós illetékből</w:t>
      </w:r>
      <w:r w:rsidRPr="66BD4B63">
        <w:rPr>
          <w:rFonts w:ascii="Times New Roman" w:eastAsia="Times New Roman" w:hAnsi="Times New Roman" w:cs="Times New Roman"/>
          <w:sz w:val="26"/>
          <w:szCs w:val="26"/>
          <w:lang w:eastAsia="hu-HU"/>
        </w:rPr>
        <w:t xml:space="preserve"> 2025 első félévében 292,4 milliárd forint bevétele keletkezett a költségvetésnek, ami 120,0 milliárd forinttal haladta meg az egy évvel korábbi összeget. A bevételek növekedésének hátterében a 2024. augusztus 1-</w:t>
      </w:r>
      <w:r w:rsidR="00182D6E">
        <w:rPr>
          <w:rFonts w:ascii="Times New Roman" w:eastAsia="Times New Roman" w:hAnsi="Times New Roman" w:cs="Times New Roman"/>
          <w:sz w:val="26"/>
          <w:szCs w:val="26"/>
          <w:lang w:eastAsia="hu-HU"/>
        </w:rPr>
        <w:t>jé</w:t>
      </w:r>
      <w:r w:rsidRPr="66BD4B63">
        <w:rPr>
          <w:rFonts w:ascii="Times New Roman" w:eastAsia="Times New Roman" w:hAnsi="Times New Roman" w:cs="Times New Roman"/>
          <w:sz w:val="26"/>
          <w:szCs w:val="26"/>
          <w:lang w:eastAsia="hu-HU"/>
        </w:rPr>
        <w:t>től hatályos megemelt adómértékek, valamint a 2024. október elsejétől az adó hatálya alá tartozó konverziót tartalmazó műveletek állnak.</w:t>
      </w:r>
    </w:p>
    <w:p w14:paraId="7AFB7B89" w14:textId="17973E5C" w:rsidR="006A6F7F" w:rsidRPr="006A6F7F" w:rsidRDefault="66BD4B63" w:rsidP="00182D6E">
      <w:pPr>
        <w:jc w:val="both"/>
        <w:rPr>
          <w:rFonts w:ascii="Times New Roman" w:eastAsia="Times New Roman" w:hAnsi="Times New Roman" w:cs="Times New Roman"/>
          <w:sz w:val="26"/>
          <w:szCs w:val="26"/>
          <w:highlight w:val="yellow"/>
          <w:lang w:eastAsia="hu-HU"/>
        </w:rPr>
      </w:pPr>
      <w:r w:rsidRPr="66BD4B63">
        <w:rPr>
          <w:rFonts w:ascii="Times New Roman" w:eastAsia="Times New Roman" w:hAnsi="Times New Roman" w:cs="Times New Roman"/>
          <w:sz w:val="26"/>
          <w:szCs w:val="26"/>
          <w:lang w:eastAsia="hu-HU"/>
        </w:rPr>
        <w:lastRenderedPageBreak/>
        <w:t xml:space="preserve">A </w:t>
      </w:r>
      <w:r w:rsidRPr="66BD4B63">
        <w:rPr>
          <w:rFonts w:ascii="Times New Roman" w:eastAsia="Times New Roman" w:hAnsi="Times New Roman" w:cs="Times New Roman"/>
          <w:b/>
          <w:bCs/>
          <w:sz w:val="26"/>
          <w:szCs w:val="26"/>
          <w:lang w:eastAsia="hu-HU"/>
        </w:rPr>
        <w:t xml:space="preserve">biztosítási adóból </w:t>
      </w:r>
      <w:r w:rsidRPr="66BD4B63">
        <w:rPr>
          <w:rFonts w:ascii="Times New Roman" w:eastAsia="Times New Roman" w:hAnsi="Times New Roman" w:cs="Times New Roman"/>
          <w:sz w:val="26"/>
          <w:szCs w:val="26"/>
          <w:lang w:eastAsia="hu-HU"/>
        </w:rPr>
        <w:t>származó bevétel 2025</w:t>
      </w:r>
      <w:r w:rsidR="00182D6E">
        <w:rPr>
          <w:rFonts w:ascii="Times New Roman" w:eastAsia="Times New Roman" w:hAnsi="Times New Roman" w:cs="Times New Roman"/>
          <w:sz w:val="26"/>
          <w:szCs w:val="26"/>
          <w:lang w:eastAsia="hu-HU"/>
        </w:rPr>
        <w:t xml:space="preserve"> </w:t>
      </w:r>
      <w:r w:rsidRPr="66BD4B63">
        <w:rPr>
          <w:rFonts w:ascii="Times New Roman" w:eastAsia="Times New Roman" w:hAnsi="Times New Roman" w:cs="Times New Roman"/>
          <w:sz w:val="26"/>
          <w:szCs w:val="26"/>
          <w:lang w:eastAsia="hu-HU"/>
        </w:rPr>
        <w:t>első félévében 89,7 milliárd forintot tett ki, amely 54,1 milliárd forinttal alacsonyabb az egy évvel korábbi bevételnél. A bevételek előző évhez viszonyított alacsonyabb teljesülését egyrészt a 2023. évi biztosítási pótadó-kötelezettség 2024. januári elszámolásából fakadó többletbevétel, másrészt a 2024. évi pótadóelőleg első, 2024 május havi befizetése befolyásolja.</w:t>
      </w:r>
    </w:p>
    <w:p w14:paraId="68EDBC78" w14:textId="20400320" w:rsidR="006330AD" w:rsidRPr="006330AD" w:rsidRDefault="66BD4B63" w:rsidP="00182D6E">
      <w:pPr>
        <w:jc w:val="both"/>
        <w:rPr>
          <w:rFonts w:ascii="Times New Roman" w:eastAsia="Times New Roman" w:hAnsi="Times New Roman" w:cs="Times New Roman"/>
          <w:color w:val="000000" w:themeColor="text1"/>
          <w:sz w:val="26"/>
          <w:szCs w:val="26"/>
          <w:lang w:eastAsia="hu-HU"/>
        </w:rPr>
      </w:pPr>
      <w:r w:rsidRPr="66BD4B63">
        <w:rPr>
          <w:rFonts w:ascii="Times New Roman" w:eastAsia="Times New Roman" w:hAnsi="Times New Roman" w:cs="Times New Roman"/>
          <w:color w:val="000000" w:themeColor="text1"/>
          <w:sz w:val="26"/>
          <w:szCs w:val="26"/>
          <w:lang w:eastAsia="hu-HU"/>
        </w:rPr>
        <w:t xml:space="preserve">A </w:t>
      </w:r>
      <w:r w:rsidRPr="66BD4B63">
        <w:rPr>
          <w:rFonts w:ascii="Times New Roman" w:eastAsia="Times New Roman" w:hAnsi="Times New Roman" w:cs="Times New Roman"/>
          <w:b/>
          <w:bCs/>
          <w:color w:val="000000" w:themeColor="text1"/>
          <w:sz w:val="26"/>
          <w:szCs w:val="26"/>
          <w:lang w:eastAsia="hu-HU"/>
        </w:rPr>
        <w:t>személyi jövedelemadó</w:t>
      </w:r>
      <w:r w:rsidRPr="66BD4B63">
        <w:rPr>
          <w:rFonts w:ascii="Times New Roman" w:eastAsia="Times New Roman" w:hAnsi="Times New Roman" w:cs="Times New Roman"/>
          <w:color w:val="000000" w:themeColor="text1"/>
          <w:sz w:val="26"/>
          <w:szCs w:val="26"/>
          <w:lang w:eastAsia="hu-HU"/>
        </w:rPr>
        <w:t xml:space="preserve"> bevétele 2025 első hat hónapjában 2</w:t>
      </w:r>
      <w:r w:rsidRPr="66BD4B63">
        <w:rPr>
          <w:rFonts w:ascii="Times New Roman" w:eastAsia="Times New Roman" w:hAnsi="Times New Roman" w:cs="Times New Roman"/>
          <w:sz w:val="26"/>
          <w:szCs w:val="26"/>
          <w:lang w:eastAsia="hu-HU"/>
        </w:rPr>
        <w:t> 398,7 </w:t>
      </w:r>
      <w:r w:rsidRPr="66BD4B63">
        <w:rPr>
          <w:rFonts w:ascii="Times New Roman" w:eastAsia="Times New Roman" w:hAnsi="Times New Roman" w:cs="Times New Roman"/>
          <w:color w:val="000000" w:themeColor="text1"/>
          <w:sz w:val="26"/>
          <w:szCs w:val="26"/>
          <w:lang w:eastAsia="hu-HU"/>
        </w:rPr>
        <w:t>milliárd</w:t>
      </w:r>
      <w:r w:rsidRPr="66BD4B63">
        <w:rPr>
          <w:rFonts w:ascii="Times New Roman" w:eastAsia="Times New Roman" w:hAnsi="Times New Roman" w:cs="Times New Roman"/>
          <w:sz w:val="26"/>
          <w:szCs w:val="26"/>
          <w:lang w:eastAsia="hu-HU"/>
        </w:rPr>
        <w:t> </w:t>
      </w:r>
      <w:r w:rsidRPr="66BD4B63">
        <w:rPr>
          <w:rFonts w:ascii="Times New Roman" w:eastAsia="Times New Roman" w:hAnsi="Times New Roman" w:cs="Times New Roman"/>
          <w:color w:val="000000" w:themeColor="text1"/>
          <w:sz w:val="26"/>
          <w:szCs w:val="26"/>
          <w:lang w:eastAsia="hu-HU"/>
        </w:rPr>
        <w:t>forint volt, amely 225,3</w:t>
      </w:r>
      <w:r w:rsidRPr="66BD4B63">
        <w:rPr>
          <w:rFonts w:ascii="Times New Roman" w:eastAsia="Times New Roman" w:hAnsi="Times New Roman" w:cs="Times New Roman"/>
          <w:sz w:val="26"/>
          <w:szCs w:val="26"/>
          <w:lang w:eastAsia="hu-HU"/>
        </w:rPr>
        <w:t> </w:t>
      </w:r>
      <w:r w:rsidRPr="66BD4B63">
        <w:rPr>
          <w:rFonts w:ascii="Times New Roman" w:eastAsia="Times New Roman" w:hAnsi="Times New Roman" w:cs="Times New Roman"/>
          <w:color w:val="000000" w:themeColor="text1"/>
          <w:sz w:val="26"/>
          <w:szCs w:val="26"/>
          <w:lang w:eastAsia="hu-HU"/>
        </w:rPr>
        <w:t>milliárd</w:t>
      </w:r>
      <w:r w:rsidRPr="66BD4B63">
        <w:rPr>
          <w:rFonts w:ascii="Times New Roman" w:eastAsia="Times New Roman" w:hAnsi="Times New Roman" w:cs="Times New Roman"/>
          <w:sz w:val="26"/>
          <w:szCs w:val="26"/>
          <w:lang w:eastAsia="hu-HU"/>
        </w:rPr>
        <w:t> </w:t>
      </w:r>
      <w:r w:rsidRPr="66BD4B63">
        <w:rPr>
          <w:rFonts w:ascii="Times New Roman" w:eastAsia="Times New Roman" w:hAnsi="Times New Roman" w:cs="Times New Roman"/>
          <w:color w:val="000000" w:themeColor="text1"/>
          <w:sz w:val="26"/>
          <w:szCs w:val="26"/>
          <w:lang w:eastAsia="hu-HU"/>
        </w:rPr>
        <w:t>forinttal magasabb az egy évvel korábbi összegnél. Ennek oka a bértömeg növekedése.</w:t>
      </w:r>
    </w:p>
    <w:p w14:paraId="4AD2F5D6" w14:textId="3FECE57E" w:rsidR="00085C37" w:rsidRDefault="66BD4B63" w:rsidP="66BD4B63">
      <w:pPr>
        <w:spacing w:before="240"/>
        <w:jc w:val="center"/>
        <w:rPr>
          <w:rFonts w:ascii="Times New Roman" w:hAnsi="Times New Roman" w:cs="Times New Roman"/>
          <w:b/>
          <w:bCs/>
        </w:rPr>
      </w:pPr>
      <w:r w:rsidRPr="66BD4B63">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6A6F7F" w:rsidRPr="006A6F7F" w14:paraId="54F27AF6" w14:textId="77777777" w:rsidTr="00182D6E">
        <w:trPr>
          <w:trHeight w:val="283"/>
          <w:jc w:val="center"/>
        </w:trPr>
        <w:tc>
          <w:tcPr>
            <w:tcW w:w="1469" w:type="dxa"/>
            <w:vMerge w:val="restart"/>
            <w:shd w:val="clear" w:color="auto" w:fill="BDD6EE" w:themeFill="accent1" w:themeFillTint="66"/>
            <w:noWrap/>
            <w:vAlign w:val="center"/>
            <w:hideMark/>
          </w:tcPr>
          <w:p w14:paraId="7F0317C4" w14:textId="77777777" w:rsidR="006A6F7F" w:rsidRPr="006A6F7F"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Megnevezés</w:t>
            </w:r>
          </w:p>
        </w:tc>
        <w:tc>
          <w:tcPr>
            <w:tcW w:w="1645" w:type="dxa"/>
            <w:vMerge w:val="restart"/>
            <w:shd w:val="clear" w:color="auto" w:fill="BDD6EE" w:themeFill="accent1" w:themeFillTint="66"/>
            <w:vAlign w:val="center"/>
            <w:hideMark/>
          </w:tcPr>
          <w:p w14:paraId="34B3C0DA" w14:textId="54FFADD8"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 xml:space="preserve">2024. </w:t>
            </w:r>
            <w:r w:rsidR="006A6F7F">
              <w:br/>
            </w:r>
            <w:r w:rsidRPr="66BD4B63">
              <w:rPr>
                <w:rFonts w:ascii="Times New Roman" w:eastAsia="Times New Roman" w:hAnsi="Times New Roman" w:cs="Times New Roman"/>
                <w:b/>
                <w:bCs/>
                <w:lang w:eastAsia="hu-HU"/>
              </w:rPr>
              <w:t>I.-VI. hó</w:t>
            </w:r>
          </w:p>
        </w:tc>
        <w:tc>
          <w:tcPr>
            <w:tcW w:w="1701" w:type="dxa"/>
            <w:vMerge w:val="restart"/>
            <w:shd w:val="clear" w:color="auto" w:fill="BDD6EE" w:themeFill="accent1" w:themeFillTint="66"/>
            <w:vAlign w:val="center"/>
            <w:hideMark/>
          </w:tcPr>
          <w:p w14:paraId="6EFA2E67" w14:textId="7FE9A0DF" w:rsidR="006A6F7F" w:rsidRPr="006A6F7F"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2025.</w:t>
            </w:r>
            <w:r w:rsidR="006A6F7F">
              <w:br/>
            </w:r>
            <w:r w:rsidRPr="66BD4B63">
              <w:rPr>
                <w:rFonts w:ascii="Times New Roman" w:eastAsia="Times New Roman" w:hAnsi="Times New Roman" w:cs="Times New Roman"/>
                <w:b/>
                <w:bCs/>
                <w:lang w:eastAsia="hu-HU"/>
              </w:rPr>
              <w:t>I.-VI. hó</w:t>
            </w:r>
          </w:p>
        </w:tc>
        <w:tc>
          <w:tcPr>
            <w:tcW w:w="1984" w:type="dxa"/>
            <w:gridSpan w:val="2"/>
            <w:shd w:val="clear" w:color="auto" w:fill="BDD6EE" w:themeFill="accent1" w:themeFillTint="66"/>
            <w:vAlign w:val="center"/>
            <w:hideMark/>
          </w:tcPr>
          <w:p w14:paraId="0ED32300" w14:textId="77777777" w:rsidR="006A6F7F" w:rsidRPr="006A6F7F"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Eltérés</w:t>
            </w:r>
          </w:p>
        </w:tc>
      </w:tr>
      <w:tr w:rsidR="006A6F7F" w:rsidRPr="006A6F7F" w14:paraId="40860058" w14:textId="77777777" w:rsidTr="00182D6E">
        <w:trPr>
          <w:trHeight w:val="283"/>
          <w:jc w:val="center"/>
        </w:trPr>
        <w:tc>
          <w:tcPr>
            <w:tcW w:w="1469" w:type="dxa"/>
            <w:vMerge/>
            <w:shd w:val="clear" w:color="auto" w:fill="BDD6EE" w:themeFill="accent1" w:themeFillTint="66"/>
            <w:noWrap/>
            <w:vAlign w:val="center"/>
          </w:tcPr>
          <w:p w14:paraId="7563FF8A" w14:textId="77777777" w:rsidR="006A6F7F" w:rsidRPr="006A6F7F" w:rsidRDefault="006A6F7F" w:rsidP="006A6F7F">
            <w:pPr>
              <w:keepNext/>
              <w:keepLines/>
              <w:spacing w:after="0" w:line="240" w:lineRule="auto"/>
              <w:jc w:val="center"/>
              <w:rPr>
                <w:rFonts w:ascii="Times New Roman" w:eastAsia="Times New Roman" w:hAnsi="Times New Roman" w:cs="Times New Roman"/>
                <w:b/>
                <w:bCs/>
                <w:szCs w:val="20"/>
                <w:lang w:eastAsia="hu-HU"/>
              </w:rPr>
            </w:pPr>
          </w:p>
        </w:tc>
        <w:tc>
          <w:tcPr>
            <w:tcW w:w="1645" w:type="dxa"/>
            <w:vMerge/>
            <w:shd w:val="clear" w:color="auto" w:fill="BDD6EE" w:themeFill="accent1" w:themeFillTint="66"/>
            <w:vAlign w:val="center"/>
          </w:tcPr>
          <w:p w14:paraId="184F389D" w14:textId="77777777" w:rsidR="006A6F7F" w:rsidRPr="006A6F7F" w:rsidRDefault="006A6F7F" w:rsidP="006A6F7F">
            <w:pPr>
              <w:spacing w:after="0" w:line="240" w:lineRule="auto"/>
              <w:jc w:val="center"/>
              <w:rPr>
                <w:rFonts w:ascii="Times New Roman" w:eastAsia="Times New Roman" w:hAnsi="Times New Roman" w:cs="Times New Roman"/>
                <w:b/>
                <w:bCs/>
                <w:szCs w:val="20"/>
                <w:lang w:eastAsia="hu-HU"/>
              </w:rPr>
            </w:pPr>
          </w:p>
        </w:tc>
        <w:tc>
          <w:tcPr>
            <w:tcW w:w="1701" w:type="dxa"/>
            <w:vMerge/>
            <w:shd w:val="clear" w:color="auto" w:fill="BDD6EE" w:themeFill="accent1" w:themeFillTint="66"/>
            <w:vAlign w:val="center"/>
          </w:tcPr>
          <w:p w14:paraId="323B8CAB" w14:textId="77777777" w:rsidR="006A6F7F" w:rsidRPr="006A6F7F" w:rsidRDefault="006A6F7F" w:rsidP="006A6F7F">
            <w:pPr>
              <w:spacing w:after="0" w:line="240" w:lineRule="auto"/>
              <w:jc w:val="center"/>
              <w:rPr>
                <w:rFonts w:ascii="Times New Roman" w:eastAsia="Times New Roman" w:hAnsi="Times New Roman" w:cs="Times New Roman"/>
                <w:b/>
                <w:bCs/>
                <w:szCs w:val="20"/>
                <w:lang w:eastAsia="hu-HU"/>
              </w:rPr>
            </w:pPr>
          </w:p>
        </w:tc>
        <w:tc>
          <w:tcPr>
            <w:tcW w:w="992" w:type="dxa"/>
            <w:shd w:val="clear" w:color="auto" w:fill="BDD6EE" w:themeFill="accent1" w:themeFillTint="66"/>
            <w:vAlign w:val="center"/>
          </w:tcPr>
          <w:p w14:paraId="3190475A" w14:textId="77777777" w:rsidR="006A6F7F" w:rsidRPr="006A6F7F"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Mrd Ft</w:t>
            </w:r>
          </w:p>
        </w:tc>
        <w:tc>
          <w:tcPr>
            <w:tcW w:w="992" w:type="dxa"/>
            <w:shd w:val="clear" w:color="auto" w:fill="BDD6EE" w:themeFill="accent1" w:themeFillTint="66"/>
          </w:tcPr>
          <w:p w14:paraId="070E0943" w14:textId="77777777" w:rsidR="006A6F7F" w:rsidRPr="006A6F7F"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w:t>
            </w:r>
          </w:p>
        </w:tc>
      </w:tr>
      <w:tr w:rsidR="006A6F7F" w:rsidRPr="006A6F7F" w14:paraId="0021194E" w14:textId="77777777" w:rsidTr="66BD4B63">
        <w:trPr>
          <w:trHeight w:val="340"/>
          <w:jc w:val="center"/>
        </w:trPr>
        <w:tc>
          <w:tcPr>
            <w:tcW w:w="1469" w:type="dxa"/>
            <w:shd w:val="clear" w:color="auto" w:fill="auto"/>
            <w:noWrap/>
            <w:vAlign w:val="center"/>
            <w:hideMark/>
          </w:tcPr>
          <w:p w14:paraId="6FC801DD" w14:textId="77777777" w:rsidR="006A6F7F" w:rsidRPr="006A6F7F" w:rsidRDefault="66BD4B63" w:rsidP="66BD4B63">
            <w:pPr>
              <w:keepNext/>
              <w:keepLines/>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Befizetés</w:t>
            </w:r>
          </w:p>
        </w:tc>
        <w:tc>
          <w:tcPr>
            <w:tcW w:w="1645" w:type="dxa"/>
            <w:shd w:val="clear" w:color="auto" w:fill="auto"/>
            <w:noWrap/>
            <w:vAlign w:val="center"/>
          </w:tcPr>
          <w:p w14:paraId="66FC6994"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2 383,6</w:t>
            </w:r>
          </w:p>
        </w:tc>
        <w:tc>
          <w:tcPr>
            <w:tcW w:w="1701" w:type="dxa"/>
            <w:shd w:val="clear" w:color="auto" w:fill="auto"/>
            <w:noWrap/>
            <w:vAlign w:val="center"/>
          </w:tcPr>
          <w:p w14:paraId="7C6B3AFD"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2 626,6</w:t>
            </w:r>
          </w:p>
        </w:tc>
        <w:tc>
          <w:tcPr>
            <w:tcW w:w="992" w:type="dxa"/>
            <w:shd w:val="clear" w:color="auto" w:fill="auto"/>
            <w:noWrap/>
            <w:vAlign w:val="center"/>
          </w:tcPr>
          <w:p w14:paraId="38C2EF27"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243,0</w:t>
            </w:r>
          </w:p>
        </w:tc>
        <w:tc>
          <w:tcPr>
            <w:tcW w:w="992" w:type="dxa"/>
            <w:shd w:val="clear" w:color="auto" w:fill="auto"/>
            <w:vAlign w:val="center"/>
          </w:tcPr>
          <w:p w14:paraId="295D6CBB"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110,2</w:t>
            </w:r>
          </w:p>
        </w:tc>
      </w:tr>
      <w:tr w:rsidR="006A6F7F" w:rsidRPr="006A6F7F" w14:paraId="61CE66B5" w14:textId="77777777" w:rsidTr="66BD4B63">
        <w:trPr>
          <w:trHeight w:val="340"/>
          <w:jc w:val="center"/>
        </w:trPr>
        <w:tc>
          <w:tcPr>
            <w:tcW w:w="1469" w:type="dxa"/>
            <w:shd w:val="clear" w:color="auto" w:fill="auto"/>
            <w:noWrap/>
            <w:vAlign w:val="center"/>
            <w:hideMark/>
          </w:tcPr>
          <w:p w14:paraId="10D470DF" w14:textId="77777777" w:rsidR="006A6F7F" w:rsidRPr="006A6F7F" w:rsidRDefault="66BD4B63" w:rsidP="66BD4B63">
            <w:pPr>
              <w:keepNext/>
              <w:keepLines/>
              <w:spacing w:after="0" w:line="240" w:lineRule="auto"/>
              <w:jc w:val="both"/>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Kiutalás</w:t>
            </w:r>
          </w:p>
        </w:tc>
        <w:tc>
          <w:tcPr>
            <w:tcW w:w="1645" w:type="dxa"/>
            <w:shd w:val="clear" w:color="auto" w:fill="auto"/>
            <w:noWrap/>
            <w:vAlign w:val="center"/>
          </w:tcPr>
          <w:p w14:paraId="40FAE2F2"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210,2</w:t>
            </w:r>
          </w:p>
        </w:tc>
        <w:tc>
          <w:tcPr>
            <w:tcW w:w="1701" w:type="dxa"/>
            <w:shd w:val="clear" w:color="auto" w:fill="auto"/>
            <w:noWrap/>
            <w:vAlign w:val="center"/>
          </w:tcPr>
          <w:p w14:paraId="73E12E24"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227,9</w:t>
            </w:r>
          </w:p>
        </w:tc>
        <w:tc>
          <w:tcPr>
            <w:tcW w:w="992" w:type="dxa"/>
            <w:shd w:val="clear" w:color="auto" w:fill="auto"/>
            <w:noWrap/>
            <w:vAlign w:val="center"/>
          </w:tcPr>
          <w:p w14:paraId="20B41164"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17,7</w:t>
            </w:r>
          </w:p>
        </w:tc>
        <w:tc>
          <w:tcPr>
            <w:tcW w:w="992" w:type="dxa"/>
            <w:shd w:val="clear" w:color="auto" w:fill="auto"/>
            <w:vAlign w:val="center"/>
          </w:tcPr>
          <w:p w14:paraId="370BFBFA" w14:textId="77777777" w:rsidR="006A6F7F" w:rsidRPr="006A6F7F" w:rsidRDefault="66BD4B63" w:rsidP="66BD4B63">
            <w:pPr>
              <w:keepNext/>
              <w:keepLines/>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108,4</w:t>
            </w:r>
          </w:p>
        </w:tc>
      </w:tr>
      <w:tr w:rsidR="006A6F7F" w:rsidRPr="006A6F7F" w14:paraId="658B9C0E" w14:textId="77777777" w:rsidTr="66BD4B63">
        <w:trPr>
          <w:trHeight w:val="340"/>
          <w:jc w:val="center"/>
        </w:trPr>
        <w:tc>
          <w:tcPr>
            <w:tcW w:w="1469" w:type="dxa"/>
            <w:shd w:val="clear" w:color="auto" w:fill="auto"/>
            <w:noWrap/>
            <w:vAlign w:val="center"/>
            <w:hideMark/>
          </w:tcPr>
          <w:p w14:paraId="46471322" w14:textId="77777777" w:rsidR="006A6F7F" w:rsidRPr="006A6F7F" w:rsidRDefault="66BD4B63" w:rsidP="66BD4B63">
            <w:pPr>
              <w:widowControl w:val="0"/>
              <w:spacing w:after="0" w:line="240" w:lineRule="auto"/>
              <w:jc w:val="both"/>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Egyenleg</w:t>
            </w:r>
          </w:p>
        </w:tc>
        <w:tc>
          <w:tcPr>
            <w:tcW w:w="1645" w:type="dxa"/>
            <w:shd w:val="clear" w:color="auto" w:fill="auto"/>
            <w:noWrap/>
            <w:vAlign w:val="center"/>
          </w:tcPr>
          <w:p w14:paraId="2FB5CFFA" w14:textId="77777777" w:rsidR="006A6F7F" w:rsidRPr="006A6F7F" w:rsidRDefault="66BD4B63" w:rsidP="66BD4B63">
            <w:pPr>
              <w:widowControl w:val="0"/>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2 173,4</w:t>
            </w:r>
          </w:p>
        </w:tc>
        <w:tc>
          <w:tcPr>
            <w:tcW w:w="1701" w:type="dxa"/>
            <w:shd w:val="clear" w:color="auto" w:fill="auto"/>
            <w:noWrap/>
            <w:vAlign w:val="center"/>
          </w:tcPr>
          <w:p w14:paraId="6CF86E61" w14:textId="77777777" w:rsidR="006A6F7F" w:rsidRPr="006A6F7F" w:rsidRDefault="66BD4B63" w:rsidP="66BD4B63">
            <w:pPr>
              <w:widowControl w:val="0"/>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2 398,7</w:t>
            </w:r>
          </w:p>
        </w:tc>
        <w:tc>
          <w:tcPr>
            <w:tcW w:w="992" w:type="dxa"/>
            <w:shd w:val="clear" w:color="auto" w:fill="auto"/>
            <w:noWrap/>
            <w:vAlign w:val="center"/>
          </w:tcPr>
          <w:p w14:paraId="11AF60CC" w14:textId="77777777" w:rsidR="006A6F7F" w:rsidRPr="006A6F7F" w:rsidRDefault="66BD4B63" w:rsidP="66BD4B63">
            <w:pPr>
              <w:widowControl w:val="0"/>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225,3</w:t>
            </w:r>
          </w:p>
        </w:tc>
        <w:tc>
          <w:tcPr>
            <w:tcW w:w="992" w:type="dxa"/>
            <w:shd w:val="clear" w:color="auto" w:fill="auto"/>
            <w:vAlign w:val="center"/>
          </w:tcPr>
          <w:p w14:paraId="102138C5" w14:textId="77777777" w:rsidR="006A6F7F" w:rsidRPr="006A6F7F" w:rsidRDefault="66BD4B63" w:rsidP="66BD4B63">
            <w:pPr>
              <w:widowControl w:val="0"/>
              <w:spacing w:after="0" w:line="240" w:lineRule="auto"/>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110,4</w:t>
            </w:r>
          </w:p>
        </w:tc>
      </w:tr>
    </w:tbl>
    <w:p w14:paraId="54234F12" w14:textId="4DCA91F2" w:rsidR="123EFD2F" w:rsidRPr="00381A54" w:rsidRDefault="66BD4B63" w:rsidP="66BD4B63">
      <w:pPr>
        <w:spacing w:before="240"/>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Központi Maradványelszámolási Alapba</w:t>
      </w:r>
      <w:r w:rsidRPr="66BD4B63">
        <w:rPr>
          <w:rFonts w:ascii="Times New Roman" w:eastAsia="Times New Roman" w:hAnsi="Times New Roman" w:cs="Times New Roman"/>
          <w:sz w:val="26"/>
          <w:szCs w:val="26"/>
        </w:rPr>
        <w:t xml:space="preserve"> </w:t>
      </w:r>
      <w:r w:rsidRPr="66BD4B63">
        <w:rPr>
          <w:rFonts w:ascii="Times New Roman" w:eastAsia="Times New Roman" w:hAnsi="Times New Roman" w:cs="Times New Roman"/>
          <w:b/>
          <w:bCs/>
          <w:sz w:val="26"/>
          <w:szCs w:val="26"/>
        </w:rPr>
        <w:t>történő befizetések</w:t>
      </w:r>
      <w:r w:rsidRPr="66BD4B63">
        <w:rPr>
          <w:rFonts w:ascii="Times New Roman" w:eastAsia="Times New Roman" w:hAnsi="Times New Roman" w:cs="Times New Roman"/>
          <w:sz w:val="26"/>
          <w:szCs w:val="26"/>
        </w:rPr>
        <w:t xml:space="preserve"> mérlegsorra az év első hat hónapjában 295,3 milliárd forint maradvány került befizetésre, szemben az előző év azonos időszakában befolyt 1</w:t>
      </w:r>
      <w:r w:rsidR="00637245">
        <w:rPr>
          <w:rFonts w:ascii="Times New Roman" w:eastAsia="Times New Roman" w:hAnsi="Times New Roman" w:cs="Times New Roman"/>
          <w:sz w:val="26"/>
          <w:szCs w:val="26"/>
        </w:rPr>
        <w:t>44,3</w:t>
      </w:r>
      <w:r w:rsidRPr="66BD4B63">
        <w:rPr>
          <w:rFonts w:ascii="Times New Roman" w:eastAsia="Times New Roman" w:hAnsi="Times New Roman" w:cs="Times New Roman"/>
          <w:sz w:val="26"/>
          <w:szCs w:val="26"/>
        </w:rPr>
        <w:t> milliárd forintos összeggel.</w:t>
      </w:r>
    </w:p>
    <w:p w14:paraId="25C427CE" w14:textId="2B867433" w:rsidR="029C2633" w:rsidRPr="00381A54" w:rsidRDefault="66BD4B63" w:rsidP="66BD4B63">
      <w:pPr>
        <w:spacing w:before="160"/>
        <w:jc w:val="both"/>
        <w:rPr>
          <w:rFonts w:ascii="Times New Roman" w:eastAsia="Times New Roman" w:hAnsi="Times New Roman" w:cs="Times New Roman"/>
          <w:b/>
          <w:bCs/>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 xml:space="preserve">állami vagyonnal kapcsolatos befizetések </w:t>
      </w:r>
      <w:r w:rsidRPr="66BD4B63">
        <w:rPr>
          <w:rFonts w:ascii="Times New Roman" w:eastAsia="Times New Roman" w:hAnsi="Times New Roman" w:cs="Times New Roman"/>
          <w:sz w:val="26"/>
          <w:szCs w:val="26"/>
        </w:rPr>
        <w:t>2025 első hathavi összege közel 561,2 milliárd forint, amelynek meghatározó tétele az osztalékbefizetés volt.</w:t>
      </w:r>
      <w:r w:rsidRPr="66BD4B63">
        <w:rPr>
          <w:rFonts w:ascii="Times New Roman" w:eastAsia="Times New Roman" w:hAnsi="Times New Roman" w:cs="Times New Roman"/>
          <w:b/>
          <w:bCs/>
          <w:sz w:val="26"/>
          <w:szCs w:val="26"/>
        </w:rPr>
        <w:t xml:space="preserve"> </w:t>
      </w:r>
    </w:p>
    <w:p w14:paraId="0D0F2783" w14:textId="59E9F6B0" w:rsidR="009D55B4" w:rsidRPr="00377D59" w:rsidRDefault="0005250F" w:rsidP="009D55B4">
      <w:pPr>
        <w:jc w:val="center"/>
        <w:rPr>
          <w:rFonts w:ascii="Times New Roman" w:eastAsia="Times New Roman" w:hAnsi="Times New Roman" w:cs="Times New Roman"/>
          <w:sz w:val="26"/>
          <w:szCs w:val="26"/>
        </w:rPr>
      </w:pPr>
      <w:r>
        <w:rPr>
          <w:noProof/>
        </w:rPr>
        <w:drawing>
          <wp:inline distT="0" distB="0" distL="0" distR="0" wp14:anchorId="7FA9B0CD" wp14:editId="73AC4493">
            <wp:extent cx="5940425" cy="3639820"/>
            <wp:effectExtent l="0" t="0" r="3175" b="0"/>
            <wp:docPr id="173970214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02147" name=""/>
                    <pic:cNvPicPr/>
                  </pic:nvPicPr>
                  <pic:blipFill>
                    <a:blip r:embed="rId16"/>
                    <a:stretch>
                      <a:fillRect/>
                    </a:stretch>
                  </pic:blipFill>
                  <pic:spPr>
                    <a:xfrm>
                      <a:off x="0" y="0"/>
                      <a:ext cx="5940425" cy="3639820"/>
                    </a:xfrm>
                    <a:prstGeom prst="rect">
                      <a:avLst/>
                    </a:prstGeom>
                  </pic:spPr>
                </pic:pic>
              </a:graphicData>
            </a:graphic>
          </wp:inline>
        </w:drawing>
      </w:r>
    </w:p>
    <w:p w14:paraId="23623F4E" w14:textId="6BA89D12" w:rsidR="5B67C7D7" w:rsidRPr="00920F4D" w:rsidRDefault="66BD4B63" w:rsidP="00F22614">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költségvetés XLV. </w:t>
      </w:r>
      <w:r w:rsidRPr="66BD4B63">
        <w:rPr>
          <w:rFonts w:ascii="Times New Roman" w:eastAsia="Times New Roman" w:hAnsi="Times New Roman" w:cs="Times New Roman"/>
          <w:b/>
          <w:bCs/>
          <w:sz w:val="26"/>
          <w:szCs w:val="26"/>
        </w:rPr>
        <w:t>Állami beruházások</w:t>
      </w:r>
      <w:r w:rsidRPr="66BD4B63">
        <w:rPr>
          <w:rFonts w:ascii="Times New Roman" w:eastAsia="Times New Roman" w:hAnsi="Times New Roman" w:cs="Times New Roman"/>
          <w:sz w:val="26"/>
          <w:szCs w:val="26"/>
        </w:rPr>
        <w:t xml:space="preserve"> fejezetének bevételei 2025. június végéig 99,0 milliárd forintot tettek ki.</w:t>
      </w:r>
    </w:p>
    <w:p w14:paraId="4BE4CA6A" w14:textId="7EF78DD2" w:rsidR="39728167" w:rsidRPr="00377D59" w:rsidRDefault="66BD4B63" w:rsidP="00F22614">
      <w:pPr>
        <w:jc w:val="both"/>
        <w:rPr>
          <w:rFonts w:ascii="Times New Roman" w:hAnsi="Times New Roman" w:cs="Times New Roman"/>
        </w:rPr>
      </w:pPr>
      <w:r w:rsidRPr="66BD4B63">
        <w:rPr>
          <w:rFonts w:ascii="Times New Roman" w:eastAsia="Times New Roman" w:hAnsi="Times New Roman" w:cs="Times New Roman"/>
          <w:sz w:val="26"/>
          <w:szCs w:val="26"/>
        </w:rPr>
        <w:lastRenderedPageBreak/>
        <w:t xml:space="preserve">Az uniós bevételek főszabály szerint a XLII. A költségvetés közvetlen bevételei és kiadásai fejezetbe érkeznek, ezek kimutatására szolgálnak az </w:t>
      </w:r>
      <w:r w:rsidRPr="66BD4B63">
        <w:rPr>
          <w:rFonts w:ascii="Times New Roman" w:eastAsia="Times New Roman" w:hAnsi="Times New Roman" w:cs="Times New Roman"/>
          <w:b/>
          <w:bCs/>
          <w:sz w:val="26"/>
          <w:szCs w:val="26"/>
        </w:rPr>
        <w:t>Uniós programok bevételei</w:t>
      </w:r>
      <w:r w:rsidRPr="66BD4B63">
        <w:rPr>
          <w:rFonts w:ascii="Times New Roman" w:eastAsia="Times New Roman" w:hAnsi="Times New Roman" w:cs="Times New Roman"/>
          <w:sz w:val="26"/>
          <w:szCs w:val="26"/>
        </w:rPr>
        <w:t xml:space="preserve">, valamint az </w:t>
      </w:r>
      <w:r w:rsidRPr="66BD4B63">
        <w:rPr>
          <w:rFonts w:ascii="Times New Roman" w:eastAsia="Times New Roman" w:hAnsi="Times New Roman" w:cs="Times New Roman"/>
          <w:b/>
          <w:bCs/>
          <w:sz w:val="26"/>
          <w:szCs w:val="26"/>
        </w:rPr>
        <w:t>Egyéb uniós bevételek</w:t>
      </w:r>
      <w:r w:rsidRPr="66BD4B63">
        <w:rPr>
          <w:rFonts w:ascii="Times New Roman" w:eastAsia="Times New Roman" w:hAnsi="Times New Roman" w:cs="Times New Roman"/>
          <w:sz w:val="26"/>
          <w:szCs w:val="26"/>
        </w:rPr>
        <w:t xml:space="preserve"> mérlegsorok.</w:t>
      </w:r>
    </w:p>
    <w:p w14:paraId="3C3A66C8" w14:textId="712562A7" w:rsidR="74B9DF17" w:rsidRDefault="66BD4B63" w:rsidP="00F22614">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Uniós programok bevételei</w:t>
      </w:r>
      <w:r w:rsidRPr="66BD4B63">
        <w:rPr>
          <w:rFonts w:ascii="Times New Roman" w:eastAsia="Times New Roman" w:hAnsi="Times New Roman" w:cs="Times New Roman"/>
          <w:sz w:val="26"/>
          <w:szCs w:val="26"/>
        </w:rPr>
        <w:t xml:space="preserve"> mérlegsoron 2025. június végéig 176,4 milliárd forint bevétel keletkezett. Ez az összeg a törvényi előirányzat (2</w:t>
      </w:r>
      <w:r w:rsidR="00D7202A">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235,9 milliárd forint) 7,9%-át teszi ki. A teljesült bevételből 125,</w:t>
      </w:r>
      <w:r w:rsidR="00D7202A">
        <w:rPr>
          <w:rFonts w:ascii="Times New Roman" w:eastAsia="Times New Roman" w:hAnsi="Times New Roman" w:cs="Times New Roman"/>
          <w:sz w:val="26"/>
          <w:szCs w:val="26"/>
        </w:rPr>
        <w:t>5</w:t>
      </w:r>
      <w:r w:rsidRPr="66BD4B63">
        <w:rPr>
          <w:rFonts w:ascii="Times New Roman" w:eastAsia="Times New Roman" w:hAnsi="Times New Roman" w:cs="Times New Roman"/>
          <w:sz w:val="26"/>
          <w:szCs w:val="26"/>
        </w:rPr>
        <w:t xml:space="preserve"> milliárd forint az uniós és 5</w:t>
      </w:r>
      <w:r w:rsidR="00D7202A">
        <w:rPr>
          <w:rFonts w:ascii="Times New Roman" w:eastAsia="Times New Roman" w:hAnsi="Times New Roman" w:cs="Times New Roman"/>
          <w:sz w:val="26"/>
          <w:szCs w:val="26"/>
        </w:rPr>
        <w:t>0,9</w:t>
      </w:r>
      <w:r w:rsidRPr="66BD4B63">
        <w:rPr>
          <w:rFonts w:ascii="Times New Roman" w:eastAsia="Times New Roman" w:hAnsi="Times New Roman" w:cs="Times New Roman"/>
          <w:sz w:val="26"/>
          <w:szCs w:val="26"/>
        </w:rPr>
        <w:t xml:space="preserve"> milliárd forint az egyéb bevételekhez tartozik.</w:t>
      </w:r>
    </w:p>
    <w:p w14:paraId="040E2327" w14:textId="2966033C" w:rsidR="74B9DF17" w:rsidRPr="00FE12D5" w:rsidRDefault="66BD4B63" w:rsidP="00F22614">
      <w:pPr>
        <w:jc w:val="both"/>
        <w:rPr>
          <w:rFonts w:ascii="Times New Roman" w:hAnsi="Times New Roman" w:cs="Times New Roman"/>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 xml:space="preserve">Egyéb uniós bevételek </w:t>
      </w:r>
      <w:r w:rsidRPr="66BD4B63">
        <w:rPr>
          <w:rFonts w:ascii="Times New Roman" w:eastAsia="Times New Roman" w:hAnsi="Times New Roman" w:cs="Times New Roman"/>
          <w:sz w:val="26"/>
          <w:szCs w:val="26"/>
        </w:rPr>
        <w:t>soron a vámbeszedési költség megtérítése jelenik meg, mely 16,9 milliárd forintot tett ki 2025 júniusáig. Ez az összeg a törvényi előirányzat 53,5%-a</w:t>
      </w:r>
      <w:r w:rsidR="00E67620">
        <w:rPr>
          <w:rFonts w:ascii="Times New Roman" w:eastAsia="Times New Roman" w:hAnsi="Times New Roman" w:cs="Times New Roman"/>
          <w:sz w:val="26"/>
          <w:szCs w:val="26"/>
        </w:rPr>
        <w:t>,</w:t>
      </w:r>
      <w:r w:rsidRPr="66BD4B63">
        <w:rPr>
          <w:rFonts w:ascii="Times New Roman" w:eastAsia="Times New Roman" w:hAnsi="Times New Roman" w:cs="Times New Roman"/>
          <w:sz w:val="26"/>
          <w:szCs w:val="26"/>
        </w:rPr>
        <w:t xml:space="preserve"> és 2,</w:t>
      </w:r>
      <w:r w:rsidR="00A966B1">
        <w:rPr>
          <w:rFonts w:ascii="Times New Roman" w:eastAsia="Times New Roman" w:hAnsi="Times New Roman" w:cs="Times New Roman"/>
          <w:sz w:val="26"/>
          <w:szCs w:val="26"/>
        </w:rPr>
        <w:t>2</w:t>
      </w:r>
      <w:r w:rsidRPr="66BD4B63">
        <w:rPr>
          <w:rFonts w:ascii="Times New Roman" w:eastAsia="Times New Roman" w:hAnsi="Times New Roman" w:cs="Times New Roman"/>
          <w:sz w:val="26"/>
          <w:szCs w:val="26"/>
        </w:rPr>
        <w:t xml:space="preserve"> milliárd forinttal haladja meg a 2024. év azonos időszakában keletkezett bevételt.</w:t>
      </w:r>
    </w:p>
    <w:p w14:paraId="1AEEA3E3" w14:textId="784ECF24" w:rsidR="006A6F7F" w:rsidRPr="006A6F7F" w:rsidRDefault="66BD4B63" w:rsidP="00F22614">
      <w:pPr>
        <w:jc w:val="both"/>
        <w:rPr>
          <w:rFonts w:ascii="Times New Roman" w:eastAsia="Calibri" w:hAnsi="Times New Roman" w:cs="Times New Roman"/>
          <w:sz w:val="26"/>
          <w:szCs w:val="26"/>
          <w:lang w:eastAsia="hu-HU"/>
        </w:rPr>
      </w:pPr>
      <w:r w:rsidRPr="66BD4B63">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2025. június végéig a </w:t>
      </w:r>
      <w:r w:rsidRPr="66BD4B63">
        <w:rPr>
          <w:rFonts w:ascii="Times New Roman" w:eastAsia="Calibri" w:hAnsi="Times New Roman" w:cs="Times New Roman"/>
          <w:b/>
          <w:bCs/>
          <w:sz w:val="26"/>
          <w:szCs w:val="26"/>
          <w:lang w:eastAsia="hu-HU"/>
        </w:rPr>
        <w:t xml:space="preserve">társadalombiztosítási járulék </w:t>
      </w:r>
      <w:r w:rsidRPr="66BD4B63">
        <w:rPr>
          <w:rFonts w:ascii="Times New Roman" w:eastAsia="Times New Roman" w:hAnsi="Times New Roman" w:cs="Times New Roman"/>
          <w:b/>
          <w:bCs/>
          <w:sz w:val="26"/>
          <w:szCs w:val="26"/>
          <w:lang w:eastAsia="hu-HU"/>
        </w:rPr>
        <w:t xml:space="preserve">Nemzeti Foglalkoztatási </w:t>
      </w:r>
      <w:r w:rsidRPr="66BD4B63">
        <w:rPr>
          <w:rFonts w:ascii="Times New Roman" w:eastAsia="Calibri" w:hAnsi="Times New Roman" w:cs="Times New Roman"/>
          <w:b/>
          <w:bCs/>
          <w:sz w:val="26"/>
          <w:szCs w:val="26"/>
          <w:lang w:eastAsia="hu-HU"/>
        </w:rPr>
        <w:t xml:space="preserve">Alapot megillető része </w:t>
      </w:r>
      <w:r w:rsidRPr="66BD4B63">
        <w:rPr>
          <w:rFonts w:ascii="Times New Roman" w:eastAsia="Calibri" w:hAnsi="Times New Roman" w:cs="Times New Roman"/>
          <w:sz w:val="26"/>
          <w:szCs w:val="26"/>
          <w:lang w:eastAsia="hu-HU"/>
        </w:rPr>
        <w:t>216,2 milliárd</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forintban teljesült, amely az előző év azonos időszakában befolyt bevételt 18,1</w:t>
      </w:r>
      <w:r w:rsidR="00D76BD4">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milliárd</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forinttal haladta meg. A bevételnövekedés oka a járulékköteles jövedelmek növekedése.</w:t>
      </w:r>
    </w:p>
    <w:p w14:paraId="5012021F" w14:textId="77777777" w:rsidR="006A6F7F" w:rsidRPr="006A6F7F" w:rsidRDefault="66BD4B63" w:rsidP="00F22614">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2025-ben a szociális hozzájárulási adó megfizetett összegének 86,96%-a a Nyugdíjbiztosítási Alapot illeti meg. A </w:t>
      </w:r>
      <w:r w:rsidRPr="66BD4B63">
        <w:rPr>
          <w:rFonts w:ascii="Times New Roman" w:eastAsia="Times New Roman" w:hAnsi="Times New Roman" w:cs="Times New Roman"/>
          <w:b/>
          <w:bCs/>
          <w:sz w:val="26"/>
          <w:szCs w:val="26"/>
          <w:lang w:eastAsia="hu-HU"/>
        </w:rPr>
        <w:t xml:space="preserve">szociális hozzájárulási adó Nyugdíjbiztosítási Alapot megillető része </w:t>
      </w:r>
      <w:r w:rsidRPr="66BD4B63">
        <w:rPr>
          <w:rFonts w:ascii="Times New Roman" w:eastAsia="Times New Roman" w:hAnsi="Times New Roman" w:cs="Times New Roman"/>
          <w:sz w:val="26"/>
          <w:szCs w:val="26"/>
          <w:lang w:eastAsia="hu-HU"/>
        </w:rPr>
        <w:t>2025 első hat hónapjában 1 451,4 milliárd forintban teljesült, amely 108,1 milliárd forinttal haladta meg az előző év azonos időszakában befolyt bevételt. A bevétel változása az adóköteles jövedelmek növekedésével és az alapok közötti megoszlási arány változásával magyarázható.</w:t>
      </w:r>
    </w:p>
    <w:p w14:paraId="7495DAA7" w14:textId="3B9AACFF" w:rsidR="006330AD" w:rsidRDefault="66BD4B63" w:rsidP="00F22614">
      <w:pPr>
        <w:jc w:val="both"/>
        <w:rPr>
          <w:rFonts w:ascii="Times New Roman" w:eastAsia="Calibri"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június végéig a </w:t>
      </w:r>
      <w:r w:rsidRPr="66BD4B63">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66BD4B63">
        <w:rPr>
          <w:rFonts w:ascii="Times New Roman" w:eastAsia="Times New Roman" w:hAnsi="Times New Roman" w:cs="Times New Roman"/>
          <w:sz w:val="26"/>
          <w:szCs w:val="26"/>
          <w:lang w:eastAsia="hu-HU"/>
        </w:rPr>
        <w:t xml:space="preserve"> 1 472,5 milliárd forintban teljesült, amely az előző év azonos időszakában befolyt bevételt 122,8 milliárd forinttal haladta meg. </w:t>
      </w:r>
      <w:r w:rsidRPr="66BD4B63">
        <w:rPr>
          <w:rFonts w:ascii="Times New Roman" w:eastAsia="Calibri" w:hAnsi="Times New Roman" w:cs="Times New Roman"/>
          <w:sz w:val="26"/>
          <w:szCs w:val="26"/>
          <w:lang w:eastAsia="hu-HU"/>
        </w:rPr>
        <w:t>A bevételnövekedés oka a járulékköteles jövedelmek növekedése.</w:t>
      </w:r>
    </w:p>
    <w:p w14:paraId="6512C1A9" w14:textId="74C2E9F2" w:rsidR="00462EDD" w:rsidRPr="00462EDD" w:rsidRDefault="66BD4B63" w:rsidP="00F22614">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Nyugdíjbiztosítási Alap</w:t>
      </w:r>
      <w:r w:rsidRPr="66BD4B63">
        <w:rPr>
          <w:rFonts w:ascii="Times New Roman" w:eastAsia="Times New Roman" w:hAnsi="Times New Roman" w:cs="Times New Roman"/>
          <w:sz w:val="26"/>
          <w:szCs w:val="26"/>
        </w:rPr>
        <w:t xml:space="preserve"> 2025. évi költségvetése az ellátási kiadások támogatására 564,5 milliárd forint központi </w:t>
      </w:r>
      <w:r w:rsidRPr="66BD4B63">
        <w:rPr>
          <w:rFonts w:ascii="Times New Roman" w:eastAsia="Times New Roman" w:hAnsi="Times New Roman" w:cs="Times New Roman"/>
          <w:b/>
          <w:bCs/>
          <w:sz w:val="26"/>
          <w:szCs w:val="26"/>
        </w:rPr>
        <w:t>költségvetési hozzájárulást</w:t>
      </w:r>
      <w:r w:rsidRPr="66BD4B63">
        <w:rPr>
          <w:rFonts w:ascii="Times New Roman" w:eastAsia="Times New Roman" w:hAnsi="Times New Roman" w:cs="Times New Roman"/>
          <w:sz w:val="26"/>
          <w:szCs w:val="26"/>
        </w:rPr>
        <w:t xml:space="preserve"> tartalmaz, ami 33,1 milliárd forinttal haladja meg az előző évi előirányzatot.</w:t>
      </w:r>
    </w:p>
    <w:p w14:paraId="1B9C4A3C" w14:textId="19DB75C2" w:rsidR="00462EDD" w:rsidRPr="00462EDD" w:rsidRDefault="66BD4B63" w:rsidP="00F22614">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A központi költségvetés 77,4 milliárd forintot biztosít az Alap részére pénzeszközátadás útján, míg további 487,1 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3ED16BAF" w:rsidR="19667954" w:rsidRDefault="66BD4B63" w:rsidP="00F22614">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Magyar Államkincstár az ellátási kiadások támogatására a Nyugdíjbiztosítási Alap részére 2025. június végéig 38,7 milliárd forint központi támogatást utalt át </w:t>
      </w:r>
      <w:r w:rsidRPr="66BD4B63">
        <w:rPr>
          <w:rFonts w:ascii="Times New Roman" w:eastAsia="Times New Roman" w:hAnsi="Times New Roman" w:cs="Times New Roman"/>
          <w:b/>
          <w:bCs/>
          <w:sz w:val="26"/>
          <w:szCs w:val="26"/>
        </w:rPr>
        <w:t>pénzeszköz-átadás</w:t>
      </w:r>
      <w:r w:rsidRPr="66BD4B63">
        <w:rPr>
          <w:rFonts w:ascii="Times New Roman" w:eastAsia="Times New Roman" w:hAnsi="Times New Roman" w:cs="Times New Roman"/>
          <w:sz w:val="26"/>
          <w:szCs w:val="26"/>
        </w:rPr>
        <w:t xml:space="preserve"> jogcímen, ami 7,8 milliárd forinttal magasabb az előző év azonos időszakában nyújtott támogatás összegénél. A pénzeszköz-átadás a Nyugdíjbiztosítási Alap költségvetési egyensúlyának biztosítását szolgálja.</w:t>
      </w:r>
    </w:p>
    <w:p w14:paraId="6BF2F156" w14:textId="4BC83F57" w:rsidR="00A76FE3"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lastRenderedPageBreak/>
        <w:t xml:space="preserve">A </w:t>
      </w:r>
      <w:r w:rsidRPr="66BD4B63">
        <w:rPr>
          <w:rFonts w:ascii="Times New Roman" w:eastAsia="Times New Roman" w:hAnsi="Times New Roman" w:cs="Times New Roman"/>
          <w:b/>
          <w:bCs/>
          <w:sz w:val="26"/>
          <w:szCs w:val="26"/>
        </w:rPr>
        <w:t>13. havi nyugdíj kifizetésének</w:t>
      </w:r>
      <w:r w:rsidRPr="66BD4B63">
        <w:rPr>
          <w:rFonts w:ascii="Times New Roman" w:eastAsia="Times New Roman" w:hAnsi="Times New Roman" w:cs="Times New Roman"/>
          <w:sz w:val="26"/>
          <w:szCs w:val="26"/>
        </w:rPr>
        <w:t xml:space="preserve"> támogatására február hónapban 487,1 milliárd forint került átutalásra a Nyugdíjbiztosítási Alap részére, ami 38,1 milliárd forinttal haladja meg az előző év azonos időszakában ugyanezen a jogcímen nyújtott támogatás összegét.</w:t>
      </w:r>
    </w:p>
    <w:p w14:paraId="7D300127" w14:textId="328BDAF6" w:rsidR="00A76FE3" w:rsidRDefault="0005250F" w:rsidP="0082381D">
      <w:pPr>
        <w:jc w:val="center"/>
      </w:pPr>
      <w:r>
        <w:rPr>
          <w:noProof/>
        </w:rPr>
        <w:drawing>
          <wp:inline distT="0" distB="0" distL="0" distR="0" wp14:anchorId="3A5BDCFE" wp14:editId="44C4BB15">
            <wp:extent cx="5940425" cy="2403475"/>
            <wp:effectExtent l="0" t="0" r="3175" b="0"/>
            <wp:docPr id="113531384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13849" name=""/>
                    <pic:cNvPicPr/>
                  </pic:nvPicPr>
                  <pic:blipFill>
                    <a:blip r:embed="rId17"/>
                    <a:stretch>
                      <a:fillRect/>
                    </a:stretch>
                  </pic:blipFill>
                  <pic:spPr>
                    <a:xfrm>
                      <a:off x="0" y="0"/>
                      <a:ext cx="5940425" cy="2403475"/>
                    </a:xfrm>
                    <a:prstGeom prst="rect">
                      <a:avLst/>
                    </a:prstGeom>
                  </pic:spPr>
                </pic:pic>
              </a:graphicData>
            </a:graphic>
          </wp:inline>
        </w:drawing>
      </w:r>
    </w:p>
    <w:p w14:paraId="05D5D5A9" w14:textId="77777777" w:rsidR="006A6F7F" w:rsidRPr="006A6F7F" w:rsidRDefault="66BD4B63" w:rsidP="008D0B8A">
      <w:pPr>
        <w:jc w:val="both"/>
        <w:rPr>
          <w:rFonts w:ascii="Times New Roman" w:eastAsia="Times New Roman" w:hAnsi="Times New Roman" w:cs="Times New Roman"/>
          <w:sz w:val="26"/>
          <w:szCs w:val="26"/>
          <w:lang w:eastAsia="hu-HU"/>
        </w:rPr>
      </w:pPr>
      <w:r w:rsidRPr="66BD4B63">
        <w:rPr>
          <w:rFonts w:ascii="Times New Roman" w:eastAsia="Calibri" w:hAnsi="Times New Roman" w:cs="Times New Roman"/>
          <w:sz w:val="26"/>
          <w:szCs w:val="26"/>
          <w:lang w:eastAsia="hu-HU"/>
        </w:rPr>
        <w:t xml:space="preserve">2025-ben a szociális hozzájárulási adó megfizetett összegének 13,04%-a az Egészségbiztosítási Alapot illeti meg. 2025 első hat hónapjában a </w:t>
      </w:r>
      <w:r w:rsidRPr="66BD4B63">
        <w:rPr>
          <w:rFonts w:ascii="Times New Roman" w:eastAsia="Calibri" w:hAnsi="Times New Roman" w:cs="Times New Roman"/>
          <w:b/>
          <w:bCs/>
          <w:sz w:val="26"/>
          <w:szCs w:val="26"/>
          <w:lang w:eastAsia="hu-HU"/>
        </w:rPr>
        <w:t>szociális hozzájárulási adó Egészségbiztosítási Alapot megillető része</w:t>
      </w:r>
      <w:r w:rsidRPr="66BD4B63">
        <w:rPr>
          <w:rFonts w:ascii="Times New Roman" w:eastAsia="Calibri" w:hAnsi="Times New Roman" w:cs="Times New Roman"/>
          <w:sz w:val="26"/>
          <w:szCs w:val="26"/>
          <w:lang w:eastAsia="hu-HU"/>
        </w:rPr>
        <w:t xml:space="preserve"> 217,6</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milliárd</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forintban teljesült, amely 54,0</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milliárd</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 xml:space="preserve">forinttal </w:t>
      </w:r>
      <w:r w:rsidRPr="66BD4B63">
        <w:rPr>
          <w:rFonts w:ascii="Times New Roman" w:eastAsia="Times New Roman" w:hAnsi="Times New Roman" w:cs="Times New Roman"/>
          <w:sz w:val="26"/>
          <w:szCs w:val="26"/>
          <w:lang w:eastAsia="hu-HU"/>
        </w:rPr>
        <w:t>haladta meg az előző év azonos időszakában befolyt bevételt</w:t>
      </w:r>
      <w:r w:rsidRPr="66BD4B63">
        <w:rPr>
          <w:rFonts w:ascii="Times New Roman" w:eastAsia="Calibri" w:hAnsi="Times New Roman" w:cs="Times New Roman"/>
          <w:sz w:val="26"/>
          <w:szCs w:val="26"/>
          <w:lang w:eastAsia="hu-HU"/>
        </w:rPr>
        <w:t xml:space="preserve">. </w:t>
      </w:r>
      <w:r w:rsidRPr="66BD4B63">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381DF736" w14:textId="1FADBCFD" w:rsidR="006330AD" w:rsidRDefault="66BD4B63" w:rsidP="008D0B8A">
      <w:pPr>
        <w:jc w:val="both"/>
        <w:rPr>
          <w:rFonts w:ascii="Times New Roman" w:eastAsia="Calibri" w:hAnsi="Times New Roman" w:cs="Times New Roman"/>
          <w:sz w:val="26"/>
          <w:szCs w:val="26"/>
          <w:lang w:eastAsia="hu-HU"/>
        </w:rPr>
      </w:pPr>
      <w:r w:rsidRPr="66BD4B63">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június végéig a </w:t>
      </w:r>
      <w:r w:rsidRPr="66BD4B63">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66BD4B63">
        <w:rPr>
          <w:rFonts w:ascii="Times New Roman" w:eastAsia="Calibri" w:hAnsi="Times New Roman" w:cs="Times New Roman"/>
          <w:sz w:val="26"/>
          <w:szCs w:val="26"/>
          <w:lang w:eastAsia="hu-HU"/>
        </w:rPr>
        <w:t xml:space="preserve"> 1 003,7</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milliárd</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 xml:space="preserve">forintban teljesült, </w:t>
      </w:r>
      <w:r w:rsidRPr="66BD4B63">
        <w:rPr>
          <w:rFonts w:ascii="Times New Roman" w:eastAsia="Times New Roman" w:hAnsi="Times New Roman" w:cs="Times New Roman"/>
          <w:sz w:val="26"/>
          <w:szCs w:val="26"/>
          <w:lang w:eastAsia="hu-HU"/>
        </w:rPr>
        <w:t>amely az előző év azonos időszakában befolyt bevételt</w:t>
      </w:r>
      <w:r w:rsidRPr="66BD4B63">
        <w:rPr>
          <w:rFonts w:ascii="Times New Roman" w:eastAsia="Calibri" w:hAnsi="Times New Roman" w:cs="Times New Roman"/>
          <w:sz w:val="26"/>
          <w:szCs w:val="26"/>
          <w:lang w:eastAsia="hu-HU"/>
        </w:rPr>
        <w:t xml:space="preserve"> 83,1 milliárd</w:t>
      </w:r>
      <w:r w:rsidRPr="66BD4B63">
        <w:rPr>
          <w:rFonts w:ascii="Times New Roman" w:eastAsia="Times New Roman" w:hAnsi="Times New Roman" w:cs="Times New Roman"/>
          <w:sz w:val="26"/>
          <w:szCs w:val="26"/>
          <w:lang w:eastAsia="hu-HU"/>
        </w:rPr>
        <w:t> </w:t>
      </w:r>
      <w:r w:rsidRPr="66BD4B63">
        <w:rPr>
          <w:rFonts w:ascii="Times New Roman" w:eastAsia="Calibri" w:hAnsi="Times New Roman" w:cs="Times New Roman"/>
          <w:sz w:val="26"/>
          <w:szCs w:val="26"/>
          <w:lang w:eastAsia="hu-HU"/>
        </w:rPr>
        <w:t>forinttal haladta meg. A bevételnövekedés oka a járulékköteles jövedelmek növekedése.</w:t>
      </w:r>
    </w:p>
    <w:p w14:paraId="1E047965" w14:textId="33F7D4D1" w:rsidR="005961B9" w:rsidRPr="00455A9C" w:rsidRDefault="66BD4B63" w:rsidP="008D0B8A">
      <w:pPr>
        <w:jc w:val="both"/>
        <w:rPr>
          <w:rFonts w:ascii="Times New Roman" w:hAnsi="Times New Roman" w:cs="Times New Roman"/>
          <w:sz w:val="26"/>
          <w:szCs w:val="26"/>
        </w:rPr>
      </w:pPr>
      <w:r w:rsidRPr="66BD4B63">
        <w:rPr>
          <w:rFonts w:ascii="Times New Roman" w:hAnsi="Times New Roman" w:cs="Times New Roman"/>
          <w:sz w:val="26"/>
          <w:szCs w:val="26"/>
        </w:rPr>
        <w:t xml:space="preserve">Az </w:t>
      </w:r>
      <w:r w:rsidRPr="66BD4B63">
        <w:rPr>
          <w:rFonts w:ascii="Times New Roman" w:hAnsi="Times New Roman" w:cs="Times New Roman"/>
          <w:b/>
          <w:bCs/>
          <w:sz w:val="26"/>
          <w:szCs w:val="26"/>
        </w:rPr>
        <w:t>Egészségbiztosítási Alap költségvetési hozzájárulásai</w:t>
      </w:r>
      <w:r w:rsidRPr="66BD4B63">
        <w:rPr>
          <w:rFonts w:ascii="Times New Roman" w:hAnsi="Times New Roman" w:cs="Times New Roman"/>
          <w:sz w:val="26"/>
          <w:szCs w:val="26"/>
        </w:rPr>
        <w:t xml:space="preserve"> 2025 első félévében összesen 944,6 milliárd forintot tettek ki, amely 0,9 milliárd forinttal alacsonyabb, mint az előző év azonos időszakában átutalt összeg. 2025 június végéig az Egészségbiztosítási Alap járulék címen átvett pénzeszközként 346,1</w:t>
      </w:r>
      <w:r w:rsidR="00F37E95">
        <w:rPr>
          <w:rFonts w:ascii="Times New Roman" w:hAnsi="Times New Roman" w:cs="Times New Roman"/>
          <w:sz w:val="26"/>
          <w:szCs w:val="26"/>
        </w:rPr>
        <w:t> </w:t>
      </w:r>
      <w:r w:rsidRPr="66BD4B63">
        <w:rPr>
          <w:rFonts w:ascii="Times New Roman" w:hAnsi="Times New Roman" w:cs="Times New Roman"/>
          <w:sz w:val="26"/>
          <w:szCs w:val="26"/>
        </w:rPr>
        <w:t>milliárd forint támogatást kapott, szemben a tavalyi év azonos időszakában átutalt 326,5 milliárd forint összeggel. Az alap kiadásainak támogatására szolgáló tervezett pénzeszköz-átvétel és az egészségügyi feladatok ellátásával kapcsolatos hozzájárulás együttes összege 2025. június végéig 598,5 milliárd forintot tett ki, amely 20,6 milliárd forinttal elmarad a tavalyi év ugyanezen időszakában átutalt összegtől.</w:t>
      </w:r>
    </w:p>
    <w:p w14:paraId="754C440E" w14:textId="6FA8B559" w:rsidR="005961B9" w:rsidRDefault="005961B9" w:rsidP="21A055E4">
      <w:pPr>
        <w:rPr>
          <w:rFonts w:ascii="Times New Roman" w:hAnsi="Times New Roman" w:cs="Times New Roman"/>
          <w:sz w:val="26"/>
          <w:szCs w:val="26"/>
        </w:rPr>
      </w:pPr>
      <w:r w:rsidRPr="21A055E4">
        <w:rPr>
          <w:rFonts w:ascii="Times New Roman" w:hAnsi="Times New Roman" w:cs="Times New Roman"/>
          <w:sz w:val="26"/>
          <w:szCs w:val="26"/>
        </w:rPr>
        <w:br w:type="page"/>
      </w:r>
    </w:p>
    <w:p w14:paraId="51F08DF7" w14:textId="6FA8B559" w:rsidR="009E34AE" w:rsidRPr="00377D59" w:rsidRDefault="66BD4B63" w:rsidP="66BD4B63">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66BD4B63">
        <w:rPr>
          <w:rFonts w:ascii="Times New Roman" w:eastAsia="Times New Roman" w:hAnsi="Times New Roman" w:cs="Times New Roman"/>
          <w:b/>
          <w:bCs/>
          <w:smallCaps/>
          <w:sz w:val="28"/>
          <w:szCs w:val="28"/>
          <w:lang w:eastAsia="hu-HU"/>
        </w:rPr>
        <w:lastRenderedPageBreak/>
        <w:t xml:space="preserve">A főbb kiadások </w:t>
      </w:r>
    </w:p>
    <w:p w14:paraId="666B9F94" w14:textId="00659979" w:rsidR="0005250F" w:rsidRPr="0005250F" w:rsidRDefault="66BD4B63" w:rsidP="0005250F">
      <w:pPr>
        <w:spacing w:after="120"/>
        <w:jc w:val="both"/>
        <w:rPr>
          <w:rFonts w:ascii="Times New Roman" w:eastAsia="Times New Roman" w:hAnsi="Times New Roman" w:cs="Times New Roman"/>
          <w:b/>
          <w:bCs/>
          <w:sz w:val="26"/>
          <w:szCs w:val="26"/>
          <w:lang w:eastAsia="hu-HU"/>
        </w:rPr>
      </w:pPr>
      <w:r w:rsidRPr="66BD4B63">
        <w:rPr>
          <w:rFonts w:ascii="Times New Roman" w:eastAsia="Times New Roman" w:hAnsi="Times New Roman" w:cs="Times New Roman"/>
          <w:b/>
          <w:bCs/>
          <w:sz w:val="26"/>
          <w:szCs w:val="26"/>
          <w:lang w:eastAsia="hu-HU"/>
        </w:rPr>
        <w:t xml:space="preserve">A központi alrendszer </w:t>
      </w:r>
      <w:r w:rsidR="0005250F" w:rsidRPr="0005250F">
        <w:rPr>
          <w:rFonts w:ascii="Times New Roman" w:eastAsia="Times New Roman" w:hAnsi="Times New Roman" w:cs="Times New Roman"/>
          <w:b/>
          <w:bCs/>
          <w:sz w:val="26"/>
          <w:szCs w:val="26"/>
          <w:lang w:eastAsia="hu-HU"/>
        </w:rPr>
        <w:t>június végi 22</w:t>
      </w:r>
      <w:r w:rsidR="0005250F">
        <w:rPr>
          <w:rFonts w:ascii="Times New Roman" w:eastAsia="Times New Roman" w:hAnsi="Times New Roman" w:cs="Times New Roman"/>
          <w:b/>
          <w:bCs/>
          <w:sz w:val="26"/>
          <w:szCs w:val="26"/>
          <w:lang w:eastAsia="hu-HU"/>
        </w:rPr>
        <w:t> </w:t>
      </w:r>
      <w:r w:rsidR="0005250F" w:rsidRPr="0005250F">
        <w:rPr>
          <w:rFonts w:ascii="Times New Roman" w:eastAsia="Times New Roman" w:hAnsi="Times New Roman" w:cs="Times New Roman"/>
          <w:b/>
          <w:bCs/>
          <w:sz w:val="26"/>
          <w:szCs w:val="26"/>
          <w:lang w:eastAsia="hu-HU"/>
        </w:rPr>
        <w:t>459,9 milliárd forint összegű kiadásai 906,1</w:t>
      </w:r>
      <w:r w:rsidR="0005250F">
        <w:rPr>
          <w:rFonts w:ascii="Times New Roman" w:eastAsia="Times New Roman" w:hAnsi="Times New Roman" w:cs="Times New Roman"/>
          <w:b/>
          <w:bCs/>
          <w:sz w:val="26"/>
          <w:szCs w:val="26"/>
          <w:lang w:eastAsia="hu-HU"/>
        </w:rPr>
        <w:t> </w:t>
      </w:r>
      <w:r w:rsidR="0005250F" w:rsidRPr="0005250F">
        <w:rPr>
          <w:rFonts w:ascii="Times New Roman" w:eastAsia="Times New Roman" w:hAnsi="Times New Roman" w:cs="Times New Roman"/>
          <w:b/>
          <w:bCs/>
          <w:sz w:val="26"/>
          <w:szCs w:val="26"/>
          <w:lang w:eastAsia="hu-HU"/>
        </w:rPr>
        <w:t xml:space="preserve">milliárd forinttal, 4,2%-kal haladták meg az előző év azonos időszaki adatát. </w:t>
      </w:r>
    </w:p>
    <w:p w14:paraId="49D5E9ED" w14:textId="77777777" w:rsidR="0005250F" w:rsidRPr="0005250F" w:rsidRDefault="0005250F" w:rsidP="0005250F">
      <w:pPr>
        <w:spacing w:after="120"/>
        <w:jc w:val="both"/>
        <w:rPr>
          <w:rFonts w:ascii="Times New Roman" w:eastAsia="Times New Roman" w:hAnsi="Times New Roman" w:cs="Times New Roman"/>
          <w:b/>
          <w:bCs/>
          <w:sz w:val="26"/>
          <w:szCs w:val="26"/>
          <w:lang w:eastAsia="hu-HU"/>
        </w:rPr>
      </w:pPr>
      <w:r w:rsidRPr="0005250F">
        <w:rPr>
          <w:rFonts w:ascii="Times New Roman" w:eastAsia="Times New Roman" w:hAnsi="Times New Roman" w:cs="Times New Roman"/>
          <w:b/>
          <w:bCs/>
          <w:sz w:val="26"/>
          <w:szCs w:val="26"/>
          <w:lang w:eastAsia="hu-HU"/>
        </w:rPr>
        <w:t>Magasabban teljesültek az egy évvel korábbihoz képest többek között a babaváró támogatások, a költségvetési szervek kiadásai, a szakmai fejezeti kezelésű előirányzatok kiadásai, a kamatkiadások és a helyi önkormányzatok támogatásai.</w:t>
      </w:r>
    </w:p>
    <w:p w14:paraId="6FE8DFF4" w14:textId="79AC51BA" w:rsidR="00AC5231" w:rsidRPr="00377D59" w:rsidRDefault="0005250F" w:rsidP="0005250F">
      <w:pPr>
        <w:spacing w:after="120"/>
        <w:jc w:val="both"/>
        <w:rPr>
          <w:rFonts w:ascii="Times New Roman" w:eastAsia="Times New Roman" w:hAnsi="Times New Roman" w:cs="Times New Roman"/>
          <w:b/>
          <w:bCs/>
          <w:sz w:val="26"/>
          <w:szCs w:val="26"/>
          <w:lang w:eastAsia="hu-HU"/>
        </w:rPr>
      </w:pPr>
      <w:bookmarkStart w:id="0" w:name="_Hlk203486744"/>
      <w:r w:rsidRPr="0005250F">
        <w:rPr>
          <w:rFonts w:ascii="Times New Roman" w:eastAsia="Times New Roman" w:hAnsi="Times New Roman" w:cs="Times New Roman"/>
          <w:b/>
          <w:bCs/>
          <w:sz w:val="26"/>
          <w:szCs w:val="26"/>
          <w:lang w:eastAsia="hu-HU"/>
        </w:rPr>
        <w:t>Meghaladták az egy évvel korábbi kifizetést a nyugellátásokra</w:t>
      </w:r>
      <w:r w:rsidR="00F37E95">
        <w:rPr>
          <w:rFonts w:ascii="Times New Roman" w:eastAsia="Times New Roman" w:hAnsi="Times New Roman" w:cs="Times New Roman"/>
          <w:b/>
          <w:bCs/>
          <w:sz w:val="26"/>
          <w:szCs w:val="26"/>
          <w:lang w:eastAsia="hu-HU"/>
        </w:rPr>
        <w:t>, nyugdíjszerű ellátásokra</w:t>
      </w:r>
      <w:r w:rsidRPr="0005250F">
        <w:rPr>
          <w:rFonts w:ascii="Times New Roman" w:eastAsia="Times New Roman" w:hAnsi="Times New Roman" w:cs="Times New Roman"/>
          <w:b/>
          <w:bCs/>
          <w:sz w:val="26"/>
          <w:szCs w:val="26"/>
          <w:lang w:eastAsia="hu-HU"/>
        </w:rPr>
        <w:t xml:space="preserve"> és a gyógyító-megelőző ellátásra fordított összegek is. Nyugellátásokra </w:t>
      </w:r>
      <w:r w:rsidR="00F37E95">
        <w:rPr>
          <w:rFonts w:ascii="Times New Roman" w:eastAsia="Times New Roman" w:hAnsi="Times New Roman" w:cs="Times New Roman"/>
          <w:b/>
          <w:bCs/>
          <w:sz w:val="26"/>
          <w:szCs w:val="26"/>
          <w:lang w:eastAsia="hu-HU"/>
        </w:rPr>
        <w:t xml:space="preserve">és nyugdíjszerű ellátásokra </w:t>
      </w:r>
      <w:r w:rsidRPr="0005250F">
        <w:rPr>
          <w:rFonts w:ascii="Times New Roman" w:eastAsia="Times New Roman" w:hAnsi="Times New Roman" w:cs="Times New Roman"/>
          <w:b/>
          <w:bCs/>
          <w:sz w:val="26"/>
          <w:szCs w:val="26"/>
          <w:lang w:eastAsia="hu-HU"/>
        </w:rPr>
        <w:t>3</w:t>
      </w:r>
      <w:r>
        <w:rPr>
          <w:rFonts w:ascii="Times New Roman" w:eastAsia="Times New Roman" w:hAnsi="Times New Roman" w:cs="Times New Roman"/>
          <w:b/>
          <w:bCs/>
          <w:sz w:val="26"/>
          <w:szCs w:val="26"/>
          <w:lang w:eastAsia="hu-HU"/>
        </w:rPr>
        <w:t> </w:t>
      </w:r>
      <w:r w:rsidR="00F37E95">
        <w:rPr>
          <w:rFonts w:ascii="Times New Roman" w:eastAsia="Times New Roman" w:hAnsi="Times New Roman" w:cs="Times New Roman"/>
          <w:b/>
          <w:bCs/>
          <w:sz w:val="26"/>
          <w:szCs w:val="26"/>
          <w:lang w:eastAsia="hu-HU"/>
        </w:rPr>
        <w:t>8</w:t>
      </w:r>
      <w:r w:rsidRPr="0005250F">
        <w:rPr>
          <w:rFonts w:ascii="Times New Roman" w:eastAsia="Times New Roman" w:hAnsi="Times New Roman" w:cs="Times New Roman"/>
          <w:b/>
          <w:bCs/>
          <w:sz w:val="26"/>
          <w:szCs w:val="26"/>
          <w:lang w:eastAsia="hu-HU"/>
        </w:rPr>
        <w:t>49,6 milliárd forint, míg a gyógyító-megelőző ellátásra 1</w:t>
      </w:r>
      <w:r>
        <w:rPr>
          <w:rFonts w:ascii="Times New Roman" w:eastAsia="Times New Roman" w:hAnsi="Times New Roman" w:cs="Times New Roman"/>
          <w:b/>
          <w:bCs/>
          <w:sz w:val="26"/>
          <w:szCs w:val="26"/>
          <w:lang w:eastAsia="hu-HU"/>
        </w:rPr>
        <w:t> </w:t>
      </w:r>
      <w:r w:rsidRPr="0005250F">
        <w:rPr>
          <w:rFonts w:ascii="Times New Roman" w:eastAsia="Times New Roman" w:hAnsi="Times New Roman" w:cs="Times New Roman"/>
          <w:b/>
          <w:bCs/>
          <w:sz w:val="26"/>
          <w:szCs w:val="26"/>
          <w:lang w:eastAsia="hu-HU"/>
        </w:rPr>
        <w:t>494,5 milliárd forint került kifizetésre június végéig</w:t>
      </w:r>
      <w:r w:rsidR="66BD4B63" w:rsidRPr="66BD4B63">
        <w:rPr>
          <w:rFonts w:ascii="Times New Roman" w:eastAsia="Times New Roman" w:hAnsi="Times New Roman" w:cs="Times New Roman"/>
          <w:b/>
          <w:bCs/>
          <w:sz w:val="26"/>
          <w:szCs w:val="26"/>
          <w:lang w:eastAsia="hu-HU"/>
        </w:rPr>
        <w:t>.</w:t>
      </w:r>
    </w:p>
    <w:bookmarkEnd w:id="0"/>
    <w:p w14:paraId="71AFDEF8" w14:textId="4CBC7BC5" w:rsidR="00C35E13" w:rsidRDefault="0005250F" w:rsidP="00591D8B">
      <w:pPr>
        <w:pStyle w:val="NormlWeb"/>
        <w:spacing w:after="0" w:afterAutospacing="0"/>
        <w:jc w:val="center"/>
      </w:pPr>
      <w:r>
        <w:rPr>
          <w:noProof/>
        </w:rPr>
        <w:drawing>
          <wp:inline distT="0" distB="0" distL="0" distR="0" wp14:anchorId="75E51466" wp14:editId="49190C26">
            <wp:extent cx="5938951" cy="2318197"/>
            <wp:effectExtent l="0" t="0" r="5080" b="6350"/>
            <wp:docPr id="203339069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90696" name=""/>
                    <pic:cNvPicPr/>
                  </pic:nvPicPr>
                  <pic:blipFill>
                    <a:blip r:embed="rId18"/>
                    <a:stretch>
                      <a:fillRect/>
                    </a:stretch>
                  </pic:blipFill>
                  <pic:spPr>
                    <a:xfrm>
                      <a:off x="0" y="0"/>
                      <a:ext cx="5947845" cy="2321669"/>
                    </a:xfrm>
                    <a:prstGeom prst="rect">
                      <a:avLst/>
                    </a:prstGeom>
                  </pic:spPr>
                </pic:pic>
              </a:graphicData>
            </a:graphic>
          </wp:inline>
        </w:drawing>
      </w:r>
    </w:p>
    <w:p w14:paraId="26F7371C" w14:textId="7F3AE96A" w:rsidR="72D168A5" w:rsidRDefault="66BD4B63" w:rsidP="002C25D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úthálózat rendelkezésre állási díjak</w:t>
      </w:r>
      <w:r w:rsidRPr="66BD4B63">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 június végéig 335,1 milliárd forint volt, ami 144,8 milliárd forinttal magasabban alakult a 2024. év azonos időszakához képest. Az eltérést alapfolyamatként a gyorsforgalmi úthálózat rendelkezésre állási díjának szerződésből fakadó változása magyarázza</w:t>
      </w:r>
      <w:r w:rsidR="00A966B1">
        <w:rPr>
          <w:rFonts w:ascii="Times New Roman" w:eastAsia="Times New Roman" w:hAnsi="Times New Roman" w:cs="Times New Roman"/>
          <w:sz w:val="26"/>
          <w:szCs w:val="26"/>
        </w:rPr>
        <w:t>.</w:t>
      </w:r>
    </w:p>
    <w:p w14:paraId="182A3A7A" w14:textId="460E9B4C" w:rsidR="1EBF714E" w:rsidRDefault="66BD4B63" w:rsidP="002C25D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közösségi közlekedés költségtérítés és támogatás</w:t>
      </w:r>
      <w:r w:rsidRPr="66BD4B63">
        <w:rPr>
          <w:rFonts w:ascii="Times New Roman" w:eastAsia="Times New Roman" w:hAnsi="Times New Roman" w:cs="Times New Roman"/>
          <w:sz w:val="26"/>
          <w:szCs w:val="26"/>
        </w:rPr>
        <w:t xml:space="preserve"> mérlegsor kiadásai 2025. június végéig 392,1 milliárd forintot tettek ki, amelyből a szociálpolitikai menetdíj támogatás 80,9 milliárd forint. Az összes kiadás 2,0 milliárd forinttal több, mint a megelőző év azonos időszaki teljesítése, amely nem jelent érdemi eltérést. </w:t>
      </w:r>
    </w:p>
    <w:p w14:paraId="3B52873E" w14:textId="12DC559B" w:rsidR="008D3E76" w:rsidRDefault="66BD4B63" w:rsidP="006949BB">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közüzemi szolgáltatások támogatása</w:t>
      </w:r>
      <w:r w:rsidRPr="66BD4B63">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w:t>
      </w:r>
      <w:r w:rsidR="00FC73A6">
        <w:rPr>
          <w:rFonts w:ascii="Times New Roman" w:eastAsia="Times New Roman" w:hAnsi="Times New Roman" w:cs="Times New Roman"/>
          <w:sz w:val="26"/>
          <w:szCs w:val="26"/>
        </w:rPr>
        <w:t>.</w:t>
      </w:r>
      <w:r w:rsidRPr="66BD4B63">
        <w:rPr>
          <w:rFonts w:ascii="Times New Roman" w:eastAsia="Times New Roman" w:hAnsi="Times New Roman" w:cs="Times New Roman"/>
          <w:sz w:val="26"/>
          <w:szCs w:val="26"/>
        </w:rPr>
        <w:t xml:space="preserve"> június végéig 627,2 milliárd forintot tettek ki, amely magában foglalja a különleges földgázkészlet fenntartásának 2025. április 1-jéig történő finanszírozása érdekében februárban folyósított 3,0 milliárd forint, valamint az annak további fenntartása érdekében júniusban átadott 3,3</w:t>
      </w:r>
      <w:r w:rsidR="00064E2A">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 xml:space="preserve">milliárd forint támogatást. Továbbá tartalmazza a Víziközmű-fejlesztési és Ellentételezési Alapból a víziközmű-szolgáltatók részére a 2024. év IV. negyedévi és a 2025. év I. negyedévi működésük ellentételezésére nyújtott </w:t>
      </w:r>
      <w:r w:rsidRPr="66BD4B63">
        <w:rPr>
          <w:rFonts w:ascii="Times New Roman" w:eastAsia="Times New Roman" w:hAnsi="Times New Roman" w:cs="Times New Roman"/>
          <w:sz w:val="26"/>
          <w:szCs w:val="26"/>
        </w:rPr>
        <w:lastRenderedPageBreak/>
        <w:t>összesen 57,9 milliárd forintos kiadást is. A 2024-ben létrehozott Alapból a – negyedévet követő hónapban esedékes – kifizetések 2024 áprilisában kezdődtek meg. A mérlegsor jelenlegi teljesítése 29,1 milliárd forinttal magasabb, mint a 2024. év azonos időszakában a közüzemi szolgáltatások teljesítésére fordított 598,1 milliárd forint, ez részben a kifizetések eltérő ütemezéséből, részben a megnövekedett támogatási igényekből fakadt.</w:t>
      </w:r>
    </w:p>
    <w:p w14:paraId="79E44A54" w14:textId="1D1488BD" w:rsidR="0F03D9E1" w:rsidRDefault="66BD4B63" w:rsidP="006949BB">
      <w:pPr>
        <w:jc w:val="both"/>
        <w:rPr>
          <w:rFonts w:ascii="Times New Roman" w:eastAsia="Times New Roman" w:hAnsi="Times New Roman" w:cs="Times New Roman"/>
          <w:sz w:val="26"/>
          <w:szCs w:val="26"/>
        </w:rPr>
      </w:pPr>
      <w:r w:rsidRPr="66BD4B63">
        <w:rPr>
          <w:rFonts w:ascii="Times New Roman" w:eastAsia="Times New Roman" w:hAnsi="Times New Roman" w:cs="Times New Roman"/>
          <w:b/>
          <w:bCs/>
          <w:sz w:val="26"/>
          <w:szCs w:val="26"/>
          <w:lang w:eastAsia="hu-HU"/>
        </w:rPr>
        <w:t xml:space="preserve">Lakástámogatásokra </w:t>
      </w:r>
      <w:r w:rsidRPr="66BD4B63">
        <w:rPr>
          <w:rFonts w:ascii="Times New Roman" w:eastAsia="Times New Roman" w:hAnsi="Times New Roman" w:cs="Times New Roman"/>
          <w:sz w:val="26"/>
          <w:szCs w:val="26"/>
        </w:rPr>
        <w:t>fordított kiadások összege június végéig 74,0 milliárd forint volt, mely az előző év azonos időszakához viszonyítva 14,2 milliárd forinttal teljesült alacsonyabban.</w:t>
      </w:r>
    </w:p>
    <w:p w14:paraId="33223970" w14:textId="25DDB887" w:rsidR="0F03D9E1" w:rsidRDefault="66BD4B63" w:rsidP="006949BB">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Nemzeti Család- és Szociálpolitikai Alap</w:t>
      </w:r>
      <w:r w:rsidRPr="66BD4B63">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66BD4B63" w:rsidP="66BD4B63">
      <w:pPr>
        <w:spacing w:after="0"/>
        <w:jc w:val="center"/>
        <w:rPr>
          <w:rFonts w:ascii="Times New Roman" w:eastAsia="Times New Roman" w:hAnsi="Times New Roman" w:cs="Times New Roman"/>
        </w:rPr>
      </w:pPr>
      <w:r w:rsidRPr="66BD4B63">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66BD4B63">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66BD4B63">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66BD4B63" w:rsidP="66BD4B63">
            <w:pPr>
              <w:spacing w:after="0" w:line="240" w:lineRule="auto"/>
              <w:jc w:val="center"/>
              <w:rPr>
                <w:rFonts w:ascii="Times New Roman" w:hAnsi="Times New Roman" w:cs="Times New Roman"/>
                <w:b/>
                <w:bCs/>
                <w:color w:val="000000" w:themeColor="text1"/>
              </w:rPr>
            </w:pPr>
            <w:r w:rsidRPr="66BD4B63">
              <w:rPr>
                <w:rFonts w:ascii="Times New Roman" w:hAnsi="Times New Roman" w:cs="Times New Roman"/>
                <w:b/>
                <w:bCs/>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66BD4B63" w:rsidP="66BD4B63">
            <w:pPr>
              <w:spacing w:after="0" w:line="240" w:lineRule="auto"/>
              <w:jc w:val="center"/>
              <w:rPr>
                <w:rFonts w:ascii="Times New Roman" w:hAnsi="Times New Roman" w:cs="Times New Roman"/>
                <w:b/>
                <w:bCs/>
                <w:color w:val="000000" w:themeColor="text1"/>
              </w:rPr>
            </w:pPr>
            <w:r w:rsidRPr="66BD4B63">
              <w:rPr>
                <w:rFonts w:ascii="Times New Roman" w:eastAsia="Times New Roman" w:hAnsi="Times New Roman" w:cs="Times New Roman"/>
                <w:b/>
                <w:bCs/>
                <w:lang w:eastAsia="hu-HU"/>
              </w:rPr>
              <w:t xml:space="preserve">2024. </w:t>
            </w:r>
          </w:p>
          <w:p w14:paraId="5E208842" w14:textId="44B6B46A" w:rsidR="00081A16" w:rsidRPr="00DD7FD1" w:rsidRDefault="66BD4B63" w:rsidP="66BD4B63">
            <w:pPr>
              <w:spacing w:after="0" w:line="240" w:lineRule="auto"/>
              <w:jc w:val="center"/>
              <w:rPr>
                <w:rFonts w:ascii="Times New Roman" w:hAnsi="Times New Roman" w:cs="Times New Roman"/>
                <w:b/>
                <w:bCs/>
                <w:color w:val="000000" w:themeColor="text1"/>
              </w:rPr>
            </w:pPr>
            <w:r w:rsidRPr="66BD4B63">
              <w:rPr>
                <w:rFonts w:ascii="Times New Roman" w:eastAsia="Times New Roman" w:hAnsi="Times New Roman" w:cs="Times New Roman"/>
                <w:b/>
                <w:bCs/>
                <w:lang w:eastAsia="hu-HU"/>
              </w:rPr>
              <w:t>I-VI.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66BD4B63" w:rsidP="66BD4B63">
            <w:pPr>
              <w:spacing w:after="0" w:line="240" w:lineRule="auto"/>
              <w:jc w:val="center"/>
              <w:rPr>
                <w:rFonts w:ascii="Times New Roman" w:hAnsi="Times New Roman" w:cs="Times New Roman"/>
                <w:b/>
                <w:bCs/>
                <w:color w:val="000000" w:themeColor="text1"/>
              </w:rPr>
            </w:pPr>
            <w:r w:rsidRPr="66BD4B63">
              <w:rPr>
                <w:rFonts w:ascii="Times New Roman" w:eastAsia="Times New Roman" w:hAnsi="Times New Roman" w:cs="Times New Roman"/>
                <w:b/>
                <w:bCs/>
                <w:lang w:eastAsia="hu-HU"/>
              </w:rPr>
              <w:t xml:space="preserve">2025. </w:t>
            </w:r>
          </w:p>
          <w:p w14:paraId="211822BF" w14:textId="43AE4A5D" w:rsidR="00081A16" w:rsidRPr="00DD7FD1" w:rsidRDefault="66BD4B63" w:rsidP="66BD4B63">
            <w:pPr>
              <w:spacing w:after="0" w:line="240" w:lineRule="auto"/>
              <w:jc w:val="center"/>
              <w:rPr>
                <w:rFonts w:ascii="Times New Roman" w:hAnsi="Times New Roman" w:cs="Times New Roman"/>
                <w:b/>
                <w:bCs/>
                <w:color w:val="000000" w:themeColor="text1"/>
              </w:rPr>
            </w:pPr>
            <w:r w:rsidRPr="66BD4B63">
              <w:rPr>
                <w:rFonts w:ascii="Times New Roman" w:eastAsia="Times New Roman" w:hAnsi="Times New Roman" w:cs="Times New Roman"/>
                <w:b/>
                <w:bCs/>
                <w:lang w:eastAsia="hu-HU"/>
              </w:rPr>
              <w:t>I-VI.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66BD4B63" w:rsidP="66BD4B63">
            <w:pPr>
              <w:jc w:val="center"/>
              <w:rPr>
                <w:rFonts w:ascii="Times New Roman" w:hAnsi="Times New Roman" w:cs="Times New Roman"/>
                <w:b/>
                <w:bCs/>
                <w:color w:val="000000" w:themeColor="text1"/>
              </w:rPr>
            </w:pPr>
            <w:r w:rsidRPr="66BD4B63">
              <w:rPr>
                <w:rFonts w:ascii="Times New Roman" w:hAnsi="Times New Roman" w:cs="Times New Roman"/>
                <w:b/>
                <w:bCs/>
                <w:color w:val="000000" w:themeColor="text1"/>
              </w:rPr>
              <w:t>Eltérés</w:t>
            </w:r>
          </w:p>
        </w:tc>
      </w:tr>
      <w:tr w:rsidR="006068B4" w:rsidRPr="006068B4" w14:paraId="2BEB1728" w14:textId="77777777" w:rsidTr="66BD4B63">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66BD4B63" w:rsidP="66BD4B63">
            <w:pPr>
              <w:jc w:val="center"/>
              <w:rPr>
                <w:rFonts w:ascii="Times New Roman" w:hAnsi="Times New Roman" w:cs="Times New Roman"/>
                <w:b/>
                <w:bCs/>
                <w:color w:val="000000" w:themeColor="text1"/>
              </w:rPr>
            </w:pPr>
            <w:r w:rsidRPr="66BD4B63">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66BD4B63" w:rsidP="66BD4B63">
            <w:pPr>
              <w:jc w:val="center"/>
              <w:rPr>
                <w:rFonts w:ascii="Times New Roman" w:hAnsi="Times New Roman" w:cs="Times New Roman"/>
                <w:b/>
                <w:bCs/>
                <w:color w:val="000000" w:themeColor="text1"/>
              </w:rPr>
            </w:pPr>
            <w:r w:rsidRPr="66BD4B63">
              <w:rPr>
                <w:rFonts w:ascii="Times New Roman" w:hAnsi="Times New Roman" w:cs="Times New Roman"/>
                <w:b/>
                <w:bCs/>
                <w:color w:val="000000" w:themeColor="text1"/>
              </w:rPr>
              <w:t>%</w:t>
            </w:r>
          </w:p>
        </w:tc>
      </w:tr>
      <w:tr w:rsidR="00DA488F" w:rsidRPr="006068B4" w14:paraId="49EB33A2"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66BD4B63" w:rsidP="66BD4B63">
            <w:pPr>
              <w:spacing w:line="240" w:lineRule="auto"/>
              <w:rPr>
                <w:rFonts w:ascii="Times New Roman" w:hAnsi="Times New Roman" w:cs="Times New Roman"/>
                <w:b/>
                <w:bCs/>
                <w:color w:val="000000" w:themeColor="text1"/>
                <w:sz w:val="20"/>
                <w:szCs w:val="20"/>
              </w:rPr>
            </w:pPr>
            <w:r w:rsidRPr="66BD4B63">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337642F2"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212,9</w:t>
            </w:r>
          </w:p>
        </w:tc>
        <w:tc>
          <w:tcPr>
            <w:tcW w:w="992" w:type="dxa"/>
            <w:tcBorders>
              <w:top w:val="nil"/>
              <w:left w:val="nil"/>
              <w:bottom w:val="single" w:sz="4" w:space="0" w:color="auto"/>
              <w:right w:val="single" w:sz="4" w:space="0" w:color="auto"/>
            </w:tcBorders>
            <w:shd w:val="clear" w:color="auto" w:fill="auto"/>
            <w:noWrap/>
            <w:hideMark/>
          </w:tcPr>
          <w:p w14:paraId="2A54C0E6" w14:textId="1E71B87F"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198,7</w:t>
            </w:r>
          </w:p>
        </w:tc>
        <w:tc>
          <w:tcPr>
            <w:tcW w:w="850" w:type="dxa"/>
            <w:tcBorders>
              <w:top w:val="nil"/>
              <w:left w:val="nil"/>
              <w:bottom w:val="single" w:sz="4" w:space="0" w:color="auto"/>
              <w:right w:val="single" w:sz="4" w:space="0" w:color="auto"/>
            </w:tcBorders>
            <w:shd w:val="clear" w:color="auto" w:fill="auto"/>
            <w:noWrap/>
            <w:hideMark/>
          </w:tcPr>
          <w:p w14:paraId="1078FA78" w14:textId="0B3EEF4E"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-14,2</w:t>
            </w:r>
          </w:p>
        </w:tc>
        <w:tc>
          <w:tcPr>
            <w:tcW w:w="851" w:type="dxa"/>
            <w:tcBorders>
              <w:top w:val="nil"/>
              <w:left w:val="nil"/>
              <w:bottom w:val="single" w:sz="4" w:space="0" w:color="auto"/>
              <w:right w:val="single" w:sz="4" w:space="0" w:color="auto"/>
            </w:tcBorders>
            <w:shd w:val="clear" w:color="auto" w:fill="auto"/>
            <w:noWrap/>
            <w:hideMark/>
          </w:tcPr>
          <w:p w14:paraId="0C2D88F1" w14:textId="0D126821"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93,3</w:t>
            </w:r>
          </w:p>
        </w:tc>
      </w:tr>
      <w:tr w:rsidR="00DA488F" w:rsidRPr="006068B4" w14:paraId="18F11EAE"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66BD4B63" w:rsidP="66BD4B63">
            <w:pPr>
              <w:spacing w:line="240" w:lineRule="auto"/>
              <w:ind w:firstLineChars="100" w:firstLine="2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442C666E"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153,0</w:t>
            </w:r>
          </w:p>
        </w:tc>
        <w:tc>
          <w:tcPr>
            <w:tcW w:w="992" w:type="dxa"/>
            <w:tcBorders>
              <w:top w:val="nil"/>
              <w:left w:val="nil"/>
              <w:bottom w:val="single" w:sz="4" w:space="0" w:color="auto"/>
              <w:right w:val="single" w:sz="4" w:space="0" w:color="auto"/>
            </w:tcBorders>
            <w:shd w:val="clear" w:color="auto" w:fill="auto"/>
            <w:noWrap/>
            <w:hideMark/>
          </w:tcPr>
          <w:p w14:paraId="2831AA3C" w14:textId="50E7A117"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151,8</w:t>
            </w:r>
          </w:p>
        </w:tc>
        <w:tc>
          <w:tcPr>
            <w:tcW w:w="850" w:type="dxa"/>
            <w:tcBorders>
              <w:top w:val="nil"/>
              <w:left w:val="nil"/>
              <w:bottom w:val="single" w:sz="4" w:space="0" w:color="auto"/>
              <w:right w:val="single" w:sz="4" w:space="0" w:color="auto"/>
            </w:tcBorders>
            <w:shd w:val="clear" w:color="auto" w:fill="auto"/>
            <w:noWrap/>
            <w:hideMark/>
          </w:tcPr>
          <w:p w14:paraId="145C8E2D" w14:textId="3722FF0A"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shd w:val="clear" w:color="auto" w:fill="auto"/>
            <w:noWrap/>
            <w:hideMark/>
          </w:tcPr>
          <w:p w14:paraId="3DC707AD" w14:textId="4DA63CAE"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99,2</w:t>
            </w:r>
          </w:p>
        </w:tc>
      </w:tr>
      <w:tr w:rsidR="00DA488F" w:rsidRPr="006068B4" w14:paraId="750E94DE"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78F0A548"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2,7</w:t>
            </w:r>
          </w:p>
        </w:tc>
        <w:tc>
          <w:tcPr>
            <w:tcW w:w="992" w:type="dxa"/>
            <w:tcBorders>
              <w:top w:val="nil"/>
              <w:left w:val="nil"/>
              <w:bottom w:val="single" w:sz="4" w:space="0" w:color="auto"/>
              <w:right w:val="single" w:sz="4" w:space="0" w:color="auto"/>
            </w:tcBorders>
            <w:shd w:val="clear" w:color="auto" w:fill="auto"/>
            <w:noWrap/>
            <w:hideMark/>
          </w:tcPr>
          <w:p w14:paraId="4295E839" w14:textId="38F7F6E6"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2,5</w:t>
            </w:r>
          </w:p>
        </w:tc>
        <w:tc>
          <w:tcPr>
            <w:tcW w:w="850" w:type="dxa"/>
            <w:tcBorders>
              <w:top w:val="nil"/>
              <w:left w:val="nil"/>
              <w:bottom w:val="single" w:sz="4" w:space="0" w:color="auto"/>
              <w:right w:val="single" w:sz="4" w:space="0" w:color="auto"/>
            </w:tcBorders>
            <w:shd w:val="clear" w:color="auto" w:fill="auto"/>
            <w:noWrap/>
            <w:hideMark/>
          </w:tcPr>
          <w:p w14:paraId="0BFAA189" w14:textId="21CF3B83"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2913BB8B" w14:textId="4EF32017"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92,6</w:t>
            </w:r>
          </w:p>
        </w:tc>
      </w:tr>
      <w:tr w:rsidR="00DA488F" w:rsidRPr="006068B4" w14:paraId="723C4BB5"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2AE5D9A4"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26,8</w:t>
            </w:r>
          </w:p>
        </w:tc>
        <w:tc>
          <w:tcPr>
            <w:tcW w:w="992" w:type="dxa"/>
            <w:tcBorders>
              <w:top w:val="nil"/>
              <w:left w:val="nil"/>
              <w:bottom w:val="single" w:sz="4" w:space="0" w:color="auto"/>
              <w:right w:val="single" w:sz="4" w:space="0" w:color="auto"/>
            </w:tcBorders>
            <w:shd w:val="clear" w:color="auto" w:fill="auto"/>
            <w:noWrap/>
            <w:hideMark/>
          </w:tcPr>
          <w:p w14:paraId="4B96F73D" w14:textId="0B20CF89"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26,4</w:t>
            </w:r>
          </w:p>
        </w:tc>
        <w:tc>
          <w:tcPr>
            <w:tcW w:w="850" w:type="dxa"/>
            <w:tcBorders>
              <w:top w:val="nil"/>
              <w:left w:val="nil"/>
              <w:bottom w:val="single" w:sz="4" w:space="0" w:color="auto"/>
              <w:right w:val="single" w:sz="4" w:space="0" w:color="auto"/>
            </w:tcBorders>
            <w:shd w:val="clear" w:color="auto" w:fill="auto"/>
            <w:noWrap/>
            <w:hideMark/>
          </w:tcPr>
          <w:p w14:paraId="7997B51A" w14:textId="04668EC5"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-0,4</w:t>
            </w:r>
          </w:p>
        </w:tc>
        <w:tc>
          <w:tcPr>
            <w:tcW w:w="851" w:type="dxa"/>
            <w:tcBorders>
              <w:top w:val="nil"/>
              <w:left w:val="nil"/>
              <w:bottom w:val="single" w:sz="4" w:space="0" w:color="auto"/>
              <w:right w:val="single" w:sz="4" w:space="0" w:color="auto"/>
            </w:tcBorders>
            <w:shd w:val="clear" w:color="auto" w:fill="auto"/>
            <w:noWrap/>
            <w:hideMark/>
          </w:tcPr>
          <w:p w14:paraId="4C0B8D65" w14:textId="39E80C10"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98,5</w:t>
            </w:r>
          </w:p>
        </w:tc>
      </w:tr>
      <w:tr w:rsidR="00DA488F" w:rsidRPr="006068B4" w14:paraId="4C1A9EFC"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73C2F052"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4,7</w:t>
            </w:r>
          </w:p>
        </w:tc>
        <w:tc>
          <w:tcPr>
            <w:tcW w:w="992" w:type="dxa"/>
            <w:tcBorders>
              <w:top w:val="nil"/>
              <w:left w:val="nil"/>
              <w:bottom w:val="single" w:sz="4" w:space="0" w:color="auto"/>
              <w:right w:val="single" w:sz="4" w:space="0" w:color="auto"/>
            </w:tcBorders>
            <w:shd w:val="clear" w:color="auto" w:fill="auto"/>
            <w:noWrap/>
            <w:hideMark/>
          </w:tcPr>
          <w:p w14:paraId="6A870304" w14:textId="3049F81B"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4,5</w:t>
            </w:r>
          </w:p>
        </w:tc>
        <w:tc>
          <w:tcPr>
            <w:tcW w:w="850" w:type="dxa"/>
            <w:tcBorders>
              <w:top w:val="nil"/>
              <w:left w:val="nil"/>
              <w:bottom w:val="single" w:sz="4" w:space="0" w:color="auto"/>
              <w:right w:val="single" w:sz="4" w:space="0" w:color="auto"/>
            </w:tcBorders>
            <w:shd w:val="clear" w:color="auto" w:fill="auto"/>
            <w:noWrap/>
            <w:hideMark/>
          </w:tcPr>
          <w:p w14:paraId="588B93BB" w14:textId="59DF641C"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7DAF609F" w14:textId="4541E055"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95,7</w:t>
            </w:r>
          </w:p>
        </w:tc>
      </w:tr>
      <w:tr w:rsidR="00DA488F" w:rsidRPr="006068B4" w14:paraId="49AE6306"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7EB0A2BA"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2,4</w:t>
            </w:r>
          </w:p>
        </w:tc>
        <w:tc>
          <w:tcPr>
            <w:tcW w:w="992" w:type="dxa"/>
            <w:tcBorders>
              <w:top w:val="nil"/>
              <w:left w:val="nil"/>
              <w:bottom w:val="single" w:sz="4" w:space="0" w:color="auto"/>
              <w:right w:val="single" w:sz="4" w:space="0" w:color="auto"/>
            </w:tcBorders>
            <w:shd w:val="clear" w:color="auto" w:fill="auto"/>
            <w:noWrap/>
            <w:hideMark/>
          </w:tcPr>
          <w:p w14:paraId="6AAF688A" w14:textId="1EF06D5B"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2,6</w:t>
            </w:r>
          </w:p>
        </w:tc>
        <w:tc>
          <w:tcPr>
            <w:tcW w:w="850" w:type="dxa"/>
            <w:tcBorders>
              <w:top w:val="nil"/>
              <w:left w:val="nil"/>
              <w:bottom w:val="single" w:sz="4" w:space="0" w:color="auto"/>
              <w:right w:val="single" w:sz="4" w:space="0" w:color="auto"/>
            </w:tcBorders>
            <w:shd w:val="clear" w:color="auto" w:fill="auto"/>
            <w:noWrap/>
            <w:hideMark/>
          </w:tcPr>
          <w:p w14:paraId="664A5D3B" w14:textId="0E1B8887"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4DE79E3D" w14:textId="379BFE57"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108,3</w:t>
            </w:r>
          </w:p>
        </w:tc>
      </w:tr>
      <w:tr w:rsidR="00DA488F" w:rsidRPr="006068B4" w14:paraId="31537421"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374A4F9C"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22,3</w:t>
            </w:r>
          </w:p>
        </w:tc>
        <w:tc>
          <w:tcPr>
            <w:tcW w:w="992" w:type="dxa"/>
            <w:tcBorders>
              <w:top w:val="nil"/>
              <w:left w:val="nil"/>
              <w:bottom w:val="single" w:sz="4" w:space="0" w:color="auto"/>
              <w:right w:val="single" w:sz="4" w:space="0" w:color="auto"/>
            </w:tcBorders>
            <w:shd w:val="clear" w:color="auto" w:fill="auto"/>
            <w:noWrap/>
            <w:hideMark/>
          </w:tcPr>
          <w:p w14:paraId="45D51CF7" w14:textId="198ACE86"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9,7</w:t>
            </w:r>
          </w:p>
        </w:tc>
        <w:tc>
          <w:tcPr>
            <w:tcW w:w="850" w:type="dxa"/>
            <w:tcBorders>
              <w:top w:val="nil"/>
              <w:left w:val="nil"/>
              <w:bottom w:val="single" w:sz="4" w:space="0" w:color="auto"/>
              <w:right w:val="single" w:sz="4" w:space="0" w:color="auto"/>
            </w:tcBorders>
            <w:shd w:val="clear" w:color="auto" w:fill="auto"/>
            <w:noWrap/>
            <w:hideMark/>
          </w:tcPr>
          <w:p w14:paraId="1BC502FA" w14:textId="4E51E846"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-12,6</w:t>
            </w:r>
          </w:p>
        </w:tc>
        <w:tc>
          <w:tcPr>
            <w:tcW w:w="851" w:type="dxa"/>
            <w:tcBorders>
              <w:top w:val="nil"/>
              <w:left w:val="nil"/>
              <w:bottom w:val="single" w:sz="4" w:space="0" w:color="auto"/>
              <w:right w:val="single" w:sz="4" w:space="0" w:color="auto"/>
            </w:tcBorders>
            <w:shd w:val="clear" w:color="auto" w:fill="auto"/>
            <w:noWrap/>
            <w:hideMark/>
          </w:tcPr>
          <w:p w14:paraId="70100317" w14:textId="41D05B72"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43,5</w:t>
            </w:r>
          </w:p>
        </w:tc>
      </w:tr>
      <w:tr w:rsidR="00DA488F" w:rsidRPr="006068B4" w14:paraId="7D88A7FB"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66BD4B63" w:rsidP="66BD4B63">
            <w:pPr>
              <w:spacing w:line="240" w:lineRule="auto"/>
              <w:rPr>
                <w:rFonts w:ascii="Times New Roman" w:hAnsi="Times New Roman" w:cs="Times New Roman"/>
                <w:b/>
                <w:bCs/>
                <w:color w:val="000000" w:themeColor="text1"/>
                <w:sz w:val="20"/>
                <w:szCs w:val="20"/>
              </w:rPr>
            </w:pPr>
            <w:r w:rsidRPr="66BD4B63">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0B1C23AD"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68,4</w:t>
            </w:r>
          </w:p>
        </w:tc>
        <w:tc>
          <w:tcPr>
            <w:tcW w:w="992" w:type="dxa"/>
            <w:tcBorders>
              <w:top w:val="nil"/>
              <w:left w:val="nil"/>
              <w:bottom w:val="single" w:sz="4" w:space="0" w:color="auto"/>
              <w:right w:val="single" w:sz="4" w:space="0" w:color="auto"/>
            </w:tcBorders>
            <w:shd w:val="clear" w:color="auto" w:fill="auto"/>
            <w:noWrap/>
            <w:hideMark/>
          </w:tcPr>
          <w:p w14:paraId="6428734A" w14:textId="50E08A1F"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65,6</w:t>
            </w:r>
          </w:p>
        </w:tc>
        <w:tc>
          <w:tcPr>
            <w:tcW w:w="850" w:type="dxa"/>
            <w:tcBorders>
              <w:top w:val="nil"/>
              <w:left w:val="nil"/>
              <w:bottom w:val="single" w:sz="4" w:space="0" w:color="auto"/>
              <w:right w:val="single" w:sz="4" w:space="0" w:color="auto"/>
            </w:tcBorders>
            <w:shd w:val="clear" w:color="auto" w:fill="auto"/>
            <w:noWrap/>
            <w:hideMark/>
          </w:tcPr>
          <w:p w14:paraId="7EDBDA2F" w14:textId="74122E31"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-2,8</w:t>
            </w:r>
          </w:p>
        </w:tc>
        <w:tc>
          <w:tcPr>
            <w:tcW w:w="851" w:type="dxa"/>
            <w:tcBorders>
              <w:top w:val="nil"/>
              <w:left w:val="nil"/>
              <w:bottom w:val="single" w:sz="4" w:space="0" w:color="auto"/>
              <w:right w:val="single" w:sz="4" w:space="0" w:color="auto"/>
            </w:tcBorders>
            <w:shd w:val="clear" w:color="auto" w:fill="auto"/>
            <w:noWrap/>
            <w:hideMark/>
          </w:tcPr>
          <w:p w14:paraId="534E4A63" w14:textId="01D25794"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95,9</w:t>
            </w:r>
          </w:p>
        </w:tc>
      </w:tr>
      <w:tr w:rsidR="00DA488F" w:rsidRPr="006068B4" w14:paraId="2D32D206"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66BD4B63" w:rsidP="66BD4B63">
            <w:pPr>
              <w:spacing w:line="240" w:lineRule="auto"/>
              <w:rPr>
                <w:rFonts w:ascii="Times New Roman" w:hAnsi="Times New Roman" w:cs="Times New Roman"/>
                <w:b/>
                <w:bCs/>
                <w:color w:val="000000" w:themeColor="text1"/>
                <w:sz w:val="20"/>
                <w:szCs w:val="20"/>
              </w:rPr>
            </w:pPr>
            <w:r w:rsidRPr="66BD4B63">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796EFCDF"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106,4</w:t>
            </w:r>
          </w:p>
        </w:tc>
        <w:tc>
          <w:tcPr>
            <w:tcW w:w="992" w:type="dxa"/>
            <w:tcBorders>
              <w:top w:val="nil"/>
              <w:left w:val="nil"/>
              <w:bottom w:val="single" w:sz="4" w:space="0" w:color="auto"/>
              <w:right w:val="single" w:sz="4" w:space="0" w:color="auto"/>
            </w:tcBorders>
            <w:shd w:val="clear" w:color="auto" w:fill="auto"/>
            <w:noWrap/>
            <w:hideMark/>
          </w:tcPr>
          <w:p w14:paraId="20CD8076" w14:textId="5BEAEF75"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115,</w:t>
            </w:r>
            <w:r w:rsidR="006949BB">
              <w:rPr>
                <w:rFonts w:ascii="Times New Roman" w:hAnsi="Times New Roman" w:cs="Times New Roman"/>
                <w:b/>
                <w:bCs/>
                <w:sz w:val="20"/>
                <w:szCs w:val="20"/>
              </w:rPr>
              <w:t>7</w:t>
            </w:r>
          </w:p>
        </w:tc>
        <w:tc>
          <w:tcPr>
            <w:tcW w:w="850" w:type="dxa"/>
            <w:tcBorders>
              <w:top w:val="nil"/>
              <w:left w:val="nil"/>
              <w:bottom w:val="single" w:sz="4" w:space="0" w:color="auto"/>
              <w:right w:val="single" w:sz="4" w:space="0" w:color="auto"/>
            </w:tcBorders>
            <w:shd w:val="clear" w:color="auto" w:fill="auto"/>
            <w:noWrap/>
            <w:hideMark/>
          </w:tcPr>
          <w:p w14:paraId="06C5F2C2" w14:textId="6786D7E8"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9,</w:t>
            </w:r>
            <w:r w:rsidR="006949BB">
              <w:rPr>
                <w:rFonts w:ascii="Times New Roman" w:hAnsi="Times New Roman" w:cs="Times New Roman"/>
                <w:b/>
                <w:bCs/>
                <w:sz w:val="20"/>
                <w:szCs w:val="20"/>
              </w:rPr>
              <w:t>3</w:t>
            </w:r>
          </w:p>
        </w:tc>
        <w:tc>
          <w:tcPr>
            <w:tcW w:w="851" w:type="dxa"/>
            <w:tcBorders>
              <w:top w:val="nil"/>
              <w:left w:val="nil"/>
              <w:bottom w:val="single" w:sz="4" w:space="0" w:color="auto"/>
              <w:right w:val="single" w:sz="4" w:space="0" w:color="auto"/>
            </w:tcBorders>
            <w:shd w:val="clear" w:color="auto" w:fill="auto"/>
            <w:noWrap/>
            <w:hideMark/>
          </w:tcPr>
          <w:p w14:paraId="72FE9F51" w14:textId="4BD60726"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108,</w:t>
            </w:r>
            <w:r w:rsidR="006949BB">
              <w:rPr>
                <w:rFonts w:ascii="Times New Roman" w:hAnsi="Times New Roman" w:cs="Times New Roman"/>
                <w:b/>
                <w:bCs/>
                <w:sz w:val="20"/>
                <w:szCs w:val="20"/>
              </w:rPr>
              <w:t>7</w:t>
            </w:r>
          </w:p>
        </w:tc>
      </w:tr>
      <w:tr w:rsidR="00DA488F" w:rsidRPr="006068B4" w14:paraId="5788F37E"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66BD4B63" w:rsidP="66BD4B63">
            <w:pPr>
              <w:spacing w:line="240" w:lineRule="auto"/>
              <w:ind w:firstLineChars="100" w:firstLine="2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31DC559F"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42,7</w:t>
            </w:r>
          </w:p>
        </w:tc>
        <w:tc>
          <w:tcPr>
            <w:tcW w:w="992" w:type="dxa"/>
            <w:tcBorders>
              <w:top w:val="nil"/>
              <w:left w:val="nil"/>
              <w:bottom w:val="single" w:sz="4" w:space="0" w:color="auto"/>
              <w:right w:val="single" w:sz="4" w:space="0" w:color="auto"/>
            </w:tcBorders>
            <w:shd w:val="clear" w:color="auto" w:fill="auto"/>
            <w:noWrap/>
            <w:hideMark/>
          </w:tcPr>
          <w:p w14:paraId="0B03B656" w14:textId="231C41CC"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43,0</w:t>
            </w:r>
          </w:p>
        </w:tc>
        <w:tc>
          <w:tcPr>
            <w:tcW w:w="850" w:type="dxa"/>
            <w:tcBorders>
              <w:top w:val="nil"/>
              <w:left w:val="nil"/>
              <w:bottom w:val="single" w:sz="4" w:space="0" w:color="auto"/>
              <w:right w:val="single" w:sz="4" w:space="0" w:color="auto"/>
            </w:tcBorders>
            <w:shd w:val="clear" w:color="auto" w:fill="auto"/>
            <w:noWrap/>
            <w:hideMark/>
          </w:tcPr>
          <w:p w14:paraId="2876B997" w14:textId="20A0480D"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6DBAA01B" w14:textId="5DB955AE"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100,7</w:t>
            </w:r>
          </w:p>
        </w:tc>
      </w:tr>
      <w:tr w:rsidR="00DA488F" w:rsidRPr="006068B4" w14:paraId="65888AD0"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0771BA25"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63,7</w:t>
            </w:r>
          </w:p>
        </w:tc>
        <w:tc>
          <w:tcPr>
            <w:tcW w:w="992" w:type="dxa"/>
            <w:tcBorders>
              <w:top w:val="nil"/>
              <w:left w:val="nil"/>
              <w:bottom w:val="single" w:sz="4" w:space="0" w:color="auto"/>
              <w:right w:val="single" w:sz="4" w:space="0" w:color="auto"/>
            </w:tcBorders>
            <w:shd w:val="clear" w:color="auto" w:fill="auto"/>
            <w:noWrap/>
            <w:hideMark/>
          </w:tcPr>
          <w:p w14:paraId="4B8C340C" w14:textId="7D24C510"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72,6</w:t>
            </w:r>
          </w:p>
        </w:tc>
        <w:tc>
          <w:tcPr>
            <w:tcW w:w="850" w:type="dxa"/>
            <w:tcBorders>
              <w:top w:val="nil"/>
              <w:left w:val="nil"/>
              <w:bottom w:val="single" w:sz="4" w:space="0" w:color="auto"/>
              <w:right w:val="single" w:sz="4" w:space="0" w:color="auto"/>
            </w:tcBorders>
            <w:shd w:val="clear" w:color="auto" w:fill="auto"/>
            <w:noWrap/>
            <w:hideMark/>
          </w:tcPr>
          <w:p w14:paraId="5CB598A8" w14:textId="46E24613"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8,9</w:t>
            </w:r>
          </w:p>
        </w:tc>
        <w:tc>
          <w:tcPr>
            <w:tcW w:w="851" w:type="dxa"/>
            <w:tcBorders>
              <w:top w:val="nil"/>
              <w:left w:val="nil"/>
              <w:bottom w:val="single" w:sz="4" w:space="0" w:color="auto"/>
              <w:right w:val="single" w:sz="4" w:space="0" w:color="auto"/>
            </w:tcBorders>
            <w:shd w:val="clear" w:color="auto" w:fill="auto"/>
            <w:noWrap/>
            <w:hideMark/>
          </w:tcPr>
          <w:p w14:paraId="3DAE5F3D" w14:textId="50B4CA7D"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114,0</w:t>
            </w:r>
          </w:p>
        </w:tc>
      </w:tr>
      <w:tr w:rsidR="00DA488F" w:rsidRPr="006068B4" w14:paraId="030B4DBA"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66BD4B63" w:rsidP="66BD4B63">
            <w:pPr>
              <w:spacing w:line="240" w:lineRule="auto"/>
              <w:rPr>
                <w:rFonts w:ascii="Times New Roman" w:hAnsi="Times New Roman" w:cs="Times New Roman"/>
                <w:b/>
                <w:bCs/>
                <w:color w:val="000000" w:themeColor="text1"/>
                <w:sz w:val="20"/>
                <w:szCs w:val="20"/>
              </w:rPr>
            </w:pPr>
            <w:r w:rsidRPr="66BD4B63">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3C0A1E37"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12,4</w:t>
            </w:r>
          </w:p>
        </w:tc>
        <w:tc>
          <w:tcPr>
            <w:tcW w:w="992" w:type="dxa"/>
            <w:tcBorders>
              <w:top w:val="nil"/>
              <w:left w:val="nil"/>
              <w:bottom w:val="single" w:sz="4" w:space="0" w:color="auto"/>
              <w:right w:val="single" w:sz="4" w:space="0" w:color="auto"/>
            </w:tcBorders>
            <w:shd w:val="clear" w:color="auto" w:fill="auto"/>
            <w:noWrap/>
            <w:hideMark/>
          </w:tcPr>
          <w:p w14:paraId="79ACCB29" w14:textId="4A870797"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11,9</w:t>
            </w:r>
          </w:p>
        </w:tc>
        <w:tc>
          <w:tcPr>
            <w:tcW w:w="850" w:type="dxa"/>
            <w:tcBorders>
              <w:top w:val="nil"/>
              <w:left w:val="nil"/>
              <w:bottom w:val="single" w:sz="4" w:space="0" w:color="auto"/>
              <w:right w:val="single" w:sz="4" w:space="0" w:color="auto"/>
            </w:tcBorders>
            <w:shd w:val="clear" w:color="auto" w:fill="auto"/>
            <w:noWrap/>
            <w:hideMark/>
          </w:tcPr>
          <w:p w14:paraId="74FAD509" w14:textId="129CCE8C"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-0,5</w:t>
            </w:r>
          </w:p>
        </w:tc>
        <w:tc>
          <w:tcPr>
            <w:tcW w:w="851" w:type="dxa"/>
            <w:tcBorders>
              <w:top w:val="nil"/>
              <w:left w:val="nil"/>
              <w:bottom w:val="single" w:sz="4" w:space="0" w:color="auto"/>
              <w:right w:val="single" w:sz="4" w:space="0" w:color="auto"/>
            </w:tcBorders>
            <w:shd w:val="clear" w:color="auto" w:fill="auto"/>
            <w:noWrap/>
            <w:hideMark/>
          </w:tcPr>
          <w:p w14:paraId="55CBB5D3" w14:textId="20C57DD5"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96,0</w:t>
            </w:r>
          </w:p>
        </w:tc>
      </w:tr>
      <w:tr w:rsidR="00DA488F" w:rsidRPr="006068B4" w14:paraId="217EDD81"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66BD4B63" w:rsidP="66BD4B63">
            <w:pPr>
              <w:spacing w:line="240" w:lineRule="auto"/>
              <w:ind w:firstLineChars="100" w:firstLine="2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66BD4B63">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66BD4B63" w:rsidP="66BD4B63">
            <w:pPr>
              <w:spacing w:line="240" w:lineRule="auto"/>
              <w:ind w:firstLineChars="400" w:firstLine="800"/>
              <w:rPr>
                <w:rFonts w:ascii="Times New Roman" w:hAnsi="Times New Roman" w:cs="Times New Roman"/>
                <w:i/>
                <w:iCs/>
                <w:color w:val="000000" w:themeColor="text1"/>
                <w:sz w:val="20"/>
                <w:szCs w:val="20"/>
              </w:rPr>
            </w:pPr>
            <w:r w:rsidRPr="66BD4B63">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32919E56"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8,5</w:t>
            </w:r>
          </w:p>
        </w:tc>
        <w:tc>
          <w:tcPr>
            <w:tcW w:w="992" w:type="dxa"/>
            <w:tcBorders>
              <w:top w:val="nil"/>
              <w:left w:val="nil"/>
              <w:bottom w:val="single" w:sz="4" w:space="0" w:color="auto"/>
              <w:right w:val="single" w:sz="4" w:space="0" w:color="auto"/>
            </w:tcBorders>
            <w:shd w:val="clear" w:color="auto" w:fill="auto"/>
            <w:noWrap/>
            <w:hideMark/>
          </w:tcPr>
          <w:p w14:paraId="655A4EFA" w14:textId="1E08CB07"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8,0</w:t>
            </w:r>
          </w:p>
        </w:tc>
        <w:tc>
          <w:tcPr>
            <w:tcW w:w="850" w:type="dxa"/>
            <w:tcBorders>
              <w:top w:val="nil"/>
              <w:left w:val="nil"/>
              <w:bottom w:val="single" w:sz="4" w:space="0" w:color="auto"/>
              <w:right w:val="single" w:sz="4" w:space="0" w:color="auto"/>
            </w:tcBorders>
            <w:shd w:val="clear" w:color="auto" w:fill="auto"/>
            <w:noWrap/>
            <w:hideMark/>
          </w:tcPr>
          <w:p w14:paraId="5494B891" w14:textId="32B6AA04"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-0,5</w:t>
            </w:r>
          </w:p>
        </w:tc>
        <w:tc>
          <w:tcPr>
            <w:tcW w:w="851" w:type="dxa"/>
            <w:tcBorders>
              <w:top w:val="nil"/>
              <w:left w:val="nil"/>
              <w:bottom w:val="single" w:sz="4" w:space="0" w:color="auto"/>
              <w:right w:val="single" w:sz="4" w:space="0" w:color="auto"/>
            </w:tcBorders>
            <w:shd w:val="clear" w:color="auto" w:fill="auto"/>
            <w:noWrap/>
            <w:hideMark/>
          </w:tcPr>
          <w:p w14:paraId="68797428" w14:textId="49907448" w:rsidR="00DA488F" w:rsidRPr="00DA488F" w:rsidRDefault="66BD4B63" w:rsidP="66BD4B63">
            <w:pPr>
              <w:spacing w:line="240" w:lineRule="auto"/>
              <w:jc w:val="right"/>
              <w:rPr>
                <w:rFonts w:ascii="Times New Roman" w:hAnsi="Times New Roman" w:cs="Times New Roman"/>
                <w:sz w:val="20"/>
                <w:szCs w:val="20"/>
              </w:rPr>
            </w:pPr>
            <w:r w:rsidRPr="66BD4B63">
              <w:rPr>
                <w:rFonts w:ascii="Times New Roman" w:hAnsi="Times New Roman" w:cs="Times New Roman"/>
                <w:sz w:val="20"/>
                <w:szCs w:val="20"/>
              </w:rPr>
              <w:t>94,1</w:t>
            </w:r>
          </w:p>
        </w:tc>
      </w:tr>
      <w:tr w:rsidR="00DA488F" w:rsidRPr="006068B4" w14:paraId="393A56CC" w14:textId="77777777" w:rsidTr="66BD4B63">
        <w:trPr>
          <w:trHeight w:hRule="exact" w:val="28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655C" w14:textId="25FA69F9" w:rsidR="00DA488F" w:rsidRPr="006068B4" w:rsidRDefault="66BD4B63" w:rsidP="66BD4B63">
            <w:pPr>
              <w:spacing w:line="240" w:lineRule="auto"/>
              <w:rPr>
                <w:rFonts w:ascii="Times New Roman" w:hAnsi="Times New Roman" w:cs="Times New Roman"/>
                <w:b/>
                <w:bCs/>
                <w:color w:val="000000" w:themeColor="text1"/>
                <w:sz w:val="20"/>
                <w:szCs w:val="20"/>
              </w:rPr>
            </w:pPr>
            <w:r w:rsidRPr="66BD4B63">
              <w:rPr>
                <w:rFonts w:ascii="Times New Roman" w:hAnsi="Times New Roman" w:cs="Times New Roman"/>
                <w:b/>
                <w:bCs/>
                <w:color w:val="000000" w:themeColor="text1"/>
                <w:sz w:val="20"/>
                <w:szCs w:val="20"/>
              </w:rPr>
              <w:t>Összesen</w:t>
            </w:r>
          </w:p>
        </w:tc>
        <w:tc>
          <w:tcPr>
            <w:tcW w:w="993" w:type="dxa"/>
            <w:tcBorders>
              <w:top w:val="single" w:sz="4" w:space="0" w:color="auto"/>
              <w:left w:val="nil"/>
              <w:bottom w:val="single" w:sz="4" w:space="0" w:color="auto"/>
              <w:right w:val="single" w:sz="4" w:space="0" w:color="auto"/>
            </w:tcBorders>
            <w:shd w:val="clear" w:color="auto" w:fill="auto"/>
            <w:noWrap/>
            <w:hideMark/>
          </w:tcPr>
          <w:p w14:paraId="2E876EDD" w14:textId="60C1E726"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400,1</w:t>
            </w:r>
          </w:p>
        </w:tc>
        <w:tc>
          <w:tcPr>
            <w:tcW w:w="992" w:type="dxa"/>
            <w:tcBorders>
              <w:top w:val="single" w:sz="4" w:space="0" w:color="auto"/>
              <w:left w:val="nil"/>
              <w:bottom w:val="single" w:sz="4" w:space="0" w:color="auto"/>
              <w:right w:val="single" w:sz="4" w:space="0" w:color="auto"/>
            </w:tcBorders>
            <w:shd w:val="clear" w:color="auto" w:fill="auto"/>
            <w:noWrap/>
            <w:hideMark/>
          </w:tcPr>
          <w:p w14:paraId="1CB4D241" w14:textId="7B2FE17E"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391,9</w:t>
            </w:r>
          </w:p>
        </w:tc>
        <w:tc>
          <w:tcPr>
            <w:tcW w:w="850" w:type="dxa"/>
            <w:tcBorders>
              <w:top w:val="single" w:sz="4" w:space="0" w:color="auto"/>
              <w:left w:val="nil"/>
              <w:bottom w:val="single" w:sz="4" w:space="0" w:color="auto"/>
              <w:right w:val="single" w:sz="4" w:space="0" w:color="auto"/>
            </w:tcBorders>
            <w:shd w:val="clear" w:color="auto" w:fill="auto"/>
            <w:noWrap/>
            <w:hideMark/>
          </w:tcPr>
          <w:p w14:paraId="5FF2C368" w14:textId="4D9B5C4E"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-8,2</w:t>
            </w:r>
          </w:p>
        </w:tc>
        <w:tc>
          <w:tcPr>
            <w:tcW w:w="851" w:type="dxa"/>
            <w:tcBorders>
              <w:top w:val="single" w:sz="4" w:space="0" w:color="auto"/>
              <w:left w:val="nil"/>
              <w:bottom w:val="single" w:sz="4" w:space="0" w:color="auto"/>
              <w:right w:val="single" w:sz="4" w:space="0" w:color="auto"/>
            </w:tcBorders>
            <w:shd w:val="clear" w:color="auto" w:fill="auto"/>
            <w:noWrap/>
            <w:hideMark/>
          </w:tcPr>
          <w:p w14:paraId="7F3F44AB" w14:textId="1785266D" w:rsidR="00DA488F" w:rsidRPr="00DA488F" w:rsidRDefault="66BD4B63" w:rsidP="66BD4B63">
            <w:pPr>
              <w:spacing w:line="240" w:lineRule="auto"/>
              <w:jc w:val="right"/>
              <w:rPr>
                <w:rFonts w:ascii="Times New Roman" w:hAnsi="Times New Roman" w:cs="Times New Roman"/>
                <w:b/>
                <w:bCs/>
                <w:sz w:val="20"/>
                <w:szCs w:val="20"/>
              </w:rPr>
            </w:pPr>
            <w:r w:rsidRPr="66BD4B63">
              <w:rPr>
                <w:rFonts w:ascii="Times New Roman" w:hAnsi="Times New Roman" w:cs="Times New Roman"/>
                <w:b/>
                <w:bCs/>
                <w:sz w:val="20"/>
                <w:szCs w:val="20"/>
              </w:rPr>
              <w:t>98,0</w:t>
            </w:r>
          </w:p>
        </w:tc>
      </w:tr>
    </w:tbl>
    <w:p w14:paraId="60E7C76D" w14:textId="7EB65D5B" w:rsidR="30EDBFC2" w:rsidRDefault="66BD4B63" w:rsidP="002C6F14">
      <w:pPr>
        <w:spacing w:before="240"/>
        <w:jc w:val="both"/>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családi támogatásokra</w:t>
      </w:r>
      <w:r w:rsidRPr="66BD4B63">
        <w:rPr>
          <w:rFonts w:ascii="Times New Roman" w:eastAsia="Times New Roman" w:hAnsi="Times New Roman" w:cs="Times New Roman"/>
          <w:sz w:val="26"/>
          <w:szCs w:val="26"/>
        </w:rPr>
        <w:t xml:space="preserve"> 2025 első hat hónapjában összesen 198,7</w:t>
      </w:r>
      <w:r w:rsidR="004730BE">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milliárd forintot fizettek ki, amely 14,2</w:t>
      </w:r>
      <w:r w:rsidR="009B15B4">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milliárd forinttal volt alacsonyabb az előző évi teljesítésnél. Az</w:t>
      </w:r>
      <w:r w:rsidR="0005250F">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eltérés elsősorban a Családi támogatások jogcímcsoporthoz tartozó Életkezdési támogatás előirányzat kiadásai csökkenésének következménye, ami 12,6</w:t>
      </w:r>
      <w:r w:rsidR="00B15CA6">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 xml:space="preserve">milliárd forinttal volt alacsonyabb </w:t>
      </w:r>
      <w:r w:rsidR="001D49AD">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sz w:val="26"/>
          <w:szCs w:val="26"/>
        </w:rPr>
        <w:t>előző év azonos időszakához képest. Ennek oka, hogy 2025-ben az</w:t>
      </w:r>
      <w:r w:rsidR="0005250F">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életkezdési letéti számlákon nyilvántartott követelés összegére tekintettel fizetett kamat mértéke 3,7% volt (a 2024. évi infláció mértékének megfelelően), ami jelentősen alacsonyabb a 2024-ben fizetett kamat mértékénél (17,6%).</w:t>
      </w:r>
    </w:p>
    <w:p w14:paraId="3F14770B" w14:textId="1A89CF1A" w:rsidR="30EDBFC2" w:rsidRDefault="66BD4B63" w:rsidP="002C6F14">
      <w:pPr>
        <w:jc w:val="both"/>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korhatár alatti ellátások</w:t>
      </w:r>
      <w:r w:rsidRPr="66BD4B63">
        <w:rPr>
          <w:rFonts w:ascii="Times New Roman" w:eastAsia="Times New Roman" w:hAnsi="Times New Roman" w:cs="Times New Roman"/>
          <w:sz w:val="26"/>
          <w:szCs w:val="26"/>
        </w:rPr>
        <w:t xml:space="preserve"> esetében a kiadás 2,8 milliárd forinttal alacsonyabb volt az</w:t>
      </w:r>
      <w:r w:rsidR="0005250F">
        <w:rPr>
          <w:rFonts w:ascii="Times New Roman" w:eastAsia="Times New Roman" w:hAnsi="Times New Roman" w:cs="Times New Roman"/>
          <w:sz w:val="26"/>
          <w:szCs w:val="26"/>
        </w:rPr>
        <w:t xml:space="preserve"> </w:t>
      </w:r>
      <w:r w:rsidRPr="66BD4B63">
        <w:rPr>
          <w:rFonts w:ascii="Times New Roman" w:eastAsia="Times New Roman" w:hAnsi="Times New Roman" w:cs="Times New Roman"/>
          <w:sz w:val="26"/>
          <w:szCs w:val="26"/>
        </w:rPr>
        <w:t xml:space="preserve">előző év azonos időszakához képest. A csökkenést az okozza, hogy a jogosultak elérik az </w:t>
      </w:r>
      <w:r w:rsidRPr="66BD4B63">
        <w:rPr>
          <w:rFonts w:ascii="Times New Roman" w:eastAsia="Times New Roman" w:hAnsi="Times New Roman" w:cs="Times New Roman"/>
          <w:sz w:val="26"/>
          <w:szCs w:val="26"/>
        </w:rPr>
        <w:lastRenderedPageBreak/>
        <w:t>öregségi nyugdíjkorhatárt, és nyugellátásra válnak jogosulttá, létszámuk folyamatosan csökken. Januárban sor került az ellátások 3,2%-os emelésére is, valamint a 13. havi nyugdíjhoz hasonlóan februárban a korhatár előtti ellátásban részesülő személyek is részesültek 13. havi ellátásban.</w:t>
      </w:r>
    </w:p>
    <w:p w14:paraId="66A55174" w14:textId="35F49B63" w:rsidR="30EDBFC2" w:rsidRDefault="66BD4B63" w:rsidP="002C6F14">
      <w:pPr>
        <w:jc w:val="both"/>
      </w:pPr>
      <w:r w:rsidRPr="66BD4B63">
        <w:rPr>
          <w:rFonts w:ascii="Times New Roman" w:eastAsia="Times New Roman" w:hAnsi="Times New Roman" w:cs="Times New Roman"/>
          <w:sz w:val="26"/>
          <w:szCs w:val="26"/>
        </w:rPr>
        <w:t xml:space="preserve">2025 júniusáig a </w:t>
      </w:r>
      <w:r w:rsidRPr="001D49AD">
        <w:rPr>
          <w:rFonts w:ascii="Times New Roman" w:eastAsia="Times New Roman" w:hAnsi="Times New Roman" w:cs="Times New Roman"/>
          <w:b/>
          <w:bCs/>
          <w:sz w:val="26"/>
          <w:szCs w:val="26"/>
        </w:rPr>
        <w:t>jövedelempótló és jövedelemkiegészítő szociális támogatásokra biztosított kiadásokon</w:t>
      </w:r>
      <w:r w:rsidRPr="66BD4B63">
        <w:rPr>
          <w:rFonts w:ascii="Times New Roman" w:eastAsia="Times New Roman" w:hAnsi="Times New Roman" w:cs="Times New Roman"/>
          <w:sz w:val="26"/>
          <w:szCs w:val="26"/>
        </w:rPr>
        <w:t xml:space="preserve"> belül a </w:t>
      </w:r>
      <w:r w:rsidRPr="001D49AD">
        <w:rPr>
          <w:rFonts w:ascii="Times New Roman" w:eastAsia="Times New Roman" w:hAnsi="Times New Roman" w:cs="Times New Roman"/>
          <w:sz w:val="26"/>
          <w:szCs w:val="26"/>
        </w:rPr>
        <w:t>járási szociális feladatok</w:t>
      </w:r>
      <w:r w:rsidRPr="66BD4B63">
        <w:rPr>
          <w:rFonts w:ascii="Times New Roman" w:eastAsia="Times New Roman" w:hAnsi="Times New Roman" w:cs="Times New Roman"/>
          <w:sz w:val="26"/>
          <w:szCs w:val="26"/>
        </w:rPr>
        <w:t xml:space="preserve"> ellátására (gyermekek otthongondozási díja, ápolási díj, időskorúak járadéka, foglalkoztatást helyettesítő támogatás, egészségkárosodási és gyermekfelügyeleti támogatás) 72,6 milliárd forintot fordítottak, mely 8,9 milliárd forinttal magasabb az előző évi adatnál. A növekedést elsődlegesen az okozza, hogy 2025. januártól a gyermekek otthongondozási díjának összege a minimálbér emelkedése miatt (266 800 forintról 290 800 forintra) emelkedett, az ápolási díj összege pedig 3,2%-kal nőtt, és folyamatosan emelkedik a gyermekek otthongondozási díjára jogosultak létszáma is.</w:t>
      </w:r>
    </w:p>
    <w:p w14:paraId="5A862C91" w14:textId="435FB423" w:rsidR="30EDBFC2" w:rsidRDefault="66BD4B63" w:rsidP="002C6F14">
      <w:pPr>
        <w:jc w:val="both"/>
      </w:pPr>
      <w:r w:rsidRPr="66BD4B63">
        <w:rPr>
          <w:rFonts w:ascii="Times New Roman" w:eastAsia="Times New Roman" w:hAnsi="Times New Roman" w:cs="Times New Roman"/>
          <w:sz w:val="26"/>
          <w:szCs w:val="26"/>
        </w:rPr>
        <w:t xml:space="preserve">A </w:t>
      </w:r>
      <w:r w:rsidRPr="002C6F14">
        <w:rPr>
          <w:rFonts w:ascii="Times New Roman" w:eastAsia="Times New Roman" w:hAnsi="Times New Roman" w:cs="Times New Roman"/>
          <w:sz w:val="26"/>
          <w:szCs w:val="26"/>
        </w:rPr>
        <w:t>Jövedelempótló és jövedelemkiegészítő ellátások</w:t>
      </w:r>
      <w:r w:rsidRPr="66BD4B63">
        <w:rPr>
          <w:rFonts w:ascii="Times New Roman" w:eastAsia="Times New Roman" w:hAnsi="Times New Roman" w:cs="Times New Roman"/>
          <w:sz w:val="26"/>
          <w:szCs w:val="26"/>
        </w:rPr>
        <w:t xml:space="preserve"> előirányzat tartalmazza a</w:t>
      </w:r>
      <w:r w:rsidR="0005250F">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43,0</w:t>
      </w:r>
      <w:r w:rsidR="002C6F14">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milliárd forintot fizettek ki, mely az előző évi kifizetésnél 0,3</w:t>
      </w:r>
      <w:r w:rsidR="002C6F14">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milliárd forinttal magasabb. A kiadások növekedését egyes ellátások januárban végrehajtott 3,2%-os emelésének, valamint a 2025. februárjában kifizetett 13.</w:t>
      </w:r>
      <w:r w:rsidR="002C6F14">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havi ellátásnak a hatása okozza, amit a jogosultak létszámának csökkenése részben ellensúlyoz.</w:t>
      </w:r>
    </w:p>
    <w:p w14:paraId="7BF5AEA1" w14:textId="08FA6571" w:rsidR="30EDBFC2" w:rsidRDefault="66BD4B63" w:rsidP="002C6F14">
      <w:pPr>
        <w:jc w:val="both"/>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különféle jogcímen adott térítések</w:t>
      </w:r>
      <w:r w:rsidRPr="66BD4B63">
        <w:rPr>
          <w:rFonts w:ascii="Times New Roman" w:eastAsia="Times New Roman" w:hAnsi="Times New Roman" w:cs="Times New Roman"/>
          <w:sz w:val="26"/>
          <w:szCs w:val="26"/>
        </w:rPr>
        <w:t xml:space="preserve"> 2025 júniusi összege 0,5</w:t>
      </w:r>
      <w:r w:rsidR="00B00CC3">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milliárd forinttal alacsonyabb volt, mint az előző év azonos időszakában. A térítéseken belül a legnagyobb összeget, 8,0 milliárd forintot a közgyógyellátásra fizették ki.</w:t>
      </w:r>
    </w:p>
    <w:p w14:paraId="2BBDBEB3" w14:textId="7C2750EF" w:rsidR="0032261D" w:rsidRPr="005C3ECD" w:rsidRDefault="66BD4B63" w:rsidP="002C6F14">
      <w:pPr>
        <w:pStyle w:val="NormlWeb"/>
        <w:spacing w:before="0" w:beforeAutospacing="0" w:after="160" w:afterAutospacing="0" w:line="259" w:lineRule="auto"/>
        <w:jc w:val="both"/>
        <w:rPr>
          <w:sz w:val="26"/>
          <w:szCs w:val="26"/>
        </w:rPr>
      </w:pPr>
      <w:r w:rsidRPr="66BD4B63">
        <w:rPr>
          <w:sz w:val="26"/>
          <w:szCs w:val="26"/>
        </w:rPr>
        <w:t xml:space="preserve">A </w:t>
      </w:r>
      <w:r w:rsidRPr="66BD4B63">
        <w:rPr>
          <w:b/>
          <w:bCs/>
          <w:sz w:val="26"/>
          <w:szCs w:val="26"/>
        </w:rPr>
        <w:t>babaváró támogatásokra</w:t>
      </w:r>
      <w:r w:rsidRPr="66BD4B63">
        <w:rPr>
          <w:sz w:val="26"/>
          <w:szCs w:val="26"/>
        </w:rPr>
        <w:t xml:space="preserve"> fordított kiadások összege június végéig 116,0 milliárd forintot tett ki, amely a törvényi előirányzat 46,1%-ának felel meg, és a 2024. év azonos időszakához viszonyítva 12,8 milliárd forinttal teljesült magasabban.</w:t>
      </w:r>
    </w:p>
    <w:p w14:paraId="31F9568C" w14:textId="172EF8E5" w:rsidR="00A31F84" w:rsidRDefault="66BD4B63" w:rsidP="002C6F14">
      <w:pPr>
        <w:pStyle w:val="NormlWeb"/>
        <w:spacing w:before="0" w:beforeAutospacing="0" w:after="160" w:afterAutospacing="0" w:line="259" w:lineRule="auto"/>
        <w:jc w:val="both"/>
        <w:rPr>
          <w:sz w:val="26"/>
          <w:szCs w:val="26"/>
        </w:rPr>
      </w:pPr>
      <w:bookmarkStart w:id="1" w:name="_Hlk202786542"/>
      <w:r w:rsidRPr="66BD4B63">
        <w:rPr>
          <w:sz w:val="26"/>
          <w:szCs w:val="26"/>
        </w:rPr>
        <w:t xml:space="preserve">A </w:t>
      </w:r>
      <w:r w:rsidRPr="66BD4B63">
        <w:rPr>
          <w:b/>
          <w:bCs/>
          <w:sz w:val="26"/>
          <w:szCs w:val="26"/>
        </w:rPr>
        <w:t>helyi önkormányzatok</w:t>
      </w:r>
      <w:r w:rsidRPr="66BD4B63">
        <w:rPr>
          <w:sz w:val="26"/>
          <w:szCs w:val="26"/>
        </w:rPr>
        <w:t xml:space="preserve"> 2025. évi feladataihoz a hatályos költségvetési törvény alapján </w:t>
      </w:r>
      <w:r w:rsidR="30EDBFC2">
        <w:br/>
      </w:r>
      <w:r w:rsidRPr="66BD4B63">
        <w:rPr>
          <w:sz w:val="26"/>
          <w:szCs w:val="26"/>
        </w:rPr>
        <w:t>1 305,7 milliárd forint állami támogatás került megállapításra.  A június havi tényadat alapján 684,4 milliárd forint kifizetés történt. Az előző év azonos időszakához viszonyított 52,5</w:t>
      </w:r>
      <w:r w:rsidR="00366359">
        <w:rPr>
          <w:sz w:val="26"/>
          <w:szCs w:val="26"/>
        </w:rPr>
        <w:t> </w:t>
      </w:r>
      <w:r w:rsidRPr="66BD4B63">
        <w:rPr>
          <w:sz w:val="26"/>
          <w:szCs w:val="26"/>
        </w:rPr>
        <w:t>milliárd forint (8,3%-os) növekedés a tanárok és polgármesterek béremeléséből, valamint a szociális ágazat idei előirányzatának törvényi emeléséből fakad. A jelentősebb tételek alakulását a következő táblázat mutatja:</w:t>
      </w:r>
    </w:p>
    <w:p w14:paraId="5FD13206" w14:textId="77777777" w:rsidR="00A966B1" w:rsidRDefault="00A966B1" w:rsidP="002C6F14">
      <w:pPr>
        <w:pStyle w:val="NormlWeb"/>
        <w:spacing w:before="0" w:beforeAutospacing="0" w:after="160" w:afterAutospacing="0" w:line="259" w:lineRule="auto"/>
        <w:jc w:val="both"/>
        <w:rPr>
          <w:sz w:val="26"/>
          <w:szCs w:val="26"/>
        </w:rPr>
      </w:pPr>
    </w:p>
    <w:p w14:paraId="75EFF307" w14:textId="77777777" w:rsidR="00A966B1" w:rsidRDefault="00A966B1" w:rsidP="002C6F14">
      <w:pPr>
        <w:pStyle w:val="NormlWeb"/>
        <w:spacing w:before="0" w:beforeAutospacing="0" w:after="160" w:afterAutospacing="0" w:line="259" w:lineRule="auto"/>
        <w:jc w:val="both"/>
        <w:rPr>
          <w:sz w:val="26"/>
          <w:szCs w:val="26"/>
        </w:rPr>
      </w:pPr>
    </w:p>
    <w:p w14:paraId="0E0D03D9" w14:textId="77777777" w:rsidR="00A966B1" w:rsidRDefault="00A966B1" w:rsidP="002C6F14">
      <w:pPr>
        <w:pStyle w:val="NormlWeb"/>
        <w:spacing w:before="0" w:beforeAutospacing="0" w:after="160" w:afterAutospacing="0" w:line="259" w:lineRule="auto"/>
        <w:jc w:val="both"/>
        <w:rPr>
          <w:sz w:val="26"/>
          <w:szCs w:val="26"/>
        </w:rPr>
      </w:pPr>
    </w:p>
    <w:p w14:paraId="14049BB0" w14:textId="77777777" w:rsidR="00A966B1" w:rsidRDefault="00A966B1" w:rsidP="002C6F14">
      <w:pPr>
        <w:pStyle w:val="NormlWeb"/>
        <w:spacing w:before="0" w:beforeAutospacing="0" w:after="160" w:afterAutospacing="0" w:line="259" w:lineRule="auto"/>
        <w:jc w:val="both"/>
        <w:rPr>
          <w:sz w:val="26"/>
          <w:szCs w:val="26"/>
        </w:rPr>
      </w:pPr>
    </w:p>
    <w:p w14:paraId="0C0741D3" w14:textId="77777777" w:rsidR="00A966B1" w:rsidRDefault="00A966B1" w:rsidP="002C6F14">
      <w:pPr>
        <w:pStyle w:val="NormlWeb"/>
        <w:spacing w:before="0" w:beforeAutospacing="0" w:after="160" w:afterAutospacing="0" w:line="259" w:lineRule="auto"/>
        <w:jc w:val="both"/>
        <w:rPr>
          <w:sz w:val="26"/>
          <w:szCs w:val="26"/>
        </w:rPr>
      </w:pPr>
    </w:p>
    <w:p w14:paraId="2723D8B3" w14:textId="34B7D713" w:rsidR="00C24948" w:rsidRPr="00B32682" w:rsidRDefault="66BD4B63" w:rsidP="0005250F">
      <w:pPr>
        <w:pStyle w:val="NormlWeb"/>
        <w:spacing w:before="0" w:beforeAutospacing="0" w:after="160" w:afterAutospacing="0" w:line="259" w:lineRule="auto"/>
        <w:jc w:val="center"/>
      </w:pPr>
      <w:r w:rsidRPr="66BD4B63">
        <w:rPr>
          <w:b/>
          <w:bCs/>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66BD4B63">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4EAEB251" w:rsidR="00081A16" w:rsidRPr="00DD7FD1"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 xml:space="preserve">2024. </w:t>
            </w:r>
            <w:r w:rsidR="30EDBFC2">
              <w:br/>
            </w:r>
            <w:r w:rsidRPr="66BD4B63">
              <w:rPr>
                <w:rFonts w:ascii="Times New Roman" w:hAnsi="Times New Roman" w:cs="Times New Roman"/>
                <w:b/>
                <w:bCs/>
              </w:rPr>
              <w:t>I-VI. hó</w:t>
            </w:r>
          </w:p>
        </w:tc>
        <w:tc>
          <w:tcPr>
            <w:tcW w:w="992" w:type="dxa"/>
            <w:vMerge w:val="restart"/>
            <w:shd w:val="clear" w:color="auto" w:fill="BDD6EE" w:themeFill="accent1" w:themeFillTint="66"/>
            <w:vAlign w:val="center"/>
            <w:hideMark/>
          </w:tcPr>
          <w:p w14:paraId="626AC8BC" w14:textId="1EFB9B81" w:rsidR="00081A16" w:rsidRPr="00DD7FD1" w:rsidRDefault="66BD4B63" w:rsidP="66BD4B63">
            <w:pPr>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 xml:space="preserve">2025. </w:t>
            </w:r>
            <w:r w:rsidR="30EDBFC2">
              <w:br/>
            </w:r>
            <w:r w:rsidRPr="66BD4B63">
              <w:rPr>
                <w:rFonts w:ascii="Times New Roman" w:hAnsi="Times New Roman" w:cs="Times New Roman"/>
                <w:b/>
                <w:bCs/>
              </w:rPr>
              <w:t>I-VI. hó</w:t>
            </w:r>
          </w:p>
        </w:tc>
        <w:tc>
          <w:tcPr>
            <w:tcW w:w="1701" w:type="dxa"/>
            <w:gridSpan w:val="2"/>
            <w:shd w:val="clear" w:color="auto" w:fill="BDD6EE" w:themeFill="accent1" w:themeFillTint="66"/>
            <w:noWrap/>
            <w:vAlign w:val="center"/>
            <w:hideMark/>
          </w:tcPr>
          <w:p w14:paraId="35A3C823" w14:textId="77777777" w:rsidR="00081A16" w:rsidRPr="00DD7FD1"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Eltérés</w:t>
            </w:r>
          </w:p>
        </w:tc>
      </w:tr>
      <w:tr w:rsidR="00C24948" w:rsidRPr="00377D59" w14:paraId="2DD9A798" w14:textId="77777777" w:rsidTr="66BD4B63">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tcBorders>
              <w:bottom w:val="single" w:sz="4" w:space="0" w:color="auto"/>
            </w:tcBorders>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tcBorders>
              <w:bottom w:val="single" w:sz="4" w:space="0" w:color="auto"/>
            </w:tcBorders>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tcBorders>
              <w:bottom w:val="single" w:sz="4" w:space="0" w:color="auto"/>
            </w:tcBorders>
            <w:shd w:val="clear" w:color="auto" w:fill="BDD6EE" w:themeFill="accent1" w:themeFillTint="66"/>
            <w:noWrap/>
            <w:vAlign w:val="center"/>
            <w:hideMark/>
          </w:tcPr>
          <w:p w14:paraId="1B2C8FF2" w14:textId="77777777" w:rsidR="00C24948" w:rsidRPr="00DD7FD1"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Mrd Ft</w:t>
            </w:r>
          </w:p>
        </w:tc>
        <w:tc>
          <w:tcPr>
            <w:tcW w:w="851" w:type="dxa"/>
            <w:tcBorders>
              <w:bottom w:val="single" w:sz="4" w:space="0" w:color="auto"/>
            </w:tcBorders>
            <w:shd w:val="clear" w:color="auto" w:fill="BDD6EE" w:themeFill="accent1" w:themeFillTint="66"/>
            <w:noWrap/>
            <w:vAlign w:val="center"/>
            <w:hideMark/>
          </w:tcPr>
          <w:p w14:paraId="179AEF43" w14:textId="77777777" w:rsidR="00C24948" w:rsidRPr="00DD7FD1" w:rsidRDefault="66BD4B63" w:rsidP="66BD4B63">
            <w:pPr>
              <w:keepNext/>
              <w:keepLines/>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w:t>
            </w:r>
          </w:p>
        </w:tc>
      </w:tr>
      <w:tr w:rsidR="00FA0C97" w:rsidRPr="00377D59" w14:paraId="5CF52B9C" w14:textId="77777777" w:rsidTr="66BD4B63">
        <w:trPr>
          <w:trHeight w:val="510"/>
        </w:trPr>
        <w:tc>
          <w:tcPr>
            <w:tcW w:w="5382" w:type="dxa"/>
            <w:shd w:val="clear" w:color="auto" w:fill="auto"/>
            <w:vAlign w:val="center"/>
            <w:hideMark/>
          </w:tcPr>
          <w:p w14:paraId="11FF4C49" w14:textId="77777777" w:rsidR="00FA0C97" w:rsidRPr="00976E1E" w:rsidRDefault="66BD4B63" w:rsidP="66BD4B63">
            <w:pPr>
              <w:keepNext/>
              <w:keepLines/>
              <w:spacing w:after="0" w:line="240" w:lineRule="auto"/>
              <w:rPr>
                <w:rFonts w:ascii="Times New Roman" w:eastAsia="Times New Roman" w:hAnsi="Times New Roman" w:cs="Times New Roman"/>
                <w:b/>
                <w:bCs/>
                <w:sz w:val="20"/>
                <w:szCs w:val="20"/>
                <w:lang w:eastAsia="hu-HU"/>
              </w:rPr>
            </w:pPr>
            <w:r w:rsidRPr="66BD4B63">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A1E4CBD" w14:textId="5E415DCB" w:rsidR="00FA0C97" w:rsidRPr="009657EE"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577,4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9553" w14:textId="4F8DBF6B"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612,9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76081" w14:textId="5991BF08"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35,5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60E" w14:textId="7629E547"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106,1</w:t>
            </w:r>
          </w:p>
        </w:tc>
      </w:tr>
      <w:tr w:rsidR="00FA0C97" w:rsidRPr="00377D59" w14:paraId="66D88640" w14:textId="77777777" w:rsidTr="66BD4B63">
        <w:trPr>
          <w:trHeight w:val="340"/>
        </w:trPr>
        <w:tc>
          <w:tcPr>
            <w:tcW w:w="5382" w:type="dxa"/>
            <w:shd w:val="clear" w:color="auto" w:fill="auto"/>
            <w:vAlign w:val="center"/>
            <w:hideMark/>
          </w:tcPr>
          <w:p w14:paraId="4496E62C" w14:textId="77777777" w:rsidR="00FA0C97" w:rsidRPr="00976E1E" w:rsidRDefault="66BD4B63" w:rsidP="66BD4B63">
            <w:pPr>
              <w:keepNext/>
              <w:keepLines/>
              <w:spacing w:after="0" w:line="240" w:lineRule="auto"/>
              <w:rPr>
                <w:rFonts w:ascii="Times New Roman" w:eastAsia="Times New Roman" w:hAnsi="Times New Roman" w:cs="Times New Roman"/>
                <w:i/>
                <w:iCs/>
                <w:sz w:val="20"/>
                <w:szCs w:val="20"/>
                <w:lang w:eastAsia="hu-HU"/>
              </w:rPr>
            </w:pPr>
            <w:r w:rsidRPr="66BD4B63">
              <w:rPr>
                <w:rFonts w:ascii="Times New Roman" w:eastAsia="Times New Roman" w:hAnsi="Times New Roman" w:cs="Times New Roman"/>
                <w:i/>
                <w:iCs/>
                <w:sz w:val="20"/>
                <w:szCs w:val="20"/>
                <w:lang w:eastAsia="hu-HU"/>
              </w:rPr>
              <w:t>A helyi önkormányzatok működésének általános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6C091267" w14:textId="71225B7F" w:rsidR="00FA0C97" w:rsidRPr="009657EE"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162,6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3F341" w14:textId="019E32AB"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159,2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C594" w14:textId="06504A75"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384BF" w14:textId="6444204A"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97,9</w:t>
            </w:r>
          </w:p>
        </w:tc>
      </w:tr>
      <w:tr w:rsidR="00FA0C97" w:rsidRPr="00377D59" w14:paraId="644FC967" w14:textId="77777777" w:rsidTr="66BD4B63">
        <w:trPr>
          <w:trHeight w:val="510"/>
        </w:trPr>
        <w:tc>
          <w:tcPr>
            <w:tcW w:w="5382" w:type="dxa"/>
            <w:shd w:val="clear" w:color="auto" w:fill="auto"/>
            <w:vAlign w:val="center"/>
            <w:hideMark/>
          </w:tcPr>
          <w:p w14:paraId="1BA330A0" w14:textId="77777777" w:rsidR="00FA0C97" w:rsidRPr="00976E1E" w:rsidRDefault="66BD4B63" w:rsidP="66BD4B63">
            <w:pPr>
              <w:keepNext/>
              <w:keepLines/>
              <w:spacing w:after="0" w:line="240" w:lineRule="auto"/>
              <w:rPr>
                <w:rFonts w:ascii="Times New Roman" w:eastAsia="Times New Roman" w:hAnsi="Times New Roman" w:cs="Times New Roman"/>
                <w:i/>
                <w:iCs/>
                <w:sz w:val="20"/>
                <w:szCs w:val="20"/>
                <w:lang w:eastAsia="hu-HU"/>
              </w:rPr>
            </w:pPr>
            <w:r w:rsidRPr="66BD4B63">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E8D28C3" w14:textId="103E7EB1" w:rsidR="00FA0C97" w:rsidRPr="009657EE"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183,6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1BB58" w14:textId="66C5AD4C"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207,8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1E80" w14:textId="44FB7C81"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24,2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CDD1" w14:textId="14A43D74"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113,2</w:t>
            </w:r>
          </w:p>
        </w:tc>
      </w:tr>
      <w:tr w:rsidR="00FA0C97" w:rsidRPr="00377D59" w14:paraId="11F06AEB" w14:textId="77777777" w:rsidTr="66BD4B63">
        <w:trPr>
          <w:trHeight w:val="510"/>
        </w:trPr>
        <w:tc>
          <w:tcPr>
            <w:tcW w:w="5382" w:type="dxa"/>
            <w:shd w:val="clear" w:color="auto" w:fill="auto"/>
            <w:vAlign w:val="center"/>
            <w:hideMark/>
          </w:tcPr>
          <w:p w14:paraId="63EE65A2" w14:textId="77777777" w:rsidR="00FA0C97" w:rsidRPr="00976E1E" w:rsidRDefault="66BD4B63" w:rsidP="66BD4B63">
            <w:pPr>
              <w:keepNext/>
              <w:keepLines/>
              <w:spacing w:after="0" w:line="240" w:lineRule="auto"/>
              <w:rPr>
                <w:rFonts w:ascii="Times New Roman" w:eastAsia="Times New Roman" w:hAnsi="Times New Roman" w:cs="Times New Roman"/>
                <w:i/>
                <w:iCs/>
                <w:sz w:val="20"/>
                <w:szCs w:val="20"/>
                <w:lang w:eastAsia="hu-HU"/>
              </w:rPr>
            </w:pPr>
            <w:r w:rsidRPr="66BD4B63">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BBDE34C" w14:textId="588E1E3A" w:rsidR="00FA0C97" w:rsidRPr="009657EE"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219,5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C695" w14:textId="66F8F060"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234,5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1228" w14:textId="220CECED"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53BB5" w14:textId="4C9C2674"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106,8</w:t>
            </w:r>
          </w:p>
        </w:tc>
      </w:tr>
      <w:tr w:rsidR="00FA0C97" w:rsidRPr="00377D59" w14:paraId="1FC403F4" w14:textId="77777777" w:rsidTr="66BD4B63">
        <w:trPr>
          <w:trHeight w:val="340"/>
        </w:trPr>
        <w:tc>
          <w:tcPr>
            <w:tcW w:w="5382" w:type="dxa"/>
            <w:shd w:val="clear" w:color="auto" w:fill="auto"/>
            <w:vAlign w:val="center"/>
            <w:hideMark/>
          </w:tcPr>
          <w:p w14:paraId="4F427CE2" w14:textId="77777777" w:rsidR="00FA0C97" w:rsidRPr="00976E1E" w:rsidRDefault="66BD4B63" w:rsidP="66BD4B63">
            <w:pPr>
              <w:keepNext/>
              <w:keepLines/>
              <w:spacing w:after="0" w:line="240" w:lineRule="auto"/>
              <w:rPr>
                <w:rFonts w:ascii="Times New Roman" w:eastAsia="Times New Roman" w:hAnsi="Times New Roman" w:cs="Times New Roman"/>
                <w:i/>
                <w:iCs/>
                <w:sz w:val="20"/>
                <w:szCs w:val="20"/>
                <w:lang w:eastAsia="hu-HU"/>
              </w:rPr>
            </w:pPr>
            <w:r w:rsidRPr="66BD4B63">
              <w:rPr>
                <w:rFonts w:ascii="Times New Roman" w:eastAsia="Times New Roman" w:hAnsi="Times New Roman" w:cs="Times New Roman"/>
                <w:i/>
                <w:iCs/>
                <w:sz w:val="20"/>
                <w:szCs w:val="20"/>
                <w:lang w:eastAsia="hu-HU"/>
              </w:rPr>
              <w:t>A települési önkormányzatok kulturális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BDB6D4" w14:textId="08D06259" w:rsidR="00FA0C97" w:rsidRPr="009657EE"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BBCDB" w14:textId="3E074C48"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11,4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8EF3A" w14:textId="407E638D"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83D2" w14:textId="4E5B7FBF" w:rsidR="00FA0C97" w:rsidRPr="00FA0C97" w:rsidRDefault="66BD4B63" w:rsidP="66BD4B63">
            <w:pPr>
              <w:keepNext/>
              <w:keepLines/>
              <w:spacing w:after="0" w:line="240" w:lineRule="auto"/>
              <w:jc w:val="right"/>
              <w:rPr>
                <w:rFonts w:ascii="Times New Roman" w:eastAsia="Times New Roman" w:hAnsi="Times New Roman" w:cs="Times New Roman"/>
                <w:i/>
                <w:iCs/>
                <w:sz w:val="20"/>
                <w:szCs w:val="20"/>
                <w:lang w:eastAsia="hu-HU"/>
              </w:rPr>
            </w:pPr>
            <w:r w:rsidRPr="66BD4B63">
              <w:rPr>
                <w:rFonts w:ascii="Times New Roman" w:hAnsi="Times New Roman" w:cs="Times New Roman"/>
                <w:i/>
                <w:iCs/>
                <w:sz w:val="20"/>
                <w:szCs w:val="20"/>
              </w:rPr>
              <w:t>97,4</w:t>
            </w:r>
          </w:p>
        </w:tc>
      </w:tr>
      <w:tr w:rsidR="00FA0C97" w:rsidRPr="00377D59" w14:paraId="44EF96BF" w14:textId="77777777" w:rsidTr="66BD4B63">
        <w:trPr>
          <w:trHeight w:val="340"/>
        </w:trPr>
        <w:tc>
          <w:tcPr>
            <w:tcW w:w="5382" w:type="dxa"/>
            <w:shd w:val="clear" w:color="auto" w:fill="auto"/>
            <w:vAlign w:val="center"/>
            <w:hideMark/>
          </w:tcPr>
          <w:p w14:paraId="3DD87A70" w14:textId="766307B5" w:rsidR="00FA0C97" w:rsidRPr="00976E1E" w:rsidRDefault="66BD4B63" w:rsidP="66BD4B63">
            <w:pPr>
              <w:keepNext/>
              <w:keepLines/>
              <w:spacing w:after="0" w:line="240" w:lineRule="auto"/>
              <w:rPr>
                <w:rFonts w:ascii="Times New Roman" w:eastAsia="Times New Roman" w:hAnsi="Times New Roman" w:cs="Times New Roman"/>
                <w:b/>
                <w:bCs/>
                <w:sz w:val="20"/>
                <w:szCs w:val="20"/>
                <w:lang w:eastAsia="hu-HU"/>
              </w:rPr>
            </w:pPr>
            <w:r w:rsidRPr="66BD4B63">
              <w:rPr>
                <w:rFonts w:ascii="Times New Roman" w:eastAsia="Times New Roman" w:hAnsi="Times New Roman" w:cs="Times New Roman"/>
                <w:b/>
                <w:bCs/>
                <w:sz w:val="20"/>
                <w:szCs w:val="20"/>
                <w:lang w:eastAsia="hu-HU"/>
              </w:rPr>
              <w:t>Helyi önkormányzatok kiegészítő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4DDE983" w14:textId="2D563474" w:rsidR="00FA0C97" w:rsidRPr="009657EE"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46,7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23BA" w14:textId="5F26FEEF"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69,3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67F0" w14:textId="760F0AE3"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22,6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6C6E" w14:textId="3A218E2B"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148,4</w:t>
            </w:r>
          </w:p>
        </w:tc>
      </w:tr>
      <w:tr w:rsidR="00FA0C97" w:rsidRPr="00377D59" w14:paraId="648C3F54" w14:textId="77777777" w:rsidTr="66BD4B63">
        <w:trPr>
          <w:trHeight w:val="340"/>
        </w:trPr>
        <w:tc>
          <w:tcPr>
            <w:tcW w:w="5382" w:type="dxa"/>
            <w:shd w:val="clear" w:color="auto" w:fill="auto"/>
            <w:vAlign w:val="center"/>
            <w:hideMark/>
          </w:tcPr>
          <w:p w14:paraId="3676EE9C" w14:textId="4925EF27" w:rsidR="00FA0C97" w:rsidRPr="00976E1E" w:rsidRDefault="66BD4B63" w:rsidP="66BD4B63">
            <w:pPr>
              <w:keepNext/>
              <w:keepLines/>
              <w:spacing w:after="0" w:line="240" w:lineRule="auto"/>
              <w:rPr>
                <w:rFonts w:ascii="Times New Roman" w:eastAsia="Times New Roman" w:hAnsi="Times New Roman" w:cs="Times New Roman"/>
                <w:b/>
                <w:bCs/>
                <w:sz w:val="20"/>
                <w:szCs w:val="20"/>
                <w:lang w:eastAsia="hu-HU"/>
              </w:rPr>
            </w:pPr>
            <w:r w:rsidRPr="66BD4B63">
              <w:rPr>
                <w:rFonts w:ascii="Times New Roman" w:eastAsia="Times New Roman" w:hAnsi="Times New Roman" w:cs="Times New Roman"/>
                <w:b/>
                <w:bCs/>
                <w:sz w:val="20"/>
                <w:szCs w:val="20"/>
                <w:lang w:eastAsia="hu-HU"/>
              </w:rPr>
              <w:t>Év közben létrejött új jogcímek kiadásai</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BACAC9E" w14:textId="3457CA15" w:rsidR="00FA0C97" w:rsidRPr="009657EE"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E9FC" w14:textId="26F065E4"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586A" w14:textId="6F81A2A2"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BBBB0" w14:textId="5B4913A4"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28,2</w:t>
            </w:r>
          </w:p>
        </w:tc>
      </w:tr>
      <w:tr w:rsidR="00FA0C97" w:rsidRPr="00377D59" w14:paraId="60064293" w14:textId="77777777" w:rsidTr="66BD4B63">
        <w:trPr>
          <w:trHeight w:val="340"/>
        </w:trPr>
        <w:tc>
          <w:tcPr>
            <w:tcW w:w="5382" w:type="dxa"/>
            <w:shd w:val="clear" w:color="auto" w:fill="auto"/>
            <w:noWrap/>
            <w:vAlign w:val="center"/>
            <w:hideMark/>
          </w:tcPr>
          <w:p w14:paraId="73666509" w14:textId="770E1DDA" w:rsidR="00FA0C97" w:rsidRPr="00976E1E" w:rsidRDefault="66BD4B63" w:rsidP="66BD4B63">
            <w:pPr>
              <w:widowControl w:val="0"/>
              <w:spacing w:after="0" w:line="240" w:lineRule="auto"/>
              <w:rPr>
                <w:rFonts w:ascii="Times New Roman" w:eastAsia="Times New Roman" w:hAnsi="Times New Roman" w:cs="Times New Roman"/>
                <w:b/>
                <w:bCs/>
                <w:sz w:val="20"/>
                <w:szCs w:val="20"/>
                <w:lang w:eastAsia="hu-HU"/>
              </w:rPr>
            </w:pPr>
            <w:r w:rsidRPr="66BD4B63">
              <w:rPr>
                <w:rFonts w:ascii="Times New Roman" w:eastAsia="Times New Roman" w:hAnsi="Times New Roman" w:cs="Times New Roman"/>
                <w:b/>
                <w:bCs/>
                <w:sz w:val="20"/>
                <w:szCs w:val="20"/>
                <w:lang w:eastAsia="hu-HU"/>
              </w:rPr>
              <w:t>Összesen</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A3EFD36" w14:textId="1D835EE9" w:rsidR="00FA0C97" w:rsidRPr="009657EE"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631,9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CCAC" w14:textId="5119364A"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684,4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CA3FA" w14:textId="172F1DD6"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52,5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57DC" w14:textId="3E48742A" w:rsidR="00FA0C97" w:rsidRPr="00FA0C97" w:rsidRDefault="66BD4B63" w:rsidP="66BD4B63">
            <w:pPr>
              <w:keepNext/>
              <w:keepLines/>
              <w:spacing w:after="0" w:line="240" w:lineRule="auto"/>
              <w:jc w:val="right"/>
              <w:rPr>
                <w:rFonts w:ascii="Times New Roman" w:eastAsia="Times New Roman" w:hAnsi="Times New Roman" w:cs="Times New Roman"/>
                <w:b/>
                <w:bCs/>
                <w:sz w:val="20"/>
                <w:szCs w:val="20"/>
                <w:lang w:eastAsia="hu-HU"/>
              </w:rPr>
            </w:pPr>
            <w:r w:rsidRPr="66BD4B63">
              <w:rPr>
                <w:rFonts w:ascii="Times New Roman" w:hAnsi="Times New Roman" w:cs="Times New Roman"/>
                <w:b/>
                <w:bCs/>
                <w:sz w:val="20"/>
                <w:szCs w:val="20"/>
              </w:rPr>
              <w:t>108,3</w:t>
            </w:r>
          </w:p>
        </w:tc>
      </w:tr>
    </w:tbl>
    <w:bookmarkEnd w:id="1"/>
    <w:p w14:paraId="294CBB33" w14:textId="0FBA8137" w:rsidR="74B9DF17" w:rsidRPr="00CD1AC2" w:rsidRDefault="66BD4B63" w:rsidP="66BD4B63">
      <w:pPr>
        <w:spacing w:before="160"/>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Uniós programok kiadásai</w:t>
      </w:r>
      <w:r w:rsidRPr="66BD4B63">
        <w:rPr>
          <w:rFonts w:ascii="Times New Roman" w:eastAsia="Times New Roman" w:hAnsi="Times New Roman" w:cs="Times New Roman"/>
          <w:i/>
          <w:iCs/>
          <w:sz w:val="26"/>
          <w:szCs w:val="26"/>
        </w:rPr>
        <w:t xml:space="preserve"> </w:t>
      </w:r>
      <w:r w:rsidRPr="66BD4B63">
        <w:rPr>
          <w:rFonts w:ascii="Times New Roman" w:eastAsia="Times New Roman" w:hAnsi="Times New Roman" w:cs="Times New Roman"/>
          <w:sz w:val="26"/>
          <w:szCs w:val="26"/>
        </w:rPr>
        <w:t>mérlegsoron 2025. június végéig 1</w:t>
      </w:r>
      <w:r w:rsidR="006818BE">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221,7 milliárd forint összegű kifizetés történt, amely a törvényi előirányzat (3</w:t>
      </w:r>
      <w:r w:rsidR="006818BE">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 xml:space="preserve">023,8 milliárd forint) 40,4%-os teljesítését jelenti. A felmerült kiadások több mint felét a 2021-2027-es Széchenyi </w:t>
      </w:r>
      <w:r w:rsidR="00A966B1">
        <w:rPr>
          <w:rFonts w:ascii="Times New Roman" w:eastAsia="Times New Roman" w:hAnsi="Times New Roman" w:cs="Times New Roman"/>
          <w:sz w:val="26"/>
          <w:szCs w:val="26"/>
        </w:rPr>
        <w:t xml:space="preserve">Terv </w:t>
      </w:r>
      <w:r w:rsidRPr="66BD4B63">
        <w:rPr>
          <w:rFonts w:ascii="Times New Roman" w:eastAsia="Times New Roman" w:hAnsi="Times New Roman" w:cs="Times New Roman"/>
          <w:sz w:val="26"/>
          <w:szCs w:val="26"/>
        </w:rPr>
        <w:t>Plusz programjai adták.</w:t>
      </w:r>
    </w:p>
    <w:p w14:paraId="6ABC464B" w14:textId="7E382B0D" w:rsidR="74B9DF17" w:rsidRPr="00CD1AC2" w:rsidRDefault="66BD4B63" w:rsidP="66BD4B63">
      <w:pPr>
        <w:spacing w:before="160"/>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A legnagyobb összegű kifizetéseket ezen időszakban a Széchenyi Terv Plusz operatív programok közül a Terület- és Településfejlesztési OP (TOP Plusz) és az Emberi Erőforrás Fejlesztési OP Plusz (EFOP Plusz) teljesítette. Kiemelkedők továbbá a Vidékfejlesztési Program és a KAP Stratégiai Terv Vidékfejlesztési Intézkedéseinek kifizetése.</w:t>
      </w:r>
    </w:p>
    <w:p w14:paraId="0EE0B389" w14:textId="250F618C" w:rsidR="029C2633" w:rsidRPr="00CD1AC2" w:rsidRDefault="66BD4B63" w:rsidP="66BD4B63">
      <w:pPr>
        <w:keepLines/>
        <w:spacing w:before="160"/>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állami vagyonnal kapcsolatos kiadások</w:t>
      </w:r>
      <w:r w:rsidRPr="66BD4B63">
        <w:rPr>
          <w:rFonts w:ascii="Times New Roman" w:eastAsia="Times New Roman" w:hAnsi="Times New Roman" w:cs="Times New Roman"/>
          <w:sz w:val="26"/>
          <w:szCs w:val="26"/>
        </w:rPr>
        <w:t xml:space="preserve"> 2025 első hathavi összege 317,2 milliárd forint volt, amelynek meghatározó része ingatlanokhoz kapcsolódóan került kifizetésre.</w:t>
      </w:r>
    </w:p>
    <w:p w14:paraId="4D36018A" w14:textId="0EDC11EE" w:rsidR="000B49AE" w:rsidRPr="00377D59" w:rsidRDefault="0005250F" w:rsidP="000B49AE">
      <w:pPr>
        <w:spacing w:before="240" w:after="120" w:line="240" w:lineRule="auto"/>
        <w:jc w:val="center"/>
        <w:rPr>
          <w:rFonts w:ascii="Times New Roman" w:eastAsia="Times New Roman" w:hAnsi="Times New Roman" w:cs="Times New Roman"/>
          <w:b/>
          <w:bCs/>
          <w:sz w:val="26"/>
          <w:szCs w:val="26"/>
        </w:rPr>
      </w:pPr>
      <w:r>
        <w:rPr>
          <w:noProof/>
        </w:rPr>
        <w:drawing>
          <wp:inline distT="0" distB="0" distL="0" distR="0" wp14:anchorId="2BA88C10" wp14:editId="4EB29C43">
            <wp:extent cx="5734050" cy="3670282"/>
            <wp:effectExtent l="0" t="0" r="0" b="6985"/>
            <wp:docPr id="98692310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23104" name=""/>
                    <pic:cNvPicPr/>
                  </pic:nvPicPr>
                  <pic:blipFill>
                    <a:blip r:embed="rId19"/>
                    <a:stretch>
                      <a:fillRect/>
                    </a:stretch>
                  </pic:blipFill>
                  <pic:spPr>
                    <a:xfrm>
                      <a:off x="0" y="0"/>
                      <a:ext cx="5749322" cy="3680058"/>
                    </a:xfrm>
                    <a:prstGeom prst="rect">
                      <a:avLst/>
                    </a:prstGeom>
                  </pic:spPr>
                </pic:pic>
              </a:graphicData>
            </a:graphic>
          </wp:inline>
        </w:drawing>
      </w:r>
    </w:p>
    <w:p w14:paraId="030326D3" w14:textId="726826AB" w:rsidR="5B67C7D7"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lastRenderedPageBreak/>
        <w:t xml:space="preserve">Az </w:t>
      </w:r>
      <w:r w:rsidRPr="66BD4B63">
        <w:rPr>
          <w:rFonts w:ascii="Times New Roman" w:eastAsia="Times New Roman" w:hAnsi="Times New Roman" w:cs="Times New Roman"/>
          <w:b/>
          <w:bCs/>
          <w:sz w:val="26"/>
          <w:szCs w:val="26"/>
        </w:rPr>
        <w:t xml:space="preserve">állami beruházási fejezet kiadásait </w:t>
      </w:r>
      <w:r w:rsidRPr="66BD4B63">
        <w:rPr>
          <w:rFonts w:ascii="Times New Roman" w:eastAsia="Times New Roman" w:hAnsi="Times New Roman" w:cs="Times New Roman"/>
          <w:sz w:val="26"/>
          <w:szCs w:val="26"/>
        </w:rPr>
        <w:t>alapvetően az egyes projektek előrehaladása határozza meg. 2025 első hat hónapjában 248,0 milliárd forint kiadás teljesült, amely magasabb a 2024 azonos időszakában teljesültekhez képest. A kifizetések nagy része az állami közútfejlesztési beruházásokhoz (166,6 milliárd forint), az európai uniós forrásokból megvalósuló beruházásokhoz (58,7 milliárd forint) és az egyedi magasépítési beruházásokhoz (14,5 milliárd forint) kapcsolódtak</w:t>
      </w:r>
      <w:r w:rsidRPr="66BD4B63">
        <w:rPr>
          <w:rFonts w:ascii="Times New Roman" w:eastAsia="Times New Roman" w:hAnsi="Times New Roman" w:cs="Times New Roman"/>
          <w:sz w:val="24"/>
          <w:szCs w:val="24"/>
        </w:rPr>
        <w:t>.</w:t>
      </w:r>
    </w:p>
    <w:p w14:paraId="598CEA5E" w14:textId="596BA23A" w:rsidR="00C224F5"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egyéb kiadások</w:t>
      </w:r>
      <w:r w:rsidRPr="66BD4B63">
        <w:rPr>
          <w:rFonts w:ascii="Times New Roman" w:eastAsia="Times New Roman" w:hAnsi="Times New Roman" w:cs="Times New Roman"/>
          <w:sz w:val="26"/>
          <w:szCs w:val="26"/>
        </w:rPr>
        <w:t xml:space="preserve"> 2025. évi első </w:t>
      </w:r>
      <w:r w:rsidR="00390D71">
        <w:rPr>
          <w:rFonts w:ascii="Times New Roman" w:eastAsia="Times New Roman" w:hAnsi="Times New Roman" w:cs="Times New Roman"/>
          <w:sz w:val="26"/>
          <w:szCs w:val="26"/>
        </w:rPr>
        <w:t>hathavi</w:t>
      </w:r>
      <w:r w:rsidRPr="66BD4B63">
        <w:rPr>
          <w:rFonts w:ascii="Times New Roman" w:eastAsia="Times New Roman" w:hAnsi="Times New Roman" w:cs="Times New Roman"/>
          <w:sz w:val="26"/>
          <w:szCs w:val="26"/>
        </w:rPr>
        <w:t xml:space="preserve"> teljesítése </w:t>
      </w:r>
      <w:r w:rsidR="00390D71">
        <w:rPr>
          <w:rFonts w:ascii="Times New Roman" w:eastAsia="Times New Roman" w:hAnsi="Times New Roman" w:cs="Times New Roman"/>
          <w:sz w:val="26"/>
          <w:szCs w:val="26"/>
        </w:rPr>
        <w:t>239,4</w:t>
      </w:r>
      <w:r w:rsidRPr="66BD4B63">
        <w:rPr>
          <w:rFonts w:ascii="Times New Roman" w:eastAsia="Times New Roman" w:hAnsi="Times New Roman" w:cs="Times New Roman"/>
          <w:sz w:val="26"/>
          <w:szCs w:val="26"/>
        </w:rPr>
        <w:t xml:space="preserve"> milliárd forint lett, ami </w:t>
      </w:r>
      <w:r w:rsidR="00390D71">
        <w:rPr>
          <w:rFonts w:ascii="Times New Roman" w:eastAsia="Times New Roman" w:hAnsi="Times New Roman" w:cs="Times New Roman"/>
          <w:sz w:val="26"/>
          <w:szCs w:val="26"/>
        </w:rPr>
        <w:t>8,4</w:t>
      </w:r>
      <w:r w:rsidRPr="66BD4B63">
        <w:rPr>
          <w:rFonts w:ascii="Times New Roman" w:eastAsia="Times New Roman" w:hAnsi="Times New Roman" w:cs="Times New Roman"/>
          <w:sz w:val="26"/>
          <w:szCs w:val="26"/>
        </w:rPr>
        <w:t xml:space="preserve"> milliárd forinttal magasabban alakult az előző év azonos időszakához képest. </w:t>
      </w:r>
    </w:p>
    <w:p w14:paraId="15F013A7" w14:textId="2FE6F775" w:rsidR="74B9DF17"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Hozzájárulás az EU költségvetéséhez</w:t>
      </w:r>
      <w:r w:rsidRPr="66BD4B63">
        <w:rPr>
          <w:rFonts w:ascii="Times New Roman" w:eastAsia="Times New Roman" w:hAnsi="Times New Roman" w:cs="Times New Roman"/>
          <w:sz w:val="26"/>
          <w:szCs w:val="26"/>
        </w:rPr>
        <w:t xml:space="preserve"> mérlegsoron 2025. június végéig 377,4 milliárd forint kiadás teljesült, ami a törvényi előirányzat 54,1%-a. E hozzájárulás 50</w:t>
      </w:r>
      <w:r w:rsidR="00A966B1">
        <w:rPr>
          <w:rFonts w:ascii="Times New Roman" w:eastAsia="Times New Roman" w:hAnsi="Times New Roman" w:cs="Times New Roman"/>
          <w:sz w:val="26"/>
          <w:szCs w:val="26"/>
        </w:rPr>
        <w:t>,2</w:t>
      </w:r>
      <w:r w:rsidR="002C6917">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milliárd forinttal haladja meg a 2024. év azonos időszakában teljesített kiadásokat.</w:t>
      </w:r>
    </w:p>
    <w:p w14:paraId="0F5A0F03" w14:textId="213C0F40" w:rsidR="6462B5A6" w:rsidRPr="00920F4D"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Nemzeti Kutatási, Fejlesztési és Innovációs Alapból</w:t>
      </w:r>
      <w:r w:rsidRPr="66BD4B63">
        <w:rPr>
          <w:rFonts w:ascii="Times New Roman" w:eastAsia="Times New Roman" w:hAnsi="Times New Roman" w:cs="Times New Roman"/>
          <w:sz w:val="26"/>
          <w:szCs w:val="26"/>
        </w:rPr>
        <w:t xml:space="preserve"> (NKFI Alap) 2025. június végéig 55</w:t>
      </w:r>
      <w:r w:rsidR="00B92DCF">
        <w:rPr>
          <w:rFonts w:ascii="Times New Roman" w:eastAsia="Times New Roman" w:hAnsi="Times New Roman" w:cs="Times New Roman"/>
          <w:sz w:val="26"/>
          <w:szCs w:val="26"/>
        </w:rPr>
        <w:t>,0</w:t>
      </w:r>
      <w:r w:rsidRPr="66BD4B63">
        <w:rPr>
          <w:rFonts w:ascii="Times New Roman" w:eastAsia="Times New Roman" w:hAnsi="Times New Roman" w:cs="Times New Roman"/>
          <w:sz w:val="26"/>
          <w:szCs w:val="26"/>
        </w:rPr>
        <w:t xml:space="preserve"> milliárd forint kiadás teljesült, ami 6,9 milliárd forinttal kevesebb kifizetést jelent a 2024. évi azonos időszak teljesítéséhez képest. </w:t>
      </w:r>
    </w:p>
    <w:p w14:paraId="17605E21" w14:textId="5DA644F2" w:rsidR="6462B5A6"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Nemzeti Foglalkoztatási Alap</w:t>
      </w:r>
      <w:r w:rsidRPr="66BD4B63">
        <w:rPr>
          <w:rFonts w:ascii="Times New Roman" w:eastAsia="Times New Roman" w:hAnsi="Times New Roman" w:cs="Times New Roman"/>
          <w:sz w:val="26"/>
          <w:szCs w:val="26"/>
        </w:rPr>
        <w:t xml:space="preserve"> (NFA) kiadásai esetében a Start-munkaprogramra összesen 72,1 milliárd forint teljesült. Az uniós elő- és társfinanszírozásra 26,2 milliárd forintot fordítottak.</w:t>
      </w:r>
    </w:p>
    <w:p w14:paraId="76B18BB1" w14:textId="5A951B17" w:rsidR="123EFD2F"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A</w:t>
      </w:r>
      <w:r w:rsidRPr="66BD4B63">
        <w:rPr>
          <w:rFonts w:ascii="Times New Roman" w:eastAsia="Times New Roman" w:hAnsi="Times New Roman" w:cs="Times New Roman"/>
          <w:b/>
          <w:bCs/>
          <w:sz w:val="26"/>
          <w:szCs w:val="26"/>
        </w:rPr>
        <w:t xml:space="preserve"> Bethlen Gábor Alapból</w:t>
      </w:r>
      <w:r w:rsidRPr="66BD4B63">
        <w:rPr>
          <w:rFonts w:ascii="Times New Roman" w:eastAsia="Times New Roman" w:hAnsi="Times New Roman" w:cs="Times New Roman"/>
          <w:sz w:val="26"/>
          <w:szCs w:val="26"/>
        </w:rPr>
        <w:t xml:space="preserve"> (BGA) az év első hat hónapjában összesen 46,6 milliárd forint kiadás teljesült. Az alapból nyújtott támogatások a BGA irányítását ellátó Bizottság döntései alapján, ütemezetten kerültek kifizetésre.</w:t>
      </w:r>
    </w:p>
    <w:p w14:paraId="51683CC2" w14:textId="5F7420E2" w:rsidR="00043E49"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 </w:t>
      </w:r>
      <w:r w:rsidRPr="66BD4B63">
        <w:rPr>
          <w:rFonts w:ascii="Times New Roman" w:eastAsia="Times New Roman" w:hAnsi="Times New Roman" w:cs="Times New Roman"/>
          <w:b/>
          <w:bCs/>
          <w:sz w:val="26"/>
          <w:szCs w:val="26"/>
        </w:rPr>
        <w:t>Nyugdíjbiztosítási Alap</w:t>
      </w:r>
      <w:r w:rsidRPr="66BD4B63">
        <w:rPr>
          <w:rFonts w:ascii="Times New Roman" w:eastAsia="Times New Roman" w:hAnsi="Times New Roman" w:cs="Times New Roman"/>
          <w:sz w:val="26"/>
          <w:szCs w:val="26"/>
        </w:rPr>
        <w:t xml:space="preserve"> nyugellátási kiadásai június végéig 3 492,6 milliárd forintban teljesültek, ami 166,</w:t>
      </w:r>
      <w:r w:rsidR="00A966B1">
        <w:rPr>
          <w:rFonts w:ascii="Times New Roman" w:eastAsia="Times New Roman" w:hAnsi="Times New Roman" w:cs="Times New Roman"/>
          <w:sz w:val="26"/>
          <w:szCs w:val="26"/>
        </w:rPr>
        <w:t>6</w:t>
      </w:r>
      <w:r w:rsidRPr="66BD4B63">
        <w:rPr>
          <w:rFonts w:ascii="Times New Roman" w:eastAsia="Times New Roman" w:hAnsi="Times New Roman" w:cs="Times New Roman"/>
          <w:sz w:val="26"/>
          <w:szCs w:val="26"/>
        </w:rPr>
        <w:t> 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26EFB518" w14:textId="755D817C" w:rsidR="00043E49"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Február hónapban több, mint 2 millió öregségi nyugdíjban és hozzátartozói nyugellátásban részesülő személy részére folyósítottak 13. havi nyugdíjat. A 13. havi nyugdíj Nyugdíjbiztosítási Alapot terhelő kiadása június végéig 493,4 milliárd forint volt, ami 22,1 milliárd forinttal haladta meg az előző év azonos időszakában ezen a jogcímen teljesített kiadások összegét.</w:t>
      </w:r>
    </w:p>
    <w:p w14:paraId="168226B1" w14:textId="66847BD2" w:rsidR="00D72777"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Az első félév adatai alapján a nyugellátási kiadásokon belül a korbetöltött öregségi nyugellátások 5,6%-kal, a nők 40 év jogosultsági idővel igénybe vehető öregségi nyugdíja („nők 40”) pedig 3,1%-kal haladta meg az előző év azonos időszakának kiadásait.</w:t>
      </w:r>
    </w:p>
    <w:p w14:paraId="0F073B32" w14:textId="15D6B338" w:rsidR="00C35E13" w:rsidRDefault="002D6802" w:rsidP="00C35E13">
      <w:pPr>
        <w:pStyle w:val="NormlWeb"/>
        <w:jc w:val="center"/>
      </w:pPr>
      <w:r>
        <w:rPr>
          <w:noProof/>
        </w:rPr>
        <w:lastRenderedPageBreak/>
        <w:drawing>
          <wp:inline distT="0" distB="0" distL="0" distR="0" wp14:anchorId="68A62722" wp14:editId="62D2B5A2">
            <wp:extent cx="5940425" cy="2390140"/>
            <wp:effectExtent l="0" t="0" r="3175" b="0"/>
            <wp:docPr id="155641391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13910" name=""/>
                    <pic:cNvPicPr/>
                  </pic:nvPicPr>
                  <pic:blipFill>
                    <a:blip r:embed="rId20"/>
                    <a:stretch>
                      <a:fillRect/>
                    </a:stretch>
                  </pic:blipFill>
                  <pic:spPr>
                    <a:xfrm>
                      <a:off x="0" y="0"/>
                      <a:ext cx="5940425" cy="2390140"/>
                    </a:xfrm>
                    <a:prstGeom prst="rect">
                      <a:avLst/>
                    </a:prstGeom>
                  </pic:spPr>
                </pic:pic>
              </a:graphicData>
            </a:graphic>
          </wp:inline>
        </w:drawing>
      </w:r>
    </w:p>
    <w:p w14:paraId="1E774D45" w14:textId="4038B97D" w:rsidR="00884EDC"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öregségi nyugdíjban részesülők 2025. június havi </w:t>
      </w:r>
      <w:r w:rsidRPr="66BD4B63">
        <w:rPr>
          <w:rFonts w:ascii="Times New Roman" w:eastAsia="Times New Roman" w:hAnsi="Times New Roman" w:cs="Times New Roman"/>
          <w:b/>
          <w:bCs/>
          <w:sz w:val="26"/>
          <w:szCs w:val="26"/>
        </w:rPr>
        <w:t>átlagos statisztikai állományi létszáma</w:t>
      </w:r>
      <w:r w:rsidRPr="66BD4B63">
        <w:rPr>
          <w:rFonts w:ascii="Times New Roman" w:eastAsia="Times New Roman" w:hAnsi="Times New Roman" w:cs="Times New Roman"/>
          <w:sz w:val="26"/>
          <w:szCs w:val="26"/>
        </w:rPr>
        <w:t xml:space="preserve"> kis mértékben növekedett, 1 986 fővel haladta meg az előző év azonos időszakának létszámát. Az öregségi nyugdíjban részesülők létszámán belül a nők kedvezményes nyugdíjában részesülők (korhatár alattiak) létszáma a korhatárbetöltés, az újonnan belépők és az elhalálozás együttes hatásaként 4 573 fővel csökkent a 2024. júniusi adathoz képest, jelenleg 138 556 fő veszi igénybe a „nők 40” kedvezményes ellátást.</w:t>
      </w:r>
    </w:p>
    <w:p w14:paraId="61DC0A5C" w14:textId="6D2C2C47" w:rsidR="00884EDC"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Az öregségi nyugdíjak átlagos havi összege egy év alatt 11 909 forinttal emelkedett, idén 2025</w:t>
      </w:r>
      <w:r w:rsidR="00390A19">
        <w:rPr>
          <w:rFonts w:ascii="Times New Roman" w:eastAsia="Times New Roman" w:hAnsi="Times New Roman" w:cs="Times New Roman"/>
          <w:sz w:val="26"/>
          <w:szCs w:val="26"/>
        </w:rPr>
        <w:t>.</w:t>
      </w:r>
      <w:r w:rsidRPr="66BD4B63">
        <w:rPr>
          <w:rFonts w:ascii="Times New Roman" w:eastAsia="Times New Roman" w:hAnsi="Times New Roman" w:cs="Times New Roman"/>
          <w:sz w:val="26"/>
          <w:szCs w:val="26"/>
        </w:rPr>
        <w:t xml:space="preserve"> júniusban 244 557 forint volt.</w:t>
      </w:r>
    </w:p>
    <w:p w14:paraId="33821262" w14:textId="51865166" w:rsidR="000E690A" w:rsidRPr="00CB07DE"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6A5B6603" w:rsidR="00EF1F5B" w:rsidRDefault="002D6802" w:rsidP="002D6802">
      <w:pPr>
        <w:pStyle w:val="NormlWeb"/>
        <w:spacing w:before="0" w:beforeAutospacing="0" w:after="0" w:afterAutospacing="0"/>
        <w:jc w:val="center"/>
      </w:pPr>
      <w:r>
        <w:rPr>
          <w:noProof/>
        </w:rPr>
        <w:drawing>
          <wp:inline distT="0" distB="0" distL="0" distR="0" wp14:anchorId="4F656678" wp14:editId="7DB81D0E">
            <wp:extent cx="5940425" cy="3805707"/>
            <wp:effectExtent l="0" t="0" r="3175" b="4445"/>
            <wp:docPr id="125355316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53160" name=""/>
                    <pic:cNvPicPr/>
                  </pic:nvPicPr>
                  <pic:blipFill rotWithShape="1">
                    <a:blip r:embed="rId21"/>
                    <a:srcRect b="8178"/>
                    <a:stretch/>
                  </pic:blipFill>
                  <pic:spPr bwMode="auto">
                    <a:xfrm>
                      <a:off x="0" y="0"/>
                      <a:ext cx="5940425" cy="3805707"/>
                    </a:xfrm>
                    <a:prstGeom prst="rect">
                      <a:avLst/>
                    </a:prstGeom>
                    <a:ln>
                      <a:noFill/>
                    </a:ln>
                    <a:extLst>
                      <a:ext uri="{53640926-AAD7-44D8-BBD7-CCE9431645EC}">
                        <a14:shadowObscured xmlns:a14="http://schemas.microsoft.com/office/drawing/2010/main"/>
                      </a:ext>
                    </a:extLst>
                  </pic:spPr>
                </pic:pic>
              </a:graphicData>
            </a:graphic>
          </wp:inline>
        </w:drawing>
      </w:r>
    </w:p>
    <w:p w14:paraId="3779DB9C" w14:textId="522A5F6A" w:rsidR="0022104D" w:rsidRDefault="66BD4B63" w:rsidP="00A31F84">
      <w:pPr>
        <w:widowControl w:val="0"/>
        <w:spacing w:before="240"/>
        <w:jc w:val="both"/>
      </w:pPr>
      <w:r w:rsidRPr="66BD4B63">
        <w:rPr>
          <w:rFonts w:ascii="Times New Roman" w:eastAsia="Times New Roman" w:hAnsi="Times New Roman" w:cs="Times New Roman"/>
          <w:sz w:val="26"/>
          <w:szCs w:val="26"/>
        </w:rPr>
        <w:lastRenderedPageBreak/>
        <w:t xml:space="preserve">Az öregségi nyugdíjban, hozzátartozói nyugellátásban részesülők jogcím szerinti megoszlásának összehasonlítását a korábbi adatokkal az alábbi ábrák mutatják. </w:t>
      </w:r>
    </w:p>
    <w:p w14:paraId="6E229341" w14:textId="07020BB2" w:rsidR="00EF1F5B" w:rsidRDefault="002D6802" w:rsidP="00A31F84">
      <w:pPr>
        <w:pStyle w:val="NormlWeb"/>
        <w:widowControl w:val="0"/>
        <w:jc w:val="center"/>
      </w:pPr>
      <w:r>
        <w:rPr>
          <w:noProof/>
        </w:rPr>
        <w:drawing>
          <wp:inline distT="0" distB="0" distL="0" distR="0" wp14:anchorId="74874F1A" wp14:editId="3CF4E9ED">
            <wp:extent cx="5940425" cy="2788276"/>
            <wp:effectExtent l="0" t="0" r="3175" b="0"/>
            <wp:docPr id="100239806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8067" name=""/>
                    <pic:cNvPicPr/>
                  </pic:nvPicPr>
                  <pic:blipFill>
                    <a:blip r:embed="rId22"/>
                    <a:stretch>
                      <a:fillRect/>
                    </a:stretch>
                  </pic:blipFill>
                  <pic:spPr>
                    <a:xfrm>
                      <a:off x="0" y="0"/>
                      <a:ext cx="5945637" cy="2790723"/>
                    </a:xfrm>
                    <a:prstGeom prst="rect">
                      <a:avLst/>
                    </a:prstGeom>
                  </pic:spPr>
                </pic:pic>
              </a:graphicData>
            </a:graphic>
          </wp:inline>
        </w:drawing>
      </w:r>
    </w:p>
    <w:p w14:paraId="2A4F88FB" w14:textId="558B9764" w:rsidR="00D4148C" w:rsidRPr="002B492B" w:rsidRDefault="66BD4B63" w:rsidP="00A31F84">
      <w:pPr>
        <w:widowControl w:val="0"/>
        <w:rPr>
          <w:rFonts w:ascii="Times New Roman" w:eastAsia="Times New Roman" w:hAnsi="Times New Roman" w:cs="Times New Roman"/>
          <w:b/>
          <w:bCs/>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Egészségbiztosítási Alap kiadásainak</w:t>
      </w:r>
      <w:r w:rsidRPr="66BD4B63">
        <w:rPr>
          <w:rFonts w:ascii="Times New Roman" w:eastAsia="Times New Roman" w:hAnsi="Times New Roman" w:cs="Times New Roman"/>
          <w:sz w:val="26"/>
          <w:szCs w:val="26"/>
        </w:rPr>
        <w:t xml:space="preserve"> összetételét a következő ábra mutatja be:</w:t>
      </w:r>
      <w:r w:rsidRPr="66BD4B63">
        <w:rPr>
          <w:rFonts w:ascii="Times New Roman" w:eastAsia="Times New Roman" w:hAnsi="Times New Roman" w:cs="Times New Roman"/>
          <w:b/>
          <w:bCs/>
          <w:sz w:val="26"/>
          <w:szCs w:val="26"/>
        </w:rPr>
        <w:t xml:space="preserve"> </w:t>
      </w:r>
    </w:p>
    <w:p w14:paraId="57C38B59" w14:textId="3A3880D9" w:rsidR="00D4148C" w:rsidRDefault="002D6802" w:rsidP="00A31F84">
      <w:pPr>
        <w:widowControl w:val="0"/>
        <w:spacing w:after="240"/>
        <w:jc w:val="center"/>
        <w:rPr>
          <w:rFonts w:ascii="Times New Roman" w:eastAsia="Times New Roman" w:hAnsi="Times New Roman" w:cs="Times New Roman"/>
          <w:sz w:val="26"/>
          <w:szCs w:val="26"/>
        </w:rPr>
      </w:pPr>
      <w:r>
        <w:rPr>
          <w:noProof/>
        </w:rPr>
        <w:drawing>
          <wp:inline distT="0" distB="0" distL="0" distR="0" wp14:anchorId="24B3CC3E" wp14:editId="434648C7">
            <wp:extent cx="5618453" cy="2468880"/>
            <wp:effectExtent l="0" t="0" r="1905" b="7620"/>
            <wp:docPr id="41098751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87516" name=""/>
                    <pic:cNvPicPr/>
                  </pic:nvPicPr>
                  <pic:blipFill rotWithShape="1">
                    <a:blip r:embed="rId23"/>
                    <a:srcRect l="5420"/>
                    <a:stretch/>
                  </pic:blipFill>
                  <pic:spPr bwMode="auto">
                    <a:xfrm>
                      <a:off x="0" y="0"/>
                      <a:ext cx="5618453" cy="2468880"/>
                    </a:xfrm>
                    <a:prstGeom prst="rect">
                      <a:avLst/>
                    </a:prstGeom>
                    <a:ln>
                      <a:noFill/>
                    </a:ln>
                    <a:extLst>
                      <a:ext uri="{53640926-AAD7-44D8-BBD7-CCE9431645EC}">
                        <a14:shadowObscured xmlns:a14="http://schemas.microsoft.com/office/drawing/2010/main"/>
                      </a:ext>
                    </a:extLst>
                  </pic:spPr>
                </pic:pic>
              </a:graphicData>
            </a:graphic>
          </wp:inline>
        </w:drawing>
      </w:r>
    </w:p>
    <w:p w14:paraId="19FDF989" w14:textId="6E358A0D" w:rsidR="00CA3468" w:rsidRDefault="66BD4B63" w:rsidP="00A31F84">
      <w:pPr>
        <w:widowControl w:val="0"/>
        <w:spacing w:after="240"/>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t xml:space="preserve">Az </w:t>
      </w:r>
      <w:r w:rsidRPr="66BD4B63">
        <w:rPr>
          <w:rFonts w:ascii="Times New Roman" w:eastAsia="Times New Roman" w:hAnsi="Times New Roman" w:cs="Times New Roman"/>
          <w:b/>
          <w:bCs/>
          <w:sz w:val="26"/>
          <w:szCs w:val="26"/>
        </w:rPr>
        <w:t>Egészségbiztosítási Alap</w:t>
      </w:r>
      <w:r w:rsidRPr="66BD4B63">
        <w:rPr>
          <w:rFonts w:ascii="Times New Roman" w:eastAsia="Times New Roman" w:hAnsi="Times New Roman" w:cs="Times New Roman"/>
          <w:sz w:val="26"/>
          <w:szCs w:val="26"/>
        </w:rPr>
        <w:t xml:space="preserve"> összes kiadásának 25,3%-át a </w:t>
      </w:r>
      <w:r w:rsidRPr="66BD4B63">
        <w:rPr>
          <w:rFonts w:ascii="Times New Roman" w:eastAsia="Times New Roman" w:hAnsi="Times New Roman" w:cs="Times New Roman"/>
          <w:b/>
          <w:bCs/>
          <w:sz w:val="26"/>
          <w:szCs w:val="26"/>
        </w:rPr>
        <w:t>pénzbeli ellátásokra</w:t>
      </w:r>
      <w:r w:rsidRPr="66BD4B63">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Pr="001074A1" w:rsidRDefault="66BD4B63" w:rsidP="00A31F84">
      <w:pPr>
        <w:widowControl w:val="0"/>
        <w:spacing w:after="240"/>
        <w:jc w:val="center"/>
        <w:rPr>
          <w:rFonts w:ascii="Times New Roman" w:eastAsia="Times New Roman" w:hAnsi="Times New Roman" w:cs="Times New Roman"/>
          <w:b/>
          <w:bCs/>
        </w:rPr>
      </w:pPr>
      <w:r w:rsidRPr="66BD4B63">
        <w:rPr>
          <w:rFonts w:ascii="Times New Roman" w:eastAsia="Times New Roman" w:hAnsi="Times New Roman" w:cs="Times New Roman"/>
          <w:b/>
          <w:bCs/>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66BD4B63">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66BD4B63" w:rsidP="00A31F84">
            <w:pPr>
              <w:widowControl w:val="0"/>
              <w:spacing w:after="0" w:line="240" w:lineRule="auto"/>
              <w:jc w:val="center"/>
              <w:rPr>
                <w:rFonts w:ascii="Times New Roman" w:eastAsia="Times New Roman" w:hAnsi="Times New Roman" w:cs="Times New Roman"/>
                <w:b/>
                <w:bCs/>
              </w:rPr>
            </w:pPr>
            <w:r w:rsidRPr="66BD4B63">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042D2008" w:rsidR="00E601EF" w:rsidRPr="00377D59" w:rsidRDefault="66BD4B63" w:rsidP="00A31F84">
            <w:pPr>
              <w:widowControl w:val="0"/>
              <w:spacing w:after="0" w:line="240" w:lineRule="auto"/>
              <w:jc w:val="center"/>
              <w:rPr>
                <w:rFonts w:ascii="Times New Roman" w:eastAsia="Times New Roman" w:hAnsi="Times New Roman" w:cs="Times New Roman"/>
                <w:b/>
                <w:bCs/>
              </w:rPr>
            </w:pPr>
            <w:r w:rsidRPr="66BD4B63">
              <w:rPr>
                <w:rFonts w:ascii="Times New Roman" w:eastAsia="Times New Roman" w:hAnsi="Times New Roman" w:cs="Times New Roman"/>
                <w:b/>
                <w:bCs/>
              </w:rPr>
              <w:t xml:space="preserve">2024. </w:t>
            </w:r>
            <w:r w:rsidR="30EDBFC2">
              <w:br/>
            </w:r>
            <w:r w:rsidRPr="66BD4B63">
              <w:rPr>
                <w:rFonts w:ascii="Times New Roman" w:eastAsia="Times New Roman" w:hAnsi="Times New Roman" w:cs="Times New Roman"/>
                <w:b/>
                <w:bCs/>
              </w:rPr>
              <w:t>I-VI.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48344764" w:rsidR="00E601EF" w:rsidRPr="00377D59" w:rsidRDefault="66BD4B63" w:rsidP="00A31F84">
            <w:pPr>
              <w:widowControl w:val="0"/>
              <w:spacing w:after="0" w:line="240" w:lineRule="auto"/>
              <w:jc w:val="center"/>
              <w:rPr>
                <w:rFonts w:ascii="Times New Roman" w:eastAsia="Times New Roman" w:hAnsi="Times New Roman" w:cs="Times New Roman"/>
                <w:b/>
                <w:bCs/>
              </w:rPr>
            </w:pPr>
            <w:r w:rsidRPr="66BD4B63">
              <w:rPr>
                <w:rFonts w:ascii="Times New Roman" w:eastAsia="Times New Roman" w:hAnsi="Times New Roman" w:cs="Times New Roman"/>
                <w:b/>
                <w:bCs/>
              </w:rPr>
              <w:t xml:space="preserve">2025. </w:t>
            </w:r>
            <w:r w:rsidR="30EDBFC2">
              <w:br/>
            </w:r>
            <w:r w:rsidRPr="66BD4B63">
              <w:rPr>
                <w:rFonts w:ascii="Times New Roman" w:eastAsia="Times New Roman" w:hAnsi="Times New Roman" w:cs="Times New Roman"/>
                <w:b/>
                <w:bCs/>
              </w:rPr>
              <w:t>I-VI.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66BD4B63" w:rsidP="00A31F84">
            <w:pPr>
              <w:widowControl w:val="0"/>
              <w:spacing w:after="0" w:line="240" w:lineRule="auto"/>
              <w:jc w:val="center"/>
              <w:rPr>
                <w:rFonts w:ascii="Times New Roman" w:eastAsia="Times New Roman" w:hAnsi="Times New Roman" w:cs="Times New Roman"/>
                <w:b/>
                <w:bCs/>
              </w:rPr>
            </w:pPr>
            <w:r w:rsidRPr="66BD4B63">
              <w:rPr>
                <w:rFonts w:ascii="Times New Roman" w:eastAsia="Times New Roman" w:hAnsi="Times New Roman" w:cs="Times New Roman"/>
                <w:b/>
                <w:bCs/>
              </w:rPr>
              <w:t>Eltérés</w:t>
            </w:r>
          </w:p>
        </w:tc>
      </w:tr>
      <w:tr w:rsidR="00E601EF" w:rsidRPr="00377D59" w14:paraId="67C6C54B" w14:textId="77777777" w:rsidTr="66BD4B63">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A31F84">
            <w:pPr>
              <w:widowControl w:val="0"/>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A31F84">
            <w:pPr>
              <w:widowControl w:val="0"/>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A31F84">
            <w:pPr>
              <w:widowControl w:val="0"/>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66BD4B63" w:rsidP="00A31F84">
            <w:pPr>
              <w:widowControl w:val="0"/>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66BD4B63" w:rsidP="00A31F84">
            <w:pPr>
              <w:widowControl w:val="0"/>
              <w:spacing w:after="0" w:line="240" w:lineRule="auto"/>
              <w:jc w:val="center"/>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w:t>
            </w:r>
          </w:p>
        </w:tc>
      </w:tr>
      <w:tr w:rsidR="00494D4B" w:rsidRPr="00377D59" w14:paraId="0F7FB8C0" w14:textId="77777777" w:rsidTr="66BD4B63">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494D4B" w:rsidRPr="00377D59" w:rsidRDefault="66BD4B63" w:rsidP="00A31F84">
            <w:pPr>
              <w:widowControl w:val="0"/>
              <w:spacing w:after="0" w:line="240" w:lineRule="auto"/>
              <w:ind w:firstLine="67"/>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62B8E54B" w:rsidR="00494D4B" w:rsidRPr="001074A1" w:rsidRDefault="66BD4B63" w:rsidP="00A31F84">
            <w:pPr>
              <w:widowControl w:val="0"/>
              <w:spacing w:after="0"/>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585,7</w:t>
            </w:r>
            <w:r w:rsidRPr="66BD4B63">
              <w:rPr>
                <w:rFonts w:ascii="Times New Roman" w:eastAsia="Times New Roman" w:hAnsi="Times New Roman" w:cs="Times New Roman"/>
                <w:lang w:eastAsia="hu-HU"/>
              </w:rPr>
              <w:t> </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2437C1F0" w:rsidR="00494D4B" w:rsidRPr="001074A1" w:rsidRDefault="66BD4B63" w:rsidP="00A31F84">
            <w:pPr>
              <w:widowControl w:val="0"/>
              <w:spacing w:after="0"/>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627,5</w:t>
            </w:r>
            <w:r w:rsidRPr="66BD4B63">
              <w:rPr>
                <w:rFonts w:ascii="Times New Roman" w:eastAsia="Times New Roman" w:hAnsi="Times New Roman" w:cs="Times New Roman"/>
                <w:lang w:eastAsia="hu-HU"/>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696461BC" w:rsidR="00494D4B" w:rsidRPr="001074A1" w:rsidRDefault="66BD4B63" w:rsidP="00A31F84">
            <w:pPr>
              <w:widowControl w:val="0"/>
              <w:spacing w:after="0"/>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41,8</w:t>
            </w:r>
            <w:r w:rsidRPr="66BD4B63">
              <w:rPr>
                <w:rFonts w:ascii="Times New Roman" w:eastAsia="Times New Roman" w:hAnsi="Times New Roman" w:cs="Times New Roman"/>
                <w:lang w:eastAsia="hu-H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6F1873AE" w:rsidR="00494D4B" w:rsidRPr="001074A1" w:rsidRDefault="66BD4B63" w:rsidP="00A31F84">
            <w:pPr>
              <w:widowControl w:val="0"/>
              <w:spacing w:after="0"/>
              <w:jc w:val="right"/>
              <w:rPr>
                <w:rFonts w:ascii="Times New Roman" w:eastAsia="Times New Roman" w:hAnsi="Times New Roman" w:cs="Times New Roman"/>
                <w:b/>
                <w:bCs/>
                <w:lang w:eastAsia="hu-HU"/>
              </w:rPr>
            </w:pPr>
            <w:r w:rsidRPr="66BD4B63">
              <w:rPr>
                <w:rFonts w:ascii="Times New Roman" w:eastAsia="Times New Roman" w:hAnsi="Times New Roman" w:cs="Times New Roman"/>
                <w:b/>
                <w:bCs/>
                <w:lang w:eastAsia="hu-HU"/>
              </w:rPr>
              <w:t>107,1</w:t>
            </w:r>
            <w:r w:rsidRPr="66BD4B63">
              <w:rPr>
                <w:rFonts w:ascii="Times New Roman" w:eastAsia="Times New Roman" w:hAnsi="Times New Roman" w:cs="Times New Roman"/>
                <w:lang w:eastAsia="hu-HU"/>
              </w:rPr>
              <w:t> </w:t>
            </w:r>
          </w:p>
        </w:tc>
      </w:tr>
      <w:tr w:rsidR="00494D4B" w:rsidRPr="00377D59" w14:paraId="07715518" w14:textId="77777777" w:rsidTr="66BD4B63">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494D4B" w:rsidRPr="00377D59" w:rsidRDefault="66BD4B63" w:rsidP="00A31F84">
            <w:pPr>
              <w:widowControl w:val="0"/>
              <w:spacing w:after="0" w:line="240" w:lineRule="auto"/>
              <w:ind w:firstLine="285"/>
              <w:rPr>
                <w:rFonts w:ascii="Times New Roman" w:eastAsia="Times New Roman" w:hAnsi="Times New Roman" w:cs="Times New Roman"/>
                <w:i/>
                <w:iCs/>
                <w:lang w:eastAsia="hu-HU"/>
              </w:rPr>
            </w:pPr>
            <w:r w:rsidRPr="66BD4B63">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007D4839" w:rsidR="00494D4B" w:rsidRPr="001074A1" w:rsidRDefault="66BD4B63" w:rsidP="00A31F84">
            <w:pPr>
              <w:widowControl w:val="0"/>
              <w:spacing w:after="0" w:line="240" w:lineRule="auto"/>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 </w:t>
            </w:r>
          </w:p>
        </w:tc>
      </w:tr>
      <w:tr w:rsidR="00494D4B" w:rsidRPr="00377D59" w14:paraId="72B9616A" w14:textId="77777777" w:rsidTr="66BD4B63">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494D4B" w:rsidRPr="00377D59" w:rsidRDefault="66BD4B63" w:rsidP="00A31F84">
            <w:pPr>
              <w:widowControl w:val="0"/>
              <w:spacing w:after="0" w:line="240" w:lineRule="auto"/>
              <w:ind w:firstLine="67"/>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718CCB6B"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214,5 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3B09BB40"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224,3 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04DD08F7"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9,8 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5B8F61D3"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104,6 </w:t>
            </w:r>
          </w:p>
        </w:tc>
      </w:tr>
      <w:tr w:rsidR="00494D4B" w:rsidRPr="00377D59" w14:paraId="778FD915" w14:textId="77777777" w:rsidTr="66BD4B63">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494D4B" w:rsidRPr="00377D59" w:rsidRDefault="66BD4B63" w:rsidP="00A31F84">
            <w:pPr>
              <w:widowControl w:val="0"/>
              <w:spacing w:after="0" w:line="240" w:lineRule="auto"/>
              <w:ind w:firstLine="67"/>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62F0DDF4"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185,1 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39A93C43"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196,9 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4EDD4456"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11,8 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1C963F52"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106,4 </w:t>
            </w:r>
          </w:p>
        </w:tc>
      </w:tr>
      <w:tr w:rsidR="00494D4B" w:rsidRPr="00377D59" w14:paraId="7D62EFFD" w14:textId="77777777" w:rsidTr="66BD4B63">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494D4B" w:rsidRPr="00377D59" w:rsidRDefault="66BD4B63" w:rsidP="00A31F84">
            <w:pPr>
              <w:widowControl w:val="0"/>
              <w:spacing w:after="0" w:line="240" w:lineRule="auto"/>
              <w:ind w:firstLine="67"/>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27FCA970"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100,6 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6357C425"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117,2 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648416A2"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16,6 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37DFB425" w:rsidR="00494D4B" w:rsidRPr="001074A1" w:rsidRDefault="66BD4B63" w:rsidP="00A31F84">
            <w:pPr>
              <w:widowControl w:val="0"/>
              <w:spacing w:after="0"/>
              <w:jc w:val="right"/>
              <w:rPr>
                <w:rFonts w:ascii="Times New Roman" w:eastAsia="Times New Roman" w:hAnsi="Times New Roman" w:cs="Times New Roman"/>
                <w:lang w:eastAsia="hu-HU"/>
              </w:rPr>
            </w:pPr>
            <w:r w:rsidRPr="66BD4B63">
              <w:rPr>
                <w:rFonts w:ascii="Times New Roman" w:eastAsia="Times New Roman" w:hAnsi="Times New Roman" w:cs="Times New Roman"/>
                <w:lang w:eastAsia="hu-HU"/>
              </w:rPr>
              <w:t>116,5 </w:t>
            </w:r>
          </w:p>
        </w:tc>
      </w:tr>
    </w:tbl>
    <w:p w14:paraId="7F2895FE" w14:textId="4059378B" w:rsidR="001074A1" w:rsidRDefault="66BD4B63" w:rsidP="00A31F84">
      <w:pPr>
        <w:widowControl w:val="0"/>
        <w:spacing w:before="240"/>
        <w:jc w:val="both"/>
        <w:rPr>
          <w:rFonts w:ascii="Times New Roman" w:eastAsia="Times New Roman" w:hAnsi="Times New Roman" w:cs="Times New Roman"/>
          <w:sz w:val="26"/>
          <w:szCs w:val="26"/>
        </w:rPr>
      </w:pPr>
      <w:r w:rsidRPr="66BD4B63">
        <w:rPr>
          <w:rFonts w:ascii="Times New Roman" w:eastAsia="Times New Roman" w:hAnsi="Times New Roman" w:cs="Times New Roman"/>
          <w:sz w:val="26"/>
          <w:szCs w:val="26"/>
        </w:rPr>
        <w:lastRenderedPageBreak/>
        <w:t xml:space="preserve">A </w:t>
      </w:r>
      <w:r w:rsidRPr="66BD4B63">
        <w:rPr>
          <w:rFonts w:ascii="Times New Roman" w:eastAsia="Times New Roman" w:hAnsi="Times New Roman" w:cs="Times New Roman"/>
          <w:b/>
          <w:bCs/>
          <w:sz w:val="26"/>
          <w:szCs w:val="26"/>
        </w:rPr>
        <w:t>gyógyító-megelőző ellátásokra</w:t>
      </w:r>
      <w:r w:rsidRPr="66BD4B63">
        <w:rPr>
          <w:rFonts w:ascii="Times New Roman" w:eastAsia="Times New Roman" w:hAnsi="Times New Roman" w:cs="Times New Roman"/>
          <w:sz w:val="26"/>
          <w:szCs w:val="26"/>
        </w:rPr>
        <w:t xml:space="preserve"> fordított kiadás 2025 első félévében 1</w:t>
      </w:r>
      <w:r w:rsidR="00EA2D3A">
        <w:rPr>
          <w:rFonts w:ascii="Times New Roman" w:eastAsia="Times New Roman" w:hAnsi="Times New Roman" w:cs="Times New Roman"/>
          <w:sz w:val="26"/>
          <w:szCs w:val="26"/>
        </w:rPr>
        <w:t> </w:t>
      </w:r>
      <w:r w:rsidRPr="66BD4B63">
        <w:rPr>
          <w:rFonts w:ascii="Times New Roman" w:eastAsia="Times New Roman" w:hAnsi="Times New Roman" w:cs="Times New Roman"/>
          <w:sz w:val="26"/>
          <w:szCs w:val="26"/>
        </w:rPr>
        <w:t xml:space="preserve">494,5 milliárd forintot tett ki a 2024 azonos időszakában felmerülő 1 352,7 milliárd forint összegű kiadással szemben. </w:t>
      </w:r>
    </w:p>
    <w:p w14:paraId="33C9DAF6" w14:textId="4715372B" w:rsidR="001074A1" w:rsidRDefault="66BD4B63" w:rsidP="00A31F84">
      <w:pPr>
        <w:widowControl w:val="0"/>
        <w:jc w:val="both"/>
      </w:pPr>
      <w:r w:rsidRPr="66BD4B63">
        <w:rPr>
          <w:rFonts w:ascii="Times New Roman" w:eastAsia="Times New Roman" w:hAnsi="Times New Roman" w:cs="Times New Roman"/>
          <w:sz w:val="26"/>
          <w:szCs w:val="26"/>
        </w:rPr>
        <w:t>Az előző évhez viszonyított magasabb összegű kiadás – többek között –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jelentkező, 2025. évre áthúzódó hatásból ered.</w:t>
      </w:r>
    </w:p>
    <w:p w14:paraId="54F48910" w14:textId="2D685A7E" w:rsidR="001074A1" w:rsidRDefault="66BD4B63" w:rsidP="00A31F84">
      <w:pPr>
        <w:widowControl w:val="0"/>
        <w:jc w:val="both"/>
      </w:pPr>
      <w:r w:rsidRPr="66BD4B63">
        <w:rPr>
          <w:rFonts w:ascii="Times New Roman" w:eastAsia="Times New Roman" w:hAnsi="Times New Roman" w:cs="Times New Roman"/>
          <w:sz w:val="26"/>
          <w:szCs w:val="26"/>
        </w:rPr>
        <w:t xml:space="preserve">Az előző évhez viszonyított növekedést az is magyarázza, hogy a fekvő- és járóbeteg-szakellátás és laboratóriumi ellátás teljesítményegységeinek forintértékéről szóló új </w:t>
      </w:r>
      <w:r w:rsidR="002D6802">
        <w:rPr>
          <w:rFonts w:ascii="Times New Roman" w:eastAsia="Times New Roman" w:hAnsi="Times New Roman" w:cs="Times New Roman"/>
          <w:sz w:val="26"/>
          <w:szCs w:val="26"/>
        </w:rPr>
        <w:br/>
      </w:r>
      <w:r w:rsidRPr="66BD4B63">
        <w:rPr>
          <w:rFonts w:ascii="Times New Roman" w:eastAsia="Times New Roman" w:hAnsi="Times New Roman" w:cs="Times New Roman"/>
          <w:sz w:val="26"/>
          <w:szCs w:val="26"/>
        </w:rPr>
        <w:t>BM-NGM együttes közlemény, illetve a Nemzeti Dialízis Központ létrehozásával kapcsolatos feladatokról és egyéb, az egészségügyi szolgáltatókat segítő finanszírozási intézkedésekről szóló 66/2025. (IV. 4.) Korm. rendelet, valamint az egészségügyi ágazati szakmai képzésekkel és az egészségügyi szolgáltatók finanszírozásával összefüggő miniszteri rendeletek módosításáról szóló 10/2025. (IV. 4.) BM rendelet alapján az Egészségbiztosítási Alap Gyógyító-megelőző ellátás alcímének 150,0 milliárd forint összegű, Egészségügyi szolgáltatók kiegészítő finanszírozása megnevezésű jogcímcsoport felhasználásával a 2025. januártól áprilisig terjedő időszakra megtörtént a közfinanszírozásban részesülő egészségügyi szolgáltatók visszamenőleges kifizetése.</w:t>
      </w:r>
    </w:p>
    <w:p w14:paraId="69E4940B" w14:textId="34D9BFFA" w:rsidR="001074A1" w:rsidRDefault="66BD4B63" w:rsidP="66BD4B63">
      <w:pPr>
        <w:jc w:val="both"/>
        <w:rPr>
          <w:rFonts w:ascii="Times New Roman" w:eastAsia="Times New Roman" w:hAnsi="Times New Roman" w:cs="Times New Roman"/>
          <w:sz w:val="26"/>
          <w:szCs w:val="26"/>
        </w:rPr>
      </w:pPr>
      <w:r w:rsidRPr="66BD4B63">
        <w:rPr>
          <w:rFonts w:ascii="Times New Roman" w:eastAsia="Times New Roman" w:hAnsi="Times New Roman" w:cs="Times New Roman"/>
          <w:b/>
          <w:bCs/>
          <w:sz w:val="26"/>
          <w:szCs w:val="26"/>
        </w:rPr>
        <w:t>Gyógyszertámogatásra</w:t>
      </w:r>
      <w:r w:rsidRPr="66BD4B63">
        <w:rPr>
          <w:rFonts w:ascii="Times New Roman" w:eastAsia="Times New Roman" w:hAnsi="Times New Roman" w:cs="Times New Roman"/>
          <w:sz w:val="26"/>
          <w:szCs w:val="26"/>
        </w:rPr>
        <w:t xml:space="preserve"> 2025. </w:t>
      </w:r>
      <w:r w:rsidR="005F252F">
        <w:rPr>
          <w:rFonts w:ascii="Times New Roman" w:eastAsia="Times New Roman" w:hAnsi="Times New Roman" w:cs="Times New Roman"/>
          <w:sz w:val="26"/>
          <w:szCs w:val="26"/>
        </w:rPr>
        <w:t>j</w:t>
      </w:r>
      <w:r w:rsidRPr="66BD4B63">
        <w:rPr>
          <w:rFonts w:ascii="Times New Roman" w:eastAsia="Times New Roman" w:hAnsi="Times New Roman" w:cs="Times New Roman"/>
          <w:sz w:val="26"/>
          <w:szCs w:val="26"/>
        </w:rPr>
        <w:t>únius végéig 287,2 milliárd forint került kifizetésre, amely 18,0 milliárd forinttal magasabb az előző év azonos időszakában kifizetett összegnél.</w:t>
      </w:r>
    </w:p>
    <w:p w14:paraId="7B768C24" w14:textId="77777777" w:rsidR="00B155FE" w:rsidRPr="004966FE" w:rsidRDefault="66BD4B63" w:rsidP="66BD4B63">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66BD4B63">
        <w:rPr>
          <w:rFonts w:ascii="Times New Roman" w:eastAsia="Times New Roman" w:hAnsi="Times New Roman" w:cs="Times New Roman"/>
          <w:b/>
          <w:bCs/>
          <w:smallCaps/>
          <w:sz w:val="28"/>
          <w:szCs w:val="28"/>
          <w:lang w:eastAsia="hu-HU"/>
        </w:rPr>
        <w:lastRenderedPageBreak/>
        <w:t xml:space="preserve">A költségvetési szervek és fejezeti kezelésű előirányzatok alakulása </w:t>
      </w:r>
    </w:p>
    <w:p w14:paraId="0CFDE309" w14:textId="3944344E" w:rsidR="00266768" w:rsidRPr="007B6DF2"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b/>
          <w:bCs/>
          <w:sz w:val="26"/>
          <w:szCs w:val="26"/>
          <w:lang w:eastAsia="hu-HU"/>
        </w:rPr>
        <w:t>költségvetési szervek bevételei</w:t>
      </w:r>
      <w:r w:rsidRPr="66BD4B63">
        <w:rPr>
          <w:rFonts w:ascii="Times New Roman" w:eastAsia="Times New Roman" w:hAnsi="Times New Roman" w:cs="Times New Roman"/>
          <w:sz w:val="26"/>
          <w:szCs w:val="26"/>
          <w:lang w:eastAsia="hu-HU"/>
        </w:rPr>
        <w:t xml:space="preserve"> 2025 első félévében 1 703,9 milliárd forintot tettek ki, amely 18,5%-kal magasabb az előző év azonos időszakának bevételeihez képest. Az intézmények bevételei közül 811,2 milliárd forintot tett ki a Nemzeti Egészségbiztosítási Alapkezelő által az egészségügyi intézményeknek utalt támogatás.</w:t>
      </w:r>
    </w:p>
    <w:p w14:paraId="02FB9B34" w14:textId="6EB8410D" w:rsidR="00266768" w:rsidRPr="007B6DF2"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Pr="66BD4B63">
        <w:rPr>
          <w:rFonts w:ascii="Times New Roman" w:eastAsia="Times New Roman" w:hAnsi="Times New Roman" w:cs="Times New Roman"/>
          <w:b/>
          <w:bCs/>
          <w:sz w:val="26"/>
          <w:szCs w:val="26"/>
          <w:lang w:eastAsia="hu-HU"/>
        </w:rPr>
        <w:t>szakmai fejezeti kezelésű előirányzatok bevételei</w:t>
      </w:r>
      <w:r w:rsidRPr="66BD4B63">
        <w:rPr>
          <w:rFonts w:ascii="Times New Roman" w:eastAsia="Times New Roman" w:hAnsi="Times New Roman" w:cs="Times New Roman"/>
          <w:sz w:val="26"/>
          <w:szCs w:val="26"/>
          <w:lang w:eastAsia="hu-HU"/>
        </w:rPr>
        <w:t xml:space="preserve"> 2025 első félévében 203,5 milliárd forintot tettek ki, mely 13,9%-kal alacsonyabb az előző év azonos időszakának bevételéhez képest. A bevételek jelentős részét az „Alapok alapja GINOP pénzügyi eszközök” törvényi sorra befolyt összegek teszik ki, melyek nem uniós bevételként jóváírt tételek.</w:t>
      </w:r>
    </w:p>
    <w:p w14:paraId="56786471" w14:textId="7B556214" w:rsidR="00B63DA3" w:rsidRPr="004966FE"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Pr="66BD4B63">
        <w:rPr>
          <w:rFonts w:ascii="Times New Roman" w:hAnsi="Times New Roman" w:cs="Times New Roman"/>
          <w:sz w:val="26"/>
          <w:szCs w:val="26"/>
          <w:lang w:eastAsia="hu-HU"/>
        </w:rPr>
        <w:t>2025. év első félévi, 1 907,3 milliárd forint összegű bevételek megoszlását a következő grafikon szemlélteti</w:t>
      </w:r>
      <w:r w:rsidRPr="66BD4B63">
        <w:rPr>
          <w:rFonts w:ascii="Times New Roman" w:eastAsia="Times New Roman" w:hAnsi="Times New Roman" w:cs="Times New Roman"/>
          <w:sz w:val="26"/>
          <w:szCs w:val="26"/>
          <w:lang w:eastAsia="hu-HU"/>
        </w:rPr>
        <w:t>:</w:t>
      </w:r>
    </w:p>
    <w:p w14:paraId="576D18BB" w14:textId="4994925E" w:rsidR="00B056CC" w:rsidRPr="00377D59" w:rsidRDefault="002D6802" w:rsidP="00C2238F">
      <w:pPr>
        <w:spacing w:before="240" w:after="120"/>
        <w:jc w:val="center"/>
        <w:rPr>
          <w:rFonts w:ascii="Times New Roman" w:eastAsia="Times New Roman" w:hAnsi="Times New Roman" w:cs="Times New Roman"/>
          <w:b/>
          <w:sz w:val="26"/>
          <w:szCs w:val="26"/>
        </w:rPr>
      </w:pPr>
      <w:r>
        <w:rPr>
          <w:noProof/>
        </w:rPr>
        <w:drawing>
          <wp:inline distT="0" distB="0" distL="0" distR="0" wp14:anchorId="63BFFB56" wp14:editId="248FC827">
            <wp:extent cx="5940425" cy="3162935"/>
            <wp:effectExtent l="0" t="0" r="3175" b="0"/>
            <wp:docPr id="123029353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93531" name=""/>
                    <pic:cNvPicPr/>
                  </pic:nvPicPr>
                  <pic:blipFill>
                    <a:blip r:embed="rId24"/>
                    <a:stretch>
                      <a:fillRect/>
                    </a:stretch>
                  </pic:blipFill>
                  <pic:spPr>
                    <a:xfrm>
                      <a:off x="0" y="0"/>
                      <a:ext cx="5940425" cy="3162935"/>
                    </a:xfrm>
                    <a:prstGeom prst="rect">
                      <a:avLst/>
                    </a:prstGeom>
                  </pic:spPr>
                </pic:pic>
              </a:graphicData>
            </a:graphic>
          </wp:inline>
        </w:drawing>
      </w:r>
    </w:p>
    <w:p w14:paraId="47C331B2" w14:textId="72AA8A92" w:rsidR="00266768" w:rsidRPr="009B7BB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007E43EC">
        <w:rPr>
          <w:rFonts w:ascii="Times New Roman" w:eastAsia="Times New Roman" w:hAnsi="Times New Roman" w:cs="Times New Roman"/>
          <w:b/>
          <w:bCs/>
          <w:sz w:val="26"/>
          <w:szCs w:val="26"/>
          <w:lang w:eastAsia="hu-HU"/>
        </w:rPr>
        <w:t>k</w:t>
      </w:r>
      <w:r w:rsidRPr="66BD4B63">
        <w:rPr>
          <w:rFonts w:ascii="Times New Roman" w:eastAsia="Times New Roman" w:hAnsi="Times New Roman" w:cs="Times New Roman"/>
          <w:b/>
          <w:bCs/>
          <w:sz w:val="26"/>
          <w:szCs w:val="26"/>
          <w:lang w:eastAsia="hu-HU"/>
        </w:rPr>
        <w:t>öltségvetési szervek kiadásai</w:t>
      </w:r>
      <w:r w:rsidRPr="66BD4B63">
        <w:rPr>
          <w:rFonts w:ascii="Times New Roman" w:eastAsia="Times New Roman" w:hAnsi="Times New Roman" w:cs="Times New Roman"/>
          <w:sz w:val="26"/>
          <w:szCs w:val="26"/>
          <w:lang w:eastAsia="hu-HU"/>
        </w:rPr>
        <w:t xml:space="preserve"> mérlegsoron 2025 első félévében 4 401,2 milliárd forint kiadás teljesült, mely 4,9%-kal magasabb az előző év azonos időszakának kiadásaihoz képest. A kiadásból 2 589,0 milliárd forint a személyi juttatásokra és munkaadókat terhelő járulékokra kifizetett összeg.</w:t>
      </w:r>
    </w:p>
    <w:p w14:paraId="690E18FB" w14:textId="0818C87C" w:rsidR="0074788C" w:rsidRPr="004966FE"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 xml:space="preserve">A </w:t>
      </w:r>
      <w:r w:rsidR="007E43EC">
        <w:rPr>
          <w:rFonts w:ascii="Times New Roman" w:eastAsia="Times New Roman" w:hAnsi="Times New Roman" w:cs="Times New Roman"/>
          <w:b/>
          <w:bCs/>
          <w:sz w:val="26"/>
          <w:szCs w:val="26"/>
          <w:lang w:eastAsia="hu-HU"/>
        </w:rPr>
        <w:t>s</w:t>
      </w:r>
      <w:r w:rsidRPr="66BD4B63">
        <w:rPr>
          <w:rFonts w:ascii="Times New Roman" w:eastAsia="Times New Roman" w:hAnsi="Times New Roman" w:cs="Times New Roman"/>
          <w:b/>
          <w:bCs/>
          <w:sz w:val="26"/>
          <w:szCs w:val="26"/>
          <w:lang w:eastAsia="hu-HU"/>
        </w:rPr>
        <w:t>zakmai fejezeti kezelésű előirányzatok kiadásai</w:t>
      </w:r>
      <w:r w:rsidRPr="66BD4B63">
        <w:rPr>
          <w:rFonts w:ascii="Times New Roman" w:eastAsia="Times New Roman" w:hAnsi="Times New Roman" w:cs="Times New Roman"/>
          <w:sz w:val="26"/>
          <w:szCs w:val="26"/>
          <w:lang w:eastAsia="hu-HU"/>
        </w:rPr>
        <w:t xml:space="preserve"> mérlegsoron 2025 első félévében 2 599,8 milliárd forint kiadás teljesült, mely 7,8%-kal magasabb, mint az előző év azonos időszakának kiadása. Ezen időszak teljesítéséből az alábbi kiadások emelhetők ki:</w:t>
      </w:r>
    </w:p>
    <w:p w14:paraId="1F07A5C3" w14:textId="5CE13A09" w:rsidR="000E4F73" w:rsidRPr="00BE4BAC" w:rsidRDefault="5DC4A04A" w:rsidP="0E6BB81D">
      <w:pPr>
        <w:jc w:val="both"/>
        <w:rPr>
          <w:rFonts w:ascii="Times New Roman" w:eastAsia="Times New Roman" w:hAnsi="Times New Roman" w:cs="Times New Roman"/>
          <w:sz w:val="26"/>
          <w:szCs w:val="26"/>
          <w:lang w:eastAsia="hu-HU"/>
        </w:rPr>
      </w:pPr>
      <w:r w:rsidRPr="004966FE">
        <w:rPr>
          <w:rFonts w:ascii="Times New Roman" w:eastAsia="Times New Roman" w:hAnsi="Times New Roman" w:cs="Times New Roman"/>
          <w:color w:val="FF0000"/>
          <w:sz w:val="26"/>
          <w:szCs w:val="26"/>
          <w:lang w:eastAsia="hu-HU"/>
        </w:rPr>
        <w:br w:type="page"/>
      </w:r>
    </w:p>
    <w:p w14:paraId="036EE87C" w14:textId="77777777" w:rsidR="000E4F73" w:rsidRPr="00A61DE1" w:rsidRDefault="66BD4B63" w:rsidP="66BD4B63">
      <w:pPr>
        <w:spacing w:after="120" w:line="240" w:lineRule="auto"/>
        <w:jc w:val="right"/>
        <w:rPr>
          <w:rFonts w:ascii="Times New Roman" w:eastAsia="Times New Roman" w:hAnsi="Times New Roman" w:cs="Times New Roman"/>
          <w:i/>
          <w:iCs/>
          <w:sz w:val="20"/>
          <w:szCs w:val="20"/>
          <w:lang w:eastAsia="hu-HU"/>
        </w:rPr>
      </w:pPr>
      <w:r w:rsidRPr="66BD4B63">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2"/>
        <w:gridCol w:w="851"/>
      </w:tblGrid>
      <w:tr w:rsidR="00D33705" w:rsidRPr="00D33705" w14:paraId="26A524AC" w14:textId="77777777" w:rsidTr="66BD4B63">
        <w:trPr>
          <w:trHeight w:val="340"/>
        </w:trPr>
        <w:tc>
          <w:tcPr>
            <w:tcW w:w="8392" w:type="dxa"/>
            <w:tcMar>
              <w:top w:w="0" w:type="dxa"/>
              <w:left w:w="108" w:type="dxa"/>
              <w:bottom w:w="0" w:type="dxa"/>
              <w:right w:w="108" w:type="dxa"/>
            </w:tcMar>
            <w:vAlign w:val="center"/>
            <w:hideMark/>
          </w:tcPr>
          <w:p w14:paraId="6ABFE3F3" w14:textId="77777777" w:rsidR="009E65F5" w:rsidRPr="00D33705" w:rsidRDefault="66BD4B63" w:rsidP="66BD4B63">
            <w:pPr>
              <w:spacing w:after="0" w:line="240" w:lineRule="auto"/>
              <w:jc w:val="both"/>
              <w:rPr>
                <w:rFonts w:ascii="Times New Roman" w:hAnsi="Times New Roman" w:cs="Times New Roman"/>
                <w:sz w:val="24"/>
                <w:szCs w:val="24"/>
                <w:lang w:eastAsia="hu-HU"/>
              </w:rPr>
            </w:pPr>
            <w:r w:rsidRPr="66BD4B63">
              <w:rPr>
                <w:rFonts w:ascii="Times New Roman" w:hAnsi="Times New Roman" w:cs="Times New Roman"/>
                <w:sz w:val="24"/>
                <w:szCs w:val="24"/>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851" w:type="dxa"/>
            <w:noWrap/>
            <w:tcMar>
              <w:top w:w="0" w:type="dxa"/>
              <w:left w:w="108" w:type="dxa"/>
              <w:bottom w:w="0" w:type="dxa"/>
              <w:right w:w="108" w:type="dxa"/>
            </w:tcMar>
            <w:vAlign w:val="center"/>
          </w:tcPr>
          <w:p w14:paraId="5E98CAB3" w14:textId="5D9AE2EA" w:rsidR="009E65F5" w:rsidRPr="00D33705" w:rsidRDefault="66BD4B63" w:rsidP="66BD4B63">
            <w:pPr>
              <w:spacing w:after="0" w:line="240" w:lineRule="auto"/>
              <w:jc w:val="right"/>
              <w:rPr>
                <w:rFonts w:ascii="Times New Roman" w:hAnsi="Times New Roman" w:cs="Times New Roman"/>
                <w:sz w:val="24"/>
                <w:szCs w:val="24"/>
                <w:lang w:eastAsia="hu-HU"/>
              </w:rPr>
            </w:pPr>
            <w:r w:rsidRPr="66BD4B63">
              <w:rPr>
                <w:rFonts w:ascii="Times New Roman" w:hAnsi="Times New Roman" w:cs="Times New Roman"/>
                <w:sz w:val="24"/>
                <w:szCs w:val="24"/>
                <w:lang w:eastAsia="hu-HU"/>
              </w:rPr>
              <w:t>520,7</w:t>
            </w:r>
          </w:p>
        </w:tc>
      </w:tr>
      <w:tr w:rsidR="00D33705" w:rsidRPr="00D33705" w14:paraId="0AE5AE84" w14:textId="77777777" w:rsidTr="66BD4B63">
        <w:trPr>
          <w:trHeight w:val="283"/>
        </w:trPr>
        <w:tc>
          <w:tcPr>
            <w:tcW w:w="8392" w:type="dxa"/>
            <w:tcMar>
              <w:top w:w="0" w:type="dxa"/>
              <w:left w:w="108" w:type="dxa"/>
              <w:bottom w:w="0" w:type="dxa"/>
              <w:right w:w="108" w:type="dxa"/>
            </w:tcMar>
            <w:vAlign w:val="center"/>
            <w:hideMark/>
          </w:tcPr>
          <w:p w14:paraId="788D5244" w14:textId="77777777" w:rsidR="004F3641" w:rsidRPr="00D33705" w:rsidRDefault="66BD4B63" w:rsidP="66BD4B63">
            <w:pPr>
              <w:spacing w:after="0" w:line="240" w:lineRule="auto"/>
              <w:jc w:val="both"/>
              <w:rPr>
                <w:rFonts w:ascii="Times New Roman" w:hAnsi="Times New Roman" w:cs="Times New Roman"/>
                <w:sz w:val="24"/>
                <w:szCs w:val="24"/>
                <w:lang w:eastAsia="hu-HU"/>
              </w:rPr>
            </w:pPr>
            <w:r w:rsidRPr="66BD4B63">
              <w:rPr>
                <w:rFonts w:ascii="Times New Roman" w:hAnsi="Times New Roman" w:cs="Times New Roman"/>
                <w:sz w:val="24"/>
                <w:szCs w:val="24"/>
                <w:lang w:eastAsia="hu-HU"/>
              </w:rPr>
              <w:t>Nem állami felsőoktatási intézmények támogatása</w:t>
            </w:r>
          </w:p>
        </w:tc>
        <w:tc>
          <w:tcPr>
            <w:tcW w:w="851" w:type="dxa"/>
            <w:noWrap/>
            <w:tcMar>
              <w:top w:w="0" w:type="dxa"/>
              <w:left w:w="108" w:type="dxa"/>
              <w:bottom w:w="0" w:type="dxa"/>
              <w:right w:w="108" w:type="dxa"/>
            </w:tcMar>
            <w:vAlign w:val="center"/>
          </w:tcPr>
          <w:p w14:paraId="6099E4A6" w14:textId="6FBF03E2" w:rsidR="004F3641" w:rsidRPr="00D33705" w:rsidRDefault="66BD4B63" w:rsidP="66BD4B63">
            <w:pPr>
              <w:spacing w:after="0" w:line="240" w:lineRule="auto"/>
              <w:jc w:val="right"/>
              <w:rPr>
                <w:rFonts w:ascii="Times New Roman" w:hAnsi="Times New Roman" w:cs="Times New Roman"/>
                <w:sz w:val="24"/>
                <w:szCs w:val="24"/>
                <w:lang w:eastAsia="hu-HU"/>
              </w:rPr>
            </w:pPr>
            <w:r w:rsidRPr="66BD4B63">
              <w:rPr>
                <w:rFonts w:ascii="Times New Roman" w:hAnsi="Times New Roman" w:cs="Times New Roman"/>
                <w:sz w:val="24"/>
                <w:szCs w:val="24"/>
                <w:lang w:eastAsia="hu-HU"/>
              </w:rPr>
              <w:t>303,9</w:t>
            </w:r>
          </w:p>
        </w:tc>
      </w:tr>
      <w:tr w:rsidR="00D33705" w:rsidRPr="00D33705" w14:paraId="7FA8470F" w14:textId="77777777" w:rsidTr="66BD4B63">
        <w:trPr>
          <w:trHeight w:val="283"/>
        </w:trPr>
        <w:tc>
          <w:tcPr>
            <w:tcW w:w="8392" w:type="dxa"/>
            <w:tcMar>
              <w:top w:w="0" w:type="dxa"/>
              <w:left w:w="108" w:type="dxa"/>
              <w:bottom w:w="0" w:type="dxa"/>
              <w:right w:w="108" w:type="dxa"/>
            </w:tcMar>
            <w:vAlign w:val="center"/>
          </w:tcPr>
          <w:p w14:paraId="72345CFD" w14:textId="77777777" w:rsidR="00D33705" w:rsidRPr="00D33705" w:rsidRDefault="66BD4B63" w:rsidP="66BD4B63">
            <w:pPr>
              <w:spacing w:after="0" w:line="240" w:lineRule="auto"/>
              <w:jc w:val="both"/>
              <w:rPr>
                <w:rFonts w:ascii="Times New Roman" w:hAnsi="Times New Roman" w:cs="Times New Roman"/>
                <w:sz w:val="24"/>
                <w:szCs w:val="24"/>
                <w:lang w:eastAsia="hu-HU"/>
              </w:rPr>
            </w:pPr>
            <w:r w:rsidRPr="66BD4B63">
              <w:rPr>
                <w:rFonts w:ascii="Times New Roman" w:hAnsi="Times New Roman" w:cs="Times New Roman"/>
                <w:sz w:val="24"/>
                <w:szCs w:val="24"/>
                <w:lang w:eastAsia="hu-HU"/>
              </w:rPr>
              <w:t>Közlekedési ágazati programok</w:t>
            </w:r>
          </w:p>
        </w:tc>
        <w:tc>
          <w:tcPr>
            <w:tcW w:w="851" w:type="dxa"/>
            <w:noWrap/>
            <w:tcMar>
              <w:top w:w="0" w:type="dxa"/>
              <w:left w:w="108" w:type="dxa"/>
              <w:bottom w:w="0" w:type="dxa"/>
              <w:right w:w="108" w:type="dxa"/>
            </w:tcMar>
            <w:vAlign w:val="center"/>
          </w:tcPr>
          <w:p w14:paraId="5DE04447" w14:textId="57FD528B" w:rsidR="00D33705" w:rsidRPr="00D33705" w:rsidRDefault="66BD4B63" w:rsidP="66BD4B63">
            <w:pPr>
              <w:spacing w:after="0" w:line="240" w:lineRule="auto"/>
              <w:jc w:val="right"/>
              <w:rPr>
                <w:rFonts w:ascii="Times New Roman" w:hAnsi="Times New Roman" w:cs="Times New Roman"/>
                <w:sz w:val="24"/>
                <w:szCs w:val="24"/>
                <w:lang w:eastAsia="hu-HU"/>
              </w:rPr>
            </w:pPr>
            <w:r w:rsidRPr="66BD4B63">
              <w:rPr>
                <w:rFonts w:ascii="Times New Roman" w:hAnsi="Times New Roman" w:cs="Times New Roman"/>
                <w:sz w:val="24"/>
                <w:szCs w:val="24"/>
                <w:lang w:eastAsia="hu-HU"/>
              </w:rPr>
              <w:t>86,6</w:t>
            </w:r>
          </w:p>
        </w:tc>
      </w:tr>
      <w:tr w:rsidR="00D33705" w:rsidRPr="00D33705" w14:paraId="3695AB0C" w14:textId="77777777" w:rsidTr="66BD4B63">
        <w:trPr>
          <w:trHeight w:val="278"/>
        </w:trPr>
        <w:tc>
          <w:tcPr>
            <w:tcW w:w="8392" w:type="dxa"/>
            <w:tcMar>
              <w:top w:w="0" w:type="dxa"/>
              <w:left w:w="108" w:type="dxa"/>
              <w:bottom w:w="0" w:type="dxa"/>
              <w:right w:w="108" w:type="dxa"/>
            </w:tcMar>
            <w:vAlign w:val="center"/>
            <w:hideMark/>
          </w:tcPr>
          <w:p w14:paraId="5DD694C2" w14:textId="77777777" w:rsidR="003112A9" w:rsidRPr="00D33705" w:rsidRDefault="66BD4B63" w:rsidP="66BD4B63">
            <w:pPr>
              <w:spacing w:after="0" w:line="240" w:lineRule="auto"/>
              <w:jc w:val="both"/>
              <w:rPr>
                <w:rFonts w:ascii="Times New Roman" w:hAnsi="Times New Roman" w:cs="Times New Roman"/>
                <w:sz w:val="24"/>
                <w:szCs w:val="24"/>
                <w:lang w:eastAsia="hu-HU"/>
              </w:rPr>
            </w:pPr>
            <w:r w:rsidRPr="66BD4B63">
              <w:rPr>
                <w:rFonts w:ascii="Times New Roman" w:hAnsi="Times New Roman" w:cs="Times New Roman"/>
                <w:sz w:val="24"/>
                <w:szCs w:val="24"/>
                <w:lang w:eastAsia="hu-HU"/>
              </w:rPr>
              <w:t>Turisztikai fejlesztési célelőirányzat</w:t>
            </w:r>
          </w:p>
        </w:tc>
        <w:tc>
          <w:tcPr>
            <w:tcW w:w="851" w:type="dxa"/>
            <w:noWrap/>
            <w:tcMar>
              <w:top w:w="0" w:type="dxa"/>
              <w:left w:w="108" w:type="dxa"/>
              <w:bottom w:w="0" w:type="dxa"/>
              <w:right w:w="108" w:type="dxa"/>
            </w:tcMar>
            <w:vAlign w:val="center"/>
          </w:tcPr>
          <w:p w14:paraId="0C15ACDF" w14:textId="6CF8F805" w:rsidR="003112A9" w:rsidRPr="00D33705" w:rsidRDefault="66BD4B63" w:rsidP="66BD4B63">
            <w:pPr>
              <w:spacing w:after="0" w:line="240" w:lineRule="auto"/>
              <w:jc w:val="right"/>
              <w:rPr>
                <w:rFonts w:ascii="Times New Roman" w:hAnsi="Times New Roman" w:cs="Times New Roman"/>
                <w:sz w:val="24"/>
                <w:szCs w:val="24"/>
                <w:lang w:eastAsia="hu-HU"/>
              </w:rPr>
            </w:pPr>
            <w:r w:rsidRPr="66BD4B63">
              <w:rPr>
                <w:rFonts w:ascii="Times New Roman" w:hAnsi="Times New Roman" w:cs="Times New Roman"/>
                <w:sz w:val="24"/>
                <w:szCs w:val="24"/>
                <w:lang w:eastAsia="hu-HU"/>
              </w:rPr>
              <w:t>83,4</w:t>
            </w:r>
          </w:p>
        </w:tc>
      </w:tr>
      <w:tr w:rsidR="00D33705" w:rsidRPr="00D33705" w14:paraId="42DCA3C3" w14:textId="77777777" w:rsidTr="66BD4B63">
        <w:trPr>
          <w:trHeight w:val="283"/>
        </w:trPr>
        <w:tc>
          <w:tcPr>
            <w:tcW w:w="8392" w:type="dxa"/>
            <w:tcMar>
              <w:top w:w="0" w:type="dxa"/>
              <w:left w:w="108" w:type="dxa"/>
              <w:bottom w:w="0" w:type="dxa"/>
              <w:right w:w="108" w:type="dxa"/>
            </w:tcMar>
            <w:vAlign w:val="center"/>
          </w:tcPr>
          <w:p w14:paraId="7FA3B2CA" w14:textId="7C75A97E" w:rsidR="00A61DE1" w:rsidRPr="00D33705" w:rsidRDefault="66BD4B63" w:rsidP="66BD4B63">
            <w:pPr>
              <w:spacing w:after="0" w:line="240" w:lineRule="auto"/>
              <w:jc w:val="both"/>
              <w:rPr>
                <w:rFonts w:ascii="Times New Roman" w:hAnsi="Times New Roman" w:cs="Times New Roman"/>
                <w:sz w:val="24"/>
                <w:szCs w:val="24"/>
                <w:lang w:eastAsia="hu-HU"/>
              </w:rPr>
            </w:pPr>
            <w:r w:rsidRPr="66BD4B63">
              <w:rPr>
                <w:rFonts w:ascii="Times New Roman" w:hAnsi="Times New Roman" w:cs="Times New Roman"/>
                <w:sz w:val="24"/>
                <w:szCs w:val="24"/>
                <w:lang w:eastAsia="hu-HU"/>
              </w:rPr>
              <w:t>Térségi fejlesztési feladatok</w:t>
            </w:r>
          </w:p>
        </w:tc>
        <w:tc>
          <w:tcPr>
            <w:tcW w:w="851" w:type="dxa"/>
            <w:noWrap/>
            <w:tcMar>
              <w:top w:w="0" w:type="dxa"/>
              <w:left w:w="108" w:type="dxa"/>
              <w:bottom w:w="0" w:type="dxa"/>
              <w:right w:w="108" w:type="dxa"/>
            </w:tcMar>
            <w:vAlign w:val="center"/>
          </w:tcPr>
          <w:p w14:paraId="460EDA61" w14:textId="10822D0C" w:rsidR="00A61DE1" w:rsidRPr="00D33705" w:rsidRDefault="66BD4B63" w:rsidP="66BD4B63">
            <w:pPr>
              <w:spacing w:after="0" w:line="240" w:lineRule="auto"/>
              <w:jc w:val="right"/>
              <w:rPr>
                <w:rFonts w:ascii="Times New Roman" w:hAnsi="Times New Roman" w:cs="Times New Roman"/>
                <w:sz w:val="24"/>
                <w:szCs w:val="24"/>
                <w:lang w:eastAsia="hu-HU"/>
              </w:rPr>
            </w:pPr>
            <w:r w:rsidRPr="66BD4B63">
              <w:rPr>
                <w:rFonts w:ascii="Times New Roman" w:hAnsi="Times New Roman" w:cs="Times New Roman"/>
                <w:sz w:val="24"/>
                <w:szCs w:val="24"/>
                <w:lang w:eastAsia="hu-HU"/>
              </w:rPr>
              <w:t>65,2</w:t>
            </w:r>
          </w:p>
        </w:tc>
      </w:tr>
      <w:tr w:rsidR="00D33705" w:rsidRPr="00D33705" w14:paraId="54E44312" w14:textId="77777777" w:rsidTr="66BD4B63">
        <w:trPr>
          <w:trHeight w:val="283"/>
        </w:trPr>
        <w:tc>
          <w:tcPr>
            <w:tcW w:w="8392" w:type="dxa"/>
            <w:tcMar>
              <w:top w:w="0" w:type="dxa"/>
              <w:left w:w="108" w:type="dxa"/>
              <w:bottom w:w="0" w:type="dxa"/>
              <w:right w:w="108" w:type="dxa"/>
            </w:tcMar>
            <w:vAlign w:val="center"/>
          </w:tcPr>
          <w:p w14:paraId="15AF8429" w14:textId="4FA24CCF" w:rsidR="009E65F5" w:rsidRPr="00D33705" w:rsidRDefault="66BD4B63" w:rsidP="66BD4B63">
            <w:pPr>
              <w:spacing w:after="0" w:line="240" w:lineRule="auto"/>
              <w:jc w:val="both"/>
              <w:rPr>
                <w:rFonts w:ascii="Times New Roman" w:hAnsi="Times New Roman" w:cs="Times New Roman"/>
                <w:sz w:val="24"/>
                <w:szCs w:val="24"/>
                <w:lang w:eastAsia="hu-HU"/>
              </w:rPr>
            </w:pPr>
            <w:r w:rsidRPr="66BD4B63">
              <w:rPr>
                <w:rFonts w:ascii="Times New Roman" w:hAnsi="Times New Roman" w:cs="Times New Roman"/>
                <w:sz w:val="24"/>
                <w:szCs w:val="24"/>
                <w:lang w:eastAsia="hu-HU"/>
              </w:rPr>
              <w:t>Víziközmű-fejlesztések</w:t>
            </w:r>
          </w:p>
        </w:tc>
        <w:tc>
          <w:tcPr>
            <w:tcW w:w="851" w:type="dxa"/>
            <w:noWrap/>
            <w:tcMar>
              <w:top w:w="0" w:type="dxa"/>
              <w:left w:w="108" w:type="dxa"/>
              <w:bottom w:w="0" w:type="dxa"/>
              <w:right w:w="108" w:type="dxa"/>
            </w:tcMar>
            <w:vAlign w:val="center"/>
          </w:tcPr>
          <w:p w14:paraId="096DD07F" w14:textId="20697605" w:rsidR="009E65F5" w:rsidRPr="00D33705" w:rsidRDefault="66BD4B63" w:rsidP="66BD4B63">
            <w:pPr>
              <w:spacing w:after="0" w:line="240" w:lineRule="auto"/>
              <w:jc w:val="right"/>
              <w:rPr>
                <w:rFonts w:ascii="Times New Roman" w:hAnsi="Times New Roman" w:cs="Times New Roman"/>
                <w:sz w:val="24"/>
                <w:szCs w:val="24"/>
                <w:lang w:eastAsia="hu-HU"/>
              </w:rPr>
            </w:pPr>
            <w:r w:rsidRPr="66BD4B63">
              <w:rPr>
                <w:rFonts w:ascii="Times New Roman" w:hAnsi="Times New Roman" w:cs="Times New Roman"/>
                <w:sz w:val="24"/>
                <w:szCs w:val="24"/>
                <w:lang w:eastAsia="hu-HU"/>
              </w:rPr>
              <w:t>39,0</w:t>
            </w:r>
          </w:p>
        </w:tc>
      </w:tr>
    </w:tbl>
    <w:p w14:paraId="130E1B4D" w14:textId="6750F497" w:rsidR="0033462C" w:rsidRPr="00A61DE1" w:rsidRDefault="66BD4B63" w:rsidP="66BD4B63">
      <w:pPr>
        <w:spacing w:before="160" w:after="0"/>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 2025. év első félévi, 7 001,0 milliárd forint összegű kiadásai megoszlását a következő grafikon szemlélteti:</w:t>
      </w:r>
    </w:p>
    <w:p w14:paraId="3599A16D" w14:textId="280C2D2A" w:rsidR="00B056CC" w:rsidRDefault="002D6802" w:rsidP="009C33A4">
      <w:pPr>
        <w:spacing w:before="240"/>
        <w:jc w:val="center"/>
        <w:rPr>
          <w:rFonts w:ascii="Times New Roman" w:eastAsia="Times New Roman" w:hAnsi="Times New Roman" w:cs="Times New Roman"/>
          <w:b/>
          <w:sz w:val="26"/>
          <w:szCs w:val="26"/>
        </w:rPr>
      </w:pPr>
      <w:r>
        <w:rPr>
          <w:noProof/>
        </w:rPr>
        <w:drawing>
          <wp:inline distT="0" distB="0" distL="0" distR="0" wp14:anchorId="762D6FEF" wp14:editId="211302BC">
            <wp:extent cx="5940425" cy="3485515"/>
            <wp:effectExtent l="0" t="0" r="3175" b="635"/>
            <wp:docPr id="162607464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74643" name=""/>
                    <pic:cNvPicPr/>
                  </pic:nvPicPr>
                  <pic:blipFill>
                    <a:blip r:embed="rId25"/>
                    <a:stretch>
                      <a:fillRect/>
                    </a:stretch>
                  </pic:blipFill>
                  <pic:spPr>
                    <a:xfrm>
                      <a:off x="0" y="0"/>
                      <a:ext cx="5940425" cy="3485515"/>
                    </a:xfrm>
                    <a:prstGeom prst="rect">
                      <a:avLst/>
                    </a:prstGeom>
                  </pic:spPr>
                </pic:pic>
              </a:graphicData>
            </a:graphic>
          </wp:inline>
        </w:drawing>
      </w:r>
    </w:p>
    <w:p w14:paraId="7B768C4E" w14:textId="3E063542" w:rsidR="00B155FE" w:rsidRPr="00377D59" w:rsidRDefault="66BD4B63" w:rsidP="66BD4B63">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66BD4B63">
        <w:rPr>
          <w:rFonts w:ascii="Times New Roman" w:eastAsia="Times New Roman" w:hAnsi="Times New Roman" w:cs="Times New Roman"/>
          <w:b/>
          <w:bCs/>
          <w:smallCaps/>
          <w:sz w:val="28"/>
          <w:szCs w:val="28"/>
          <w:lang w:eastAsia="hu-HU"/>
        </w:rPr>
        <w:t>Kamategyenleg</w:t>
      </w:r>
    </w:p>
    <w:p w14:paraId="0047F521" w14:textId="1A569480" w:rsidR="003F3151" w:rsidRDefault="66BD4B63" w:rsidP="66BD4B63">
      <w:pPr>
        <w:jc w:val="both"/>
        <w:rPr>
          <w:rFonts w:ascii="Times New Roman" w:hAnsi="Times New Roman" w:cs="Times New Roman"/>
          <w:sz w:val="26"/>
          <w:szCs w:val="26"/>
        </w:rPr>
      </w:pPr>
      <w:r w:rsidRPr="66BD4B63">
        <w:rPr>
          <w:rFonts w:ascii="Times New Roman" w:hAnsi="Times New Roman" w:cs="Times New Roman"/>
          <w:sz w:val="26"/>
          <w:szCs w:val="26"/>
          <w:lang w:eastAsia="hu-HU"/>
        </w:rPr>
        <w:t xml:space="preserve">A bevételek és kiadások egyenlegeként adódó 2 323,2 milliárd forint összegű </w:t>
      </w:r>
      <w:r w:rsidRPr="66BD4B63">
        <w:rPr>
          <w:rFonts w:ascii="Times New Roman" w:hAnsi="Times New Roman" w:cs="Times New Roman"/>
          <w:b/>
          <w:bCs/>
          <w:sz w:val="26"/>
          <w:szCs w:val="26"/>
          <w:lang w:eastAsia="hu-HU"/>
        </w:rPr>
        <w:t>nettó</w:t>
      </w:r>
      <w:r w:rsidRPr="66BD4B63">
        <w:rPr>
          <w:rFonts w:ascii="Times New Roman" w:hAnsi="Times New Roman" w:cs="Times New Roman"/>
          <w:b/>
          <w:bCs/>
          <w:sz w:val="26"/>
          <w:szCs w:val="26"/>
        </w:rPr>
        <w:t xml:space="preserve"> kamatkiadás</w:t>
      </w:r>
      <w:r w:rsidRPr="66BD4B63">
        <w:rPr>
          <w:rFonts w:ascii="Times New Roman" w:hAnsi="Times New Roman" w:cs="Times New Roman"/>
          <w:sz w:val="26"/>
          <w:szCs w:val="26"/>
        </w:rPr>
        <w:t xml:space="preserve"> június végéig 547,</w:t>
      </w:r>
      <w:r w:rsidR="00190E21">
        <w:rPr>
          <w:rFonts w:ascii="Times New Roman" w:hAnsi="Times New Roman" w:cs="Times New Roman"/>
          <w:sz w:val="26"/>
          <w:szCs w:val="26"/>
        </w:rPr>
        <w:t>6</w:t>
      </w:r>
      <w:r w:rsidRPr="66BD4B63">
        <w:rPr>
          <w:rFonts w:ascii="Times New Roman" w:hAnsi="Times New Roman" w:cs="Times New Roman"/>
          <w:sz w:val="26"/>
          <w:szCs w:val="26"/>
        </w:rPr>
        <w:t>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66BD4B63" w:rsidP="66BD4B63">
      <w:pPr>
        <w:keepNext/>
        <w:spacing w:after="120" w:line="240" w:lineRule="auto"/>
        <w:jc w:val="center"/>
        <w:outlineLvl w:val="3"/>
        <w:rPr>
          <w:rFonts w:ascii="Times New Roman" w:eastAsia="Times New Roman" w:hAnsi="Times New Roman" w:cs="Times New Roman"/>
          <w:b/>
          <w:bCs/>
          <w:caps/>
          <w:sz w:val="26"/>
          <w:szCs w:val="26"/>
          <w:lang w:eastAsia="hu-HU"/>
        </w:rPr>
      </w:pPr>
      <w:r w:rsidRPr="66BD4B63">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66BD4B63" w:rsidP="66BD4B63">
      <w:pPr>
        <w:keepNext/>
        <w:spacing w:after="240" w:line="240" w:lineRule="auto"/>
        <w:jc w:val="center"/>
        <w:outlineLvl w:val="3"/>
        <w:rPr>
          <w:rFonts w:ascii="Times New Roman" w:eastAsia="Times New Roman" w:hAnsi="Times New Roman" w:cs="Times New Roman"/>
          <w:b/>
          <w:bCs/>
          <w:caps/>
          <w:sz w:val="26"/>
          <w:szCs w:val="26"/>
          <w:lang w:eastAsia="hu-HU"/>
        </w:rPr>
      </w:pPr>
      <w:r w:rsidRPr="66BD4B63">
        <w:rPr>
          <w:rFonts w:ascii="Times New Roman" w:eastAsia="Times New Roman" w:hAnsi="Times New Roman" w:cs="Times New Roman"/>
          <w:b/>
          <w:bCs/>
          <w:caps/>
          <w:sz w:val="26"/>
          <w:szCs w:val="26"/>
          <w:lang w:eastAsia="hu-HU"/>
        </w:rPr>
        <w:t>Az államháztartás központi alrendszerének finanszírozása</w:t>
      </w:r>
    </w:p>
    <w:p w14:paraId="06C778E7" w14:textId="2CF28B5A" w:rsidR="00710A26" w:rsidRPr="008E6DF0" w:rsidRDefault="66BD4B63" w:rsidP="66BD4B63">
      <w:pPr>
        <w:ind w:right="23"/>
        <w:jc w:val="both"/>
        <w:rPr>
          <w:rFonts w:ascii="Times New Roman" w:eastAsia="Times New Roman" w:hAnsi="Times New Roman" w:cs="Times New Roman"/>
          <w:b/>
          <w:bCs/>
          <w:sz w:val="26"/>
          <w:szCs w:val="26"/>
          <w:lang w:eastAsia="hu-HU"/>
        </w:rPr>
      </w:pPr>
      <w:r w:rsidRPr="66BD4B63">
        <w:rPr>
          <w:rFonts w:ascii="Times New Roman" w:eastAsia="Times New Roman" w:hAnsi="Times New Roman" w:cs="Times New Roman"/>
          <w:sz w:val="26"/>
          <w:szCs w:val="26"/>
          <w:lang w:eastAsia="hu-HU"/>
        </w:rPr>
        <w:t>A központi költségvetés adóssága 2025. június végéig 3 785,8 milliárd forinttal növekedett a következő négy tényező eredményeképpen:</w:t>
      </w:r>
    </w:p>
    <w:p w14:paraId="0A2F7D91" w14:textId="21AA87CD" w:rsidR="008467BD" w:rsidRPr="008467BD" w:rsidRDefault="66BD4B63" w:rsidP="66BD4B63">
      <w:pPr>
        <w:pStyle w:val="Listaszerbekezds"/>
        <w:numPr>
          <w:ilvl w:val="0"/>
          <w:numId w:val="2"/>
        </w:num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Az első tényező, amely növelte az adósságot</w:t>
      </w:r>
      <w:r w:rsidRPr="66BD4B63">
        <w:rPr>
          <w:rFonts w:ascii="Times New Roman" w:eastAsia="Times New Roman" w:hAnsi="Times New Roman" w:cs="Times New Roman"/>
          <w:sz w:val="26"/>
          <w:szCs w:val="26"/>
          <w:lang w:eastAsia="hu-HU"/>
        </w:rPr>
        <w:t xml:space="preserve"> a nettó forintkibocsátás 1 883,2 milliárd forint összegben, ami a költségvetés hiányát finanszírozza.</w:t>
      </w:r>
    </w:p>
    <w:p w14:paraId="6058F975" w14:textId="338DE05F" w:rsidR="008467BD" w:rsidRPr="008467BD" w:rsidRDefault="66BD4B63" w:rsidP="66BD4B63">
      <w:pPr>
        <w:pStyle w:val="Listaszerbekezds"/>
        <w:numPr>
          <w:ilvl w:val="0"/>
          <w:numId w:val="2"/>
        </w:num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 xml:space="preserve">A második – szintén növelő hatású – tényező </w:t>
      </w:r>
      <w:r w:rsidRPr="66BD4B63">
        <w:rPr>
          <w:rFonts w:ascii="Times New Roman" w:eastAsia="Times New Roman" w:hAnsi="Times New Roman" w:cs="Times New Roman"/>
          <w:sz w:val="26"/>
          <w:szCs w:val="26"/>
          <w:lang w:eastAsia="hu-HU"/>
        </w:rPr>
        <w:t>a nettó devizakibocsátás, amely 2 515,3 milliárd forint összegben hozzájárul a hiány finanszírozásához és a devizabetétállomány növekedéséhez.</w:t>
      </w:r>
    </w:p>
    <w:p w14:paraId="604905E5" w14:textId="67746BEA" w:rsidR="008467BD" w:rsidRPr="008467BD" w:rsidRDefault="66BD4B63" w:rsidP="66BD4B63">
      <w:pPr>
        <w:pStyle w:val="Listaszerbekezds"/>
        <w:numPr>
          <w:ilvl w:val="0"/>
          <w:numId w:val="2"/>
        </w:num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A harmadik – fentiekkel ellentétes, csökkentő hatású – tényező</w:t>
      </w:r>
      <w:r w:rsidRPr="66BD4B63">
        <w:rPr>
          <w:rFonts w:ascii="Times New Roman" w:eastAsia="Times New Roman" w:hAnsi="Times New Roman" w:cs="Times New Roman"/>
          <w:sz w:val="26"/>
          <w:szCs w:val="26"/>
          <w:lang w:eastAsia="hu-HU"/>
        </w:rPr>
        <w:t xml:space="preserve"> a forint árfolyamának az elmúlt év végéhez képest bekövetkezett erősödése, amely az adósság devizában fennálló részének forintban számított nyilvántartási értékét 510,5 milliárd forinttal csökkentette.</w:t>
      </w:r>
    </w:p>
    <w:p w14:paraId="157CBCF7" w14:textId="192A582E" w:rsidR="00E5484A" w:rsidRPr="008467BD" w:rsidRDefault="66BD4B63" w:rsidP="66BD4B63">
      <w:pPr>
        <w:pStyle w:val="Listaszerbekezds"/>
        <w:numPr>
          <w:ilvl w:val="0"/>
          <w:numId w:val="2"/>
        </w:numPr>
        <w:jc w:val="both"/>
        <w:rPr>
          <w:rFonts w:ascii="Times New Roman" w:eastAsia="Times New Roman" w:hAnsi="Times New Roman" w:cs="Times New Roman"/>
          <w:sz w:val="26"/>
          <w:szCs w:val="26"/>
          <w:lang w:eastAsia="hu-HU"/>
        </w:rPr>
        <w:sectPr w:rsidR="00E5484A" w:rsidRPr="008467BD"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r w:rsidRPr="66BD4B63">
        <w:rPr>
          <w:rFonts w:ascii="Times New Roman" w:eastAsia="Times New Roman" w:hAnsi="Times New Roman" w:cs="Times New Roman"/>
          <w:b/>
          <w:bCs/>
          <w:sz w:val="26"/>
          <w:szCs w:val="26"/>
          <w:lang w:eastAsia="hu-HU"/>
        </w:rPr>
        <w:t>A negyedik – további csökkentő hatású – tényező</w:t>
      </w:r>
      <w:r w:rsidRPr="66BD4B63">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csökkenése 102,2 milliárd forint összegben.</w:t>
      </w:r>
    </w:p>
    <w:p w14:paraId="7B768C5C" w14:textId="2C98D6BE" w:rsidR="00B155FE" w:rsidRPr="00377D59" w:rsidRDefault="66BD4B63" w:rsidP="66BD4B63">
      <w:pPr>
        <w:spacing w:after="120" w:line="240" w:lineRule="auto"/>
        <w:ind w:right="23"/>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lastRenderedPageBreak/>
        <w:t>Az előzetes adatok szerint 2025. jú</w:t>
      </w:r>
      <w:r w:rsidR="00FA4EE4">
        <w:rPr>
          <w:rFonts w:ascii="Times New Roman" w:eastAsia="Times New Roman" w:hAnsi="Times New Roman" w:cs="Times New Roman"/>
          <w:sz w:val="26"/>
          <w:szCs w:val="26"/>
          <w:lang w:eastAsia="hu-HU"/>
        </w:rPr>
        <w:t>n</w:t>
      </w:r>
      <w:r w:rsidRPr="66BD4B63">
        <w:rPr>
          <w:rFonts w:ascii="Times New Roman" w:eastAsia="Times New Roman" w:hAnsi="Times New Roman" w:cs="Times New Roman"/>
          <w:sz w:val="26"/>
          <w:szCs w:val="26"/>
          <w:lang w:eastAsia="hu-HU"/>
        </w:rPr>
        <w:t xml:space="preserve">ius végén a </w:t>
      </w:r>
      <w:r w:rsidRPr="66BD4B63">
        <w:rPr>
          <w:rFonts w:ascii="Times New Roman" w:eastAsia="Times New Roman" w:hAnsi="Times New Roman" w:cs="Times New Roman"/>
          <w:b/>
          <w:bCs/>
          <w:sz w:val="26"/>
          <w:szCs w:val="26"/>
          <w:lang w:eastAsia="hu-HU"/>
        </w:rPr>
        <w:t xml:space="preserve">központi költségvetés forint- és devizaadóssága </w:t>
      </w:r>
      <w:r w:rsidRPr="66BD4B63">
        <w:rPr>
          <w:rFonts w:ascii="Times New Roman" w:eastAsia="Times New Roman" w:hAnsi="Times New Roman" w:cs="Times New Roman"/>
          <w:sz w:val="26"/>
          <w:szCs w:val="26"/>
          <w:lang w:eastAsia="hu-HU"/>
        </w:rPr>
        <w:t>az alábbiak szerint alakult:</w:t>
      </w:r>
    </w:p>
    <w:p w14:paraId="7B768C5D" w14:textId="252296E8" w:rsidR="00B155FE" w:rsidRDefault="66BD4B63" w:rsidP="66BD4B63">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 központi költségvetés adósságának alakulása 2025-ben, milliárd forint</w:t>
      </w:r>
    </w:p>
    <w:p w14:paraId="31C86ED1" w14:textId="33E46BD7" w:rsidR="002F2521" w:rsidRDefault="003A2419"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3A2419">
        <w:rPr>
          <w:noProof/>
        </w:rPr>
        <w:drawing>
          <wp:inline distT="0" distB="0" distL="0" distR="0" wp14:anchorId="368D243A" wp14:editId="4D8CF6C9">
            <wp:extent cx="8934450" cy="4229100"/>
            <wp:effectExtent l="0" t="0" r="0" b="0"/>
            <wp:docPr id="143350490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4450" cy="4229100"/>
                    </a:xfrm>
                    <a:prstGeom prst="rect">
                      <a:avLst/>
                    </a:prstGeom>
                    <a:noFill/>
                    <a:ln>
                      <a:noFill/>
                    </a:ln>
                  </pic:spPr>
                </pic:pic>
              </a:graphicData>
            </a:graphic>
          </wp:inline>
        </w:drawing>
      </w:r>
    </w:p>
    <w:p w14:paraId="7B768C5F" w14:textId="77777777" w:rsidR="00B155FE" w:rsidRPr="00377D59" w:rsidRDefault="66BD4B63" w:rsidP="66BD4B63">
      <w:pPr>
        <w:spacing w:after="120" w:line="240" w:lineRule="auto"/>
        <w:jc w:val="both"/>
        <w:rPr>
          <w:rFonts w:ascii="Times New Roman" w:eastAsia="Times New Roman" w:hAnsi="Times New Roman" w:cs="Times New Roman"/>
          <w:sz w:val="24"/>
          <w:szCs w:val="24"/>
          <w:lang w:eastAsia="hu-HU"/>
        </w:rPr>
      </w:pPr>
      <w:r w:rsidRPr="66BD4B63">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4E491639" w14:textId="430BEE6B" w:rsidR="003A2419" w:rsidRPr="003A241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lastRenderedPageBreak/>
        <w:t>A központi költségvetés devizaadóssága</w:t>
      </w:r>
      <w:r w:rsidRPr="66BD4B63">
        <w:rPr>
          <w:rFonts w:ascii="Times New Roman" w:eastAsia="Times New Roman" w:hAnsi="Times New Roman" w:cs="Times New Roman"/>
          <w:sz w:val="26"/>
          <w:szCs w:val="26"/>
          <w:lang w:eastAsia="hu-HU"/>
        </w:rPr>
        <w:t xml:space="preserve"> 2025-ben 2 004,8 milliárd forinttal 18 562,5 milliárd forintra növekedett az elmúlt év végéhez képest. A devizaadósság részaránya a 2024. év végi 29,8%-os szintről átmenetileg 31,3%-os szintre emelkedett a teljes adósságon belül.</w:t>
      </w:r>
    </w:p>
    <w:p w14:paraId="64E672CE" w14:textId="7E72FC07" w:rsidR="003A2419" w:rsidRPr="003A241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 növekedés hátterében döntően a devizakötvény-kibocsátások állnak. 2025. január 7-én sor került az idei év első nemzetközi eurókötvény-kibocsátására összesen 1 035,7 milliárd forint (2,5 milliárd euró) összegben. Két sorozat piacra vitele történt meg, egy 10 éves futamidejű hagyományos sorozat 621,4 milliárd forint (1,5 milliárd EUR) összegben és egy 15 éves futamidejű zöld sorozat 414,3 milliárd forint (1,0 milliárd EUR) összegben. 2025. június 16-án a második nemzetközi devizakötvénykibocsátásra került sor, összesen 1 404,6 milliárd forint (4 milliárd USD) összegben. Három részből állt a dollárkötvénykibocsátás, az 5 éves futamidejű 526,7 milliárd forint (1,5 milliárd USD) összegű sorozatból, a 10 éves futamidejű 351,1 milliárd forint (1 milliárd USD) összegű sorozatból és a 30 éves futamidejű 526,7 milliárd forint (1,5 milliárd USD) összegű sorozatból. Az ECP (Euro Commercial Paper) program keretében áprilisban kibocsátott devizaértékpapírok összege 180,1 milliárd forint (500 millió USD) volt. A további devizahitel lehívások összege szintén emelte, az árfolyamerősödés ugyanakkor csökkentette a devizaadósság részarányát.</w:t>
      </w:r>
    </w:p>
    <w:p w14:paraId="619D0B11" w14:textId="0F324521" w:rsidR="003A2419" w:rsidRPr="003A241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A költségvetés forintadóssága</w:t>
      </w:r>
      <w:r w:rsidRPr="66BD4B63">
        <w:rPr>
          <w:rFonts w:ascii="Times New Roman" w:eastAsia="Times New Roman" w:hAnsi="Times New Roman" w:cs="Times New Roman"/>
          <w:sz w:val="26"/>
          <w:szCs w:val="26"/>
          <w:lang w:eastAsia="hu-HU"/>
        </w:rPr>
        <w:t xml:space="preserve"> június végéig 1 883,2 milliárd forinttal növekedett és 40 584,8 milliárd forintot ért el, a forint adósság a teljes államadósság 68,5%-át teszi ki. 2024. decemberében ez az arány 69,8% volt.</w:t>
      </w:r>
    </w:p>
    <w:p w14:paraId="60BE847C" w14:textId="2B0358A8" w:rsidR="003A2419" w:rsidRPr="003A241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2025. június végén a forint lakossági állampapírok állománya 11 298,2 milliárd forintot tett ki, ami 35,3 milliárd forint növekedést jelent 2024. december vége óta. A Prémium Magyar Állampapír állománya 2025. június végére 2 528,5 milliárd forinttal csökkent, amely így 4 432,5 milliárd forintot tett ki. A Fix Magyar Állampapír állománya 1 626,3 milliárd forinttal növekedett és elérte a 2 643,2 milliárd forintot hó végén. Szintén emelkedett a Bónusz Magyar Állampapír állománya is, 1 049,3 milliárd forint növekedést követően a hó végén 2 258,2 milliárd forintot tett ki. A Magyar Állampapír Plusz állománya, a nyomdai kibocsátású és a korábban értékesített papírokkal együtt, 159,2 milliárd forintot emelkedett az előző hónaphoz képest így hó végén 921,7 milliárd forintot tett ki. A 2024. júniustól kivezetésre került Egyéves Magyar Állampapír állománya 382,4 milliárd forinttal csökkent az év</w:t>
      </w:r>
      <w:r w:rsidR="00FA4EE4">
        <w:rPr>
          <w:rFonts w:ascii="Times New Roman" w:eastAsia="Times New Roman" w:hAnsi="Times New Roman" w:cs="Times New Roman"/>
          <w:sz w:val="26"/>
          <w:szCs w:val="26"/>
          <w:lang w:eastAsia="hu-HU"/>
        </w:rPr>
        <w:t xml:space="preserve"> </w:t>
      </w:r>
      <w:r w:rsidRPr="66BD4B63">
        <w:rPr>
          <w:rFonts w:ascii="Times New Roman" w:eastAsia="Times New Roman" w:hAnsi="Times New Roman" w:cs="Times New Roman"/>
          <w:sz w:val="26"/>
          <w:szCs w:val="26"/>
          <w:lang w:eastAsia="hu-HU"/>
        </w:rPr>
        <w:t>során, június végére nullára csökkent az állománya</w:t>
      </w:r>
      <w:r w:rsidR="000B58F0">
        <w:rPr>
          <w:rFonts w:ascii="Times New Roman" w:eastAsia="Times New Roman" w:hAnsi="Times New Roman" w:cs="Times New Roman"/>
          <w:sz w:val="26"/>
          <w:szCs w:val="26"/>
          <w:lang w:eastAsia="hu-HU"/>
        </w:rPr>
        <w:t>,</w:t>
      </w:r>
      <w:r w:rsidRPr="66BD4B63">
        <w:rPr>
          <w:rFonts w:ascii="Times New Roman" w:eastAsia="Times New Roman" w:hAnsi="Times New Roman" w:cs="Times New Roman"/>
          <w:sz w:val="26"/>
          <w:szCs w:val="26"/>
          <w:lang w:eastAsia="hu-HU"/>
        </w:rPr>
        <w:t xml:space="preserve"> így megszűnt a papír. A lakossági állampapírok közül a Fix Magyar Állampapír értékesítése volt a legmagasabb júniusban.</w:t>
      </w:r>
    </w:p>
    <w:p w14:paraId="39678B18" w14:textId="1E919200" w:rsidR="003A2419" w:rsidRPr="003A241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Az ÁKK Zrt. június hó folyamán összesen 2,8 milliárd forint összegben vásárolt vissza lakossági állampapírokat a forgalmazó bankoktól. 2025 áprilisától a forgalmazóknak lehetőség nyílt saját számlájukra került lakossági állampapírok cseréjére. Ennek keretében júniusban 37,7 milliárd forint összegben cserélték be a saját számlájukra került lakossági állampapírokat az épp értékesítés alatt álló sorozatokra, amit a másodpiacon tovább értékesíthetnek a lakosság számára.</w:t>
      </w:r>
    </w:p>
    <w:p w14:paraId="544FE9D7" w14:textId="02549181" w:rsidR="003A2419" w:rsidRPr="003A2419"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b/>
          <w:bCs/>
          <w:sz w:val="26"/>
          <w:szCs w:val="26"/>
          <w:lang w:eastAsia="hu-HU"/>
        </w:rPr>
        <w:t>A külföldi befektetők állampapír állománya</w:t>
      </w:r>
      <w:r w:rsidRPr="66BD4B63">
        <w:rPr>
          <w:rFonts w:ascii="Times New Roman" w:eastAsia="Times New Roman" w:hAnsi="Times New Roman" w:cs="Times New Roman"/>
          <w:sz w:val="26"/>
          <w:szCs w:val="26"/>
          <w:lang w:eastAsia="hu-HU"/>
        </w:rPr>
        <w:t xml:space="preserve"> júniusban 522,1 milliárd forinttal 5 550,4 milliárd forintra csökkent az előző hónaphoz képest. A külföldi állomány 99,8%-a, </w:t>
      </w:r>
      <w:r w:rsidRPr="66BD4B63">
        <w:rPr>
          <w:rFonts w:ascii="Times New Roman" w:eastAsia="Times New Roman" w:hAnsi="Times New Roman" w:cs="Times New Roman"/>
          <w:sz w:val="26"/>
          <w:szCs w:val="26"/>
          <w:lang w:eastAsia="hu-HU"/>
        </w:rPr>
        <w:lastRenderedPageBreak/>
        <w:t>5 538,4 milliárd forint államkötvény, 0,2%-a, 12,1 milliárd forint diszkontkincstárjegy. A külföldi állomány átlagos hátralévő futamideje június végén 5,7 év volt.</w:t>
      </w:r>
    </w:p>
    <w:p w14:paraId="742A4DFA" w14:textId="2783F0F1" w:rsidR="00346073" w:rsidRPr="00404793" w:rsidRDefault="66BD4B63" w:rsidP="66BD4B63">
      <w:pPr>
        <w:jc w:val="both"/>
        <w:rPr>
          <w:rFonts w:ascii="Times New Roman" w:eastAsia="Times New Roman" w:hAnsi="Times New Roman" w:cs="Times New Roman"/>
          <w:sz w:val="26"/>
          <w:szCs w:val="26"/>
          <w:lang w:eastAsia="hu-HU"/>
        </w:rPr>
      </w:pPr>
      <w:r w:rsidRPr="66BD4B63">
        <w:rPr>
          <w:rFonts w:ascii="Times New Roman" w:eastAsia="Times New Roman" w:hAnsi="Times New Roman" w:cs="Times New Roman"/>
          <w:sz w:val="26"/>
          <w:szCs w:val="26"/>
          <w:lang w:eastAsia="hu-HU"/>
        </w:rPr>
        <w:t>A deviza-államadósság kockázatainak csökkentése érdekében az ÁKK Zrt. swap műveleteket köt, amiből az adósságállomány részét képezik az ezen ügyletek után az ÁKK Zrt-nél elhelyezésre kerülő fedezeti összegek (az ún. mark-to-market betétek) az egyéb kötelezettségek soron. A korábbi dollárkötvény kibocsátások óta eltelt időszakban az egyéb devizák (főként az USD) jelentősen felértékelődtek az euróhoz képest, az emiatt keletkező többletadósságot viszont a swapkötéssel sikerült kizárni. A vizsgált időszakban az egyéb kötelezettségek állománya 102,2 milliárd forinttal csökkent. Június végén az állomány 117,4 milliárd forintot tett ki, ami a teljes államadósság 0,2%-át jelenti.</w:t>
      </w:r>
    </w:p>
    <w:sectPr w:rsidR="00346073" w:rsidRPr="00404793"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998E" w14:textId="77777777" w:rsidR="00482CC1" w:rsidRDefault="00482CC1" w:rsidP="00B155FE">
      <w:pPr>
        <w:spacing w:after="0" w:line="240" w:lineRule="auto"/>
      </w:pPr>
      <w:r>
        <w:separator/>
      </w:r>
    </w:p>
  </w:endnote>
  <w:endnote w:type="continuationSeparator" w:id="0">
    <w:p w14:paraId="77588FED" w14:textId="77777777" w:rsidR="00482CC1" w:rsidRDefault="00482CC1" w:rsidP="00B155FE">
      <w:pPr>
        <w:spacing w:after="0" w:line="240" w:lineRule="auto"/>
      </w:pPr>
      <w:r>
        <w:continuationSeparator/>
      </w:r>
    </w:p>
  </w:endnote>
  <w:endnote w:type="continuationNotice" w:id="1">
    <w:p w14:paraId="77EFA555" w14:textId="77777777" w:rsidR="00482CC1" w:rsidRDefault="0048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2D1F" w14:textId="4DE2DC1D" w:rsidR="00473AC1" w:rsidRDefault="00473AC1">
    <w:pPr>
      <w:pStyle w:val="llb"/>
      <w:jc w:val="center"/>
    </w:pPr>
  </w:p>
  <w:p w14:paraId="41773F2F" w14:textId="77777777" w:rsidR="00473AC1" w:rsidRDefault="00473A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473AC1" w:rsidRPr="005A1E0F" w:rsidRDefault="00473AC1">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473AC1" w:rsidRDefault="00473AC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473AC1" w:rsidRPr="00470868" w:rsidRDefault="00473AC1">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7B6DF2">
          <w:rPr>
            <w:rFonts w:ascii="Times New Roman" w:hAnsi="Times New Roman" w:cs="Times New Roman"/>
            <w:noProof/>
            <w:sz w:val="24"/>
          </w:rPr>
          <w:t>19</w:t>
        </w:r>
        <w:r w:rsidRPr="00470868">
          <w:rPr>
            <w:rFonts w:ascii="Times New Roman" w:hAnsi="Times New Roman" w:cs="Times New Roman"/>
            <w:sz w:val="24"/>
          </w:rPr>
          <w:fldChar w:fldCharType="end"/>
        </w:r>
      </w:p>
    </w:sdtContent>
  </w:sdt>
  <w:p w14:paraId="17329691" w14:textId="773A5D5E" w:rsidR="00473AC1" w:rsidRPr="00556984" w:rsidRDefault="00473AC1" w:rsidP="00556984">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473AC1" w:rsidRPr="00D4148C" w:rsidRDefault="00473AC1">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473AC1" w:rsidRDefault="00473AC1" w:rsidP="00C74E0F">
    <w:pPr>
      <w:pStyle w:val="ll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40D1" w14:textId="0EBE225F" w:rsidR="00473AC1" w:rsidRDefault="66BD4B63" w:rsidP="004A3001">
    <w:pPr>
      <w:pStyle w:val="llb"/>
      <w:jc w:val="center"/>
    </w:pPr>
    <w:r w:rsidRPr="66BD4B63">
      <w:rPr>
        <w:rFonts w:ascii="Times New Roman" w:hAnsi="Times New Roman" w:cs="Times New Roman"/>
        <w:sz w:val="24"/>
        <w:szCs w:val="2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D242" w14:textId="77777777" w:rsidR="00482CC1" w:rsidRDefault="00482CC1" w:rsidP="00B155FE">
      <w:pPr>
        <w:spacing w:after="0" w:line="240" w:lineRule="auto"/>
      </w:pPr>
      <w:r>
        <w:separator/>
      </w:r>
    </w:p>
  </w:footnote>
  <w:footnote w:type="continuationSeparator" w:id="0">
    <w:p w14:paraId="7ED3E36A" w14:textId="77777777" w:rsidR="00482CC1" w:rsidRDefault="00482CC1" w:rsidP="00B155FE">
      <w:pPr>
        <w:spacing w:after="0" w:line="240" w:lineRule="auto"/>
      </w:pPr>
      <w:r>
        <w:continuationSeparator/>
      </w:r>
    </w:p>
  </w:footnote>
  <w:footnote w:type="continuationNotice" w:id="1">
    <w:p w14:paraId="1FC73A0A" w14:textId="77777777" w:rsidR="00482CC1" w:rsidRDefault="0048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00473AC1" w14:paraId="1027336C" w14:textId="77777777" w:rsidTr="75E7E8C2">
      <w:tc>
        <w:tcPr>
          <w:tcW w:w="3118" w:type="dxa"/>
        </w:tcPr>
        <w:p w14:paraId="4C837DDD" w14:textId="79A8EEFC" w:rsidR="00473AC1" w:rsidRDefault="00473AC1" w:rsidP="75E7E8C2">
          <w:pPr>
            <w:pStyle w:val="lfej"/>
            <w:ind w:left="-115"/>
          </w:pPr>
        </w:p>
      </w:tc>
      <w:tc>
        <w:tcPr>
          <w:tcW w:w="3118" w:type="dxa"/>
        </w:tcPr>
        <w:p w14:paraId="215A5B55" w14:textId="4B5EFC16" w:rsidR="00473AC1" w:rsidRDefault="00473AC1" w:rsidP="75E7E8C2">
          <w:pPr>
            <w:pStyle w:val="lfej"/>
            <w:jc w:val="center"/>
          </w:pPr>
        </w:p>
      </w:tc>
      <w:tc>
        <w:tcPr>
          <w:tcW w:w="3118" w:type="dxa"/>
        </w:tcPr>
        <w:p w14:paraId="08CD3A76" w14:textId="283AC16D" w:rsidR="00473AC1" w:rsidRDefault="00473AC1" w:rsidP="75E7E8C2">
          <w:pPr>
            <w:pStyle w:val="lfej"/>
            <w:ind w:right="-115"/>
            <w:jc w:val="right"/>
          </w:pPr>
        </w:p>
      </w:tc>
    </w:tr>
  </w:tbl>
  <w:p w14:paraId="4176297E" w14:textId="7CD13837" w:rsidR="00473AC1" w:rsidRDefault="00473AC1" w:rsidP="75E7E8C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7D1" w14:textId="3D0DDD49" w:rsidR="00473AC1" w:rsidRDefault="00473AC1" w:rsidP="75E7E8C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6" w14:textId="77777777" w:rsidR="00473AC1" w:rsidRPr="00881044" w:rsidRDefault="00473AC1" w:rsidP="00C74E0F">
    <w:pPr>
      <w:pStyle w:val="lfej"/>
      <w:rPr>
        <w:rStyle w:val="Oldalszm"/>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7" w14:textId="77777777" w:rsidR="00473AC1" w:rsidRPr="00FE4DD1" w:rsidRDefault="00473AC1" w:rsidP="00C74E0F">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09518"/>
      <w:docPartObj>
        <w:docPartGallery w:val="Page Numbers (Top of Page)"/>
        <w:docPartUnique/>
      </w:docPartObj>
    </w:sdtPr>
    <w:sdtEndPr>
      <w:rPr>
        <w:noProof/>
      </w:rPr>
    </w:sdtEndPr>
    <w:sdtContent>
      <w:p w14:paraId="2CB15785" w14:textId="77777777" w:rsidR="00473AC1" w:rsidRDefault="00473AC1">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473AC1" w:rsidRDefault="00473AC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47603289">
    <w:abstractNumId w:val="3"/>
  </w:num>
  <w:num w:numId="2" w16cid:durableId="1171026080">
    <w:abstractNumId w:val="4"/>
  </w:num>
  <w:num w:numId="3" w16cid:durableId="1245341741">
    <w:abstractNumId w:val="0"/>
  </w:num>
  <w:num w:numId="4" w16cid:durableId="1549414595">
    <w:abstractNumId w:val="5"/>
  </w:num>
  <w:num w:numId="5" w16cid:durableId="993993450">
    <w:abstractNumId w:val="2"/>
  </w:num>
  <w:num w:numId="6" w16cid:durableId="89535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FE"/>
    <w:rsid w:val="00000517"/>
    <w:rsid w:val="0000169C"/>
    <w:rsid w:val="00001DDD"/>
    <w:rsid w:val="000044C3"/>
    <w:rsid w:val="00007D4A"/>
    <w:rsid w:val="000103E9"/>
    <w:rsid w:val="000118DE"/>
    <w:rsid w:val="00015558"/>
    <w:rsid w:val="00015945"/>
    <w:rsid w:val="00020D17"/>
    <w:rsid w:val="0002105A"/>
    <w:rsid w:val="00022205"/>
    <w:rsid w:val="00022974"/>
    <w:rsid w:val="00024158"/>
    <w:rsid w:val="0002586B"/>
    <w:rsid w:val="00025889"/>
    <w:rsid w:val="00026266"/>
    <w:rsid w:val="0002674A"/>
    <w:rsid w:val="000302F3"/>
    <w:rsid w:val="00031896"/>
    <w:rsid w:val="00031C82"/>
    <w:rsid w:val="00031C9D"/>
    <w:rsid w:val="000365DC"/>
    <w:rsid w:val="0003668B"/>
    <w:rsid w:val="0003701E"/>
    <w:rsid w:val="0004032B"/>
    <w:rsid w:val="000407DB"/>
    <w:rsid w:val="00043E49"/>
    <w:rsid w:val="00044042"/>
    <w:rsid w:val="000458BD"/>
    <w:rsid w:val="000471E4"/>
    <w:rsid w:val="000512BB"/>
    <w:rsid w:val="00051E9B"/>
    <w:rsid w:val="0005236D"/>
    <w:rsid w:val="00052502"/>
    <w:rsid w:val="0005250F"/>
    <w:rsid w:val="00052554"/>
    <w:rsid w:val="00052E4F"/>
    <w:rsid w:val="00054358"/>
    <w:rsid w:val="00054CDA"/>
    <w:rsid w:val="00055632"/>
    <w:rsid w:val="00057916"/>
    <w:rsid w:val="000611EC"/>
    <w:rsid w:val="000617B7"/>
    <w:rsid w:val="00064521"/>
    <w:rsid w:val="0006496D"/>
    <w:rsid w:val="00064D6A"/>
    <w:rsid w:val="00064E2A"/>
    <w:rsid w:val="00065E19"/>
    <w:rsid w:val="00067A57"/>
    <w:rsid w:val="00070EAC"/>
    <w:rsid w:val="00071FA3"/>
    <w:rsid w:val="00072A58"/>
    <w:rsid w:val="0007336F"/>
    <w:rsid w:val="0007525D"/>
    <w:rsid w:val="000770F3"/>
    <w:rsid w:val="00077440"/>
    <w:rsid w:val="0008062F"/>
    <w:rsid w:val="00081A0C"/>
    <w:rsid w:val="00081A16"/>
    <w:rsid w:val="00081FF0"/>
    <w:rsid w:val="00082ADE"/>
    <w:rsid w:val="000846A7"/>
    <w:rsid w:val="00085B09"/>
    <w:rsid w:val="00085C37"/>
    <w:rsid w:val="00085DCC"/>
    <w:rsid w:val="000874F4"/>
    <w:rsid w:val="00087C75"/>
    <w:rsid w:val="00091B18"/>
    <w:rsid w:val="00091F16"/>
    <w:rsid w:val="0009484D"/>
    <w:rsid w:val="00095983"/>
    <w:rsid w:val="00095C95"/>
    <w:rsid w:val="00096300"/>
    <w:rsid w:val="000A0A88"/>
    <w:rsid w:val="000A18F9"/>
    <w:rsid w:val="000A1F24"/>
    <w:rsid w:val="000A2818"/>
    <w:rsid w:val="000A296F"/>
    <w:rsid w:val="000A2EAB"/>
    <w:rsid w:val="000A4669"/>
    <w:rsid w:val="000A4839"/>
    <w:rsid w:val="000A531B"/>
    <w:rsid w:val="000A7964"/>
    <w:rsid w:val="000B1235"/>
    <w:rsid w:val="000B2569"/>
    <w:rsid w:val="000B49AE"/>
    <w:rsid w:val="000B58F0"/>
    <w:rsid w:val="000B6723"/>
    <w:rsid w:val="000B6BE0"/>
    <w:rsid w:val="000B7018"/>
    <w:rsid w:val="000C1105"/>
    <w:rsid w:val="000C13F2"/>
    <w:rsid w:val="000C1781"/>
    <w:rsid w:val="000C1B6F"/>
    <w:rsid w:val="000C20F7"/>
    <w:rsid w:val="000C2BFE"/>
    <w:rsid w:val="000C31E5"/>
    <w:rsid w:val="000C3D4C"/>
    <w:rsid w:val="000C46F3"/>
    <w:rsid w:val="000C7CC7"/>
    <w:rsid w:val="000D074C"/>
    <w:rsid w:val="000D1BA8"/>
    <w:rsid w:val="000D39EE"/>
    <w:rsid w:val="000D4A41"/>
    <w:rsid w:val="000D4E21"/>
    <w:rsid w:val="000D59E2"/>
    <w:rsid w:val="000D5A5C"/>
    <w:rsid w:val="000D6C88"/>
    <w:rsid w:val="000D76F4"/>
    <w:rsid w:val="000D7836"/>
    <w:rsid w:val="000D7C83"/>
    <w:rsid w:val="000D7EFD"/>
    <w:rsid w:val="000E3639"/>
    <w:rsid w:val="000E4202"/>
    <w:rsid w:val="000E4745"/>
    <w:rsid w:val="000E4B01"/>
    <w:rsid w:val="000E4F73"/>
    <w:rsid w:val="000E5868"/>
    <w:rsid w:val="000E690A"/>
    <w:rsid w:val="000E78FE"/>
    <w:rsid w:val="000F046E"/>
    <w:rsid w:val="000F13BA"/>
    <w:rsid w:val="000F63B6"/>
    <w:rsid w:val="000F765C"/>
    <w:rsid w:val="001023AC"/>
    <w:rsid w:val="00103FE9"/>
    <w:rsid w:val="00104A6A"/>
    <w:rsid w:val="001074A1"/>
    <w:rsid w:val="00110C6D"/>
    <w:rsid w:val="001135FA"/>
    <w:rsid w:val="001138B8"/>
    <w:rsid w:val="00115834"/>
    <w:rsid w:val="00115AF5"/>
    <w:rsid w:val="00117E64"/>
    <w:rsid w:val="001209E7"/>
    <w:rsid w:val="00120B53"/>
    <w:rsid w:val="001215DC"/>
    <w:rsid w:val="0012490F"/>
    <w:rsid w:val="00125040"/>
    <w:rsid w:val="001266D5"/>
    <w:rsid w:val="00126D53"/>
    <w:rsid w:val="00127579"/>
    <w:rsid w:val="00133EE6"/>
    <w:rsid w:val="0013421A"/>
    <w:rsid w:val="0013434A"/>
    <w:rsid w:val="00134BE6"/>
    <w:rsid w:val="00134EEA"/>
    <w:rsid w:val="0013596C"/>
    <w:rsid w:val="00135EA3"/>
    <w:rsid w:val="00136087"/>
    <w:rsid w:val="001366F9"/>
    <w:rsid w:val="001378AC"/>
    <w:rsid w:val="00142F01"/>
    <w:rsid w:val="00146517"/>
    <w:rsid w:val="00147C0E"/>
    <w:rsid w:val="00150CCD"/>
    <w:rsid w:val="0015256A"/>
    <w:rsid w:val="00153722"/>
    <w:rsid w:val="0015385C"/>
    <w:rsid w:val="00153C19"/>
    <w:rsid w:val="00155283"/>
    <w:rsid w:val="001552F0"/>
    <w:rsid w:val="00155301"/>
    <w:rsid w:val="00156079"/>
    <w:rsid w:val="001615DE"/>
    <w:rsid w:val="00161C4F"/>
    <w:rsid w:val="00162178"/>
    <w:rsid w:val="00167874"/>
    <w:rsid w:val="00170E23"/>
    <w:rsid w:val="00174A9A"/>
    <w:rsid w:val="001765F3"/>
    <w:rsid w:val="00180316"/>
    <w:rsid w:val="00180337"/>
    <w:rsid w:val="00182D6E"/>
    <w:rsid w:val="00183D4C"/>
    <w:rsid w:val="001849A2"/>
    <w:rsid w:val="00185268"/>
    <w:rsid w:val="001855C0"/>
    <w:rsid w:val="00186B09"/>
    <w:rsid w:val="00190E21"/>
    <w:rsid w:val="00193514"/>
    <w:rsid w:val="00193DF7"/>
    <w:rsid w:val="00194065"/>
    <w:rsid w:val="00194E8F"/>
    <w:rsid w:val="001967FC"/>
    <w:rsid w:val="001970FB"/>
    <w:rsid w:val="00197516"/>
    <w:rsid w:val="001A025E"/>
    <w:rsid w:val="001A2835"/>
    <w:rsid w:val="001A4175"/>
    <w:rsid w:val="001A4E5E"/>
    <w:rsid w:val="001A57FD"/>
    <w:rsid w:val="001A5B43"/>
    <w:rsid w:val="001A7E0B"/>
    <w:rsid w:val="001B0DB1"/>
    <w:rsid w:val="001B307C"/>
    <w:rsid w:val="001B389C"/>
    <w:rsid w:val="001B416B"/>
    <w:rsid w:val="001B4DF1"/>
    <w:rsid w:val="001B50D2"/>
    <w:rsid w:val="001B6F61"/>
    <w:rsid w:val="001C1935"/>
    <w:rsid w:val="001C456C"/>
    <w:rsid w:val="001D04A8"/>
    <w:rsid w:val="001D04FF"/>
    <w:rsid w:val="001D17F4"/>
    <w:rsid w:val="001D22D6"/>
    <w:rsid w:val="001D42E6"/>
    <w:rsid w:val="001D4975"/>
    <w:rsid w:val="001D49AD"/>
    <w:rsid w:val="001D6BA0"/>
    <w:rsid w:val="001D701F"/>
    <w:rsid w:val="001D709B"/>
    <w:rsid w:val="001D7FB5"/>
    <w:rsid w:val="001E0CF6"/>
    <w:rsid w:val="001E2D1E"/>
    <w:rsid w:val="001E4B4D"/>
    <w:rsid w:val="001E4C57"/>
    <w:rsid w:val="001E6717"/>
    <w:rsid w:val="001E6750"/>
    <w:rsid w:val="001E689B"/>
    <w:rsid w:val="001F10C2"/>
    <w:rsid w:val="001F14EB"/>
    <w:rsid w:val="001F4D95"/>
    <w:rsid w:val="001F7400"/>
    <w:rsid w:val="001F7BB0"/>
    <w:rsid w:val="001F7CA7"/>
    <w:rsid w:val="00201050"/>
    <w:rsid w:val="00201886"/>
    <w:rsid w:val="00202A40"/>
    <w:rsid w:val="0020367E"/>
    <w:rsid w:val="0020471C"/>
    <w:rsid w:val="00204EA6"/>
    <w:rsid w:val="0020759E"/>
    <w:rsid w:val="00210593"/>
    <w:rsid w:val="002107FF"/>
    <w:rsid w:val="00213E49"/>
    <w:rsid w:val="002147CD"/>
    <w:rsid w:val="00215B35"/>
    <w:rsid w:val="00215F73"/>
    <w:rsid w:val="00217D8B"/>
    <w:rsid w:val="0022104D"/>
    <w:rsid w:val="0022196A"/>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9BB"/>
    <w:rsid w:val="00241A82"/>
    <w:rsid w:val="00241E69"/>
    <w:rsid w:val="0024232D"/>
    <w:rsid w:val="0024586E"/>
    <w:rsid w:val="0025038B"/>
    <w:rsid w:val="0025229C"/>
    <w:rsid w:val="002564C4"/>
    <w:rsid w:val="00256C78"/>
    <w:rsid w:val="00257190"/>
    <w:rsid w:val="0026130A"/>
    <w:rsid w:val="00262041"/>
    <w:rsid w:val="0026208D"/>
    <w:rsid w:val="002655BB"/>
    <w:rsid w:val="00265E51"/>
    <w:rsid w:val="00266768"/>
    <w:rsid w:val="002678FB"/>
    <w:rsid w:val="00271066"/>
    <w:rsid w:val="00272765"/>
    <w:rsid w:val="00272CF0"/>
    <w:rsid w:val="002736E9"/>
    <w:rsid w:val="00275CF5"/>
    <w:rsid w:val="00280C09"/>
    <w:rsid w:val="00281CE8"/>
    <w:rsid w:val="00282A85"/>
    <w:rsid w:val="00290289"/>
    <w:rsid w:val="002910F0"/>
    <w:rsid w:val="0029176A"/>
    <w:rsid w:val="002921A1"/>
    <w:rsid w:val="0029251A"/>
    <w:rsid w:val="0029365F"/>
    <w:rsid w:val="00293965"/>
    <w:rsid w:val="00295391"/>
    <w:rsid w:val="002954AA"/>
    <w:rsid w:val="00295EBB"/>
    <w:rsid w:val="002975B9"/>
    <w:rsid w:val="002A11AD"/>
    <w:rsid w:val="002A1BCD"/>
    <w:rsid w:val="002A4B97"/>
    <w:rsid w:val="002B0545"/>
    <w:rsid w:val="002B09F4"/>
    <w:rsid w:val="002B2B83"/>
    <w:rsid w:val="002B39F8"/>
    <w:rsid w:val="002B492B"/>
    <w:rsid w:val="002B7BB9"/>
    <w:rsid w:val="002B7C36"/>
    <w:rsid w:val="002C1531"/>
    <w:rsid w:val="002C25D3"/>
    <w:rsid w:val="002C34B8"/>
    <w:rsid w:val="002C4EE9"/>
    <w:rsid w:val="002C5F14"/>
    <w:rsid w:val="002C688F"/>
    <w:rsid w:val="002C6917"/>
    <w:rsid w:val="002C6F14"/>
    <w:rsid w:val="002D04D3"/>
    <w:rsid w:val="002D0677"/>
    <w:rsid w:val="002D387C"/>
    <w:rsid w:val="002D4984"/>
    <w:rsid w:val="002D56EC"/>
    <w:rsid w:val="002D6802"/>
    <w:rsid w:val="002D7478"/>
    <w:rsid w:val="002D7D55"/>
    <w:rsid w:val="002E08A7"/>
    <w:rsid w:val="002E1C57"/>
    <w:rsid w:val="002E2022"/>
    <w:rsid w:val="002E31EF"/>
    <w:rsid w:val="002E401D"/>
    <w:rsid w:val="002E4CE9"/>
    <w:rsid w:val="002E4E83"/>
    <w:rsid w:val="002E502E"/>
    <w:rsid w:val="002E589F"/>
    <w:rsid w:val="002E5FBF"/>
    <w:rsid w:val="002E7744"/>
    <w:rsid w:val="002F0795"/>
    <w:rsid w:val="002F0E70"/>
    <w:rsid w:val="002F150D"/>
    <w:rsid w:val="002F2521"/>
    <w:rsid w:val="002F25C3"/>
    <w:rsid w:val="002F4854"/>
    <w:rsid w:val="002F4E3B"/>
    <w:rsid w:val="002F5E69"/>
    <w:rsid w:val="002F6126"/>
    <w:rsid w:val="002F6DDD"/>
    <w:rsid w:val="002F7F1A"/>
    <w:rsid w:val="0030136A"/>
    <w:rsid w:val="003016AA"/>
    <w:rsid w:val="003018B0"/>
    <w:rsid w:val="00303306"/>
    <w:rsid w:val="003050ED"/>
    <w:rsid w:val="00306C97"/>
    <w:rsid w:val="00306EFA"/>
    <w:rsid w:val="00307C4F"/>
    <w:rsid w:val="003100A2"/>
    <w:rsid w:val="003112A9"/>
    <w:rsid w:val="00311E85"/>
    <w:rsid w:val="00314245"/>
    <w:rsid w:val="0031479F"/>
    <w:rsid w:val="00315E40"/>
    <w:rsid w:val="00316788"/>
    <w:rsid w:val="003208C8"/>
    <w:rsid w:val="0032261D"/>
    <w:rsid w:val="00324B1E"/>
    <w:rsid w:val="0032514C"/>
    <w:rsid w:val="00326644"/>
    <w:rsid w:val="00327378"/>
    <w:rsid w:val="00327D30"/>
    <w:rsid w:val="003310E3"/>
    <w:rsid w:val="00331938"/>
    <w:rsid w:val="00331DCD"/>
    <w:rsid w:val="00333A2D"/>
    <w:rsid w:val="0033462C"/>
    <w:rsid w:val="00334DE1"/>
    <w:rsid w:val="00336B23"/>
    <w:rsid w:val="00336E30"/>
    <w:rsid w:val="0034134A"/>
    <w:rsid w:val="0034232F"/>
    <w:rsid w:val="00343A3D"/>
    <w:rsid w:val="00343F69"/>
    <w:rsid w:val="00345686"/>
    <w:rsid w:val="00346073"/>
    <w:rsid w:val="00346908"/>
    <w:rsid w:val="00347F4F"/>
    <w:rsid w:val="00350210"/>
    <w:rsid w:val="00350F76"/>
    <w:rsid w:val="003517A3"/>
    <w:rsid w:val="00351831"/>
    <w:rsid w:val="00351D59"/>
    <w:rsid w:val="003524B0"/>
    <w:rsid w:val="003526BB"/>
    <w:rsid w:val="003550F2"/>
    <w:rsid w:val="003558B8"/>
    <w:rsid w:val="003559D3"/>
    <w:rsid w:val="00356959"/>
    <w:rsid w:val="0035701C"/>
    <w:rsid w:val="00360024"/>
    <w:rsid w:val="00362276"/>
    <w:rsid w:val="003632EE"/>
    <w:rsid w:val="00364745"/>
    <w:rsid w:val="0036497A"/>
    <w:rsid w:val="00366359"/>
    <w:rsid w:val="00370B57"/>
    <w:rsid w:val="00370CD6"/>
    <w:rsid w:val="003754BF"/>
    <w:rsid w:val="00375C19"/>
    <w:rsid w:val="00377D59"/>
    <w:rsid w:val="003804A3"/>
    <w:rsid w:val="00380D8A"/>
    <w:rsid w:val="00381A54"/>
    <w:rsid w:val="003824FA"/>
    <w:rsid w:val="00382EE1"/>
    <w:rsid w:val="003847D8"/>
    <w:rsid w:val="00384AA3"/>
    <w:rsid w:val="003865FB"/>
    <w:rsid w:val="00387FF8"/>
    <w:rsid w:val="00390A19"/>
    <w:rsid w:val="00390D71"/>
    <w:rsid w:val="0039133A"/>
    <w:rsid w:val="003942C9"/>
    <w:rsid w:val="003943D5"/>
    <w:rsid w:val="00395832"/>
    <w:rsid w:val="00397C7F"/>
    <w:rsid w:val="003A0943"/>
    <w:rsid w:val="003A0BA1"/>
    <w:rsid w:val="003A2419"/>
    <w:rsid w:val="003A4B83"/>
    <w:rsid w:val="003A4D97"/>
    <w:rsid w:val="003A5C78"/>
    <w:rsid w:val="003A6B84"/>
    <w:rsid w:val="003A7E2F"/>
    <w:rsid w:val="003B04CA"/>
    <w:rsid w:val="003B2E1F"/>
    <w:rsid w:val="003B356C"/>
    <w:rsid w:val="003B53B6"/>
    <w:rsid w:val="003B55AB"/>
    <w:rsid w:val="003B5A9A"/>
    <w:rsid w:val="003C09EA"/>
    <w:rsid w:val="003C1306"/>
    <w:rsid w:val="003C13C6"/>
    <w:rsid w:val="003C1F7C"/>
    <w:rsid w:val="003C2D6B"/>
    <w:rsid w:val="003C391B"/>
    <w:rsid w:val="003C501E"/>
    <w:rsid w:val="003C57BB"/>
    <w:rsid w:val="003C6F64"/>
    <w:rsid w:val="003D0602"/>
    <w:rsid w:val="003D16B4"/>
    <w:rsid w:val="003D27F6"/>
    <w:rsid w:val="003D5132"/>
    <w:rsid w:val="003D61A8"/>
    <w:rsid w:val="003E2A67"/>
    <w:rsid w:val="003E46ED"/>
    <w:rsid w:val="003E4A11"/>
    <w:rsid w:val="003E4A41"/>
    <w:rsid w:val="003E508C"/>
    <w:rsid w:val="003E622C"/>
    <w:rsid w:val="003E7547"/>
    <w:rsid w:val="003F1571"/>
    <w:rsid w:val="003F18A4"/>
    <w:rsid w:val="003F267F"/>
    <w:rsid w:val="003F3149"/>
    <w:rsid w:val="003F3151"/>
    <w:rsid w:val="003F417E"/>
    <w:rsid w:val="00400149"/>
    <w:rsid w:val="004003D1"/>
    <w:rsid w:val="00401229"/>
    <w:rsid w:val="00401B4D"/>
    <w:rsid w:val="00403D7E"/>
    <w:rsid w:val="00404793"/>
    <w:rsid w:val="0040704D"/>
    <w:rsid w:val="00411AC0"/>
    <w:rsid w:val="00411BDD"/>
    <w:rsid w:val="00414CDD"/>
    <w:rsid w:val="004163D7"/>
    <w:rsid w:val="004206D8"/>
    <w:rsid w:val="00421775"/>
    <w:rsid w:val="004220DE"/>
    <w:rsid w:val="00422213"/>
    <w:rsid w:val="0042380D"/>
    <w:rsid w:val="004269CF"/>
    <w:rsid w:val="00427F34"/>
    <w:rsid w:val="00427FBF"/>
    <w:rsid w:val="0043012E"/>
    <w:rsid w:val="00430D26"/>
    <w:rsid w:val="00433577"/>
    <w:rsid w:val="0043393D"/>
    <w:rsid w:val="00436C3A"/>
    <w:rsid w:val="004412D5"/>
    <w:rsid w:val="0044233D"/>
    <w:rsid w:val="00442993"/>
    <w:rsid w:val="00444303"/>
    <w:rsid w:val="00444554"/>
    <w:rsid w:val="00444BD9"/>
    <w:rsid w:val="0044587B"/>
    <w:rsid w:val="00446026"/>
    <w:rsid w:val="004478CA"/>
    <w:rsid w:val="004523FE"/>
    <w:rsid w:val="00453786"/>
    <w:rsid w:val="00455A9C"/>
    <w:rsid w:val="004561EE"/>
    <w:rsid w:val="0045694E"/>
    <w:rsid w:val="00457124"/>
    <w:rsid w:val="00457711"/>
    <w:rsid w:val="00457918"/>
    <w:rsid w:val="00457950"/>
    <w:rsid w:val="004603AD"/>
    <w:rsid w:val="004605F2"/>
    <w:rsid w:val="00461216"/>
    <w:rsid w:val="00462EDD"/>
    <w:rsid w:val="00464B6D"/>
    <w:rsid w:val="00464D42"/>
    <w:rsid w:val="00465074"/>
    <w:rsid w:val="00466390"/>
    <w:rsid w:val="00466A47"/>
    <w:rsid w:val="00466C80"/>
    <w:rsid w:val="00467A58"/>
    <w:rsid w:val="00467BD6"/>
    <w:rsid w:val="00470868"/>
    <w:rsid w:val="004727C2"/>
    <w:rsid w:val="004730BE"/>
    <w:rsid w:val="00473AC1"/>
    <w:rsid w:val="00474AC8"/>
    <w:rsid w:val="00477B37"/>
    <w:rsid w:val="004816C1"/>
    <w:rsid w:val="00482908"/>
    <w:rsid w:val="00482CC1"/>
    <w:rsid w:val="0048361E"/>
    <w:rsid w:val="004837DC"/>
    <w:rsid w:val="0048484D"/>
    <w:rsid w:val="00485019"/>
    <w:rsid w:val="004854D3"/>
    <w:rsid w:val="00485E1E"/>
    <w:rsid w:val="004879B8"/>
    <w:rsid w:val="00490330"/>
    <w:rsid w:val="0049287F"/>
    <w:rsid w:val="00492CAB"/>
    <w:rsid w:val="00494B89"/>
    <w:rsid w:val="00494D4B"/>
    <w:rsid w:val="004951E8"/>
    <w:rsid w:val="004966FE"/>
    <w:rsid w:val="00496C75"/>
    <w:rsid w:val="00496EAA"/>
    <w:rsid w:val="004971F1"/>
    <w:rsid w:val="004A0A15"/>
    <w:rsid w:val="004A2974"/>
    <w:rsid w:val="004A3001"/>
    <w:rsid w:val="004A6DD1"/>
    <w:rsid w:val="004B0F31"/>
    <w:rsid w:val="004B1132"/>
    <w:rsid w:val="004B1AF1"/>
    <w:rsid w:val="004B2CAC"/>
    <w:rsid w:val="004B2DC3"/>
    <w:rsid w:val="004B30A3"/>
    <w:rsid w:val="004B3704"/>
    <w:rsid w:val="004B391E"/>
    <w:rsid w:val="004B60A5"/>
    <w:rsid w:val="004B7931"/>
    <w:rsid w:val="004C0575"/>
    <w:rsid w:val="004C0F47"/>
    <w:rsid w:val="004C1AE7"/>
    <w:rsid w:val="004C1B57"/>
    <w:rsid w:val="004C3A05"/>
    <w:rsid w:val="004C3E54"/>
    <w:rsid w:val="004C5206"/>
    <w:rsid w:val="004C5E84"/>
    <w:rsid w:val="004C64E7"/>
    <w:rsid w:val="004C73AF"/>
    <w:rsid w:val="004C74F8"/>
    <w:rsid w:val="004D06BA"/>
    <w:rsid w:val="004D0EEC"/>
    <w:rsid w:val="004D32C3"/>
    <w:rsid w:val="004D3C6E"/>
    <w:rsid w:val="004D50F6"/>
    <w:rsid w:val="004D5146"/>
    <w:rsid w:val="004D549E"/>
    <w:rsid w:val="004D72BB"/>
    <w:rsid w:val="004D7623"/>
    <w:rsid w:val="004E069E"/>
    <w:rsid w:val="004E12D4"/>
    <w:rsid w:val="004E13F6"/>
    <w:rsid w:val="004E141D"/>
    <w:rsid w:val="004E1FF6"/>
    <w:rsid w:val="004E504E"/>
    <w:rsid w:val="004E6FA2"/>
    <w:rsid w:val="004F2496"/>
    <w:rsid w:val="004F25F4"/>
    <w:rsid w:val="004F277F"/>
    <w:rsid w:val="004F3641"/>
    <w:rsid w:val="004F3AFD"/>
    <w:rsid w:val="004F3B57"/>
    <w:rsid w:val="004F3F73"/>
    <w:rsid w:val="004F41FE"/>
    <w:rsid w:val="004F4571"/>
    <w:rsid w:val="004F6040"/>
    <w:rsid w:val="004F63CD"/>
    <w:rsid w:val="00502998"/>
    <w:rsid w:val="00504F0B"/>
    <w:rsid w:val="0050611B"/>
    <w:rsid w:val="00507BC3"/>
    <w:rsid w:val="00510390"/>
    <w:rsid w:val="00510655"/>
    <w:rsid w:val="005106CA"/>
    <w:rsid w:val="00512F67"/>
    <w:rsid w:val="00515112"/>
    <w:rsid w:val="005171E0"/>
    <w:rsid w:val="005173AB"/>
    <w:rsid w:val="00520DE7"/>
    <w:rsid w:val="00521BEE"/>
    <w:rsid w:val="00523772"/>
    <w:rsid w:val="00523C26"/>
    <w:rsid w:val="005246B0"/>
    <w:rsid w:val="00526D67"/>
    <w:rsid w:val="005271DC"/>
    <w:rsid w:val="00527BF5"/>
    <w:rsid w:val="00530561"/>
    <w:rsid w:val="00530DB0"/>
    <w:rsid w:val="0053190B"/>
    <w:rsid w:val="00531A41"/>
    <w:rsid w:val="00533CAF"/>
    <w:rsid w:val="005349A5"/>
    <w:rsid w:val="00540FF8"/>
    <w:rsid w:val="00541866"/>
    <w:rsid w:val="00541988"/>
    <w:rsid w:val="00543F6A"/>
    <w:rsid w:val="00545562"/>
    <w:rsid w:val="00545BAB"/>
    <w:rsid w:val="0054669C"/>
    <w:rsid w:val="00546DC0"/>
    <w:rsid w:val="00547E18"/>
    <w:rsid w:val="0055132B"/>
    <w:rsid w:val="005518E4"/>
    <w:rsid w:val="005521BE"/>
    <w:rsid w:val="00553319"/>
    <w:rsid w:val="005535B5"/>
    <w:rsid w:val="00556984"/>
    <w:rsid w:val="0055711F"/>
    <w:rsid w:val="00557FA3"/>
    <w:rsid w:val="0056020F"/>
    <w:rsid w:val="00560E0A"/>
    <w:rsid w:val="0056202F"/>
    <w:rsid w:val="005635A9"/>
    <w:rsid w:val="005652EE"/>
    <w:rsid w:val="00565662"/>
    <w:rsid w:val="00567CCD"/>
    <w:rsid w:val="00570628"/>
    <w:rsid w:val="00572182"/>
    <w:rsid w:val="00577BC5"/>
    <w:rsid w:val="005824F1"/>
    <w:rsid w:val="00584382"/>
    <w:rsid w:val="00584DFC"/>
    <w:rsid w:val="00585F22"/>
    <w:rsid w:val="005865EE"/>
    <w:rsid w:val="00587EF6"/>
    <w:rsid w:val="00590630"/>
    <w:rsid w:val="00590E73"/>
    <w:rsid w:val="005916AF"/>
    <w:rsid w:val="00591D8B"/>
    <w:rsid w:val="00591E27"/>
    <w:rsid w:val="005920CB"/>
    <w:rsid w:val="0059272E"/>
    <w:rsid w:val="005933D0"/>
    <w:rsid w:val="00595277"/>
    <w:rsid w:val="005961B9"/>
    <w:rsid w:val="00597117"/>
    <w:rsid w:val="005971AF"/>
    <w:rsid w:val="00597EA7"/>
    <w:rsid w:val="005A0706"/>
    <w:rsid w:val="005A0AFC"/>
    <w:rsid w:val="005A1631"/>
    <w:rsid w:val="005A1E0F"/>
    <w:rsid w:val="005A246F"/>
    <w:rsid w:val="005A29CC"/>
    <w:rsid w:val="005A2FAA"/>
    <w:rsid w:val="005A684D"/>
    <w:rsid w:val="005A799B"/>
    <w:rsid w:val="005B053D"/>
    <w:rsid w:val="005B0833"/>
    <w:rsid w:val="005B2320"/>
    <w:rsid w:val="005B2606"/>
    <w:rsid w:val="005B326D"/>
    <w:rsid w:val="005B3CDC"/>
    <w:rsid w:val="005B3D58"/>
    <w:rsid w:val="005B4611"/>
    <w:rsid w:val="005B5A7D"/>
    <w:rsid w:val="005C0096"/>
    <w:rsid w:val="005C15F7"/>
    <w:rsid w:val="005C1AC5"/>
    <w:rsid w:val="005C32F3"/>
    <w:rsid w:val="005C34CA"/>
    <w:rsid w:val="005C3CF0"/>
    <w:rsid w:val="005C3E1F"/>
    <w:rsid w:val="005C3ECD"/>
    <w:rsid w:val="005C4E5A"/>
    <w:rsid w:val="005D02FC"/>
    <w:rsid w:val="005D119B"/>
    <w:rsid w:val="005D2900"/>
    <w:rsid w:val="005D3512"/>
    <w:rsid w:val="005D3B78"/>
    <w:rsid w:val="005D42A9"/>
    <w:rsid w:val="005D513C"/>
    <w:rsid w:val="005D5304"/>
    <w:rsid w:val="005E0C48"/>
    <w:rsid w:val="005E1651"/>
    <w:rsid w:val="005E31AC"/>
    <w:rsid w:val="005E34FD"/>
    <w:rsid w:val="005E45B0"/>
    <w:rsid w:val="005E58C2"/>
    <w:rsid w:val="005F0581"/>
    <w:rsid w:val="005F1EEB"/>
    <w:rsid w:val="005F252F"/>
    <w:rsid w:val="005F5EDA"/>
    <w:rsid w:val="005F608E"/>
    <w:rsid w:val="005F7D0D"/>
    <w:rsid w:val="00601C5A"/>
    <w:rsid w:val="00602E3C"/>
    <w:rsid w:val="00603461"/>
    <w:rsid w:val="006068B4"/>
    <w:rsid w:val="00607B0F"/>
    <w:rsid w:val="00607C87"/>
    <w:rsid w:val="006106CD"/>
    <w:rsid w:val="006116FE"/>
    <w:rsid w:val="00611B90"/>
    <w:rsid w:val="00614293"/>
    <w:rsid w:val="00614FF0"/>
    <w:rsid w:val="00616AB4"/>
    <w:rsid w:val="00617877"/>
    <w:rsid w:val="00617ED1"/>
    <w:rsid w:val="006200F6"/>
    <w:rsid w:val="00620CC0"/>
    <w:rsid w:val="00621840"/>
    <w:rsid w:val="006222FA"/>
    <w:rsid w:val="006224FC"/>
    <w:rsid w:val="00625A7C"/>
    <w:rsid w:val="006260BC"/>
    <w:rsid w:val="00626339"/>
    <w:rsid w:val="00626577"/>
    <w:rsid w:val="0063002E"/>
    <w:rsid w:val="006314BC"/>
    <w:rsid w:val="00631F76"/>
    <w:rsid w:val="006320E9"/>
    <w:rsid w:val="00632B6F"/>
    <w:rsid w:val="006330AD"/>
    <w:rsid w:val="00637245"/>
    <w:rsid w:val="0063782C"/>
    <w:rsid w:val="00637F9C"/>
    <w:rsid w:val="00640595"/>
    <w:rsid w:val="00641968"/>
    <w:rsid w:val="006449C9"/>
    <w:rsid w:val="006461FB"/>
    <w:rsid w:val="00650D65"/>
    <w:rsid w:val="00650D9E"/>
    <w:rsid w:val="006569D7"/>
    <w:rsid w:val="00656DFE"/>
    <w:rsid w:val="00656E38"/>
    <w:rsid w:val="00657D8D"/>
    <w:rsid w:val="00660576"/>
    <w:rsid w:val="0066185B"/>
    <w:rsid w:val="00667FF1"/>
    <w:rsid w:val="00670A50"/>
    <w:rsid w:val="0067190E"/>
    <w:rsid w:val="006737F6"/>
    <w:rsid w:val="00673E4A"/>
    <w:rsid w:val="00675784"/>
    <w:rsid w:val="006757CD"/>
    <w:rsid w:val="00676F5C"/>
    <w:rsid w:val="00677483"/>
    <w:rsid w:val="006777EF"/>
    <w:rsid w:val="006817A6"/>
    <w:rsid w:val="006818BE"/>
    <w:rsid w:val="0068195E"/>
    <w:rsid w:val="00681D20"/>
    <w:rsid w:val="00681D46"/>
    <w:rsid w:val="00681D62"/>
    <w:rsid w:val="00681ED2"/>
    <w:rsid w:val="006821C2"/>
    <w:rsid w:val="006829CF"/>
    <w:rsid w:val="00684395"/>
    <w:rsid w:val="006843D1"/>
    <w:rsid w:val="00684D06"/>
    <w:rsid w:val="00685DCD"/>
    <w:rsid w:val="0068706A"/>
    <w:rsid w:val="006879C8"/>
    <w:rsid w:val="0068D30D"/>
    <w:rsid w:val="006909E9"/>
    <w:rsid w:val="0069214F"/>
    <w:rsid w:val="006921DD"/>
    <w:rsid w:val="00692C42"/>
    <w:rsid w:val="0069385B"/>
    <w:rsid w:val="006949BB"/>
    <w:rsid w:val="00695394"/>
    <w:rsid w:val="0069615E"/>
    <w:rsid w:val="00696F46"/>
    <w:rsid w:val="006A0D78"/>
    <w:rsid w:val="006A18B3"/>
    <w:rsid w:val="006A36E4"/>
    <w:rsid w:val="006A38AE"/>
    <w:rsid w:val="006A486D"/>
    <w:rsid w:val="006A4AFD"/>
    <w:rsid w:val="006A624D"/>
    <w:rsid w:val="006A6F7F"/>
    <w:rsid w:val="006B0D06"/>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878"/>
    <w:rsid w:val="006C7960"/>
    <w:rsid w:val="006C7B4D"/>
    <w:rsid w:val="006D25BB"/>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3821"/>
    <w:rsid w:val="006E789B"/>
    <w:rsid w:val="006E7C4E"/>
    <w:rsid w:val="006F0DD1"/>
    <w:rsid w:val="006F1C22"/>
    <w:rsid w:val="006F2528"/>
    <w:rsid w:val="006F2D56"/>
    <w:rsid w:val="006F6524"/>
    <w:rsid w:val="006F7D2B"/>
    <w:rsid w:val="0070016B"/>
    <w:rsid w:val="007007A3"/>
    <w:rsid w:val="00700FD8"/>
    <w:rsid w:val="007046C5"/>
    <w:rsid w:val="0070715D"/>
    <w:rsid w:val="00710A26"/>
    <w:rsid w:val="00711792"/>
    <w:rsid w:val="00712EB6"/>
    <w:rsid w:val="00713E95"/>
    <w:rsid w:val="00714BC4"/>
    <w:rsid w:val="00715220"/>
    <w:rsid w:val="00715222"/>
    <w:rsid w:val="0071549A"/>
    <w:rsid w:val="007173BC"/>
    <w:rsid w:val="007176FE"/>
    <w:rsid w:val="0072076F"/>
    <w:rsid w:val="007211BE"/>
    <w:rsid w:val="00721D27"/>
    <w:rsid w:val="007225C9"/>
    <w:rsid w:val="007229B6"/>
    <w:rsid w:val="00723659"/>
    <w:rsid w:val="00725531"/>
    <w:rsid w:val="00726F02"/>
    <w:rsid w:val="00727AFB"/>
    <w:rsid w:val="00727FE7"/>
    <w:rsid w:val="007308FE"/>
    <w:rsid w:val="007310D9"/>
    <w:rsid w:val="00731A13"/>
    <w:rsid w:val="007342E3"/>
    <w:rsid w:val="00734D72"/>
    <w:rsid w:val="007359C7"/>
    <w:rsid w:val="00736977"/>
    <w:rsid w:val="0073772C"/>
    <w:rsid w:val="00741A5C"/>
    <w:rsid w:val="00742B4A"/>
    <w:rsid w:val="007449BF"/>
    <w:rsid w:val="00745FE6"/>
    <w:rsid w:val="0074788C"/>
    <w:rsid w:val="00751A9D"/>
    <w:rsid w:val="007535E7"/>
    <w:rsid w:val="00753A39"/>
    <w:rsid w:val="00755595"/>
    <w:rsid w:val="007557AF"/>
    <w:rsid w:val="00756037"/>
    <w:rsid w:val="00757FD8"/>
    <w:rsid w:val="007627B9"/>
    <w:rsid w:val="00762DDE"/>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3764"/>
    <w:rsid w:val="00783E66"/>
    <w:rsid w:val="007847A7"/>
    <w:rsid w:val="00785089"/>
    <w:rsid w:val="0078542D"/>
    <w:rsid w:val="00785DD9"/>
    <w:rsid w:val="0078755A"/>
    <w:rsid w:val="00787E89"/>
    <w:rsid w:val="00794A5E"/>
    <w:rsid w:val="0079570B"/>
    <w:rsid w:val="00796589"/>
    <w:rsid w:val="007A45B7"/>
    <w:rsid w:val="007A6AE5"/>
    <w:rsid w:val="007A6D89"/>
    <w:rsid w:val="007B0346"/>
    <w:rsid w:val="007B2A80"/>
    <w:rsid w:val="007B2B9E"/>
    <w:rsid w:val="007B2E0D"/>
    <w:rsid w:val="007B3563"/>
    <w:rsid w:val="007B6DF2"/>
    <w:rsid w:val="007B6E5B"/>
    <w:rsid w:val="007C2B68"/>
    <w:rsid w:val="007C6787"/>
    <w:rsid w:val="007C7FEB"/>
    <w:rsid w:val="007D0565"/>
    <w:rsid w:val="007D310A"/>
    <w:rsid w:val="007D7E03"/>
    <w:rsid w:val="007E123A"/>
    <w:rsid w:val="007E13DB"/>
    <w:rsid w:val="007E22F7"/>
    <w:rsid w:val="007E2E82"/>
    <w:rsid w:val="007E4009"/>
    <w:rsid w:val="007E43EC"/>
    <w:rsid w:val="007F08CB"/>
    <w:rsid w:val="007F131A"/>
    <w:rsid w:val="007F13C6"/>
    <w:rsid w:val="007F1E17"/>
    <w:rsid w:val="007F3648"/>
    <w:rsid w:val="007F3717"/>
    <w:rsid w:val="007F3D0C"/>
    <w:rsid w:val="007F45B4"/>
    <w:rsid w:val="007F5DD2"/>
    <w:rsid w:val="007F76C4"/>
    <w:rsid w:val="007F778F"/>
    <w:rsid w:val="00800328"/>
    <w:rsid w:val="00801AAF"/>
    <w:rsid w:val="00801B64"/>
    <w:rsid w:val="0080295F"/>
    <w:rsid w:val="00802964"/>
    <w:rsid w:val="00802AA9"/>
    <w:rsid w:val="00803666"/>
    <w:rsid w:val="0080387B"/>
    <w:rsid w:val="00803A01"/>
    <w:rsid w:val="0080426C"/>
    <w:rsid w:val="0080528F"/>
    <w:rsid w:val="0080731D"/>
    <w:rsid w:val="00812402"/>
    <w:rsid w:val="00812D11"/>
    <w:rsid w:val="00815AAA"/>
    <w:rsid w:val="00815E8F"/>
    <w:rsid w:val="008206F1"/>
    <w:rsid w:val="0082381D"/>
    <w:rsid w:val="008275C6"/>
    <w:rsid w:val="00827E74"/>
    <w:rsid w:val="008303AC"/>
    <w:rsid w:val="008317C5"/>
    <w:rsid w:val="00832955"/>
    <w:rsid w:val="008343F0"/>
    <w:rsid w:val="00835E74"/>
    <w:rsid w:val="00836208"/>
    <w:rsid w:val="0083681E"/>
    <w:rsid w:val="008408B4"/>
    <w:rsid w:val="00841ABD"/>
    <w:rsid w:val="0084253B"/>
    <w:rsid w:val="0084330A"/>
    <w:rsid w:val="00843640"/>
    <w:rsid w:val="00844879"/>
    <w:rsid w:val="008467BD"/>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28FD"/>
    <w:rsid w:val="00873644"/>
    <w:rsid w:val="00873BD8"/>
    <w:rsid w:val="00873F9F"/>
    <w:rsid w:val="00875487"/>
    <w:rsid w:val="00880C11"/>
    <w:rsid w:val="00880D1C"/>
    <w:rsid w:val="00884EDC"/>
    <w:rsid w:val="00885FCD"/>
    <w:rsid w:val="008877C7"/>
    <w:rsid w:val="00890C69"/>
    <w:rsid w:val="008916DB"/>
    <w:rsid w:val="0089371E"/>
    <w:rsid w:val="00893728"/>
    <w:rsid w:val="00897EAF"/>
    <w:rsid w:val="008A20E7"/>
    <w:rsid w:val="008A3B0D"/>
    <w:rsid w:val="008A3C12"/>
    <w:rsid w:val="008A4DB8"/>
    <w:rsid w:val="008A524B"/>
    <w:rsid w:val="008A66DB"/>
    <w:rsid w:val="008A6C91"/>
    <w:rsid w:val="008A7027"/>
    <w:rsid w:val="008A7D1D"/>
    <w:rsid w:val="008A7E51"/>
    <w:rsid w:val="008B047F"/>
    <w:rsid w:val="008B0614"/>
    <w:rsid w:val="008B14E9"/>
    <w:rsid w:val="008B2A36"/>
    <w:rsid w:val="008B4734"/>
    <w:rsid w:val="008B5D03"/>
    <w:rsid w:val="008B685D"/>
    <w:rsid w:val="008B75B5"/>
    <w:rsid w:val="008C06B6"/>
    <w:rsid w:val="008C22A1"/>
    <w:rsid w:val="008C2CFF"/>
    <w:rsid w:val="008C3359"/>
    <w:rsid w:val="008C355E"/>
    <w:rsid w:val="008C3E79"/>
    <w:rsid w:val="008D01C3"/>
    <w:rsid w:val="008D0B8A"/>
    <w:rsid w:val="008D17C3"/>
    <w:rsid w:val="008D1FFF"/>
    <w:rsid w:val="008D26F8"/>
    <w:rsid w:val="008D2842"/>
    <w:rsid w:val="008D2C21"/>
    <w:rsid w:val="008D3E76"/>
    <w:rsid w:val="008D41C5"/>
    <w:rsid w:val="008D6609"/>
    <w:rsid w:val="008E0260"/>
    <w:rsid w:val="008E0435"/>
    <w:rsid w:val="008E1BBA"/>
    <w:rsid w:val="008E2BC7"/>
    <w:rsid w:val="008E322E"/>
    <w:rsid w:val="008E5197"/>
    <w:rsid w:val="008E5513"/>
    <w:rsid w:val="008E5FE2"/>
    <w:rsid w:val="008E6833"/>
    <w:rsid w:val="008E6DF0"/>
    <w:rsid w:val="008E727C"/>
    <w:rsid w:val="008F0603"/>
    <w:rsid w:val="008F1384"/>
    <w:rsid w:val="008F2C57"/>
    <w:rsid w:val="008F4B41"/>
    <w:rsid w:val="008F511B"/>
    <w:rsid w:val="008F7D2C"/>
    <w:rsid w:val="009009EC"/>
    <w:rsid w:val="00901531"/>
    <w:rsid w:val="00902688"/>
    <w:rsid w:val="00903806"/>
    <w:rsid w:val="00904BD8"/>
    <w:rsid w:val="00906285"/>
    <w:rsid w:val="0090700E"/>
    <w:rsid w:val="00907735"/>
    <w:rsid w:val="00911ADC"/>
    <w:rsid w:val="00911D45"/>
    <w:rsid w:val="009120C5"/>
    <w:rsid w:val="00917632"/>
    <w:rsid w:val="00920F4D"/>
    <w:rsid w:val="009221A4"/>
    <w:rsid w:val="00922213"/>
    <w:rsid w:val="00924572"/>
    <w:rsid w:val="0092636F"/>
    <w:rsid w:val="009267C3"/>
    <w:rsid w:val="009278F9"/>
    <w:rsid w:val="00927CAB"/>
    <w:rsid w:val="00930092"/>
    <w:rsid w:val="0093390F"/>
    <w:rsid w:val="00933DA0"/>
    <w:rsid w:val="00935118"/>
    <w:rsid w:val="009353CC"/>
    <w:rsid w:val="00935683"/>
    <w:rsid w:val="00936F84"/>
    <w:rsid w:val="009422F9"/>
    <w:rsid w:val="009430F8"/>
    <w:rsid w:val="00943165"/>
    <w:rsid w:val="009440B1"/>
    <w:rsid w:val="00945147"/>
    <w:rsid w:val="009454E1"/>
    <w:rsid w:val="00945CE5"/>
    <w:rsid w:val="00945E04"/>
    <w:rsid w:val="00946E3A"/>
    <w:rsid w:val="00947C6B"/>
    <w:rsid w:val="00947DAB"/>
    <w:rsid w:val="0095149A"/>
    <w:rsid w:val="009521B4"/>
    <w:rsid w:val="0095423E"/>
    <w:rsid w:val="00955BAE"/>
    <w:rsid w:val="00960E81"/>
    <w:rsid w:val="009621AE"/>
    <w:rsid w:val="00964981"/>
    <w:rsid w:val="00964C0D"/>
    <w:rsid w:val="00964F0D"/>
    <w:rsid w:val="009657EE"/>
    <w:rsid w:val="009704FA"/>
    <w:rsid w:val="00970EE4"/>
    <w:rsid w:val="00971B20"/>
    <w:rsid w:val="0097271E"/>
    <w:rsid w:val="0097327C"/>
    <w:rsid w:val="0097329F"/>
    <w:rsid w:val="0097449A"/>
    <w:rsid w:val="009756D7"/>
    <w:rsid w:val="00975C2C"/>
    <w:rsid w:val="00976E1E"/>
    <w:rsid w:val="00980084"/>
    <w:rsid w:val="00987B39"/>
    <w:rsid w:val="00990E75"/>
    <w:rsid w:val="00991169"/>
    <w:rsid w:val="00991946"/>
    <w:rsid w:val="009926FC"/>
    <w:rsid w:val="00993967"/>
    <w:rsid w:val="009946F7"/>
    <w:rsid w:val="00995845"/>
    <w:rsid w:val="009969A9"/>
    <w:rsid w:val="00996A51"/>
    <w:rsid w:val="00996BA2"/>
    <w:rsid w:val="009A0101"/>
    <w:rsid w:val="009A1DD5"/>
    <w:rsid w:val="009A20F3"/>
    <w:rsid w:val="009A3D4A"/>
    <w:rsid w:val="009A65D0"/>
    <w:rsid w:val="009A7DCA"/>
    <w:rsid w:val="009A7F54"/>
    <w:rsid w:val="009B1108"/>
    <w:rsid w:val="009B15B4"/>
    <w:rsid w:val="009B5E5D"/>
    <w:rsid w:val="009B5E74"/>
    <w:rsid w:val="009B7BB9"/>
    <w:rsid w:val="009C33A4"/>
    <w:rsid w:val="009C40EA"/>
    <w:rsid w:val="009C49CC"/>
    <w:rsid w:val="009C73F5"/>
    <w:rsid w:val="009C7BDF"/>
    <w:rsid w:val="009D0583"/>
    <w:rsid w:val="009D0F61"/>
    <w:rsid w:val="009D353C"/>
    <w:rsid w:val="009D533D"/>
    <w:rsid w:val="009D55B4"/>
    <w:rsid w:val="009D64CC"/>
    <w:rsid w:val="009D7D92"/>
    <w:rsid w:val="009E34AE"/>
    <w:rsid w:val="009E3E8D"/>
    <w:rsid w:val="009E4399"/>
    <w:rsid w:val="009E49CA"/>
    <w:rsid w:val="009E60E7"/>
    <w:rsid w:val="009E65F5"/>
    <w:rsid w:val="009E6FFE"/>
    <w:rsid w:val="009F019D"/>
    <w:rsid w:val="009F0426"/>
    <w:rsid w:val="009F4052"/>
    <w:rsid w:val="009F66DB"/>
    <w:rsid w:val="009F7C5E"/>
    <w:rsid w:val="00A023F8"/>
    <w:rsid w:val="00A02DDD"/>
    <w:rsid w:val="00A0423B"/>
    <w:rsid w:val="00A0698F"/>
    <w:rsid w:val="00A07653"/>
    <w:rsid w:val="00A10571"/>
    <w:rsid w:val="00A1161C"/>
    <w:rsid w:val="00A12022"/>
    <w:rsid w:val="00A13316"/>
    <w:rsid w:val="00A136DD"/>
    <w:rsid w:val="00A14C8C"/>
    <w:rsid w:val="00A161A8"/>
    <w:rsid w:val="00A20692"/>
    <w:rsid w:val="00A24316"/>
    <w:rsid w:val="00A254CF"/>
    <w:rsid w:val="00A26E31"/>
    <w:rsid w:val="00A3167F"/>
    <w:rsid w:val="00A31F84"/>
    <w:rsid w:val="00A3350E"/>
    <w:rsid w:val="00A349BC"/>
    <w:rsid w:val="00A3501B"/>
    <w:rsid w:val="00A358EC"/>
    <w:rsid w:val="00A36579"/>
    <w:rsid w:val="00A36ED5"/>
    <w:rsid w:val="00A37B00"/>
    <w:rsid w:val="00A40C03"/>
    <w:rsid w:val="00A40F40"/>
    <w:rsid w:val="00A41272"/>
    <w:rsid w:val="00A43A0F"/>
    <w:rsid w:val="00A47DF6"/>
    <w:rsid w:val="00A5012D"/>
    <w:rsid w:val="00A50271"/>
    <w:rsid w:val="00A5085A"/>
    <w:rsid w:val="00A54466"/>
    <w:rsid w:val="00A54ACF"/>
    <w:rsid w:val="00A601F9"/>
    <w:rsid w:val="00A60BB8"/>
    <w:rsid w:val="00A61551"/>
    <w:rsid w:val="00A61DE1"/>
    <w:rsid w:val="00A62128"/>
    <w:rsid w:val="00A623E0"/>
    <w:rsid w:val="00A62991"/>
    <w:rsid w:val="00A62B93"/>
    <w:rsid w:val="00A6446F"/>
    <w:rsid w:val="00A64CED"/>
    <w:rsid w:val="00A650E2"/>
    <w:rsid w:val="00A66196"/>
    <w:rsid w:val="00A66651"/>
    <w:rsid w:val="00A67AF0"/>
    <w:rsid w:val="00A67F78"/>
    <w:rsid w:val="00A70976"/>
    <w:rsid w:val="00A71CD2"/>
    <w:rsid w:val="00A734E7"/>
    <w:rsid w:val="00A76FE3"/>
    <w:rsid w:val="00A80FCF"/>
    <w:rsid w:val="00A813D3"/>
    <w:rsid w:val="00A82B69"/>
    <w:rsid w:val="00A82F6B"/>
    <w:rsid w:val="00A8723E"/>
    <w:rsid w:val="00A8797E"/>
    <w:rsid w:val="00A90970"/>
    <w:rsid w:val="00A928FF"/>
    <w:rsid w:val="00A94005"/>
    <w:rsid w:val="00A9433D"/>
    <w:rsid w:val="00A95CB6"/>
    <w:rsid w:val="00A95D1D"/>
    <w:rsid w:val="00A966B1"/>
    <w:rsid w:val="00A96796"/>
    <w:rsid w:val="00A9789C"/>
    <w:rsid w:val="00AA038F"/>
    <w:rsid w:val="00AA1864"/>
    <w:rsid w:val="00AA21D3"/>
    <w:rsid w:val="00AA21F5"/>
    <w:rsid w:val="00AA2D82"/>
    <w:rsid w:val="00AA5008"/>
    <w:rsid w:val="00AA7C1B"/>
    <w:rsid w:val="00AB083F"/>
    <w:rsid w:val="00AB129C"/>
    <w:rsid w:val="00AB3613"/>
    <w:rsid w:val="00AB7A63"/>
    <w:rsid w:val="00AC0CBB"/>
    <w:rsid w:val="00AC2A80"/>
    <w:rsid w:val="00AC5231"/>
    <w:rsid w:val="00AC5E67"/>
    <w:rsid w:val="00AC64A0"/>
    <w:rsid w:val="00AD1243"/>
    <w:rsid w:val="00AD169C"/>
    <w:rsid w:val="00AD2450"/>
    <w:rsid w:val="00AD2E40"/>
    <w:rsid w:val="00AD65BE"/>
    <w:rsid w:val="00AD6A38"/>
    <w:rsid w:val="00AD72B4"/>
    <w:rsid w:val="00AD7AA1"/>
    <w:rsid w:val="00AE3104"/>
    <w:rsid w:val="00AE43AD"/>
    <w:rsid w:val="00AE43BB"/>
    <w:rsid w:val="00AE53A6"/>
    <w:rsid w:val="00AE6B64"/>
    <w:rsid w:val="00AE6BB5"/>
    <w:rsid w:val="00AE73DC"/>
    <w:rsid w:val="00AE7710"/>
    <w:rsid w:val="00AF2CE8"/>
    <w:rsid w:val="00AF704D"/>
    <w:rsid w:val="00AF70F9"/>
    <w:rsid w:val="00AF7CEE"/>
    <w:rsid w:val="00AF7F6F"/>
    <w:rsid w:val="00B00CC3"/>
    <w:rsid w:val="00B0265A"/>
    <w:rsid w:val="00B04A14"/>
    <w:rsid w:val="00B05053"/>
    <w:rsid w:val="00B056CC"/>
    <w:rsid w:val="00B058B6"/>
    <w:rsid w:val="00B075D7"/>
    <w:rsid w:val="00B13AB1"/>
    <w:rsid w:val="00B14AB5"/>
    <w:rsid w:val="00B14D9C"/>
    <w:rsid w:val="00B155FE"/>
    <w:rsid w:val="00B15A4C"/>
    <w:rsid w:val="00B15CA6"/>
    <w:rsid w:val="00B15F8D"/>
    <w:rsid w:val="00B17819"/>
    <w:rsid w:val="00B2202B"/>
    <w:rsid w:val="00B221B5"/>
    <w:rsid w:val="00B22BD9"/>
    <w:rsid w:val="00B2454C"/>
    <w:rsid w:val="00B2544B"/>
    <w:rsid w:val="00B32682"/>
    <w:rsid w:val="00B33638"/>
    <w:rsid w:val="00B33C05"/>
    <w:rsid w:val="00B34A94"/>
    <w:rsid w:val="00B35B95"/>
    <w:rsid w:val="00B36150"/>
    <w:rsid w:val="00B40D0E"/>
    <w:rsid w:val="00B41B58"/>
    <w:rsid w:val="00B43A9F"/>
    <w:rsid w:val="00B44127"/>
    <w:rsid w:val="00B46352"/>
    <w:rsid w:val="00B51261"/>
    <w:rsid w:val="00B54171"/>
    <w:rsid w:val="00B56CB1"/>
    <w:rsid w:val="00B60534"/>
    <w:rsid w:val="00B6124E"/>
    <w:rsid w:val="00B622E5"/>
    <w:rsid w:val="00B62D08"/>
    <w:rsid w:val="00B63DA3"/>
    <w:rsid w:val="00B63EBC"/>
    <w:rsid w:val="00B6763B"/>
    <w:rsid w:val="00B70AB8"/>
    <w:rsid w:val="00B70FE4"/>
    <w:rsid w:val="00B72569"/>
    <w:rsid w:val="00B72FDD"/>
    <w:rsid w:val="00B7456C"/>
    <w:rsid w:val="00B7458D"/>
    <w:rsid w:val="00B745F4"/>
    <w:rsid w:val="00B75545"/>
    <w:rsid w:val="00B762E2"/>
    <w:rsid w:val="00B771CD"/>
    <w:rsid w:val="00B8241D"/>
    <w:rsid w:val="00B83F74"/>
    <w:rsid w:val="00B843B9"/>
    <w:rsid w:val="00B8447F"/>
    <w:rsid w:val="00B84AD1"/>
    <w:rsid w:val="00B850B8"/>
    <w:rsid w:val="00B85AD1"/>
    <w:rsid w:val="00B91ABD"/>
    <w:rsid w:val="00B92DCF"/>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2A34"/>
    <w:rsid w:val="00BB4D90"/>
    <w:rsid w:val="00BB5D94"/>
    <w:rsid w:val="00BB75BE"/>
    <w:rsid w:val="00BB79F6"/>
    <w:rsid w:val="00BC03B1"/>
    <w:rsid w:val="00BC19CC"/>
    <w:rsid w:val="00BC2001"/>
    <w:rsid w:val="00BC24BF"/>
    <w:rsid w:val="00BC4B9F"/>
    <w:rsid w:val="00BC6D2B"/>
    <w:rsid w:val="00BC74C4"/>
    <w:rsid w:val="00BD2A9C"/>
    <w:rsid w:val="00BD2E25"/>
    <w:rsid w:val="00BD37C8"/>
    <w:rsid w:val="00BD3CEA"/>
    <w:rsid w:val="00BD4776"/>
    <w:rsid w:val="00BD63FF"/>
    <w:rsid w:val="00BD6602"/>
    <w:rsid w:val="00BD6AF3"/>
    <w:rsid w:val="00BD7229"/>
    <w:rsid w:val="00BD7C49"/>
    <w:rsid w:val="00BD7F31"/>
    <w:rsid w:val="00BE00CC"/>
    <w:rsid w:val="00BE055D"/>
    <w:rsid w:val="00BE0A4E"/>
    <w:rsid w:val="00BE0DA4"/>
    <w:rsid w:val="00BE0F9D"/>
    <w:rsid w:val="00BE2602"/>
    <w:rsid w:val="00BE354F"/>
    <w:rsid w:val="00BE3FC6"/>
    <w:rsid w:val="00BE4BAC"/>
    <w:rsid w:val="00BE530F"/>
    <w:rsid w:val="00BE5712"/>
    <w:rsid w:val="00BE7750"/>
    <w:rsid w:val="00BE7819"/>
    <w:rsid w:val="00BF007B"/>
    <w:rsid w:val="00BF099A"/>
    <w:rsid w:val="00BF4035"/>
    <w:rsid w:val="00BF48C3"/>
    <w:rsid w:val="00BF5E09"/>
    <w:rsid w:val="00BF7707"/>
    <w:rsid w:val="00C00710"/>
    <w:rsid w:val="00C012D1"/>
    <w:rsid w:val="00C01545"/>
    <w:rsid w:val="00C0256F"/>
    <w:rsid w:val="00C02772"/>
    <w:rsid w:val="00C03376"/>
    <w:rsid w:val="00C03BE7"/>
    <w:rsid w:val="00C063C3"/>
    <w:rsid w:val="00C10ED3"/>
    <w:rsid w:val="00C1143E"/>
    <w:rsid w:val="00C11940"/>
    <w:rsid w:val="00C12BFF"/>
    <w:rsid w:val="00C13291"/>
    <w:rsid w:val="00C13FAE"/>
    <w:rsid w:val="00C16149"/>
    <w:rsid w:val="00C178E3"/>
    <w:rsid w:val="00C21016"/>
    <w:rsid w:val="00C21761"/>
    <w:rsid w:val="00C2238F"/>
    <w:rsid w:val="00C224F5"/>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4762E"/>
    <w:rsid w:val="00C50404"/>
    <w:rsid w:val="00C5054A"/>
    <w:rsid w:val="00C52FED"/>
    <w:rsid w:val="00C5351F"/>
    <w:rsid w:val="00C53734"/>
    <w:rsid w:val="00C539FB"/>
    <w:rsid w:val="00C53C2A"/>
    <w:rsid w:val="00C561BC"/>
    <w:rsid w:val="00C566FB"/>
    <w:rsid w:val="00C56FEF"/>
    <w:rsid w:val="00C56FF4"/>
    <w:rsid w:val="00C61227"/>
    <w:rsid w:val="00C6157D"/>
    <w:rsid w:val="00C61D07"/>
    <w:rsid w:val="00C62668"/>
    <w:rsid w:val="00C63C88"/>
    <w:rsid w:val="00C64C54"/>
    <w:rsid w:val="00C65238"/>
    <w:rsid w:val="00C70F04"/>
    <w:rsid w:val="00C72068"/>
    <w:rsid w:val="00C74E0F"/>
    <w:rsid w:val="00C75D5A"/>
    <w:rsid w:val="00C75E27"/>
    <w:rsid w:val="00C7666C"/>
    <w:rsid w:val="00C768D3"/>
    <w:rsid w:val="00C770F2"/>
    <w:rsid w:val="00C7762C"/>
    <w:rsid w:val="00C776A0"/>
    <w:rsid w:val="00C8266F"/>
    <w:rsid w:val="00C83548"/>
    <w:rsid w:val="00C86437"/>
    <w:rsid w:val="00C86618"/>
    <w:rsid w:val="00C86EA4"/>
    <w:rsid w:val="00C87225"/>
    <w:rsid w:val="00C872F4"/>
    <w:rsid w:val="00C87909"/>
    <w:rsid w:val="00C91648"/>
    <w:rsid w:val="00C9408B"/>
    <w:rsid w:val="00C950DD"/>
    <w:rsid w:val="00C95900"/>
    <w:rsid w:val="00C97321"/>
    <w:rsid w:val="00CA0692"/>
    <w:rsid w:val="00CA0CEB"/>
    <w:rsid w:val="00CA1438"/>
    <w:rsid w:val="00CA1C2C"/>
    <w:rsid w:val="00CA3468"/>
    <w:rsid w:val="00CA629D"/>
    <w:rsid w:val="00CA6D70"/>
    <w:rsid w:val="00CA7B88"/>
    <w:rsid w:val="00CB01DA"/>
    <w:rsid w:val="00CB07DE"/>
    <w:rsid w:val="00CB09E7"/>
    <w:rsid w:val="00CB1A82"/>
    <w:rsid w:val="00CB3696"/>
    <w:rsid w:val="00CB4082"/>
    <w:rsid w:val="00CB459B"/>
    <w:rsid w:val="00CB571B"/>
    <w:rsid w:val="00CB6C6E"/>
    <w:rsid w:val="00CB6F27"/>
    <w:rsid w:val="00CB7E48"/>
    <w:rsid w:val="00CB7FE1"/>
    <w:rsid w:val="00CC075B"/>
    <w:rsid w:val="00CC0866"/>
    <w:rsid w:val="00CC0CAD"/>
    <w:rsid w:val="00CC18D6"/>
    <w:rsid w:val="00CC24D0"/>
    <w:rsid w:val="00CC4689"/>
    <w:rsid w:val="00CC54EB"/>
    <w:rsid w:val="00CC703F"/>
    <w:rsid w:val="00CC706B"/>
    <w:rsid w:val="00CC73DD"/>
    <w:rsid w:val="00CC7777"/>
    <w:rsid w:val="00CD0671"/>
    <w:rsid w:val="00CD06BE"/>
    <w:rsid w:val="00CD0F03"/>
    <w:rsid w:val="00CD1AC2"/>
    <w:rsid w:val="00CD1AD4"/>
    <w:rsid w:val="00CD1BD7"/>
    <w:rsid w:val="00CD1DE1"/>
    <w:rsid w:val="00CD2095"/>
    <w:rsid w:val="00CD45B0"/>
    <w:rsid w:val="00CE01FC"/>
    <w:rsid w:val="00CE0F40"/>
    <w:rsid w:val="00CE1608"/>
    <w:rsid w:val="00CE4C8C"/>
    <w:rsid w:val="00CE5744"/>
    <w:rsid w:val="00CE7F07"/>
    <w:rsid w:val="00CF0DB6"/>
    <w:rsid w:val="00CF15E7"/>
    <w:rsid w:val="00CF1732"/>
    <w:rsid w:val="00CF533D"/>
    <w:rsid w:val="00CF551C"/>
    <w:rsid w:val="00CF5F2A"/>
    <w:rsid w:val="00CF667E"/>
    <w:rsid w:val="00CF75FB"/>
    <w:rsid w:val="00CF7986"/>
    <w:rsid w:val="00D008E3"/>
    <w:rsid w:val="00D0533C"/>
    <w:rsid w:val="00D06976"/>
    <w:rsid w:val="00D07BD8"/>
    <w:rsid w:val="00D07EA5"/>
    <w:rsid w:val="00D10EA2"/>
    <w:rsid w:val="00D11009"/>
    <w:rsid w:val="00D12DA6"/>
    <w:rsid w:val="00D14F38"/>
    <w:rsid w:val="00D1616F"/>
    <w:rsid w:val="00D16D89"/>
    <w:rsid w:val="00D21BAC"/>
    <w:rsid w:val="00D226F1"/>
    <w:rsid w:val="00D22ED2"/>
    <w:rsid w:val="00D23D8F"/>
    <w:rsid w:val="00D23FED"/>
    <w:rsid w:val="00D258D9"/>
    <w:rsid w:val="00D3076A"/>
    <w:rsid w:val="00D30DEE"/>
    <w:rsid w:val="00D31737"/>
    <w:rsid w:val="00D33705"/>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69CA"/>
    <w:rsid w:val="00D57B63"/>
    <w:rsid w:val="00D6008D"/>
    <w:rsid w:val="00D6274C"/>
    <w:rsid w:val="00D63A8A"/>
    <w:rsid w:val="00D65C55"/>
    <w:rsid w:val="00D661F0"/>
    <w:rsid w:val="00D6691A"/>
    <w:rsid w:val="00D7202A"/>
    <w:rsid w:val="00D72777"/>
    <w:rsid w:val="00D7299C"/>
    <w:rsid w:val="00D73002"/>
    <w:rsid w:val="00D7302C"/>
    <w:rsid w:val="00D76BD4"/>
    <w:rsid w:val="00D77DDB"/>
    <w:rsid w:val="00D8222A"/>
    <w:rsid w:val="00D843D9"/>
    <w:rsid w:val="00D84846"/>
    <w:rsid w:val="00D86367"/>
    <w:rsid w:val="00D86A94"/>
    <w:rsid w:val="00D870CF"/>
    <w:rsid w:val="00D90B5A"/>
    <w:rsid w:val="00D916FA"/>
    <w:rsid w:val="00D91A99"/>
    <w:rsid w:val="00D92214"/>
    <w:rsid w:val="00D92384"/>
    <w:rsid w:val="00D925F7"/>
    <w:rsid w:val="00D9414C"/>
    <w:rsid w:val="00D96195"/>
    <w:rsid w:val="00D968BE"/>
    <w:rsid w:val="00DA143F"/>
    <w:rsid w:val="00DA15B5"/>
    <w:rsid w:val="00DA1682"/>
    <w:rsid w:val="00DA30F4"/>
    <w:rsid w:val="00DA363F"/>
    <w:rsid w:val="00DA4434"/>
    <w:rsid w:val="00DA488F"/>
    <w:rsid w:val="00DA4FBC"/>
    <w:rsid w:val="00DA541C"/>
    <w:rsid w:val="00DA547D"/>
    <w:rsid w:val="00DA6CEE"/>
    <w:rsid w:val="00DA72D2"/>
    <w:rsid w:val="00DB02A9"/>
    <w:rsid w:val="00DB07FB"/>
    <w:rsid w:val="00DB12ED"/>
    <w:rsid w:val="00DB1326"/>
    <w:rsid w:val="00DB2547"/>
    <w:rsid w:val="00DB3DD8"/>
    <w:rsid w:val="00DB6953"/>
    <w:rsid w:val="00DB7DE0"/>
    <w:rsid w:val="00DC0B89"/>
    <w:rsid w:val="00DC15E6"/>
    <w:rsid w:val="00DC1F02"/>
    <w:rsid w:val="00DC22D9"/>
    <w:rsid w:val="00DC31DE"/>
    <w:rsid w:val="00DC46C9"/>
    <w:rsid w:val="00DC4E7F"/>
    <w:rsid w:val="00DD0EAE"/>
    <w:rsid w:val="00DD1BB1"/>
    <w:rsid w:val="00DD1EE7"/>
    <w:rsid w:val="00DD25C1"/>
    <w:rsid w:val="00DD30E6"/>
    <w:rsid w:val="00DD3916"/>
    <w:rsid w:val="00DD7C34"/>
    <w:rsid w:val="00DD7FD1"/>
    <w:rsid w:val="00DE084E"/>
    <w:rsid w:val="00DE1B2C"/>
    <w:rsid w:val="00DE4C96"/>
    <w:rsid w:val="00DE7A5C"/>
    <w:rsid w:val="00DE7C03"/>
    <w:rsid w:val="00DF1268"/>
    <w:rsid w:val="00DF1E55"/>
    <w:rsid w:val="00DF5E25"/>
    <w:rsid w:val="00DF63FB"/>
    <w:rsid w:val="00DF7F4C"/>
    <w:rsid w:val="00E012DF"/>
    <w:rsid w:val="00E02497"/>
    <w:rsid w:val="00E02EEE"/>
    <w:rsid w:val="00E0335A"/>
    <w:rsid w:val="00E039B7"/>
    <w:rsid w:val="00E03AA3"/>
    <w:rsid w:val="00E049D4"/>
    <w:rsid w:val="00E04BAA"/>
    <w:rsid w:val="00E055C2"/>
    <w:rsid w:val="00E07128"/>
    <w:rsid w:val="00E12802"/>
    <w:rsid w:val="00E13207"/>
    <w:rsid w:val="00E14619"/>
    <w:rsid w:val="00E1527D"/>
    <w:rsid w:val="00E16566"/>
    <w:rsid w:val="00E167FF"/>
    <w:rsid w:val="00E2147C"/>
    <w:rsid w:val="00E23C29"/>
    <w:rsid w:val="00E23EA4"/>
    <w:rsid w:val="00E23FFC"/>
    <w:rsid w:val="00E26F1E"/>
    <w:rsid w:val="00E27C2A"/>
    <w:rsid w:val="00E3367D"/>
    <w:rsid w:val="00E36984"/>
    <w:rsid w:val="00E373AC"/>
    <w:rsid w:val="00E37F8C"/>
    <w:rsid w:val="00E4062F"/>
    <w:rsid w:val="00E4131E"/>
    <w:rsid w:val="00E41BFB"/>
    <w:rsid w:val="00E42061"/>
    <w:rsid w:val="00E424F3"/>
    <w:rsid w:val="00E4406D"/>
    <w:rsid w:val="00E440AB"/>
    <w:rsid w:val="00E449FD"/>
    <w:rsid w:val="00E46055"/>
    <w:rsid w:val="00E46CB1"/>
    <w:rsid w:val="00E501C9"/>
    <w:rsid w:val="00E5484A"/>
    <w:rsid w:val="00E55CD7"/>
    <w:rsid w:val="00E561AD"/>
    <w:rsid w:val="00E56767"/>
    <w:rsid w:val="00E601EF"/>
    <w:rsid w:val="00E60670"/>
    <w:rsid w:val="00E60EB9"/>
    <w:rsid w:val="00E61389"/>
    <w:rsid w:val="00E632CB"/>
    <w:rsid w:val="00E63B72"/>
    <w:rsid w:val="00E63B79"/>
    <w:rsid w:val="00E67620"/>
    <w:rsid w:val="00E71F61"/>
    <w:rsid w:val="00E72811"/>
    <w:rsid w:val="00E72CB2"/>
    <w:rsid w:val="00E73AD4"/>
    <w:rsid w:val="00E81967"/>
    <w:rsid w:val="00E82306"/>
    <w:rsid w:val="00E823A7"/>
    <w:rsid w:val="00E83065"/>
    <w:rsid w:val="00E832D7"/>
    <w:rsid w:val="00E83D72"/>
    <w:rsid w:val="00E8589D"/>
    <w:rsid w:val="00E86D49"/>
    <w:rsid w:val="00E8721F"/>
    <w:rsid w:val="00E92BE7"/>
    <w:rsid w:val="00E942CF"/>
    <w:rsid w:val="00E943EC"/>
    <w:rsid w:val="00E94D1D"/>
    <w:rsid w:val="00E97147"/>
    <w:rsid w:val="00E97430"/>
    <w:rsid w:val="00E978B6"/>
    <w:rsid w:val="00E97B76"/>
    <w:rsid w:val="00EA0D4A"/>
    <w:rsid w:val="00EA0EF7"/>
    <w:rsid w:val="00EA1037"/>
    <w:rsid w:val="00EA1F58"/>
    <w:rsid w:val="00EA29C4"/>
    <w:rsid w:val="00EA2D3A"/>
    <w:rsid w:val="00EA2DF8"/>
    <w:rsid w:val="00EA375F"/>
    <w:rsid w:val="00EA435E"/>
    <w:rsid w:val="00EA5289"/>
    <w:rsid w:val="00EA5C30"/>
    <w:rsid w:val="00EA626E"/>
    <w:rsid w:val="00EB26A0"/>
    <w:rsid w:val="00EB382B"/>
    <w:rsid w:val="00EB5F9F"/>
    <w:rsid w:val="00EC00A2"/>
    <w:rsid w:val="00EC0376"/>
    <w:rsid w:val="00EC0C4A"/>
    <w:rsid w:val="00EC2203"/>
    <w:rsid w:val="00EC3394"/>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DAE"/>
    <w:rsid w:val="00EE1E12"/>
    <w:rsid w:val="00EE2213"/>
    <w:rsid w:val="00EE34BB"/>
    <w:rsid w:val="00EE3EB9"/>
    <w:rsid w:val="00EE444B"/>
    <w:rsid w:val="00EE5EA4"/>
    <w:rsid w:val="00EF002E"/>
    <w:rsid w:val="00EF14BD"/>
    <w:rsid w:val="00EF1F5B"/>
    <w:rsid w:val="00EF22AA"/>
    <w:rsid w:val="00EF31E7"/>
    <w:rsid w:val="00EF4EF8"/>
    <w:rsid w:val="00EF5F48"/>
    <w:rsid w:val="00EF6820"/>
    <w:rsid w:val="00EF717B"/>
    <w:rsid w:val="00F01437"/>
    <w:rsid w:val="00F01A63"/>
    <w:rsid w:val="00F01C3C"/>
    <w:rsid w:val="00F05220"/>
    <w:rsid w:val="00F05815"/>
    <w:rsid w:val="00F06549"/>
    <w:rsid w:val="00F1118B"/>
    <w:rsid w:val="00F11762"/>
    <w:rsid w:val="00F153EF"/>
    <w:rsid w:val="00F22077"/>
    <w:rsid w:val="00F224A0"/>
    <w:rsid w:val="00F22614"/>
    <w:rsid w:val="00F249DA"/>
    <w:rsid w:val="00F26244"/>
    <w:rsid w:val="00F26645"/>
    <w:rsid w:val="00F314E1"/>
    <w:rsid w:val="00F33AE7"/>
    <w:rsid w:val="00F34521"/>
    <w:rsid w:val="00F3505B"/>
    <w:rsid w:val="00F35767"/>
    <w:rsid w:val="00F357B2"/>
    <w:rsid w:val="00F3632E"/>
    <w:rsid w:val="00F37865"/>
    <w:rsid w:val="00F37E95"/>
    <w:rsid w:val="00F40920"/>
    <w:rsid w:val="00F40BBC"/>
    <w:rsid w:val="00F4169D"/>
    <w:rsid w:val="00F47184"/>
    <w:rsid w:val="00F50CFA"/>
    <w:rsid w:val="00F53DB5"/>
    <w:rsid w:val="00F56068"/>
    <w:rsid w:val="00F57CC6"/>
    <w:rsid w:val="00F6044E"/>
    <w:rsid w:val="00F62EC5"/>
    <w:rsid w:val="00F632DF"/>
    <w:rsid w:val="00F6478D"/>
    <w:rsid w:val="00F71CAC"/>
    <w:rsid w:val="00F71FDE"/>
    <w:rsid w:val="00F72867"/>
    <w:rsid w:val="00F73CB9"/>
    <w:rsid w:val="00F7556A"/>
    <w:rsid w:val="00F75868"/>
    <w:rsid w:val="00F76EE9"/>
    <w:rsid w:val="00F805AE"/>
    <w:rsid w:val="00F8132B"/>
    <w:rsid w:val="00F90893"/>
    <w:rsid w:val="00F92C4C"/>
    <w:rsid w:val="00F93A93"/>
    <w:rsid w:val="00F9424C"/>
    <w:rsid w:val="00F946AB"/>
    <w:rsid w:val="00F95FB2"/>
    <w:rsid w:val="00F97910"/>
    <w:rsid w:val="00FA054E"/>
    <w:rsid w:val="00FA0C97"/>
    <w:rsid w:val="00FA31A9"/>
    <w:rsid w:val="00FA3BFF"/>
    <w:rsid w:val="00FA4634"/>
    <w:rsid w:val="00FA4EE4"/>
    <w:rsid w:val="00FA5AA9"/>
    <w:rsid w:val="00FA7FDB"/>
    <w:rsid w:val="00FB114C"/>
    <w:rsid w:val="00FB1921"/>
    <w:rsid w:val="00FB23DF"/>
    <w:rsid w:val="00FB287A"/>
    <w:rsid w:val="00FB28BD"/>
    <w:rsid w:val="00FB35A4"/>
    <w:rsid w:val="00FB59DC"/>
    <w:rsid w:val="00FB7355"/>
    <w:rsid w:val="00FC0D58"/>
    <w:rsid w:val="00FC114E"/>
    <w:rsid w:val="00FC2081"/>
    <w:rsid w:val="00FC4076"/>
    <w:rsid w:val="00FC49F4"/>
    <w:rsid w:val="00FC4CD2"/>
    <w:rsid w:val="00FC4CF0"/>
    <w:rsid w:val="00FC4EDF"/>
    <w:rsid w:val="00FC4F7E"/>
    <w:rsid w:val="00FC6530"/>
    <w:rsid w:val="00FC73A6"/>
    <w:rsid w:val="00FC7D15"/>
    <w:rsid w:val="00FC7DF0"/>
    <w:rsid w:val="00FD0226"/>
    <w:rsid w:val="00FD3C21"/>
    <w:rsid w:val="00FD3F05"/>
    <w:rsid w:val="00FD46EE"/>
    <w:rsid w:val="00FD65B4"/>
    <w:rsid w:val="00FD7247"/>
    <w:rsid w:val="00FE0ACB"/>
    <w:rsid w:val="00FE0CFB"/>
    <w:rsid w:val="00FE12D5"/>
    <w:rsid w:val="00FE2CD2"/>
    <w:rsid w:val="00FE30F2"/>
    <w:rsid w:val="00FE32C3"/>
    <w:rsid w:val="00FE5F63"/>
    <w:rsid w:val="00FE6C0F"/>
    <w:rsid w:val="00FE7686"/>
    <w:rsid w:val="00FF0720"/>
    <w:rsid w:val="00FF13AD"/>
    <w:rsid w:val="00FF17E5"/>
    <w:rsid w:val="00FF30FF"/>
    <w:rsid w:val="00FF3A69"/>
    <w:rsid w:val="00FF50AB"/>
    <w:rsid w:val="00FF603C"/>
    <w:rsid w:val="00FF6CB2"/>
    <w:rsid w:val="010C1112"/>
    <w:rsid w:val="029C2633"/>
    <w:rsid w:val="03532116"/>
    <w:rsid w:val="03E3A3E9"/>
    <w:rsid w:val="03F51677"/>
    <w:rsid w:val="03F69F1A"/>
    <w:rsid w:val="05919A2D"/>
    <w:rsid w:val="05E9152B"/>
    <w:rsid w:val="06379433"/>
    <w:rsid w:val="063D6843"/>
    <w:rsid w:val="066432AC"/>
    <w:rsid w:val="069B7ADC"/>
    <w:rsid w:val="06BE6BE2"/>
    <w:rsid w:val="06FE8B66"/>
    <w:rsid w:val="0739E6C6"/>
    <w:rsid w:val="0763136A"/>
    <w:rsid w:val="07A6191C"/>
    <w:rsid w:val="07ABBEBB"/>
    <w:rsid w:val="07BA705A"/>
    <w:rsid w:val="0907052C"/>
    <w:rsid w:val="098051AA"/>
    <w:rsid w:val="0A24B9C4"/>
    <w:rsid w:val="0A613950"/>
    <w:rsid w:val="0A700B55"/>
    <w:rsid w:val="0B0022D9"/>
    <w:rsid w:val="0B48D58A"/>
    <w:rsid w:val="0C5E71B7"/>
    <w:rsid w:val="0C689E27"/>
    <w:rsid w:val="0C6C4946"/>
    <w:rsid w:val="0C85BE5D"/>
    <w:rsid w:val="0C9FAC85"/>
    <w:rsid w:val="0CB1253A"/>
    <w:rsid w:val="0DE04A9F"/>
    <w:rsid w:val="0E6BB81D"/>
    <w:rsid w:val="0E967858"/>
    <w:rsid w:val="0F03D9E1"/>
    <w:rsid w:val="0F3B75E8"/>
    <w:rsid w:val="0F95990C"/>
    <w:rsid w:val="0FD4C9D7"/>
    <w:rsid w:val="102F500D"/>
    <w:rsid w:val="10A4A11E"/>
    <w:rsid w:val="10FB2C97"/>
    <w:rsid w:val="1112F309"/>
    <w:rsid w:val="1114BA4E"/>
    <w:rsid w:val="112C6B7A"/>
    <w:rsid w:val="11DD2B83"/>
    <w:rsid w:val="12008149"/>
    <w:rsid w:val="123EFD2F"/>
    <w:rsid w:val="1323E382"/>
    <w:rsid w:val="13A3A09E"/>
    <w:rsid w:val="13A79940"/>
    <w:rsid w:val="13F426FA"/>
    <w:rsid w:val="142D8494"/>
    <w:rsid w:val="1486A01F"/>
    <w:rsid w:val="15270E72"/>
    <w:rsid w:val="154090C5"/>
    <w:rsid w:val="15A58401"/>
    <w:rsid w:val="16287004"/>
    <w:rsid w:val="166F4922"/>
    <w:rsid w:val="17131A31"/>
    <w:rsid w:val="17C27382"/>
    <w:rsid w:val="17DC55AF"/>
    <w:rsid w:val="17FEF9E5"/>
    <w:rsid w:val="18B57E3D"/>
    <w:rsid w:val="18CE3240"/>
    <w:rsid w:val="19667954"/>
    <w:rsid w:val="19E6C14B"/>
    <w:rsid w:val="1AC17C3A"/>
    <w:rsid w:val="1ADA31FC"/>
    <w:rsid w:val="1B284C5D"/>
    <w:rsid w:val="1B597A7E"/>
    <w:rsid w:val="1BB71A66"/>
    <w:rsid w:val="1BD611AD"/>
    <w:rsid w:val="1CE469A7"/>
    <w:rsid w:val="1D481232"/>
    <w:rsid w:val="1DD9EF3C"/>
    <w:rsid w:val="1DF69EC9"/>
    <w:rsid w:val="1E25FE9E"/>
    <w:rsid w:val="1EBF714E"/>
    <w:rsid w:val="1F152BF5"/>
    <w:rsid w:val="1F6DAFD8"/>
    <w:rsid w:val="1F84CC11"/>
    <w:rsid w:val="20BD1B28"/>
    <w:rsid w:val="218F7423"/>
    <w:rsid w:val="21A055E4"/>
    <w:rsid w:val="21CD325D"/>
    <w:rsid w:val="21F176C3"/>
    <w:rsid w:val="22B2E273"/>
    <w:rsid w:val="235944A0"/>
    <w:rsid w:val="244B8BA3"/>
    <w:rsid w:val="247593E9"/>
    <w:rsid w:val="2482AB30"/>
    <w:rsid w:val="24866881"/>
    <w:rsid w:val="248FB11B"/>
    <w:rsid w:val="24CA6B4B"/>
    <w:rsid w:val="25167A99"/>
    <w:rsid w:val="256E7D1F"/>
    <w:rsid w:val="266D0E36"/>
    <w:rsid w:val="2705F438"/>
    <w:rsid w:val="29171280"/>
    <w:rsid w:val="291EB04C"/>
    <w:rsid w:val="29AF17E1"/>
    <w:rsid w:val="29E24B52"/>
    <w:rsid w:val="2AB2F450"/>
    <w:rsid w:val="2AB70C23"/>
    <w:rsid w:val="2AEB4A54"/>
    <w:rsid w:val="2B04FDB1"/>
    <w:rsid w:val="2B1AC7DC"/>
    <w:rsid w:val="2BEF2B23"/>
    <w:rsid w:val="2CC507A0"/>
    <w:rsid w:val="2CE0FEC2"/>
    <w:rsid w:val="2CF1AE67"/>
    <w:rsid w:val="2D99E544"/>
    <w:rsid w:val="2DEB2C8A"/>
    <w:rsid w:val="2E2AB90F"/>
    <w:rsid w:val="2E3CCF42"/>
    <w:rsid w:val="2E8E4643"/>
    <w:rsid w:val="2EE8C294"/>
    <w:rsid w:val="2F7661F3"/>
    <w:rsid w:val="2FA6F2C0"/>
    <w:rsid w:val="30B89212"/>
    <w:rsid w:val="30EDBFC2"/>
    <w:rsid w:val="30FC3356"/>
    <w:rsid w:val="3192DD79"/>
    <w:rsid w:val="3205A40E"/>
    <w:rsid w:val="320BC70F"/>
    <w:rsid w:val="32158470"/>
    <w:rsid w:val="32C1C859"/>
    <w:rsid w:val="33059570"/>
    <w:rsid w:val="33985B12"/>
    <w:rsid w:val="33E5B4FB"/>
    <w:rsid w:val="34DFCB06"/>
    <w:rsid w:val="34E998B1"/>
    <w:rsid w:val="34F06E92"/>
    <w:rsid w:val="3518770D"/>
    <w:rsid w:val="351F2960"/>
    <w:rsid w:val="3569ECBC"/>
    <w:rsid w:val="35821FBB"/>
    <w:rsid w:val="358BCD3F"/>
    <w:rsid w:val="35A59737"/>
    <w:rsid w:val="3630E3D9"/>
    <w:rsid w:val="36C1AD60"/>
    <w:rsid w:val="36E718BD"/>
    <w:rsid w:val="375E6B6B"/>
    <w:rsid w:val="3782F5BA"/>
    <w:rsid w:val="381054FE"/>
    <w:rsid w:val="382BB0E4"/>
    <w:rsid w:val="38303276"/>
    <w:rsid w:val="38D94B9A"/>
    <w:rsid w:val="39728167"/>
    <w:rsid w:val="397FF86C"/>
    <w:rsid w:val="3A1863B5"/>
    <w:rsid w:val="3A252E23"/>
    <w:rsid w:val="3AC975C0"/>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C26FF6"/>
    <w:rsid w:val="481A0B18"/>
    <w:rsid w:val="48375772"/>
    <w:rsid w:val="487623C5"/>
    <w:rsid w:val="4909FF02"/>
    <w:rsid w:val="4936E5BF"/>
    <w:rsid w:val="4959E051"/>
    <w:rsid w:val="4A1DDAEB"/>
    <w:rsid w:val="4A4DD050"/>
    <w:rsid w:val="4AA1AE5E"/>
    <w:rsid w:val="4B71E956"/>
    <w:rsid w:val="4C05280B"/>
    <w:rsid w:val="4C2A1218"/>
    <w:rsid w:val="4C8918ED"/>
    <w:rsid w:val="4D05D725"/>
    <w:rsid w:val="4D0967CF"/>
    <w:rsid w:val="4D65BC3A"/>
    <w:rsid w:val="4D8EC441"/>
    <w:rsid w:val="4DBA415A"/>
    <w:rsid w:val="4DE0175B"/>
    <w:rsid w:val="4E12A658"/>
    <w:rsid w:val="4E2B0E51"/>
    <w:rsid w:val="4EDF1A41"/>
    <w:rsid w:val="4EF92727"/>
    <w:rsid w:val="4F9EA472"/>
    <w:rsid w:val="4FCC0AD1"/>
    <w:rsid w:val="5018C294"/>
    <w:rsid w:val="510D766F"/>
    <w:rsid w:val="51115786"/>
    <w:rsid w:val="526362D6"/>
    <w:rsid w:val="527DC273"/>
    <w:rsid w:val="52CC3B59"/>
    <w:rsid w:val="5369F3F4"/>
    <w:rsid w:val="537A5530"/>
    <w:rsid w:val="537B7A8F"/>
    <w:rsid w:val="547A2D94"/>
    <w:rsid w:val="547CDDA0"/>
    <w:rsid w:val="54ACA371"/>
    <w:rsid w:val="550BC2F9"/>
    <w:rsid w:val="558BDF90"/>
    <w:rsid w:val="559D80A3"/>
    <w:rsid w:val="56F1BA1B"/>
    <w:rsid w:val="57CD894D"/>
    <w:rsid w:val="58532BE8"/>
    <w:rsid w:val="587E035A"/>
    <w:rsid w:val="58A84EEA"/>
    <w:rsid w:val="58E96E3A"/>
    <w:rsid w:val="593AC637"/>
    <w:rsid w:val="593E5738"/>
    <w:rsid w:val="594C7A0B"/>
    <w:rsid w:val="59C112C8"/>
    <w:rsid w:val="5AF03726"/>
    <w:rsid w:val="5B67C7D7"/>
    <w:rsid w:val="5C24D288"/>
    <w:rsid w:val="5C6F8BC2"/>
    <w:rsid w:val="5CE41D62"/>
    <w:rsid w:val="5CEFEC53"/>
    <w:rsid w:val="5DC4A04A"/>
    <w:rsid w:val="5DD4D7CF"/>
    <w:rsid w:val="5E4023AB"/>
    <w:rsid w:val="5E7D70E4"/>
    <w:rsid w:val="5E97B0CB"/>
    <w:rsid w:val="5F62B1B6"/>
    <w:rsid w:val="5FAE97D8"/>
    <w:rsid w:val="5FD35E9D"/>
    <w:rsid w:val="600DB829"/>
    <w:rsid w:val="6079877E"/>
    <w:rsid w:val="62456E77"/>
    <w:rsid w:val="62BE2085"/>
    <w:rsid w:val="62C9B2EA"/>
    <w:rsid w:val="631FEBCA"/>
    <w:rsid w:val="639E9B9B"/>
    <w:rsid w:val="63BEA325"/>
    <w:rsid w:val="6462B5A6"/>
    <w:rsid w:val="649087DC"/>
    <w:rsid w:val="649395FB"/>
    <w:rsid w:val="64A4B944"/>
    <w:rsid w:val="64F692D4"/>
    <w:rsid w:val="656A1E2D"/>
    <w:rsid w:val="65772A6C"/>
    <w:rsid w:val="65A72BA2"/>
    <w:rsid w:val="66BD4B63"/>
    <w:rsid w:val="671C4404"/>
    <w:rsid w:val="67205E4B"/>
    <w:rsid w:val="67630FE3"/>
    <w:rsid w:val="67929FA3"/>
    <w:rsid w:val="67E5EF71"/>
    <w:rsid w:val="688EC8D6"/>
    <w:rsid w:val="68C2C5D5"/>
    <w:rsid w:val="68DB40FC"/>
    <w:rsid w:val="691A7037"/>
    <w:rsid w:val="6924D4D1"/>
    <w:rsid w:val="6987D822"/>
    <w:rsid w:val="6A0510BF"/>
    <w:rsid w:val="6A66705C"/>
    <w:rsid w:val="6AB03904"/>
    <w:rsid w:val="6ABC4D12"/>
    <w:rsid w:val="6B3C2582"/>
    <w:rsid w:val="6B5B80CE"/>
    <w:rsid w:val="6BF9886D"/>
    <w:rsid w:val="6C7E551B"/>
    <w:rsid w:val="6D488CFE"/>
    <w:rsid w:val="6D92290A"/>
    <w:rsid w:val="6DC8581C"/>
    <w:rsid w:val="6DE954D4"/>
    <w:rsid w:val="6E235B12"/>
    <w:rsid w:val="702EE3C2"/>
    <w:rsid w:val="70481CF2"/>
    <w:rsid w:val="70A625F7"/>
    <w:rsid w:val="70C006E6"/>
    <w:rsid w:val="7193A06A"/>
    <w:rsid w:val="71C31FE3"/>
    <w:rsid w:val="724E9FAD"/>
    <w:rsid w:val="727A167A"/>
    <w:rsid w:val="72AFD5C4"/>
    <w:rsid w:val="72D168A5"/>
    <w:rsid w:val="72F6ECCE"/>
    <w:rsid w:val="730FCCFB"/>
    <w:rsid w:val="73BF3F6F"/>
    <w:rsid w:val="73C5D9BC"/>
    <w:rsid w:val="73F401F8"/>
    <w:rsid w:val="74B9DF17"/>
    <w:rsid w:val="75207B8F"/>
    <w:rsid w:val="75BE7B32"/>
    <w:rsid w:val="75E7E8C2"/>
    <w:rsid w:val="766E7AF6"/>
    <w:rsid w:val="76825172"/>
    <w:rsid w:val="76B67B90"/>
    <w:rsid w:val="77316144"/>
    <w:rsid w:val="77359BF2"/>
    <w:rsid w:val="77446A4A"/>
    <w:rsid w:val="777ECC86"/>
    <w:rsid w:val="77D2CA7A"/>
    <w:rsid w:val="78206F1E"/>
    <w:rsid w:val="784B72B7"/>
    <w:rsid w:val="7929D98B"/>
    <w:rsid w:val="79B17F01"/>
    <w:rsid w:val="79BEC7F1"/>
    <w:rsid w:val="79CB34D5"/>
    <w:rsid w:val="7A6AF975"/>
    <w:rsid w:val="7B254AC1"/>
    <w:rsid w:val="7B51F349"/>
    <w:rsid w:val="7BAD7C19"/>
    <w:rsid w:val="7BEE4526"/>
    <w:rsid w:val="7C297149"/>
    <w:rsid w:val="7C97CD75"/>
    <w:rsid w:val="7D073C85"/>
    <w:rsid w:val="7D0CF5E0"/>
    <w:rsid w:val="7DA9163B"/>
    <w:rsid w:val="7DEED1A8"/>
    <w:rsid w:val="7E030E9E"/>
    <w:rsid w:val="7E1955CF"/>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 w:type="paragraph" w:styleId="Vltozat">
    <w:name w:val="Revision"/>
    <w:hidden/>
    <w:uiPriority w:val="99"/>
    <w:semiHidden/>
    <w:rsid w:val="0016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457265896">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774401931">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50AF-6A38-4D56-A55D-D65BA869B7B4}">
  <ds:schemaRefs>
    <ds:schemaRef ds:uri="http://schemas.openxmlformats.org/officeDocument/2006/bibliography"/>
  </ds:schemaRefs>
</ds:datastoreItem>
</file>

<file path=customXml/itemProps3.xml><?xml version="1.0" encoding="utf-8"?>
<ds:datastoreItem xmlns:ds="http://schemas.openxmlformats.org/officeDocument/2006/customXml" ds:itemID="{C84C958D-48DC-4564-B24D-56E63215790F}">
  <ds:schemaRefs>
    <ds:schemaRef ds:uri="http://schemas.microsoft.com/office/2006/metadata/properties"/>
    <ds:schemaRef ds:uri="http://schemas.microsoft.com/office/infopath/2007/PartnerControls"/>
    <ds:schemaRef ds:uri="cb7eed14-1ed6-4f4f-9464-e9d73fc2f8e9"/>
  </ds:schemaRefs>
</ds:datastoreItem>
</file>

<file path=customXml/itemProps4.xml><?xml version="1.0" encoding="utf-8"?>
<ds:datastoreItem xmlns:ds="http://schemas.openxmlformats.org/officeDocument/2006/customXml" ds:itemID="{BDD0F6AD-19C0-4D6B-ABDF-2564A2CC5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4955</Words>
  <Characters>34194</Characters>
  <Application>Microsoft Office Word</Application>
  <DocSecurity>0</DocSecurity>
  <Lines>284</Lines>
  <Paragraphs>78</Paragraphs>
  <ScaleCrop>false</ScaleCrop>
  <HeadingPairs>
    <vt:vector size="2" baseType="variant">
      <vt:variant>
        <vt:lpstr>Cím</vt:lpstr>
      </vt:variant>
      <vt:variant>
        <vt:i4>1</vt:i4>
      </vt:variant>
    </vt:vector>
  </HeadingPairs>
  <TitlesOfParts>
    <vt:vector size="1" baseType="lpstr">
      <vt:lpstr>monitoring_2025_06</vt:lpstr>
    </vt:vector>
  </TitlesOfParts>
  <Company>Egységes InfraStruktúra</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monitoring_2025_06</dc:title>
  <dc:creator>Kovács Márta</dc:creator>
  <cp:lastModifiedBy>Horváth Borisz</cp:lastModifiedBy>
  <cp:revision>3</cp:revision>
  <cp:lastPrinted>2025-05-16T09:07:00Z</cp:lastPrinted>
  <dcterms:created xsi:type="dcterms:W3CDTF">2025-07-21T13:18:00Z</dcterms:created>
  <dcterms:modified xsi:type="dcterms:W3CDTF">2025-07-21T13:20:00Z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