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7689E2" w14:textId="6B71AC8F" w:rsidR="00B155FE" w:rsidRPr="00377D59" w:rsidRDefault="008A3C12" w:rsidP="33985B12">
      <w:pPr>
        <w:tabs>
          <w:tab w:val="center" w:pos="4536"/>
        </w:tabs>
        <w:bidi/>
        <w:spacing w:after="120" w:line="240" w:lineRule="auto"/>
        <w:ind w:left="-142" w:right="-1" w:firstLine="142"/>
        <w:rPr>
          <w:rFonts w:ascii="Times New Roman" w:eastAsia="Times New Roman" w:hAnsi="Times New Roman" w:cs="Times New Roman"/>
          <w:b/>
          <w:bCs/>
          <w:smallCaps/>
          <w:sz w:val="32"/>
          <w:szCs w:val="32"/>
          <w:lang w:eastAsia="hu-HU"/>
        </w:rPr>
      </w:pPr>
      <w:r>
        <w:rPr>
          <w:rFonts w:ascii="Times New Roman" w:eastAsia="Times New Roman" w:hAnsi="Times New Roman" w:cs="Times New Roman"/>
          <w:b/>
          <w:bCs/>
          <w:smallCaps/>
          <w:sz w:val="32"/>
          <w:szCs w:val="32"/>
          <w:lang w:eastAsia="hu-HU"/>
        </w:rPr>
        <w:t>Nemzetgazdasági M</w:t>
      </w:r>
      <w:r w:rsidR="33985B12" w:rsidRPr="33985B12">
        <w:rPr>
          <w:rFonts w:ascii="Times New Roman" w:eastAsia="Times New Roman" w:hAnsi="Times New Roman" w:cs="Times New Roman"/>
          <w:b/>
          <w:bCs/>
          <w:smallCaps/>
          <w:sz w:val="32"/>
          <w:szCs w:val="32"/>
          <w:lang w:eastAsia="hu-HU"/>
        </w:rPr>
        <w:t>inisztérium</w:t>
      </w:r>
    </w:p>
    <w:p w14:paraId="7B7689E4" w14:textId="77777777" w:rsidR="00B155FE" w:rsidRPr="00377D59" w:rsidRDefault="00B155FE" w:rsidP="00B155FE">
      <w:pPr>
        <w:keepNext/>
        <w:widowControl w:val="0"/>
        <w:spacing w:after="120" w:line="240" w:lineRule="auto"/>
        <w:jc w:val="center"/>
        <w:rPr>
          <w:rFonts w:ascii="Times New Roman" w:eastAsia="Times New Roman" w:hAnsi="Times New Roman" w:cs="Times New Roman"/>
          <w:caps/>
          <w:spacing w:val="60"/>
          <w:sz w:val="32"/>
          <w:szCs w:val="20"/>
          <w:lang w:eastAsia="hu-HU"/>
        </w:rPr>
      </w:pPr>
    </w:p>
    <w:p w14:paraId="36F33C9C" w14:textId="77777777" w:rsidR="001E689B" w:rsidRPr="00377D59" w:rsidRDefault="001E689B" w:rsidP="00B155FE">
      <w:pPr>
        <w:keepNext/>
        <w:widowControl w:val="0"/>
        <w:spacing w:after="120" w:line="240" w:lineRule="auto"/>
        <w:jc w:val="center"/>
        <w:rPr>
          <w:rFonts w:ascii="Times New Roman" w:eastAsia="Times New Roman" w:hAnsi="Times New Roman" w:cs="Times New Roman"/>
          <w:caps/>
          <w:spacing w:val="60"/>
          <w:sz w:val="32"/>
          <w:szCs w:val="20"/>
          <w:lang w:eastAsia="hu-HU"/>
        </w:rPr>
      </w:pPr>
    </w:p>
    <w:p w14:paraId="7B7689E5" w14:textId="77777777" w:rsidR="00B155FE" w:rsidRPr="00377D59" w:rsidRDefault="00B155FE" w:rsidP="00B155FE">
      <w:pPr>
        <w:keepNext/>
        <w:widowControl w:val="0"/>
        <w:spacing w:after="120" w:line="240" w:lineRule="auto"/>
        <w:jc w:val="center"/>
        <w:rPr>
          <w:rFonts w:ascii="Times New Roman" w:eastAsia="Times New Roman" w:hAnsi="Times New Roman" w:cs="Times New Roman"/>
          <w:caps/>
          <w:spacing w:val="60"/>
          <w:sz w:val="32"/>
          <w:szCs w:val="20"/>
          <w:lang w:eastAsia="hu-HU"/>
        </w:rPr>
      </w:pPr>
    </w:p>
    <w:p w14:paraId="7B7689E6" w14:textId="77777777" w:rsidR="00B155FE" w:rsidRPr="00377D59" w:rsidRDefault="00B155FE" w:rsidP="00B155FE">
      <w:pPr>
        <w:keepNext/>
        <w:widowControl w:val="0"/>
        <w:spacing w:after="120" w:line="240" w:lineRule="auto"/>
        <w:jc w:val="center"/>
        <w:rPr>
          <w:rFonts w:ascii="Times New Roman" w:eastAsia="Times New Roman" w:hAnsi="Times New Roman" w:cs="Times New Roman"/>
          <w:caps/>
          <w:spacing w:val="60"/>
          <w:sz w:val="32"/>
          <w:szCs w:val="20"/>
          <w:lang w:eastAsia="hu-HU"/>
        </w:rPr>
      </w:pPr>
    </w:p>
    <w:p w14:paraId="7B7689E7" w14:textId="77777777" w:rsidR="00B155FE" w:rsidRPr="00377D59" w:rsidRDefault="00B155FE" w:rsidP="00B155FE">
      <w:pPr>
        <w:keepNext/>
        <w:widowControl w:val="0"/>
        <w:spacing w:after="120" w:line="240" w:lineRule="auto"/>
        <w:jc w:val="center"/>
        <w:rPr>
          <w:rFonts w:ascii="Times New Roman" w:eastAsia="Times New Roman" w:hAnsi="Times New Roman" w:cs="Times New Roman"/>
          <w:caps/>
          <w:spacing w:val="60"/>
          <w:sz w:val="32"/>
          <w:szCs w:val="20"/>
          <w:lang w:eastAsia="hu-HU"/>
        </w:rPr>
      </w:pPr>
    </w:p>
    <w:p w14:paraId="7B7689E8" w14:textId="77777777" w:rsidR="00B155FE" w:rsidRPr="00377D59" w:rsidRDefault="00B155FE" w:rsidP="00B155FE">
      <w:pPr>
        <w:keepNext/>
        <w:widowControl w:val="0"/>
        <w:spacing w:after="120" w:line="240" w:lineRule="auto"/>
        <w:jc w:val="center"/>
        <w:rPr>
          <w:rFonts w:ascii="Times New Roman" w:eastAsia="Times New Roman" w:hAnsi="Times New Roman" w:cs="Times New Roman"/>
          <w:caps/>
          <w:spacing w:val="60"/>
          <w:sz w:val="32"/>
          <w:szCs w:val="20"/>
          <w:lang w:eastAsia="hu-HU"/>
        </w:rPr>
      </w:pPr>
    </w:p>
    <w:p w14:paraId="7B7689E9" w14:textId="77777777" w:rsidR="00B155FE" w:rsidRPr="00377D59" w:rsidRDefault="00B155FE" w:rsidP="00B155FE">
      <w:pPr>
        <w:keepNext/>
        <w:widowControl w:val="0"/>
        <w:spacing w:after="120" w:line="240" w:lineRule="auto"/>
        <w:jc w:val="center"/>
        <w:rPr>
          <w:rFonts w:ascii="Times New Roman" w:eastAsia="Times New Roman" w:hAnsi="Times New Roman" w:cs="Times New Roman"/>
          <w:caps/>
          <w:spacing w:val="60"/>
          <w:sz w:val="26"/>
          <w:szCs w:val="26"/>
          <w:lang w:eastAsia="hu-HU"/>
        </w:rPr>
      </w:pPr>
    </w:p>
    <w:p w14:paraId="7B7689EA" w14:textId="77777777" w:rsidR="00B155FE" w:rsidRPr="00377D59" w:rsidRDefault="00B155FE" w:rsidP="00B155FE">
      <w:pPr>
        <w:keepNext/>
        <w:widowControl w:val="0"/>
        <w:spacing w:after="120" w:line="240" w:lineRule="auto"/>
        <w:jc w:val="center"/>
        <w:rPr>
          <w:rFonts w:ascii="Times New Roman" w:eastAsia="Times New Roman" w:hAnsi="Times New Roman" w:cs="Times New Roman"/>
          <w:caps/>
          <w:spacing w:val="60"/>
          <w:sz w:val="32"/>
          <w:szCs w:val="20"/>
          <w:lang w:eastAsia="hu-HU"/>
        </w:rPr>
      </w:pPr>
    </w:p>
    <w:p w14:paraId="7B7689EB" w14:textId="77777777" w:rsidR="00B155FE" w:rsidRPr="00377D59" w:rsidRDefault="00B155FE" w:rsidP="00B155FE">
      <w:pPr>
        <w:keepNext/>
        <w:widowControl w:val="0"/>
        <w:spacing w:after="120" w:line="240" w:lineRule="auto"/>
        <w:jc w:val="center"/>
        <w:rPr>
          <w:rFonts w:ascii="Times New Roman" w:eastAsia="Times New Roman" w:hAnsi="Times New Roman" w:cs="Times New Roman"/>
          <w:caps/>
          <w:spacing w:val="60"/>
          <w:sz w:val="32"/>
          <w:szCs w:val="20"/>
          <w:lang w:eastAsia="hu-HU"/>
        </w:rPr>
      </w:pPr>
    </w:p>
    <w:p w14:paraId="7B7689EC" w14:textId="77777777" w:rsidR="00B155FE" w:rsidRPr="00377D59" w:rsidRDefault="00B155FE" w:rsidP="00B155FE">
      <w:pPr>
        <w:keepNext/>
        <w:widowControl w:val="0"/>
        <w:spacing w:after="120" w:line="240" w:lineRule="auto"/>
        <w:jc w:val="center"/>
        <w:rPr>
          <w:rFonts w:ascii="Times New Roman" w:eastAsia="Times New Roman" w:hAnsi="Times New Roman" w:cs="Times New Roman"/>
          <w:caps/>
          <w:spacing w:val="60"/>
          <w:sz w:val="32"/>
          <w:szCs w:val="20"/>
          <w:lang w:eastAsia="hu-HU"/>
        </w:rPr>
      </w:pPr>
    </w:p>
    <w:p w14:paraId="7B7689ED" w14:textId="77777777" w:rsidR="00B155FE" w:rsidRPr="00377D59" w:rsidRDefault="00B155FE" w:rsidP="00B155FE">
      <w:pPr>
        <w:keepNext/>
        <w:widowControl w:val="0"/>
        <w:spacing w:after="120" w:line="240" w:lineRule="auto"/>
        <w:jc w:val="center"/>
        <w:rPr>
          <w:rFonts w:ascii="Times New Roman" w:eastAsia="Times New Roman" w:hAnsi="Times New Roman" w:cs="Times New Roman"/>
          <w:caps/>
          <w:spacing w:val="60"/>
          <w:sz w:val="32"/>
          <w:szCs w:val="20"/>
          <w:lang w:eastAsia="hu-HU"/>
        </w:rPr>
      </w:pPr>
    </w:p>
    <w:p w14:paraId="7B7689EE" w14:textId="77777777" w:rsidR="00B155FE" w:rsidRPr="00377D59" w:rsidRDefault="00B155FE" w:rsidP="00B155FE">
      <w:pPr>
        <w:keepNext/>
        <w:widowControl w:val="0"/>
        <w:spacing w:after="120" w:line="240" w:lineRule="auto"/>
        <w:jc w:val="center"/>
        <w:rPr>
          <w:rFonts w:ascii="Times New Roman" w:eastAsia="Times New Roman" w:hAnsi="Times New Roman" w:cs="Times New Roman"/>
          <w:caps/>
          <w:spacing w:val="60"/>
          <w:sz w:val="32"/>
          <w:szCs w:val="20"/>
          <w:lang w:eastAsia="hu-HU"/>
        </w:rPr>
      </w:pPr>
    </w:p>
    <w:p w14:paraId="7B7689EF" w14:textId="77777777" w:rsidR="00B155FE" w:rsidRPr="00377D59" w:rsidRDefault="00B155FE" w:rsidP="33985B12">
      <w:pPr>
        <w:keepNext/>
        <w:widowControl w:val="0"/>
        <w:spacing w:after="120" w:line="240" w:lineRule="auto"/>
        <w:jc w:val="center"/>
        <w:rPr>
          <w:rFonts w:ascii="Times New Roman" w:eastAsia="Times New Roman" w:hAnsi="Times New Roman" w:cs="Times New Roman"/>
          <w:b/>
          <w:bCs/>
          <w:caps/>
          <w:sz w:val="32"/>
          <w:szCs w:val="32"/>
          <w:lang w:eastAsia="hu-HU"/>
        </w:rPr>
      </w:pPr>
      <w:r w:rsidRPr="00377D59">
        <w:rPr>
          <w:rFonts w:ascii="Times New Roman" w:eastAsia="Times New Roman" w:hAnsi="Times New Roman" w:cs="Times New Roman"/>
          <w:b/>
          <w:bCs/>
          <w:caps/>
          <w:spacing w:val="60"/>
          <w:sz w:val="32"/>
          <w:szCs w:val="32"/>
          <w:lang w:eastAsia="hu-HU"/>
        </w:rPr>
        <w:t>Tájékoztató</w:t>
      </w:r>
    </w:p>
    <w:p w14:paraId="5AE02B14" w14:textId="5B11BD5B" w:rsidR="00B94CCA" w:rsidRPr="00377D59" w:rsidRDefault="33985B12" w:rsidP="33985B12">
      <w:pPr>
        <w:keepNext/>
        <w:tabs>
          <w:tab w:val="left" w:pos="2694"/>
        </w:tabs>
        <w:spacing w:after="120" w:line="240" w:lineRule="auto"/>
        <w:ind w:right="-1"/>
        <w:jc w:val="center"/>
        <w:outlineLvl w:val="1"/>
        <w:rPr>
          <w:rFonts w:ascii="Times New Roman" w:eastAsia="Times New Roman" w:hAnsi="Times New Roman" w:cs="Times New Roman"/>
          <w:b/>
          <w:bCs/>
          <w:i/>
          <w:iCs/>
          <w:sz w:val="26"/>
          <w:szCs w:val="26"/>
          <w:lang w:eastAsia="hu-HU"/>
        </w:rPr>
      </w:pPr>
      <w:r w:rsidRPr="33985B12">
        <w:rPr>
          <w:rFonts w:ascii="Times New Roman" w:eastAsia="Times New Roman" w:hAnsi="Times New Roman" w:cs="Times New Roman"/>
          <w:b/>
          <w:bCs/>
          <w:i/>
          <w:iCs/>
          <w:sz w:val="26"/>
          <w:szCs w:val="26"/>
          <w:lang w:eastAsia="hu-HU"/>
        </w:rPr>
        <w:t>az államháztartás központi alrendszerének</w:t>
      </w:r>
      <w:r w:rsidR="166F4922">
        <w:br/>
      </w:r>
      <w:r w:rsidRPr="33985B12">
        <w:rPr>
          <w:rFonts w:ascii="Times New Roman" w:eastAsia="Times New Roman" w:hAnsi="Times New Roman" w:cs="Times New Roman"/>
          <w:b/>
          <w:bCs/>
          <w:i/>
          <w:iCs/>
          <w:sz w:val="26"/>
          <w:szCs w:val="26"/>
          <w:lang w:eastAsia="hu-HU"/>
        </w:rPr>
        <w:t>2024. december végi helyzetéről</w:t>
      </w:r>
    </w:p>
    <w:p w14:paraId="7B7689F2" w14:textId="2D4563EC" w:rsidR="00B155FE" w:rsidRPr="00377D59" w:rsidRDefault="00B155FE" w:rsidP="3F8285E0">
      <w:pPr>
        <w:tabs>
          <w:tab w:val="left" w:pos="2694"/>
        </w:tabs>
        <w:spacing w:after="120" w:line="240" w:lineRule="auto"/>
        <w:jc w:val="both"/>
        <w:rPr>
          <w:rFonts w:ascii="Times New Roman" w:eastAsia="Times New Roman" w:hAnsi="Times New Roman" w:cs="Times New Roman"/>
          <w:sz w:val="26"/>
          <w:szCs w:val="26"/>
          <w:lang w:eastAsia="hu-HU"/>
        </w:rPr>
      </w:pPr>
    </w:p>
    <w:p w14:paraId="4A2F8C9F" w14:textId="77777777" w:rsidR="001E689B" w:rsidRPr="00377D59" w:rsidRDefault="001E689B" w:rsidP="3F8285E0">
      <w:pPr>
        <w:tabs>
          <w:tab w:val="left" w:pos="2694"/>
        </w:tabs>
        <w:spacing w:after="120" w:line="240" w:lineRule="auto"/>
        <w:jc w:val="both"/>
        <w:rPr>
          <w:rFonts w:ascii="Times New Roman" w:eastAsia="Times New Roman" w:hAnsi="Times New Roman" w:cs="Times New Roman"/>
          <w:sz w:val="26"/>
          <w:szCs w:val="26"/>
          <w:lang w:eastAsia="hu-HU"/>
        </w:rPr>
      </w:pPr>
    </w:p>
    <w:p w14:paraId="1D327E5D" w14:textId="77777777" w:rsidR="001E689B" w:rsidRPr="00377D59" w:rsidRDefault="001E689B" w:rsidP="3F8285E0">
      <w:pPr>
        <w:tabs>
          <w:tab w:val="left" w:pos="2694"/>
        </w:tabs>
        <w:spacing w:after="120" w:line="240" w:lineRule="auto"/>
        <w:jc w:val="both"/>
        <w:rPr>
          <w:rFonts w:ascii="Times New Roman" w:eastAsia="Times New Roman" w:hAnsi="Times New Roman" w:cs="Times New Roman"/>
          <w:sz w:val="26"/>
          <w:szCs w:val="26"/>
          <w:lang w:eastAsia="hu-HU"/>
        </w:rPr>
      </w:pPr>
    </w:p>
    <w:p w14:paraId="35267E04" w14:textId="77777777" w:rsidR="001E689B" w:rsidRPr="00377D59" w:rsidRDefault="001E689B" w:rsidP="3F8285E0">
      <w:pPr>
        <w:tabs>
          <w:tab w:val="left" w:pos="2694"/>
        </w:tabs>
        <w:spacing w:after="120" w:line="240" w:lineRule="auto"/>
        <w:jc w:val="both"/>
        <w:rPr>
          <w:rFonts w:ascii="Times New Roman" w:eastAsia="Times New Roman" w:hAnsi="Times New Roman" w:cs="Times New Roman"/>
          <w:sz w:val="26"/>
          <w:szCs w:val="26"/>
          <w:lang w:eastAsia="hu-HU"/>
        </w:rPr>
      </w:pPr>
    </w:p>
    <w:p w14:paraId="20BD3D31" w14:textId="77777777" w:rsidR="001E689B" w:rsidRPr="00377D59" w:rsidRDefault="001E689B" w:rsidP="3F8285E0">
      <w:pPr>
        <w:tabs>
          <w:tab w:val="left" w:pos="2694"/>
        </w:tabs>
        <w:spacing w:after="120" w:line="240" w:lineRule="auto"/>
        <w:jc w:val="both"/>
        <w:rPr>
          <w:rFonts w:ascii="Times New Roman" w:eastAsia="Times New Roman" w:hAnsi="Times New Roman" w:cs="Times New Roman"/>
          <w:sz w:val="26"/>
          <w:szCs w:val="26"/>
          <w:lang w:eastAsia="hu-HU"/>
        </w:rPr>
      </w:pPr>
    </w:p>
    <w:p w14:paraId="16E13D32" w14:textId="77777777" w:rsidR="001E689B" w:rsidRPr="00377D59" w:rsidRDefault="001E689B" w:rsidP="3F8285E0">
      <w:pPr>
        <w:tabs>
          <w:tab w:val="left" w:pos="2694"/>
        </w:tabs>
        <w:spacing w:after="120" w:line="240" w:lineRule="auto"/>
        <w:jc w:val="both"/>
        <w:rPr>
          <w:rFonts w:ascii="Times New Roman" w:eastAsia="Times New Roman" w:hAnsi="Times New Roman" w:cs="Times New Roman"/>
          <w:sz w:val="26"/>
          <w:szCs w:val="26"/>
          <w:lang w:eastAsia="hu-HU"/>
        </w:rPr>
      </w:pPr>
    </w:p>
    <w:p w14:paraId="59F56A13" w14:textId="77777777" w:rsidR="001E689B" w:rsidRPr="00377D59" w:rsidRDefault="001E689B" w:rsidP="3F8285E0">
      <w:pPr>
        <w:tabs>
          <w:tab w:val="left" w:pos="2694"/>
        </w:tabs>
        <w:spacing w:after="120" w:line="240" w:lineRule="auto"/>
        <w:jc w:val="both"/>
        <w:rPr>
          <w:rFonts w:ascii="Times New Roman" w:eastAsia="Times New Roman" w:hAnsi="Times New Roman" w:cs="Times New Roman"/>
          <w:sz w:val="26"/>
          <w:szCs w:val="26"/>
          <w:lang w:eastAsia="hu-HU"/>
        </w:rPr>
      </w:pPr>
    </w:p>
    <w:p w14:paraId="7B7689F4" w14:textId="77777777" w:rsidR="00B155FE" w:rsidRPr="00377D59" w:rsidRDefault="00B155FE" w:rsidP="00B155FE">
      <w:pPr>
        <w:tabs>
          <w:tab w:val="left" w:pos="2694"/>
        </w:tabs>
        <w:spacing w:after="120" w:line="240" w:lineRule="auto"/>
        <w:jc w:val="both"/>
        <w:rPr>
          <w:rFonts w:ascii="Times New Roman" w:eastAsia="Times New Roman" w:hAnsi="Times New Roman" w:cs="Times New Roman"/>
          <w:sz w:val="26"/>
          <w:szCs w:val="20"/>
          <w:lang w:eastAsia="hu-HU"/>
        </w:rPr>
      </w:pPr>
    </w:p>
    <w:p w14:paraId="7B7689F6" w14:textId="77777777" w:rsidR="00B155FE" w:rsidRPr="00377D59" w:rsidRDefault="00B155FE" w:rsidP="00B155FE">
      <w:pPr>
        <w:tabs>
          <w:tab w:val="left" w:pos="2694"/>
        </w:tabs>
        <w:spacing w:after="120" w:line="240" w:lineRule="auto"/>
        <w:jc w:val="both"/>
        <w:rPr>
          <w:rFonts w:ascii="Times New Roman" w:eastAsia="Times New Roman" w:hAnsi="Times New Roman" w:cs="Times New Roman"/>
          <w:sz w:val="26"/>
          <w:szCs w:val="20"/>
          <w:lang w:eastAsia="hu-HU"/>
        </w:rPr>
      </w:pPr>
    </w:p>
    <w:p w14:paraId="7B7689F7" w14:textId="77777777" w:rsidR="00B155FE" w:rsidRPr="00377D59" w:rsidRDefault="00B155FE" w:rsidP="00B155FE">
      <w:pPr>
        <w:spacing w:after="120" w:line="240" w:lineRule="auto"/>
        <w:jc w:val="both"/>
        <w:rPr>
          <w:rFonts w:ascii="Times New Roman" w:eastAsia="Times New Roman" w:hAnsi="Times New Roman" w:cs="Times New Roman"/>
          <w:sz w:val="26"/>
          <w:szCs w:val="20"/>
          <w:lang w:eastAsia="hu-HU"/>
        </w:rPr>
      </w:pPr>
    </w:p>
    <w:p w14:paraId="7B7689F8" w14:textId="7C3BEFF0" w:rsidR="00B155FE" w:rsidRPr="00377D59" w:rsidRDefault="00B155FE" w:rsidP="00EA1F58">
      <w:pPr>
        <w:tabs>
          <w:tab w:val="left" w:pos="5685"/>
        </w:tabs>
        <w:spacing w:after="120" w:line="240" w:lineRule="auto"/>
        <w:jc w:val="both"/>
        <w:rPr>
          <w:rFonts w:ascii="Times New Roman" w:eastAsia="Times New Roman" w:hAnsi="Times New Roman" w:cs="Times New Roman"/>
          <w:sz w:val="26"/>
          <w:szCs w:val="20"/>
          <w:lang w:eastAsia="hu-HU"/>
        </w:rPr>
      </w:pPr>
    </w:p>
    <w:p w14:paraId="7B7689F9" w14:textId="77777777" w:rsidR="00B155FE" w:rsidRPr="00377D59" w:rsidRDefault="00B155FE" w:rsidP="00B155FE">
      <w:pPr>
        <w:spacing w:after="120" w:line="240" w:lineRule="auto"/>
        <w:jc w:val="both"/>
        <w:rPr>
          <w:rFonts w:ascii="Times New Roman" w:eastAsia="Times New Roman" w:hAnsi="Times New Roman" w:cs="Times New Roman"/>
          <w:sz w:val="26"/>
          <w:szCs w:val="20"/>
          <w:lang w:eastAsia="hu-HU"/>
        </w:rPr>
      </w:pPr>
    </w:p>
    <w:p w14:paraId="7B7689FA" w14:textId="77777777" w:rsidR="00B155FE" w:rsidRPr="00377D59" w:rsidRDefault="00B155FE" w:rsidP="00B155FE">
      <w:pPr>
        <w:spacing w:after="120" w:line="240" w:lineRule="auto"/>
        <w:jc w:val="both"/>
        <w:rPr>
          <w:rFonts w:ascii="Times New Roman" w:eastAsia="Times New Roman" w:hAnsi="Times New Roman" w:cs="Times New Roman"/>
          <w:sz w:val="26"/>
          <w:szCs w:val="20"/>
          <w:lang w:eastAsia="hu-HU"/>
        </w:rPr>
      </w:pPr>
    </w:p>
    <w:p w14:paraId="7B7689FB" w14:textId="77777777" w:rsidR="00B155FE" w:rsidRPr="00377D59" w:rsidRDefault="00B155FE" w:rsidP="00B155FE">
      <w:pPr>
        <w:spacing w:after="120" w:line="240" w:lineRule="auto"/>
        <w:jc w:val="both"/>
        <w:rPr>
          <w:rFonts w:ascii="Times New Roman" w:eastAsia="Times New Roman" w:hAnsi="Times New Roman" w:cs="Times New Roman"/>
          <w:sz w:val="26"/>
          <w:szCs w:val="20"/>
          <w:lang w:eastAsia="hu-HU"/>
        </w:rPr>
      </w:pPr>
    </w:p>
    <w:p w14:paraId="1CF999E6" w14:textId="6E5FE94A" w:rsidR="00E97147" w:rsidRPr="00377D59" w:rsidRDefault="00B155FE" w:rsidP="33985B12">
      <w:pPr>
        <w:tabs>
          <w:tab w:val="left" w:pos="2694"/>
        </w:tabs>
        <w:spacing w:after="120" w:line="240" w:lineRule="auto"/>
        <w:jc w:val="center"/>
        <w:rPr>
          <w:rFonts w:ascii="Times New Roman" w:eastAsia="Times New Roman" w:hAnsi="Times New Roman" w:cs="Times New Roman"/>
          <w:b/>
          <w:bCs/>
          <w:lang w:eastAsia="hu-HU"/>
        </w:rPr>
        <w:sectPr w:rsidR="00E97147" w:rsidRPr="00377D59" w:rsidSect="002276A7">
          <w:headerReference w:type="default" r:id="rId11"/>
          <w:footerReference w:type="default" r:id="rId12"/>
          <w:footerReference w:type="first" r:id="rId13"/>
          <w:footnotePr>
            <w:numRestart w:val="eachPage"/>
          </w:footnotePr>
          <w:pgSz w:w="11907" w:h="16840" w:code="9"/>
          <w:pgMar w:top="1134" w:right="1134" w:bottom="1418" w:left="1418" w:header="709" w:footer="709" w:gutter="0"/>
          <w:pgNumType w:fmt="numberInDash" w:start="0"/>
          <w:cols w:space="708"/>
          <w:docGrid w:linePitch="354"/>
        </w:sectPr>
      </w:pPr>
      <w:r w:rsidRPr="00377D59">
        <w:rPr>
          <w:rFonts w:ascii="Times New Roman" w:eastAsia="Times New Roman" w:hAnsi="Times New Roman" w:cs="Times New Roman"/>
          <w:b/>
          <w:bCs/>
          <w:noProof/>
          <w:lang w:eastAsia="hu-HU"/>
        </w:rPr>
        <mc:AlternateContent>
          <mc:Choice Requires="wps">
            <w:drawing>
              <wp:anchor distT="0" distB="0" distL="114300" distR="114300" simplePos="0" relativeHeight="251658240" behindDoc="0" locked="0" layoutInCell="1" allowOverlap="1" wp14:anchorId="7B768C6C" wp14:editId="7B768C6D">
                <wp:simplePos x="0" y="0"/>
                <wp:positionH relativeFrom="column">
                  <wp:posOffset>2336732</wp:posOffset>
                </wp:positionH>
                <wp:positionV relativeFrom="paragraph">
                  <wp:posOffset>980217</wp:posOffset>
                </wp:positionV>
                <wp:extent cx="971550" cy="393065"/>
                <wp:effectExtent l="0" t="0" r="0" b="698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393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rect id="Rectangle 2" style="position:absolute;margin-left:184pt;margin-top:77.2pt;width:76.5pt;height:30.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w14:anchorId="4F2D78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"/>
            </w:pict>
          </mc:Fallback>
        </mc:AlternateContent>
      </w:r>
      <w:r w:rsidRPr="00377D59">
        <w:rPr>
          <w:rFonts w:ascii="Times New Roman" w:eastAsia="Times New Roman" w:hAnsi="Times New Roman" w:cs="Times New Roman"/>
          <w:b/>
          <w:bCs/>
          <w:lang w:eastAsia="hu-HU"/>
        </w:rPr>
        <w:t>202</w:t>
      </w:r>
      <w:r w:rsidR="002107FF">
        <w:rPr>
          <w:rFonts w:ascii="Times New Roman" w:eastAsia="Times New Roman" w:hAnsi="Times New Roman" w:cs="Times New Roman"/>
          <w:b/>
          <w:bCs/>
          <w:lang w:eastAsia="hu-HU"/>
        </w:rPr>
        <w:t>5</w:t>
      </w:r>
      <w:r w:rsidRPr="00377D59">
        <w:rPr>
          <w:rFonts w:ascii="Times New Roman" w:eastAsia="Times New Roman" w:hAnsi="Times New Roman" w:cs="Times New Roman"/>
          <w:b/>
          <w:bCs/>
          <w:lang w:eastAsia="hu-HU"/>
        </w:rPr>
        <w:t xml:space="preserve">. </w:t>
      </w:r>
      <w:r w:rsidR="002107FF">
        <w:rPr>
          <w:rFonts w:ascii="Times New Roman" w:eastAsia="Times New Roman" w:hAnsi="Times New Roman" w:cs="Times New Roman"/>
          <w:b/>
          <w:bCs/>
          <w:lang w:eastAsia="hu-HU"/>
        </w:rPr>
        <w:t>január</w:t>
      </w:r>
    </w:p>
    <w:p w14:paraId="7B7689FF" w14:textId="77777777" w:rsidR="00B155FE" w:rsidRPr="00377D59" w:rsidRDefault="33985B12" w:rsidP="33985B12">
      <w:pPr>
        <w:keepNext/>
        <w:spacing w:before="240" w:after="480" w:line="480" w:lineRule="auto"/>
        <w:ind w:left="425" w:hanging="425"/>
        <w:jc w:val="center"/>
        <w:outlineLvl w:val="3"/>
        <w:rPr>
          <w:rFonts w:ascii="Times New Roman" w:eastAsia="Times New Roman" w:hAnsi="Times New Roman" w:cs="Times New Roman"/>
          <w:b/>
          <w:bCs/>
          <w:caps/>
          <w:color w:val="000000" w:themeColor="text1"/>
          <w:sz w:val="26"/>
          <w:szCs w:val="26"/>
          <w:lang w:eastAsia="hu-HU"/>
        </w:rPr>
      </w:pPr>
      <w:r w:rsidRPr="33985B12">
        <w:rPr>
          <w:rFonts w:ascii="Times New Roman" w:eastAsia="Times New Roman" w:hAnsi="Times New Roman" w:cs="Times New Roman"/>
          <w:b/>
          <w:bCs/>
          <w:caps/>
          <w:color w:val="000000" w:themeColor="text1"/>
          <w:sz w:val="26"/>
          <w:szCs w:val="26"/>
          <w:lang w:eastAsia="hu-HU"/>
        </w:rPr>
        <w:lastRenderedPageBreak/>
        <w:t>Összefoglalás</w:t>
      </w:r>
    </w:p>
    <w:p w14:paraId="26986694" w14:textId="7BC14ED9" w:rsidR="00B56CB1" w:rsidRPr="00B56CB1" w:rsidRDefault="00A3501B" w:rsidP="00B14AB5">
      <w:pPr>
        <w:widowControl w:val="0"/>
        <w:jc w:val="both"/>
        <w:rPr>
          <w:rFonts w:ascii="Times New Roman" w:eastAsia="Times New Roman" w:hAnsi="Times New Roman" w:cs="Times New Roman"/>
          <w:b/>
          <w:bCs/>
          <w:color w:val="000000" w:themeColor="text1"/>
          <w:sz w:val="26"/>
          <w:szCs w:val="26"/>
          <w:lang w:eastAsia="hu-HU"/>
        </w:rPr>
      </w:pPr>
      <w:r w:rsidRPr="00A3501B">
        <w:rPr>
          <w:rFonts w:ascii="Times New Roman" w:eastAsia="Times New Roman" w:hAnsi="Times New Roman" w:cs="Times New Roman"/>
          <w:b/>
          <w:bCs/>
          <w:color w:val="000000" w:themeColor="text1"/>
          <w:sz w:val="26"/>
          <w:szCs w:val="26"/>
          <w:lang w:eastAsia="hu-HU"/>
        </w:rPr>
        <w:t xml:space="preserve">A 2024-es költségvetés a háborús helyzetben is garantálta az ország, a magyar családok és a nyugdíjasok védelmét. A 2024-es évben a kormány a nehéz külső körülmények ellenére is következetesen kiállt a magyar gazdaságpolitika eredményeinek megőrzése mellett, a költségvetés biztosította a honvédelmi, rezsivédelmi, családpolitikai és a nyugdíjak értékét megőrző forrásokat. Mindezeken túl a kormány jelentős mértékben javította az egyensúlyi mutatókat, a 2023. évi </w:t>
      </w:r>
      <w:r>
        <w:rPr>
          <w:rFonts w:ascii="Times New Roman" w:eastAsia="Times New Roman" w:hAnsi="Times New Roman" w:cs="Times New Roman"/>
          <w:b/>
          <w:bCs/>
          <w:color w:val="000000" w:themeColor="text1"/>
          <w:sz w:val="26"/>
          <w:szCs w:val="26"/>
          <w:lang w:eastAsia="hu-HU"/>
        </w:rPr>
        <w:br/>
      </w:r>
      <w:r w:rsidRPr="00A3501B">
        <w:rPr>
          <w:rFonts w:ascii="Times New Roman" w:eastAsia="Times New Roman" w:hAnsi="Times New Roman" w:cs="Times New Roman"/>
          <w:b/>
          <w:bCs/>
          <w:color w:val="000000" w:themeColor="text1"/>
          <w:sz w:val="26"/>
          <w:szCs w:val="26"/>
          <w:lang w:eastAsia="hu-HU"/>
        </w:rPr>
        <w:t>6,7%-ról érdemben csökkent a GDP-arányos hiány a tavalyi évben</w:t>
      </w:r>
      <w:r w:rsidR="33985B12" w:rsidRPr="33985B12">
        <w:rPr>
          <w:rFonts w:ascii="Times New Roman" w:eastAsia="Times New Roman" w:hAnsi="Times New Roman" w:cs="Times New Roman"/>
          <w:b/>
          <w:bCs/>
          <w:color w:val="000000" w:themeColor="text1"/>
          <w:sz w:val="26"/>
          <w:szCs w:val="26"/>
          <w:lang w:eastAsia="hu-HU"/>
        </w:rPr>
        <w:t xml:space="preserve">. </w:t>
      </w:r>
    </w:p>
    <w:p w14:paraId="6D68E4DF" w14:textId="6047509B" w:rsidR="00A3501B" w:rsidRPr="00A3501B" w:rsidRDefault="00A3501B" w:rsidP="00B14AB5">
      <w:pPr>
        <w:widowControl w:val="0"/>
        <w:jc w:val="both"/>
        <w:rPr>
          <w:rFonts w:ascii="Times New Roman" w:eastAsia="Times New Roman" w:hAnsi="Times New Roman" w:cs="Times New Roman"/>
          <w:color w:val="000000" w:themeColor="text1"/>
          <w:sz w:val="26"/>
          <w:szCs w:val="26"/>
          <w:lang w:eastAsia="hu-HU"/>
        </w:rPr>
      </w:pPr>
      <w:r w:rsidRPr="00A3501B">
        <w:rPr>
          <w:rFonts w:ascii="Times New Roman" w:eastAsia="Times New Roman" w:hAnsi="Times New Roman" w:cs="Times New Roman"/>
          <w:color w:val="000000" w:themeColor="text1"/>
          <w:sz w:val="26"/>
          <w:szCs w:val="26"/>
          <w:lang w:eastAsia="hu-HU"/>
        </w:rPr>
        <w:t>December végéig az államháztartás központi alrendszere 4095,8 milliárd forintos hiánnyal zárt. Ezen belül a központi költségvetés 4003,9 milliárd forintos hiányt, az elkülönített állami pénzalapok 138,2 milliárd forintos többletet, a társadalombiztosítás pénzügyi alapjai pedig 230,1 milliárd forintos hiányt mutattak.</w:t>
      </w:r>
    </w:p>
    <w:p w14:paraId="6C213CAA" w14:textId="77777777" w:rsidR="00A3501B" w:rsidRPr="00A3501B" w:rsidRDefault="00A3501B" w:rsidP="00B14AB5">
      <w:pPr>
        <w:widowControl w:val="0"/>
        <w:jc w:val="both"/>
        <w:rPr>
          <w:rFonts w:ascii="Times New Roman" w:eastAsia="Times New Roman" w:hAnsi="Times New Roman" w:cs="Times New Roman"/>
          <w:color w:val="000000" w:themeColor="text1"/>
          <w:sz w:val="26"/>
          <w:szCs w:val="26"/>
          <w:lang w:eastAsia="hu-HU"/>
        </w:rPr>
      </w:pPr>
      <w:r w:rsidRPr="00A3501B">
        <w:rPr>
          <w:rFonts w:ascii="Times New Roman" w:eastAsia="Times New Roman" w:hAnsi="Times New Roman" w:cs="Times New Roman"/>
          <w:color w:val="000000" w:themeColor="text1"/>
          <w:sz w:val="26"/>
          <w:szCs w:val="26"/>
          <w:lang w:eastAsia="hu-HU"/>
        </w:rPr>
        <w:lastRenderedPageBreak/>
        <w:t>A központi alrendszer adó- és járulékbevételei az előző évhez viszonyítva 8,7%-kal magasabban teljesültek.</w:t>
      </w:r>
    </w:p>
    <w:p w14:paraId="52213720" w14:textId="40DA4FFA" w:rsidR="00A3501B" w:rsidRPr="00A3501B" w:rsidRDefault="00A3501B" w:rsidP="00B14AB5">
      <w:pPr>
        <w:widowControl w:val="0"/>
        <w:jc w:val="both"/>
        <w:rPr>
          <w:rFonts w:ascii="Times New Roman" w:eastAsia="Times New Roman" w:hAnsi="Times New Roman" w:cs="Times New Roman"/>
          <w:color w:val="000000" w:themeColor="text1"/>
          <w:sz w:val="26"/>
          <w:szCs w:val="26"/>
          <w:lang w:eastAsia="hu-HU"/>
        </w:rPr>
      </w:pPr>
      <w:r w:rsidRPr="00A3501B">
        <w:rPr>
          <w:rFonts w:ascii="Times New Roman" w:eastAsia="Times New Roman" w:hAnsi="Times New Roman" w:cs="Times New Roman"/>
          <w:color w:val="000000" w:themeColor="text1"/>
          <w:sz w:val="26"/>
          <w:szCs w:val="26"/>
          <w:lang w:eastAsia="hu-HU"/>
        </w:rPr>
        <w:t>A kiadások között nyugellátásokra és nyugdíjszer</w:t>
      </w:r>
      <w:r>
        <w:rPr>
          <w:rFonts w:ascii="Times New Roman" w:eastAsia="Times New Roman" w:hAnsi="Times New Roman" w:cs="Times New Roman"/>
          <w:color w:val="000000" w:themeColor="text1"/>
          <w:sz w:val="26"/>
          <w:szCs w:val="26"/>
          <w:lang w:eastAsia="hu-HU"/>
        </w:rPr>
        <w:t>ű ellátásokra ta</w:t>
      </w:r>
      <w:r w:rsidR="00DB1326">
        <w:rPr>
          <w:rFonts w:ascii="Times New Roman" w:eastAsia="Times New Roman" w:hAnsi="Times New Roman" w:cs="Times New Roman"/>
          <w:color w:val="000000" w:themeColor="text1"/>
          <w:sz w:val="26"/>
          <w:szCs w:val="26"/>
          <w:lang w:eastAsia="hu-HU"/>
        </w:rPr>
        <w:t>valy összesen 6</w:t>
      </w:r>
      <w:r w:rsidR="008A3C12">
        <w:rPr>
          <w:rFonts w:ascii="Times New Roman" w:eastAsia="Times New Roman" w:hAnsi="Times New Roman" w:cs="Times New Roman"/>
          <w:color w:val="000000" w:themeColor="text1"/>
          <w:sz w:val="26"/>
          <w:szCs w:val="26"/>
          <w:lang w:eastAsia="hu-HU"/>
        </w:rPr>
        <w:t>853,9 </w:t>
      </w:r>
      <w:r w:rsidRPr="00A3501B">
        <w:rPr>
          <w:rFonts w:ascii="Times New Roman" w:eastAsia="Times New Roman" w:hAnsi="Times New Roman" w:cs="Times New Roman"/>
          <w:color w:val="000000" w:themeColor="text1"/>
          <w:sz w:val="26"/>
          <w:szCs w:val="26"/>
          <w:lang w:eastAsia="hu-HU"/>
        </w:rPr>
        <w:t>milliárd forintot fordítottunk, ez 474,2 milliár</w:t>
      </w:r>
      <w:r w:rsidR="008A3C12">
        <w:rPr>
          <w:rFonts w:ascii="Times New Roman" w:eastAsia="Times New Roman" w:hAnsi="Times New Roman" w:cs="Times New Roman"/>
          <w:color w:val="000000" w:themeColor="text1"/>
          <w:sz w:val="26"/>
          <w:szCs w:val="26"/>
          <w:lang w:eastAsia="hu-HU"/>
        </w:rPr>
        <w:t>ddal magasabb összeg, mint 2023</w:t>
      </w:r>
      <w:r w:rsidR="008A3C12">
        <w:rPr>
          <w:rFonts w:ascii="Times New Roman" w:eastAsia="Times New Roman" w:hAnsi="Times New Roman" w:cs="Times New Roman"/>
          <w:color w:val="000000" w:themeColor="text1"/>
          <w:sz w:val="26"/>
          <w:szCs w:val="26"/>
          <w:lang w:eastAsia="hu-HU"/>
        </w:rPr>
        <w:noBreakHyphen/>
      </w:r>
      <w:r w:rsidRPr="00A3501B">
        <w:rPr>
          <w:rFonts w:ascii="Times New Roman" w:eastAsia="Times New Roman" w:hAnsi="Times New Roman" w:cs="Times New Roman"/>
          <w:color w:val="000000" w:themeColor="text1"/>
          <w:sz w:val="26"/>
          <w:szCs w:val="26"/>
          <w:lang w:eastAsia="hu-HU"/>
        </w:rPr>
        <w:t>ban. Ennek köszönhetően nemcsak megőriztük, hanem tovább növeltük a nyugdíjak reálértékét. Az összes kiadásból a 13. havi nyugdíj és ellátás kiadási összege 520,2 milliárd forintot tett ki.</w:t>
      </w:r>
    </w:p>
    <w:p w14:paraId="5F4C99B8" w14:textId="77777777" w:rsidR="00A3501B" w:rsidRPr="00A3501B" w:rsidRDefault="00A3501B" w:rsidP="00B14AB5">
      <w:pPr>
        <w:widowControl w:val="0"/>
        <w:jc w:val="both"/>
        <w:rPr>
          <w:rFonts w:ascii="Times New Roman" w:eastAsia="Times New Roman" w:hAnsi="Times New Roman" w:cs="Times New Roman"/>
          <w:color w:val="000000" w:themeColor="text1"/>
          <w:sz w:val="26"/>
          <w:szCs w:val="26"/>
          <w:lang w:eastAsia="hu-HU"/>
        </w:rPr>
      </w:pPr>
      <w:r w:rsidRPr="00A3501B">
        <w:rPr>
          <w:rFonts w:ascii="Times New Roman" w:eastAsia="Times New Roman" w:hAnsi="Times New Roman" w:cs="Times New Roman"/>
          <w:color w:val="000000" w:themeColor="text1"/>
          <w:sz w:val="26"/>
          <w:szCs w:val="26"/>
          <w:lang w:eastAsia="hu-HU"/>
        </w:rPr>
        <w:t>A Babaváró támogatásokra összesen 208,3 milliárd forintot költött a kormány 2024-ben, ez 31,3 milliárd forinttal haladja meg a 2023-ban folyósított forrásokat.</w:t>
      </w:r>
    </w:p>
    <w:p w14:paraId="18B2128B" w14:textId="4AC8BA47" w:rsidR="00A3501B" w:rsidRPr="00A3501B" w:rsidRDefault="00A3501B" w:rsidP="00B14AB5">
      <w:pPr>
        <w:widowControl w:val="0"/>
        <w:jc w:val="both"/>
        <w:rPr>
          <w:rFonts w:ascii="Times New Roman" w:eastAsia="Times New Roman" w:hAnsi="Times New Roman" w:cs="Times New Roman"/>
          <w:color w:val="000000" w:themeColor="text1"/>
          <w:sz w:val="26"/>
          <w:szCs w:val="26"/>
          <w:lang w:eastAsia="hu-HU"/>
        </w:rPr>
      </w:pPr>
      <w:r w:rsidRPr="00A3501B">
        <w:rPr>
          <w:rFonts w:ascii="Times New Roman" w:eastAsia="Times New Roman" w:hAnsi="Times New Roman" w:cs="Times New Roman"/>
          <w:color w:val="000000" w:themeColor="text1"/>
          <w:sz w:val="26"/>
          <w:szCs w:val="26"/>
          <w:lang w:eastAsia="hu-HU"/>
        </w:rPr>
        <w:t xml:space="preserve">Továbbra is meghaladja az egy évvel korábbi kifizetéseket az egészségügy területén gyógyító-megelőző ellátásra fordított összeg. Erre a célra a kormány 2024-ben 274 milliárd forinttal többet, 2684,1 milliárd forintot költött, amely magában foglalja az ápolók </w:t>
      </w:r>
      <w:r>
        <w:rPr>
          <w:rFonts w:ascii="Times New Roman" w:eastAsia="Times New Roman" w:hAnsi="Times New Roman" w:cs="Times New Roman"/>
          <w:color w:val="000000" w:themeColor="text1"/>
          <w:sz w:val="26"/>
          <w:szCs w:val="26"/>
          <w:lang w:eastAsia="hu-HU"/>
        </w:rPr>
        <w:br/>
      </w:r>
      <w:r w:rsidRPr="00A3501B">
        <w:rPr>
          <w:rFonts w:ascii="Times New Roman" w:eastAsia="Times New Roman" w:hAnsi="Times New Roman" w:cs="Times New Roman"/>
          <w:color w:val="000000" w:themeColor="text1"/>
          <w:sz w:val="26"/>
          <w:szCs w:val="26"/>
          <w:lang w:eastAsia="hu-HU"/>
        </w:rPr>
        <w:t xml:space="preserve">2024 márciusától végrehajtott béremelésének többletkiadását is. Az oktatásban, szakképzésben dolgozó tanárok bére pedig átlagosan 32,2 százalékkal emelkedett, ami 406,1 </w:t>
      </w:r>
      <w:r w:rsidRPr="00A3501B">
        <w:rPr>
          <w:rFonts w:ascii="Times New Roman" w:eastAsia="Times New Roman" w:hAnsi="Times New Roman" w:cs="Times New Roman"/>
          <w:color w:val="000000" w:themeColor="text1"/>
          <w:sz w:val="26"/>
          <w:szCs w:val="26"/>
          <w:lang w:eastAsia="hu-HU"/>
        </w:rPr>
        <w:lastRenderedPageBreak/>
        <w:t>milliárd forint többletkiadást jelentett.</w:t>
      </w:r>
    </w:p>
    <w:p w14:paraId="027E2B27" w14:textId="119F025F" w:rsidR="00A3501B" w:rsidRPr="00A3501B" w:rsidRDefault="00A3501B" w:rsidP="00B14AB5">
      <w:pPr>
        <w:widowControl w:val="0"/>
        <w:jc w:val="both"/>
        <w:rPr>
          <w:rFonts w:ascii="Times New Roman" w:eastAsia="Times New Roman" w:hAnsi="Times New Roman" w:cs="Times New Roman"/>
          <w:color w:val="000000" w:themeColor="text1"/>
          <w:sz w:val="26"/>
          <w:szCs w:val="26"/>
          <w:lang w:eastAsia="hu-HU"/>
        </w:rPr>
      </w:pPr>
      <w:r w:rsidRPr="00A3501B">
        <w:rPr>
          <w:rFonts w:ascii="Times New Roman" w:eastAsia="Times New Roman" w:hAnsi="Times New Roman" w:cs="Times New Roman"/>
          <w:color w:val="000000" w:themeColor="text1"/>
          <w:sz w:val="26"/>
          <w:szCs w:val="26"/>
          <w:lang w:eastAsia="hu-HU"/>
        </w:rPr>
        <w:t xml:space="preserve">2024-ben az államháztartás hiánya jelentősen csökkent a 2023. évi 6,7%-hoz képest. </w:t>
      </w:r>
      <w:r>
        <w:rPr>
          <w:rFonts w:ascii="Times New Roman" w:eastAsia="Times New Roman" w:hAnsi="Times New Roman" w:cs="Times New Roman"/>
          <w:color w:val="000000" w:themeColor="text1"/>
          <w:sz w:val="26"/>
          <w:szCs w:val="26"/>
          <w:lang w:eastAsia="hu-HU"/>
        </w:rPr>
        <w:br/>
      </w:r>
      <w:r w:rsidRPr="00A3501B">
        <w:rPr>
          <w:rFonts w:ascii="Times New Roman" w:eastAsia="Times New Roman" w:hAnsi="Times New Roman" w:cs="Times New Roman"/>
          <w:color w:val="000000" w:themeColor="text1"/>
          <w:sz w:val="26"/>
          <w:szCs w:val="26"/>
          <w:lang w:eastAsia="hu-HU"/>
        </w:rPr>
        <w:t>2024-ben az eredményszemléletű hiány GDP arányosan várhatóan 4,8% körül alakul.</w:t>
      </w:r>
    </w:p>
    <w:p w14:paraId="561D96B1" w14:textId="3D4A23AD" w:rsidR="00FC2081" w:rsidRPr="00B56CB1" w:rsidRDefault="00A3501B" w:rsidP="00B14AB5">
      <w:pPr>
        <w:widowControl w:val="0"/>
        <w:jc w:val="both"/>
        <w:rPr>
          <w:rFonts w:ascii="Times New Roman" w:eastAsia="Times New Roman" w:hAnsi="Times New Roman" w:cs="Times New Roman"/>
          <w:color w:val="000000" w:themeColor="text1"/>
          <w:sz w:val="26"/>
          <w:szCs w:val="26"/>
          <w:lang w:eastAsia="hu-HU"/>
        </w:rPr>
      </w:pPr>
      <w:r w:rsidRPr="00A3501B">
        <w:rPr>
          <w:rFonts w:ascii="Times New Roman" w:eastAsia="Times New Roman" w:hAnsi="Times New Roman" w:cs="Times New Roman"/>
          <w:color w:val="000000" w:themeColor="text1"/>
          <w:sz w:val="26"/>
          <w:szCs w:val="26"/>
          <w:lang w:eastAsia="hu-HU"/>
        </w:rPr>
        <w:t>A kormány 2025-ben is folytatja az egyensúlyi mutatók javítását. Az idei évre bővülő gazdasági teljesítmény, magas foglalkoztatottság és tovább növekvő bérek mellett csökkenő államadóssággal és 3,7%-os GDP-arányos hiánnyal számolunk</w:t>
      </w:r>
      <w:r w:rsidR="33985B12" w:rsidRPr="33985B12">
        <w:rPr>
          <w:rFonts w:ascii="Times New Roman" w:eastAsia="Times New Roman" w:hAnsi="Times New Roman" w:cs="Times New Roman"/>
          <w:color w:val="000000" w:themeColor="text1"/>
          <w:sz w:val="26"/>
          <w:szCs w:val="26"/>
          <w:lang w:eastAsia="hu-HU"/>
        </w:rPr>
        <w:t>.</w:t>
      </w:r>
    </w:p>
    <w:p w14:paraId="7B768A0B" w14:textId="2F71366C" w:rsidR="00B155FE" w:rsidRPr="00377D59" w:rsidRDefault="00920F4D" w:rsidP="33985B12">
      <w:pPr>
        <w:widowControl w:val="0"/>
        <w:spacing w:after="240" w:line="240" w:lineRule="auto"/>
        <w:jc w:val="both"/>
        <w:rPr>
          <w:rFonts w:ascii="Times New Roman" w:eastAsia="Times New Roman" w:hAnsi="Times New Roman" w:cs="Times New Roman"/>
          <w:sz w:val="26"/>
          <w:szCs w:val="26"/>
          <w:lang w:eastAsia="hu-HU"/>
        </w:rPr>
      </w:pPr>
      <w:r>
        <w:rPr>
          <w:rFonts w:ascii="Times New Roman" w:eastAsia="Times New Roman" w:hAnsi="Times New Roman" w:cs="Times New Roman"/>
          <w:sz w:val="26"/>
          <w:szCs w:val="26"/>
          <w:lang w:eastAsia="hu-HU"/>
        </w:rPr>
        <w:br w:type="column"/>
      </w:r>
      <w:r w:rsidR="639E9B9B" w:rsidRPr="639E9B9B">
        <w:rPr>
          <w:rFonts w:ascii="Times New Roman" w:eastAsia="Times New Roman" w:hAnsi="Times New Roman" w:cs="Times New Roman"/>
          <w:sz w:val="26"/>
          <w:szCs w:val="26"/>
          <w:lang w:eastAsia="hu-HU"/>
        </w:rPr>
        <w:lastRenderedPageBreak/>
        <w:t xml:space="preserve">Az államháztartás központi alrendszerének 2024. </w:t>
      </w:r>
      <w:r w:rsidR="00A3501B">
        <w:rPr>
          <w:rFonts w:ascii="Times New Roman" w:eastAsia="Times New Roman" w:hAnsi="Times New Roman" w:cs="Times New Roman"/>
          <w:sz w:val="26"/>
          <w:szCs w:val="26"/>
          <w:lang w:eastAsia="hu-HU"/>
        </w:rPr>
        <w:t>december</w:t>
      </w:r>
      <w:r w:rsidR="639E9B9B" w:rsidRPr="639E9B9B">
        <w:rPr>
          <w:rFonts w:ascii="Times New Roman" w:eastAsia="Times New Roman" w:hAnsi="Times New Roman" w:cs="Times New Roman"/>
          <w:sz w:val="26"/>
          <w:szCs w:val="26"/>
          <w:lang w:eastAsia="hu-HU"/>
        </w:rPr>
        <w:t xml:space="preserve"> végi főbb pénzforgalmi adatai a következők: </w:t>
      </w:r>
    </w:p>
    <w:tbl>
      <w:tblPr>
        <w:tblW w:w="8075" w:type="dxa"/>
        <w:jc w:val="center"/>
        <w:tblLayout w:type="fixed"/>
        <w:tblCellMar>
          <w:left w:w="70" w:type="dxa"/>
          <w:right w:w="70" w:type="dxa"/>
        </w:tblCellMar>
        <w:tblLook w:val="04A0" w:firstRow="1" w:lastRow="0" w:firstColumn="1" w:lastColumn="0" w:noHBand="0" w:noVBand="1"/>
      </w:tblPr>
      <w:tblGrid>
        <w:gridCol w:w="2039"/>
        <w:gridCol w:w="1163"/>
        <w:gridCol w:w="1162"/>
        <w:gridCol w:w="1162"/>
        <w:gridCol w:w="1273"/>
        <w:gridCol w:w="1276"/>
      </w:tblGrid>
      <w:tr w:rsidR="00B771CD" w:rsidRPr="00377D59" w14:paraId="0660AA2A" w14:textId="77777777" w:rsidTr="00A36ED5">
        <w:trPr>
          <w:trHeight w:val="1440"/>
          <w:jc w:val="center"/>
        </w:trPr>
        <w:tc>
          <w:tcPr>
            <w:tcW w:w="203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hideMark/>
          </w:tcPr>
          <w:p w14:paraId="4025339B" w14:textId="47F5B9E2" w:rsidR="00B771CD" w:rsidRPr="00CB4082" w:rsidRDefault="00B771CD" w:rsidP="33985B12">
            <w:pPr>
              <w:keepNext/>
              <w:keepLines/>
              <w:spacing w:after="0" w:line="240" w:lineRule="auto"/>
              <w:rPr>
                <w:rFonts w:ascii="Times New Roman" w:eastAsia="Times New Roman" w:hAnsi="Times New Roman" w:cs="Times New Roman"/>
                <w:sz w:val="20"/>
                <w:szCs w:val="20"/>
                <w:lang w:eastAsia="hu-HU"/>
              </w:rPr>
            </w:pPr>
          </w:p>
        </w:tc>
        <w:tc>
          <w:tcPr>
            <w:tcW w:w="1163" w:type="dxa"/>
            <w:tcBorders>
              <w:top w:val="single" w:sz="4" w:space="0" w:color="auto"/>
              <w:left w:val="nil"/>
              <w:bottom w:val="single" w:sz="4" w:space="0" w:color="auto"/>
              <w:right w:val="single" w:sz="4" w:space="0" w:color="auto"/>
            </w:tcBorders>
            <w:shd w:val="clear" w:color="auto" w:fill="BDD6EE" w:themeFill="accent1" w:themeFillTint="66"/>
            <w:hideMark/>
          </w:tcPr>
          <w:p w14:paraId="05BB2C24" w14:textId="77777777" w:rsidR="00B771CD" w:rsidRPr="00CB4082" w:rsidRDefault="00B771CD" w:rsidP="00496C75">
            <w:pPr>
              <w:keepNext/>
              <w:keepLines/>
              <w:spacing w:line="240" w:lineRule="auto"/>
              <w:jc w:val="center"/>
              <w:rPr>
                <w:rFonts w:ascii="Times New Roman" w:hAnsi="Times New Roman" w:cs="Times New Roman"/>
                <w:sz w:val="20"/>
                <w:szCs w:val="20"/>
              </w:rPr>
            </w:pPr>
            <w:r w:rsidRPr="33985B12">
              <w:rPr>
                <w:rFonts w:ascii="Times New Roman" w:hAnsi="Times New Roman" w:cs="Times New Roman"/>
                <w:b/>
                <w:bCs/>
                <w:sz w:val="20"/>
                <w:szCs w:val="20"/>
              </w:rPr>
              <w:t xml:space="preserve">2023. évi </w:t>
            </w:r>
            <w:r>
              <w:br/>
            </w:r>
            <w:r w:rsidRPr="33985B12">
              <w:rPr>
                <w:rFonts w:ascii="Times New Roman" w:hAnsi="Times New Roman" w:cs="Times New Roman"/>
                <w:b/>
                <w:bCs/>
                <w:sz w:val="20"/>
                <w:szCs w:val="20"/>
              </w:rPr>
              <w:t>tény</w:t>
            </w:r>
            <w:r>
              <w:br/>
            </w:r>
            <w:r w:rsidRPr="33985B12">
              <w:rPr>
                <w:rFonts w:ascii="Times New Roman" w:hAnsi="Times New Roman" w:cs="Times New Roman"/>
                <w:sz w:val="20"/>
                <w:szCs w:val="20"/>
              </w:rPr>
              <w:t>milliárd forintban</w:t>
            </w:r>
          </w:p>
          <w:p w14:paraId="5CDE57CE" w14:textId="77777777" w:rsidR="00C87909" w:rsidRDefault="00C87909" w:rsidP="00496C75">
            <w:pPr>
              <w:keepNext/>
              <w:keepLines/>
              <w:spacing w:after="0" w:line="240" w:lineRule="auto"/>
              <w:jc w:val="center"/>
              <w:rPr>
                <w:rFonts w:ascii="Times New Roman" w:hAnsi="Times New Roman" w:cs="Times New Roman"/>
                <w:sz w:val="20"/>
                <w:szCs w:val="20"/>
              </w:rPr>
            </w:pPr>
          </w:p>
          <w:p w14:paraId="30025502" w14:textId="60E508D0" w:rsidR="00B771CD" w:rsidRPr="00CB4082" w:rsidRDefault="00B771CD" w:rsidP="00496C75">
            <w:pPr>
              <w:keepNext/>
              <w:keepLines/>
              <w:spacing w:after="120" w:line="240" w:lineRule="auto"/>
              <w:jc w:val="center"/>
              <w:rPr>
                <w:rFonts w:ascii="Times New Roman" w:eastAsia="Times New Roman" w:hAnsi="Times New Roman" w:cs="Times New Roman"/>
                <w:sz w:val="20"/>
                <w:szCs w:val="20"/>
                <w:lang w:eastAsia="hu-HU"/>
              </w:rPr>
            </w:pPr>
            <w:r w:rsidRPr="33985B12">
              <w:rPr>
                <w:rFonts w:ascii="Times New Roman" w:hAnsi="Times New Roman" w:cs="Times New Roman"/>
                <w:sz w:val="20"/>
                <w:szCs w:val="20"/>
              </w:rPr>
              <w:t>(1)</w:t>
            </w:r>
          </w:p>
        </w:tc>
        <w:tc>
          <w:tcPr>
            <w:tcW w:w="1162" w:type="dxa"/>
            <w:tcBorders>
              <w:top w:val="single" w:sz="4" w:space="0" w:color="auto"/>
              <w:left w:val="nil"/>
              <w:bottom w:val="single" w:sz="4" w:space="0" w:color="auto"/>
              <w:right w:val="single" w:sz="4" w:space="0" w:color="auto"/>
            </w:tcBorders>
            <w:shd w:val="clear" w:color="auto" w:fill="BDD6EE" w:themeFill="accent1" w:themeFillTint="66"/>
            <w:hideMark/>
          </w:tcPr>
          <w:p w14:paraId="6EECF805" w14:textId="77777777" w:rsidR="00B771CD" w:rsidRPr="00CB4082" w:rsidRDefault="00B771CD" w:rsidP="00496C75">
            <w:pPr>
              <w:keepNext/>
              <w:keepLines/>
              <w:spacing w:line="240" w:lineRule="auto"/>
              <w:jc w:val="center"/>
              <w:rPr>
                <w:rFonts w:ascii="Times New Roman" w:hAnsi="Times New Roman" w:cs="Times New Roman"/>
                <w:sz w:val="20"/>
                <w:szCs w:val="20"/>
              </w:rPr>
            </w:pPr>
            <w:r w:rsidRPr="33985B12">
              <w:rPr>
                <w:rFonts w:ascii="Times New Roman" w:hAnsi="Times New Roman" w:cs="Times New Roman"/>
                <w:b/>
                <w:bCs/>
                <w:sz w:val="20"/>
                <w:szCs w:val="20"/>
              </w:rPr>
              <w:t>2024. évi előirányzat</w:t>
            </w:r>
            <w:r>
              <w:br/>
            </w:r>
            <w:r w:rsidRPr="33985B12">
              <w:rPr>
                <w:rFonts w:ascii="Times New Roman" w:hAnsi="Times New Roman" w:cs="Times New Roman"/>
                <w:sz w:val="20"/>
                <w:szCs w:val="20"/>
              </w:rPr>
              <w:t>milliárd forintban</w:t>
            </w:r>
          </w:p>
          <w:p w14:paraId="58DB6129" w14:textId="77777777" w:rsidR="00C87909" w:rsidRDefault="00C87909" w:rsidP="00496C75">
            <w:pPr>
              <w:keepNext/>
              <w:keepLines/>
              <w:spacing w:after="0" w:line="240" w:lineRule="auto"/>
              <w:jc w:val="center"/>
              <w:rPr>
                <w:rFonts w:ascii="Times New Roman" w:hAnsi="Times New Roman" w:cs="Times New Roman"/>
                <w:sz w:val="20"/>
                <w:szCs w:val="20"/>
              </w:rPr>
            </w:pPr>
          </w:p>
          <w:p w14:paraId="3EE81095" w14:textId="782AF7A1" w:rsidR="00B771CD" w:rsidRPr="00CB4082" w:rsidRDefault="00B771CD" w:rsidP="00496C75">
            <w:pPr>
              <w:keepNext/>
              <w:keepLines/>
              <w:spacing w:after="0" w:line="240" w:lineRule="auto"/>
              <w:jc w:val="center"/>
              <w:rPr>
                <w:rFonts w:ascii="Times New Roman" w:eastAsia="Times New Roman" w:hAnsi="Times New Roman" w:cs="Times New Roman"/>
                <w:sz w:val="20"/>
                <w:szCs w:val="20"/>
                <w:lang w:eastAsia="hu-HU"/>
              </w:rPr>
            </w:pPr>
            <w:r w:rsidRPr="33985B12">
              <w:rPr>
                <w:rFonts w:ascii="Times New Roman" w:hAnsi="Times New Roman" w:cs="Times New Roman"/>
                <w:sz w:val="20"/>
                <w:szCs w:val="20"/>
              </w:rPr>
              <w:t>(</w:t>
            </w:r>
            <w:r w:rsidR="0002105A">
              <w:rPr>
                <w:rFonts w:ascii="Times New Roman" w:hAnsi="Times New Roman" w:cs="Times New Roman"/>
                <w:sz w:val="20"/>
                <w:szCs w:val="20"/>
              </w:rPr>
              <w:t>2</w:t>
            </w:r>
            <w:r w:rsidRPr="33985B12">
              <w:rPr>
                <w:rFonts w:ascii="Times New Roman" w:hAnsi="Times New Roman" w:cs="Times New Roman"/>
                <w:sz w:val="20"/>
                <w:szCs w:val="20"/>
              </w:rPr>
              <w:t>)</w:t>
            </w:r>
          </w:p>
        </w:tc>
        <w:tc>
          <w:tcPr>
            <w:tcW w:w="1162" w:type="dxa"/>
            <w:tcBorders>
              <w:top w:val="single" w:sz="4" w:space="0" w:color="auto"/>
              <w:left w:val="nil"/>
              <w:bottom w:val="single" w:sz="4" w:space="0" w:color="auto"/>
              <w:right w:val="single" w:sz="4" w:space="0" w:color="auto"/>
            </w:tcBorders>
            <w:shd w:val="clear" w:color="auto" w:fill="BDD6EE" w:themeFill="accent1" w:themeFillTint="66"/>
            <w:hideMark/>
          </w:tcPr>
          <w:p w14:paraId="689A3894" w14:textId="6F84BD59" w:rsidR="00B771CD" w:rsidRDefault="00B771CD" w:rsidP="00496C75">
            <w:pPr>
              <w:keepNext/>
              <w:keepLines/>
              <w:spacing w:line="240" w:lineRule="auto"/>
              <w:jc w:val="center"/>
              <w:rPr>
                <w:rFonts w:ascii="Times New Roman" w:hAnsi="Times New Roman" w:cs="Times New Roman"/>
                <w:sz w:val="20"/>
                <w:szCs w:val="20"/>
              </w:rPr>
            </w:pPr>
            <w:r w:rsidRPr="33985B12">
              <w:rPr>
                <w:rFonts w:ascii="Times New Roman" w:hAnsi="Times New Roman" w:cs="Times New Roman"/>
                <w:b/>
                <w:bCs/>
                <w:sz w:val="20"/>
                <w:szCs w:val="20"/>
              </w:rPr>
              <w:t xml:space="preserve">2024. </w:t>
            </w:r>
            <w:r w:rsidR="0002105A">
              <w:rPr>
                <w:rFonts w:ascii="Times New Roman" w:hAnsi="Times New Roman" w:cs="Times New Roman"/>
                <w:b/>
                <w:bCs/>
                <w:sz w:val="20"/>
                <w:szCs w:val="20"/>
              </w:rPr>
              <w:t xml:space="preserve">évi </w:t>
            </w:r>
            <w:r w:rsidR="0002105A">
              <w:rPr>
                <w:rFonts w:ascii="Times New Roman" w:hAnsi="Times New Roman" w:cs="Times New Roman"/>
                <w:b/>
                <w:bCs/>
                <w:sz w:val="20"/>
                <w:szCs w:val="20"/>
              </w:rPr>
              <w:br/>
            </w:r>
            <w:r w:rsidRPr="33985B12">
              <w:rPr>
                <w:rFonts w:ascii="Times New Roman" w:hAnsi="Times New Roman" w:cs="Times New Roman"/>
                <w:b/>
                <w:bCs/>
                <w:sz w:val="20"/>
                <w:szCs w:val="20"/>
              </w:rPr>
              <w:t>I-</w:t>
            </w:r>
            <w:r w:rsidRPr="00B771CD">
              <w:rPr>
                <w:rFonts w:ascii="Times New Roman" w:hAnsi="Times New Roman" w:cs="Times New Roman"/>
                <w:b/>
                <w:bCs/>
                <w:sz w:val="20"/>
                <w:szCs w:val="20"/>
              </w:rPr>
              <w:t>XI</w:t>
            </w:r>
            <w:r>
              <w:rPr>
                <w:rFonts w:ascii="Times New Roman" w:hAnsi="Times New Roman" w:cs="Times New Roman"/>
                <w:b/>
                <w:bCs/>
                <w:sz w:val="20"/>
                <w:szCs w:val="20"/>
              </w:rPr>
              <w:t>I</w:t>
            </w:r>
            <w:r w:rsidRPr="33985B12">
              <w:rPr>
                <w:rFonts w:ascii="Times New Roman" w:hAnsi="Times New Roman" w:cs="Times New Roman"/>
                <w:b/>
                <w:bCs/>
                <w:sz w:val="20"/>
                <w:szCs w:val="20"/>
              </w:rPr>
              <w:t xml:space="preserve">. </w:t>
            </w:r>
            <w:r>
              <w:br/>
            </w:r>
            <w:r w:rsidRPr="33985B12">
              <w:rPr>
                <w:rFonts w:ascii="Times New Roman" w:hAnsi="Times New Roman" w:cs="Times New Roman"/>
                <w:b/>
                <w:bCs/>
                <w:sz w:val="20"/>
                <w:szCs w:val="20"/>
              </w:rPr>
              <w:t>hó tény</w:t>
            </w:r>
            <w:r>
              <w:br/>
            </w:r>
            <w:r w:rsidRPr="33985B12">
              <w:rPr>
                <w:rFonts w:ascii="Times New Roman" w:hAnsi="Times New Roman" w:cs="Times New Roman"/>
                <w:sz w:val="20"/>
                <w:szCs w:val="20"/>
              </w:rPr>
              <w:t>milliárd forintban</w:t>
            </w:r>
          </w:p>
          <w:p w14:paraId="72F7B7E0" w14:textId="56EDB64A" w:rsidR="00B771CD" w:rsidRPr="00CB4082" w:rsidRDefault="00B771CD" w:rsidP="00496C75">
            <w:pPr>
              <w:keepNext/>
              <w:keepLines/>
              <w:spacing w:line="240" w:lineRule="auto"/>
              <w:jc w:val="center"/>
              <w:rPr>
                <w:rFonts w:ascii="Times New Roman" w:eastAsia="Times New Roman" w:hAnsi="Times New Roman" w:cs="Times New Roman"/>
                <w:sz w:val="20"/>
                <w:szCs w:val="20"/>
                <w:lang w:eastAsia="hu-HU"/>
              </w:rPr>
            </w:pPr>
            <w:r w:rsidRPr="33985B12">
              <w:rPr>
                <w:rFonts w:ascii="Times New Roman" w:hAnsi="Times New Roman" w:cs="Times New Roman"/>
                <w:sz w:val="20"/>
                <w:szCs w:val="20"/>
              </w:rPr>
              <w:t>(</w:t>
            </w:r>
            <w:r w:rsidR="0002105A">
              <w:rPr>
                <w:rFonts w:ascii="Times New Roman" w:hAnsi="Times New Roman" w:cs="Times New Roman"/>
                <w:sz w:val="20"/>
                <w:szCs w:val="20"/>
              </w:rPr>
              <w:t>3</w:t>
            </w:r>
            <w:r w:rsidRPr="33985B12">
              <w:rPr>
                <w:rFonts w:ascii="Times New Roman" w:hAnsi="Times New Roman" w:cs="Times New Roman"/>
                <w:sz w:val="20"/>
                <w:szCs w:val="20"/>
              </w:rPr>
              <w:t>)</w:t>
            </w:r>
          </w:p>
        </w:tc>
        <w:tc>
          <w:tcPr>
            <w:tcW w:w="1273" w:type="dxa"/>
            <w:tcBorders>
              <w:top w:val="single" w:sz="4" w:space="0" w:color="auto"/>
              <w:left w:val="nil"/>
              <w:bottom w:val="single" w:sz="4" w:space="0" w:color="auto"/>
              <w:right w:val="single" w:sz="4" w:space="0" w:color="auto"/>
            </w:tcBorders>
            <w:shd w:val="clear" w:color="auto" w:fill="BDD6EE" w:themeFill="accent1" w:themeFillTint="66"/>
            <w:hideMark/>
          </w:tcPr>
          <w:p w14:paraId="5E910D6E" w14:textId="77777777" w:rsidR="00B771CD" w:rsidRPr="00CB4082" w:rsidRDefault="00B771CD" w:rsidP="00496C75">
            <w:pPr>
              <w:keepNext/>
              <w:keepLines/>
              <w:spacing w:line="240" w:lineRule="auto"/>
              <w:jc w:val="center"/>
              <w:rPr>
                <w:rFonts w:ascii="Times New Roman" w:hAnsi="Times New Roman" w:cs="Times New Roman"/>
                <w:sz w:val="20"/>
                <w:szCs w:val="20"/>
              </w:rPr>
            </w:pPr>
            <w:r w:rsidRPr="33985B12">
              <w:rPr>
                <w:rFonts w:ascii="Times New Roman" w:hAnsi="Times New Roman" w:cs="Times New Roman"/>
                <w:sz w:val="20"/>
                <w:szCs w:val="20"/>
              </w:rPr>
              <w:t>előirányzat=</w:t>
            </w:r>
            <w:r>
              <w:br/>
            </w:r>
            <w:r w:rsidRPr="33985B12">
              <w:rPr>
                <w:rFonts w:ascii="Times New Roman" w:hAnsi="Times New Roman" w:cs="Times New Roman"/>
                <w:sz w:val="20"/>
                <w:szCs w:val="20"/>
              </w:rPr>
              <w:t>100%</w:t>
            </w:r>
            <w:r>
              <w:br/>
            </w:r>
            <w:r w:rsidRPr="33985B12">
              <w:rPr>
                <w:rFonts w:ascii="Times New Roman" w:hAnsi="Times New Roman" w:cs="Times New Roman"/>
                <w:sz w:val="20"/>
                <w:szCs w:val="20"/>
              </w:rPr>
              <w:t>Index (%)</w:t>
            </w:r>
            <w:r>
              <w:br/>
            </w:r>
          </w:p>
          <w:p w14:paraId="732B4E3D" w14:textId="77777777" w:rsidR="00C87909" w:rsidRDefault="00C87909" w:rsidP="00496C75">
            <w:pPr>
              <w:keepNext/>
              <w:keepLines/>
              <w:spacing w:after="0" w:line="240" w:lineRule="auto"/>
              <w:jc w:val="center"/>
              <w:rPr>
                <w:rFonts w:ascii="Times New Roman" w:hAnsi="Times New Roman" w:cs="Times New Roman"/>
                <w:sz w:val="20"/>
                <w:szCs w:val="20"/>
              </w:rPr>
            </w:pPr>
          </w:p>
          <w:p w14:paraId="5173E54B" w14:textId="0B3D3838" w:rsidR="00B771CD" w:rsidRPr="00CB4082" w:rsidRDefault="00B771CD" w:rsidP="00496C75">
            <w:pPr>
              <w:keepNext/>
              <w:keepLines/>
              <w:spacing w:after="0" w:line="240" w:lineRule="auto"/>
              <w:jc w:val="center"/>
              <w:rPr>
                <w:rFonts w:ascii="Times New Roman" w:eastAsia="Times New Roman" w:hAnsi="Times New Roman" w:cs="Times New Roman"/>
                <w:sz w:val="20"/>
                <w:szCs w:val="20"/>
                <w:lang w:eastAsia="hu-HU"/>
              </w:rPr>
            </w:pPr>
            <w:r w:rsidRPr="33985B12">
              <w:rPr>
                <w:rFonts w:ascii="Times New Roman" w:hAnsi="Times New Roman" w:cs="Times New Roman"/>
                <w:sz w:val="20"/>
                <w:szCs w:val="20"/>
              </w:rPr>
              <w:t>(</w:t>
            </w:r>
            <w:r w:rsidR="0002105A">
              <w:rPr>
                <w:rFonts w:ascii="Times New Roman" w:hAnsi="Times New Roman" w:cs="Times New Roman"/>
                <w:sz w:val="20"/>
                <w:szCs w:val="20"/>
              </w:rPr>
              <w:t>3/2</w:t>
            </w:r>
            <w:r w:rsidRPr="33985B12">
              <w:rPr>
                <w:rFonts w:ascii="Times New Roman" w:hAnsi="Times New Roman" w:cs="Times New Roman"/>
                <w:sz w:val="20"/>
                <w:szCs w:val="20"/>
              </w:rPr>
              <w:t>)</w:t>
            </w:r>
          </w:p>
        </w:tc>
        <w:tc>
          <w:tcPr>
            <w:tcW w:w="1276" w:type="dxa"/>
            <w:tcBorders>
              <w:top w:val="single" w:sz="4" w:space="0" w:color="auto"/>
              <w:left w:val="nil"/>
              <w:bottom w:val="single" w:sz="4" w:space="0" w:color="auto"/>
              <w:right w:val="single" w:sz="4" w:space="0" w:color="auto"/>
            </w:tcBorders>
            <w:shd w:val="clear" w:color="auto" w:fill="BDD6EE" w:themeFill="accent1" w:themeFillTint="66"/>
            <w:hideMark/>
          </w:tcPr>
          <w:p w14:paraId="578EBD6B" w14:textId="77777777" w:rsidR="00B771CD" w:rsidRPr="00CB4082" w:rsidRDefault="00B771CD" w:rsidP="00496C75">
            <w:pPr>
              <w:keepNext/>
              <w:keepLines/>
              <w:spacing w:line="240" w:lineRule="auto"/>
              <w:jc w:val="center"/>
              <w:rPr>
                <w:rFonts w:ascii="Times New Roman" w:hAnsi="Times New Roman" w:cs="Times New Roman"/>
                <w:sz w:val="20"/>
                <w:szCs w:val="20"/>
              </w:rPr>
            </w:pPr>
            <w:r w:rsidRPr="33985B12">
              <w:rPr>
                <w:rFonts w:ascii="Times New Roman" w:hAnsi="Times New Roman" w:cs="Times New Roman"/>
                <w:sz w:val="20"/>
                <w:szCs w:val="20"/>
              </w:rPr>
              <w:t>előző év=</w:t>
            </w:r>
            <w:r>
              <w:br/>
            </w:r>
            <w:r w:rsidRPr="33985B12">
              <w:rPr>
                <w:rFonts w:ascii="Times New Roman" w:hAnsi="Times New Roman" w:cs="Times New Roman"/>
                <w:sz w:val="20"/>
                <w:szCs w:val="20"/>
              </w:rPr>
              <w:t>100%</w:t>
            </w:r>
            <w:r>
              <w:br/>
            </w:r>
            <w:r w:rsidRPr="33985B12">
              <w:rPr>
                <w:rFonts w:ascii="Times New Roman" w:hAnsi="Times New Roman" w:cs="Times New Roman"/>
                <w:sz w:val="20"/>
                <w:szCs w:val="20"/>
              </w:rPr>
              <w:t>Index (%)</w:t>
            </w:r>
            <w:r>
              <w:br/>
            </w:r>
          </w:p>
          <w:p w14:paraId="5F656D06" w14:textId="77777777" w:rsidR="00C87909" w:rsidRDefault="00C87909" w:rsidP="00496C75">
            <w:pPr>
              <w:keepNext/>
              <w:keepLines/>
              <w:spacing w:after="0" w:line="240" w:lineRule="auto"/>
              <w:jc w:val="center"/>
              <w:rPr>
                <w:rFonts w:ascii="Times New Roman" w:hAnsi="Times New Roman" w:cs="Times New Roman"/>
                <w:sz w:val="20"/>
                <w:szCs w:val="20"/>
              </w:rPr>
            </w:pPr>
          </w:p>
          <w:p w14:paraId="72D59276" w14:textId="5F77EAAB" w:rsidR="00B771CD" w:rsidRPr="00CB4082" w:rsidRDefault="00B771CD" w:rsidP="00496C75">
            <w:pPr>
              <w:keepNext/>
              <w:keepLines/>
              <w:spacing w:after="0" w:line="240" w:lineRule="auto"/>
              <w:jc w:val="center"/>
              <w:rPr>
                <w:rFonts w:ascii="Times New Roman" w:eastAsia="Times New Roman" w:hAnsi="Times New Roman" w:cs="Times New Roman"/>
                <w:sz w:val="20"/>
                <w:szCs w:val="20"/>
                <w:lang w:eastAsia="hu-HU"/>
              </w:rPr>
            </w:pPr>
            <w:r w:rsidRPr="33985B12">
              <w:rPr>
                <w:rFonts w:ascii="Times New Roman" w:hAnsi="Times New Roman" w:cs="Times New Roman"/>
                <w:sz w:val="20"/>
                <w:szCs w:val="20"/>
              </w:rPr>
              <w:t>(</w:t>
            </w:r>
            <w:r w:rsidR="0002105A">
              <w:rPr>
                <w:rFonts w:ascii="Times New Roman" w:hAnsi="Times New Roman" w:cs="Times New Roman"/>
                <w:sz w:val="20"/>
                <w:szCs w:val="20"/>
              </w:rPr>
              <w:t>3/1</w:t>
            </w:r>
            <w:r w:rsidRPr="33985B12">
              <w:rPr>
                <w:rFonts w:ascii="Times New Roman" w:hAnsi="Times New Roman" w:cs="Times New Roman"/>
                <w:sz w:val="20"/>
                <w:szCs w:val="20"/>
              </w:rPr>
              <w:t>)</w:t>
            </w:r>
          </w:p>
        </w:tc>
      </w:tr>
      <w:tr w:rsidR="00B771CD" w:rsidRPr="00377D59" w14:paraId="650BB2C3" w14:textId="77777777" w:rsidTr="00A36ED5">
        <w:trPr>
          <w:trHeight w:val="680"/>
          <w:jc w:val="center"/>
        </w:trPr>
        <w:tc>
          <w:tcPr>
            <w:tcW w:w="2039" w:type="dxa"/>
            <w:tcBorders>
              <w:top w:val="nil"/>
              <w:left w:val="single" w:sz="4" w:space="0" w:color="auto"/>
              <w:bottom w:val="single" w:sz="4" w:space="0" w:color="auto"/>
              <w:right w:val="single" w:sz="4" w:space="0" w:color="auto"/>
            </w:tcBorders>
            <w:shd w:val="clear" w:color="auto" w:fill="auto"/>
            <w:vAlign w:val="center"/>
            <w:hideMark/>
          </w:tcPr>
          <w:p w14:paraId="456CB2F2" w14:textId="71818456" w:rsidR="00B771CD" w:rsidRPr="00CB4082" w:rsidRDefault="00B771CD" w:rsidP="00B771CD">
            <w:pPr>
              <w:keepNext/>
              <w:keepLines/>
              <w:spacing w:after="0" w:line="240" w:lineRule="auto"/>
              <w:rPr>
                <w:rFonts w:ascii="Times New Roman" w:eastAsia="Times New Roman" w:hAnsi="Times New Roman" w:cs="Times New Roman"/>
                <w:b/>
                <w:bCs/>
                <w:sz w:val="20"/>
                <w:szCs w:val="20"/>
                <w:lang w:eastAsia="hu-HU"/>
              </w:rPr>
            </w:pPr>
            <w:r w:rsidRPr="33985B12">
              <w:rPr>
                <w:rFonts w:ascii="Times New Roman" w:hAnsi="Times New Roman" w:cs="Times New Roman"/>
                <w:b/>
                <w:bCs/>
                <w:sz w:val="20"/>
                <w:szCs w:val="20"/>
              </w:rPr>
              <w:t>Központi költségvetés egyenlege</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19D5C3" w14:textId="73135697" w:rsidR="00B771CD" w:rsidRPr="00CB4082" w:rsidRDefault="00B771CD" w:rsidP="00B771CD">
            <w:pPr>
              <w:spacing w:after="0" w:line="240" w:lineRule="auto"/>
              <w:jc w:val="right"/>
              <w:rPr>
                <w:rFonts w:ascii="Times New Roman" w:eastAsia="Times New Roman" w:hAnsi="Times New Roman" w:cs="Times New Roman"/>
                <w:b/>
                <w:bCs/>
                <w:sz w:val="20"/>
                <w:szCs w:val="20"/>
                <w:lang w:eastAsia="hu-HU"/>
              </w:rPr>
            </w:pPr>
            <w:r w:rsidRPr="33985B12">
              <w:rPr>
                <w:rFonts w:ascii="Garamond" w:hAnsi="Garamond"/>
                <w:b/>
                <w:bCs/>
                <w:sz w:val="20"/>
                <w:szCs w:val="20"/>
              </w:rPr>
              <w:t>-4 132,1</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61916028" w14:textId="056B3D90" w:rsidR="00B771CD" w:rsidRPr="00CB4082" w:rsidRDefault="00B771CD" w:rsidP="00B771CD">
            <w:pPr>
              <w:spacing w:after="0" w:line="240" w:lineRule="auto"/>
              <w:jc w:val="right"/>
              <w:rPr>
                <w:rFonts w:ascii="Times New Roman" w:eastAsia="Times New Roman" w:hAnsi="Times New Roman" w:cs="Times New Roman"/>
                <w:b/>
                <w:bCs/>
                <w:sz w:val="20"/>
                <w:szCs w:val="20"/>
                <w:lang w:eastAsia="hu-HU"/>
              </w:rPr>
            </w:pPr>
            <w:r w:rsidRPr="00D32E7B">
              <w:rPr>
                <w:rFonts w:ascii="Garamond" w:hAnsi="Garamond"/>
                <w:b/>
                <w:bCs/>
                <w:sz w:val="20"/>
                <w:szCs w:val="20"/>
              </w:rPr>
              <w:t>-2 699,7</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2122C629" w14:textId="7F5BD06B" w:rsidR="00B771CD" w:rsidRPr="00CB4082" w:rsidRDefault="00B771CD" w:rsidP="00B771CD">
            <w:pPr>
              <w:spacing w:after="0" w:line="240" w:lineRule="auto"/>
              <w:jc w:val="right"/>
              <w:rPr>
                <w:rFonts w:ascii="Times New Roman" w:eastAsia="Times New Roman" w:hAnsi="Times New Roman" w:cs="Times New Roman"/>
                <w:b/>
                <w:bCs/>
                <w:sz w:val="20"/>
                <w:szCs w:val="20"/>
                <w:lang w:eastAsia="hu-HU"/>
              </w:rPr>
            </w:pPr>
            <w:r w:rsidRPr="00D32E7B">
              <w:rPr>
                <w:rFonts w:ascii="Garamond" w:hAnsi="Garamond"/>
                <w:b/>
                <w:bCs/>
                <w:sz w:val="20"/>
                <w:szCs w:val="20"/>
              </w:rPr>
              <w:t>-4 003,9</w:t>
            </w:r>
          </w:p>
        </w:tc>
        <w:tc>
          <w:tcPr>
            <w:tcW w:w="1273" w:type="dxa"/>
            <w:tcBorders>
              <w:top w:val="single" w:sz="4" w:space="0" w:color="auto"/>
              <w:left w:val="nil"/>
              <w:bottom w:val="single" w:sz="4" w:space="0" w:color="auto"/>
              <w:right w:val="single" w:sz="4" w:space="0" w:color="auto"/>
            </w:tcBorders>
            <w:shd w:val="clear" w:color="auto" w:fill="auto"/>
            <w:noWrap/>
            <w:vAlign w:val="center"/>
          </w:tcPr>
          <w:p w14:paraId="4E18CE63" w14:textId="3CB1F2FA" w:rsidR="00B771CD" w:rsidRPr="00CB4082" w:rsidRDefault="00B771CD" w:rsidP="00B771CD">
            <w:pPr>
              <w:spacing w:after="0" w:line="240" w:lineRule="auto"/>
              <w:jc w:val="right"/>
              <w:rPr>
                <w:rFonts w:ascii="Times New Roman" w:eastAsia="Times New Roman" w:hAnsi="Times New Roman" w:cs="Times New Roman"/>
                <w:sz w:val="20"/>
                <w:szCs w:val="20"/>
                <w:lang w:eastAsia="hu-HU"/>
              </w:rPr>
            </w:pPr>
            <w:r w:rsidRPr="00D32E7B">
              <w:rPr>
                <w:rFonts w:ascii="Garamond" w:hAnsi="Garamond"/>
                <w:sz w:val="20"/>
                <w:szCs w:val="20"/>
              </w:rPr>
              <w:t>148,3</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8B28E59" w14:textId="07A03D1F" w:rsidR="00B771CD" w:rsidRPr="00CB4082" w:rsidRDefault="00B771CD" w:rsidP="00B771CD">
            <w:pPr>
              <w:spacing w:after="0" w:line="240" w:lineRule="auto"/>
              <w:jc w:val="right"/>
              <w:rPr>
                <w:rFonts w:ascii="Times New Roman" w:eastAsia="Times New Roman" w:hAnsi="Times New Roman" w:cs="Times New Roman"/>
                <w:sz w:val="20"/>
                <w:szCs w:val="20"/>
                <w:lang w:eastAsia="hu-HU"/>
              </w:rPr>
            </w:pPr>
            <w:r w:rsidRPr="00D32E7B">
              <w:rPr>
                <w:rFonts w:ascii="Garamond" w:hAnsi="Garamond"/>
                <w:sz w:val="20"/>
                <w:szCs w:val="20"/>
              </w:rPr>
              <w:t>96,9</w:t>
            </w:r>
          </w:p>
        </w:tc>
      </w:tr>
      <w:tr w:rsidR="00B771CD" w:rsidRPr="00377D59" w14:paraId="1EEE9F50" w14:textId="77777777" w:rsidTr="00A36ED5">
        <w:trPr>
          <w:trHeight w:val="300"/>
          <w:jc w:val="center"/>
        </w:trPr>
        <w:tc>
          <w:tcPr>
            <w:tcW w:w="2039" w:type="dxa"/>
            <w:tcBorders>
              <w:top w:val="nil"/>
              <w:left w:val="single" w:sz="4" w:space="0" w:color="auto"/>
              <w:bottom w:val="single" w:sz="4" w:space="0" w:color="auto"/>
              <w:right w:val="single" w:sz="4" w:space="0" w:color="auto"/>
            </w:tcBorders>
            <w:shd w:val="clear" w:color="auto" w:fill="auto"/>
            <w:vAlign w:val="center"/>
            <w:hideMark/>
          </w:tcPr>
          <w:p w14:paraId="0CD5D928" w14:textId="6C5535F6" w:rsidR="00B771CD" w:rsidRPr="00CB4082" w:rsidRDefault="00B771CD" w:rsidP="00B771CD">
            <w:pPr>
              <w:keepNext/>
              <w:keepLines/>
              <w:spacing w:after="0" w:line="240" w:lineRule="auto"/>
              <w:jc w:val="right"/>
              <w:rPr>
                <w:rFonts w:ascii="Times New Roman" w:eastAsia="Times New Roman" w:hAnsi="Times New Roman" w:cs="Times New Roman"/>
                <w:sz w:val="20"/>
                <w:szCs w:val="20"/>
                <w:lang w:eastAsia="hu-HU"/>
              </w:rPr>
            </w:pPr>
            <w:r w:rsidRPr="33985B12">
              <w:rPr>
                <w:rFonts w:ascii="Times New Roman" w:hAnsi="Times New Roman" w:cs="Times New Roman"/>
                <w:sz w:val="20"/>
                <w:szCs w:val="20"/>
              </w:rPr>
              <w:t>bevétel:</w:t>
            </w:r>
          </w:p>
        </w:tc>
        <w:tc>
          <w:tcPr>
            <w:tcW w:w="1163" w:type="dxa"/>
            <w:tcBorders>
              <w:top w:val="nil"/>
              <w:left w:val="single" w:sz="4" w:space="0" w:color="auto"/>
              <w:bottom w:val="single" w:sz="4" w:space="0" w:color="auto"/>
              <w:right w:val="single" w:sz="4" w:space="0" w:color="auto"/>
            </w:tcBorders>
            <w:shd w:val="clear" w:color="auto" w:fill="auto"/>
            <w:noWrap/>
            <w:vAlign w:val="center"/>
          </w:tcPr>
          <w:p w14:paraId="02F87FBE" w14:textId="53D528A2" w:rsidR="00B771CD" w:rsidRPr="00CB4082" w:rsidRDefault="00B771CD" w:rsidP="00B771CD">
            <w:pPr>
              <w:spacing w:after="0" w:line="240" w:lineRule="auto"/>
              <w:jc w:val="right"/>
              <w:rPr>
                <w:rFonts w:ascii="Times New Roman" w:eastAsia="Times New Roman" w:hAnsi="Times New Roman" w:cs="Times New Roman"/>
                <w:sz w:val="20"/>
                <w:szCs w:val="20"/>
                <w:lang w:eastAsia="hu-HU"/>
              </w:rPr>
            </w:pPr>
            <w:r w:rsidRPr="33985B12">
              <w:rPr>
                <w:rFonts w:ascii="Garamond" w:hAnsi="Garamond"/>
                <w:sz w:val="20"/>
                <w:szCs w:val="20"/>
              </w:rPr>
              <w:t>26 588,9</w:t>
            </w:r>
          </w:p>
        </w:tc>
        <w:tc>
          <w:tcPr>
            <w:tcW w:w="1162" w:type="dxa"/>
            <w:tcBorders>
              <w:top w:val="nil"/>
              <w:left w:val="nil"/>
              <w:bottom w:val="single" w:sz="4" w:space="0" w:color="auto"/>
              <w:right w:val="single" w:sz="4" w:space="0" w:color="auto"/>
            </w:tcBorders>
            <w:shd w:val="clear" w:color="auto" w:fill="auto"/>
            <w:noWrap/>
            <w:vAlign w:val="center"/>
          </w:tcPr>
          <w:p w14:paraId="2D3D21FA" w14:textId="535E7ECD" w:rsidR="00B771CD" w:rsidRPr="00CB4082" w:rsidRDefault="00B771CD" w:rsidP="00B771CD">
            <w:pPr>
              <w:spacing w:after="0" w:line="240" w:lineRule="auto"/>
              <w:jc w:val="right"/>
              <w:rPr>
                <w:rFonts w:ascii="Times New Roman" w:eastAsia="Times New Roman" w:hAnsi="Times New Roman" w:cs="Times New Roman"/>
                <w:sz w:val="20"/>
                <w:szCs w:val="20"/>
                <w:lang w:eastAsia="hu-HU"/>
              </w:rPr>
            </w:pPr>
            <w:r w:rsidRPr="00D32E7B">
              <w:rPr>
                <w:rFonts w:ascii="Garamond" w:hAnsi="Garamond"/>
                <w:sz w:val="20"/>
                <w:szCs w:val="20"/>
              </w:rPr>
              <w:t>26 949,6</w:t>
            </w:r>
          </w:p>
        </w:tc>
        <w:tc>
          <w:tcPr>
            <w:tcW w:w="1162" w:type="dxa"/>
            <w:tcBorders>
              <w:top w:val="nil"/>
              <w:left w:val="nil"/>
              <w:bottom w:val="single" w:sz="4" w:space="0" w:color="auto"/>
              <w:right w:val="single" w:sz="4" w:space="0" w:color="auto"/>
            </w:tcBorders>
            <w:shd w:val="clear" w:color="auto" w:fill="auto"/>
            <w:noWrap/>
            <w:vAlign w:val="center"/>
          </w:tcPr>
          <w:p w14:paraId="1D4D32D6" w14:textId="2D93126E" w:rsidR="00B771CD" w:rsidRPr="00CB4082" w:rsidRDefault="00B771CD" w:rsidP="00B771CD">
            <w:pPr>
              <w:spacing w:after="0" w:line="240" w:lineRule="auto"/>
              <w:jc w:val="right"/>
              <w:rPr>
                <w:rFonts w:ascii="Times New Roman" w:eastAsia="Times New Roman" w:hAnsi="Times New Roman" w:cs="Times New Roman"/>
                <w:sz w:val="20"/>
                <w:szCs w:val="20"/>
                <w:lang w:eastAsia="hu-HU"/>
              </w:rPr>
            </w:pPr>
            <w:r w:rsidRPr="00D32E7B">
              <w:rPr>
                <w:rFonts w:ascii="Garamond" w:hAnsi="Garamond"/>
                <w:sz w:val="20"/>
                <w:szCs w:val="20"/>
              </w:rPr>
              <w:t>26 655,6</w:t>
            </w:r>
          </w:p>
        </w:tc>
        <w:tc>
          <w:tcPr>
            <w:tcW w:w="1273" w:type="dxa"/>
            <w:tcBorders>
              <w:top w:val="nil"/>
              <w:left w:val="nil"/>
              <w:bottom w:val="single" w:sz="4" w:space="0" w:color="auto"/>
              <w:right w:val="single" w:sz="4" w:space="0" w:color="auto"/>
            </w:tcBorders>
            <w:shd w:val="clear" w:color="auto" w:fill="auto"/>
            <w:noWrap/>
            <w:vAlign w:val="center"/>
          </w:tcPr>
          <w:p w14:paraId="35A40C5E" w14:textId="1AEC84DF" w:rsidR="00B771CD" w:rsidRPr="00CB4082" w:rsidRDefault="00B771CD" w:rsidP="00B771CD">
            <w:pPr>
              <w:spacing w:after="0" w:line="240" w:lineRule="auto"/>
              <w:jc w:val="right"/>
              <w:rPr>
                <w:rFonts w:ascii="Times New Roman" w:eastAsia="Times New Roman" w:hAnsi="Times New Roman" w:cs="Times New Roman"/>
                <w:sz w:val="20"/>
                <w:szCs w:val="20"/>
                <w:lang w:eastAsia="hu-HU"/>
              </w:rPr>
            </w:pPr>
            <w:r w:rsidRPr="00D32E7B">
              <w:rPr>
                <w:rFonts w:ascii="Garamond" w:hAnsi="Garamond"/>
                <w:sz w:val="20"/>
                <w:szCs w:val="20"/>
              </w:rPr>
              <w:t>98,9</w:t>
            </w:r>
          </w:p>
        </w:tc>
        <w:tc>
          <w:tcPr>
            <w:tcW w:w="1276" w:type="dxa"/>
            <w:tcBorders>
              <w:top w:val="nil"/>
              <w:left w:val="nil"/>
              <w:bottom w:val="single" w:sz="4" w:space="0" w:color="auto"/>
              <w:right w:val="single" w:sz="4" w:space="0" w:color="auto"/>
            </w:tcBorders>
            <w:shd w:val="clear" w:color="auto" w:fill="auto"/>
            <w:noWrap/>
            <w:vAlign w:val="center"/>
          </w:tcPr>
          <w:p w14:paraId="717B36B5" w14:textId="11288F53" w:rsidR="00B771CD" w:rsidRPr="00CB4082" w:rsidRDefault="00B771CD" w:rsidP="00B771CD">
            <w:pPr>
              <w:spacing w:after="0" w:line="240" w:lineRule="auto"/>
              <w:jc w:val="right"/>
              <w:rPr>
                <w:rFonts w:ascii="Times New Roman" w:eastAsia="Times New Roman" w:hAnsi="Times New Roman" w:cs="Times New Roman"/>
                <w:sz w:val="20"/>
                <w:szCs w:val="20"/>
                <w:lang w:eastAsia="hu-HU"/>
              </w:rPr>
            </w:pPr>
            <w:r w:rsidRPr="00D32E7B">
              <w:rPr>
                <w:rFonts w:ascii="Garamond" w:hAnsi="Garamond"/>
                <w:sz w:val="20"/>
                <w:szCs w:val="20"/>
              </w:rPr>
              <w:t>100,3</w:t>
            </w:r>
          </w:p>
        </w:tc>
      </w:tr>
      <w:tr w:rsidR="00B771CD" w:rsidRPr="00377D59" w14:paraId="1E51AA76" w14:textId="77777777" w:rsidTr="00A36ED5">
        <w:trPr>
          <w:trHeight w:val="300"/>
          <w:jc w:val="center"/>
        </w:trPr>
        <w:tc>
          <w:tcPr>
            <w:tcW w:w="2039" w:type="dxa"/>
            <w:tcBorders>
              <w:top w:val="nil"/>
              <w:left w:val="single" w:sz="4" w:space="0" w:color="auto"/>
              <w:bottom w:val="single" w:sz="4" w:space="0" w:color="auto"/>
              <w:right w:val="single" w:sz="4" w:space="0" w:color="auto"/>
            </w:tcBorders>
            <w:shd w:val="clear" w:color="auto" w:fill="auto"/>
            <w:vAlign w:val="center"/>
            <w:hideMark/>
          </w:tcPr>
          <w:p w14:paraId="436286B8" w14:textId="5B791758" w:rsidR="00B771CD" w:rsidRPr="00CB4082" w:rsidRDefault="00B771CD" w:rsidP="00B771CD">
            <w:pPr>
              <w:keepNext/>
              <w:keepLines/>
              <w:spacing w:after="0" w:line="240" w:lineRule="auto"/>
              <w:jc w:val="right"/>
              <w:rPr>
                <w:rFonts w:ascii="Times New Roman" w:eastAsia="Times New Roman" w:hAnsi="Times New Roman" w:cs="Times New Roman"/>
                <w:sz w:val="20"/>
                <w:szCs w:val="20"/>
                <w:lang w:eastAsia="hu-HU"/>
              </w:rPr>
            </w:pPr>
            <w:r w:rsidRPr="33985B12">
              <w:rPr>
                <w:rFonts w:ascii="Times New Roman" w:hAnsi="Times New Roman" w:cs="Times New Roman"/>
                <w:sz w:val="20"/>
                <w:szCs w:val="20"/>
              </w:rPr>
              <w:t>kiadás:</w:t>
            </w:r>
          </w:p>
        </w:tc>
        <w:tc>
          <w:tcPr>
            <w:tcW w:w="1163" w:type="dxa"/>
            <w:tcBorders>
              <w:top w:val="nil"/>
              <w:left w:val="single" w:sz="4" w:space="0" w:color="auto"/>
              <w:bottom w:val="single" w:sz="4" w:space="0" w:color="auto"/>
              <w:right w:val="single" w:sz="4" w:space="0" w:color="auto"/>
            </w:tcBorders>
            <w:shd w:val="clear" w:color="auto" w:fill="auto"/>
            <w:noWrap/>
            <w:vAlign w:val="center"/>
          </w:tcPr>
          <w:p w14:paraId="35D725B3" w14:textId="78DE350D" w:rsidR="00B771CD" w:rsidRPr="00CB4082" w:rsidRDefault="00B771CD" w:rsidP="00B771CD">
            <w:pPr>
              <w:spacing w:after="0" w:line="240" w:lineRule="auto"/>
              <w:jc w:val="right"/>
              <w:rPr>
                <w:rFonts w:ascii="Times New Roman" w:eastAsia="Times New Roman" w:hAnsi="Times New Roman" w:cs="Times New Roman"/>
                <w:sz w:val="20"/>
                <w:szCs w:val="20"/>
                <w:lang w:eastAsia="hu-HU"/>
              </w:rPr>
            </w:pPr>
            <w:r w:rsidRPr="33985B12">
              <w:rPr>
                <w:rFonts w:ascii="Garamond" w:hAnsi="Garamond"/>
                <w:sz w:val="20"/>
                <w:szCs w:val="20"/>
              </w:rPr>
              <w:t>30 721,0</w:t>
            </w:r>
          </w:p>
        </w:tc>
        <w:tc>
          <w:tcPr>
            <w:tcW w:w="1162" w:type="dxa"/>
            <w:tcBorders>
              <w:top w:val="nil"/>
              <w:left w:val="nil"/>
              <w:bottom w:val="single" w:sz="4" w:space="0" w:color="auto"/>
              <w:right w:val="single" w:sz="4" w:space="0" w:color="auto"/>
            </w:tcBorders>
            <w:shd w:val="clear" w:color="auto" w:fill="auto"/>
            <w:noWrap/>
            <w:vAlign w:val="center"/>
          </w:tcPr>
          <w:p w14:paraId="074886D4" w14:textId="4D08CBF3" w:rsidR="00B771CD" w:rsidRPr="00CB4082" w:rsidRDefault="00B771CD" w:rsidP="00B771CD">
            <w:pPr>
              <w:spacing w:after="0" w:line="240" w:lineRule="auto"/>
              <w:jc w:val="right"/>
              <w:rPr>
                <w:rFonts w:ascii="Times New Roman" w:eastAsia="Times New Roman" w:hAnsi="Times New Roman" w:cs="Times New Roman"/>
                <w:sz w:val="20"/>
                <w:szCs w:val="20"/>
                <w:lang w:eastAsia="hu-HU"/>
              </w:rPr>
            </w:pPr>
            <w:r w:rsidRPr="00D32E7B">
              <w:rPr>
                <w:rFonts w:ascii="Garamond" w:hAnsi="Garamond"/>
                <w:sz w:val="20"/>
                <w:szCs w:val="20"/>
              </w:rPr>
              <w:t>29 649,3</w:t>
            </w:r>
          </w:p>
        </w:tc>
        <w:tc>
          <w:tcPr>
            <w:tcW w:w="1162" w:type="dxa"/>
            <w:tcBorders>
              <w:top w:val="nil"/>
              <w:left w:val="nil"/>
              <w:bottom w:val="single" w:sz="4" w:space="0" w:color="auto"/>
              <w:right w:val="single" w:sz="4" w:space="0" w:color="auto"/>
            </w:tcBorders>
            <w:shd w:val="clear" w:color="auto" w:fill="auto"/>
            <w:noWrap/>
            <w:vAlign w:val="center"/>
          </w:tcPr>
          <w:p w14:paraId="04692BD1" w14:textId="3A512D85" w:rsidR="00B771CD" w:rsidRPr="00CB4082" w:rsidRDefault="00B771CD" w:rsidP="00B771CD">
            <w:pPr>
              <w:spacing w:after="0" w:line="240" w:lineRule="auto"/>
              <w:jc w:val="right"/>
              <w:rPr>
                <w:rFonts w:ascii="Times New Roman" w:eastAsia="Times New Roman" w:hAnsi="Times New Roman" w:cs="Times New Roman"/>
                <w:sz w:val="20"/>
                <w:szCs w:val="20"/>
                <w:lang w:eastAsia="hu-HU"/>
              </w:rPr>
            </w:pPr>
            <w:r w:rsidRPr="00D32E7B">
              <w:rPr>
                <w:rFonts w:ascii="Garamond" w:hAnsi="Garamond"/>
                <w:sz w:val="20"/>
                <w:szCs w:val="20"/>
              </w:rPr>
              <w:t>30 659,5</w:t>
            </w:r>
          </w:p>
        </w:tc>
        <w:tc>
          <w:tcPr>
            <w:tcW w:w="1273" w:type="dxa"/>
            <w:tcBorders>
              <w:top w:val="nil"/>
              <w:left w:val="nil"/>
              <w:bottom w:val="single" w:sz="4" w:space="0" w:color="auto"/>
              <w:right w:val="single" w:sz="4" w:space="0" w:color="auto"/>
            </w:tcBorders>
            <w:shd w:val="clear" w:color="auto" w:fill="auto"/>
            <w:noWrap/>
            <w:vAlign w:val="center"/>
          </w:tcPr>
          <w:p w14:paraId="51C29843" w14:textId="1E3951DC" w:rsidR="00B771CD" w:rsidRPr="00CB4082" w:rsidRDefault="00B771CD" w:rsidP="00B771CD">
            <w:pPr>
              <w:spacing w:after="0" w:line="240" w:lineRule="auto"/>
              <w:jc w:val="right"/>
              <w:rPr>
                <w:rFonts w:ascii="Times New Roman" w:eastAsia="Times New Roman" w:hAnsi="Times New Roman" w:cs="Times New Roman"/>
                <w:sz w:val="20"/>
                <w:szCs w:val="20"/>
                <w:lang w:eastAsia="hu-HU"/>
              </w:rPr>
            </w:pPr>
            <w:r w:rsidRPr="00D32E7B">
              <w:rPr>
                <w:rFonts w:ascii="Garamond" w:hAnsi="Garamond"/>
                <w:sz w:val="20"/>
                <w:szCs w:val="20"/>
              </w:rPr>
              <w:t>103,4</w:t>
            </w:r>
          </w:p>
        </w:tc>
        <w:tc>
          <w:tcPr>
            <w:tcW w:w="1276" w:type="dxa"/>
            <w:tcBorders>
              <w:top w:val="nil"/>
              <w:left w:val="nil"/>
              <w:bottom w:val="single" w:sz="4" w:space="0" w:color="auto"/>
              <w:right w:val="single" w:sz="4" w:space="0" w:color="auto"/>
            </w:tcBorders>
            <w:shd w:val="clear" w:color="auto" w:fill="auto"/>
            <w:noWrap/>
            <w:vAlign w:val="center"/>
          </w:tcPr>
          <w:p w14:paraId="31582A0B" w14:textId="41CDDA15" w:rsidR="00B771CD" w:rsidRPr="00CB4082" w:rsidRDefault="00B771CD" w:rsidP="00B771CD">
            <w:pPr>
              <w:spacing w:after="0" w:line="240" w:lineRule="auto"/>
              <w:jc w:val="right"/>
              <w:rPr>
                <w:rFonts w:ascii="Times New Roman" w:eastAsia="Times New Roman" w:hAnsi="Times New Roman" w:cs="Times New Roman"/>
                <w:sz w:val="20"/>
                <w:szCs w:val="20"/>
                <w:lang w:eastAsia="hu-HU"/>
              </w:rPr>
            </w:pPr>
            <w:r w:rsidRPr="00D32E7B">
              <w:rPr>
                <w:rFonts w:ascii="Garamond" w:hAnsi="Garamond"/>
                <w:sz w:val="20"/>
                <w:szCs w:val="20"/>
              </w:rPr>
              <w:t>99,8</w:t>
            </w:r>
          </w:p>
        </w:tc>
      </w:tr>
      <w:tr w:rsidR="00B771CD" w:rsidRPr="00377D59" w14:paraId="2DF1D5D7" w14:textId="77777777" w:rsidTr="00A36ED5">
        <w:trPr>
          <w:trHeight w:val="680"/>
          <w:jc w:val="center"/>
        </w:trPr>
        <w:tc>
          <w:tcPr>
            <w:tcW w:w="2039" w:type="dxa"/>
            <w:tcBorders>
              <w:top w:val="nil"/>
              <w:left w:val="single" w:sz="4" w:space="0" w:color="auto"/>
              <w:bottom w:val="single" w:sz="4" w:space="0" w:color="auto"/>
              <w:right w:val="single" w:sz="4" w:space="0" w:color="auto"/>
            </w:tcBorders>
            <w:shd w:val="clear" w:color="auto" w:fill="auto"/>
            <w:vAlign w:val="center"/>
            <w:hideMark/>
          </w:tcPr>
          <w:p w14:paraId="3E0528C4" w14:textId="74DAF082" w:rsidR="00B771CD" w:rsidRPr="00CB4082" w:rsidRDefault="00B771CD" w:rsidP="00B771CD">
            <w:pPr>
              <w:keepNext/>
              <w:keepLines/>
              <w:spacing w:after="0" w:line="240" w:lineRule="auto"/>
              <w:rPr>
                <w:rFonts w:ascii="Times New Roman" w:eastAsia="Times New Roman" w:hAnsi="Times New Roman" w:cs="Times New Roman"/>
                <w:b/>
                <w:bCs/>
                <w:sz w:val="20"/>
                <w:szCs w:val="20"/>
                <w:lang w:eastAsia="hu-HU"/>
              </w:rPr>
            </w:pPr>
            <w:r w:rsidRPr="33985B12">
              <w:rPr>
                <w:rFonts w:ascii="Times New Roman" w:hAnsi="Times New Roman" w:cs="Times New Roman"/>
                <w:b/>
                <w:bCs/>
                <w:sz w:val="20"/>
                <w:szCs w:val="20"/>
              </w:rPr>
              <w:t>Elkülönített állami pénzalapok egyenlege</w:t>
            </w:r>
          </w:p>
        </w:tc>
        <w:tc>
          <w:tcPr>
            <w:tcW w:w="1163" w:type="dxa"/>
            <w:tcBorders>
              <w:top w:val="nil"/>
              <w:left w:val="single" w:sz="4" w:space="0" w:color="auto"/>
              <w:bottom w:val="single" w:sz="4" w:space="0" w:color="auto"/>
              <w:right w:val="single" w:sz="4" w:space="0" w:color="auto"/>
            </w:tcBorders>
            <w:shd w:val="clear" w:color="auto" w:fill="auto"/>
            <w:noWrap/>
            <w:vAlign w:val="center"/>
          </w:tcPr>
          <w:p w14:paraId="66F9AE02" w14:textId="2E361306" w:rsidR="00B771CD" w:rsidRPr="00CB4082" w:rsidRDefault="00B771CD" w:rsidP="00B771CD">
            <w:pPr>
              <w:spacing w:after="0" w:line="240" w:lineRule="auto"/>
              <w:jc w:val="right"/>
              <w:rPr>
                <w:rFonts w:ascii="Times New Roman" w:eastAsia="Times New Roman" w:hAnsi="Times New Roman" w:cs="Times New Roman"/>
                <w:b/>
                <w:bCs/>
                <w:sz w:val="20"/>
                <w:szCs w:val="20"/>
                <w:lang w:eastAsia="hu-HU"/>
              </w:rPr>
            </w:pPr>
            <w:r w:rsidRPr="33985B12">
              <w:rPr>
                <w:rFonts w:ascii="Garamond" w:hAnsi="Garamond"/>
                <w:b/>
                <w:bCs/>
                <w:sz w:val="20"/>
                <w:szCs w:val="20"/>
              </w:rPr>
              <w:t>112,4</w:t>
            </w:r>
          </w:p>
        </w:tc>
        <w:tc>
          <w:tcPr>
            <w:tcW w:w="1162" w:type="dxa"/>
            <w:tcBorders>
              <w:top w:val="nil"/>
              <w:left w:val="nil"/>
              <w:bottom w:val="single" w:sz="4" w:space="0" w:color="auto"/>
              <w:right w:val="single" w:sz="4" w:space="0" w:color="auto"/>
            </w:tcBorders>
            <w:shd w:val="clear" w:color="auto" w:fill="auto"/>
            <w:noWrap/>
            <w:vAlign w:val="center"/>
          </w:tcPr>
          <w:p w14:paraId="52380550" w14:textId="19FE9E68" w:rsidR="00B771CD" w:rsidRPr="00CB4082" w:rsidRDefault="00B771CD" w:rsidP="00B771CD">
            <w:pPr>
              <w:spacing w:after="0" w:line="240" w:lineRule="auto"/>
              <w:jc w:val="right"/>
              <w:rPr>
                <w:rFonts w:ascii="Times New Roman" w:eastAsia="Times New Roman" w:hAnsi="Times New Roman" w:cs="Times New Roman"/>
                <w:b/>
                <w:bCs/>
                <w:sz w:val="20"/>
                <w:szCs w:val="20"/>
                <w:lang w:eastAsia="hu-HU"/>
              </w:rPr>
            </w:pPr>
            <w:r w:rsidRPr="00D32E7B">
              <w:rPr>
                <w:rFonts w:ascii="Garamond" w:hAnsi="Garamond"/>
                <w:b/>
                <w:bCs/>
                <w:sz w:val="20"/>
                <w:szCs w:val="20"/>
              </w:rPr>
              <w:t>184,9</w:t>
            </w:r>
          </w:p>
        </w:tc>
        <w:tc>
          <w:tcPr>
            <w:tcW w:w="1162" w:type="dxa"/>
            <w:tcBorders>
              <w:top w:val="nil"/>
              <w:left w:val="nil"/>
              <w:bottom w:val="single" w:sz="4" w:space="0" w:color="auto"/>
              <w:right w:val="single" w:sz="4" w:space="0" w:color="auto"/>
            </w:tcBorders>
            <w:shd w:val="clear" w:color="auto" w:fill="auto"/>
            <w:noWrap/>
            <w:vAlign w:val="center"/>
          </w:tcPr>
          <w:p w14:paraId="4A30A5F4" w14:textId="6F35EC74" w:rsidR="00B771CD" w:rsidRPr="00CB4082" w:rsidRDefault="00B771CD" w:rsidP="00B771CD">
            <w:pPr>
              <w:spacing w:after="0" w:line="240" w:lineRule="auto"/>
              <w:jc w:val="right"/>
              <w:rPr>
                <w:rFonts w:ascii="Times New Roman" w:eastAsia="Times New Roman" w:hAnsi="Times New Roman" w:cs="Times New Roman"/>
                <w:b/>
                <w:bCs/>
                <w:sz w:val="20"/>
                <w:szCs w:val="20"/>
                <w:lang w:eastAsia="hu-HU"/>
              </w:rPr>
            </w:pPr>
            <w:r w:rsidRPr="00D32E7B">
              <w:rPr>
                <w:rFonts w:ascii="Garamond" w:hAnsi="Garamond"/>
                <w:b/>
                <w:bCs/>
                <w:sz w:val="20"/>
                <w:szCs w:val="20"/>
              </w:rPr>
              <w:t>138,2</w:t>
            </w:r>
          </w:p>
        </w:tc>
        <w:tc>
          <w:tcPr>
            <w:tcW w:w="1273" w:type="dxa"/>
            <w:tcBorders>
              <w:top w:val="nil"/>
              <w:left w:val="nil"/>
              <w:bottom w:val="single" w:sz="4" w:space="0" w:color="auto"/>
              <w:right w:val="single" w:sz="4" w:space="0" w:color="auto"/>
            </w:tcBorders>
            <w:shd w:val="clear" w:color="auto" w:fill="auto"/>
            <w:noWrap/>
            <w:vAlign w:val="center"/>
          </w:tcPr>
          <w:p w14:paraId="475B5DF4" w14:textId="29C9842B" w:rsidR="00B771CD" w:rsidRPr="00CB4082" w:rsidRDefault="00B771CD" w:rsidP="00B771CD">
            <w:pPr>
              <w:spacing w:after="0" w:line="240" w:lineRule="auto"/>
              <w:jc w:val="right"/>
              <w:rPr>
                <w:rFonts w:ascii="Times New Roman" w:eastAsia="Times New Roman" w:hAnsi="Times New Roman" w:cs="Times New Roman"/>
                <w:sz w:val="20"/>
                <w:szCs w:val="20"/>
                <w:lang w:eastAsia="hu-HU"/>
              </w:rPr>
            </w:pPr>
            <w:r w:rsidRPr="00D32E7B">
              <w:rPr>
                <w:rFonts w:ascii="Garamond" w:hAnsi="Garamond"/>
                <w:sz w:val="20"/>
                <w:szCs w:val="20"/>
              </w:rPr>
              <w:t>74,7</w:t>
            </w:r>
          </w:p>
        </w:tc>
        <w:tc>
          <w:tcPr>
            <w:tcW w:w="1276" w:type="dxa"/>
            <w:tcBorders>
              <w:top w:val="nil"/>
              <w:left w:val="nil"/>
              <w:bottom w:val="single" w:sz="4" w:space="0" w:color="auto"/>
              <w:right w:val="single" w:sz="4" w:space="0" w:color="auto"/>
            </w:tcBorders>
            <w:shd w:val="clear" w:color="auto" w:fill="auto"/>
            <w:noWrap/>
            <w:vAlign w:val="center"/>
          </w:tcPr>
          <w:p w14:paraId="17302B17" w14:textId="5ECD279A" w:rsidR="00B771CD" w:rsidRPr="00CB4082" w:rsidRDefault="00B771CD" w:rsidP="00B771CD">
            <w:pPr>
              <w:spacing w:after="0" w:line="240" w:lineRule="auto"/>
              <w:jc w:val="right"/>
              <w:rPr>
                <w:rFonts w:ascii="Times New Roman" w:eastAsia="Times New Roman" w:hAnsi="Times New Roman" w:cs="Times New Roman"/>
                <w:sz w:val="20"/>
                <w:szCs w:val="20"/>
                <w:lang w:eastAsia="hu-HU"/>
              </w:rPr>
            </w:pPr>
            <w:r w:rsidRPr="00D32E7B">
              <w:rPr>
                <w:rFonts w:ascii="Garamond" w:hAnsi="Garamond"/>
                <w:sz w:val="20"/>
                <w:szCs w:val="20"/>
              </w:rPr>
              <w:t>123,0</w:t>
            </w:r>
          </w:p>
        </w:tc>
      </w:tr>
      <w:tr w:rsidR="00B771CD" w:rsidRPr="00377D59" w14:paraId="7B49B0E4" w14:textId="77777777" w:rsidTr="00A36ED5">
        <w:trPr>
          <w:trHeight w:val="300"/>
          <w:jc w:val="center"/>
        </w:trPr>
        <w:tc>
          <w:tcPr>
            <w:tcW w:w="2039" w:type="dxa"/>
            <w:tcBorders>
              <w:top w:val="nil"/>
              <w:left w:val="single" w:sz="4" w:space="0" w:color="auto"/>
              <w:bottom w:val="single" w:sz="4" w:space="0" w:color="auto"/>
              <w:right w:val="single" w:sz="4" w:space="0" w:color="auto"/>
            </w:tcBorders>
            <w:shd w:val="clear" w:color="auto" w:fill="auto"/>
            <w:vAlign w:val="center"/>
            <w:hideMark/>
          </w:tcPr>
          <w:p w14:paraId="31A573B2" w14:textId="58782B03" w:rsidR="00B771CD" w:rsidRPr="00CB4082" w:rsidRDefault="00B771CD" w:rsidP="00B771CD">
            <w:pPr>
              <w:keepNext/>
              <w:keepLines/>
              <w:spacing w:after="0" w:line="240" w:lineRule="auto"/>
              <w:jc w:val="right"/>
              <w:rPr>
                <w:rFonts w:ascii="Times New Roman" w:eastAsia="Times New Roman" w:hAnsi="Times New Roman" w:cs="Times New Roman"/>
                <w:sz w:val="20"/>
                <w:szCs w:val="20"/>
                <w:lang w:eastAsia="hu-HU"/>
              </w:rPr>
            </w:pPr>
            <w:r w:rsidRPr="33985B12">
              <w:rPr>
                <w:rFonts w:ascii="Times New Roman" w:hAnsi="Times New Roman" w:cs="Times New Roman"/>
                <w:sz w:val="20"/>
                <w:szCs w:val="20"/>
              </w:rPr>
              <w:t>bevétel:</w:t>
            </w:r>
          </w:p>
        </w:tc>
        <w:tc>
          <w:tcPr>
            <w:tcW w:w="1163" w:type="dxa"/>
            <w:tcBorders>
              <w:top w:val="nil"/>
              <w:left w:val="single" w:sz="4" w:space="0" w:color="auto"/>
              <w:bottom w:val="single" w:sz="4" w:space="0" w:color="auto"/>
              <w:right w:val="single" w:sz="4" w:space="0" w:color="auto"/>
            </w:tcBorders>
            <w:shd w:val="clear" w:color="auto" w:fill="auto"/>
            <w:noWrap/>
            <w:vAlign w:val="center"/>
          </w:tcPr>
          <w:p w14:paraId="33543E4B" w14:textId="6BA7C427" w:rsidR="00B771CD" w:rsidRPr="00CB4082" w:rsidRDefault="00B771CD" w:rsidP="00B771CD">
            <w:pPr>
              <w:spacing w:after="0" w:line="240" w:lineRule="auto"/>
              <w:jc w:val="right"/>
              <w:rPr>
                <w:rFonts w:ascii="Times New Roman" w:eastAsia="Times New Roman" w:hAnsi="Times New Roman" w:cs="Times New Roman"/>
                <w:sz w:val="20"/>
                <w:szCs w:val="20"/>
                <w:lang w:eastAsia="hu-HU"/>
              </w:rPr>
            </w:pPr>
            <w:r w:rsidRPr="33985B12">
              <w:rPr>
                <w:rFonts w:ascii="Garamond" w:hAnsi="Garamond"/>
                <w:sz w:val="20"/>
                <w:szCs w:val="20"/>
              </w:rPr>
              <w:t>777,9</w:t>
            </w:r>
          </w:p>
        </w:tc>
        <w:tc>
          <w:tcPr>
            <w:tcW w:w="1162" w:type="dxa"/>
            <w:tcBorders>
              <w:top w:val="nil"/>
              <w:left w:val="nil"/>
              <w:bottom w:val="single" w:sz="4" w:space="0" w:color="auto"/>
              <w:right w:val="single" w:sz="4" w:space="0" w:color="auto"/>
            </w:tcBorders>
            <w:shd w:val="clear" w:color="auto" w:fill="auto"/>
            <w:noWrap/>
            <w:vAlign w:val="center"/>
          </w:tcPr>
          <w:p w14:paraId="032EEDF6" w14:textId="4DBA00DC" w:rsidR="00B771CD" w:rsidRPr="00CB4082" w:rsidRDefault="00B771CD" w:rsidP="00B771CD">
            <w:pPr>
              <w:spacing w:after="0" w:line="240" w:lineRule="auto"/>
              <w:jc w:val="right"/>
              <w:rPr>
                <w:rFonts w:ascii="Times New Roman" w:eastAsia="Times New Roman" w:hAnsi="Times New Roman" w:cs="Times New Roman"/>
                <w:sz w:val="20"/>
                <w:szCs w:val="20"/>
                <w:lang w:eastAsia="hu-HU"/>
              </w:rPr>
            </w:pPr>
            <w:r w:rsidRPr="00D32E7B">
              <w:rPr>
                <w:rFonts w:ascii="Garamond" w:hAnsi="Garamond"/>
                <w:sz w:val="20"/>
                <w:szCs w:val="20"/>
              </w:rPr>
              <w:t>846,9</w:t>
            </w:r>
          </w:p>
        </w:tc>
        <w:tc>
          <w:tcPr>
            <w:tcW w:w="1162" w:type="dxa"/>
            <w:tcBorders>
              <w:top w:val="nil"/>
              <w:left w:val="nil"/>
              <w:bottom w:val="single" w:sz="4" w:space="0" w:color="auto"/>
              <w:right w:val="single" w:sz="4" w:space="0" w:color="auto"/>
            </w:tcBorders>
            <w:shd w:val="clear" w:color="auto" w:fill="auto"/>
            <w:noWrap/>
            <w:vAlign w:val="center"/>
          </w:tcPr>
          <w:p w14:paraId="3A6BB41C" w14:textId="2054FDB9" w:rsidR="00B771CD" w:rsidRPr="00CB4082" w:rsidRDefault="00B771CD" w:rsidP="00B771CD">
            <w:pPr>
              <w:spacing w:after="0" w:line="240" w:lineRule="auto"/>
              <w:jc w:val="right"/>
              <w:rPr>
                <w:rFonts w:ascii="Times New Roman" w:eastAsia="Times New Roman" w:hAnsi="Times New Roman" w:cs="Times New Roman"/>
                <w:sz w:val="20"/>
                <w:szCs w:val="20"/>
                <w:lang w:eastAsia="hu-HU"/>
              </w:rPr>
            </w:pPr>
            <w:r w:rsidRPr="00D32E7B">
              <w:rPr>
                <w:rFonts w:ascii="Garamond" w:hAnsi="Garamond"/>
                <w:sz w:val="20"/>
                <w:szCs w:val="20"/>
              </w:rPr>
              <w:t>856,5</w:t>
            </w:r>
          </w:p>
        </w:tc>
        <w:tc>
          <w:tcPr>
            <w:tcW w:w="1273" w:type="dxa"/>
            <w:tcBorders>
              <w:top w:val="nil"/>
              <w:left w:val="nil"/>
              <w:bottom w:val="single" w:sz="4" w:space="0" w:color="auto"/>
              <w:right w:val="single" w:sz="4" w:space="0" w:color="auto"/>
            </w:tcBorders>
            <w:shd w:val="clear" w:color="auto" w:fill="auto"/>
            <w:noWrap/>
            <w:vAlign w:val="center"/>
          </w:tcPr>
          <w:p w14:paraId="50E9636D" w14:textId="5E3C626A" w:rsidR="00B771CD" w:rsidRPr="00CB4082" w:rsidRDefault="00B771CD" w:rsidP="00B771CD">
            <w:pPr>
              <w:spacing w:after="0" w:line="240" w:lineRule="auto"/>
              <w:jc w:val="right"/>
              <w:rPr>
                <w:rFonts w:ascii="Times New Roman" w:eastAsia="Times New Roman" w:hAnsi="Times New Roman" w:cs="Times New Roman"/>
                <w:sz w:val="20"/>
                <w:szCs w:val="20"/>
                <w:lang w:eastAsia="hu-HU"/>
              </w:rPr>
            </w:pPr>
            <w:r w:rsidRPr="00D32E7B">
              <w:rPr>
                <w:rFonts w:ascii="Garamond" w:hAnsi="Garamond"/>
                <w:sz w:val="20"/>
                <w:szCs w:val="20"/>
              </w:rPr>
              <w:t>101,1</w:t>
            </w:r>
          </w:p>
        </w:tc>
        <w:tc>
          <w:tcPr>
            <w:tcW w:w="1276" w:type="dxa"/>
            <w:tcBorders>
              <w:top w:val="nil"/>
              <w:left w:val="nil"/>
              <w:bottom w:val="single" w:sz="4" w:space="0" w:color="auto"/>
              <w:right w:val="single" w:sz="4" w:space="0" w:color="auto"/>
            </w:tcBorders>
            <w:shd w:val="clear" w:color="auto" w:fill="auto"/>
            <w:noWrap/>
            <w:vAlign w:val="center"/>
          </w:tcPr>
          <w:p w14:paraId="2498217E" w14:textId="6CF82F2B" w:rsidR="00B771CD" w:rsidRPr="00CB4082" w:rsidRDefault="00B771CD" w:rsidP="00B771CD">
            <w:pPr>
              <w:spacing w:after="0" w:line="240" w:lineRule="auto"/>
              <w:jc w:val="right"/>
              <w:rPr>
                <w:rFonts w:ascii="Times New Roman" w:eastAsia="Times New Roman" w:hAnsi="Times New Roman" w:cs="Times New Roman"/>
                <w:sz w:val="20"/>
                <w:szCs w:val="20"/>
                <w:lang w:eastAsia="hu-HU"/>
              </w:rPr>
            </w:pPr>
            <w:r w:rsidRPr="00D32E7B">
              <w:rPr>
                <w:rFonts w:ascii="Garamond" w:hAnsi="Garamond"/>
                <w:sz w:val="20"/>
                <w:szCs w:val="20"/>
              </w:rPr>
              <w:t>110,1</w:t>
            </w:r>
          </w:p>
        </w:tc>
      </w:tr>
      <w:tr w:rsidR="00B771CD" w:rsidRPr="00377D59" w14:paraId="6EA69F1A" w14:textId="77777777" w:rsidTr="00A36ED5">
        <w:trPr>
          <w:trHeight w:val="300"/>
          <w:jc w:val="center"/>
        </w:trPr>
        <w:tc>
          <w:tcPr>
            <w:tcW w:w="2039" w:type="dxa"/>
            <w:tcBorders>
              <w:top w:val="nil"/>
              <w:left w:val="single" w:sz="4" w:space="0" w:color="auto"/>
              <w:bottom w:val="single" w:sz="4" w:space="0" w:color="auto"/>
              <w:right w:val="single" w:sz="4" w:space="0" w:color="auto"/>
            </w:tcBorders>
            <w:shd w:val="clear" w:color="auto" w:fill="auto"/>
            <w:vAlign w:val="center"/>
            <w:hideMark/>
          </w:tcPr>
          <w:p w14:paraId="55141E07" w14:textId="2557D2E9" w:rsidR="00B771CD" w:rsidRPr="00CB4082" w:rsidRDefault="00B771CD" w:rsidP="00B771CD">
            <w:pPr>
              <w:keepNext/>
              <w:keepLines/>
              <w:spacing w:after="0" w:line="240" w:lineRule="auto"/>
              <w:jc w:val="right"/>
              <w:rPr>
                <w:rFonts w:ascii="Times New Roman" w:eastAsia="Times New Roman" w:hAnsi="Times New Roman" w:cs="Times New Roman"/>
                <w:sz w:val="20"/>
                <w:szCs w:val="20"/>
                <w:lang w:eastAsia="hu-HU"/>
              </w:rPr>
            </w:pPr>
            <w:r w:rsidRPr="33985B12">
              <w:rPr>
                <w:rFonts w:ascii="Times New Roman" w:hAnsi="Times New Roman" w:cs="Times New Roman"/>
                <w:sz w:val="20"/>
                <w:szCs w:val="20"/>
              </w:rPr>
              <w:t>kiadás:</w:t>
            </w:r>
          </w:p>
        </w:tc>
        <w:tc>
          <w:tcPr>
            <w:tcW w:w="1163" w:type="dxa"/>
            <w:tcBorders>
              <w:top w:val="nil"/>
              <w:left w:val="single" w:sz="4" w:space="0" w:color="auto"/>
              <w:bottom w:val="single" w:sz="4" w:space="0" w:color="auto"/>
              <w:right w:val="single" w:sz="4" w:space="0" w:color="auto"/>
            </w:tcBorders>
            <w:shd w:val="clear" w:color="auto" w:fill="auto"/>
            <w:noWrap/>
            <w:vAlign w:val="center"/>
          </w:tcPr>
          <w:p w14:paraId="7FD0CE7A" w14:textId="52DF2175" w:rsidR="00B771CD" w:rsidRPr="00CB4082" w:rsidRDefault="00B771CD" w:rsidP="00B771CD">
            <w:pPr>
              <w:spacing w:after="0" w:line="240" w:lineRule="auto"/>
              <w:jc w:val="right"/>
              <w:rPr>
                <w:rFonts w:ascii="Times New Roman" w:eastAsia="Times New Roman" w:hAnsi="Times New Roman" w:cs="Times New Roman"/>
                <w:sz w:val="20"/>
                <w:szCs w:val="20"/>
                <w:lang w:eastAsia="hu-HU"/>
              </w:rPr>
            </w:pPr>
            <w:r w:rsidRPr="33985B12">
              <w:rPr>
                <w:rFonts w:ascii="Garamond" w:hAnsi="Garamond"/>
                <w:sz w:val="20"/>
                <w:szCs w:val="20"/>
              </w:rPr>
              <w:t>665,5</w:t>
            </w:r>
          </w:p>
        </w:tc>
        <w:tc>
          <w:tcPr>
            <w:tcW w:w="1162" w:type="dxa"/>
            <w:tcBorders>
              <w:top w:val="nil"/>
              <w:left w:val="nil"/>
              <w:bottom w:val="single" w:sz="4" w:space="0" w:color="auto"/>
              <w:right w:val="single" w:sz="4" w:space="0" w:color="auto"/>
            </w:tcBorders>
            <w:shd w:val="clear" w:color="auto" w:fill="auto"/>
            <w:noWrap/>
            <w:vAlign w:val="center"/>
          </w:tcPr>
          <w:p w14:paraId="5E124EEE" w14:textId="2B5C4963" w:rsidR="00B771CD" w:rsidRPr="00CB4082" w:rsidRDefault="00B771CD" w:rsidP="00B771CD">
            <w:pPr>
              <w:spacing w:after="0" w:line="240" w:lineRule="auto"/>
              <w:jc w:val="right"/>
              <w:rPr>
                <w:rFonts w:ascii="Times New Roman" w:eastAsia="Times New Roman" w:hAnsi="Times New Roman" w:cs="Times New Roman"/>
                <w:sz w:val="20"/>
                <w:szCs w:val="20"/>
                <w:lang w:eastAsia="hu-HU"/>
              </w:rPr>
            </w:pPr>
            <w:r w:rsidRPr="00D32E7B">
              <w:rPr>
                <w:rFonts w:ascii="Garamond" w:hAnsi="Garamond"/>
                <w:sz w:val="20"/>
                <w:szCs w:val="20"/>
              </w:rPr>
              <w:t>662,0</w:t>
            </w:r>
          </w:p>
        </w:tc>
        <w:tc>
          <w:tcPr>
            <w:tcW w:w="1162" w:type="dxa"/>
            <w:tcBorders>
              <w:top w:val="nil"/>
              <w:left w:val="nil"/>
              <w:bottom w:val="single" w:sz="4" w:space="0" w:color="auto"/>
              <w:right w:val="single" w:sz="4" w:space="0" w:color="auto"/>
            </w:tcBorders>
            <w:shd w:val="clear" w:color="auto" w:fill="auto"/>
            <w:noWrap/>
            <w:vAlign w:val="center"/>
          </w:tcPr>
          <w:p w14:paraId="7F6AFAD1" w14:textId="33F07B9F" w:rsidR="00B771CD" w:rsidRPr="00CB4082" w:rsidRDefault="00B771CD" w:rsidP="00B771CD">
            <w:pPr>
              <w:spacing w:after="0" w:line="240" w:lineRule="auto"/>
              <w:jc w:val="right"/>
              <w:rPr>
                <w:rFonts w:ascii="Times New Roman" w:eastAsia="Times New Roman" w:hAnsi="Times New Roman" w:cs="Times New Roman"/>
                <w:sz w:val="20"/>
                <w:szCs w:val="20"/>
                <w:lang w:eastAsia="hu-HU"/>
              </w:rPr>
            </w:pPr>
            <w:r w:rsidRPr="00D32E7B">
              <w:rPr>
                <w:rFonts w:ascii="Garamond" w:hAnsi="Garamond"/>
                <w:sz w:val="20"/>
                <w:szCs w:val="20"/>
              </w:rPr>
              <w:t>718,3</w:t>
            </w:r>
          </w:p>
        </w:tc>
        <w:tc>
          <w:tcPr>
            <w:tcW w:w="1273" w:type="dxa"/>
            <w:tcBorders>
              <w:top w:val="nil"/>
              <w:left w:val="nil"/>
              <w:bottom w:val="single" w:sz="4" w:space="0" w:color="auto"/>
              <w:right w:val="single" w:sz="4" w:space="0" w:color="auto"/>
            </w:tcBorders>
            <w:shd w:val="clear" w:color="auto" w:fill="auto"/>
            <w:noWrap/>
            <w:vAlign w:val="center"/>
          </w:tcPr>
          <w:p w14:paraId="46251584" w14:textId="002BF87A" w:rsidR="00B771CD" w:rsidRPr="00CB4082" w:rsidRDefault="00B771CD" w:rsidP="00B771CD">
            <w:pPr>
              <w:spacing w:after="0" w:line="240" w:lineRule="auto"/>
              <w:jc w:val="right"/>
              <w:rPr>
                <w:rFonts w:ascii="Times New Roman" w:eastAsia="Times New Roman" w:hAnsi="Times New Roman" w:cs="Times New Roman"/>
                <w:sz w:val="20"/>
                <w:szCs w:val="20"/>
                <w:lang w:eastAsia="hu-HU"/>
              </w:rPr>
            </w:pPr>
            <w:r w:rsidRPr="00D32E7B">
              <w:rPr>
                <w:rFonts w:ascii="Garamond" w:hAnsi="Garamond"/>
                <w:sz w:val="20"/>
                <w:szCs w:val="20"/>
              </w:rPr>
              <w:t>108,5</w:t>
            </w:r>
          </w:p>
        </w:tc>
        <w:tc>
          <w:tcPr>
            <w:tcW w:w="1276" w:type="dxa"/>
            <w:tcBorders>
              <w:top w:val="nil"/>
              <w:left w:val="nil"/>
              <w:bottom w:val="single" w:sz="4" w:space="0" w:color="auto"/>
              <w:right w:val="single" w:sz="4" w:space="0" w:color="auto"/>
            </w:tcBorders>
            <w:shd w:val="clear" w:color="auto" w:fill="auto"/>
            <w:noWrap/>
            <w:vAlign w:val="center"/>
          </w:tcPr>
          <w:p w14:paraId="17B750E2" w14:textId="2D77BFDD" w:rsidR="00B771CD" w:rsidRPr="00CB4082" w:rsidRDefault="00B771CD" w:rsidP="00B771CD">
            <w:pPr>
              <w:spacing w:after="0" w:line="240" w:lineRule="auto"/>
              <w:jc w:val="right"/>
              <w:rPr>
                <w:rFonts w:ascii="Times New Roman" w:eastAsia="Times New Roman" w:hAnsi="Times New Roman" w:cs="Times New Roman"/>
                <w:sz w:val="20"/>
                <w:szCs w:val="20"/>
                <w:lang w:eastAsia="hu-HU"/>
              </w:rPr>
            </w:pPr>
            <w:r w:rsidRPr="00D32E7B">
              <w:rPr>
                <w:rFonts w:ascii="Garamond" w:hAnsi="Garamond"/>
                <w:sz w:val="20"/>
                <w:szCs w:val="20"/>
              </w:rPr>
              <w:t>107,9</w:t>
            </w:r>
          </w:p>
        </w:tc>
      </w:tr>
      <w:tr w:rsidR="00B771CD" w:rsidRPr="00377D59" w14:paraId="6C1A0BA7" w14:textId="77777777" w:rsidTr="00A36ED5">
        <w:trPr>
          <w:trHeight w:val="680"/>
          <w:jc w:val="center"/>
        </w:trPr>
        <w:tc>
          <w:tcPr>
            <w:tcW w:w="2039" w:type="dxa"/>
            <w:tcBorders>
              <w:top w:val="nil"/>
              <w:left w:val="single" w:sz="4" w:space="0" w:color="auto"/>
              <w:bottom w:val="single" w:sz="4" w:space="0" w:color="auto"/>
              <w:right w:val="single" w:sz="4" w:space="0" w:color="auto"/>
            </w:tcBorders>
            <w:shd w:val="clear" w:color="auto" w:fill="auto"/>
            <w:vAlign w:val="center"/>
            <w:hideMark/>
          </w:tcPr>
          <w:p w14:paraId="0932A0B5" w14:textId="138D82B9" w:rsidR="00B771CD" w:rsidRPr="00CB4082" w:rsidRDefault="00B771CD" w:rsidP="00B771CD">
            <w:pPr>
              <w:keepNext/>
              <w:keepLines/>
              <w:spacing w:after="0" w:line="240" w:lineRule="auto"/>
              <w:rPr>
                <w:rFonts w:ascii="Times New Roman" w:eastAsia="Times New Roman" w:hAnsi="Times New Roman" w:cs="Times New Roman"/>
                <w:b/>
                <w:bCs/>
                <w:sz w:val="20"/>
                <w:szCs w:val="20"/>
                <w:lang w:eastAsia="hu-HU"/>
              </w:rPr>
            </w:pPr>
            <w:r w:rsidRPr="33985B12">
              <w:rPr>
                <w:rFonts w:ascii="Times New Roman" w:hAnsi="Times New Roman" w:cs="Times New Roman"/>
                <w:b/>
                <w:bCs/>
                <w:sz w:val="20"/>
                <w:szCs w:val="20"/>
              </w:rPr>
              <w:t>Társadalombiztosítás pénzügyi alapjainak egyenlege</w:t>
            </w:r>
          </w:p>
        </w:tc>
        <w:tc>
          <w:tcPr>
            <w:tcW w:w="1163" w:type="dxa"/>
            <w:tcBorders>
              <w:top w:val="nil"/>
              <w:left w:val="single" w:sz="4" w:space="0" w:color="auto"/>
              <w:bottom w:val="single" w:sz="4" w:space="0" w:color="auto"/>
              <w:right w:val="single" w:sz="4" w:space="0" w:color="auto"/>
            </w:tcBorders>
            <w:shd w:val="clear" w:color="auto" w:fill="auto"/>
            <w:noWrap/>
            <w:vAlign w:val="center"/>
          </w:tcPr>
          <w:p w14:paraId="764C07C2" w14:textId="0D113AF8" w:rsidR="00B771CD" w:rsidRPr="00CB4082" w:rsidRDefault="00B771CD" w:rsidP="00B771CD">
            <w:pPr>
              <w:spacing w:after="0" w:line="240" w:lineRule="auto"/>
              <w:jc w:val="right"/>
              <w:rPr>
                <w:rFonts w:ascii="Times New Roman" w:eastAsia="Times New Roman" w:hAnsi="Times New Roman" w:cs="Times New Roman"/>
                <w:b/>
                <w:bCs/>
                <w:sz w:val="20"/>
                <w:szCs w:val="20"/>
                <w:lang w:eastAsia="hu-HU"/>
              </w:rPr>
            </w:pPr>
            <w:r w:rsidRPr="33985B12">
              <w:rPr>
                <w:rFonts w:ascii="Garamond" w:hAnsi="Garamond"/>
                <w:b/>
                <w:bCs/>
                <w:sz w:val="20"/>
                <w:szCs w:val="20"/>
              </w:rPr>
              <w:t>-415,8</w:t>
            </w:r>
          </w:p>
        </w:tc>
        <w:tc>
          <w:tcPr>
            <w:tcW w:w="1162" w:type="dxa"/>
            <w:tcBorders>
              <w:top w:val="nil"/>
              <w:left w:val="nil"/>
              <w:bottom w:val="single" w:sz="4" w:space="0" w:color="auto"/>
              <w:right w:val="single" w:sz="4" w:space="0" w:color="auto"/>
            </w:tcBorders>
            <w:shd w:val="clear" w:color="auto" w:fill="auto"/>
            <w:noWrap/>
            <w:vAlign w:val="center"/>
          </w:tcPr>
          <w:p w14:paraId="40FDEB50" w14:textId="68E1D4B3" w:rsidR="00B771CD" w:rsidRPr="00CB4082" w:rsidRDefault="00B771CD" w:rsidP="00B771CD">
            <w:pPr>
              <w:spacing w:after="0" w:line="240" w:lineRule="auto"/>
              <w:jc w:val="right"/>
              <w:rPr>
                <w:rFonts w:ascii="Times New Roman" w:eastAsia="Times New Roman" w:hAnsi="Times New Roman" w:cs="Times New Roman"/>
                <w:b/>
                <w:bCs/>
                <w:sz w:val="20"/>
                <w:szCs w:val="20"/>
                <w:lang w:eastAsia="hu-HU"/>
              </w:rPr>
            </w:pPr>
            <w:r w:rsidRPr="00D32E7B">
              <w:rPr>
                <w:rFonts w:ascii="Garamond" w:hAnsi="Garamond"/>
                <w:b/>
                <w:bCs/>
                <w:sz w:val="20"/>
                <w:szCs w:val="20"/>
              </w:rPr>
              <w:t>0,0</w:t>
            </w:r>
          </w:p>
        </w:tc>
        <w:tc>
          <w:tcPr>
            <w:tcW w:w="1162" w:type="dxa"/>
            <w:tcBorders>
              <w:top w:val="nil"/>
              <w:left w:val="nil"/>
              <w:bottom w:val="single" w:sz="4" w:space="0" w:color="auto"/>
              <w:right w:val="single" w:sz="4" w:space="0" w:color="auto"/>
            </w:tcBorders>
            <w:shd w:val="clear" w:color="auto" w:fill="auto"/>
            <w:noWrap/>
            <w:vAlign w:val="center"/>
          </w:tcPr>
          <w:p w14:paraId="6839221E" w14:textId="2087A60C" w:rsidR="00B771CD" w:rsidRPr="00CB4082" w:rsidRDefault="00B771CD" w:rsidP="00B771CD">
            <w:pPr>
              <w:spacing w:after="0" w:line="240" w:lineRule="auto"/>
              <w:jc w:val="right"/>
              <w:rPr>
                <w:rFonts w:ascii="Times New Roman" w:eastAsia="Times New Roman" w:hAnsi="Times New Roman" w:cs="Times New Roman"/>
                <w:b/>
                <w:bCs/>
                <w:sz w:val="20"/>
                <w:szCs w:val="20"/>
                <w:lang w:eastAsia="hu-HU"/>
              </w:rPr>
            </w:pPr>
            <w:r w:rsidRPr="00D32E7B">
              <w:rPr>
                <w:rFonts w:ascii="Garamond" w:hAnsi="Garamond"/>
                <w:b/>
                <w:bCs/>
                <w:sz w:val="20"/>
                <w:szCs w:val="20"/>
              </w:rPr>
              <w:t>-230,1</w:t>
            </w:r>
          </w:p>
        </w:tc>
        <w:tc>
          <w:tcPr>
            <w:tcW w:w="1273" w:type="dxa"/>
            <w:tcBorders>
              <w:top w:val="nil"/>
              <w:left w:val="nil"/>
              <w:bottom w:val="single" w:sz="4" w:space="0" w:color="auto"/>
              <w:right w:val="single" w:sz="4" w:space="0" w:color="auto"/>
            </w:tcBorders>
            <w:shd w:val="clear" w:color="auto" w:fill="auto"/>
            <w:noWrap/>
            <w:vAlign w:val="center"/>
          </w:tcPr>
          <w:p w14:paraId="72DED2BB" w14:textId="23CCD4B7" w:rsidR="00B771CD" w:rsidRPr="00CB4082" w:rsidRDefault="00B771CD" w:rsidP="00B771CD">
            <w:pPr>
              <w:spacing w:after="0" w:line="240" w:lineRule="auto"/>
              <w:jc w:val="right"/>
              <w:rPr>
                <w:rFonts w:ascii="Times New Roman" w:eastAsia="Times New Roman" w:hAnsi="Times New Roman" w:cs="Times New Roman"/>
                <w:sz w:val="20"/>
                <w:szCs w:val="20"/>
                <w:lang w:eastAsia="hu-HU"/>
              </w:rPr>
            </w:pPr>
            <w:r w:rsidRPr="00D32E7B">
              <w:rPr>
                <w:rFonts w:ascii="Garamond" w:hAnsi="Garamond"/>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14:paraId="6947371C" w14:textId="6DC39F07" w:rsidR="00B771CD" w:rsidRPr="00CB4082" w:rsidRDefault="00B771CD" w:rsidP="00B771CD">
            <w:pPr>
              <w:spacing w:after="0" w:line="240" w:lineRule="auto"/>
              <w:jc w:val="right"/>
              <w:rPr>
                <w:rFonts w:ascii="Times New Roman" w:eastAsia="Times New Roman" w:hAnsi="Times New Roman" w:cs="Times New Roman"/>
                <w:sz w:val="20"/>
                <w:szCs w:val="20"/>
                <w:lang w:eastAsia="hu-HU"/>
              </w:rPr>
            </w:pPr>
            <w:r w:rsidRPr="00D32E7B">
              <w:rPr>
                <w:rFonts w:ascii="Garamond" w:hAnsi="Garamond"/>
                <w:sz w:val="20"/>
                <w:szCs w:val="20"/>
              </w:rPr>
              <w:t>55,3</w:t>
            </w:r>
          </w:p>
        </w:tc>
      </w:tr>
      <w:tr w:rsidR="00B771CD" w:rsidRPr="00377D59" w14:paraId="5EA2BB6F" w14:textId="77777777" w:rsidTr="00A36ED5">
        <w:trPr>
          <w:trHeight w:val="300"/>
          <w:jc w:val="center"/>
        </w:trPr>
        <w:tc>
          <w:tcPr>
            <w:tcW w:w="2039" w:type="dxa"/>
            <w:tcBorders>
              <w:top w:val="nil"/>
              <w:left w:val="single" w:sz="4" w:space="0" w:color="auto"/>
              <w:bottom w:val="single" w:sz="4" w:space="0" w:color="auto"/>
              <w:right w:val="single" w:sz="4" w:space="0" w:color="auto"/>
            </w:tcBorders>
            <w:shd w:val="clear" w:color="auto" w:fill="auto"/>
            <w:vAlign w:val="center"/>
            <w:hideMark/>
          </w:tcPr>
          <w:p w14:paraId="3E3E07BE" w14:textId="5714C198" w:rsidR="00B771CD" w:rsidRPr="00CB4082" w:rsidRDefault="00B771CD" w:rsidP="00B771CD">
            <w:pPr>
              <w:keepNext/>
              <w:keepLines/>
              <w:spacing w:after="0" w:line="240" w:lineRule="auto"/>
              <w:jc w:val="right"/>
              <w:rPr>
                <w:rFonts w:ascii="Times New Roman" w:eastAsia="Times New Roman" w:hAnsi="Times New Roman" w:cs="Times New Roman"/>
                <w:sz w:val="20"/>
                <w:szCs w:val="20"/>
                <w:lang w:eastAsia="hu-HU"/>
              </w:rPr>
            </w:pPr>
            <w:r w:rsidRPr="33985B12">
              <w:rPr>
                <w:rFonts w:ascii="Times New Roman" w:hAnsi="Times New Roman" w:cs="Times New Roman"/>
                <w:sz w:val="20"/>
                <w:szCs w:val="20"/>
              </w:rPr>
              <w:t>bevétel:</w:t>
            </w:r>
          </w:p>
        </w:tc>
        <w:tc>
          <w:tcPr>
            <w:tcW w:w="1163" w:type="dxa"/>
            <w:tcBorders>
              <w:top w:val="nil"/>
              <w:left w:val="single" w:sz="4" w:space="0" w:color="auto"/>
              <w:bottom w:val="single" w:sz="4" w:space="0" w:color="auto"/>
              <w:right w:val="single" w:sz="4" w:space="0" w:color="auto"/>
            </w:tcBorders>
            <w:shd w:val="clear" w:color="auto" w:fill="auto"/>
            <w:noWrap/>
            <w:vAlign w:val="center"/>
          </w:tcPr>
          <w:p w14:paraId="6CBBEA73" w14:textId="2D19A828" w:rsidR="00B771CD" w:rsidRPr="00CB4082" w:rsidRDefault="00B771CD" w:rsidP="00B771CD">
            <w:pPr>
              <w:spacing w:after="0" w:line="240" w:lineRule="auto"/>
              <w:jc w:val="right"/>
              <w:rPr>
                <w:rFonts w:ascii="Times New Roman" w:eastAsia="Times New Roman" w:hAnsi="Times New Roman" w:cs="Times New Roman"/>
                <w:sz w:val="20"/>
                <w:szCs w:val="20"/>
                <w:lang w:eastAsia="hu-HU"/>
              </w:rPr>
            </w:pPr>
            <w:r w:rsidRPr="33985B12">
              <w:rPr>
                <w:rFonts w:ascii="Garamond" w:hAnsi="Garamond"/>
                <w:sz w:val="20"/>
                <w:szCs w:val="20"/>
              </w:rPr>
              <w:t>9 465,1</w:t>
            </w:r>
          </w:p>
        </w:tc>
        <w:tc>
          <w:tcPr>
            <w:tcW w:w="1162" w:type="dxa"/>
            <w:tcBorders>
              <w:top w:val="nil"/>
              <w:left w:val="nil"/>
              <w:bottom w:val="single" w:sz="4" w:space="0" w:color="auto"/>
              <w:right w:val="single" w:sz="4" w:space="0" w:color="auto"/>
            </w:tcBorders>
            <w:shd w:val="clear" w:color="auto" w:fill="auto"/>
            <w:noWrap/>
            <w:vAlign w:val="center"/>
          </w:tcPr>
          <w:p w14:paraId="1E6E9ABA" w14:textId="3DDEE88D" w:rsidR="00B771CD" w:rsidRPr="00CB4082" w:rsidRDefault="00B771CD" w:rsidP="00B771CD">
            <w:pPr>
              <w:spacing w:after="0" w:line="240" w:lineRule="auto"/>
              <w:jc w:val="right"/>
              <w:rPr>
                <w:rFonts w:ascii="Times New Roman" w:eastAsia="Times New Roman" w:hAnsi="Times New Roman" w:cs="Times New Roman"/>
                <w:sz w:val="20"/>
                <w:szCs w:val="20"/>
                <w:lang w:eastAsia="hu-HU"/>
              </w:rPr>
            </w:pPr>
            <w:r w:rsidRPr="00D32E7B">
              <w:rPr>
                <w:rFonts w:ascii="Garamond" w:hAnsi="Garamond"/>
                <w:sz w:val="20"/>
                <w:szCs w:val="20"/>
              </w:rPr>
              <w:t>10 443,9</w:t>
            </w:r>
          </w:p>
        </w:tc>
        <w:tc>
          <w:tcPr>
            <w:tcW w:w="1162" w:type="dxa"/>
            <w:tcBorders>
              <w:top w:val="nil"/>
              <w:left w:val="nil"/>
              <w:bottom w:val="single" w:sz="4" w:space="0" w:color="auto"/>
              <w:right w:val="single" w:sz="4" w:space="0" w:color="auto"/>
            </w:tcBorders>
            <w:shd w:val="clear" w:color="auto" w:fill="auto"/>
            <w:noWrap/>
            <w:vAlign w:val="center"/>
          </w:tcPr>
          <w:p w14:paraId="14329349" w14:textId="3C4C4D23" w:rsidR="00B771CD" w:rsidRPr="00CB4082" w:rsidRDefault="00B771CD" w:rsidP="00B771CD">
            <w:pPr>
              <w:spacing w:after="0" w:line="240" w:lineRule="auto"/>
              <w:jc w:val="right"/>
              <w:rPr>
                <w:rFonts w:ascii="Times New Roman" w:eastAsia="Times New Roman" w:hAnsi="Times New Roman" w:cs="Times New Roman"/>
                <w:sz w:val="20"/>
                <w:szCs w:val="20"/>
                <w:lang w:eastAsia="hu-HU"/>
              </w:rPr>
            </w:pPr>
            <w:r w:rsidRPr="00D32E7B">
              <w:rPr>
                <w:rFonts w:ascii="Garamond" w:hAnsi="Garamond"/>
                <w:sz w:val="20"/>
                <w:szCs w:val="20"/>
              </w:rPr>
              <w:t>10 526,1</w:t>
            </w:r>
          </w:p>
        </w:tc>
        <w:tc>
          <w:tcPr>
            <w:tcW w:w="1273" w:type="dxa"/>
            <w:tcBorders>
              <w:top w:val="nil"/>
              <w:left w:val="nil"/>
              <w:bottom w:val="single" w:sz="4" w:space="0" w:color="auto"/>
              <w:right w:val="single" w:sz="4" w:space="0" w:color="auto"/>
            </w:tcBorders>
            <w:shd w:val="clear" w:color="auto" w:fill="auto"/>
            <w:noWrap/>
            <w:vAlign w:val="center"/>
          </w:tcPr>
          <w:p w14:paraId="73491675" w14:textId="3CD8CADC" w:rsidR="00B771CD" w:rsidRPr="00CB4082" w:rsidRDefault="00B771CD" w:rsidP="00B771CD">
            <w:pPr>
              <w:spacing w:after="0" w:line="240" w:lineRule="auto"/>
              <w:jc w:val="right"/>
              <w:rPr>
                <w:rFonts w:ascii="Times New Roman" w:eastAsia="Times New Roman" w:hAnsi="Times New Roman" w:cs="Times New Roman"/>
                <w:sz w:val="20"/>
                <w:szCs w:val="20"/>
                <w:lang w:eastAsia="hu-HU"/>
              </w:rPr>
            </w:pPr>
            <w:r w:rsidRPr="00D32E7B">
              <w:rPr>
                <w:rFonts w:ascii="Garamond" w:hAnsi="Garamond"/>
                <w:sz w:val="20"/>
                <w:szCs w:val="20"/>
              </w:rPr>
              <w:t>100,8</w:t>
            </w:r>
          </w:p>
        </w:tc>
        <w:tc>
          <w:tcPr>
            <w:tcW w:w="1276" w:type="dxa"/>
            <w:tcBorders>
              <w:top w:val="nil"/>
              <w:left w:val="nil"/>
              <w:bottom w:val="single" w:sz="4" w:space="0" w:color="auto"/>
              <w:right w:val="single" w:sz="4" w:space="0" w:color="auto"/>
            </w:tcBorders>
            <w:shd w:val="clear" w:color="auto" w:fill="auto"/>
            <w:noWrap/>
            <w:vAlign w:val="center"/>
          </w:tcPr>
          <w:p w14:paraId="55EF7685" w14:textId="4DA9D9FD" w:rsidR="00B771CD" w:rsidRPr="00CB4082" w:rsidRDefault="00B771CD" w:rsidP="00B771CD">
            <w:pPr>
              <w:spacing w:after="0" w:line="240" w:lineRule="auto"/>
              <w:jc w:val="right"/>
              <w:rPr>
                <w:rFonts w:ascii="Times New Roman" w:eastAsia="Times New Roman" w:hAnsi="Times New Roman" w:cs="Times New Roman"/>
                <w:sz w:val="20"/>
                <w:szCs w:val="20"/>
                <w:lang w:eastAsia="hu-HU"/>
              </w:rPr>
            </w:pPr>
            <w:r w:rsidRPr="00D32E7B">
              <w:rPr>
                <w:rFonts w:ascii="Garamond" w:hAnsi="Garamond"/>
                <w:sz w:val="20"/>
                <w:szCs w:val="20"/>
              </w:rPr>
              <w:t>111,2</w:t>
            </w:r>
          </w:p>
        </w:tc>
      </w:tr>
      <w:tr w:rsidR="00B771CD" w:rsidRPr="00377D59" w14:paraId="67C00D39" w14:textId="77777777" w:rsidTr="00A36ED5">
        <w:trPr>
          <w:trHeight w:val="300"/>
          <w:jc w:val="center"/>
        </w:trPr>
        <w:tc>
          <w:tcPr>
            <w:tcW w:w="2039" w:type="dxa"/>
            <w:tcBorders>
              <w:top w:val="nil"/>
              <w:left w:val="single" w:sz="4" w:space="0" w:color="auto"/>
              <w:bottom w:val="single" w:sz="4" w:space="0" w:color="auto"/>
              <w:right w:val="single" w:sz="4" w:space="0" w:color="auto"/>
            </w:tcBorders>
            <w:shd w:val="clear" w:color="auto" w:fill="auto"/>
            <w:vAlign w:val="center"/>
            <w:hideMark/>
          </w:tcPr>
          <w:p w14:paraId="23FD797A" w14:textId="3D91990C" w:rsidR="00B771CD" w:rsidRPr="00CB4082" w:rsidRDefault="00B771CD" w:rsidP="00B771CD">
            <w:pPr>
              <w:keepNext/>
              <w:keepLines/>
              <w:spacing w:after="0" w:line="240" w:lineRule="auto"/>
              <w:jc w:val="right"/>
              <w:rPr>
                <w:rFonts w:ascii="Times New Roman" w:eastAsia="Times New Roman" w:hAnsi="Times New Roman" w:cs="Times New Roman"/>
                <w:sz w:val="20"/>
                <w:szCs w:val="20"/>
                <w:lang w:eastAsia="hu-HU"/>
              </w:rPr>
            </w:pPr>
            <w:r w:rsidRPr="33985B12">
              <w:rPr>
                <w:rFonts w:ascii="Times New Roman" w:hAnsi="Times New Roman" w:cs="Times New Roman"/>
                <w:sz w:val="20"/>
                <w:szCs w:val="20"/>
              </w:rPr>
              <w:t>kiadás:</w:t>
            </w:r>
          </w:p>
        </w:tc>
        <w:tc>
          <w:tcPr>
            <w:tcW w:w="1163" w:type="dxa"/>
            <w:tcBorders>
              <w:top w:val="nil"/>
              <w:left w:val="single" w:sz="4" w:space="0" w:color="auto"/>
              <w:bottom w:val="single" w:sz="4" w:space="0" w:color="auto"/>
              <w:right w:val="single" w:sz="4" w:space="0" w:color="auto"/>
            </w:tcBorders>
            <w:shd w:val="clear" w:color="auto" w:fill="auto"/>
            <w:noWrap/>
            <w:vAlign w:val="center"/>
          </w:tcPr>
          <w:p w14:paraId="4E2A033A" w14:textId="35E3F12A" w:rsidR="00B771CD" w:rsidRPr="00CB4082" w:rsidRDefault="00B771CD" w:rsidP="00B771CD">
            <w:pPr>
              <w:spacing w:after="0" w:line="240" w:lineRule="auto"/>
              <w:jc w:val="right"/>
              <w:rPr>
                <w:rFonts w:ascii="Times New Roman" w:eastAsia="Times New Roman" w:hAnsi="Times New Roman" w:cs="Times New Roman"/>
                <w:sz w:val="20"/>
                <w:szCs w:val="20"/>
                <w:lang w:eastAsia="hu-HU"/>
              </w:rPr>
            </w:pPr>
            <w:r w:rsidRPr="33985B12">
              <w:rPr>
                <w:rFonts w:ascii="Garamond" w:hAnsi="Garamond"/>
                <w:sz w:val="20"/>
                <w:szCs w:val="20"/>
              </w:rPr>
              <w:t>9 880,9</w:t>
            </w:r>
          </w:p>
        </w:tc>
        <w:tc>
          <w:tcPr>
            <w:tcW w:w="1162" w:type="dxa"/>
            <w:tcBorders>
              <w:top w:val="nil"/>
              <w:left w:val="nil"/>
              <w:bottom w:val="single" w:sz="4" w:space="0" w:color="auto"/>
              <w:right w:val="single" w:sz="4" w:space="0" w:color="auto"/>
            </w:tcBorders>
            <w:shd w:val="clear" w:color="auto" w:fill="auto"/>
            <w:noWrap/>
            <w:vAlign w:val="center"/>
          </w:tcPr>
          <w:p w14:paraId="54976177" w14:textId="4FA086F1" w:rsidR="00B771CD" w:rsidRPr="00CB4082" w:rsidRDefault="00B771CD" w:rsidP="00B771CD">
            <w:pPr>
              <w:spacing w:after="0" w:line="240" w:lineRule="auto"/>
              <w:jc w:val="right"/>
              <w:rPr>
                <w:rFonts w:ascii="Times New Roman" w:eastAsia="Times New Roman" w:hAnsi="Times New Roman" w:cs="Times New Roman"/>
                <w:sz w:val="20"/>
                <w:szCs w:val="20"/>
                <w:lang w:eastAsia="hu-HU"/>
              </w:rPr>
            </w:pPr>
            <w:r w:rsidRPr="00D32E7B">
              <w:rPr>
                <w:rFonts w:ascii="Garamond" w:hAnsi="Garamond"/>
                <w:sz w:val="20"/>
                <w:szCs w:val="20"/>
              </w:rPr>
              <w:t>10 443,9</w:t>
            </w:r>
          </w:p>
        </w:tc>
        <w:tc>
          <w:tcPr>
            <w:tcW w:w="1162" w:type="dxa"/>
            <w:tcBorders>
              <w:top w:val="nil"/>
              <w:left w:val="nil"/>
              <w:bottom w:val="single" w:sz="4" w:space="0" w:color="auto"/>
              <w:right w:val="single" w:sz="4" w:space="0" w:color="auto"/>
            </w:tcBorders>
            <w:shd w:val="clear" w:color="auto" w:fill="auto"/>
            <w:noWrap/>
            <w:vAlign w:val="center"/>
          </w:tcPr>
          <w:p w14:paraId="4E82EE04" w14:textId="44A046D1" w:rsidR="00B771CD" w:rsidRPr="00CB4082" w:rsidRDefault="00B771CD" w:rsidP="00B771CD">
            <w:pPr>
              <w:spacing w:after="0" w:line="240" w:lineRule="auto"/>
              <w:jc w:val="right"/>
              <w:rPr>
                <w:rFonts w:ascii="Times New Roman" w:eastAsia="Times New Roman" w:hAnsi="Times New Roman" w:cs="Times New Roman"/>
                <w:sz w:val="20"/>
                <w:szCs w:val="20"/>
                <w:lang w:eastAsia="hu-HU"/>
              </w:rPr>
            </w:pPr>
            <w:r w:rsidRPr="00D32E7B">
              <w:rPr>
                <w:rFonts w:ascii="Garamond" w:hAnsi="Garamond"/>
                <w:sz w:val="20"/>
                <w:szCs w:val="20"/>
              </w:rPr>
              <w:t>10 756,2</w:t>
            </w:r>
          </w:p>
        </w:tc>
        <w:tc>
          <w:tcPr>
            <w:tcW w:w="1273" w:type="dxa"/>
            <w:tcBorders>
              <w:top w:val="nil"/>
              <w:left w:val="nil"/>
              <w:bottom w:val="single" w:sz="4" w:space="0" w:color="auto"/>
              <w:right w:val="single" w:sz="4" w:space="0" w:color="auto"/>
            </w:tcBorders>
            <w:shd w:val="clear" w:color="auto" w:fill="auto"/>
            <w:noWrap/>
            <w:vAlign w:val="center"/>
          </w:tcPr>
          <w:p w14:paraId="0FF1FCDA" w14:textId="778A2C78" w:rsidR="00B771CD" w:rsidRPr="00CB4082" w:rsidRDefault="00B771CD" w:rsidP="00B771CD">
            <w:pPr>
              <w:spacing w:after="0" w:line="240" w:lineRule="auto"/>
              <w:jc w:val="right"/>
              <w:rPr>
                <w:rFonts w:ascii="Times New Roman" w:eastAsia="Times New Roman" w:hAnsi="Times New Roman" w:cs="Times New Roman"/>
                <w:sz w:val="20"/>
                <w:szCs w:val="20"/>
                <w:lang w:eastAsia="hu-HU"/>
              </w:rPr>
            </w:pPr>
            <w:r w:rsidRPr="00D32E7B">
              <w:rPr>
                <w:rFonts w:ascii="Garamond" w:hAnsi="Garamond"/>
                <w:sz w:val="20"/>
                <w:szCs w:val="20"/>
              </w:rPr>
              <w:t>103,0</w:t>
            </w:r>
          </w:p>
        </w:tc>
        <w:tc>
          <w:tcPr>
            <w:tcW w:w="1276" w:type="dxa"/>
            <w:tcBorders>
              <w:top w:val="nil"/>
              <w:left w:val="nil"/>
              <w:bottom w:val="single" w:sz="4" w:space="0" w:color="auto"/>
              <w:right w:val="single" w:sz="4" w:space="0" w:color="auto"/>
            </w:tcBorders>
            <w:shd w:val="clear" w:color="auto" w:fill="auto"/>
            <w:noWrap/>
            <w:vAlign w:val="center"/>
          </w:tcPr>
          <w:p w14:paraId="517DF22A" w14:textId="3D96623D" w:rsidR="00B771CD" w:rsidRPr="00CB4082" w:rsidRDefault="00B771CD" w:rsidP="00B771CD">
            <w:pPr>
              <w:spacing w:after="0" w:line="240" w:lineRule="auto"/>
              <w:jc w:val="right"/>
              <w:rPr>
                <w:rFonts w:ascii="Times New Roman" w:eastAsia="Times New Roman" w:hAnsi="Times New Roman" w:cs="Times New Roman"/>
                <w:sz w:val="20"/>
                <w:szCs w:val="20"/>
                <w:lang w:eastAsia="hu-HU"/>
              </w:rPr>
            </w:pPr>
            <w:r w:rsidRPr="00D32E7B">
              <w:rPr>
                <w:rFonts w:ascii="Garamond" w:hAnsi="Garamond"/>
                <w:sz w:val="20"/>
                <w:szCs w:val="20"/>
              </w:rPr>
              <w:t>108,9</w:t>
            </w:r>
          </w:p>
        </w:tc>
      </w:tr>
      <w:tr w:rsidR="00B771CD" w:rsidRPr="00377D59" w14:paraId="693893FF" w14:textId="77777777" w:rsidTr="00A36ED5">
        <w:trPr>
          <w:trHeight w:val="680"/>
          <w:jc w:val="center"/>
        </w:trPr>
        <w:tc>
          <w:tcPr>
            <w:tcW w:w="2039" w:type="dxa"/>
            <w:tcBorders>
              <w:top w:val="nil"/>
              <w:left w:val="single" w:sz="4" w:space="0" w:color="auto"/>
              <w:bottom w:val="single" w:sz="4" w:space="0" w:color="auto"/>
              <w:right w:val="single" w:sz="4" w:space="0" w:color="auto"/>
            </w:tcBorders>
            <w:shd w:val="clear" w:color="auto" w:fill="auto"/>
            <w:vAlign w:val="center"/>
            <w:hideMark/>
          </w:tcPr>
          <w:p w14:paraId="4DC826FD" w14:textId="55AA159E" w:rsidR="00B771CD" w:rsidRPr="00CB4082" w:rsidRDefault="00B771CD" w:rsidP="00B771CD">
            <w:pPr>
              <w:keepNext/>
              <w:keepLines/>
              <w:spacing w:after="0" w:line="240" w:lineRule="auto"/>
              <w:rPr>
                <w:rFonts w:ascii="Times New Roman" w:eastAsia="Times New Roman" w:hAnsi="Times New Roman" w:cs="Times New Roman"/>
                <w:b/>
                <w:bCs/>
                <w:sz w:val="20"/>
                <w:szCs w:val="20"/>
                <w:lang w:eastAsia="hu-HU"/>
              </w:rPr>
            </w:pPr>
            <w:r w:rsidRPr="33985B12">
              <w:rPr>
                <w:rFonts w:ascii="Times New Roman" w:hAnsi="Times New Roman" w:cs="Times New Roman"/>
                <w:b/>
                <w:bCs/>
                <w:sz w:val="20"/>
                <w:szCs w:val="20"/>
              </w:rPr>
              <w:t>Egyenleg összesen</w:t>
            </w:r>
          </w:p>
        </w:tc>
        <w:tc>
          <w:tcPr>
            <w:tcW w:w="1163" w:type="dxa"/>
            <w:tcBorders>
              <w:top w:val="nil"/>
              <w:left w:val="single" w:sz="4" w:space="0" w:color="auto"/>
              <w:bottom w:val="single" w:sz="4" w:space="0" w:color="auto"/>
              <w:right w:val="single" w:sz="4" w:space="0" w:color="auto"/>
            </w:tcBorders>
            <w:shd w:val="clear" w:color="auto" w:fill="auto"/>
            <w:noWrap/>
            <w:vAlign w:val="center"/>
          </w:tcPr>
          <w:p w14:paraId="128C853D" w14:textId="3F11B6AB" w:rsidR="00B771CD" w:rsidRPr="00CB4082" w:rsidRDefault="00B771CD" w:rsidP="00B771CD">
            <w:pPr>
              <w:spacing w:after="0" w:line="240" w:lineRule="auto"/>
              <w:jc w:val="right"/>
              <w:rPr>
                <w:rFonts w:ascii="Times New Roman" w:eastAsia="Times New Roman" w:hAnsi="Times New Roman" w:cs="Times New Roman"/>
                <w:b/>
                <w:bCs/>
                <w:sz w:val="20"/>
                <w:szCs w:val="20"/>
                <w:lang w:eastAsia="hu-HU"/>
              </w:rPr>
            </w:pPr>
            <w:r w:rsidRPr="33985B12">
              <w:rPr>
                <w:rFonts w:ascii="Garamond" w:hAnsi="Garamond"/>
                <w:b/>
                <w:bCs/>
                <w:sz w:val="20"/>
                <w:szCs w:val="20"/>
              </w:rPr>
              <w:t>-4 435,5</w:t>
            </w:r>
          </w:p>
        </w:tc>
        <w:tc>
          <w:tcPr>
            <w:tcW w:w="1162" w:type="dxa"/>
            <w:tcBorders>
              <w:top w:val="nil"/>
              <w:left w:val="nil"/>
              <w:bottom w:val="single" w:sz="4" w:space="0" w:color="auto"/>
              <w:right w:val="single" w:sz="4" w:space="0" w:color="auto"/>
            </w:tcBorders>
            <w:shd w:val="clear" w:color="auto" w:fill="auto"/>
            <w:noWrap/>
            <w:vAlign w:val="center"/>
          </w:tcPr>
          <w:p w14:paraId="7F41C27C" w14:textId="3350BF03" w:rsidR="00B771CD" w:rsidRPr="00CB4082" w:rsidRDefault="00B771CD" w:rsidP="00B771CD">
            <w:pPr>
              <w:spacing w:after="0" w:line="240" w:lineRule="auto"/>
              <w:jc w:val="right"/>
              <w:rPr>
                <w:rFonts w:ascii="Times New Roman" w:eastAsia="Times New Roman" w:hAnsi="Times New Roman" w:cs="Times New Roman"/>
                <w:b/>
                <w:bCs/>
                <w:sz w:val="20"/>
                <w:szCs w:val="20"/>
                <w:lang w:eastAsia="hu-HU"/>
              </w:rPr>
            </w:pPr>
            <w:r w:rsidRPr="00D32E7B">
              <w:rPr>
                <w:rFonts w:ascii="Garamond" w:hAnsi="Garamond"/>
                <w:b/>
                <w:bCs/>
                <w:sz w:val="20"/>
                <w:szCs w:val="20"/>
              </w:rPr>
              <w:t>-2 514,8</w:t>
            </w:r>
          </w:p>
        </w:tc>
        <w:tc>
          <w:tcPr>
            <w:tcW w:w="1162" w:type="dxa"/>
            <w:tcBorders>
              <w:top w:val="nil"/>
              <w:left w:val="nil"/>
              <w:bottom w:val="single" w:sz="4" w:space="0" w:color="auto"/>
              <w:right w:val="single" w:sz="4" w:space="0" w:color="auto"/>
            </w:tcBorders>
            <w:shd w:val="clear" w:color="auto" w:fill="auto"/>
            <w:noWrap/>
            <w:vAlign w:val="center"/>
          </w:tcPr>
          <w:p w14:paraId="18CF0DD4" w14:textId="4F0F8225" w:rsidR="00B771CD" w:rsidRPr="00CB4082" w:rsidRDefault="00B771CD" w:rsidP="00B771CD">
            <w:pPr>
              <w:spacing w:after="0" w:line="240" w:lineRule="auto"/>
              <w:jc w:val="right"/>
              <w:rPr>
                <w:rFonts w:ascii="Times New Roman" w:eastAsia="Times New Roman" w:hAnsi="Times New Roman" w:cs="Times New Roman"/>
                <w:b/>
                <w:bCs/>
                <w:sz w:val="20"/>
                <w:szCs w:val="20"/>
                <w:lang w:eastAsia="hu-HU"/>
              </w:rPr>
            </w:pPr>
            <w:r w:rsidRPr="00D32E7B">
              <w:rPr>
                <w:rFonts w:ascii="Garamond" w:hAnsi="Garamond"/>
                <w:b/>
                <w:bCs/>
                <w:sz w:val="20"/>
                <w:szCs w:val="20"/>
              </w:rPr>
              <w:t>-4 095,8</w:t>
            </w:r>
          </w:p>
        </w:tc>
        <w:tc>
          <w:tcPr>
            <w:tcW w:w="1273" w:type="dxa"/>
            <w:tcBorders>
              <w:top w:val="nil"/>
              <w:left w:val="nil"/>
              <w:bottom w:val="single" w:sz="4" w:space="0" w:color="auto"/>
              <w:right w:val="single" w:sz="4" w:space="0" w:color="auto"/>
            </w:tcBorders>
            <w:shd w:val="clear" w:color="auto" w:fill="auto"/>
            <w:noWrap/>
            <w:vAlign w:val="center"/>
          </w:tcPr>
          <w:p w14:paraId="5A523E61" w14:textId="2EA68D71" w:rsidR="00B771CD" w:rsidRPr="00CB4082" w:rsidRDefault="00B771CD" w:rsidP="00B771CD">
            <w:pPr>
              <w:spacing w:after="0" w:line="240" w:lineRule="auto"/>
              <w:jc w:val="right"/>
              <w:rPr>
                <w:rFonts w:ascii="Times New Roman" w:eastAsia="Times New Roman" w:hAnsi="Times New Roman" w:cs="Times New Roman"/>
                <w:sz w:val="20"/>
                <w:szCs w:val="20"/>
                <w:lang w:eastAsia="hu-HU"/>
              </w:rPr>
            </w:pPr>
            <w:r w:rsidRPr="00D32E7B">
              <w:rPr>
                <w:rFonts w:ascii="Garamond" w:hAnsi="Garamond"/>
                <w:sz w:val="20"/>
                <w:szCs w:val="20"/>
              </w:rPr>
              <w:t>162,9</w:t>
            </w:r>
          </w:p>
        </w:tc>
        <w:tc>
          <w:tcPr>
            <w:tcW w:w="1276" w:type="dxa"/>
            <w:tcBorders>
              <w:top w:val="nil"/>
              <w:left w:val="nil"/>
              <w:bottom w:val="single" w:sz="4" w:space="0" w:color="auto"/>
              <w:right w:val="single" w:sz="4" w:space="0" w:color="auto"/>
            </w:tcBorders>
            <w:shd w:val="clear" w:color="auto" w:fill="auto"/>
            <w:noWrap/>
            <w:vAlign w:val="center"/>
          </w:tcPr>
          <w:p w14:paraId="202FEA34" w14:textId="2B493118" w:rsidR="00B771CD" w:rsidRPr="00CB4082" w:rsidRDefault="00B771CD" w:rsidP="00B771CD">
            <w:pPr>
              <w:spacing w:after="0" w:line="240" w:lineRule="auto"/>
              <w:jc w:val="right"/>
              <w:rPr>
                <w:rFonts w:ascii="Times New Roman" w:hAnsi="Times New Roman" w:cs="Times New Roman"/>
                <w:sz w:val="20"/>
                <w:szCs w:val="20"/>
              </w:rPr>
            </w:pPr>
            <w:r w:rsidRPr="00D32E7B">
              <w:rPr>
                <w:rFonts w:ascii="Garamond" w:hAnsi="Garamond"/>
                <w:sz w:val="20"/>
                <w:szCs w:val="20"/>
              </w:rPr>
              <w:t>92,3</w:t>
            </w:r>
          </w:p>
        </w:tc>
      </w:tr>
      <w:tr w:rsidR="00B771CD" w:rsidRPr="00377D59" w14:paraId="74B0812B" w14:textId="77777777" w:rsidTr="00A36ED5">
        <w:trPr>
          <w:trHeight w:val="300"/>
          <w:jc w:val="center"/>
        </w:trPr>
        <w:tc>
          <w:tcPr>
            <w:tcW w:w="2039" w:type="dxa"/>
            <w:tcBorders>
              <w:top w:val="nil"/>
              <w:left w:val="single" w:sz="4" w:space="0" w:color="auto"/>
              <w:bottom w:val="single" w:sz="4" w:space="0" w:color="auto"/>
              <w:right w:val="single" w:sz="4" w:space="0" w:color="auto"/>
            </w:tcBorders>
            <w:shd w:val="clear" w:color="auto" w:fill="auto"/>
            <w:vAlign w:val="center"/>
            <w:hideMark/>
          </w:tcPr>
          <w:p w14:paraId="3A9285F0" w14:textId="57021C31" w:rsidR="00B771CD" w:rsidRPr="00CB4082" w:rsidRDefault="00B771CD" w:rsidP="00B771CD">
            <w:pPr>
              <w:keepNext/>
              <w:keepLines/>
              <w:spacing w:after="0" w:line="240" w:lineRule="auto"/>
              <w:jc w:val="right"/>
              <w:rPr>
                <w:rFonts w:ascii="Times New Roman" w:eastAsia="Times New Roman" w:hAnsi="Times New Roman" w:cs="Times New Roman"/>
                <w:sz w:val="20"/>
                <w:szCs w:val="20"/>
                <w:lang w:eastAsia="hu-HU"/>
              </w:rPr>
            </w:pPr>
            <w:r w:rsidRPr="33985B12">
              <w:rPr>
                <w:rFonts w:ascii="Times New Roman" w:hAnsi="Times New Roman" w:cs="Times New Roman"/>
                <w:sz w:val="20"/>
                <w:szCs w:val="20"/>
              </w:rPr>
              <w:t>bevétel:</w:t>
            </w:r>
          </w:p>
        </w:tc>
        <w:tc>
          <w:tcPr>
            <w:tcW w:w="1163" w:type="dxa"/>
            <w:tcBorders>
              <w:top w:val="nil"/>
              <w:left w:val="single" w:sz="4" w:space="0" w:color="auto"/>
              <w:bottom w:val="single" w:sz="4" w:space="0" w:color="auto"/>
              <w:right w:val="single" w:sz="4" w:space="0" w:color="auto"/>
            </w:tcBorders>
            <w:shd w:val="clear" w:color="auto" w:fill="auto"/>
            <w:noWrap/>
            <w:vAlign w:val="center"/>
          </w:tcPr>
          <w:p w14:paraId="22291C09" w14:textId="0EF63710" w:rsidR="00B771CD" w:rsidRPr="00CB4082" w:rsidRDefault="00B771CD" w:rsidP="00B771CD">
            <w:pPr>
              <w:spacing w:after="0" w:line="240" w:lineRule="auto"/>
              <w:jc w:val="right"/>
              <w:rPr>
                <w:rFonts w:ascii="Times New Roman" w:eastAsia="Times New Roman" w:hAnsi="Times New Roman" w:cs="Times New Roman"/>
                <w:sz w:val="20"/>
                <w:szCs w:val="20"/>
                <w:lang w:eastAsia="hu-HU"/>
              </w:rPr>
            </w:pPr>
            <w:r w:rsidRPr="33985B12">
              <w:rPr>
                <w:rFonts w:ascii="Garamond" w:hAnsi="Garamond"/>
                <w:sz w:val="20"/>
                <w:szCs w:val="20"/>
              </w:rPr>
              <w:t>36 831,9</w:t>
            </w:r>
          </w:p>
        </w:tc>
        <w:tc>
          <w:tcPr>
            <w:tcW w:w="1162" w:type="dxa"/>
            <w:tcBorders>
              <w:top w:val="nil"/>
              <w:left w:val="nil"/>
              <w:bottom w:val="single" w:sz="4" w:space="0" w:color="auto"/>
              <w:right w:val="single" w:sz="4" w:space="0" w:color="auto"/>
            </w:tcBorders>
            <w:shd w:val="clear" w:color="auto" w:fill="auto"/>
            <w:noWrap/>
            <w:vAlign w:val="center"/>
          </w:tcPr>
          <w:p w14:paraId="7B7C4D83" w14:textId="75B4C23B" w:rsidR="00B771CD" w:rsidRPr="00CB4082" w:rsidRDefault="00B771CD" w:rsidP="00B771CD">
            <w:pPr>
              <w:spacing w:after="0" w:line="240" w:lineRule="auto"/>
              <w:jc w:val="right"/>
              <w:rPr>
                <w:rFonts w:ascii="Times New Roman" w:eastAsia="Times New Roman" w:hAnsi="Times New Roman" w:cs="Times New Roman"/>
                <w:sz w:val="20"/>
                <w:szCs w:val="20"/>
                <w:lang w:eastAsia="hu-HU"/>
              </w:rPr>
            </w:pPr>
            <w:r w:rsidRPr="00D32E7B">
              <w:rPr>
                <w:rFonts w:ascii="Garamond" w:hAnsi="Garamond"/>
                <w:sz w:val="20"/>
                <w:szCs w:val="20"/>
              </w:rPr>
              <w:t>38 240,4</w:t>
            </w:r>
          </w:p>
        </w:tc>
        <w:tc>
          <w:tcPr>
            <w:tcW w:w="1162" w:type="dxa"/>
            <w:tcBorders>
              <w:top w:val="nil"/>
              <w:left w:val="nil"/>
              <w:bottom w:val="single" w:sz="4" w:space="0" w:color="auto"/>
              <w:right w:val="single" w:sz="4" w:space="0" w:color="auto"/>
            </w:tcBorders>
            <w:shd w:val="clear" w:color="auto" w:fill="auto"/>
            <w:noWrap/>
            <w:vAlign w:val="center"/>
          </w:tcPr>
          <w:p w14:paraId="6AB699E4" w14:textId="4A392200" w:rsidR="00B771CD" w:rsidRPr="00CB4082" w:rsidRDefault="00B771CD" w:rsidP="00B771CD">
            <w:pPr>
              <w:spacing w:after="0" w:line="240" w:lineRule="auto"/>
              <w:jc w:val="right"/>
              <w:rPr>
                <w:rFonts w:ascii="Times New Roman" w:eastAsia="Times New Roman" w:hAnsi="Times New Roman" w:cs="Times New Roman"/>
                <w:sz w:val="20"/>
                <w:szCs w:val="20"/>
                <w:lang w:eastAsia="hu-HU"/>
              </w:rPr>
            </w:pPr>
            <w:r w:rsidRPr="00D32E7B">
              <w:rPr>
                <w:rFonts w:ascii="Garamond" w:hAnsi="Garamond"/>
                <w:sz w:val="20"/>
                <w:szCs w:val="20"/>
              </w:rPr>
              <w:t>38 038,2</w:t>
            </w:r>
          </w:p>
        </w:tc>
        <w:tc>
          <w:tcPr>
            <w:tcW w:w="1273" w:type="dxa"/>
            <w:tcBorders>
              <w:top w:val="nil"/>
              <w:left w:val="nil"/>
              <w:bottom w:val="single" w:sz="4" w:space="0" w:color="auto"/>
              <w:right w:val="single" w:sz="4" w:space="0" w:color="auto"/>
            </w:tcBorders>
            <w:shd w:val="clear" w:color="auto" w:fill="auto"/>
            <w:noWrap/>
            <w:vAlign w:val="center"/>
          </w:tcPr>
          <w:p w14:paraId="7A3AB10B" w14:textId="2C11991D" w:rsidR="00B771CD" w:rsidRPr="00CB4082" w:rsidRDefault="00B771CD" w:rsidP="00B771CD">
            <w:pPr>
              <w:spacing w:after="0" w:line="240" w:lineRule="auto"/>
              <w:jc w:val="right"/>
              <w:rPr>
                <w:rFonts w:ascii="Times New Roman" w:eastAsia="Times New Roman" w:hAnsi="Times New Roman" w:cs="Times New Roman"/>
                <w:sz w:val="20"/>
                <w:szCs w:val="20"/>
                <w:lang w:eastAsia="hu-HU"/>
              </w:rPr>
            </w:pPr>
            <w:r w:rsidRPr="00D32E7B">
              <w:rPr>
                <w:rFonts w:ascii="Garamond" w:hAnsi="Garamond"/>
                <w:sz w:val="20"/>
                <w:szCs w:val="20"/>
              </w:rPr>
              <w:t>99,5</w:t>
            </w:r>
          </w:p>
        </w:tc>
        <w:tc>
          <w:tcPr>
            <w:tcW w:w="1276" w:type="dxa"/>
            <w:tcBorders>
              <w:top w:val="nil"/>
              <w:left w:val="nil"/>
              <w:bottom w:val="single" w:sz="4" w:space="0" w:color="auto"/>
              <w:right w:val="single" w:sz="4" w:space="0" w:color="auto"/>
            </w:tcBorders>
            <w:shd w:val="clear" w:color="auto" w:fill="auto"/>
            <w:noWrap/>
            <w:vAlign w:val="center"/>
          </w:tcPr>
          <w:p w14:paraId="38A6DE72" w14:textId="38B28BE8" w:rsidR="00B771CD" w:rsidRPr="00CB4082" w:rsidRDefault="00B771CD" w:rsidP="00B771CD">
            <w:pPr>
              <w:spacing w:after="0" w:line="240" w:lineRule="auto"/>
              <w:jc w:val="right"/>
              <w:rPr>
                <w:rFonts w:ascii="Times New Roman" w:eastAsia="Times New Roman" w:hAnsi="Times New Roman" w:cs="Times New Roman"/>
                <w:sz w:val="20"/>
                <w:szCs w:val="20"/>
                <w:lang w:eastAsia="hu-HU"/>
              </w:rPr>
            </w:pPr>
            <w:r w:rsidRPr="00D32E7B">
              <w:rPr>
                <w:rFonts w:ascii="Garamond" w:hAnsi="Garamond"/>
                <w:sz w:val="20"/>
                <w:szCs w:val="20"/>
              </w:rPr>
              <w:t>103,3</w:t>
            </w:r>
          </w:p>
        </w:tc>
      </w:tr>
      <w:tr w:rsidR="00B771CD" w:rsidRPr="00377D59" w14:paraId="185112E4" w14:textId="77777777" w:rsidTr="00A36ED5">
        <w:trPr>
          <w:trHeight w:val="300"/>
          <w:jc w:val="center"/>
        </w:trPr>
        <w:tc>
          <w:tcPr>
            <w:tcW w:w="2039" w:type="dxa"/>
            <w:tcBorders>
              <w:top w:val="nil"/>
              <w:left w:val="single" w:sz="4" w:space="0" w:color="auto"/>
              <w:bottom w:val="single" w:sz="4" w:space="0" w:color="auto"/>
              <w:right w:val="single" w:sz="4" w:space="0" w:color="auto"/>
            </w:tcBorders>
            <w:shd w:val="clear" w:color="auto" w:fill="auto"/>
            <w:vAlign w:val="center"/>
            <w:hideMark/>
          </w:tcPr>
          <w:p w14:paraId="325852F2" w14:textId="75E1BB08" w:rsidR="00B771CD" w:rsidRPr="00CB4082" w:rsidRDefault="00B771CD" w:rsidP="00B771CD">
            <w:pPr>
              <w:keepNext/>
              <w:keepLines/>
              <w:spacing w:after="0" w:line="240" w:lineRule="auto"/>
              <w:jc w:val="right"/>
              <w:rPr>
                <w:rFonts w:ascii="Times New Roman" w:eastAsia="Times New Roman" w:hAnsi="Times New Roman" w:cs="Times New Roman"/>
                <w:sz w:val="20"/>
                <w:szCs w:val="20"/>
                <w:lang w:eastAsia="hu-HU"/>
              </w:rPr>
            </w:pPr>
            <w:r w:rsidRPr="33985B12">
              <w:rPr>
                <w:rFonts w:ascii="Times New Roman" w:hAnsi="Times New Roman" w:cs="Times New Roman"/>
                <w:sz w:val="20"/>
                <w:szCs w:val="20"/>
              </w:rPr>
              <w:t>kiadás:</w:t>
            </w:r>
          </w:p>
        </w:tc>
        <w:tc>
          <w:tcPr>
            <w:tcW w:w="1163" w:type="dxa"/>
            <w:tcBorders>
              <w:top w:val="nil"/>
              <w:left w:val="single" w:sz="4" w:space="0" w:color="auto"/>
              <w:bottom w:val="single" w:sz="4" w:space="0" w:color="auto"/>
              <w:right w:val="single" w:sz="4" w:space="0" w:color="auto"/>
            </w:tcBorders>
            <w:shd w:val="clear" w:color="auto" w:fill="auto"/>
            <w:noWrap/>
            <w:vAlign w:val="center"/>
          </w:tcPr>
          <w:p w14:paraId="0172DF5E" w14:textId="7EA9E562" w:rsidR="00B771CD" w:rsidRPr="00CB4082" w:rsidRDefault="00B771CD" w:rsidP="00B771CD">
            <w:pPr>
              <w:spacing w:after="0" w:line="240" w:lineRule="auto"/>
              <w:jc w:val="right"/>
              <w:rPr>
                <w:rFonts w:ascii="Times New Roman" w:eastAsia="Times New Roman" w:hAnsi="Times New Roman" w:cs="Times New Roman"/>
                <w:sz w:val="20"/>
                <w:szCs w:val="20"/>
                <w:lang w:eastAsia="hu-HU"/>
              </w:rPr>
            </w:pPr>
            <w:r w:rsidRPr="33985B12">
              <w:rPr>
                <w:rFonts w:ascii="Garamond" w:hAnsi="Garamond"/>
                <w:sz w:val="20"/>
                <w:szCs w:val="20"/>
              </w:rPr>
              <w:t>41 267,4</w:t>
            </w:r>
          </w:p>
        </w:tc>
        <w:tc>
          <w:tcPr>
            <w:tcW w:w="1162" w:type="dxa"/>
            <w:tcBorders>
              <w:top w:val="nil"/>
              <w:left w:val="nil"/>
              <w:bottom w:val="single" w:sz="4" w:space="0" w:color="auto"/>
              <w:right w:val="single" w:sz="4" w:space="0" w:color="auto"/>
            </w:tcBorders>
            <w:shd w:val="clear" w:color="auto" w:fill="auto"/>
            <w:noWrap/>
            <w:vAlign w:val="center"/>
          </w:tcPr>
          <w:p w14:paraId="412A7F29" w14:textId="15ABAAEE" w:rsidR="00B771CD" w:rsidRPr="00CB4082" w:rsidRDefault="00B771CD" w:rsidP="00B771CD">
            <w:pPr>
              <w:spacing w:after="0" w:line="240" w:lineRule="auto"/>
              <w:jc w:val="right"/>
              <w:rPr>
                <w:rFonts w:ascii="Times New Roman" w:eastAsia="Times New Roman" w:hAnsi="Times New Roman" w:cs="Times New Roman"/>
                <w:sz w:val="20"/>
                <w:szCs w:val="20"/>
                <w:lang w:eastAsia="hu-HU"/>
              </w:rPr>
            </w:pPr>
            <w:r w:rsidRPr="00D32E7B">
              <w:rPr>
                <w:rFonts w:ascii="Garamond" w:hAnsi="Garamond"/>
                <w:sz w:val="20"/>
                <w:szCs w:val="20"/>
              </w:rPr>
              <w:t>40 755,2</w:t>
            </w:r>
          </w:p>
        </w:tc>
        <w:tc>
          <w:tcPr>
            <w:tcW w:w="1162" w:type="dxa"/>
            <w:tcBorders>
              <w:top w:val="nil"/>
              <w:left w:val="nil"/>
              <w:bottom w:val="single" w:sz="4" w:space="0" w:color="auto"/>
              <w:right w:val="single" w:sz="4" w:space="0" w:color="auto"/>
            </w:tcBorders>
            <w:shd w:val="clear" w:color="auto" w:fill="auto"/>
            <w:noWrap/>
            <w:vAlign w:val="center"/>
          </w:tcPr>
          <w:p w14:paraId="165D2D0D" w14:textId="408A63F9" w:rsidR="00B771CD" w:rsidRPr="00CB4082" w:rsidRDefault="00B771CD" w:rsidP="00B771CD">
            <w:pPr>
              <w:spacing w:after="0" w:line="240" w:lineRule="auto"/>
              <w:jc w:val="right"/>
              <w:rPr>
                <w:rFonts w:ascii="Times New Roman" w:eastAsia="Times New Roman" w:hAnsi="Times New Roman" w:cs="Times New Roman"/>
                <w:sz w:val="20"/>
                <w:szCs w:val="20"/>
                <w:lang w:eastAsia="hu-HU"/>
              </w:rPr>
            </w:pPr>
            <w:r w:rsidRPr="00D32E7B">
              <w:rPr>
                <w:rFonts w:ascii="Garamond" w:hAnsi="Garamond"/>
                <w:sz w:val="20"/>
                <w:szCs w:val="20"/>
              </w:rPr>
              <w:t>42 134,0</w:t>
            </w:r>
          </w:p>
        </w:tc>
        <w:tc>
          <w:tcPr>
            <w:tcW w:w="1273" w:type="dxa"/>
            <w:tcBorders>
              <w:top w:val="nil"/>
              <w:left w:val="nil"/>
              <w:bottom w:val="single" w:sz="4" w:space="0" w:color="auto"/>
              <w:right w:val="single" w:sz="4" w:space="0" w:color="auto"/>
            </w:tcBorders>
            <w:shd w:val="clear" w:color="auto" w:fill="auto"/>
            <w:noWrap/>
            <w:vAlign w:val="center"/>
          </w:tcPr>
          <w:p w14:paraId="0F960772" w14:textId="20105788" w:rsidR="00B771CD" w:rsidRPr="00CB4082" w:rsidRDefault="00B771CD" w:rsidP="00B771CD">
            <w:pPr>
              <w:spacing w:after="0" w:line="240" w:lineRule="auto"/>
              <w:jc w:val="right"/>
              <w:rPr>
                <w:rFonts w:ascii="Times New Roman" w:eastAsia="Times New Roman" w:hAnsi="Times New Roman" w:cs="Times New Roman"/>
                <w:sz w:val="20"/>
                <w:szCs w:val="20"/>
                <w:lang w:eastAsia="hu-HU"/>
              </w:rPr>
            </w:pPr>
            <w:r w:rsidRPr="00D32E7B">
              <w:rPr>
                <w:rFonts w:ascii="Garamond" w:hAnsi="Garamond"/>
                <w:sz w:val="20"/>
                <w:szCs w:val="20"/>
              </w:rPr>
              <w:t>103,4</w:t>
            </w:r>
          </w:p>
        </w:tc>
        <w:tc>
          <w:tcPr>
            <w:tcW w:w="1276" w:type="dxa"/>
            <w:tcBorders>
              <w:top w:val="nil"/>
              <w:left w:val="nil"/>
              <w:bottom w:val="single" w:sz="4" w:space="0" w:color="auto"/>
              <w:right w:val="single" w:sz="4" w:space="0" w:color="auto"/>
            </w:tcBorders>
            <w:shd w:val="clear" w:color="auto" w:fill="auto"/>
            <w:noWrap/>
            <w:vAlign w:val="center"/>
          </w:tcPr>
          <w:p w14:paraId="09A84AFA" w14:textId="04CD07B1" w:rsidR="00B771CD" w:rsidRPr="00CB4082" w:rsidRDefault="00B771CD" w:rsidP="00B771CD">
            <w:pPr>
              <w:spacing w:after="0" w:line="240" w:lineRule="auto"/>
              <w:jc w:val="right"/>
              <w:rPr>
                <w:rFonts w:ascii="Times New Roman" w:eastAsia="Times New Roman" w:hAnsi="Times New Roman" w:cs="Times New Roman"/>
                <w:sz w:val="20"/>
                <w:szCs w:val="20"/>
                <w:lang w:eastAsia="hu-HU"/>
              </w:rPr>
            </w:pPr>
            <w:r w:rsidRPr="00D32E7B">
              <w:rPr>
                <w:rFonts w:ascii="Garamond" w:hAnsi="Garamond"/>
                <w:sz w:val="20"/>
                <w:szCs w:val="20"/>
              </w:rPr>
              <w:t>102,1</w:t>
            </w:r>
          </w:p>
        </w:tc>
      </w:tr>
    </w:tbl>
    <w:p w14:paraId="7B768A91" w14:textId="77777777" w:rsidR="00B155FE" w:rsidRDefault="00B155FE" w:rsidP="00B155FE">
      <w:pPr>
        <w:spacing w:after="120" w:line="240" w:lineRule="auto"/>
        <w:jc w:val="both"/>
        <w:rPr>
          <w:rFonts w:ascii="Times New Roman" w:eastAsia="Times New Roman" w:hAnsi="Times New Roman" w:cs="Times New Roman"/>
          <w:b/>
          <w:bCs/>
          <w:sz w:val="26"/>
          <w:szCs w:val="20"/>
          <w:lang w:eastAsia="hu-HU"/>
        </w:rPr>
      </w:pPr>
    </w:p>
    <w:p w14:paraId="30CB3F52" w14:textId="77777777" w:rsidR="00684D06" w:rsidRPr="00377D59" w:rsidRDefault="00684D06" w:rsidP="00B155FE">
      <w:pPr>
        <w:spacing w:after="120" w:line="240" w:lineRule="auto"/>
        <w:jc w:val="both"/>
        <w:rPr>
          <w:rFonts w:ascii="Times New Roman" w:eastAsia="Times New Roman" w:hAnsi="Times New Roman" w:cs="Times New Roman"/>
          <w:b/>
          <w:bCs/>
          <w:sz w:val="26"/>
          <w:szCs w:val="20"/>
          <w:lang w:eastAsia="hu-HU"/>
        </w:rPr>
      </w:pPr>
    </w:p>
    <w:p w14:paraId="48AF08BC" w14:textId="77777777" w:rsidR="008F511B" w:rsidRPr="00377D59" w:rsidRDefault="33985B12" w:rsidP="00B14AB5">
      <w:pPr>
        <w:keepNext/>
        <w:ind w:left="425" w:hanging="425"/>
        <w:jc w:val="center"/>
        <w:outlineLvl w:val="3"/>
        <w:rPr>
          <w:rFonts w:ascii="Times New Roman" w:eastAsia="Times New Roman" w:hAnsi="Times New Roman" w:cs="Times New Roman"/>
          <w:b/>
          <w:bCs/>
          <w:caps/>
          <w:sz w:val="26"/>
          <w:szCs w:val="26"/>
          <w:lang w:eastAsia="hu-HU"/>
        </w:rPr>
      </w:pPr>
      <w:r w:rsidRPr="33985B12">
        <w:rPr>
          <w:rFonts w:ascii="Times New Roman" w:eastAsia="Times New Roman" w:hAnsi="Times New Roman" w:cs="Times New Roman"/>
          <w:b/>
          <w:bCs/>
          <w:caps/>
          <w:sz w:val="26"/>
          <w:szCs w:val="26"/>
          <w:lang w:eastAsia="hu-HU"/>
        </w:rPr>
        <w:lastRenderedPageBreak/>
        <w:t>Az államháztartás központi alrendszerének HIÁNYA</w:t>
      </w:r>
    </w:p>
    <w:p w14:paraId="52778348" w14:textId="0ABCD28F" w:rsidR="008F511B" w:rsidRPr="00384AA3" w:rsidRDefault="33985B12" w:rsidP="00B14AB5">
      <w:pPr>
        <w:jc w:val="both"/>
        <w:rPr>
          <w:rFonts w:ascii="Times New Roman" w:eastAsia="Times New Roman" w:hAnsi="Times New Roman" w:cs="Times New Roman"/>
          <w:color w:val="000000" w:themeColor="text1"/>
          <w:sz w:val="26"/>
          <w:szCs w:val="26"/>
          <w:lang w:eastAsia="hu-HU"/>
        </w:rPr>
      </w:pPr>
      <w:r w:rsidRPr="33985B12">
        <w:rPr>
          <w:rFonts w:ascii="Times New Roman" w:eastAsia="Times New Roman" w:hAnsi="Times New Roman" w:cs="Times New Roman"/>
          <w:color w:val="000000" w:themeColor="text1"/>
          <w:sz w:val="26"/>
          <w:szCs w:val="26"/>
          <w:lang w:eastAsia="hu-HU"/>
        </w:rPr>
        <w:t>Az államháztartás központi alrendszerének az elfogadott költségvetési törvényben szereplő 2,9%-os ESA-hiányhoz tartozó pénzforgalmi</w:t>
      </w:r>
      <w:r w:rsidR="002F0795">
        <w:rPr>
          <w:rFonts w:ascii="Times New Roman" w:eastAsia="Times New Roman" w:hAnsi="Times New Roman" w:cs="Times New Roman"/>
          <w:color w:val="000000" w:themeColor="text1"/>
          <w:sz w:val="26"/>
          <w:szCs w:val="26"/>
          <w:lang w:eastAsia="hu-HU"/>
        </w:rPr>
        <w:t xml:space="preserve"> hiánya 2 514,8</w:t>
      </w:r>
      <w:r w:rsidR="00EA0EF7">
        <w:rPr>
          <w:rFonts w:ascii="Times New Roman" w:eastAsia="Times New Roman" w:hAnsi="Times New Roman" w:cs="Times New Roman"/>
          <w:color w:val="000000" w:themeColor="text1"/>
          <w:sz w:val="26"/>
          <w:szCs w:val="26"/>
          <w:lang w:eastAsia="hu-HU"/>
        </w:rPr>
        <w:t> </w:t>
      </w:r>
      <w:r w:rsidR="002F0795">
        <w:rPr>
          <w:rFonts w:ascii="Times New Roman" w:eastAsia="Times New Roman" w:hAnsi="Times New Roman" w:cs="Times New Roman"/>
          <w:color w:val="000000" w:themeColor="text1"/>
          <w:sz w:val="26"/>
          <w:szCs w:val="26"/>
          <w:lang w:eastAsia="hu-HU"/>
        </w:rPr>
        <w:t>milliárd forint volt.</w:t>
      </w:r>
    </w:p>
    <w:p w14:paraId="4DF44AE1" w14:textId="71B383DE" w:rsidR="008F511B" w:rsidRDefault="33985B12" w:rsidP="00B14AB5">
      <w:pPr>
        <w:jc w:val="both"/>
        <w:rPr>
          <w:rFonts w:ascii="Times New Roman" w:eastAsia="Times New Roman" w:hAnsi="Times New Roman" w:cs="Times New Roman"/>
          <w:sz w:val="26"/>
          <w:szCs w:val="26"/>
          <w:lang w:eastAsia="hu-HU"/>
        </w:rPr>
      </w:pPr>
      <w:r w:rsidRPr="33985B12">
        <w:rPr>
          <w:rFonts w:ascii="Times New Roman" w:eastAsia="Times New Roman" w:hAnsi="Times New Roman" w:cs="Times New Roman"/>
          <w:color w:val="000000" w:themeColor="text1"/>
          <w:sz w:val="26"/>
          <w:szCs w:val="26"/>
          <w:lang w:eastAsia="hu-HU"/>
        </w:rPr>
        <w:t xml:space="preserve">A </w:t>
      </w:r>
      <w:r w:rsidR="001552F0">
        <w:rPr>
          <w:rFonts w:ascii="Times New Roman" w:eastAsia="Times New Roman" w:hAnsi="Times New Roman" w:cs="Times New Roman"/>
          <w:color w:val="000000" w:themeColor="text1"/>
          <w:sz w:val="26"/>
          <w:szCs w:val="26"/>
          <w:lang w:eastAsia="hu-HU"/>
        </w:rPr>
        <w:t>Kormány ugyanakkor később mind a pénzforgalmi, mind az eredményszemléletű hiánycélt megemelte. A központi alrendszer 4</w:t>
      </w:r>
      <w:r w:rsidR="001C456C">
        <w:rPr>
          <w:rFonts w:ascii="Times New Roman" w:eastAsia="Times New Roman" w:hAnsi="Times New Roman" w:cs="Times New Roman"/>
          <w:color w:val="000000" w:themeColor="text1"/>
          <w:sz w:val="26"/>
          <w:szCs w:val="26"/>
          <w:lang w:eastAsia="hu-HU"/>
        </w:rPr>
        <w:t xml:space="preserve"> </w:t>
      </w:r>
      <w:bookmarkStart w:id="0" w:name="_GoBack"/>
      <w:bookmarkEnd w:id="0"/>
      <w:r w:rsidR="001552F0">
        <w:rPr>
          <w:rFonts w:ascii="Times New Roman" w:eastAsia="Times New Roman" w:hAnsi="Times New Roman" w:cs="Times New Roman"/>
          <w:color w:val="000000" w:themeColor="text1"/>
          <w:sz w:val="26"/>
          <w:szCs w:val="26"/>
          <w:lang w:eastAsia="hu-HU"/>
        </w:rPr>
        <w:t>095,8 milliárd forintos pénzforgalmi hiánya alapján a kormányzati szektor eredményszemléletű hiány</w:t>
      </w:r>
      <w:r w:rsidR="00224692">
        <w:rPr>
          <w:rFonts w:ascii="Times New Roman" w:eastAsia="Times New Roman" w:hAnsi="Times New Roman" w:cs="Times New Roman"/>
          <w:color w:val="000000" w:themeColor="text1"/>
          <w:sz w:val="26"/>
          <w:szCs w:val="26"/>
          <w:lang w:eastAsia="hu-HU"/>
        </w:rPr>
        <w:t>a</w:t>
      </w:r>
      <w:r w:rsidR="001552F0">
        <w:rPr>
          <w:rFonts w:ascii="Times New Roman" w:eastAsia="Times New Roman" w:hAnsi="Times New Roman" w:cs="Times New Roman"/>
          <w:color w:val="000000" w:themeColor="text1"/>
          <w:sz w:val="26"/>
          <w:szCs w:val="26"/>
          <w:lang w:eastAsia="hu-HU"/>
        </w:rPr>
        <w:t xml:space="preserve"> a GDP 4,8%-a körül alakulhatott.</w:t>
      </w:r>
    </w:p>
    <w:p w14:paraId="7B768A92" w14:textId="77777777" w:rsidR="00B155FE" w:rsidRPr="00377D59" w:rsidRDefault="00B155FE" w:rsidP="00B155FE">
      <w:pPr>
        <w:spacing w:after="120" w:line="240" w:lineRule="auto"/>
        <w:jc w:val="both"/>
        <w:rPr>
          <w:rFonts w:ascii="Times New Roman" w:eastAsia="Times New Roman" w:hAnsi="Times New Roman" w:cs="Times New Roman"/>
          <w:b/>
          <w:bCs/>
          <w:sz w:val="26"/>
          <w:szCs w:val="20"/>
          <w:lang w:eastAsia="hu-HU"/>
        </w:rPr>
      </w:pPr>
      <w:r w:rsidRPr="00377D59">
        <w:rPr>
          <w:rFonts w:ascii="Times New Roman" w:eastAsia="Times New Roman" w:hAnsi="Times New Roman" w:cs="Times New Roman"/>
          <w:b/>
          <w:bCs/>
          <w:sz w:val="26"/>
          <w:szCs w:val="20"/>
          <w:lang w:eastAsia="hu-HU"/>
        </w:rPr>
        <w:br w:type="page"/>
      </w:r>
    </w:p>
    <w:p w14:paraId="7B768A93" w14:textId="77777777" w:rsidR="00B155FE" w:rsidRPr="00377D59" w:rsidRDefault="33985B12" w:rsidP="33985B12">
      <w:pPr>
        <w:spacing w:after="120" w:line="240" w:lineRule="auto"/>
        <w:jc w:val="center"/>
        <w:rPr>
          <w:rFonts w:ascii="Times New Roman" w:eastAsia="Times New Roman" w:hAnsi="Times New Roman" w:cs="Times New Roman"/>
          <w:b/>
          <w:bCs/>
          <w:sz w:val="26"/>
          <w:szCs w:val="26"/>
          <w:lang w:eastAsia="hu-HU"/>
        </w:rPr>
      </w:pPr>
      <w:r w:rsidRPr="33985B12">
        <w:rPr>
          <w:rFonts w:ascii="Times New Roman" w:eastAsia="Times New Roman" w:hAnsi="Times New Roman" w:cs="Times New Roman"/>
          <w:b/>
          <w:bCs/>
          <w:sz w:val="26"/>
          <w:szCs w:val="26"/>
          <w:lang w:eastAsia="hu-HU"/>
        </w:rPr>
        <w:lastRenderedPageBreak/>
        <w:t>I.</w:t>
      </w:r>
    </w:p>
    <w:p w14:paraId="7B768A94" w14:textId="77777777" w:rsidR="00B155FE" w:rsidRPr="00377D59" w:rsidRDefault="33985B12" w:rsidP="33985B12">
      <w:pPr>
        <w:keepNext/>
        <w:spacing w:after="120" w:line="240" w:lineRule="auto"/>
        <w:jc w:val="center"/>
        <w:outlineLvl w:val="1"/>
        <w:rPr>
          <w:rFonts w:ascii="Times New Roman" w:eastAsia="Times New Roman" w:hAnsi="Times New Roman" w:cs="Times New Roman"/>
          <w:b/>
          <w:bCs/>
          <w:caps/>
          <w:sz w:val="26"/>
          <w:szCs w:val="26"/>
          <w:lang w:eastAsia="hu-HU"/>
        </w:rPr>
      </w:pPr>
      <w:r w:rsidRPr="33985B12">
        <w:rPr>
          <w:rFonts w:ascii="Times New Roman" w:eastAsia="Times New Roman" w:hAnsi="Times New Roman" w:cs="Times New Roman"/>
          <w:b/>
          <w:bCs/>
          <w:caps/>
          <w:sz w:val="26"/>
          <w:szCs w:val="26"/>
          <w:lang w:eastAsia="hu-HU"/>
        </w:rPr>
        <w:t xml:space="preserve">A központi alrendszer pénzügyi folyamatainak </w:t>
      </w:r>
      <w:r w:rsidR="166F4922">
        <w:br/>
      </w:r>
      <w:r w:rsidRPr="33985B12">
        <w:rPr>
          <w:rFonts w:ascii="Times New Roman" w:eastAsia="Times New Roman" w:hAnsi="Times New Roman" w:cs="Times New Roman"/>
          <w:b/>
          <w:bCs/>
          <w:caps/>
          <w:sz w:val="26"/>
          <w:szCs w:val="26"/>
          <w:lang w:eastAsia="hu-HU"/>
        </w:rPr>
        <w:t>alakulása</w:t>
      </w:r>
    </w:p>
    <w:p w14:paraId="6D461365" w14:textId="08DC9FC2" w:rsidR="0004032B" w:rsidRPr="00377D59" w:rsidRDefault="33985B12" w:rsidP="33985B12">
      <w:pPr>
        <w:keepNext/>
        <w:numPr>
          <w:ilvl w:val="0"/>
          <w:numId w:val="3"/>
        </w:numPr>
        <w:spacing w:after="120" w:line="240" w:lineRule="auto"/>
        <w:jc w:val="both"/>
        <w:outlineLvl w:val="2"/>
        <w:rPr>
          <w:rFonts w:ascii="Times New Roman" w:eastAsia="Times New Roman" w:hAnsi="Times New Roman" w:cs="Times New Roman"/>
          <w:b/>
          <w:bCs/>
          <w:smallCaps/>
          <w:sz w:val="28"/>
          <w:szCs w:val="28"/>
          <w:lang w:eastAsia="hu-HU"/>
        </w:rPr>
      </w:pPr>
      <w:r w:rsidRPr="33985B12">
        <w:rPr>
          <w:rFonts w:ascii="Times New Roman" w:eastAsia="Times New Roman" w:hAnsi="Times New Roman" w:cs="Times New Roman"/>
          <w:b/>
          <w:bCs/>
          <w:smallCaps/>
          <w:sz w:val="28"/>
          <w:szCs w:val="28"/>
          <w:lang w:eastAsia="hu-HU"/>
        </w:rPr>
        <w:t>A főbb bevételek</w:t>
      </w:r>
    </w:p>
    <w:p w14:paraId="12E99013" w14:textId="618E7F50" w:rsidR="0004032B" w:rsidRDefault="33985B12" w:rsidP="33985B12">
      <w:pPr>
        <w:jc w:val="both"/>
        <w:rPr>
          <w:rFonts w:ascii="Times New Roman" w:eastAsia="Times New Roman" w:hAnsi="Times New Roman" w:cs="Times New Roman"/>
          <w:b/>
          <w:bCs/>
          <w:sz w:val="26"/>
          <w:szCs w:val="26"/>
        </w:rPr>
      </w:pPr>
      <w:r w:rsidRPr="33985B12">
        <w:rPr>
          <w:rFonts w:ascii="Times New Roman" w:eastAsia="Times New Roman" w:hAnsi="Times New Roman" w:cs="Times New Roman"/>
          <w:b/>
          <w:bCs/>
          <w:sz w:val="26"/>
          <w:szCs w:val="26"/>
        </w:rPr>
        <w:t xml:space="preserve">A </w:t>
      </w:r>
      <w:r w:rsidR="00BB12FE" w:rsidRPr="00BB12FE">
        <w:rPr>
          <w:rFonts w:ascii="Times New Roman" w:eastAsia="Times New Roman" w:hAnsi="Times New Roman" w:cs="Times New Roman"/>
          <w:b/>
          <w:bCs/>
          <w:sz w:val="26"/>
          <w:szCs w:val="26"/>
        </w:rPr>
        <w:t>központi alrendszer december végi 38</w:t>
      </w:r>
      <w:r w:rsidR="00BB12FE">
        <w:rPr>
          <w:rFonts w:ascii="Times New Roman" w:eastAsia="Times New Roman" w:hAnsi="Times New Roman" w:cs="Times New Roman"/>
          <w:b/>
          <w:bCs/>
          <w:sz w:val="26"/>
          <w:szCs w:val="26"/>
        </w:rPr>
        <w:t> </w:t>
      </w:r>
      <w:r w:rsidR="00BB12FE" w:rsidRPr="00BB12FE">
        <w:rPr>
          <w:rFonts w:ascii="Times New Roman" w:eastAsia="Times New Roman" w:hAnsi="Times New Roman" w:cs="Times New Roman"/>
          <w:b/>
          <w:bCs/>
          <w:sz w:val="26"/>
          <w:szCs w:val="26"/>
        </w:rPr>
        <w:t>038,2</w:t>
      </w:r>
      <w:r w:rsidR="001366F9">
        <w:rPr>
          <w:rFonts w:ascii="Times New Roman" w:eastAsia="Times New Roman" w:hAnsi="Times New Roman" w:cs="Times New Roman"/>
          <w:b/>
          <w:bCs/>
          <w:sz w:val="26"/>
          <w:szCs w:val="26"/>
        </w:rPr>
        <w:t> </w:t>
      </w:r>
      <w:r w:rsidR="00BB12FE" w:rsidRPr="00BB12FE">
        <w:rPr>
          <w:rFonts w:ascii="Times New Roman" w:eastAsia="Times New Roman" w:hAnsi="Times New Roman" w:cs="Times New Roman"/>
          <w:b/>
          <w:bCs/>
          <w:sz w:val="26"/>
          <w:szCs w:val="26"/>
        </w:rPr>
        <w:t>milliárd forint összegű bevételei az előző év azonos időszakához képest 1</w:t>
      </w:r>
      <w:r w:rsidR="00BB12FE">
        <w:rPr>
          <w:rFonts w:ascii="Times New Roman" w:eastAsia="Times New Roman" w:hAnsi="Times New Roman" w:cs="Times New Roman"/>
          <w:b/>
          <w:bCs/>
          <w:sz w:val="26"/>
          <w:szCs w:val="26"/>
        </w:rPr>
        <w:t> </w:t>
      </w:r>
      <w:r w:rsidR="00BB12FE" w:rsidRPr="00BB12FE">
        <w:rPr>
          <w:rFonts w:ascii="Times New Roman" w:eastAsia="Times New Roman" w:hAnsi="Times New Roman" w:cs="Times New Roman"/>
          <w:b/>
          <w:bCs/>
          <w:sz w:val="26"/>
          <w:szCs w:val="26"/>
        </w:rPr>
        <w:t>206,3 milliárd forinttal, 3,3%-kal magasabb összegben alakultak</w:t>
      </w:r>
      <w:r w:rsidR="0097449A">
        <w:rPr>
          <w:rFonts w:ascii="Times New Roman" w:eastAsia="Times New Roman" w:hAnsi="Times New Roman" w:cs="Times New Roman"/>
          <w:b/>
          <w:bCs/>
          <w:sz w:val="26"/>
          <w:szCs w:val="26"/>
        </w:rPr>
        <w:t>.</w:t>
      </w:r>
    </w:p>
    <w:p w14:paraId="566C6F72" w14:textId="77777777" w:rsidR="001366F9" w:rsidRPr="00377D59" w:rsidRDefault="001366F9" w:rsidP="33985B12">
      <w:pPr>
        <w:jc w:val="both"/>
        <w:rPr>
          <w:rFonts w:ascii="Times New Roman" w:eastAsia="Times New Roman" w:hAnsi="Times New Roman" w:cs="Times New Roman"/>
          <w:b/>
          <w:bCs/>
          <w:sz w:val="26"/>
          <w:szCs w:val="26"/>
        </w:rPr>
      </w:pPr>
    </w:p>
    <w:p w14:paraId="6BBE59DE" w14:textId="739C60A6" w:rsidR="00CF551C" w:rsidRDefault="0097449A" w:rsidP="00C11940">
      <w:pPr>
        <w:pStyle w:val="NormlWeb"/>
        <w:spacing w:before="0" w:beforeAutospacing="0" w:after="120" w:afterAutospacing="0"/>
        <w:jc w:val="center"/>
      </w:pPr>
      <w:r>
        <w:rPr>
          <w:noProof/>
        </w:rPr>
        <w:drawing>
          <wp:inline distT="0" distB="0" distL="0" distR="0" wp14:anchorId="5134C454" wp14:editId="7FC30ECB">
            <wp:extent cx="5940425" cy="2349500"/>
            <wp:effectExtent l="0" t="0" r="3175"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0425" cy="2349500"/>
                    </a:xfrm>
                    <a:prstGeom prst="rect">
                      <a:avLst/>
                    </a:prstGeom>
                  </pic:spPr>
                </pic:pic>
              </a:graphicData>
            </a:graphic>
          </wp:inline>
        </w:drawing>
      </w:r>
    </w:p>
    <w:p w14:paraId="147E9024" w14:textId="77777777" w:rsidR="001366F9" w:rsidRDefault="001366F9" w:rsidP="008A3C12">
      <w:pPr>
        <w:jc w:val="both"/>
        <w:rPr>
          <w:rFonts w:ascii="Times New Roman" w:eastAsia="Times New Roman" w:hAnsi="Times New Roman" w:cs="Times New Roman"/>
          <w:b/>
          <w:bCs/>
          <w:sz w:val="26"/>
          <w:szCs w:val="20"/>
          <w:lang w:eastAsia="hu-HU"/>
        </w:rPr>
      </w:pPr>
    </w:p>
    <w:p w14:paraId="4BEF1396" w14:textId="7E777079" w:rsidR="007E22F7" w:rsidRPr="007E22F7" w:rsidRDefault="007E22F7" w:rsidP="008A3C12">
      <w:pPr>
        <w:jc w:val="both"/>
        <w:rPr>
          <w:rFonts w:ascii="Times New Roman" w:eastAsia="Times New Roman" w:hAnsi="Times New Roman" w:cs="Times New Roman"/>
          <w:sz w:val="26"/>
          <w:szCs w:val="20"/>
          <w:lang w:eastAsia="hu-HU"/>
        </w:rPr>
      </w:pPr>
      <w:r w:rsidRPr="007E22F7">
        <w:rPr>
          <w:rFonts w:ascii="Times New Roman" w:eastAsia="Times New Roman" w:hAnsi="Times New Roman" w:cs="Times New Roman"/>
          <w:b/>
          <w:bCs/>
          <w:sz w:val="26"/>
          <w:szCs w:val="20"/>
          <w:lang w:eastAsia="hu-HU"/>
        </w:rPr>
        <w:lastRenderedPageBreak/>
        <w:t xml:space="preserve">Társasági adó </w:t>
      </w:r>
      <w:r w:rsidRPr="007E22F7">
        <w:rPr>
          <w:rFonts w:ascii="Times New Roman" w:eastAsia="Times New Roman" w:hAnsi="Times New Roman" w:cs="Times New Roman"/>
          <w:sz w:val="26"/>
          <w:szCs w:val="20"/>
          <w:lang w:eastAsia="hu-HU"/>
        </w:rPr>
        <w:t>jogcímen a 2024. évben</w:t>
      </w:r>
      <w:r w:rsidR="001366F9">
        <w:rPr>
          <w:rFonts w:ascii="Times New Roman" w:eastAsia="Times New Roman" w:hAnsi="Times New Roman" w:cs="Times New Roman"/>
          <w:sz w:val="26"/>
          <w:szCs w:val="20"/>
          <w:lang w:eastAsia="hu-HU"/>
        </w:rPr>
        <w:t> </w:t>
      </w:r>
      <w:r w:rsidRPr="007E22F7">
        <w:rPr>
          <w:rFonts w:ascii="Times New Roman" w:eastAsia="Times New Roman" w:hAnsi="Times New Roman" w:cs="Times New Roman"/>
          <w:sz w:val="26"/>
          <w:szCs w:val="20"/>
          <w:lang w:eastAsia="hu-HU"/>
        </w:rPr>
        <w:t>1</w:t>
      </w:r>
      <w:r w:rsidR="001366F9">
        <w:rPr>
          <w:rFonts w:ascii="Times New Roman" w:eastAsia="Times New Roman" w:hAnsi="Times New Roman" w:cs="Times New Roman"/>
          <w:sz w:val="26"/>
          <w:szCs w:val="20"/>
          <w:lang w:eastAsia="hu-HU"/>
        </w:rPr>
        <w:t> </w:t>
      </w:r>
      <w:r w:rsidRPr="007E22F7">
        <w:rPr>
          <w:rFonts w:ascii="Times New Roman" w:eastAsia="Times New Roman" w:hAnsi="Times New Roman" w:cs="Times New Roman"/>
          <w:sz w:val="26"/>
          <w:szCs w:val="20"/>
          <w:lang w:eastAsia="hu-HU"/>
        </w:rPr>
        <w:t>007,9 milliárd</w:t>
      </w:r>
      <w:r w:rsidR="00726F02">
        <w:rPr>
          <w:rFonts w:ascii="Times New Roman" w:eastAsia="Times New Roman" w:hAnsi="Times New Roman" w:cs="Times New Roman"/>
          <w:sz w:val="26"/>
          <w:szCs w:val="20"/>
          <w:lang w:eastAsia="hu-HU"/>
        </w:rPr>
        <w:t> forint realizálódott, amely a 2023. </w:t>
      </w:r>
      <w:r w:rsidRPr="007E22F7">
        <w:rPr>
          <w:rFonts w:ascii="Times New Roman" w:eastAsia="Times New Roman" w:hAnsi="Times New Roman" w:cs="Times New Roman"/>
          <w:sz w:val="26"/>
          <w:szCs w:val="20"/>
          <w:lang w:eastAsia="hu-HU"/>
        </w:rPr>
        <w:t>év egyenle</w:t>
      </w:r>
      <w:r w:rsidR="001366F9">
        <w:rPr>
          <w:rFonts w:ascii="Times New Roman" w:eastAsia="Times New Roman" w:hAnsi="Times New Roman" w:cs="Times New Roman"/>
          <w:sz w:val="26"/>
          <w:szCs w:val="20"/>
          <w:lang w:eastAsia="hu-HU"/>
        </w:rPr>
        <w:t>génél</w:t>
      </w:r>
      <w:r w:rsidRPr="007E22F7">
        <w:rPr>
          <w:rFonts w:ascii="Times New Roman" w:eastAsia="Times New Roman" w:hAnsi="Times New Roman" w:cs="Times New Roman"/>
          <w:sz w:val="26"/>
          <w:szCs w:val="20"/>
          <w:lang w:eastAsia="hu-HU"/>
        </w:rPr>
        <w:t xml:space="preserve"> 5,9 milliárd forinttal </w:t>
      </w:r>
      <w:r w:rsidR="001366F9">
        <w:rPr>
          <w:rFonts w:ascii="Times New Roman" w:eastAsia="Times New Roman" w:hAnsi="Times New Roman" w:cs="Times New Roman"/>
          <w:sz w:val="26"/>
          <w:szCs w:val="20"/>
          <w:lang w:eastAsia="hu-HU"/>
        </w:rPr>
        <w:t>kevesebb</w:t>
      </w:r>
      <w:r w:rsidRPr="007E22F7">
        <w:rPr>
          <w:rFonts w:ascii="Times New Roman" w:eastAsia="Times New Roman" w:hAnsi="Times New Roman" w:cs="Times New Roman"/>
          <w:sz w:val="26"/>
          <w:szCs w:val="20"/>
          <w:lang w:eastAsia="hu-HU"/>
        </w:rPr>
        <w:t>. A bázisévhez viszonyítva az eltérést a kiutalások befizetésekhez képesti jelentősebb növekménye, valamint az egyedi és az eltérő üzleti éves adózók elszámolásához köthető befizetések okozzák.</w:t>
      </w:r>
    </w:p>
    <w:p w14:paraId="2DCF4C91" w14:textId="6D7537E9" w:rsidR="007E22F7" w:rsidRPr="007E22F7" w:rsidRDefault="007E22F7" w:rsidP="008A3C12">
      <w:pPr>
        <w:jc w:val="both"/>
        <w:rPr>
          <w:rFonts w:ascii="Times New Roman" w:eastAsia="Times New Roman" w:hAnsi="Times New Roman" w:cs="Times New Roman"/>
          <w:sz w:val="26"/>
          <w:szCs w:val="20"/>
          <w:lang w:eastAsia="hu-HU"/>
        </w:rPr>
      </w:pPr>
      <w:r w:rsidRPr="007E22F7">
        <w:rPr>
          <w:rFonts w:ascii="Times New Roman" w:eastAsia="Times New Roman" w:hAnsi="Times New Roman" w:cs="Times New Roman"/>
          <w:bCs/>
          <w:sz w:val="26"/>
          <w:szCs w:val="20"/>
          <w:lang w:eastAsia="hu-HU"/>
        </w:rPr>
        <w:t>A</w:t>
      </w:r>
      <w:r w:rsidRPr="007E22F7">
        <w:rPr>
          <w:rFonts w:ascii="Times New Roman" w:eastAsia="Times New Roman" w:hAnsi="Times New Roman" w:cs="Times New Roman"/>
          <w:b/>
          <w:bCs/>
          <w:sz w:val="26"/>
          <w:szCs w:val="20"/>
          <w:lang w:eastAsia="hu-HU"/>
        </w:rPr>
        <w:t xml:space="preserve"> pénzügyi szervezetek befizetései</w:t>
      </w:r>
      <w:r w:rsidRPr="007E22F7">
        <w:rPr>
          <w:rFonts w:ascii="Times New Roman" w:eastAsia="Times New Roman" w:hAnsi="Times New Roman" w:cs="Times New Roman"/>
          <w:sz w:val="26"/>
          <w:szCs w:val="20"/>
          <w:lang w:eastAsia="hu-HU"/>
        </w:rPr>
        <w:t xml:space="preserve"> mérlegsoron a 2024. évben 265,9 milliárd forint teljesült, amely a</w:t>
      </w:r>
      <w:r w:rsidR="00726F02">
        <w:rPr>
          <w:rFonts w:ascii="Times New Roman" w:eastAsia="Times New Roman" w:hAnsi="Times New Roman" w:cs="Times New Roman"/>
          <w:sz w:val="26"/>
          <w:szCs w:val="20"/>
          <w:lang w:eastAsia="hu-HU"/>
        </w:rPr>
        <w:t xml:space="preserve"> 2023. </w:t>
      </w:r>
      <w:r w:rsidRPr="007E22F7">
        <w:rPr>
          <w:rFonts w:ascii="Times New Roman" w:eastAsia="Times New Roman" w:hAnsi="Times New Roman" w:cs="Times New Roman"/>
          <w:sz w:val="26"/>
          <w:szCs w:val="20"/>
          <w:lang w:eastAsia="hu-HU"/>
        </w:rPr>
        <w:t>év egyenleg</w:t>
      </w:r>
      <w:r w:rsidR="001366F9">
        <w:rPr>
          <w:rFonts w:ascii="Times New Roman" w:eastAsia="Times New Roman" w:hAnsi="Times New Roman" w:cs="Times New Roman"/>
          <w:sz w:val="26"/>
          <w:szCs w:val="20"/>
          <w:lang w:eastAsia="hu-HU"/>
        </w:rPr>
        <w:t>énél</w:t>
      </w:r>
      <w:r w:rsidRPr="007E22F7">
        <w:rPr>
          <w:rFonts w:ascii="Times New Roman" w:eastAsia="Times New Roman" w:hAnsi="Times New Roman" w:cs="Times New Roman"/>
          <w:sz w:val="26"/>
          <w:szCs w:val="20"/>
          <w:lang w:eastAsia="hu-HU"/>
        </w:rPr>
        <w:t xml:space="preserve"> 86,7 milliárd forinttal </w:t>
      </w:r>
      <w:r w:rsidR="001366F9">
        <w:rPr>
          <w:rFonts w:ascii="Times New Roman" w:eastAsia="Times New Roman" w:hAnsi="Times New Roman" w:cs="Times New Roman"/>
          <w:sz w:val="26"/>
          <w:szCs w:val="20"/>
          <w:lang w:eastAsia="hu-HU"/>
        </w:rPr>
        <w:t>kevesebb.</w:t>
      </w:r>
      <w:r w:rsidRPr="007E22F7">
        <w:rPr>
          <w:rFonts w:ascii="Times New Roman" w:eastAsia="Times New Roman" w:hAnsi="Times New Roman" w:cs="Times New Roman"/>
          <w:sz w:val="26"/>
          <w:szCs w:val="20"/>
          <w:lang w:eastAsia="hu-HU"/>
        </w:rPr>
        <w:t xml:space="preserve"> Ennek oka, hogy a pénzügyi szervezetek extraprofitadó kötelezettség</w:t>
      </w:r>
      <w:r w:rsidR="001366F9">
        <w:rPr>
          <w:rFonts w:ascii="Times New Roman" w:eastAsia="Times New Roman" w:hAnsi="Times New Roman" w:cs="Times New Roman"/>
          <w:sz w:val="26"/>
          <w:szCs w:val="20"/>
          <w:lang w:eastAsia="hu-HU"/>
        </w:rPr>
        <w:t xml:space="preserve">ével összefüggésben, a </w:t>
      </w:r>
      <w:r w:rsidRPr="007E22F7">
        <w:rPr>
          <w:rFonts w:ascii="Times New Roman" w:eastAsia="Times New Roman" w:hAnsi="Times New Roman" w:cs="Times New Roman"/>
          <w:sz w:val="26"/>
          <w:szCs w:val="20"/>
          <w:lang w:eastAsia="hu-HU"/>
        </w:rPr>
        <w:t xml:space="preserve">2024. évtől </w:t>
      </w:r>
      <w:r w:rsidR="001366F9">
        <w:rPr>
          <w:rFonts w:ascii="Times New Roman" w:eastAsia="Times New Roman" w:hAnsi="Times New Roman" w:cs="Times New Roman"/>
          <w:sz w:val="26"/>
          <w:szCs w:val="20"/>
          <w:lang w:eastAsia="hu-HU"/>
        </w:rPr>
        <w:t xml:space="preserve">az </w:t>
      </w:r>
      <w:r w:rsidRPr="007E22F7">
        <w:rPr>
          <w:rFonts w:ascii="Times New Roman" w:eastAsia="Times New Roman" w:hAnsi="Times New Roman" w:cs="Times New Roman"/>
          <w:sz w:val="26"/>
          <w:szCs w:val="20"/>
          <w:lang w:eastAsia="hu-HU"/>
        </w:rPr>
        <w:t>állampapír-állomány növekedéséhez kötötten kedvezmény érvényesíthető a banki extraprofit-adóból.</w:t>
      </w:r>
    </w:p>
    <w:p w14:paraId="04B91FCF" w14:textId="77777777" w:rsidR="007E22F7" w:rsidRPr="007E22F7" w:rsidRDefault="007E22F7" w:rsidP="008A3C12">
      <w:pPr>
        <w:jc w:val="both"/>
        <w:rPr>
          <w:rFonts w:ascii="Times New Roman" w:eastAsia="Times New Roman" w:hAnsi="Times New Roman" w:cs="Times New Roman"/>
          <w:sz w:val="26"/>
          <w:szCs w:val="20"/>
          <w:lang w:eastAsia="hu-HU"/>
        </w:rPr>
      </w:pPr>
      <w:r w:rsidRPr="007E22F7">
        <w:rPr>
          <w:rFonts w:ascii="Times New Roman" w:eastAsia="Times New Roman" w:hAnsi="Times New Roman" w:cs="Times New Roman"/>
          <w:bCs/>
          <w:sz w:val="26"/>
          <w:szCs w:val="20"/>
          <w:lang w:eastAsia="hu-HU"/>
        </w:rPr>
        <w:t>A</w:t>
      </w:r>
      <w:r w:rsidRPr="007E22F7">
        <w:rPr>
          <w:rFonts w:ascii="Times New Roman" w:eastAsia="Times New Roman" w:hAnsi="Times New Roman" w:cs="Times New Roman"/>
          <w:b/>
          <w:bCs/>
          <w:sz w:val="26"/>
          <w:szCs w:val="20"/>
          <w:lang w:eastAsia="hu-HU"/>
        </w:rPr>
        <w:t xml:space="preserve"> kisadózók tételes adójából</w:t>
      </w:r>
      <w:r w:rsidRPr="007E22F7">
        <w:rPr>
          <w:rFonts w:ascii="Times New Roman" w:eastAsia="Times New Roman" w:hAnsi="Times New Roman" w:cs="Times New Roman"/>
          <w:sz w:val="26"/>
          <w:szCs w:val="20"/>
          <w:lang w:eastAsia="hu-HU"/>
        </w:rPr>
        <w:t xml:space="preserve"> 2024-ben a költségvetésnek 67,4 milliárd forint bevétele keletkezett, amely 3,3 milliárd forinttal kevesebb az egy évvel korábbinál. Ennek oka az adónemet választók alacsonyabb létszáma.</w:t>
      </w:r>
    </w:p>
    <w:p w14:paraId="4D060677" w14:textId="0D5B1DBD" w:rsidR="007E22F7" w:rsidRPr="007E22F7" w:rsidRDefault="007E22F7" w:rsidP="001366F9">
      <w:pPr>
        <w:jc w:val="both"/>
        <w:rPr>
          <w:rFonts w:ascii="Times New Roman" w:eastAsia="Times New Roman" w:hAnsi="Times New Roman" w:cs="Times New Roman"/>
          <w:sz w:val="26"/>
          <w:szCs w:val="20"/>
          <w:lang w:eastAsia="hu-HU"/>
        </w:rPr>
      </w:pPr>
      <w:r w:rsidRPr="007E22F7">
        <w:rPr>
          <w:rFonts w:ascii="Times New Roman" w:eastAsia="Times New Roman" w:hAnsi="Times New Roman" w:cs="Times New Roman"/>
          <w:bCs/>
          <w:sz w:val="26"/>
          <w:szCs w:val="20"/>
          <w:lang w:eastAsia="hu-HU"/>
        </w:rPr>
        <w:lastRenderedPageBreak/>
        <w:t>A</w:t>
      </w:r>
      <w:r w:rsidRPr="007E22F7">
        <w:rPr>
          <w:rFonts w:ascii="Times New Roman" w:eastAsia="Times New Roman" w:hAnsi="Times New Roman" w:cs="Times New Roman"/>
          <w:b/>
          <w:bCs/>
          <w:sz w:val="26"/>
          <w:szCs w:val="20"/>
          <w:lang w:eastAsia="hu-HU"/>
        </w:rPr>
        <w:t xml:space="preserve"> kisvállalati adóból</w:t>
      </w:r>
      <w:r w:rsidRPr="007E22F7">
        <w:rPr>
          <w:rFonts w:ascii="Times New Roman" w:eastAsia="Times New Roman" w:hAnsi="Times New Roman" w:cs="Times New Roman"/>
          <w:sz w:val="26"/>
          <w:szCs w:val="20"/>
          <w:lang w:eastAsia="hu-HU"/>
        </w:rPr>
        <w:t xml:space="preserve"> származó bevétel a 2024. évben 215,6 milliárd forint volt, amely 32,2 milliárd forinttal magasabb a</w:t>
      </w:r>
      <w:r w:rsidR="007F08CB">
        <w:rPr>
          <w:rFonts w:ascii="Times New Roman" w:eastAsia="Times New Roman" w:hAnsi="Times New Roman" w:cs="Times New Roman"/>
          <w:sz w:val="26"/>
          <w:szCs w:val="20"/>
          <w:lang w:eastAsia="hu-HU"/>
        </w:rPr>
        <w:t xml:space="preserve"> 2023. </w:t>
      </w:r>
      <w:r w:rsidRPr="007E22F7">
        <w:rPr>
          <w:rFonts w:ascii="Times New Roman" w:eastAsia="Times New Roman" w:hAnsi="Times New Roman" w:cs="Times New Roman"/>
          <w:sz w:val="26"/>
          <w:szCs w:val="20"/>
          <w:lang w:eastAsia="hu-HU"/>
        </w:rPr>
        <w:t>év egyenlegénél. Ennek oka az adóalanyok számán</w:t>
      </w:r>
      <w:r w:rsidR="001366F9">
        <w:rPr>
          <w:rFonts w:ascii="Times New Roman" w:eastAsia="Times New Roman" w:hAnsi="Times New Roman" w:cs="Times New Roman"/>
          <w:sz w:val="26"/>
          <w:szCs w:val="20"/>
          <w:lang w:eastAsia="hu-HU"/>
        </w:rPr>
        <w:t xml:space="preserve">ak jelentős mértékű bővülése. 2024 </w:t>
      </w:r>
      <w:r w:rsidRPr="007E22F7">
        <w:rPr>
          <w:rFonts w:ascii="Times New Roman" w:eastAsia="Times New Roman" w:hAnsi="Times New Roman" w:cs="Times New Roman"/>
          <w:sz w:val="26"/>
          <w:szCs w:val="20"/>
          <w:lang w:eastAsia="hu-HU"/>
        </w:rPr>
        <w:t>decemberében a KIVA alanyok száma meghaladta a 98,4 ezret.</w:t>
      </w:r>
    </w:p>
    <w:p w14:paraId="05A0FCFD" w14:textId="27E47275" w:rsidR="00640595" w:rsidRDefault="33985B12" w:rsidP="001366F9">
      <w:pPr>
        <w:jc w:val="both"/>
        <w:rPr>
          <w:rFonts w:ascii="Times New Roman" w:eastAsia="Times New Roman" w:hAnsi="Times New Roman" w:cs="Times New Roman"/>
          <w:sz w:val="26"/>
          <w:szCs w:val="26"/>
        </w:rPr>
      </w:pPr>
      <w:r w:rsidRPr="33985B12">
        <w:rPr>
          <w:rFonts w:ascii="Times New Roman" w:eastAsia="Times New Roman" w:hAnsi="Times New Roman" w:cs="Times New Roman"/>
          <w:sz w:val="26"/>
          <w:szCs w:val="26"/>
        </w:rPr>
        <w:t xml:space="preserve">A </w:t>
      </w:r>
      <w:r w:rsidRPr="33985B12">
        <w:rPr>
          <w:rFonts w:ascii="Times New Roman" w:eastAsia="Times New Roman" w:hAnsi="Times New Roman" w:cs="Times New Roman"/>
          <w:b/>
          <w:bCs/>
          <w:sz w:val="26"/>
          <w:szCs w:val="26"/>
        </w:rPr>
        <w:t>bányajáradék-bevétel</w:t>
      </w:r>
      <w:r w:rsidRPr="33985B12">
        <w:rPr>
          <w:rFonts w:ascii="Times New Roman" w:eastAsia="Times New Roman" w:hAnsi="Times New Roman" w:cs="Times New Roman"/>
          <w:sz w:val="26"/>
          <w:szCs w:val="26"/>
        </w:rPr>
        <w:t xml:space="preserve"> a 2024. évben 121,4</w:t>
      </w:r>
      <w:r w:rsidR="00D92384">
        <w:rPr>
          <w:rFonts w:ascii="Times New Roman" w:eastAsia="Times New Roman" w:hAnsi="Times New Roman" w:cs="Times New Roman"/>
          <w:sz w:val="26"/>
          <w:szCs w:val="26"/>
        </w:rPr>
        <w:t> </w:t>
      </w:r>
      <w:r w:rsidRPr="33985B12">
        <w:rPr>
          <w:rFonts w:ascii="Times New Roman" w:eastAsia="Times New Roman" w:hAnsi="Times New Roman" w:cs="Times New Roman"/>
          <w:sz w:val="26"/>
          <w:szCs w:val="26"/>
        </w:rPr>
        <w:t>milliárd forint volt, amely 120,5 milliárd forinttal teljesült alacsonyabban a</w:t>
      </w:r>
      <w:r w:rsidR="00C01545">
        <w:rPr>
          <w:rFonts w:ascii="Times New Roman" w:eastAsia="Times New Roman" w:hAnsi="Times New Roman" w:cs="Times New Roman"/>
          <w:sz w:val="26"/>
          <w:szCs w:val="26"/>
        </w:rPr>
        <w:t xml:space="preserve"> 2023. évihez képest</w:t>
      </w:r>
      <w:r w:rsidRPr="33985B12">
        <w:rPr>
          <w:rFonts w:ascii="Times New Roman" w:eastAsia="Times New Roman" w:hAnsi="Times New Roman" w:cs="Times New Roman"/>
          <w:sz w:val="26"/>
          <w:szCs w:val="26"/>
        </w:rPr>
        <w:t>, amelynek fő oka a bányajáradék számítási módjának 2023. szeptember 1-jétől hatályos módosítása.</w:t>
      </w:r>
    </w:p>
    <w:p w14:paraId="5322C39E" w14:textId="4F2EBE7E" w:rsidR="72AFD5C4" w:rsidRPr="00377D59" w:rsidRDefault="33985B12" w:rsidP="001366F9">
      <w:pPr>
        <w:jc w:val="both"/>
        <w:rPr>
          <w:rFonts w:ascii="Times New Roman" w:eastAsia="Times New Roman" w:hAnsi="Times New Roman" w:cs="Times New Roman"/>
          <w:sz w:val="26"/>
          <w:szCs w:val="26"/>
        </w:rPr>
      </w:pPr>
      <w:r w:rsidRPr="33985B12">
        <w:rPr>
          <w:rFonts w:ascii="Times New Roman" w:eastAsia="Times New Roman" w:hAnsi="Times New Roman" w:cs="Times New Roman"/>
          <w:sz w:val="26"/>
          <w:szCs w:val="26"/>
        </w:rPr>
        <w:t xml:space="preserve">Az </w:t>
      </w:r>
      <w:r w:rsidRPr="33985B12">
        <w:rPr>
          <w:rFonts w:ascii="Times New Roman" w:eastAsia="Times New Roman" w:hAnsi="Times New Roman" w:cs="Times New Roman"/>
          <w:b/>
          <w:bCs/>
          <w:sz w:val="26"/>
          <w:szCs w:val="26"/>
        </w:rPr>
        <w:t>útdíjakból származó bevétel</w:t>
      </w:r>
      <w:r w:rsidRPr="33985B12">
        <w:rPr>
          <w:rFonts w:ascii="Times New Roman" w:eastAsia="Times New Roman" w:hAnsi="Times New Roman" w:cs="Times New Roman"/>
          <w:sz w:val="26"/>
          <w:szCs w:val="26"/>
        </w:rPr>
        <w:t xml:space="preserve"> 2024-től külön mérlegsoron jelenik meg, mely az elektronikus útdíj rendszer és az időalapú útdíj rendszer bevételeinek együttes összegét tartalmazza. Az útdíjakból 2024. december végéig 596,9 milliárd forint bevétel teljesült, amely 192,4 milliárd forinttal magasabb az előző év azonos időszakához viszonyítva. A magasabb teljesülést alapvetően a forgalmi adatok, valamint a díjrendszereket érintő jogszabályi keretek változása, különösen a külsőköltség-díj bevezetése okozza.</w:t>
      </w:r>
    </w:p>
    <w:p w14:paraId="685BE235" w14:textId="2363884F" w:rsidR="008A66DB" w:rsidRDefault="33985B12" w:rsidP="001366F9">
      <w:pPr>
        <w:jc w:val="both"/>
        <w:rPr>
          <w:rFonts w:ascii="Times New Roman" w:eastAsia="Times New Roman" w:hAnsi="Times New Roman" w:cs="Times New Roman"/>
          <w:sz w:val="26"/>
          <w:szCs w:val="26"/>
        </w:rPr>
      </w:pPr>
      <w:r w:rsidRPr="00EC0C4A">
        <w:rPr>
          <w:rFonts w:ascii="Times New Roman" w:eastAsia="Times New Roman" w:hAnsi="Times New Roman" w:cs="Times New Roman"/>
          <w:b/>
          <w:bCs/>
          <w:sz w:val="26"/>
          <w:szCs w:val="26"/>
        </w:rPr>
        <w:lastRenderedPageBreak/>
        <w:t xml:space="preserve">Egyéb központosított bevételekből </w:t>
      </w:r>
      <w:r w:rsidR="001366F9" w:rsidRPr="00EC0C4A">
        <w:rPr>
          <w:rFonts w:ascii="Times New Roman" w:eastAsia="Times New Roman" w:hAnsi="Times New Roman" w:cs="Times New Roman"/>
          <w:sz w:val="26"/>
          <w:szCs w:val="26"/>
        </w:rPr>
        <w:t>2024-ben</w:t>
      </w:r>
      <w:r w:rsidRPr="00EC0C4A">
        <w:rPr>
          <w:rFonts w:ascii="Times New Roman" w:eastAsia="Times New Roman" w:hAnsi="Times New Roman" w:cs="Times New Roman"/>
          <w:sz w:val="26"/>
          <w:szCs w:val="26"/>
        </w:rPr>
        <w:t xml:space="preserve"> összesen 148,3 milliárd forint bevétel teljesült, amely a törvényi előirányzat 101,9%-ának felel meg. Ezen belül kiemelkedő a bírságbevételekből befolyt 91,2 milliárd forint.</w:t>
      </w:r>
    </w:p>
    <w:p w14:paraId="2537FBCE" w14:textId="3B772A0C" w:rsidR="007E22F7" w:rsidRPr="007E22F7" w:rsidRDefault="007E22F7" w:rsidP="001366F9">
      <w:pPr>
        <w:jc w:val="both"/>
        <w:rPr>
          <w:rFonts w:ascii="Times New Roman" w:eastAsia="Times New Roman" w:hAnsi="Times New Roman" w:cs="Times New Roman"/>
          <w:b/>
          <w:sz w:val="26"/>
          <w:szCs w:val="20"/>
          <w:lang w:eastAsia="hu-HU"/>
        </w:rPr>
      </w:pPr>
      <w:r w:rsidRPr="007E22F7">
        <w:rPr>
          <w:rFonts w:ascii="Times New Roman" w:eastAsia="Times New Roman" w:hAnsi="Times New Roman" w:cs="Times New Roman"/>
          <w:sz w:val="26"/>
          <w:szCs w:val="20"/>
          <w:lang w:eastAsia="hu-HU"/>
        </w:rPr>
        <w:t>Az</w:t>
      </w:r>
      <w:r w:rsidRPr="007E22F7">
        <w:rPr>
          <w:rFonts w:ascii="Times New Roman" w:eastAsia="Times New Roman" w:hAnsi="Times New Roman" w:cs="Times New Roman"/>
          <w:b/>
          <w:sz w:val="26"/>
          <w:szCs w:val="20"/>
          <w:lang w:eastAsia="hu-HU"/>
        </w:rPr>
        <w:t xml:space="preserve"> energia ágazat befizetései </w:t>
      </w:r>
      <w:r w:rsidRPr="007E22F7">
        <w:rPr>
          <w:rFonts w:ascii="Times New Roman" w:eastAsia="Times New Roman" w:hAnsi="Times New Roman" w:cs="Times New Roman"/>
          <w:sz w:val="26"/>
          <w:szCs w:val="20"/>
          <w:lang w:eastAsia="hu-HU"/>
        </w:rPr>
        <w:t xml:space="preserve">jogcímen </w:t>
      </w:r>
      <w:r w:rsidR="00E63B72">
        <w:rPr>
          <w:rFonts w:ascii="Times New Roman" w:eastAsia="Times New Roman" w:hAnsi="Times New Roman" w:cs="Times New Roman"/>
          <w:sz w:val="26"/>
          <w:szCs w:val="20"/>
          <w:lang w:eastAsia="hu-HU"/>
        </w:rPr>
        <w:t xml:space="preserve">a </w:t>
      </w:r>
      <w:r w:rsidRPr="007E22F7">
        <w:rPr>
          <w:rFonts w:ascii="Times New Roman" w:eastAsia="Times New Roman" w:hAnsi="Times New Roman" w:cs="Times New Roman"/>
          <w:sz w:val="26"/>
          <w:szCs w:val="20"/>
          <w:lang w:eastAsia="hu-HU"/>
        </w:rPr>
        <w:t xml:space="preserve">2024. évben 279,1 milliárd forint pénzforgalom teljesült, amely az előző év egyenlegétől 155,6 milliárd forinttal maradt el. Az </w:t>
      </w:r>
      <w:r w:rsidR="00E63B72">
        <w:rPr>
          <w:rFonts w:ascii="Times New Roman" w:eastAsia="Times New Roman" w:hAnsi="Times New Roman" w:cs="Times New Roman"/>
          <w:sz w:val="26"/>
          <w:szCs w:val="20"/>
          <w:lang w:eastAsia="hu-HU"/>
        </w:rPr>
        <w:t>elmaradás</w:t>
      </w:r>
      <w:r w:rsidRPr="007E22F7">
        <w:rPr>
          <w:rFonts w:ascii="Times New Roman" w:eastAsia="Times New Roman" w:hAnsi="Times New Roman" w:cs="Times New Roman"/>
          <w:sz w:val="26"/>
          <w:szCs w:val="20"/>
          <w:lang w:eastAsia="hu-HU"/>
        </w:rPr>
        <w:t xml:space="preserve"> jelentős részét az Ural-Brent spread különadó elmaradása tette ki.</w:t>
      </w:r>
    </w:p>
    <w:p w14:paraId="6FC3DE9B" w14:textId="6594DEAF" w:rsidR="007E22F7" w:rsidRPr="007E22F7" w:rsidRDefault="007E22F7" w:rsidP="001366F9">
      <w:pPr>
        <w:jc w:val="both"/>
        <w:rPr>
          <w:rFonts w:ascii="Times New Roman" w:eastAsia="Times New Roman" w:hAnsi="Times New Roman" w:cs="Times New Roman"/>
          <w:sz w:val="26"/>
          <w:szCs w:val="20"/>
          <w:lang w:eastAsia="hu-HU"/>
        </w:rPr>
      </w:pPr>
      <w:r w:rsidRPr="007E22F7">
        <w:rPr>
          <w:rFonts w:ascii="Times New Roman" w:eastAsia="Times New Roman" w:hAnsi="Times New Roman" w:cs="Times New Roman"/>
          <w:b/>
          <w:sz w:val="26"/>
          <w:szCs w:val="20"/>
          <w:lang w:eastAsia="hu-HU"/>
        </w:rPr>
        <w:t>K</w:t>
      </w:r>
      <w:r w:rsidRPr="007E22F7">
        <w:rPr>
          <w:rFonts w:ascii="Times New Roman" w:eastAsia="Times New Roman" w:hAnsi="Times New Roman" w:cs="Times New Roman"/>
          <w:b/>
          <w:bCs/>
          <w:sz w:val="26"/>
          <w:szCs w:val="20"/>
          <w:lang w:eastAsia="hu-HU"/>
        </w:rPr>
        <w:t xml:space="preserve">iskereskedelmi adó </w:t>
      </w:r>
      <w:r w:rsidRPr="007E22F7">
        <w:rPr>
          <w:rFonts w:ascii="Times New Roman" w:eastAsia="Times New Roman" w:hAnsi="Times New Roman" w:cs="Times New Roman"/>
          <w:sz w:val="26"/>
          <w:szCs w:val="20"/>
          <w:lang w:eastAsia="hu-HU"/>
        </w:rPr>
        <w:t>jogcímen a 2024. évben 265,0 milliárd forint bevétel teljesült, amely a 2023. évi egyenlegénél 22,6 milliárd forinttal magasabb. A bevételek alakulásának hátterében az előlegfizetések</w:t>
      </w:r>
      <w:r w:rsidR="00E63B72">
        <w:rPr>
          <w:rFonts w:ascii="Times New Roman" w:eastAsia="Times New Roman" w:hAnsi="Times New Roman" w:cs="Times New Roman"/>
          <w:sz w:val="26"/>
          <w:szCs w:val="20"/>
          <w:lang w:eastAsia="hu-HU"/>
        </w:rPr>
        <w:t>,</w:t>
      </w:r>
      <w:r w:rsidRPr="007E22F7">
        <w:rPr>
          <w:rFonts w:ascii="Times New Roman" w:eastAsia="Times New Roman" w:hAnsi="Times New Roman" w:cs="Times New Roman"/>
          <w:sz w:val="26"/>
          <w:szCs w:val="20"/>
          <w:lang w:eastAsia="hu-HU"/>
        </w:rPr>
        <w:t xml:space="preserve"> valamint az elszámolásokhoz és önellenőrzésekhez köthető befizetések állnak.</w:t>
      </w:r>
    </w:p>
    <w:p w14:paraId="483FD92B" w14:textId="75BAB66D" w:rsidR="007E22F7" w:rsidRPr="007E22F7" w:rsidRDefault="007E22F7" w:rsidP="001366F9">
      <w:pPr>
        <w:jc w:val="both"/>
        <w:rPr>
          <w:rFonts w:ascii="Times New Roman" w:eastAsia="Times New Roman" w:hAnsi="Times New Roman" w:cs="Times New Roman"/>
          <w:b/>
          <w:sz w:val="26"/>
          <w:szCs w:val="20"/>
          <w:lang w:eastAsia="hu-HU"/>
        </w:rPr>
      </w:pPr>
      <w:r w:rsidRPr="007E22F7">
        <w:rPr>
          <w:rFonts w:ascii="Times New Roman" w:eastAsia="Times New Roman" w:hAnsi="Times New Roman" w:cs="Times New Roman"/>
          <w:b/>
          <w:sz w:val="26"/>
          <w:szCs w:val="20"/>
          <w:lang w:eastAsia="hu-HU"/>
        </w:rPr>
        <w:t xml:space="preserve">Gyógyszergyártói adó </w:t>
      </w:r>
      <w:r w:rsidRPr="007E22F7">
        <w:rPr>
          <w:rFonts w:ascii="Times New Roman" w:eastAsia="Times New Roman" w:hAnsi="Times New Roman" w:cs="Times New Roman"/>
          <w:sz w:val="26"/>
          <w:szCs w:val="20"/>
          <w:lang w:eastAsia="hu-HU"/>
        </w:rPr>
        <w:t xml:space="preserve">jogcímen </w:t>
      </w:r>
      <w:r w:rsidR="00E63B72">
        <w:rPr>
          <w:rFonts w:ascii="Times New Roman" w:eastAsia="Times New Roman" w:hAnsi="Times New Roman" w:cs="Times New Roman"/>
          <w:sz w:val="26"/>
          <w:szCs w:val="20"/>
          <w:lang w:eastAsia="hu-HU"/>
        </w:rPr>
        <w:t xml:space="preserve">a </w:t>
      </w:r>
      <w:r w:rsidRPr="007E22F7">
        <w:rPr>
          <w:rFonts w:ascii="Times New Roman" w:eastAsia="Times New Roman" w:hAnsi="Times New Roman" w:cs="Times New Roman"/>
          <w:sz w:val="26"/>
          <w:szCs w:val="20"/>
          <w:lang w:eastAsia="hu-HU"/>
        </w:rPr>
        <w:t>2024. évben 28,7 milliárd forint pénzforgalom teljesült, amely 62,4 milliárd forinttal marad el az előző év azonos időszakához képest. Ennek oka</w:t>
      </w:r>
      <w:r w:rsidR="00E63B72">
        <w:rPr>
          <w:rFonts w:ascii="Times New Roman" w:eastAsia="Times New Roman" w:hAnsi="Times New Roman" w:cs="Times New Roman"/>
          <w:sz w:val="26"/>
          <w:szCs w:val="20"/>
          <w:lang w:eastAsia="hu-HU"/>
        </w:rPr>
        <w:t>i</w:t>
      </w:r>
      <w:r w:rsidRPr="007E22F7">
        <w:rPr>
          <w:rFonts w:ascii="Times New Roman" w:eastAsia="Times New Roman" w:hAnsi="Times New Roman" w:cs="Times New Roman"/>
          <w:sz w:val="26"/>
          <w:szCs w:val="20"/>
          <w:lang w:eastAsia="hu-HU"/>
        </w:rPr>
        <w:t xml:space="preserve"> az alacsonyabban meghatározott </w:t>
      </w:r>
      <w:r w:rsidR="00E63B72">
        <w:rPr>
          <w:rFonts w:ascii="Times New Roman" w:eastAsia="Times New Roman" w:hAnsi="Times New Roman" w:cs="Times New Roman"/>
          <w:sz w:val="26"/>
          <w:szCs w:val="20"/>
          <w:lang w:eastAsia="hu-HU"/>
        </w:rPr>
        <w:t>adó</w:t>
      </w:r>
      <w:r w:rsidRPr="007E22F7">
        <w:rPr>
          <w:rFonts w:ascii="Times New Roman" w:eastAsia="Times New Roman" w:hAnsi="Times New Roman" w:cs="Times New Roman"/>
          <w:sz w:val="26"/>
          <w:szCs w:val="20"/>
          <w:lang w:eastAsia="hu-HU"/>
        </w:rPr>
        <w:t>kulcsok.</w:t>
      </w:r>
    </w:p>
    <w:p w14:paraId="547B2002" w14:textId="77777777" w:rsidR="007E22F7" w:rsidRPr="007E22F7" w:rsidRDefault="007E22F7" w:rsidP="001366F9">
      <w:pPr>
        <w:widowControl w:val="0"/>
        <w:jc w:val="both"/>
        <w:rPr>
          <w:rFonts w:ascii="Times New Roman" w:eastAsia="Times New Roman" w:hAnsi="Times New Roman" w:cs="Times New Roman"/>
          <w:sz w:val="26"/>
          <w:szCs w:val="20"/>
          <w:lang w:eastAsia="hu-HU"/>
        </w:rPr>
      </w:pPr>
      <w:r w:rsidRPr="007E22F7">
        <w:rPr>
          <w:rFonts w:ascii="Times New Roman" w:eastAsia="Times New Roman" w:hAnsi="Times New Roman" w:cs="Times New Roman"/>
          <w:sz w:val="26"/>
          <w:szCs w:val="20"/>
          <w:lang w:eastAsia="hu-HU"/>
        </w:rPr>
        <w:lastRenderedPageBreak/>
        <w:t xml:space="preserve">A </w:t>
      </w:r>
      <w:r w:rsidRPr="007E22F7">
        <w:rPr>
          <w:rFonts w:ascii="Times New Roman" w:eastAsia="Times New Roman" w:hAnsi="Times New Roman" w:cs="Times New Roman"/>
          <w:b/>
          <w:bCs/>
          <w:sz w:val="26"/>
          <w:szCs w:val="20"/>
          <w:lang w:eastAsia="hu-HU"/>
        </w:rPr>
        <w:t xml:space="preserve">rehabilitációs hozzájárulásból </w:t>
      </w:r>
      <w:r w:rsidRPr="007E22F7">
        <w:rPr>
          <w:rFonts w:ascii="Times New Roman" w:eastAsia="Times New Roman" w:hAnsi="Times New Roman" w:cs="Times New Roman"/>
          <w:bCs/>
          <w:sz w:val="26"/>
          <w:szCs w:val="20"/>
          <w:lang w:eastAsia="hu-HU"/>
        </w:rPr>
        <w:t>származó bevétel 2024-ben</w:t>
      </w:r>
      <w:r w:rsidRPr="007E22F7">
        <w:rPr>
          <w:rFonts w:ascii="Times New Roman" w:eastAsia="Times New Roman" w:hAnsi="Times New Roman" w:cs="Times New Roman"/>
          <w:sz w:val="26"/>
          <w:szCs w:val="20"/>
          <w:lang w:eastAsia="hu-HU"/>
        </w:rPr>
        <w:t xml:space="preserve"> 185,8 milliárd forint volt, amely 21,8 milliárd forinttal magasabb az egy évvel korábbi összegnél. Ennek oka a minimálbérnek, így az adó mértékének az emelkedése.</w:t>
      </w:r>
    </w:p>
    <w:p w14:paraId="29A3E538" w14:textId="24B47074" w:rsidR="7929D98B" w:rsidRPr="007E22F7" w:rsidRDefault="007E22F7" w:rsidP="001366F9">
      <w:pPr>
        <w:widowControl w:val="0"/>
        <w:tabs>
          <w:tab w:val="left" w:pos="3105"/>
        </w:tabs>
        <w:jc w:val="both"/>
        <w:rPr>
          <w:rFonts w:ascii="Times New Roman" w:eastAsia="Times New Roman" w:hAnsi="Times New Roman" w:cs="Times New Roman"/>
          <w:sz w:val="26"/>
          <w:szCs w:val="20"/>
          <w:lang w:eastAsia="hu-HU"/>
        </w:rPr>
      </w:pPr>
      <w:r w:rsidRPr="007E22F7">
        <w:rPr>
          <w:rFonts w:ascii="Times New Roman" w:eastAsia="Times New Roman" w:hAnsi="Times New Roman" w:cs="Times New Roman"/>
          <w:sz w:val="26"/>
          <w:szCs w:val="20"/>
          <w:lang w:eastAsia="hu-HU"/>
        </w:rPr>
        <w:t xml:space="preserve">2024-ben az </w:t>
      </w:r>
      <w:r w:rsidRPr="007E22F7">
        <w:rPr>
          <w:rFonts w:ascii="Times New Roman" w:eastAsia="Times New Roman" w:hAnsi="Times New Roman" w:cs="Times New Roman"/>
          <w:b/>
          <w:bCs/>
          <w:sz w:val="26"/>
          <w:szCs w:val="20"/>
          <w:lang w:eastAsia="hu-HU"/>
        </w:rPr>
        <w:t>általános forgalmi adóból</w:t>
      </w:r>
      <w:r w:rsidRPr="007E22F7">
        <w:rPr>
          <w:rFonts w:ascii="Times New Roman" w:eastAsia="Times New Roman" w:hAnsi="Times New Roman" w:cs="Times New Roman"/>
          <w:sz w:val="26"/>
          <w:szCs w:val="20"/>
          <w:lang w:eastAsia="hu-HU"/>
        </w:rPr>
        <w:t xml:space="preserve"> 7</w:t>
      </w:r>
      <w:r w:rsidRPr="007E22F7">
        <w:rPr>
          <w:rFonts w:ascii="Times New Roman" w:eastAsia="Times New Roman" w:hAnsi="Times New Roman" w:cs="Times New Roman"/>
          <w:color w:val="000000"/>
          <w:sz w:val="26"/>
          <w:szCs w:val="20"/>
          <w:lang w:eastAsia="hu-HU"/>
        </w:rPr>
        <w:t> </w:t>
      </w:r>
      <w:r w:rsidRPr="007E22F7">
        <w:rPr>
          <w:rFonts w:ascii="Times New Roman" w:eastAsia="Times New Roman" w:hAnsi="Times New Roman" w:cs="Times New Roman"/>
          <w:sz w:val="26"/>
          <w:szCs w:val="20"/>
          <w:lang w:eastAsia="hu-HU"/>
        </w:rPr>
        <w:t>376,2</w:t>
      </w:r>
      <w:r w:rsidRPr="007E22F7">
        <w:rPr>
          <w:rFonts w:ascii="Times New Roman" w:eastAsia="Times New Roman" w:hAnsi="Times New Roman" w:cs="Times New Roman"/>
          <w:color w:val="000000"/>
          <w:sz w:val="26"/>
          <w:szCs w:val="20"/>
          <w:lang w:eastAsia="hu-HU"/>
        </w:rPr>
        <w:t> </w:t>
      </w:r>
      <w:r w:rsidRPr="007E22F7">
        <w:rPr>
          <w:rFonts w:ascii="Times New Roman" w:eastAsia="Times New Roman" w:hAnsi="Times New Roman" w:cs="Times New Roman"/>
          <w:sz w:val="26"/>
          <w:szCs w:val="20"/>
          <w:lang w:eastAsia="hu-HU"/>
        </w:rPr>
        <w:t>milliárd forint bevétele keletkezett a költségvetésnek, ami a</w:t>
      </w:r>
      <w:r w:rsidR="00494B89">
        <w:rPr>
          <w:rFonts w:ascii="Times New Roman" w:eastAsia="Times New Roman" w:hAnsi="Times New Roman" w:cs="Times New Roman"/>
          <w:sz w:val="26"/>
          <w:szCs w:val="20"/>
          <w:lang w:eastAsia="hu-HU"/>
        </w:rPr>
        <w:t xml:space="preserve"> 2023. évi </w:t>
      </w:r>
      <w:r w:rsidRPr="007E22F7">
        <w:rPr>
          <w:rFonts w:ascii="Times New Roman" w:eastAsia="Times New Roman" w:hAnsi="Times New Roman" w:cs="Times New Roman"/>
          <w:sz w:val="26"/>
          <w:szCs w:val="20"/>
          <w:lang w:eastAsia="hu-HU"/>
        </w:rPr>
        <w:t>bevételt 394,3</w:t>
      </w:r>
      <w:r w:rsidRPr="007E22F7">
        <w:rPr>
          <w:rFonts w:ascii="Times New Roman" w:eastAsia="Times New Roman" w:hAnsi="Times New Roman" w:cs="Times New Roman"/>
          <w:color w:val="000000"/>
          <w:sz w:val="26"/>
          <w:szCs w:val="20"/>
          <w:lang w:eastAsia="hu-HU"/>
        </w:rPr>
        <w:t> </w:t>
      </w:r>
      <w:r w:rsidRPr="007E22F7">
        <w:rPr>
          <w:rFonts w:ascii="Times New Roman" w:eastAsia="Times New Roman" w:hAnsi="Times New Roman" w:cs="Times New Roman"/>
          <w:sz w:val="26"/>
          <w:szCs w:val="20"/>
          <w:lang w:eastAsia="hu-HU"/>
        </w:rPr>
        <w:t>milliárd forinttal haladja meg.</w:t>
      </w:r>
    </w:p>
    <w:tbl>
      <w:tblPr>
        <w:tblW w:w="6905" w:type="dxa"/>
        <w:jc w:val="center"/>
        <w:tblCellMar>
          <w:left w:w="70" w:type="dxa"/>
          <w:right w:w="70" w:type="dxa"/>
        </w:tblCellMar>
        <w:tblLook w:val="04A0" w:firstRow="1" w:lastRow="0" w:firstColumn="1" w:lastColumn="0" w:noHBand="0" w:noVBand="1"/>
      </w:tblPr>
      <w:tblGrid>
        <w:gridCol w:w="1537"/>
        <w:gridCol w:w="1724"/>
        <w:gridCol w:w="1700"/>
        <w:gridCol w:w="993"/>
        <w:gridCol w:w="951"/>
      </w:tblGrid>
      <w:tr w:rsidR="007E22F7" w:rsidRPr="007E22F7" w14:paraId="4315B93B" w14:textId="77777777" w:rsidTr="003112A9">
        <w:trPr>
          <w:trHeight w:val="255"/>
          <w:jc w:val="center"/>
        </w:trPr>
        <w:tc>
          <w:tcPr>
            <w:tcW w:w="6905" w:type="dxa"/>
            <w:gridSpan w:val="5"/>
            <w:tcBorders>
              <w:top w:val="nil"/>
              <w:left w:val="nil"/>
              <w:bottom w:val="nil"/>
              <w:right w:val="nil"/>
            </w:tcBorders>
            <w:shd w:val="clear" w:color="auto" w:fill="auto"/>
            <w:noWrap/>
            <w:vAlign w:val="bottom"/>
            <w:hideMark/>
          </w:tcPr>
          <w:p w14:paraId="37E40EBA" w14:textId="77777777" w:rsidR="007E22F7" w:rsidRPr="007E22F7" w:rsidRDefault="007E22F7" w:rsidP="007E22F7">
            <w:pPr>
              <w:widowControl w:val="0"/>
              <w:spacing w:before="120" w:after="120" w:line="240" w:lineRule="auto"/>
              <w:jc w:val="center"/>
              <w:rPr>
                <w:rFonts w:ascii="Times New Roman" w:eastAsia="Times New Roman" w:hAnsi="Times New Roman" w:cs="Times New Roman"/>
                <w:b/>
                <w:bCs/>
                <w:szCs w:val="20"/>
                <w:lang w:eastAsia="hu-HU"/>
              </w:rPr>
            </w:pPr>
            <w:r w:rsidRPr="003B04CA">
              <w:rPr>
                <w:rFonts w:ascii="Times New Roman" w:eastAsia="Times New Roman" w:hAnsi="Times New Roman" w:cs="Times New Roman"/>
                <w:b/>
                <w:bCs/>
                <w:szCs w:val="20"/>
                <w:lang w:eastAsia="hu-HU"/>
              </w:rPr>
              <w:t>Általános forgalmi adó bevétel alakulása (milliárd forint)</w:t>
            </w:r>
            <w:r w:rsidRPr="007E22F7">
              <w:rPr>
                <w:rFonts w:ascii="Times New Roman" w:eastAsia="Times New Roman" w:hAnsi="Times New Roman" w:cs="Times New Roman"/>
                <w:b/>
                <w:bCs/>
                <w:szCs w:val="20"/>
                <w:lang w:eastAsia="hu-HU"/>
              </w:rPr>
              <w:t xml:space="preserve"> </w:t>
            </w:r>
          </w:p>
        </w:tc>
      </w:tr>
      <w:tr w:rsidR="007E22F7" w:rsidRPr="007E22F7" w14:paraId="51216685" w14:textId="77777777" w:rsidTr="007E22F7">
        <w:trPr>
          <w:trHeight w:val="340"/>
          <w:jc w:val="center"/>
        </w:trPr>
        <w:tc>
          <w:tcPr>
            <w:tcW w:w="1537" w:type="dxa"/>
            <w:vMerge w:val="restart"/>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336FE719" w14:textId="77777777" w:rsidR="007E22F7" w:rsidRPr="007E22F7" w:rsidRDefault="007E22F7" w:rsidP="007E22F7">
            <w:pPr>
              <w:spacing w:after="0" w:line="240" w:lineRule="auto"/>
              <w:jc w:val="center"/>
              <w:rPr>
                <w:rFonts w:ascii="Times New Roman" w:eastAsia="Times New Roman" w:hAnsi="Times New Roman" w:cs="Times New Roman"/>
                <w:b/>
                <w:bCs/>
                <w:szCs w:val="20"/>
                <w:lang w:eastAsia="hu-HU"/>
              </w:rPr>
            </w:pPr>
            <w:r w:rsidRPr="007E22F7">
              <w:rPr>
                <w:rFonts w:ascii="Times New Roman" w:eastAsia="Times New Roman" w:hAnsi="Times New Roman" w:cs="Times New Roman"/>
                <w:b/>
                <w:bCs/>
                <w:szCs w:val="20"/>
                <w:lang w:eastAsia="hu-HU"/>
              </w:rPr>
              <w:t>Megnevezés</w:t>
            </w:r>
          </w:p>
        </w:tc>
        <w:tc>
          <w:tcPr>
            <w:tcW w:w="1724"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183BA629" w14:textId="04CCD9C8" w:rsidR="00E63B72" w:rsidRDefault="00E63B72" w:rsidP="007E22F7">
            <w:pPr>
              <w:spacing w:after="0" w:line="240" w:lineRule="auto"/>
              <w:jc w:val="center"/>
              <w:rPr>
                <w:rFonts w:ascii="Times New Roman" w:eastAsia="Times New Roman" w:hAnsi="Times New Roman" w:cs="Times New Roman"/>
                <w:b/>
                <w:bCs/>
                <w:szCs w:val="20"/>
                <w:lang w:eastAsia="hu-HU"/>
              </w:rPr>
            </w:pPr>
            <w:r>
              <w:rPr>
                <w:rFonts w:ascii="Times New Roman" w:eastAsia="Times New Roman" w:hAnsi="Times New Roman" w:cs="Times New Roman"/>
                <w:b/>
                <w:bCs/>
                <w:szCs w:val="20"/>
                <w:lang w:eastAsia="hu-HU"/>
              </w:rPr>
              <w:t>2023. évi</w:t>
            </w:r>
          </w:p>
          <w:p w14:paraId="3EF294A2" w14:textId="43622579" w:rsidR="007E22F7" w:rsidRPr="007E22F7" w:rsidRDefault="007E22F7" w:rsidP="007E22F7">
            <w:pPr>
              <w:spacing w:after="0" w:line="240" w:lineRule="auto"/>
              <w:jc w:val="center"/>
              <w:rPr>
                <w:rFonts w:ascii="Times New Roman" w:eastAsia="Times New Roman" w:hAnsi="Times New Roman" w:cs="Times New Roman"/>
                <w:b/>
                <w:bCs/>
                <w:szCs w:val="20"/>
                <w:lang w:eastAsia="hu-HU"/>
              </w:rPr>
            </w:pPr>
            <w:r w:rsidRPr="007E22F7">
              <w:rPr>
                <w:rFonts w:ascii="Times New Roman" w:eastAsia="Times New Roman" w:hAnsi="Times New Roman" w:cs="Times New Roman"/>
                <w:b/>
                <w:bCs/>
                <w:szCs w:val="20"/>
                <w:lang w:eastAsia="hu-HU"/>
              </w:rPr>
              <w:t>tény</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7B3CDD32" w14:textId="517BA91F" w:rsidR="007E22F7" w:rsidRPr="007E22F7" w:rsidRDefault="007E22F7" w:rsidP="007E22F7">
            <w:pPr>
              <w:spacing w:after="0" w:line="240" w:lineRule="auto"/>
              <w:jc w:val="center"/>
              <w:rPr>
                <w:rFonts w:ascii="Times New Roman" w:eastAsia="Times New Roman" w:hAnsi="Times New Roman" w:cs="Times New Roman"/>
                <w:b/>
                <w:bCs/>
                <w:szCs w:val="20"/>
                <w:lang w:eastAsia="hu-HU"/>
              </w:rPr>
            </w:pPr>
            <w:r w:rsidRPr="007E22F7">
              <w:rPr>
                <w:rFonts w:ascii="Times New Roman" w:eastAsia="Times New Roman" w:hAnsi="Times New Roman" w:cs="Times New Roman"/>
                <w:b/>
                <w:bCs/>
                <w:szCs w:val="20"/>
                <w:lang w:eastAsia="hu-HU"/>
              </w:rPr>
              <w:t>2024.</w:t>
            </w:r>
            <w:r w:rsidR="008A3C12">
              <w:rPr>
                <w:rFonts w:ascii="Times New Roman" w:eastAsia="Times New Roman" w:hAnsi="Times New Roman" w:cs="Times New Roman"/>
                <w:b/>
                <w:bCs/>
                <w:szCs w:val="20"/>
                <w:lang w:eastAsia="hu-HU"/>
              </w:rPr>
              <w:t xml:space="preserve"> évi</w:t>
            </w:r>
          </w:p>
          <w:p w14:paraId="68FEB8E7" w14:textId="77777777" w:rsidR="007E22F7" w:rsidRPr="007E22F7" w:rsidRDefault="007E22F7" w:rsidP="007E22F7">
            <w:pPr>
              <w:spacing w:after="0" w:line="240" w:lineRule="auto"/>
              <w:jc w:val="center"/>
              <w:rPr>
                <w:rFonts w:ascii="Times New Roman" w:eastAsia="Times New Roman" w:hAnsi="Times New Roman" w:cs="Times New Roman"/>
                <w:b/>
                <w:bCs/>
                <w:szCs w:val="20"/>
                <w:lang w:eastAsia="hu-HU"/>
              </w:rPr>
            </w:pPr>
            <w:r w:rsidRPr="007E22F7">
              <w:rPr>
                <w:rFonts w:ascii="Times New Roman" w:eastAsia="Times New Roman" w:hAnsi="Times New Roman" w:cs="Times New Roman"/>
                <w:b/>
                <w:bCs/>
                <w:szCs w:val="20"/>
                <w:lang w:eastAsia="hu-HU"/>
              </w:rPr>
              <w:t>előzetes tény</w:t>
            </w:r>
          </w:p>
        </w:tc>
        <w:tc>
          <w:tcPr>
            <w:tcW w:w="1944" w:type="dxa"/>
            <w:gridSpan w:val="2"/>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0F086BEF" w14:textId="77777777" w:rsidR="007E22F7" w:rsidRPr="007E22F7" w:rsidRDefault="007E22F7" w:rsidP="007E22F7">
            <w:pPr>
              <w:spacing w:after="0" w:line="240" w:lineRule="auto"/>
              <w:jc w:val="center"/>
              <w:rPr>
                <w:rFonts w:ascii="Times New Roman" w:eastAsia="Times New Roman" w:hAnsi="Times New Roman" w:cs="Times New Roman"/>
                <w:b/>
                <w:bCs/>
                <w:szCs w:val="20"/>
                <w:lang w:eastAsia="hu-HU"/>
              </w:rPr>
            </w:pPr>
            <w:r w:rsidRPr="007E22F7">
              <w:rPr>
                <w:rFonts w:ascii="Times New Roman" w:eastAsia="Times New Roman" w:hAnsi="Times New Roman" w:cs="Times New Roman"/>
                <w:b/>
                <w:bCs/>
                <w:szCs w:val="20"/>
                <w:lang w:eastAsia="hu-HU"/>
              </w:rPr>
              <w:t>Eltérés</w:t>
            </w:r>
          </w:p>
        </w:tc>
      </w:tr>
      <w:tr w:rsidR="007E22F7" w:rsidRPr="007E22F7" w14:paraId="58419168" w14:textId="77777777" w:rsidTr="007E22F7">
        <w:trPr>
          <w:trHeight w:val="340"/>
          <w:jc w:val="center"/>
        </w:trPr>
        <w:tc>
          <w:tcPr>
            <w:tcW w:w="1537" w:type="dxa"/>
            <w:vMerge/>
            <w:tcBorders>
              <w:top w:val="single" w:sz="4" w:space="0" w:color="auto"/>
              <w:left w:val="single" w:sz="4" w:space="0" w:color="auto"/>
              <w:bottom w:val="single" w:sz="4" w:space="0" w:color="auto"/>
              <w:right w:val="single" w:sz="4" w:space="0" w:color="auto"/>
            </w:tcBorders>
            <w:shd w:val="clear" w:color="auto" w:fill="DBE5F1"/>
            <w:vAlign w:val="center"/>
            <w:hideMark/>
          </w:tcPr>
          <w:p w14:paraId="0966ED16" w14:textId="77777777" w:rsidR="007E22F7" w:rsidRPr="007E22F7" w:rsidRDefault="007E22F7" w:rsidP="007E22F7">
            <w:pPr>
              <w:spacing w:after="0" w:line="240" w:lineRule="auto"/>
              <w:jc w:val="both"/>
              <w:rPr>
                <w:rFonts w:ascii="Times New Roman" w:eastAsia="Times New Roman" w:hAnsi="Times New Roman" w:cs="Times New Roman"/>
                <w:b/>
                <w:bCs/>
                <w:szCs w:val="20"/>
                <w:lang w:eastAsia="hu-HU"/>
              </w:rPr>
            </w:pPr>
          </w:p>
        </w:tc>
        <w:tc>
          <w:tcPr>
            <w:tcW w:w="1724" w:type="dxa"/>
            <w:vMerge/>
            <w:tcBorders>
              <w:top w:val="single" w:sz="4" w:space="0" w:color="auto"/>
              <w:left w:val="single" w:sz="4" w:space="0" w:color="auto"/>
              <w:bottom w:val="single" w:sz="4" w:space="0" w:color="auto"/>
              <w:right w:val="single" w:sz="4" w:space="0" w:color="auto"/>
            </w:tcBorders>
            <w:shd w:val="clear" w:color="auto" w:fill="DBE5F1"/>
            <w:vAlign w:val="center"/>
            <w:hideMark/>
          </w:tcPr>
          <w:p w14:paraId="4CA226A1" w14:textId="77777777" w:rsidR="007E22F7" w:rsidRPr="007E22F7" w:rsidRDefault="007E22F7" w:rsidP="007E22F7">
            <w:pPr>
              <w:spacing w:after="0" w:line="240" w:lineRule="auto"/>
              <w:jc w:val="both"/>
              <w:rPr>
                <w:rFonts w:ascii="Times New Roman" w:eastAsia="Times New Roman" w:hAnsi="Times New Roman" w:cs="Times New Roman"/>
                <w:b/>
                <w:bCs/>
                <w:szCs w:val="20"/>
                <w:lang w:eastAsia="hu-HU"/>
              </w:rPr>
            </w:pPr>
          </w:p>
        </w:tc>
        <w:tc>
          <w:tcPr>
            <w:tcW w:w="1700" w:type="dxa"/>
            <w:vMerge/>
            <w:tcBorders>
              <w:top w:val="single" w:sz="4" w:space="0" w:color="auto"/>
              <w:left w:val="single" w:sz="4" w:space="0" w:color="auto"/>
              <w:bottom w:val="single" w:sz="4" w:space="0" w:color="auto"/>
              <w:right w:val="single" w:sz="4" w:space="0" w:color="auto"/>
            </w:tcBorders>
            <w:shd w:val="clear" w:color="auto" w:fill="DBE5F1"/>
            <w:vAlign w:val="center"/>
            <w:hideMark/>
          </w:tcPr>
          <w:p w14:paraId="03B0CCD4" w14:textId="77777777" w:rsidR="007E22F7" w:rsidRPr="007E22F7" w:rsidRDefault="007E22F7" w:rsidP="007E22F7">
            <w:pPr>
              <w:spacing w:after="0" w:line="240" w:lineRule="auto"/>
              <w:jc w:val="both"/>
              <w:rPr>
                <w:rFonts w:ascii="Times New Roman" w:eastAsia="Times New Roman" w:hAnsi="Times New Roman" w:cs="Times New Roman"/>
                <w:b/>
                <w:bCs/>
                <w:szCs w:val="20"/>
                <w:lang w:eastAsia="hu-HU"/>
              </w:rPr>
            </w:pPr>
          </w:p>
        </w:tc>
        <w:tc>
          <w:tcPr>
            <w:tcW w:w="993"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30AE886E" w14:textId="77777777" w:rsidR="007E22F7" w:rsidRPr="007E22F7" w:rsidRDefault="007E22F7" w:rsidP="007E22F7">
            <w:pPr>
              <w:spacing w:after="0" w:line="240" w:lineRule="auto"/>
              <w:jc w:val="center"/>
              <w:rPr>
                <w:rFonts w:ascii="Times New Roman" w:eastAsia="Times New Roman" w:hAnsi="Times New Roman" w:cs="Times New Roman"/>
                <w:b/>
                <w:bCs/>
                <w:szCs w:val="20"/>
                <w:lang w:eastAsia="hu-HU"/>
              </w:rPr>
            </w:pPr>
            <w:r w:rsidRPr="007E22F7">
              <w:rPr>
                <w:rFonts w:ascii="Times New Roman" w:eastAsia="Times New Roman" w:hAnsi="Times New Roman" w:cs="Times New Roman"/>
                <w:b/>
                <w:bCs/>
                <w:szCs w:val="20"/>
                <w:lang w:eastAsia="hu-HU"/>
              </w:rPr>
              <w:t>Mrd Ft</w:t>
            </w:r>
          </w:p>
        </w:tc>
        <w:tc>
          <w:tcPr>
            <w:tcW w:w="951"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32B4AC45" w14:textId="77777777" w:rsidR="007E22F7" w:rsidRPr="007E22F7" w:rsidRDefault="007E22F7" w:rsidP="007E22F7">
            <w:pPr>
              <w:spacing w:after="0" w:line="240" w:lineRule="auto"/>
              <w:jc w:val="center"/>
              <w:rPr>
                <w:rFonts w:ascii="Times New Roman" w:eastAsia="Times New Roman" w:hAnsi="Times New Roman" w:cs="Times New Roman"/>
                <w:b/>
                <w:bCs/>
                <w:szCs w:val="20"/>
                <w:lang w:eastAsia="hu-HU"/>
              </w:rPr>
            </w:pPr>
            <w:r w:rsidRPr="007E22F7">
              <w:rPr>
                <w:rFonts w:ascii="Times New Roman" w:eastAsia="Times New Roman" w:hAnsi="Times New Roman" w:cs="Times New Roman"/>
                <w:b/>
                <w:bCs/>
                <w:szCs w:val="20"/>
                <w:lang w:eastAsia="hu-HU"/>
              </w:rPr>
              <w:t>%</w:t>
            </w:r>
          </w:p>
        </w:tc>
      </w:tr>
      <w:tr w:rsidR="007E22F7" w:rsidRPr="007E22F7" w14:paraId="6881F24A" w14:textId="77777777" w:rsidTr="003112A9">
        <w:trPr>
          <w:trHeight w:val="340"/>
          <w:jc w:val="center"/>
        </w:trPr>
        <w:tc>
          <w:tcPr>
            <w:tcW w:w="1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74216A" w14:textId="77777777" w:rsidR="007E22F7" w:rsidRPr="007E22F7" w:rsidRDefault="007E22F7" w:rsidP="007E22F7">
            <w:pPr>
              <w:spacing w:after="0" w:line="240" w:lineRule="auto"/>
              <w:jc w:val="both"/>
              <w:rPr>
                <w:rFonts w:ascii="Times New Roman" w:eastAsia="Times New Roman" w:hAnsi="Times New Roman" w:cs="Times New Roman"/>
                <w:szCs w:val="20"/>
                <w:lang w:eastAsia="hu-HU"/>
              </w:rPr>
            </w:pPr>
            <w:r w:rsidRPr="007E22F7">
              <w:rPr>
                <w:rFonts w:ascii="Times New Roman" w:eastAsia="Times New Roman" w:hAnsi="Times New Roman" w:cs="Times New Roman"/>
                <w:szCs w:val="20"/>
                <w:lang w:eastAsia="hu-HU"/>
              </w:rPr>
              <w:t>Befizetés</w:t>
            </w:r>
          </w:p>
        </w:tc>
        <w:tc>
          <w:tcPr>
            <w:tcW w:w="17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32C929" w14:textId="77777777" w:rsidR="007E22F7" w:rsidRPr="007E22F7" w:rsidRDefault="007E22F7" w:rsidP="007E22F7">
            <w:pPr>
              <w:spacing w:after="0" w:line="240" w:lineRule="auto"/>
              <w:jc w:val="right"/>
              <w:rPr>
                <w:rFonts w:ascii="Times New Roman" w:eastAsia="Times New Roman" w:hAnsi="Times New Roman" w:cs="Times New Roman"/>
                <w:szCs w:val="20"/>
                <w:lang w:eastAsia="hu-HU"/>
              </w:rPr>
            </w:pPr>
            <w:r w:rsidRPr="007E22F7">
              <w:rPr>
                <w:rFonts w:ascii="Times New Roman" w:eastAsia="Times New Roman" w:hAnsi="Times New Roman" w:cs="Times New Roman"/>
                <w:szCs w:val="20"/>
                <w:lang w:eastAsia="hu-HU"/>
              </w:rPr>
              <w:t>12 805,3</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5BE1B8" w14:textId="77777777" w:rsidR="007E22F7" w:rsidRPr="007E22F7" w:rsidRDefault="007E22F7" w:rsidP="007E22F7">
            <w:pPr>
              <w:spacing w:after="0" w:line="240" w:lineRule="auto"/>
              <w:jc w:val="right"/>
              <w:rPr>
                <w:rFonts w:ascii="Times New Roman" w:eastAsia="Times New Roman" w:hAnsi="Times New Roman" w:cs="Times New Roman"/>
                <w:szCs w:val="20"/>
                <w:lang w:eastAsia="hu-HU"/>
              </w:rPr>
            </w:pPr>
            <w:r w:rsidRPr="007E22F7">
              <w:rPr>
                <w:rFonts w:ascii="Times New Roman" w:eastAsia="Times New Roman" w:hAnsi="Times New Roman" w:cs="Times New Roman"/>
                <w:szCs w:val="20"/>
                <w:lang w:eastAsia="hu-HU"/>
              </w:rPr>
              <w:t>12 875,8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EF0FAE" w14:textId="77777777" w:rsidR="007E22F7" w:rsidRPr="007E22F7" w:rsidRDefault="007E22F7" w:rsidP="007E22F7">
            <w:pPr>
              <w:spacing w:after="0" w:line="240" w:lineRule="auto"/>
              <w:jc w:val="right"/>
              <w:rPr>
                <w:rFonts w:ascii="Times New Roman" w:eastAsia="Times New Roman" w:hAnsi="Times New Roman" w:cs="Times New Roman"/>
                <w:szCs w:val="20"/>
                <w:lang w:eastAsia="hu-HU"/>
              </w:rPr>
            </w:pPr>
            <w:r w:rsidRPr="007E22F7">
              <w:rPr>
                <w:rFonts w:ascii="Times New Roman" w:eastAsia="Times New Roman" w:hAnsi="Times New Roman" w:cs="Times New Roman"/>
                <w:szCs w:val="20"/>
                <w:lang w:eastAsia="hu-HU"/>
              </w:rPr>
              <w:t>70,5</w:t>
            </w: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397D1F" w14:textId="77777777" w:rsidR="007E22F7" w:rsidRPr="007E22F7" w:rsidRDefault="007E22F7" w:rsidP="007E22F7">
            <w:pPr>
              <w:spacing w:after="0" w:line="240" w:lineRule="auto"/>
              <w:jc w:val="right"/>
              <w:rPr>
                <w:rFonts w:ascii="Times New Roman" w:eastAsia="Times New Roman" w:hAnsi="Times New Roman" w:cs="Times New Roman"/>
                <w:szCs w:val="20"/>
                <w:lang w:eastAsia="hu-HU"/>
              </w:rPr>
            </w:pPr>
            <w:r w:rsidRPr="007E22F7">
              <w:rPr>
                <w:rFonts w:ascii="Times New Roman" w:eastAsia="Times New Roman" w:hAnsi="Times New Roman" w:cs="Times New Roman"/>
                <w:szCs w:val="20"/>
                <w:lang w:eastAsia="hu-HU"/>
              </w:rPr>
              <w:t>100,6</w:t>
            </w:r>
          </w:p>
        </w:tc>
      </w:tr>
      <w:tr w:rsidR="007E22F7" w:rsidRPr="007E22F7" w14:paraId="66062AB2" w14:textId="77777777" w:rsidTr="003112A9">
        <w:trPr>
          <w:trHeight w:val="340"/>
          <w:jc w:val="center"/>
        </w:trPr>
        <w:tc>
          <w:tcPr>
            <w:tcW w:w="1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38ED9A" w14:textId="77777777" w:rsidR="007E22F7" w:rsidRPr="007E22F7" w:rsidRDefault="007E22F7" w:rsidP="007E22F7">
            <w:pPr>
              <w:spacing w:after="0" w:line="240" w:lineRule="auto"/>
              <w:jc w:val="both"/>
              <w:rPr>
                <w:rFonts w:ascii="Times New Roman" w:eastAsia="Times New Roman" w:hAnsi="Times New Roman" w:cs="Times New Roman"/>
                <w:szCs w:val="20"/>
                <w:lang w:eastAsia="hu-HU"/>
              </w:rPr>
            </w:pPr>
            <w:r w:rsidRPr="007E22F7">
              <w:rPr>
                <w:rFonts w:ascii="Times New Roman" w:eastAsia="Times New Roman" w:hAnsi="Times New Roman" w:cs="Times New Roman"/>
                <w:szCs w:val="20"/>
                <w:lang w:eastAsia="hu-HU"/>
              </w:rPr>
              <w:t>Kiutalás</w:t>
            </w:r>
          </w:p>
        </w:tc>
        <w:tc>
          <w:tcPr>
            <w:tcW w:w="17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001C4B" w14:textId="77777777" w:rsidR="007E22F7" w:rsidRPr="007E22F7" w:rsidRDefault="007E22F7" w:rsidP="007E22F7">
            <w:pPr>
              <w:spacing w:after="0" w:line="240" w:lineRule="auto"/>
              <w:jc w:val="right"/>
              <w:rPr>
                <w:rFonts w:ascii="Times New Roman" w:eastAsia="Times New Roman" w:hAnsi="Times New Roman" w:cs="Times New Roman"/>
                <w:szCs w:val="20"/>
                <w:lang w:eastAsia="hu-HU"/>
              </w:rPr>
            </w:pPr>
            <w:r w:rsidRPr="007E22F7">
              <w:rPr>
                <w:rFonts w:ascii="Times New Roman" w:eastAsia="Times New Roman" w:hAnsi="Times New Roman" w:cs="Times New Roman"/>
                <w:szCs w:val="20"/>
                <w:lang w:eastAsia="hu-HU"/>
              </w:rPr>
              <w:t>5 823,4</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4A1994" w14:textId="77777777" w:rsidR="007E22F7" w:rsidRPr="007E22F7" w:rsidRDefault="007E22F7" w:rsidP="007E22F7">
            <w:pPr>
              <w:spacing w:after="0" w:line="240" w:lineRule="auto"/>
              <w:jc w:val="right"/>
              <w:rPr>
                <w:rFonts w:ascii="Times New Roman" w:eastAsia="Times New Roman" w:hAnsi="Times New Roman" w:cs="Times New Roman"/>
                <w:szCs w:val="20"/>
                <w:lang w:eastAsia="hu-HU"/>
              </w:rPr>
            </w:pPr>
            <w:r w:rsidRPr="007E22F7">
              <w:rPr>
                <w:rFonts w:ascii="Times New Roman" w:eastAsia="Times New Roman" w:hAnsi="Times New Roman" w:cs="Times New Roman"/>
                <w:szCs w:val="20"/>
                <w:lang w:eastAsia="hu-HU"/>
              </w:rPr>
              <w:t>5 499,6</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C3FC50" w14:textId="77777777" w:rsidR="007E22F7" w:rsidRPr="007E22F7" w:rsidRDefault="007E22F7" w:rsidP="007E22F7">
            <w:pPr>
              <w:spacing w:after="0" w:line="240" w:lineRule="auto"/>
              <w:jc w:val="right"/>
              <w:rPr>
                <w:rFonts w:ascii="Times New Roman" w:eastAsia="Times New Roman" w:hAnsi="Times New Roman" w:cs="Times New Roman"/>
                <w:szCs w:val="20"/>
                <w:lang w:eastAsia="hu-HU"/>
              </w:rPr>
            </w:pPr>
            <w:r w:rsidRPr="007E22F7">
              <w:rPr>
                <w:rFonts w:ascii="Times New Roman" w:eastAsia="Times New Roman" w:hAnsi="Times New Roman" w:cs="Times New Roman"/>
                <w:szCs w:val="20"/>
                <w:lang w:eastAsia="hu-HU"/>
              </w:rPr>
              <w:t>-323,8</w:t>
            </w: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B34FB8" w14:textId="77777777" w:rsidR="007E22F7" w:rsidRPr="007E22F7" w:rsidRDefault="007E22F7" w:rsidP="007E22F7">
            <w:pPr>
              <w:spacing w:after="0" w:line="240" w:lineRule="auto"/>
              <w:jc w:val="right"/>
              <w:rPr>
                <w:rFonts w:ascii="Times New Roman" w:eastAsia="Times New Roman" w:hAnsi="Times New Roman" w:cs="Times New Roman"/>
                <w:szCs w:val="20"/>
                <w:lang w:eastAsia="hu-HU"/>
              </w:rPr>
            </w:pPr>
            <w:r w:rsidRPr="007E22F7">
              <w:rPr>
                <w:rFonts w:ascii="Times New Roman" w:eastAsia="Times New Roman" w:hAnsi="Times New Roman" w:cs="Times New Roman"/>
                <w:szCs w:val="20"/>
                <w:lang w:eastAsia="hu-HU"/>
              </w:rPr>
              <w:t>94,4</w:t>
            </w:r>
          </w:p>
        </w:tc>
      </w:tr>
      <w:tr w:rsidR="007E22F7" w:rsidRPr="007E22F7" w14:paraId="32FFA70B" w14:textId="77777777" w:rsidTr="003112A9">
        <w:trPr>
          <w:trHeight w:val="340"/>
          <w:jc w:val="center"/>
        </w:trPr>
        <w:tc>
          <w:tcPr>
            <w:tcW w:w="1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A0DB3D" w14:textId="77777777" w:rsidR="007E22F7" w:rsidRPr="007E22F7" w:rsidRDefault="007E22F7" w:rsidP="007E22F7">
            <w:pPr>
              <w:spacing w:after="0" w:line="240" w:lineRule="auto"/>
              <w:jc w:val="both"/>
              <w:rPr>
                <w:rFonts w:ascii="Times New Roman" w:eastAsia="Times New Roman" w:hAnsi="Times New Roman" w:cs="Times New Roman"/>
                <w:b/>
                <w:bCs/>
                <w:szCs w:val="20"/>
                <w:lang w:eastAsia="hu-HU"/>
              </w:rPr>
            </w:pPr>
            <w:r w:rsidRPr="007E22F7">
              <w:rPr>
                <w:rFonts w:ascii="Times New Roman" w:eastAsia="Times New Roman" w:hAnsi="Times New Roman" w:cs="Times New Roman"/>
                <w:b/>
                <w:bCs/>
                <w:szCs w:val="20"/>
                <w:lang w:eastAsia="hu-HU"/>
              </w:rPr>
              <w:t>Egyenleg</w:t>
            </w:r>
          </w:p>
        </w:tc>
        <w:tc>
          <w:tcPr>
            <w:tcW w:w="17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076E34" w14:textId="77777777" w:rsidR="007E22F7" w:rsidRPr="007E22F7" w:rsidRDefault="007E22F7" w:rsidP="007E22F7">
            <w:pPr>
              <w:spacing w:after="0" w:line="240" w:lineRule="auto"/>
              <w:jc w:val="right"/>
              <w:rPr>
                <w:rFonts w:ascii="Times New Roman" w:eastAsia="Times New Roman" w:hAnsi="Times New Roman" w:cs="Times New Roman"/>
                <w:b/>
                <w:bCs/>
                <w:szCs w:val="20"/>
                <w:lang w:eastAsia="hu-HU"/>
              </w:rPr>
            </w:pPr>
            <w:r w:rsidRPr="007E22F7">
              <w:rPr>
                <w:rFonts w:ascii="Times New Roman" w:eastAsia="Times New Roman" w:hAnsi="Times New Roman" w:cs="Times New Roman"/>
                <w:b/>
                <w:bCs/>
                <w:szCs w:val="20"/>
                <w:lang w:eastAsia="hu-HU"/>
              </w:rPr>
              <w:t>6 981,9</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1B9FD3" w14:textId="77777777" w:rsidR="007E22F7" w:rsidRPr="007E22F7" w:rsidRDefault="007E22F7" w:rsidP="007E22F7">
            <w:pPr>
              <w:spacing w:after="0" w:line="240" w:lineRule="auto"/>
              <w:jc w:val="right"/>
              <w:rPr>
                <w:rFonts w:ascii="Times New Roman" w:eastAsia="Times New Roman" w:hAnsi="Times New Roman" w:cs="Times New Roman"/>
                <w:b/>
                <w:bCs/>
                <w:szCs w:val="20"/>
                <w:lang w:eastAsia="hu-HU"/>
              </w:rPr>
            </w:pPr>
            <w:r w:rsidRPr="007E22F7">
              <w:rPr>
                <w:rFonts w:ascii="Times New Roman" w:eastAsia="Times New Roman" w:hAnsi="Times New Roman" w:cs="Times New Roman"/>
                <w:b/>
                <w:bCs/>
                <w:szCs w:val="20"/>
                <w:lang w:eastAsia="hu-HU"/>
              </w:rPr>
              <w:t>7 376,2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CF40CF" w14:textId="77777777" w:rsidR="007E22F7" w:rsidRPr="007E22F7" w:rsidRDefault="007E22F7" w:rsidP="007E22F7">
            <w:pPr>
              <w:spacing w:after="0" w:line="240" w:lineRule="auto"/>
              <w:jc w:val="right"/>
              <w:rPr>
                <w:rFonts w:ascii="Times New Roman" w:eastAsia="Times New Roman" w:hAnsi="Times New Roman" w:cs="Times New Roman"/>
                <w:b/>
                <w:bCs/>
                <w:szCs w:val="20"/>
                <w:lang w:eastAsia="hu-HU"/>
              </w:rPr>
            </w:pPr>
            <w:r w:rsidRPr="007E22F7">
              <w:rPr>
                <w:rFonts w:ascii="Times New Roman" w:eastAsia="Times New Roman" w:hAnsi="Times New Roman" w:cs="Times New Roman"/>
                <w:b/>
                <w:bCs/>
                <w:szCs w:val="20"/>
                <w:lang w:eastAsia="hu-HU"/>
              </w:rPr>
              <w:t>394,3</w:t>
            </w: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F63943" w14:textId="77777777" w:rsidR="007E22F7" w:rsidRPr="007E22F7" w:rsidRDefault="007E22F7" w:rsidP="007E22F7">
            <w:pPr>
              <w:spacing w:after="0" w:line="240" w:lineRule="auto"/>
              <w:jc w:val="right"/>
              <w:rPr>
                <w:rFonts w:ascii="Times New Roman" w:eastAsia="Times New Roman" w:hAnsi="Times New Roman" w:cs="Times New Roman"/>
                <w:b/>
                <w:bCs/>
                <w:szCs w:val="20"/>
                <w:lang w:eastAsia="hu-HU"/>
              </w:rPr>
            </w:pPr>
            <w:r w:rsidRPr="007E22F7">
              <w:rPr>
                <w:rFonts w:ascii="Times New Roman" w:eastAsia="Times New Roman" w:hAnsi="Times New Roman" w:cs="Times New Roman"/>
                <w:b/>
                <w:bCs/>
                <w:szCs w:val="20"/>
                <w:lang w:eastAsia="hu-HU"/>
              </w:rPr>
              <w:t>105,6</w:t>
            </w:r>
          </w:p>
        </w:tc>
      </w:tr>
    </w:tbl>
    <w:p w14:paraId="1EC9D279" w14:textId="6DD8EB76" w:rsidR="007E22F7" w:rsidRPr="007E22F7" w:rsidRDefault="007E22F7" w:rsidP="008A3C12">
      <w:pPr>
        <w:spacing w:before="240"/>
        <w:jc w:val="both"/>
        <w:rPr>
          <w:rFonts w:ascii="Times New Roman" w:eastAsia="Times New Roman" w:hAnsi="Times New Roman" w:cs="Times New Roman"/>
          <w:sz w:val="26"/>
          <w:szCs w:val="20"/>
          <w:lang w:eastAsia="hu-HU"/>
        </w:rPr>
      </w:pPr>
      <w:r w:rsidRPr="007E22F7">
        <w:rPr>
          <w:rFonts w:ascii="Times New Roman" w:eastAsia="Times New Roman" w:hAnsi="Times New Roman" w:cs="Times New Roman"/>
          <w:sz w:val="26"/>
          <w:szCs w:val="20"/>
          <w:lang w:eastAsia="hu-HU"/>
        </w:rPr>
        <w:t>A belföldi befizetése</w:t>
      </w:r>
      <w:r w:rsidR="00E63B72">
        <w:rPr>
          <w:rFonts w:ascii="Times New Roman" w:eastAsia="Times New Roman" w:hAnsi="Times New Roman" w:cs="Times New Roman"/>
          <w:sz w:val="26"/>
          <w:szCs w:val="20"/>
          <w:lang w:eastAsia="hu-HU"/>
        </w:rPr>
        <w:t>k és a dohánytermékek utáni áfa</w:t>
      </w:r>
      <w:r w:rsidRPr="007E22F7">
        <w:rPr>
          <w:rFonts w:ascii="Times New Roman" w:eastAsia="Times New Roman" w:hAnsi="Times New Roman" w:cs="Times New Roman"/>
          <w:sz w:val="26"/>
          <w:szCs w:val="20"/>
          <w:lang w:eastAsia="hu-HU"/>
        </w:rPr>
        <w:t>bevétel egyaránt növekedett, ugyanakkor az import u</w:t>
      </w:r>
      <w:r w:rsidR="00E63B72">
        <w:rPr>
          <w:rFonts w:ascii="Times New Roman" w:eastAsia="Times New Roman" w:hAnsi="Times New Roman" w:cs="Times New Roman"/>
          <w:sz w:val="26"/>
          <w:szCs w:val="20"/>
          <w:lang w:eastAsia="hu-HU"/>
        </w:rPr>
        <w:t>táni áfa</w:t>
      </w:r>
      <w:r w:rsidRPr="007E22F7">
        <w:rPr>
          <w:rFonts w:ascii="Times New Roman" w:eastAsia="Times New Roman" w:hAnsi="Times New Roman" w:cs="Times New Roman"/>
          <w:sz w:val="26"/>
          <w:szCs w:val="20"/>
          <w:lang w:eastAsia="hu-HU"/>
        </w:rPr>
        <w:t>bevétel csökkent. A belföldi befizetések növekedése elsősorban a kiskereskedelem ágazathoz köthető. Az import utáni befizetések csökkenésének hátterében a forgalom alakulása áll. A dohánytermékek utáni bevételek magasabb teljesülését a 2023. januári jövedéki adómérté</w:t>
      </w:r>
      <w:r w:rsidR="00E63B72">
        <w:rPr>
          <w:rFonts w:ascii="Times New Roman" w:eastAsia="Times New Roman" w:hAnsi="Times New Roman" w:cs="Times New Roman"/>
          <w:sz w:val="26"/>
          <w:szCs w:val="20"/>
          <w:lang w:eastAsia="hu-HU"/>
        </w:rPr>
        <w:t>k-emelésre adott piaci reakciók,</w:t>
      </w:r>
      <w:r w:rsidRPr="007E22F7">
        <w:rPr>
          <w:rFonts w:ascii="Times New Roman" w:eastAsia="Times New Roman" w:hAnsi="Times New Roman" w:cs="Times New Roman"/>
          <w:sz w:val="26"/>
          <w:szCs w:val="20"/>
          <w:lang w:eastAsia="hu-HU"/>
        </w:rPr>
        <w:t xml:space="preserve"> továbbá az ízesített, hevített dohánytermékeket érintő </w:t>
      </w:r>
      <w:r w:rsidR="003B04CA">
        <w:rPr>
          <w:rFonts w:ascii="Times New Roman" w:eastAsia="Times New Roman" w:hAnsi="Times New Roman" w:cs="Times New Roman"/>
          <w:sz w:val="26"/>
          <w:szCs w:val="20"/>
          <w:lang w:eastAsia="hu-HU"/>
        </w:rPr>
        <w:t>jogszabályváltozás miatti 2024. </w:t>
      </w:r>
      <w:r w:rsidR="00E63B72">
        <w:rPr>
          <w:rFonts w:ascii="Times New Roman" w:eastAsia="Times New Roman" w:hAnsi="Times New Roman" w:cs="Times New Roman"/>
          <w:sz w:val="26"/>
          <w:szCs w:val="20"/>
          <w:lang w:eastAsia="hu-HU"/>
        </w:rPr>
        <w:t xml:space="preserve">júliusi nagymértékű </w:t>
      </w:r>
      <w:r w:rsidR="00E63B72">
        <w:rPr>
          <w:rFonts w:ascii="Times New Roman" w:eastAsia="Times New Roman" w:hAnsi="Times New Roman" w:cs="Times New Roman"/>
          <w:sz w:val="26"/>
          <w:szCs w:val="20"/>
          <w:lang w:eastAsia="hu-HU"/>
        </w:rPr>
        <w:lastRenderedPageBreak/>
        <w:t>készletezés,</w:t>
      </w:r>
      <w:r w:rsidRPr="007E22F7">
        <w:rPr>
          <w:rFonts w:ascii="Times New Roman" w:eastAsia="Times New Roman" w:hAnsi="Times New Roman" w:cs="Times New Roman"/>
          <w:sz w:val="26"/>
          <w:szCs w:val="20"/>
          <w:lang w:eastAsia="hu-HU"/>
        </w:rPr>
        <w:t xml:space="preserve"> valamint a 2025 januárjától hatályos adómérték-emelésből fakadó készletezési hatás magyarázza. A kiutalások alakulását a köztes ágazatok befizetése befolyásolja.</w:t>
      </w:r>
    </w:p>
    <w:p w14:paraId="6A4419C7" w14:textId="06AAFDFC" w:rsidR="00CF551C" w:rsidRDefault="0097449A" w:rsidP="00CF551C">
      <w:pPr>
        <w:pStyle w:val="NormlWeb"/>
        <w:jc w:val="center"/>
      </w:pPr>
      <w:r>
        <w:rPr>
          <w:noProof/>
        </w:rPr>
        <w:drawing>
          <wp:inline distT="0" distB="0" distL="0" distR="0" wp14:anchorId="68DE5468" wp14:editId="3DD95F19">
            <wp:extent cx="4482993" cy="2975405"/>
            <wp:effectExtent l="0" t="0" r="0" b="0"/>
            <wp:docPr id="17" name="Kép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519412" cy="2999576"/>
                    </a:xfrm>
                    <a:prstGeom prst="rect">
                      <a:avLst/>
                    </a:prstGeom>
                  </pic:spPr>
                </pic:pic>
              </a:graphicData>
            </a:graphic>
          </wp:inline>
        </w:drawing>
      </w:r>
    </w:p>
    <w:p w14:paraId="5270244D" w14:textId="376BBAC9" w:rsidR="00B9670A" w:rsidRPr="007E22F7" w:rsidRDefault="007E22F7" w:rsidP="003B04CA">
      <w:pPr>
        <w:spacing w:before="120"/>
        <w:jc w:val="both"/>
        <w:rPr>
          <w:rFonts w:ascii="Times New Roman" w:eastAsia="Times New Roman" w:hAnsi="Times New Roman" w:cs="Times New Roman"/>
          <w:sz w:val="26"/>
          <w:szCs w:val="20"/>
          <w:lang w:eastAsia="hu-HU"/>
        </w:rPr>
      </w:pPr>
      <w:r w:rsidRPr="007E22F7">
        <w:rPr>
          <w:rFonts w:ascii="Times New Roman" w:eastAsia="Times New Roman" w:hAnsi="Times New Roman" w:cs="Times New Roman"/>
          <w:sz w:val="26"/>
          <w:szCs w:val="20"/>
          <w:lang w:eastAsia="hu-HU"/>
        </w:rPr>
        <w:t xml:space="preserve">A </w:t>
      </w:r>
      <w:r w:rsidRPr="007E22F7">
        <w:rPr>
          <w:rFonts w:ascii="Times New Roman" w:eastAsia="Times New Roman" w:hAnsi="Times New Roman" w:cs="Times New Roman"/>
          <w:b/>
          <w:sz w:val="26"/>
          <w:szCs w:val="20"/>
          <w:lang w:eastAsia="hu-HU"/>
        </w:rPr>
        <w:t>jövedéki adóból</w:t>
      </w:r>
      <w:r w:rsidRPr="007E22F7">
        <w:rPr>
          <w:rFonts w:ascii="Times New Roman" w:eastAsia="Times New Roman" w:hAnsi="Times New Roman" w:cs="Times New Roman"/>
          <w:sz w:val="26"/>
          <w:szCs w:val="20"/>
          <w:lang w:eastAsia="hu-HU"/>
        </w:rPr>
        <w:t xml:space="preserve"> származó bevétel a 2024. évben 1</w:t>
      </w:r>
      <w:r w:rsidR="003B04CA">
        <w:rPr>
          <w:rFonts w:ascii="Times New Roman" w:eastAsia="Times New Roman" w:hAnsi="Times New Roman" w:cs="Times New Roman"/>
          <w:sz w:val="26"/>
          <w:szCs w:val="20"/>
          <w:lang w:eastAsia="hu-HU"/>
        </w:rPr>
        <w:t> </w:t>
      </w:r>
      <w:r w:rsidRPr="007E22F7">
        <w:rPr>
          <w:rFonts w:ascii="Times New Roman" w:eastAsia="Times New Roman" w:hAnsi="Times New Roman" w:cs="Times New Roman"/>
          <w:sz w:val="26"/>
          <w:szCs w:val="20"/>
          <w:lang w:eastAsia="hu-HU"/>
        </w:rPr>
        <w:t>615,2</w:t>
      </w:r>
      <w:r w:rsidRPr="007E22F7">
        <w:rPr>
          <w:rFonts w:ascii="Times New Roman" w:eastAsia="Times New Roman" w:hAnsi="Times New Roman" w:cs="Times New Roman"/>
          <w:color w:val="000000"/>
          <w:sz w:val="26"/>
          <w:szCs w:val="20"/>
          <w:lang w:eastAsia="hu-HU"/>
        </w:rPr>
        <w:t> </w:t>
      </w:r>
      <w:r w:rsidRPr="007E22F7">
        <w:rPr>
          <w:rFonts w:ascii="Times New Roman" w:eastAsia="Times New Roman" w:hAnsi="Times New Roman" w:cs="Times New Roman"/>
          <w:sz w:val="26"/>
          <w:szCs w:val="20"/>
          <w:lang w:eastAsia="hu-HU"/>
        </w:rPr>
        <w:t>milliárd forintot tett ki, amely 255,4 milliárd forinttal magasabb az egy évvel korábbi bevételnél. Az üzemanyagok utáni bevételek növekedését a 2024. január 1-től hatályos megemelt adómértékek magyarázzák. A dohánytermékek utáni bevételek alakulásának hátterében a 2023. januári adómérték-emelésből fakadó bázisévi készletezési hatás</w:t>
      </w:r>
      <w:r w:rsidR="00EA5C30">
        <w:rPr>
          <w:rFonts w:ascii="Times New Roman" w:eastAsia="Times New Roman" w:hAnsi="Times New Roman" w:cs="Times New Roman"/>
          <w:sz w:val="26"/>
          <w:szCs w:val="20"/>
          <w:lang w:eastAsia="hu-HU"/>
        </w:rPr>
        <w:t>,</w:t>
      </w:r>
      <w:r w:rsidRPr="007E22F7">
        <w:rPr>
          <w:rFonts w:ascii="Times New Roman" w:eastAsia="Times New Roman" w:hAnsi="Times New Roman" w:cs="Times New Roman"/>
          <w:sz w:val="26"/>
          <w:szCs w:val="20"/>
          <w:lang w:eastAsia="hu-HU"/>
        </w:rPr>
        <w:t xml:space="preserve"> valamint az ízesített, hevített dohánytermékekre vonatkozó jogszabályváltozásra adott piaci reakc</w:t>
      </w:r>
      <w:r w:rsidR="00EA5C30">
        <w:rPr>
          <w:rFonts w:ascii="Times New Roman" w:eastAsia="Times New Roman" w:hAnsi="Times New Roman" w:cs="Times New Roman"/>
          <w:sz w:val="26"/>
          <w:szCs w:val="20"/>
          <w:lang w:eastAsia="hu-HU"/>
        </w:rPr>
        <w:t>ió, a 2024. júliusi készletezés,</w:t>
      </w:r>
      <w:r w:rsidRPr="007E22F7">
        <w:rPr>
          <w:rFonts w:ascii="Times New Roman" w:eastAsia="Times New Roman" w:hAnsi="Times New Roman" w:cs="Times New Roman"/>
          <w:sz w:val="26"/>
          <w:szCs w:val="20"/>
          <w:lang w:eastAsia="hu-HU"/>
        </w:rPr>
        <w:t xml:space="preserve"> továbbá a 2025. évi adómérték-emelésből fakadó készletezés együttes hatása </w:t>
      </w:r>
      <w:r w:rsidRPr="007E22F7">
        <w:rPr>
          <w:rFonts w:ascii="Times New Roman" w:eastAsia="Times New Roman" w:hAnsi="Times New Roman" w:cs="Times New Roman"/>
          <w:sz w:val="26"/>
          <w:szCs w:val="20"/>
          <w:lang w:eastAsia="hu-HU"/>
        </w:rPr>
        <w:lastRenderedPageBreak/>
        <w:t>áll. A szeszesitalok és egyéb termékek esetében a bevételek növekedését a forgalom alakulása indokolja. Az energiaadó bevételek növekedése adónem-elszámoláshoz köthető.</w:t>
      </w:r>
    </w:p>
    <w:tbl>
      <w:tblPr>
        <w:tblW w:w="8752" w:type="dxa"/>
        <w:jc w:val="center"/>
        <w:tblCellMar>
          <w:left w:w="70" w:type="dxa"/>
          <w:right w:w="70" w:type="dxa"/>
        </w:tblCellMar>
        <w:tblLook w:val="04A0" w:firstRow="1" w:lastRow="0" w:firstColumn="1" w:lastColumn="0" w:noHBand="0" w:noVBand="1"/>
      </w:tblPr>
      <w:tblGrid>
        <w:gridCol w:w="3402"/>
        <w:gridCol w:w="1560"/>
        <w:gridCol w:w="1594"/>
        <w:gridCol w:w="1061"/>
        <w:gridCol w:w="1135"/>
      </w:tblGrid>
      <w:tr w:rsidR="007E22F7" w:rsidRPr="007E22F7" w14:paraId="0BEA4EC2" w14:textId="77777777" w:rsidTr="003112A9">
        <w:trPr>
          <w:trHeight w:val="255"/>
          <w:jc w:val="center"/>
        </w:trPr>
        <w:tc>
          <w:tcPr>
            <w:tcW w:w="8752" w:type="dxa"/>
            <w:gridSpan w:val="5"/>
            <w:tcBorders>
              <w:top w:val="nil"/>
              <w:left w:val="nil"/>
              <w:bottom w:val="single" w:sz="4" w:space="0" w:color="auto"/>
              <w:right w:val="nil"/>
            </w:tcBorders>
            <w:shd w:val="clear" w:color="auto" w:fill="auto"/>
            <w:noWrap/>
            <w:vAlign w:val="bottom"/>
            <w:hideMark/>
          </w:tcPr>
          <w:p w14:paraId="44B26C1C" w14:textId="77777777" w:rsidR="007E22F7" w:rsidRPr="007E22F7" w:rsidRDefault="007E22F7" w:rsidP="007E22F7">
            <w:pPr>
              <w:spacing w:before="120" w:after="120" w:line="240" w:lineRule="auto"/>
              <w:jc w:val="center"/>
              <w:rPr>
                <w:rFonts w:ascii="Times New Roman" w:eastAsia="Times New Roman" w:hAnsi="Times New Roman" w:cs="Times New Roman"/>
                <w:b/>
                <w:bCs/>
                <w:sz w:val="26"/>
                <w:szCs w:val="20"/>
                <w:lang w:eastAsia="hu-HU"/>
              </w:rPr>
            </w:pPr>
            <w:r w:rsidRPr="007E22F7">
              <w:rPr>
                <w:rFonts w:ascii="Times New Roman" w:eastAsia="Times New Roman" w:hAnsi="Times New Roman" w:cs="Times New Roman"/>
                <w:b/>
                <w:bCs/>
                <w:szCs w:val="20"/>
                <w:lang w:eastAsia="hu-HU"/>
              </w:rPr>
              <w:t>Jövedéki adó bevétel alakulása (milliárd forint)</w:t>
            </w:r>
          </w:p>
        </w:tc>
      </w:tr>
      <w:tr w:rsidR="007E22F7" w:rsidRPr="007E22F7" w14:paraId="0063CDBC" w14:textId="77777777" w:rsidTr="007E22F7">
        <w:trPr>
          <w:trHeight w:val="340"/>
          <w:jc w:val="center"/>
        </w:trPr>
        <w:tc>
          <w:tcPr>
            <w:tcW w:w="3402" w:type="dxa"/>
            <w:vMerge w:val="restart"/>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36DC2120" w14:textId="77777777" w:rsidR="007E22F7" w:rsidRPr="007E22F7" w:rsidRDefault="007E22F7" w:rsidP="007E22F7">
            <w:pPr>
              <w:spacing w:after="0" w:line="240" w:lineRule="auto"/>
              <w:jc w:val="center"/>
              <w:rPr>
                <w:rFonts w:ascii="Times New Roman" w:eastAsia="Times New Roman" w:hAnsi="Times New Roman" w:cs="Times New Roman"/>
                <w:b/>
                <w:bCs/>
                <w:szCs w:val="20"/>
                <w:lang w:eastAsia="hu-HU"/>
              </w:rPr>
            </w:pPr>
            <w:r w:rsidRPr="007E22F7">
              <w:rPr>
                <w:rFonts w:ascii="Times New Roman" w:eastAsia="Times New Roman" w:hAnsi="Times New Roman" w:cs="Times New Roman"/>
                <w:b/>
                <w:bCs/>
                <w:szCs w:val="20"/>
                <w:lang w:eastAsia="hu-HU"/>
              </w:rPr>
              <w:t>Megnevezés</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30F9F4D2" w14:textId="77777777" w:rsidR="00324B1E" w:rsidRDefault="00324B1E" w:rsidP="007E22F7">
            <w:pPr>
              <w:spacing w:after="0" w:line="240" w:lineRule="auto"/>
              <w:jc w:val="center"/>
              <w:rPr>
                <w:rFonts w:ascii="Times New Roman" w:eastAsia="Times New Roman" w:hAnsi="Times New Roman" w:cs="Times New Roman"/>
                <w:b/>
                <w:bCs/>
                <w:szCs w:val="20"/>
                <w:lang w:eastAsia="hu-HU"/>
              </w:rPr>
            </w:pPr>
            <w:r>
              <w:rPr>
                <w:rFonts w:ascii="Times New Roman" w:eastAsia="Times New Roman" w:hAnsi="Times New Roman" w:cs="Times New Roman"/>
                <w:b/>
                <w:bCs/>
                <w:szCs w:val="20"/>
                <w:lang w:eastAsia="hu-HU"/>
              </w:rPr>
              <w:t xml:space="preserve">2023. </w:t>
            </w:r>
            <w:r w:rsidR="007E22F7" w:rsidRPr="007E22F7">
              <w:rPr>
                <w:rFonts w:ascii="Times New Roman" w:eastAsia="Times New Roman" w:hAnsi="Times New Roman" w:cs="Times New Roman"/>
                <w:b/>
                <w:bCs/>
                <w:szCs w:val="20"/>
                <w:lang w:eastAsia="hu-HU"/>
              </w:rPr>
              <w:t xml:space="preserve">évi </w:t>
            </w:r>
          </w:p>
          <w:p w14:paraId="41502DE8" w14:textId="0031F190" w:rsidR="007E22F7" w:rsidRPr="007E22F7" w:rsidRDefault="007E22F7" w:rsidP="007E22F7">
            <w:pPr>
              <w:spacing w:after="0" w:line="240" w:lineRule="auto"/>
              <w:jc w:val="center"/>
              <w:rPr>
                <w:rFonts w:ascii="Times New Roman" w:eastAsia="Times New Roman" w:hAnsi="Times New Roman" w:cs="Times New Roman"/>
                <w:b/>
                <w:bCs/>
                <w:szCs w:val="20"/>
                <w:lang w:eastAsia="hu-HU"/>
              </w:rPr>
            </w:pPr>
            <w:r w:rsidRPr="007E22F7">
              <w:rPr>
                <w:rFonts w:ascii="Times New Roman" w:eastAsia="Times New Roman" w:hAnsi="Times New Roman" w:cs="Times New Roman"/>
                <w:b/>
                <w:bCs/>
                <w:szCs w:val="20"/>
                <w:lang w:eastAsia="hu-HU"/>
              </w:rPr>
              <w:t>tény</w:t>
            </w:r>
          </w:p>
        </w:tc>
        <w:tc>
          <w:tcPr>
            <w:tcW w:w="1594"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3BFE055B" w14:textId="170CC98D" w:rsidR="007E22F7" w:rsidRPr="007E22F7" w:rsidRDefault="007E22F7" w:rsidP="007E22F7">
            <w:pPr>
              <w:spacing w:after="0" w:line="240" w:lineRule="auto"/>
              <w:jc w:val="center"/>
              <w:rPr>
                <w:rFonts w:ascii="Times New Roman" w:eastAsia="Times New Roman" w:hAnsi="Times New Roman" w:cs="Times New Roman"/>
                <w:b/>
                <w:bCs/>
                <w:szCs w:val="20"/>
                <w:lang w:eastAsia="hu-HU"/>
              </w:rPr>
            </w:pPr>
            <w:r w:rsidRPr="007E22F7">
              <w:rPr>
                <w:rFonts w:ascii="Times New Roman" w:eastAsia="Times New Roman" w:hAnsi="Times New Roman" w:cs="Times New Roman"/>
                <w:b/>
                <w:bCs/>
                <w:szCs w:val="20"/>
                <w:lang w:eastAsia="hu-HU"/>
              </w:rPr>
              <w:t>2024.</w:t>
            </w:r>
            <w:r w:rsidR="00324B1E">
              <w:rPr>
                <w:rFonts w:ascii="Times New Roman" w:eastAsia="Times New Roman" w:hAnsi="Times New Roman" w:cs="Times New Roman"/>
                <w:b/>
                <w:bCs/>
                <w:szCs w:val="20"/>
                <w:lang w:eastAsia="hu-HU"/>
              </w:rPr>
              <w:t xml:space="preserve"> évi</w:t>
            </w:r>
          </w:p>
          <w:p w14:paraId="1B20595D" w14:textId="77777777" w:rsidR="007E22F7" w:rsidRPr="007E22F7" w:rsidRDefault="007E22F7" w:rsidP="007E22F7">
            <w:pPr>
              <w:spacing w:after="0" w:line="240" w:lineRule="auto"/>
              <w:jc w:val="center"/>
              <w:rPr>
                <w:rFonts w:ascii="Times New Roman" w:eastAsia="Times New Roman" w:hAnsi="Times New Roman" w:cs="Times New Roman"/>
                <w:b/>
                <w:bCs/>
                <w:szCs w:val="20"/>
                <w:lang w:eastAsia="hu-HU"/>
              </w:rPr>
            </w:pPr>
            <w:r w:rsidRPr="007E22F7">
              <w:rPr>
                <w:rFonts w:ascii="Times New Roman" w:eastAsia="Times New Roman" w:hAnsi="Times New Roman" w:cs="Times New Roman"/>
                <w:b/>
                <w:bCs/>
                <w:szCs w:val="20"/>
                <w:lang w:eastAsia="hu-HU"/>
              </w:rPr>
              <w:t>előzetes tény</w:t>
            </w:r>
          </w:p>
        </w:tc>
        <w:tc>
          <w:tcPr>
            <w:tcW w:w="2196" w:type="dxa"/>
            <w:gridSpan w:val="2"/>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43110E71" w14:textId="77777777" w:rsidR="007E22F7" w:rsidRPr="007E22F7" w:rsidRDefault="007E22F7" w:rsidP="007E22F7">
            <w:pPr>
              <w:spacing w:after="0" w:line="240" w:lineRule="auto"/>
              <w:jc w:val="center"/>
              <w:rPr>
                <w:rFonts w:ascii="Times New Roman" w:eastAsia="Times New Roman" w:hAnsi="Times New Roman" w:cs="Times New Roman"/>
                <w:b/>
                <w:bCs/>
                <w:szCs w:val="20"/>
                <w:lang w:eastAsia="hu-HU"/>
              </w:rPr>
            </w:pPr>
            <w:r w:rsidRPr="007E22F7">
              <w:rPr>
                <w:rFonts w:ascii="Times New Roman" w:eastAsia="Times New Roman" w:hAnsi="Times New Roman" w:cs="Times New Roman"/>
                <w:b/>
                <w:bCs/>
                <w:szCs w:val="20"/>
                <w:lang w:eastAsia="hu-HU"/>
              </w:rPr>
              <w:t>Eltérés</w:t>
            </w:r>
          </w:p>
        </w:tc>
      </w:tr>
      <w:tr w:rsidR="007E22F7" w:rsidRPr="007E22F7" w14:paraId="318BD67F" w14:textId="77777777" w:rsidTr="007E22F7">
        <w:trPr>
          <w:trHeight w:val="340"/>
          <w:jc w:val="center"/>
        </w:trPr>
        <w:tc>
          <w:tcPr>
            <w:tcW w:w="3402" w:type="dxa"/>
            <w:vMerge/>
            <w:tcBorders>
              <w:top w:val="single" w:sz="4" w:space="0" w:color="auto"/>
              <w:left w:val="single" w:sz="4" w:space="0" w:color="auto"/>
              <w:bottom w:val="single" w:sz="4" w:space="0" w:color="auto"/>
              <w:right w:val="single" w:sz="4" w:space="0" w:color="auto"/>
            </w:tcBorders>
            <w:shd w:val="clear" w:color="auto" w:fill="DBE5F1"/>
            <w:vAlign w:val="center"/>
            <w:hideMark/>
          </w:tcPr>
          <w:p w14:paraId="0FD8601E" w14:textId="77777777" w:rsidR="007E22F7" w:rsidRPr="007E22F7" w:rsidRDefault="007E22F7" w:rsidP="007E22F7">
            <w:pPr>
              <w:spacing w:after="0" w:line="240" w:lineRule="auto"/>
              <w:jc w:val="both"/>
              <w:rPr>
                <w:rFonts w:ascii="Times New Roman" w:eastAsia="Times New Roman" w:hAnsi="Times New Roman" w:cs="Times New Roman"/>
                <w:b/>
                <w:bCs/>
                <w:szCs w:val="20"/>
                <w:lang w:eastAsia="hu-HU"/>
              </w:rPr>
            </w:pPr>
          </w:p>
        </w:tc>
        <w:tc>
          <w:tcPr>
            <w:tcW w:w="1560" w:type="dxa"/>
            <w:vMerge/>
            <w:tcBorders>
              <w:top w:val="single" w:sz="4" w:space="0" w:color="auto"/>
              <w:left w:val="single" w:sz="4" w:space="0" w:color="auto"/>
              <w:bottom w:val="single" w:sz="4" w:space="0" w:color="auto"/>
              <w:right w:val="single" w:sz="4" w:space="0" w:color="auto"/>
            </w:tcBorders>
            <w:shd w:val="clear" w:color="auto" w:fill="DBE5F1"/>
            <w:vAlign w:val="center"/>
            <w:hideMark/>
          </w:tcPr>
          <w:p w14:paraId="7AEC28ED" w14:textId="77777777" w:rsidR="007E22F7" w:rsidRPr="007E22F7" w:rsidRDefault="007E22F7" w:rsidP="007E22F7">
            <w:pPr>
              <w:spacing w:after="0" w:line="240" w:lineRule="auto"/>
              <w:jc w:val="center"/>
              <w:rPr>
                <w:rFonts w:ascii="Times New Roman" w:eastAsia="Times New Roman" w:hAnsi="Times New Roman" w:cs="Times New Roman"/>
                <w:b/>
                <w:bCs/>
                <w:szCs w:val="20"/>
                <w:lang w:eastAsia="hu-HU"/>
              </w:rPr>
            </w:pPr>
          </w:p>
        </w:tc>
        <w:tc>
          <w:tcPr>
            <w:tcW w:w="1594" w:type="dxa"/>
            <w:vMerge/>
            <w:tcBorders>
              <w:top w:val="single" w:sz="4" w:space="0" w:color="auto"/>
              <w:left w:val="single" w:sz="4" w:space="0" w:color="auto"/>
              <w:bottom w:val="single" w:sz="4" w:space="0" w:color="auto"/>
              <w:right w:val="single" w:sz="4" w:space="0" w:color="auto"/>
            </w:tcBorders>
            <w:shd w:val="clear" w:color="auto" w:fill="DBE5F1"/>
            <w:vAlign w:val="center"/>
            <w:hideMark/>
          </w:tcPr>
          <w:p w14:paraId="50EB05FD" w14:textId="77777777" w:rsidR="007E22F7" w:rsidRPr="007E22F7" w:rsidRDefault="007E22F7" w:rsidP="007E22F7">
            <w:pPr>
              <w:spacing w:after="0" w:line="240" w:lineRule="auto"/>
              <w:jc w:val="center"/>
              <w:rPr>
                <w:rFonts w:ascii="Times New Roman" w:eastAsia="Times New Roman" w:hAnsi="Times New Roman" w:cs="Times New Roman"/>
                <w:b/>
                <w:bCs/>
                <w:szCs w:val="20"/>
                <w:lang w:eastAsia="hu-HU"/>
              </w:rPr>
            </w:pPr>
          </w:p>
        </w:tc>
        <w:tc>
          <w:tcPr>
            <w:tcW w:w="1061"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63518A8F" w14:textId="77777777" w:rsidR="007E22F7" w:rsidRPr="007E22F7" w:rsidRDefault="007E22F7" w:rsidP="007E22F7">
            <w:pPr>
              <w:spacing w:after="0" w:line="240" w:lineRule="auto"/>
              <w:jc w:val="center"/>
              <w:rPr>
                <w:rFonts w:ascii="Times New Roman" w:eastAsia="Times New Roman" w:hAnsi="Times New Roman" w:cs="Times New Roman"/>
                <w:b/>
                <w:bCs/>
                <w:szCs w:val="20"/>
                <w:lang w:eastAsia="hu-HU"/>
              </w:rPr>
            </w:pPr>
            <w:r w:rsidRPr="007E22F7">
              <w:rPr>
                <w:rFonts w:ascii="Times New Roman" w:eastAsia="Times New Roman" w:hAnsi="Times New Roman" w:cs="Times New Roman"/>
                <w:b/>
                <w:bCs/>
                <w:szCs w:val="20"/>
                <w:lang w:eastAsia="hu-HU"/>
              </w:rPr>
              <w:t>Mrd Ft</w:t>
            </w:r>
          </w:p>
        </w:tc>
        <w:tc>
          <w:tcPr>
            <w:tcW w:w="1135"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4A3D6D03" w14:textId="77777777" w:rsidR="007E22F7" w:rsidRPr="007E22F7" w:rsidRDefault="007E22F7" w:rsidP="007E22F7">
            <w:pPr>
              <w:spacing w:after="0" w:line="240" w:lineRule="auto"/>
              <w:jc w:val="center"/>
              <w:rPr>
                <w:rFonts w:ascii="Times New Roman" w:eastAsia="Times New Roman" w:hAnsi="Times New Roman" w:cs="Times New Roman"/>
                <w:b/>
                <w:bCs/>
                <w:szCs w:val="20"/>
                <w:lang w:eastAsia="hu-HU"/>
              </w:rPr>
            </w:pPr>
            <w:r w:rsidRPr="007E22F7">
              <w:rPr>
                <w:rFonts w:ascii="Times New Roman" w:eastAsia="Times New Roman" w:hAnsi="Times New Roman" w:cs="Times New Roman"/>
                <w:b/>
                <w:bCs/>
                <w:szCs w:val="20"/>
                <w:lang w:eastAsia="hu-HU"/>
              </w:rPr>
              <w:t>%</w:t>
            </w:r>
          </w:p>
        </w:tc>
      </w:tr>
      <w:tr w:rsidR="007E22F7" w:rsidRPr="007E22F7" w14:paraId="1BCE1074" w14:textId="77777777" w:rsidTr="003112A9">
        <w:trPr>
          <w:trHeight w:val="340"/>
          <w:jc w:val="center"/>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B087C6" w14:textId="77777777" w:rsidR="007E22F7" w:rsidRPr="007E22F7" w:rsidRDefault="007E22F7" w:rsidP="007E22F7">
            <w:pPr>
              <w:spacing w:after="0" w:line="240" w:lineRule="auto"/>
              <w:jc w:val="both"/>
              <w:rPr>
                <w:rFonts w:ascii="Times New Roman" w:eastAsia="Times New Roman" w:hAnsi="Times New Roman" w:cs="Times New Roman"/>
                <w:szCs w:val="20"/>
                <w:lang w:eastAsia="hu-HU"/>
              </w:rPr>
            </w:pPr>
            <w:r w:rsidRPr="007E22F7">
              <w:rPr>
                <w:rFonts w:ascii="Times New Roman" w:eastAsia="Times New Roman" w:hAnsi="Times New Roman" w:cs="Times New Roman"/>
                <w:szCs w:val="20"/>
                <w:lang w:eastAsia="hu-HU"/>
              </w:rPr>
              <w:t>Üzemanyag jövedéki adó</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559543" w14:textId="77777777" w:rsidR="007E22F7" w:rsidRPr="007E22F7" w:rsidRDefault="007E22F7" w:rsidP="007E22F7">
            <w:pPr>
              <w:spacing w:after="0" w:line="240" w:lineRule="auto"/>
              <w:jc w:val="right"/>
              <w:rPr>
                <w:rFonts w:ascii="Times New Roman" w:eastAsia="Times New Roman" w:hAnsi="Times New Roman" w:cs="Times New Roman"/>
                <w:lang w:eastAsia="hu-HU"/>
              </w:rPr>
            </w:pPr>
            <w:r w:rsidRPr="007E22F7">
              <w:rPr>
                <w:rFonts w:ascii="Times New Roman" w:eastAsia="Times New Roman" w:hAnsi="Times New Roman" w:cs="Times New Roman"/>
                <w:lang w:eastAsia="hu-HU"/>
              </w:rPr>
              <w:t>706,5</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4C1F7B" w14:textId="73D690AB" w:rsidR="007E22F7" w:rsidRPr="007E22F7" w:rsidRDefault="00F06549" w:rsidP="00EC0C4A">
            <w:pPr>
              <w:spacing w:after="0" w:line="240" w:lineRule="auto"/>
              <w:jc w:val="right"/>
              <w:rPr>
                <w:rFonts w:ascii="Times New Roman" w:eastAsia="Times New Roman" w:hAnsi="Times New Roman" w:cs="Times New Roman"/>
                <w:lang w:eastAsia="hu-HU"/>
              </w:rPr>
            </w:pPr>
            <w:r w:rsidRPr="00EC0C4A">
              <w:rPr>
                <w:rFonts w:ascii="Times New Roman" w:eastAsia="Times New Roman" w:hAnsi="Times New Roman" w:cs="Times New Roman"/>
                <w:lang w:eastAsia="hu-HU"/>
              </w:rPr>
              <w:t xml:space="preserve"> 908,6 </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607A25" w14:textId="7C4A18B2" w:rsidR="007E22F7" w:rsidRPr="007E22F7" w:rsidRDefault="007E22F7" w:rsidP="00EC0C4A">
            <w:pPr>
              <w:spacing w:after="0" w:line="240" w:lineRule="auto"/>
              <w:jc w:val="right"/>
              <w:rPr>
                <w:rFonts w:ascii="Times New Roman" w:eastAsia="Times New Roman" w:hAnsi="Times New Roman" w:cs="Times New Roman"/>
                <w:lang w:eastAsia="hu-HU"/>
              </w:rPr>
            </w:pPr>
            <w:r w:rsidRPr="007E22F7">
              <w:rPr>
                <w:rFonts w:ascii="Times New Roman" w:eastAsia="Times New Roman" w:hAnsi="Times New Roman" w:cs="Times New Roman"/>
                <w:lang w:eastAsia="hu-HU"/>
              </w:rPr>
              <w:t>202,</w:t>
            </w:r>
            <w:r w:rsidR="00EC0C4A">
              <w:rPr>
                <w:rFonts w:ascii="Times New Roman" w:eastAsia="Times New Roman" w:hAnsi="Times New Roman" w:cs="Times New Roman"/>
                <w:lang w:eastAsia="hu-HU"/>
              </w:rPr>
              <w:t>1</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3A835A" w14:textId="77777777" w:rsidR="007E22F7" w:rsidRPr="007E22F7" w:rsidRDefault="007E22F7" w:rsidP="007E22F7">
            <w:pPr>
              <w:spacing w:after="0" w:line="240" w:lineRule="auto"/>
              <w:jc w:val="right"/>
              <w:rPr>
                <w:rFonts w:ascii="Times New Roman" w:eastAsia="Times New Roman" w:hAnsi="Times New Roman" w:cs="Times New Roman"/>
                <w:lang w:eastAsia="hu-HU"/>
              </w:rPr>
            </w:pPr>
            <w:r w:rsidRPr="007E22F7">
              <w:rPr>
                <w:rFonts w:ascii="Times New Roman" w:eastAsia="Times New Roman" w:hAnsi="Times New Roman" w:cs="Times New Roman"/>
                <w:lang w:eastAsia="hu-HU"/>
              </w:rPr>
              <w:t>128,6</w:t>
            </w:r>
          </w:p>
        </w:tc>
      </w:tr>
      <w:tr w:rsidR="007E22F7" w:rsidRPr="007E22F7" w14:paraId="1C479583" w14:textId="77777777" w:rsidTr="003112A9">
        <w:trPr>
          <w:trHeight w:val="340"/>
          <w:jc w:val="center"/>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59F640" w14:textId="77777777" w:rsidR="007E22F7" w:rsidRPr="007E22F7" w:rsidRDefault="007E22F7" w:rsidP="007E22F7">
            <w:pPr>
              <w:spacing w:after="0" w:line="240" w:lineRule="auto"/>
              <w:jc w:val="both"/>
              <w:rPr>
                <w:rFonts w:ascii="Times New Roman" w:eastAsia="Times New Roman" w:hAnsi="Times New Roman" w:cs="Times New Roman"/>
                <w:szCs w:val="20"/>
                <w:lang w:eastAsia="hu-HU"/>
              </w:rPr>
            </w:pPr>
            <w:r w:rsidRPr="007E22F7">
              <w:rPr>
                <w:rFonts w:ascii="Times New Roman" w:eastAsia="Times New Roman" w:hAnsi="Times New Roman" w:cs="Times New Roman"/>
                <w:szCs w:val="20"/>
                <w:lang w:eastAsia="hu-HU"/>
              </w:rPr>
              <w:t>Dohánygyártmány jövedéki adó</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48D35C" w14:textId="77777777" w:rsidR="007E22F7" w:rsidRPr="007E22F7" w:rsidRDefault="007E22F7" w:rsidP="007E22F7">
            <w:pPr>
              <w:spacing w:after="0" w:line="240" w:lineRule="auto"/>
              <w:jc w:val="right"/>
              <w:rPr>
                <w:rFonts w:ascii="Times New Roman" w:eastAsia="Times New Roman" w:hAnsi="Times New Roman" w:cs="Times New Roman"/>
                <w:lang w:eastAsia="hu-HU"/>
              </w:rPr>
            </w:pPr>
            <w:r w:rsidRPr="007E22F7">
              <w:rPr>
                <w:rFonts w:ascii="Times New Roman" w:eastAsia="Times New Roman" w:hAnsi="Times New Roman" w:cs="Times New Roman"/>
                <w:lang w:eastAsia="hu-HU"/>
              </w:rPr>
              <w:t>505,0</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E14FA7" w14:textId="77777777" w:rsidR="007E22F7" w:rsidRPr="007E22F7" w:rsidRDefault="007E22F7" w:rsidP="007E22F7">
            <w:pPr>
              <w:spacing w:after="0" w:line="240" w:lineRule="auto"/>
              <w:jc w:val="right"/>
              <w:rPr>
                <w:rFonts w:ascii="Times New Roman" w:eastAsia="Times New Roman" w:hAnsi="Times New Roman" w:cs="Times New Roman"/>
                <w:lang w:eastAsia="hu-HU"/>
              </w:rPr>
            </w:pPr>
            <w:r w:rsidRPr="007E22F7">
              <w:rPr>
                <w:rFonts w:ascii="Times New Roman" w:eastAsia="Times New Roman" w:hAnsi="Times New Roman" w:cs="Times New Roman"/>
                <w:lang w:eastAsia="hu-HU"/>
              </w:rPr>
              <w:t>553,5</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B9B4B4" w14:textId="77777777" w:rsidR="007E22F7" w:rsidRPr="007E22F7" w:rsidRDefault="007E22F7" w:rsidP="007E22F7">
            <w:pPr>
              <w:spacing w:after="0" w:line="240" w:lineRule="auto"/>
              <w:jc w:val="right"/>
              <w:rPr>
                <w:rFonts w:ascii="Times New Roman" w:eastAsia="Times New Roman" w:hAnsi="Times New Roman" w:cs="Times New Roman"/>
                <w:lang w:eastAsia="hu-HU"/>
              </w:rPr>
            </w:pPr>
            <w:r w:rsidRPr="007E22F7">
              <w:rPr>
                <w:rFonts w:ascii="Times New Roman" w:eastAsia="Times New Roman" w:hAnsi="Times New Roman" w:cs="Times New Roman"/>
                <w:lang w:eastAsia="hu-HU"/>
              </w:rPr>
              <w:t>48,5</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561A9B" w14:textId="77777777" w:rsidR="007E22F7" w:rsidRPr="007E22F7" w:rsidRDefault="007E22F7" w:rsidP="007E22F7">
            <w:pPr>
              <w:spacing w:after="0" w:line="240" w:lineRule="auto"/>
              <w:jc w:val="right"/>
              <w:rPr>
                <w:rFonts w:ascii="Times New Roman" w:eastAsia="Times New Roman" w:hAnsi="Times New Roman" w:cs="Times New Roman"/>
                <w:lang w:eastAsia="hu-HU"/>
              </w:rPr>
            </w:pPr>
            <w:r w:rsidRPr="007E22F7">
              <w:rPr>
                <w:rFonts w:ascii="Times New Roman" w:eastAsia="Times New Roman" w:hAnsi="Times New Roman" w:cs="Times New Roman"/>
                <w:lang w:eastAsia="hu-HU"/>
              </w:rPr>
              <w:t>109,6</w:t>
            </w:r>
          </w:p>
        </w:tc>
      </w:tr>
      <w:tr w:rsidR="007E22F7" w:rsidRPr="007E22F7" w14:paraId="59CBFEAC" w14:textId="77777777" w:rsidTr="003112A9">
        <w:trPr>
          <w:trHeight w:val="340"/>
          <w:jc w:val="center"/>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3F76F8" w14:textId="77777777" w:rsidR="007E22F7" w:rsidRPr="007E22F7" w:rsidRDefault="007E22F7" w:rsidP="007E22F7">
            <w:pPr>
              <w:spacing w:after="0" w:line="240" w:lineRule="auto"/>
              <w:jc w:val="both"/>
              <w:rPr>
                <w:rFonts w:ascii="Times New Roman" w:eastAsia="Times New Roman" w:hAnsi="Times New Roman" w:cs="Times New Roman"/>
                <w:szCs w:val="20"/>
                <w:lang w:eastAsia="hu-HU"/>
              </w:rPr>
            </w:pPr>
            <w:r w:rsidRPr="007E22F7">
              <w:rPr>
                <w:rFonts w:ascii="Times New Roman" w:eastAsia="Times New Roman" w:hAnsi="Times New Roman" w:cs="Times New Roman"/>
                <w:szCs w:val="20"/>
                <w:lang w:eastAsia="hu-HU"/>
              </w:rPr>
              <w:t>Egyéb termék jövedéki adó</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C3BA4B" w14:textId="77777777" w:rsidR="007E22F7" w:rsidRPr="007E22F7" w:rsidRDefault="007E22F7" w:rsidP="007E22F7">
            <w:pPr>
              <w:spacing w:after="0" w:line="240" w:lineRule="auto"/>
              <w:jc w:val="right"/>
              <w:rPr>
                <w:rFonts w:ascii="Times New Roman" w:eastAsia="Times New Roman" w:hAnsi="Times New Roman" w:cs="Times New Roman"/>
                <w:lang w:eastAsia="hu-HU"/>
              </w:rPr>
            </w:pPr>
            <w:r w:rsidRPr="007E22F7">
              <w:rPr>
                <w:rFonts w:ascii="Times New Roman" w:eastAsia="Times New Roman" w:hAnsi="Times New Roman" w:cs="Times New Roman"/>
                <w:lang w:eastAsia="hu-HU"/>
              </w:rPr>
              <w:t>130,2</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CEC3E9" w14:textId="77777777" w:rsidR="007E22F7" w:rsidRPr="007E22F7" w:rsidRDefault="007E22F7" w:rsidP="007E22F7">
            <w:pPr>
              <w:spacing w:after="0" w:line="240" w:lineRule="auto"/>
              <w:jc w:val="right"/>
              <w:rPr>
                <w:rFonts w:ascii="Times New Roman" w:eastAsia="Times New Roman" w:hAnsi="Times New Roman" w:cs="Times New Roman"/>
                <w:lang w:eastAsia="hu-HU"/>
              </w:rPr>
            </w:pPr>
            <w:r w:rsidRPr="007E22F7">
              <w:rPr>
                <w:rFonts w:ascii="Times New Roman" w:eastAsia="Times New Roman" w:hAnsi="Times New Roman" w:cs="Times New Roman"/>
                <w:lang w:eastAsia="hu-HU"/>
              </w:rPr>
              <w:t>133,2</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3E9FFB" w14:textId="77777777" w:rsidR="007E22F7" w:rsidRPr="007E22F7" w:rsidRDefault="007E22F7" w:rsidP="007E22F7">
            <w:pPr>
              <w:spacing w:after="0" w:line="240" w:lineRule="auto"/>
              <w:jc w:val="right"/>
              <w:rPr>
                <w:rFonts w:ascii="Times New Roman" w:eastAsia="Times New Roman" w:hAnsi="Times New Roman" w:cs="Times New Roman"/>
                <w:lang w:eastAsia="hu-HU"/>
              </w:rPr>
            </w:pPr>
            <w:r w:rsidRPr="007E22F7">
              <w:rPr>
                <w:rFonts w:ascii="Times New Roman" w:eastAsia="Times New Roman" w:hAnsi="Times New Roman" w:cs="Times New Roman"/>
                <w:lang w:eastAsia="hu-HU"/>
              </w:rPr>
              <w:t>3,0</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8C2DF5" w14:textId="77777777" w:rsidR="007E22F7" w:rsidRPr="007E22F7" w:rsidRDefault="007E22F7" w:rsidP="007E22F7">
            <w:pPr>
              <w:spacing w:after="0" w:line="240" w:lineRule="auto"/>
              <w:jc w:val="right"/>
              <w:rPr>
                <w:rFonts w:ascii="Times New Roman" w:eastAsia="Times New Roman" w:hAnsi="Times New Roman" w:cs="Times New Roman"/>
                <w:lang w:eastAsia="hu-HU"/>
              </w:rPr>
            </w:pPr>
            <w:r w:rsidRPr="007E22F7">
              <w:rPr>
                <w:rFonts w:ascii="Times New Roman" w:eastAsia="Times New Roman" w:hAnsi="Times New Roman" w:cs="Times New Roman"/>
                <w:lang w:eastAsia="hu-HU"/>
              </w:rPr>
              <w:t>102,3</w:t>
            </w:r>
          </w:p>
        </w:tc>
      </w:tr>
      <w:tr w:rsidR="007E22F7" w:rsidRPr="007E22F7" w14:paraId="22EE05B7" w14:textId="77777777" w:rsidTr="003112A9">
        <w:trPr>
          <w:trHeight w:val="340"/>
          <w:jc w:val="center"/>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F5F131" w14:textId="77777777" w:rsidR="007E22F7" w:rsidRPr="007E22F7" w:rsidRDefault="007E22F7" w:rsidP="007E22F7">
            <w:pPr>
              <w:spacing w:after="0" w:line="240" w:lineRule="auto"/>
              <w:jc w:val="both"/>
              <w:rPr>
                <w:rFonts w:ascii="Times New Roman" w:eastAsia="Times New Roman" w:hAnsi="Times New Roman" w:cs="Times New Roman"/>
                <w:szCs w:val="20"/>
                <w:lang w:eastAsia="hu-HU"/>
              </w:rPr>
            </w:pPr>
            <w:r w:rsidRPr="007E22F7">
              <w:rPr>
                <w:rFonts w:ascii="Times New Roman" w:eastAsia="Times New Roman" w:hAnsi="Times New Roman" w:cs="Times New Roman"/>
                <w:szCs w:val="20"/>
                <w:lang w:eastAsia="hu-HU"/>
              </w:rPr>
              <w:t>Import jövedéki adó és energiaadó</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329D12" w14:textId="77777777" w:rsidR="007E22F7" w:rsidRPr="007E22F7" w:rsidRDefault="007E22F7" w:rsidP="007E22F7">
            <w:pPr>
              <w:spacing w:after="0" w:line="240" w:lineRule="auto"/>
              <w:jc w:val="right"/>
              <w:rPr>
                <w:rFonts w:ascii="Times New Roman" w:eastAsia="Times New Roman" w:hAnsi="Times New Roman" w:cs="Times New Roman"/>
                <w:lang w:eastAsia="hu-HU"/>
              </w:rPr>
            </w:pPr>
            <w:r w:rsidRPr="007E22F7">
              <w:rPr>
                <w:rFonts w:ascii="Times New Roman" w:eastAsia="Times New Roman" w:hAnsi="Times New Roman" w:cs="Times New Roman"/>
                <w:lang w:eastAsia="hu-HU"/>
              </w:rPr>
              <w:t>18,1</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C0A530" w14:textId="4A44ABC6" w:rsidR="007E22F7" w:rsidRPr="007E22F7" w:rsidRDefault="007E22F7" w:rsidP="00EC0C4A">
            <w:pPr>
              <w:spacing w:after="0" w:line="240" w:lineRule="auto"/>
              <w:jc w:val="right"/>
              <w:rPr>
                <w:rFonts w:ascii="Times New Roman" w:eastAsia="Times New Roman" w:hAnsi="Times New Roman" w:cs="Times New Roman"/>
                <w:lang w:eastAsia="hu-HU"/>
              </w:rPr>
            </w:pPr>
            <w:r w:rsidRPr="007E22F7">
              <w:rPr>
                <w:rFonts w:ascii="Times New Roman" w:eastAsia="Times New Roman" w:hAnsi="Times New Roman" w:cs="Times New Roman"/>
                <w:lang w:eastAsia="hu-HU"/>
              </w:rPr>
              <w:t>19,</w:t>
            </w:r>
            <w:r w:rsidR="00EC0C4A">
              <w:rPr>
                <w:rFonts w:ascii="Times New Roman" w:eastAsia="Times New Roman" w:hAnsi="Times New Roman" w:cs="Times New Roman"/>
                <w:lang w:eastAsia="hu-HU"/>
              </w:rPr>
              <w:t>9</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8E17A1" w14:textId="6130637A" w:rsidR="007E22F7" w:rsidRPr="007E22F7" w:rsidRDefault="007E22F7" w:rsidP="00EC0C4A">
            <w:pPr>
              <w:spacing w:after="0" w:line="240" w:lineRule="auto"/>
              <w:jc w:val="right"/>
              <w:rPr>
                <w:rFonts w:ascii="Times New Roman" w:eastAsia="Times New Roman" w:hAnsi="Times New Roman" w:cs="Times New Roman"/>
                <w:lang w:eastAsia="hu-HU"/>
              </w:rPr>
            </w:pPr>
            <w:r w:rsidRPr="007E22F7">
              <w:rPr>
                <w:rFonts w:ascii="Times New Roman" w:eastAsia="Times New Roman" w:hAnsi="Times New Roman" w:cs="Times New Roman"/>
                <w:lang w:eastAsia="hu-HU"/>
              </w:rPr>
              <w:t>1,</w:t>
            </w:r>
            <w:r w:rsidR="00EC0C4A">
              <w:rPr>
                <w:rFonts w:ascii="Times New Roman" w:eastAsia="Times New Roman" w:hAnsi="Times New Roman" w:cs="Times New Roman"/>
                <w:lang w:eastAsia="hu-HU"/>
              </w:rPr>
              <w:t>8</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2D3243" w14:textId="7CA2279C" w:rsidR="007E22F7" w:rsidRPr="007E22F7" w:rsidRDefault="007E22F7" w:rsidP="00EC0C4A">
            <w:pPr>
              <w:spacing w:after="0" w:line="240" w:lineRule="auto"/>
              <w:jc w:val="right"/>
              <w:rPr>
                <w:rFonts w:ascii="Times New Roman" w:eastAsia="Times New Roman" w:hAnsi="Times New Roman" w:cs="Times New Roman"/>
                <w:lang w:eastAsia="hu-HU"/>
              </w:rPr>
            </w:pPr>
            <w:r w:rsidRPr="007E22F7">
              <w:rPr>
                <w:rFonts w:ascii="Times New Roman" w:eastAsia="Times New Roman" w:hAnsi="Times New Roman" w:cs="Times New Roman"/>
                <w:lang w:eastAsia="hu-HU"/>
              </w:rPr>
              <w:t>109,</w:t>
            </w:r>
            <w:r w:rsidR="00EC0C4A">
              <w:rPr>
                <w:rFonts w:ascii="Times New Roman" w:eastAsia="Times New Roman" w:hAnsi="Times New Roman" w:cs="Times New Roman"/>
                <w:lang w:eastAsia="hu-HU"/>
              </w:rPr>
              <w:t>9</w:t>
            </w:r>
          </w:p>
        </w:tc>
      </w:tr>
      <w:tr w:rsidR="007E22F7" w:rsidRPr="007E22F7" w14:paraId="3254F949" w14:textId="77777777" w:rsidTr="003112A9">
        <w:trPr>
          <w:trHeight w:val="340"/>
          <w:jc w:val="center"/>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DFB00" w14:textId="77777777" w:rsidR="007E22F7" w:rsidRPr="007E22F7" w:rsidRDefault="007E22F7" w:rsidP="007E22F7">
            <w:pPr>
              <w:spacing w:after="0" w:line="240" w:lineRule="auto"/>
              <w:jc w:val="both"/>
              <w:rPr>
                <w:rFonts w:ascii="Times New Roman" w:eastAsia="Times New Roman" w:hAnsi="Times New Roman" w:cs="Times New Roman"/>
                <w:b/>
                <w:bCs/>
                <w:szCs w:val="20"/>
                <w:lang w:eastAsia="hu-HU"/>
              </w:rPr>
            </w:pPr>
            <w:r w:rsidRPr="007E22F7">
              <w:rPr>
                <w:rFonts w:ascii="Times New Roman" w:eastAsia="Times New Roman" w:hAnsi="Times New Roman" w:cs="Times New Roman"/>
                <w:b/>
                <w:bCs/>
                <w:szCs w:val="20"/>
                <w:lang w:eastAsia="hu-HU"/>
              </w:rPr>
              <w:t>Jövedéki adók összesen</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72E758" w14:textId="77777777" w:rsidR="007E22F7" w:rsidRPr="007E22F7" w:rsidRDefault="007E22F7" w:rsidP="007E22F7">
            <w:pPr>
              <w:spacing w:after="0" w:line="240" w:lineRule="auto"/>
              <w:jc w:val="right"/>
              <w:rPr>
                <w:rFonts w:ascii="Times New Roman" w:eastAsia="Times New Roman" w:hAnsi="Times New Roman" w:cs="Times New Roman"/>
                <w:b/>
                <w:bCs/>
                <w:lang w:eastAsia="hu-HU"/>
              </w:rPr>
            </w:pPr>
            <w:r w:rsidRPr="007E22F7">
              <w:rPr>
                <w:rFonts w:ascii="Times New Roman" w:eastAsia="Times New Roman" w:hAnsi="Times New Roman" w:cs="Times New Roman"/>
                <w:b/>
                <w:bCs/>
                <w:lang w:eastAsia="hu-HU"/>
              </w:rPr>
              <w:t>1 359,8</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220B96" w14:textId="77777777" w:rsidR="007E22F7" w:rsidRPr="007E22F7" w:rsidRDefault="007E22F7" w:rsidP="007E22F7">
            <w:pPr>
              <w:spacing w:after="0" w:line="240" w:lineRule="auto"/>
              <w:jc w:val="right"/>
              <w:rPr>
                <w:rFonts w:ascii="Times New Roman" w:eastAsia="Times New Roman" w:hAnsi="Times New Roman" w:cs="Times New Roman"/>
                <w:b/>
                <w:bCs/>
                <w:lang w:eastAsia="hu-HU"/>
              </w:rPr>
            </w:pPr>
            <w:r w:rsidRPr="007E22F7">
              <w:rPr>
                <w:rFonts w:ascii="Times New Roman" w:eastAsia="Times New Roman" w:hAnsi="Times New Roman" w:cs="Times New Roman"/>
                <w:b/>
                <w:bCs/>
                <w:lang w:eastAsia="hu-HU"/>
              </w:rPr>
              <w:t>1 615,2</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23538F" w14:textId="77777777" w:rsidR="007E22F7" w:rsidRPr="007E22F7" w:rsidRDefault="007E22F7" w:rsidP="007E22F7">
            <w:pPr>
              <w:spacing w:after="0" w:line="240" w:lineRule="auto"/>
              <w:jc w:val="right"/>
              <w:rPr>
                <w:rFonts w:ascii="Times New Roman" w:eastAsia="Times New Roman" w:hAnsi="Times New Roman" w:cs="Times New Roman"/>
                <w:b/>
                <w:bCs/>
                <w:lang w:eastAsia="hu-HU"/>
              </w:rPr>
            </w:pPr>
            <w:r w:rsidRPr="007E22F7">
              <w:rPr>
                <w:rFonts w:ascii="Times New Roman" w:eastAsia="Times New Roman" w:hAnsi="Times New Roman" w:cs="Times New Roman"/>
                <w:b/>
                <w:bCs/>
                <w:lang w:eastAsia="hu-HU"/>
              </w:rPr>
              <w:t>255,4</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495529" w14:textId="77777777" w:rsidR="007E22F7" w:rsidRPr="007E22F7" w:rsidRDefault="007E22F7" w:rsidP="007E22F7">
            <w:pPr>
              <w:spacing w:after="0" w:line="240" w:lineRule="auto"/>
              <w:jc w:val="right"/>
              <w:rPr>
                <w:rFonts w:ascii="Times New Roman" w:eastAsia="Times New Roman" w:hAnsi="Times New Roman" w:cs="Times New Roman"/>
                <w:b/>
                <w:bCs/>
                <w:lang w:eastAsia="hu-HU"/>
              </w:rPr>
            </w:pPr>
            <w:r w:rsidRPr="007E22F7">
              <w:rPr>
                <w:rFonts w:ascii="Times New Roman" w:eastAsia="Times New Roman" w:hAnsi="Times New Roman" w:cs="Times New Roman"/>
                <w:b/>
                <w:bCs/>
                <w:lang w:eastAsia="hu-HU"/>
              </w:rPr>
              <w:t>118,8</w:t>
            </w:r>
          </w:p>
        </w:tc>
      </w:tr>
    </w:tbl>
    <w:p w14:paraId="5099D844" w14:textId="3B842230" w:rsidR="007E22F7" w:rsidRPr="007E22F7" w:rsidRDefault="007E22F7" w:rsidP="00F06549">
      <w:pPr>
        <w:spacing w:before="240"/>
        <w:jc w:val="both"/>
        <w:rPr>
          <w:rFonts w:ascii="Times New Roman" w:eastAsia="Times New Roman" w:hAnsi="Times New Roman" w:cs="Times New Roman"/>
          <w:sz w:val="26"/>
          <w:szCs w:val="20"/>
          <w:highlight w:val="yellow"/>
          <w:lang w:eastAsia="hu-HU"/>
        </w:rPr>
      </w:pPr>
      <w:r w:rsidRPr="007E22F7">
        <w:rPr>
          <w:rFonts w:ascii="Times New Roman" w:eastAsia="Times New Roman" w:hAnsi="Times New Roman" w:cs="Times New Roman"/>
          <w:b/>
          <w:sz w:val="26"/>
          <w:szCs w:val="20"/>
          <w:lang w:eastAsia="hu-HU"/>
        </w:rPr>
        <w:t>Pénzügyi tranzakciós illetékből</w:t>
      </w:r>
      <w:r w:rsidRPr="007E22F7">
        <w:rPr>
          <w:rFonts w:ascii="Times New Roman" w:eastAsia="Times New Roman" w:hAnsi="Times New Roman" w:cs="Times New Roman"/>
          <w:sz w:val="26"/>
          <w:szCs w:val="20"/>
          <w:lang w:eastAsia="hu-HU"/>
        </w:rPr>
        <w:t xml:space="preserve"> 2024-ben 413,8 milliár</w:t>
      </w:r>
      <w:r w:rsidR="0097449A">
        <w:rPr>
          <w:rFonts w:ascii="Times New Roman" w:eastAsia="Times New Roman" w:hAnsi="Times New Roman" w:cs="Times New Roman"/>
          <w:sz w:val="26"/>
          <w:szCs w:val="20"/>
          <w:lang w:eastAsia="hu-HU"/>
        </w:rPr>
        <w:t>d forint bevétele keletkezett a </w:t>
      </w:r>
      <w:r w:rsidRPr="007E22F7">
        <w:rPr>
          <w:rFonts w:ascii="Times New Roman" w:eastAsia="Times New Roman" w:hAnsi="Times New Roman" w:cs="Times New Roman"/>
          <w:sz w:val="26"/>
          <w:szCs w:val="20"/>
          <w:lang w:eastAsia="hu-HU"/>
        </w:rPr>
        <w:t>költségvetésnek, ami 80,4 milliárd forinttal haladta meg az egy évvel korábbi összeget. A bevétel alakulásának hátterében a 2024. augusztus 1-</w:t>
      </w:r>
      <w:r w:rsidR="00F06549">
        <w:rPr>
          <w:rFonts w:ascii="Times New Roman" w:eastAsia="Times New Roman" w:hAnsi="Times New Roman" w:cs="Times New Roman"/>
          <w:sz w:val="26"/>
          <w:szCs w:val="20"/>
          <w:lang w:eastAsia="hu-HU"/>
        </w:rPr>
        <w:t>jé</w:t>
      </w:r>
      <w:r w:rsidRPr="007E22F7">
        <w:rPr>
          <w:rFonts w:ascii="Times New Roman" w:eastAsia="Times New Roman" w:hAnsi="Times New Roman" w:cs="Times New Roman"/>
          <w:sz w:val="26"/>
          <w:szCs w:val="20"/>
          <w:lang w:eastAsia="hu-HU"/>
        </w:rPr>
        <w:t>től hatályos megemelt adómértékek állnak, illetve</w:t>
      </w:r>
      <w:r w:rsidR="00F06549">
        <w:rPr>
          <w:rFonts w:ascii="Times New Roman" w:eastAsia="Times New Roman" w:hAnsi="Times New Roman" w:cs="Times New Roman"/>
          <w:sz w:val="26"/>
          <w:szCs w:val="20"/>
          <w:lang w:eastAsia="hu-HU"/>
        </w:rPr>
        <w:t xml:space="preserve"> az, </w:t>
      </w:r>
      <w:r w:rsidRPr="007E22F7">
        <w:rPr>
          <w:rFonts w:ascii="Times New Roman" w:eastAsia="Times New Roman" w:hAnsi="Times New Roman" w:cs="Times New Roman"/>
          <w:sz w:val="26"/>
          <w:szCs w:val="20"/>
          <w:lang w:eastAsia="hu-HU"/>
        </w:rPr>
        <w:t>hogy 2024. október elsejétől az adó hatálya kiterjed a konverziót tartalmazó műveletekre is.</w:t>
      </w:r>
    </w:p>
    <w:p w14:paraId="390A816B" w14:textId="7D105333" w:rsidR="007E22F7" w:rsidRPr="007E22F7" w:rsidRDefault="007E22F7" w:rsidP="00F06549">
      <w:pPr>
        <w:jc w:val="both"/>
        <w:rPr>
          <w:rFonts w:ascii="Times New Roman" w:eastAsia="Times New Roman" w:hAnsi="Times New Roman" w:cs="Times New Roman"/>
          <w:sz w:val="26"/>
          <w:szCs w:val="20"/>
          <w:lang w:eastAsia="hu-HU"/>
        </w:rPr>
      </w:pPr>
      <w:r w:rsidRPr="007E22F7">
        <w:rPr>
          <w:rFonts w:ascii="Times New Roman" w:eastAsia="Times New Roman" w:hAnsi="Times New Roman" w:cs="Times New Roman"/>
          <w:sz w:val="26"/>
          <w:szCs w:val="20"/>
          <w:lang w:eastAsia="hu-HU"/>
        </w:rPr>
        <w:t xml:space="preserve">A </w:t>
      </w:r>
      <w:r w:rsidRPr="007E22F7">
        <w:rPr>
          <w:rFonts w:ascii="Times New Roman" w:eastAsia="Times New Roman" w:hAnsi="Times New Roman" w:cs="Times New Roman"/>
          <w:b/>
          <w:sz w:val="26"/>
          <w:szCs w:val="20"/>
          <w:lang w:eastAsia="hu-HU"/>
        </w:rPr>
        <w:t xml:space="preserve">biztosítási adóból </w:t>
      </w:r>
      <w:r w:rsidRPr="007E22F7">
        <w:rPr>
          <w:rFonts w:ascii="Times New Roman" w:eastAsia="Times New Roman" w:hAnsi="Times New Roman" w:cs="Times New Roman"/>
          <w:sz w:val="26"/>
          <w:szCs w:val="20"/>
          <w:lang w:eastAsia="hu-HU"/>
        </w:rPr>
        <w:t xml:space="preserve">származó bevétel 2024-ben 281,2 milliárd forintot tett ki, amely 98,6 milliárd forinttal magasabb az egy évvel korábbi bevételnél. A bevételek előző évhez viszonyított alakulását a 2023. évi biztosítási pótadó-kötelezettség 2024. január és </w:t>
      </w:r>
      <w:r w:rsidRPr="007E22F7">
        <w:rPr>
          <w:rFonts w:ascii="Times New Roman" w:eastAsia="Times New Roman" w:hAnsi="Times New Roman" w:cs="Times New Roman"/>
          <w:sz w:val="26"/>
          <w:szCs w:val="20"/>
          <w:lang w:eastAsia="hu-HU"/>
        </w:rPr>
        <w:lastRenderedPageBreak/>
        <w:t>július</w:t>
      </w:r>
      <w:r w:rsidR="004C3E54">
        <w:rPr>
          <w:rFonts w:ascii="Times New Roman" w:eastAsia="Times New Roman" w:hAnsi="Times New Roman" w:cs="Times New Roman"/>
          <w:sz w:val="26"/>
          <w:szCs w:val="20"/>
          <w:lang w:eastAsia="hu-HU"/>
        </w:rPr>
        <w:t> </w:t>
      </w:r>
      <w:r w:rsidRPr="007E22F7">
        <w:rPr>
          <w:rFonts w:ascii="Times New Roman" w:eastAsia="Times New Roman" w:hAnsi="Times New Roman" w:cs="Times New Roman"/>
          <w:sz w:val="26"/>
          <w:szCs w:val="20"/>
          <w:lang w:eastAsia="hu-HU"/>
        </w:rPr>
        <w:t>havi elszámolása</w:t>
      </w:r>
      <w:r w:rsidR="004C3E54">
        <w:rPr>
          <w:rFonts w:ascii="Times New Roman" w:eastAsia="Times New Roman" w:hAnsi="Times New Roman" w:cs="Times New Roman"/>
          <w:sz w:val="26"/>
          <w:szCs w:val="20"/>
          <w:lang w:eastAsia="hu-HU"/>
        </w:rPr>
        <w:t>,</w:t>
      </w:r>
      <w:r w:rsidRPr="007E22F7">
        <w:rPr>
          <w:rFonts w:ascii="Times New Roman" w:eastAsia="Times New Roman" w:hAnsi="Times New Roman" w:cs="Times New Roman"/>
          <w:sz w:val="26"/>
          <w:szCs w:val="20"/>
          <w:lang w:eastAsia="hu-HU"/>
        </w:rPr>
        <w:t xml:space="preserve"> valamint a 2024. évi pótadóelőleg május és november havi befizetése befolyásolta.</w:t>
      </w:r>
    </w:p>
    <w:p w14:paraId="6313C21B" w14:textId="2CC952F4" w:rsidR="007E22F7" w:rsidRPr="007E22F7" w:rsidRDefault="007E22F7" w:rsidP="00F06549">
      <w:pPr>
        <w:jc w:val="both"/>
        <w:rPr>
          <w:rFonts w:ascii="Times New Roman" w:eastAsia="Times New Roman" w:hAnsi="Times New Roman" w:cs="Times New Roman"/>
          <w:color w:val="000000"/>
          <w:sz w:val="26"/>
          <w:szCs w:val="20"/>
          <w:lang w:eastAsia="hu-HU"/>
        </w:rPr>
      </w:pPr>
      <w:r w:rsidRPr="007E22F7">
        <w:rPr>
          <w:rFonts w:ascii="Times New Roman" w:eastAsia="Times New Roman" w:hAnsi="Times New Roman" w:cs="Times New Roman"/>
          <w:color w:val="000000"/>
          <w:sz w:val="26"/>
          <w:szCs w:val="20"/>
          <w:lang w:eastAsia="hu-HU"/>
        </w:rPr>
        <w:t xml:space="preserve">A </w:t>
      </w:r>
      <w:r w:rsidRPr="007E22F7">
        <w:rPr>
          <w:rFonts w:ascii="Times New Roman" w:eastAsia="Times New Roman" w:hAnsi="Times New Roman" w:cs="Times New Roman"/>
          <w:b/>
          <w:bCs/>
          <w:color w:val="000000"/>
          <w:sz w:val="26"/>
          <w:szCs w:val="20"/>
          <w:lang w:eastAsia="hu-HU"/>
        </w:rPr>
        <w:t>személyi jövedelemadó</w:t>
      </w:r>
      <w:r w:rsidRPr="007E22F7">
        <w:rPr>
          <w:rFonts w:ascii="Times New Roman" w:eastAsia="Times New Roman" w:hAnsi="Times New Roman" w:cs="Times New Roman"/>
          <w:color w:val="000000"/>
          <w:sz w:val="26"/>
          <w:szCs w:val="20"/>
          <w:lang w:eastAsia="hu-HU"/>
        </w:rPr>
        <w:t xml:space="preserve"> bevétele 2024-ben 4</w:t>
      </w:r>
      <w:r w:rsidR="00324B1E">
        <w:rPr>
          <w:rFonts w:ascii="Times New Roman" w:eastAsia="Times New Roman" w:hAnsi="Times New Roman" w:cs="Times New Roman"/>
          <w:color w:val="000000"/>
          <w:sz w:val="26"/>
          <w:szCs w:val="20"/>
          <w:lang w:eastAsia="hu-HU"/>
        </w:rPr>
        <w:t> </w:t>
      </w:r>
      <w:r w:rsidRPr="007E22F7">
        <w:rPr>
          <w:rFonts w:ascii="Times New Roman" w:eastAsia="Times New Roman" w:hAnsi="Times New Roman" w:cs="Times New Roman"/>
          <w:color w:val="000000"/>
          <w:sz w:val="26"/>
          <w:szCs w:val="20"/>
          <w:lang w:eastAsia="hu-HU"/>
        </w:rPr>
        <w:t>503,5</w:t>
      </w:r>
      <w:r w:rsidR="00324B1E">
        <w:rPr>
          <w:rFonts w:ascii="Times New Roman" w:eastAsia="Times New Roman" w:hAnsi="Times New Roman" w:cs="Times New Roman"/>
          <w:sz w:val="26"/>
          <w:szCs w:val="20"/>
          <w:lang w:eastAsia="hu-HU"/>
        </w:rPr>
        <w:t> </w:t>
      </w:r>
      <w:r w:rsidRPr="007E22F7">
        <w:rPr>
          <w:rFonts w:ascii="Times New Roman" w:eastAsia="Times New Roman" w:hAnsi="Times New Roman" w:cs="Times New Roman"/>
          <w:color w:val="000000"/>
          <w:sz w:val="26"/>
          <w:szCs w:val="20"/>
          <w:lang w:eastAsia="hu-HU"/>
        </w:rPr>
        <w:t>milliárd</w:t>
      </w:r>
      <w:r w:rsidR="00324B1E">
        <w:rPr>
          <w:rFonts w:ascii="Times New Roman" w:eastAsia="Times New Roman" w:hAnsi="Times New Roman" w:cs="Times New Roman"/>
          <w:sz w:val="26"/>
          <w:szCs w:val="20"/>
          <w:lang w:eastAsia="hu-HU"/>
        </w:rPr>
        <w:t xml:space="preserve"> </w:t>
      </w:r>
      <w:r w:rsidRPr="007E22F7">
        <w:rPr>
          <w:rFonts w:ascii="Times New Roman" w:eastAsia="Times New Roman" w:hAnsi="Times New Roman" w:cs="Times New Roman"/>
          <w:color w:val="000000"/>
          <w:sz w:val="26"/>
          <w:szCs w:val="20"/>
          <w:lang w:eastAsia="hu-HU"/>
        </w:rPr>
        <w:t xml:space="preserve">forint </w:t>
      </w:r>
      <w:r w:rsidR="00324B1E">
        <w:rPr>
          <w:rFonts w:ascii="Times New Roman" w:eastAsia="Times New Roman" w:hAnsi="Times New Roman" w:cs="Times New Roman"/>
          <w:color w:val="000000"/>
          <w:sz w:val="26"/>
          <w:szCs w:val="20"/>
          <w:lang w:eastAsia="hu-HU"/>
        </w:rPr>
        <w:t xml:space="preserve">volt, amely </w:t>
      </w:r>
      <w:r w:rsidRPr="007E22F7">
        <w:rPr>
          <w:rFonts w:ascii="Times New Roman" w:eastAsia="Times New Roman" w:hAnsi="Times New Roman" w:cs="Times New Roman"/>
          <w:color w:val="000000"/>
          <w:sz w:val="26"/>
          <w:szCs w:val="20"/>
          <w:lang w:eastAsia="hu-HU"/>
        </w:rPr>
        <w:t>507,2</w:t>
      </w:r>
      <w:r w:rsidRPr="007E22F7">
        <w:rPr>
          <w:rFonts w:ascii="Times New Roman" w:eastAsia="Times New Roman" w:hAnsi="Times New Roman" w:cs="Times New Roman"/>
          <w:sz w:val="26"/>
          <w:szCs w:val="20"/>
          <w:lang w:eastAsia="hu-HU"/>
        </w:rPr>
        <w:t> </w:t>
      </w:r>
      <w:r w:rsidRPr="007E22F7">
        <w:rPr>
          <w:rFonts w:ascii="Times New Roman" w:eastAsia="Times New Roman" w:hAnsi="Times New Roman" w:cs="Times New Roman"/>
          <w:color w:val="000000"/>
          <w:sz w:val="26"/>
          <w:szCs w:val="20"/>
          <w:lang w:eastAsia="hu-HU"/>
        </w:rPr>
        <w:t>milliárd</w:t>
      </w:r>
      <w:r w:rsidRPr="007E22F7">
        <w:rPr>
          <w:rFonts w:ascii="Times New Roman" w:eastAsia="Times New Roman" w:hAnsi="Times New Roman" w:cs="Times New Roman"/>
          <w:sz w:val="26"/>
          <w:szCs w:val="20"/>
          <w:lang w:eastAsia="hu-HU"/>
        </w:rPr>
        <w:t> </w:t>
      </w:r>
      <w:r w:rsidRPr="007E22F7">
        <w:rPr>
          <w:rFonts w:ascii="Times New Roman" w:eastAsia="Times New Roman" w:hAnsi="Times New Roman" w:cs="Times New Roman"/>
          <w:color w:val="000000"/>
          <w:sz w:val="26"/>
          <w:szCs w:val="20"/>
          <w:lang w:eastAsia="hu-HU"/>
        </w:rPr>
        <w:t>forinttal magasabb a</w:t>
      </w:r>
      <w:r w:rsidR="004A0A15">
        <w:rPr>
          <w:rFonts w:ascii="Times New Roman" w:eastAsia="Times New Roman" w:hAnsi="Times New Roman" w:cs="Times New Roman"/>
          <w:color w:val="000000"/>
          <w:sz w:val="26"/>
          <w:szCs w:val="20"/>
          <w:lang w:eastAsia="hu-HU"/>
        </w:rPr>
        <w:t xml:space="preserve"> 2023. évi </w:t>
      </w:r>
      <w:r w:rsidRPr="007E22F7">
        <w:rPr>
          <w:rFonts w:ascii="Times New Roman" w:eastAsia="Times New Roman" w:hAnsi="Times New Roman" w:cs="Times New Roman"/>
          <w:color w:val="000000"/>
          <w:sz w:val="26"/>
          <w:szCs w:val="20"/>
          <w:lang w:eastAsia="hu-HU"/>
        </w:rPr>
        <w:t>összegnél. Ennek oka a bértömeg növekedése.</w:t>
      </w:r>
    </w:p>
    <w:p w14:paraId="4AD2F5D6" w14:textId="21575A88" w:rsidR="00085C37" w:rsidRPr="00F7556A" w:rsidRDefault="33985B12" w:rsidP="33985B12">
      <w:pPr>
        <w:jc w:val="center"/>
        <w:rPr>
          <w:rFonts w:ascii="Times New Roman" w:eastAsia="Times New Roman" w:hAnsi="Times New Roman" w:cs="Times New Roman"/>
          <w:sz w:val="26"/>
          <w:szCs w:val="26"/>
        </w:rPr>
      </w:pPr>
      <w:r w:rsidRPr="33985B12">
        <w:rPr>
          <w:rFonts w:ascii="Times New Roman" w:hAnsi="Times New Roman" w:cs="Times New Roman"/>
          <w:b/>
          <w:bCs/>
        </w:rPr>
        <w:t>Személyi jövedelemadó bevétel alakulása (milliárd forint)</w:t>
      </w:r>
    </w:p>
    <w:tbl>
      <w:tblPr>
        <w:tblW w:w="6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69"/>
        <w:gridCol w:w="1645"/>
        <w:gridCol w:w="1701"/>
        <w:gridCol w:w="992"/>
        <w:gridCol w:w="992"/>
      </w:tblGrid>
      <w:tr w:rsidR="007E22F7" w:rsidRPr="007E22F7" w14:paraId="12D431C5" w14:textId="77777777" w:rsidTr="007E22F7">
        <w:trPr>
          <w:trHeight w:val="283"/>
          <w:jc w:val="center"/>
        </w:trPr>
        <w:tc>
          <w:tcPr>
            <w:tcW w:w="1469" w:type="dxa"/>
            <w:vMerge w:val="restart"/>
            <w:shd w:val="clear" w:color="auto" w:fill="DBE5F1"/>
            <w:noWrap/>
            <w:vAlign w:val="center"/>
            <w:hideMark/>
          </w:tcPr>
          <w:p w14:paraId="05CDE665" w14:textId="77777777" w:rsidR="007E22F7" w:rsidRPr="007E22F7" w:rsidRDefault="007E22F7" w:rsidP="007E22F7">
            <w:pPr>
              <w:keepNext/>
              <w:keepLines/>
              <w:spacing w:after="0" w:line="240" w:lineRule="auto"/>
              <w:jc w:val="center"/>
              <w:rPr>
                <w:rFonts w:ascii="Times New Roman" w:eastAsia="Times New Roman" w:hAnsi="Times New Roman" w:cs="Times New Roman"/>
                <w:b/>
                <w:bCs/>
                <w:szCs w:val="20"/>
                <w:lang w:eastAsia="hu-HU"/>
              </w:rPr>
            </w:pPr>
            <w:r w:rsidRPr="007E22F7">
              <w:rPr>
                <w:rFonts w:ascii="Times New Roman" w:eastAsia="Times New Roman" w:hAnsi="Times New Roman" w:cs="Times New Roman"/>
                <w:b/>
                <w:bCs/>
                <w:szCs w:val="20"/>
                <w:lang w:eastAsia="hu-HU"/>
              </w:rPr>
              <w:t>Megnevezés</w:t>
            </w:r>
          </w:p>
        </w:tc>
        <w:tc>
          <w:tcPr>
            <w:tcW w:w="1645" w:type="dxa"/>
            <w:vMerge w:val="restart"/>
            <w:shd w:val="clear" w:color="auto" w:fill="DBE5F1"/>
            <w:vAlign w:val="center"/>
            <w:hideMark/>
          </w:tcPr>
          <w:p w14:paraId="7F74C43D" w14:textId="77777777" w:rsidR="00324B1E" w:rsidRDefault="00324B1E" w:rsidP="007E22F7">
            <w:pPr>
              <w:spacing w:after="0" w:line="240" w:lineRule="auto"/>
              <w:jc w:val="center"/>
              <w:rPr>
                <w:rFonts w:ascii="Times New Roman" w:eastAsia="Times New Roman" w:hAnsi="Times New Roman" w:cs="Times New Roman"/>
                <w:b/>
                <w:bCs/>
                <w:szCs w:val="20"/>
                <w:lang w:eastAsia="hu-HU"/>
              </w:rPr>
            </w:pPr>
            <w:r>
              <w:rPr>
                <w:rFonts w:ascii="Times New Roman" w:eastAsia="Times New Roman" w:hAnsi="Times New Roman" w:cs="Times New Roman"/>
                <w:b/>
                <w:bCs/>
                <w:szCs w:val="20"/>
                <w:lang w:eastAsia="hu-HU"/>
              </w:rPr>
              <w:t xml:space="preserve">2023. évi </w:t>
            </w:r>
          </w:p>
          <w:p w14:paraId="470C679D" w14:textId="3D99645A" w:rsidR="007E22F7" w:rsidRPr="007E22F7" w:rsidRDefault="007E22F7" w:rsidP="007E22F7">
            <w:pPr>
              <w:spacing w:after="0" w:line="240" w:lineRule="auto"/>
              <w:jc w:val="center"/>
              <w:rPr>
                <w:rFonts w:ascii="Times New Roman" w:eastAsia="Times New Roman" w:hAnsi="Times New Roman" w:cs="Times New Roman"/>
                <w:b/>
                <w:bCs/>
                <w:szCs w:val="20"/>
                <w:lang w:eastAsia="hu-HU"/>
              </w:rPr>
            </w:pPr>
            <w:r w:rsidRPr="007E22F7">
              <w:rPr>
                <w:rFonts w:ascii="Times New Roman" w:eastAsia="Times New Roman" w:hAnsi="Times New Roman" w:cs="Times New Roman"/>
                <w:b/>
                <w:bCs/>
                <w:szCs w:val="20"/>
                <w:lang w:eastAsia="hu-HU"/>
              </w:rPr>
              <w:t>tény</w:t>
            </w:r>
          </w:p>
        </w:tc>
        <w:tc>
          <w:tcPr>
            <w:tcW w:w="1701" w:type="dxa"/>
            <w:vMerge w:val="restart"/>
            <w:shd w:val="clear" w:color="auto" w:fill="DBE5F1"/>
            <w:vAlign w:val="center"/>
            <w:hideMark/>
          </w:tcPr>
          <w:p w14:paraId="41EFD158" w14:textId="11E4D6AE" w:rsidR="007E22F7" w:rsidRPr="007E22F7" w:rsidRDefault="007E22F7" w:rsidP="007E22F7">
            <w:pPr>
              <w:spacing w:after="0" w:line="240" w:lineRule="auto"/>
              <w:jc w:val="center"/>
              <w:rPr>
                <w:rFonts w:ascii="Times New Roman" w:eastAsia="Times New Roman" w:hAnsi="Times New Roman" w:cs="Times New Roman"/>
                <w:b/>
                <w:bCs/>
                <w:szCs w:val="20"/>
                <w:lang w:eastAsia="hu-HU"/>
              </w:rPr>
            </w:pPr>
            <w:r w:rsidRPr="00A349BC">
              <w:rPr>
                <w:rFonts w:ascii="Times New Roman" w:eastAsia="Times New Roman" w:hAnsi="Times New Roman" w:cs="Times New Roman"/>
                <w:b/>
                <w:bCs/>
                <w:szCs w:val="20"/>
                <w:lang w:eastAsia="hu-HU"/>
              </w:rPr>
              <w:t xml:space="preserve">2024. </w:t>
            </w:r>
            <w:r w:rsidR="00324B1E" w:rsidRPr="00A349BC">
              <w:rPr>
                <w:rFonts w:ascii="Times New Roman" w:eastAsia="Times New Roman" w:hAnsi="Times New Roman" w:cs="Times New Roman"/>
                <w:b/>
                <w:bCs/>
                <w:szCs w:val="20"/>
                <w:lang w:eastAsia="hu-HU"/>
              </w:rPr>
              <w:t xml:space="preserve">évi </w:t>
            </w:r>
            <w:r w:rsidRPr="00A349BC">
              <w:rPr>
                <w:rFonts w:ascii="Times New Roman" w:eastAsia="Times New Roman" w:hAnsi="Times New Roman" w:cs="Times New Roman"/>
                <w:b/>
                <w:bCs/>
                <w:szCs w:val="20"/>
                <w:lang w:eastAsia="hu-HU"/>
              </w:rPr>
              <w:t>előzetes tény</w:t>
            </w:r>
          </w:p>
        </w:tc>
        <w:tc>
          <w:tcPr>
            <w:tcW w:w="1984" w:type="dxa"/>
            <w:gridSpan w:val="2"/>
            <w:shd w:val="clear" w:color="auto" w:fill="DBE5F1"/>
            <w:vAlign w:val="center"/>
            <w:hideMark/>
          </w:tcPr>
          <w:p w14:paraId="283EF89C" w14:textId="77777777" w:rsidR="007E22F7" w:rsidRPr="007E22F7" w:rsidRDefault="007E22F7" w:rsidP="007E22F7">
            <w:pPr>
              <w:keepNext/>
              <w:keepLines/>
              <w:spacing w:after="0" w:line="240" w:lineRule="auto"/>
              <w:jc w:val="center"/>
              <w:rPr>
                <w:rFonts w:ascii="Times New Roman" w:eastAsia="Times New Roman" w:hAnsi="Times New Roman" w:cs="Times New Roman"/>
                <w:b/>
                <w:bCs/>
                <w:szCs w:val="20"/>
                <w:lang w:eastAsia="hu-HU"/>
              </w:rPr>
            </w:pPr>
            <w:r w:rsidRPr="007E22F7">
              <w:rPr>
                <w:rFonts w:ascii="Times New Roman" w:eastAsia="Times New Roman" w:hAnsi="Times New Roman" w:cs="Times New Roman"/>
                <w:b/>
                <w:bCs/>
                <w:szCs w:val="20"/>
                <w:lang w:eastAsia="hu-HU"/>
              </w:rPr>
              <w:t>Eltérés</w:t>
            </w:r>
          </w:p>
        </w:tc>
      </w:tr>
      <w:tr w:rsidR="007E22F7" w:rsidRPr="007E22F7" w14:paraId="2D3C839E" w14:textId="77777777" w:rsidTr="007E22F7">
        <w:trPr>
          <w:trHeight w:val="283"/>
          <w:jc w:val="center"/>
        </w:trPr>
        <w:tc>
          <w:tcPr>
            <w:tcW w:w="1469" w:type="dxa"/>
            <w:vMerge/>
            <w:shd w:val="clear" w:color="auto" w:fill="DBE5F1"/>
            <w:noWrap/>
            <w:vAlign w:val="center"/>
          </w:tcPr>
          <w:p w14:paraId="718615C6" w14:textId="77777777" w:rsidR="007E22F7" w:rsidRPr="007E22F7" w:rsidRDefault="007E22F7" w:rsidP="007E22F7">
            <w:pPr>
              <w:keepNext/>
              <w:keepLines/>
              <w:spacing w:after="0" w:line="240" w:lineRule="auto"/>
              <w:jc w:val="center"/>
              <w:rPr>
                <w:rFonts w:ascii="Times New Roman" w:eastAsia="Times New Roman" w:hAnsi="Times New Roman" w:cs="Times New Roman"/>
                <w:b/>
                <w:bCs/>
                <w:szCs w:val="20"/>
                <w:lang w:eastAsia="hu-HU"/>
              </w:rPr>
            </w:pPr>
          </w:p>
        </w:tc>
        <w:tc>
          <w:tcPr>
            <w:tcW w:w="1645" w:type="dxa"/>
            <w:vMerge/>
            <w:shd w:val="clear" w:color="auto" w:fill="DBE5F1"/>
            <w:vAlign w:val="center"/>
          </w:tcPr>
          <w:p w14:paraId="3FFE4A83" w14:textId="77777777" w:rsidR="007E22F7" w:rsidRPr="007E22F7" w:rsidRDefault="007E22F7" w:rsidP="007E22F7">
            <w:pPr>
              <w:spacing w:after="0" w:line="240" w:lineRule="auto"/>
              <w:jc w:val="center"/>
              <w:rPr>
                <w:rFonts w:ascii="Times New Roman" w:eastAsia="Times New Roman" w:hAnsi="Times New Roman" w:cs="Times New Roman"/>
                <w:b/>
                <w:bCs/>
                <w:szCs w:val="20"/>
                <w:lang w:eastAsia="hu-HU"/>
              </w:rPr>
            </w:pPr>
          </w:p>
        </w:tc>
        <w:tc>
          <w:tcPr>
            <w:tcW w:w="1701" w:type="dxa"/>
            <w:vMerge/>
            <w:shd w:val="clear" w:color="auto" w:fill="DBE5F1"/>
            <w:vAlign w:val="center"/>
          </w:tcPr>
          <w:p w14:paraId="197D478D" w14:textId="77777777" w:rsidR="007E22F7" w:rsidRPr="007E22F7" w:rsidRDefault="007E22F7" w:rsidP="007E22F7">
            <w:pPr>
              <w:spacing w:after="0" w:line="240" w:lineRule="auto"/>
              <w:jc w:val="center"/>
              <w:rPr>
                <w:rFonts w:ascii="Times New Roman" w:eastAsia="Times New Roman" w:hAnsi="Times New Roman" w:cs="Times New Roman"/>
                <w:b/>
                <w:bCs/>
                <w:szCs w:val="20"/>
                <w:lang w:eastAsia="hu-HU"/>
              </w:rPr>
            </w:pPr>
          </w:p>
        </w:tc>
        <w:tc>
          <w:tcPr>
            <w:tcW w:w="992" w:type="dxa"/>
            <w:shd w:val="clear" w:color="auto" w:fill="DBE5F1"/>
            <w:vAlign w:val="center"/>
          </w:tcPr>
          <w:p w14:paraId="762EBC65" w14:textId="77777777" w:rsidR="007E22F7" w:rsidRPr="007E22F7" w:rsidRDefault="007E22F7" w:rsidP="007E22F7">
            <w:pPr>
              <w:keepNext/>
              <w:keepLines/>
              <w:spacing w:after="0" w:line="240" w:lineRule="auto"/>
              <w:jc w:val="center"/>
              <w:rPr>
                <w:rFonts w:ascii="Times New Roman" w:eastAsia="Times New Roman" w:hAnsi="Times New Roman" w:cs="Times New Roman"/>
                <w:b/>
                <w:bCs/>
                <w:szCs w:val="20"/>
                <w:lang w:eastAsia="hu-HU"/>
              </w:rPr>
            </w:pPr>
            <w:r w:rsidRPr="007E22F7">
              <w:rPr>
                <w:rFonts w:ascii="Times New Roman" w:eastAsia="Times New Roman" w:hAnsi="Times New Roman" w:cs="Times New Roman"/>
                <w:b/>
                <w:bCs/>
                <w:szCs w:val="20"/>
                <w:lang w:eastAsia="hu-HU"/>
              </w:rPr>
              <w:t>Mrd Ft</w:t>
            </w:r>
          </w:p>
        </w:tc>
        <w:tc>
          <w:tcPr>
            <w:tcW w:w="992" w:type="dxa"/>
            <w:shd w:val="clear" w:color="auto" w:fill="DBE5F1"/>
          </w:tcPr>
          <w:p w14:paraId="79FE562A" w14:textId="77777777" w:rsidR="007E22F7" w:rsidRPr="007E22F7" w:rsidRDefault="007E22F7" w:rsidP="007E22F7">
            <w:pPr>
              <w:keepNext/>
              <w:keepLines/>
              <w:spacing w:after="0" w:line="240" w:lineRule="auto"/>
              <w:jc w:val="center"/>
              <w:rPr>
                <w:rFonts w:ascii="Times New Roman" w:eastAsia="Times New Roman" w:hAnsi="Times New Roman" w:cs="Times New Roman"/>
                <w:b/>
                <w:bCs/>
                <w:szCs w:val="20"/>
                <w:lang w:eastAsia="hu-HU"/>
              </w:rPr>
            </w:pPr>
            <w:r w:rsidRPr="007E22F7">
              <w:rPr>
                <w:rFonts w:ascii="Times New Roman" w:eastAsia="Times New Roman" w:hAnsi="Times New Roman" w:cs="Times New Roman"/>
                <w:b/>
                <w:bCs/>
                <w:szCs w:val="20"/>
                <w:lang w:eastAsia="hu-HU"/>
              </w:rPr>
              <w:t>%</w:t>
            </w:r>
          </w:p>
        </w:tc>
      </w:tr>
      <w:tr w:rsidR="007E22F7" w:rsidRPr="007E22F7" w14:paraId="00CE0BA2" w14:textId="77777777" w:rsidTr="003112A9">
        <w:trPr>
          <w:trHeight w:val="340"/>
          <w:jc w:val="center"/>
        </w:trPr>
        <w:tc>
          <w:tcPr>
            <w:tcW w:w="1469" w:type="dxa"/>
            <w:shd w:val="clear" w:color="auto" w:fill="auto"/>
            <w:noWrap/>
            <w:vAlign w:val="center"/>
            <w:hideMark/>
          </w:tcPr>
          <w:p w14:paraId="05920FB5" w14:textId="77777777" w:rsidR="007E22F7" w:rsidRPr="007E22F7" w:rsidRDefault="007E22F7" w:rsidP="007E22F7">
            <w:pPr>
              <w:keepNext/>
              <w:keepLines/>
              <w:spacing w:after="0" w:line="240" w:lineRule="auto"/>
              <w:jc w:val="both"/>
              <w:rPr>
                <w:rFonts w:ascii="Times New Roman" w:eastAsia="Times New Roman" w:hAnsi="Times New Roman" w:cs="Times New Roman"/>
                <w:szCs w:val="20"/>
                <w:lang w:eastAsia="hu-HU"/>
              </w:rPr>
            </w:pPr>
            <w:r w:rsidRPr="007E22F7">
              <w:rPr>
                <w:rFonts w:ascii="Times New Roman" w:eastAsia="Times New Roman" w:hAnsi="Times New Roman" w:cs="Times New Roman"/>
                <w:szCs w:val="20"/>
                <w:lang w:eastAsia="hu-HU"/>
              </w:rPr>
              <w:t>Befizetés</w:t>
            </w:r>
          </w:p>
        </w:tc>
        <w:tc>
          <w:tcPr>
            <w:tcW w:w="1645" w:type="dxa"/>
            <w:shd w:val="clear" w:color="auto" w:fill="auto"/>
            <w:noWrap/>
            <w:vAlign w:val="center"/>
          </w:tcPr>
          <w:p w14:paraId="4F7134EC" w14:textId="77777777" w:rsidR="007E22F7" w:rsidRPr="007E22F7" w:rsidRDefault="007E22F7" w:rsidP="007E22F7">
            <w:pPr>
              <w:keepNext/>
              <w:keepLines/>
              <w:spacing w:after="0" w:line="240" w:lineRule="auto"/>
              <w:jc w:val="right"/>
              <w:rPr>
                <w:rFonts w:ascii="Times New Roman" w:eastAsia="Times New Roman" w:hAnsi="Times New Roman" w:cs="Times New Roman"/>
                <w:szCs w:val="20"/>
                <w:lang w:eastAsia="hu-HU"/>
              </w:rPr>
            </w:pPr>
            <w:r w:rsidRPr="007E22F7">
              <w:rPr>
                <w:rFonts w:ascii="Times New Roman" w:eastAsia="Times New Roman" w:hAnsi="Times New Roman" w:cs="Times New Roman"/>
                <w:szCs w:val="20"/>
                <w:lang w:eastAsia="hu-HU"/>
              </w:rPr>
              <w:t>4 208,7</w:t>
            </w:r>
          </w:p>
        </w:tc>
        <w:tc>
          <w:tcPr>
            <w:tcW w:w="1701" w:type="dxa"/>
            <w:shd w:val="clear" w:color="auto" w:fill="auto"/>
            <w:noWrap/>
            <w:vAlign w:val="center"/>
          </w:tcPr>
          <w:p w14:paraId="450814FB" w14:textId="77777777" w:rsidR="007E22F7" w:rsidRPr="007E22F7" w:rsidRDefault="007E22F7" w:rsidP="007E22F7">
            <w:pPr>
              <w:keepNext/>
              <w:keepLines/>
              <w:spacing w:after="0" w:line="240" w:lineRule="auto"/>
              <w:jc w:val="right"/>
              <w:rPr>
                <w:rFonts w:ascii="Times New Roman" w:eastAsia="Times New Roman" w:hAnsi="Times New Roman" w:cs="Times New Roman"/>
                <w:szCs w:val="20"/>
                <w:lang w:eastAsia="hu-HU"/>
              </w:rPr>
            </w:pPr>
            <w:r w:rsidRPr="007E22F7">
              <w:rPr>
                <w:rFonts w:ascii="Times New Roman" w:eastAsia="Times New Roman" w:hAnsi="Times New Roman" w:cs="Times New Roman"/>
                <w:szCs w:val="20"/>
                <w:lang w:eastAsia="hu-HU"/>
              </w:rPr>
              <w:t>4 745,7</w:t>
            </w:r>
          </w:p>
        </w:tc>
        <w:tc>
          <w:tcPr>
            <w:tcW w:w="992" w:type="dxa"/>
            <w:shd w:val="clear" w:color="auto" w:fill="auto"/>
            <w:noWrap/>
            <w:vAlign w:val="center"/>
          </w:tcPr>
          <w:p w14:paraId="6219B374" w14:textId="77777777" w:rsidR="007E22F7" w:rsidRPr="007E22F7" w:rsidRDefault="007E22F7" w:rsidP="007E22F7">
            <w:pPr>
              <w:keepNext/>
              <w:keepLines/>
              <w:spacing w:after="0" w:line="240" w:lineRule="auto"/>
              <w:jc w:val="right"/>
              <w:rPr>
                <w:rFonts w:ascii="Times New Roman" w:eastAsia="Times New Roman" w:hAnsi="Times New Roman" w:cs="Times New Roman"/>
                <w:szCs w:val="20"/>
                <w:lang w:eastAsia="hu-HU"/>
              </w:rPr>
            </w:pPr>
            <w:r w:rsidRPr="007E22F7">
              <w:rPr>
                <w:rFonts w:ascii="Times New Roman" w:eastAsia="Times New Roman" w:hAnsi="Times New Roman" w:cs="Times New Roman"/>
                <w:szCs w:val="20"/>
                <w:lang w:eastAsia="hu-HU"/>
              </w:rPr>
              <w:t>537,0</w:t>
            </w:r>
          </w:p>
        </w:tc>
        <w:tc>
          <w:tcPr>
            <w:tcW w:w="992" w:type="dxa"/>
            <w:shd w:val="clear" w:color="auto" w:fill="auto"/>
            <w:vAlign w:val="center"/>
          </w:tcPr>
          <w:p w14:paraId="0F0653EB" w14:textId="77777777" w:rsidR="007E22F7" w:rsidRPr="007E22F7" w:rsidRDefault="007E22F7" w:rsidP="007E22F7">
            <w:pPr>
              <w:keepNext/>
              <w:keepLines/>
              <w:spacing w:after="0" w:line="240" w:lineRule="auto"/>
              <w:jc w:val="right"/>
              <w:rPr>
                <w:rFonts w:ascii="Times New Roman" w:eastAsia="Times New Roman" w:hAnsi="Times New Roman" w:cs="Times New Roman"/>
                <w:szCs w:val="20"/>
                <w:lang w:eastAsia="hu-HU"/>
              </w:rPr>
            </w:pPr>
            <w:r w:rsidRPr="007E22F7">
              <w:rPr>
                <w:rFonts w:ascii="Times New Roman" w:eastAsia="Times New Roman" w:hAnsi="Times New Roman" w:cs="Times New Roman"/>
                <w:szCs w:val="20"/>
                <w:lang w:eastAsia="hu-HU"/>
              </w:rPr>
              <w:t>112,8</w:t>
            </w:r>
          </w:p>
        </w:tc>
      </w:tr>
      <w:tr w:rsidR="007E22F7" w:rsidRPr="007E22F7" w14:paraId="745E08D7" w14:textId="77777777" w:rsidTr="003112A9">
        <w:trPr>
          <w:trHeight w:val="340"/>
          <w:jc w:val="center"/>
        </w:trPr>
        <w:tc>
          <w:tcPr>
            <w:tcW w:w="1469" w:type="dxa"/>
            <w:shd w:val="clear" w:color="auto" w:fill="auto"/>
            <w:noWrap/>
            <w:vAlign w:val="center"/>
            <w:hideMark/>
          </w:tcPr>
          <w:p w14:paraId="7BA0EE3C" w14:textId="77777777" w:rsidR="007E22F7" w:rsidRPr="007E22F7" w:rsidRDefault="007E22F7" w:rsidP="007E22F7">
            <w:pPr>
              <w:keepNext/>
              <w:keepLines/>
              <w:spacing w:after="0" w:line="240" w:lineRule="auto"/>
              <w:jc w:val="both"/>
              <w:rPr>
                <w:rFonts w:ascii="Times New Roman" w:eastAsia="Times New Roman" w:hAnsi="Times New Roman" w:cs="Times New Roman"/>
                <w:szCs w:val="20"/>
                <w:lang w:eastAsia="hu-HU"/>
              </w:rPr>
            </w:pPr>
            <w:r w:rsidRPr="007E22F7">
              <w:rPr>
                <w:rFonts w:ascii="Times New Roman" w:eastAsia="Times New Roman" w:hAnsi="Times New Roman" w:cs="Times New Roman"/>
                <w:szCs w:val="20"/>
                <w:lang w:eastAsia="hu-HU"/>
              </w:rPr>
              <w:t>Kiutalás</w:t>
            </w:r>
          </w:p>
        </w:tc>
        <w:tc>
          <w:tcPr>
            <w:tcW w:w="1645" w:type="dxa"/>
            <w:shd w:val="clear" w:color="auto" w:fill="auto"/>
            <w:noWrap/>
            <w:vAlign w:val="center"/>
          </w:tcPr>
          <w:p w14:paraId="67E07054" w14:textId="77777777" w:rsidR="007E22F7" w:rsidRPr="007E22F7" w:rsidRDefault="007E22F7" w:rsidP="007E22F7">
            <w:pPr>
              <w:keepNext/>
              <w:keepLines/>
              <w:spacing w:after="0" w:line="240" w:lineRule="auto"/>
              <w:jc w:val="right"/>
              <w:rPr>
                <w:rFonts w:ascii="Times New Roman" w:eastAsia="Times New Roman" w:hAnsi="Times New Roman" w:cs="Times New Roman"/>
                <w:szCs w:val="20"/>
                <w:lang w:eastAsia="hu-HU"/>
              </w:rPr>
            </w:pPr>
            <w:r w:rsidRPr="007E22F7">
              <w:rPr>
                <w:rFonts w:ascii="Times New Roman" w:eastAsia="Times New Roman" w:hAnsi="Times New Roman" w:cs="Times New Roman"/>
                <w:szCs w:val="20"/>
                <w:lang w:eastAsia="hu-HU"/>
              </w:rPr>
              <w:t>212,4</w:t>
            </w:r>
          </w:p>
        </w:tc>
        <w:tc>
          <w:tcPr>
            <w:tcW w:w="1701" w:type="dxa"/>
            <w:shd w:val="clear" w:color="auto" w:fill="auto"/>
            <w:noWrap/>
            <w:vAlign w:val="center"/>
          </w:tcPr>
          <w:p w14:paraId="2842278D" w14:textId="77777777" w:rsidR="007E22F7" w:rsidRPr="007E22F7" w:rsidRDefault="007E22F7" w:rsidP="007E22F7">
            <w:pPr>
              <w:keepNext/>
              <w:keepLines/>
              <w:spacing w:after="0" w:line="240" w:lineRule="auto"/>
              <w:jc w:val="right"/>
              <w:rPr>
                <w:rFonts w:ascii="Times New Roman" w:eastAsia="Times New Roman" w:hAnsi="Times New Roman" w:cs="Times New Roman"/>
                <w:szCs w:val="20"/>
                <w:lang w:eastAsia="hu-HU"/>
              </w:rPr>
            </w:pPr>
            <w:r w:rsidRPr="007E22F7">
              <w:rPr>
                <w:rFonts w:ascii="Times New Roman" w:eastAsia="Times New Roman" w:hAnsi="Times New Roman" w:cs="Times New Roman"/>
                <w:szCs w:val="20"/>
                <w:lang w:eastAsia="hu-HU"/>
              </w:rPr>
              <w:t>242,2</w:t>
            </w:r>
          </w:p>
        </w:tc>
        <w:tc>
          <w:tcPr>
            <w:tcW w:w="992" w:type="dxa"/>
            <w:shd w:val="clear" w:color="auto" w:fill="auto"/>
            <w:noWrap/>
            <w:vAlign w:val="center"/>
          </w:tcPr>
          <w:p w14:paraId="0CF40852" w14:textId="77777777" w:rsidR="007E22F7" w:rsidRPr="007E22F7" w:rsidRDefault="007E22F7" w:rsidP="007E22F7">
            <w:pPr>
              <w:keepNext/>
              <w:keepLines/>
              <w:spacing w:after="0" w:line="240" w:lineRule="auto"/>
              <w:jc w:val="right"/>
              <w:rPr>
                <w:rFonts w:ascii="Times New Roman" w:eastAsia="Times New Roman" w:hAnsi="Times New Roman" w:cs="Times New Roman"/>
                <w:szCs w:val="20"/>
                <w:lang w:eastAsia="hu-HU"/>
              </w:rPr>
            </w:pPr>
            <w:r w:rsidRPr="007E22F7">
              <w:rPr>
                <w:rFonts w:ascii="Times New Roman" w:eastAsia="Times New Roman" w:hAnsi="Times New Roman" w:cs="Times New Roman"/>
                <w:szCs w:val="20"/>
                <w:lang w:eastAsia="hu-HU"/>
              </w:rPr>
              <w:t>29,8</w:t>
            </w:r>
          </w:p>
        </w:tc>
        <w:tc>
          <w:tcPr>
            <w:tcW w:w="992" w:type="dxa"/>
            <w:shd w:val="clear" w:color="auto" w:fill="auto"/>
            <w:vAlign w:val="center"/>
          </w:tcPr>
          <w:p w14:paraId="08EFD8D5" w14:textId="77777777" w:rsidR="007E22F7" w:rsidRPr="007E22F7" w:rsidRDefault="007E22F7" w:rsidP="007E22F7">
            <w:pPr>
              <w:keepNext/>
              <w:keepLines/>
              <w:spacing w:after="0" w:line="240" w:lineRule="auto"/>
              <w:jc w:val="right"/>
              <w:rPr>
                <w:rFonts w:ascii="Times New Roman" w:eastAsia="Times New Roman" w:hAnsi="Times New Roman" w:cs="Times New Roman"/>
                <w:szCs w:val="20"/>
                <w:lang w:eastAsia="hu-HU"/>
              </w:rPr>
            </w:pPr>
            <w:r w:rsidRPr="007E22F7">
              <w:rPr>
                <w:rFonts w:ascii="Times New Roman" w:eastAsia="Times New Roman" w:hAnsi="Times New Roman" w:cs="Times New Roman"/>
                <w:szCs w:val="20"/>
                <w:lang w:eastAsia="hu-HU"/>
              </w:rPr>
              <w:t>114,0</w:t>
            </w:r>
          </w:p>
        </w:tc>
      </w:tr>
      <w:tr w:rsidR="007E22F7" w:rsidRPr="007E22F7" w14:paraId="5A6181E6" w14:textId="77777777" w:rsidTr="003112A9">
        <w:trPr>
          <w:trHeight w:val="340"/>
          <w:jc w:val="center"/>
        </w:trPr>
        <w:tc>
          <w:tcPr>
            <w:tcW w:w="1469" w:type="dxa"/>
            <w:shd w:val="clear" w:color="auto" w:fill="auto"/>
            <w:noWrap/>
            <w:vAlign w:val="center"/>
            <w:hideMark/>
          </w:tcPr>
          <w:p w14:paraId="5686196A" w14:textId="77777777" w:rsidR="007E22F7" w:rsidRPr="007E22F7" w:rsidRDefault="007E22F7" w:rsidP="007E22F7">
            <w:pPr>
              <w:widowControl w:val="0"/>
              <w:spacing w:after="0" w:line="240" w:lineRule="auto"/>
              <w:jc w:val="both"/>
              <w:rPr>
                <w:rFonts w:ascii="Times New Roman" w:eastAsia="Times New Roman" w:hAnsi="Times New Roman" w:cs="Times New Roman"/>
                <w:b/>
                <w:bCs/>
                <w:szCs w:val="20"/>
                <w:lang w:eastAsia="hu-HU"/>
              </w:rPr>
            </w:pPr>
            <w:r w:rsidRPr="007E22F7">
              <w:rPr>
                <w:rFonts w:ascii="Times New Roman" w:eastAsia="Times New Roman" w:hAnsi="Times New Roman" w:cs="Times New Roman"/>
                <w:b/>
                <w:bCs/>
                <w:szCs w:val="20"/>
                <w:lang w:eastAsia="hu-HU"/>
              </w:rPr>
              <w:t>Egyenleg</w:t>
            </w:r>
          </w:p>
        </w:tc>
        <w:tc>
          <w:tcPr>
            <w:tcW w:w="1645" w:type="dxa"/>
            <w:shd w:val="clear" w:color="auto" w:fill="auto"/>
            <w:noWrap/>
            <w:vAlign w:val="center"/>
          </w:tcPr>
          <w:p w14:paraId="7189D457" w14:textId="77777777" w:rsidR="007E22F7" w:rsidRPr="007E22F7" w:rsidRDefault="007E22F7" w:rsidP="007E22F7">
            <w:pPr>
              <w:widowControl w:val="0"/>
              <w:spacing w:after="0" w:line="240" w:lineRule="auto"/>
              <w:jc w:val="right"/>
              <w:rPr>
                <w:rFonts w:ascii="Times New Roman" w:eastAsia="Times New Roman" w:hAnsi="Times New Roman" w:cs="Times New Roman"/>
                <w:b/>
                <w:bCs/>
                <w:szCs w:val="20"/>
                <w:lang w:eastAsia="hu-HU"/>
              </w:rPr>
            </w:pPr>
            <w:r w:rsidRPr="007E22F7">
              <w:rPr>
                <w:rFonts w:ascii="Times New Roman" w:eastAsia="Times New Roman" w:hAnsi="Times New Roman" w:cs="Times New Roman"/>
                <w:b/>
                <w:bCs/>
                <w:szCs w:val="20"/>
                <w:lang w:eastAsia="hu-HU"/>
              </w:rPr>
              <w:t>3</w:t>
            </w:r>
            <w:r w:rsidRPr="007E22F7">
              <w:rPr>
                <w:rFonts w:ascii="Times New Roman" w:eastAsia="Times New Roman" w:hAnsi="Times New Roman" w:cs="Times New Roman"/>
                <w:szCs w:val="20"/>
                <w:lang w:eastAsia="hu-HU"/>
              </w:rPr>
              <w:t> </w:t>
            </w:r>
            <w:r w:rsidRPr="007E22F7">
              <w:rPr>
                <w:rFonts w:ascii="Times New Roman" w:eastAsia="Times New Roman" w:hAnsi="Times New Roman" w:cs="Times New Roman"/>
                <w:b/>
                <w:szCs w:val="20"/>
                <w:lang w:eastAsia="hu-HU"/>
              </w:rPr>
              <w:t>996,3</w:t>
            </w:r>
          </w:p>
        </w:tc>
        <w:tc>
          <w:tcPr>
            <w:tcW w:w="1701" w:type="dxa"/>
            <w:shd w:val="clear" w:color="auto" w:fill="auto"/>
            <w:noWrap/>
            <w:vAlign w:val="center"/>
          </w:tcPr>
          <w:p w14:paraId="4FA40FD5" w14:textId="77777777" w:rsidR="007E22F7" w:rsidRPr="007E22F7" w:rsidRDefault="007E22F7" w:rsidP="007E22F7">
            <w:pPr>
              <w:widowControl w:val="0"/>
              <w:spacing w:after="0" w:line="240" w:lineRule="auto"/>
              <w:jc w:val="right"/>
              <w:rPr>
                <w:rFonts w:ascii="Times New Roman" w:eastAsia="Times New Roman" w:hAnsi="Times New Roman" w:cs="Times New Roman"/>
                <w:b/>
                <w:bCs/>
                <w:szCs w:val="20"/>
                <w:lang w:eastAsia="hu-HU"/>
              </w:rPr>
            </w:pPr>
            <w:r w:rsidRPr="007E22F7">
              <w:rPr>
                <w:rFonts w:ascii="Times New Roman" w:eastAsia="Times New Roman" w:hAnsi="Times New Roman" w:cs="Times New Roman"/>
                <w:b/>
                <w:szCs w:val="20"/>
                <w:lang w:eastAsia="hu-HU"/>
              </w:rPr>
              <w:t>4 503,5</w:t>
            </w:r>
          </w:p>
        </w:tc>
        <w:tc>
          <w:tcPr>
            <w:tcW w:w="992" w:type="dxa"/>
            <w:shd w:val="clear" w:color="auto" w:fill="auto"/>
            <w:noWrap/>
            <w:vAlign w:val="center"/>
          </w:tcPr>
          <w:p w14:paraId="64002C87" w14:textId="77777777" w:rsidR="007E22F7" w:rsidRPr="007E22F7" w:rsidRDefault="007E22F7" w:rsidP="007E22F7">
            <w:pPr>
              <w:widowControl w:val="0"/>
              <w:spacing w:after="0" w:line="240" w:lineRule="auto"/>
              <w:jc w:val="right"/>
              <w:rPr>
                <w:rFonts w:ascii="Times New Roman" w:eastAsia="Times New Roman" w:hAnsi="Times New Roman" w:cs="Times New Roman"/>
                <w:b/>
                <w:bCs/>
                <w:szCs w:val="20"/>
                <w:lang w:eastAsia="hu-HU"/>
              </w:rPr>
            </w:pPr>
            <w:r w:rsidRPr="007E22F7">
              <w:rPr>
                <w:rFonts w:ascii="Times New Roman" w:eastAsia="Times New Roman" w:hAnsi="Times New Roman" w:cs="Times New Roman"/>
                <w:b/>
                <w:bCs/>
                <w:szCs w:val="20"/>
                <w:lang w:eastAsia="hu-HU"/>
              </w:rPr>
              <w:t>507,2</w:t>
            </w:r>
          </w:p>
        </w:tc>
        <w:tc>
          <w:tcPr>
            <w:tcW w:w="992" w:type="dxa"/>
            <w:shd w:val="clear" w:color="auto" w:fill="auto"/>
            <w:vAlign w:val="center"/>
          </w:tcPr>
          <w:p w14:paraId="75B92230" w14:textId="77777777" w:rsidR="007E22F7" w:rsidRPr="007E22F7" w:rsidRDefault="007E22F7" w:rsidP="007E22F7">
            <w:pPr>
              <w:widowControl w:val="0"/>
              <w:spacing w:after="0" w:line="240" w:lineRule="auto"/>
              <w:jc w:val="right"/>
              <w:rPr>
                <w:rFonts w:ascii="Times New Roman" w:eastAsia="Times New Roman" w:hAnsi="Times New Roman" w:cs="Times New Roman"/>
                <w:b/>
                <w:bCs/>
                <w:szCs w:val="20"/>
                <w:lang w:eastAsia="hu-HU"/>
              </w:rPr>
            </w:pPr>
            <w:r w:rsidRPr="007E22F7">
              <w:rPr>
                <w:rFonts w:ascii="Times New Roman" w:eastAsia="Times New Roman" w:hAnsi="Times New Roman" w:cs="Times New Roman"/>
                <w:b/>
                <w:bCs/>
                <w:szCs w:val="20"/>
                <w:lang w:eastAsia="hu-HU"/>
              </w:rPr>
              <w:t>112,7</w:t>
            </w:r>
          </w:p>
        </w:tc>
      </w:tr>
    </w:tbl>
    <w:p w14:paraId="54234F12" w14:textId="49FD14C8" w:rsidR="123EFD2F" w:rsidRPr="00377D59" w:rsidRDefault="33985B12" w:rsidP="00BB12FE">
      <w:pPr>
        <w:spacing w:before="240"/>
        <w:jc w:val="both"/>
        <w:rPr>
          <w:rFonts w:ascii="Times New Roman" w:eastAsia="Times New Roman" w:hAnsi="Times New Roman" w:cs="Times New Roman"/>
          <w:sz w:val="26"/>
          <w:szCs w:val="26"/>
        </w:rPr>
      </w:pPr>
      <w:r w:rsidRPr="33985B12">
        <w:rPr>
          <w:rFonts w:ascii="Times New Roman" w:eastAsia="Times New Roman" w:hAnsi="Times New Roman" w:cs="Times New Roman"/>
          <w:sz w:val="26"/>
          <w:szCs w:val="26"/>
        </w:rPr>
        <w:t xml:space="preserve">A </w:t>
      </w:r>
      <w:r w:rsidRPr="33985B12">
        <w:rPr>
          <w:rFonts w:ascii="Times New Roman" w:eastAsia="Times New Roman" w:hAnsi="Times New Roman" w:cs="Times New Roman"/>
          <w:b/>
          <w:bCs/>
          <w:sz w:val="26"/>
          <w:szCs w:val="26"/>
        </w:rPr>
        <w:t>Központi Maradványelszámolási Alapba</w:t>
      </w:r>
      <w:r w:rsidRPr="33985B12">
        <w:rPr>
          <w:rFonts w:ascii="Times New Roman" w:eastAsia="Times New Roman" w:hAnsi="Times New Roman" w:cs="Times New Roman"/>
          <w:sz w:val="26"/>
          <w:szCs w:val="26"/>
        </w:rPr>
        <w:t xml:space="preserve"> </w:t>
      </w:r>
      <w:r w:rsidRPr="33985B12">
        <w:rPr>
          <w:rFonts w:ascii="Times New Roman" w:eastAsia="Times New Roman" w:hAnsi="Times New Roman" w:cs="Times New Roman"/>
          <w:b/>
          <w:bCs/>
          <w:sz w:val="26"/>
          <w:szCs w:val="26"/>
        </w:rPr>
        <w:t>történő befizetések</w:t>
      </w:r>
      <w:r w:rsidR="00324B1E">
        <w:rPr>
          <w:rFonts w:ascii="Times New Roman" w:eastAsia="Times New Roman" w:hAnsi="Times New Roman" w:cs="Times New Roman"/>
          <w:sz w:val="26"/>
          <w:szCs w:val="26"/>
        </w:rPr>
        <w:t xml:space="preserve"> mérlegsorra a 2024. </w:t>
      </w:r>
      <w:r w:rsidRPr="33985B12">
        <w:rPr>
          <w:rFonts w:ascii="Times New Roman" w:eastAsia="Times New Roman" w:hAnsi="Times New Roman" w:cs="Times New Roman"/>
          <w:sz w:val="26"/>
          <w:szCs w:val="26"/>
        </w:rPr>
        <w:t>évben 169,9 milliárd forint maradvány került befizetésre, szemben a</w:t>
      </w:r>
      <w:r w:rsidR="004A0A15">
        <w:rPr>
          <w:rFonts w:ascii="Times New Roman" w:eastAsia="Times New Roman" w:hAnsi="Times New Roman" w:cs="Times New Roman"/>
          <w:sz w:val="26"/>
          <w:szCs w:val="26"/>
        </w:rPr>
        <w:t xml:space="preserve"> 2023. évben </w:t>
      </w:r>
      <w:r w:rsidRPr="33985B12">
        <w:rPr>
          <w:rFonts w:ascii="Times New Roman" w:eastAsia="Times New Roman" w:hAnsi="Times New Roman" w:cs="Times New Roman"/>
          <w:sz w:val="26"/>
          <w:szCs w:val="26"/>
        </w:rPr>
        <w:t>befolyt 99,2 milliárd forintos összeggel.</w:t>
      </w:r>
    </w:p>
    <w:p w14:paraId="25C427CE" w14:textId="3B1EA656" w:rsidR="029C2633" w:rsidRPr="00026266" w:rsidRDefault="33985B12" w:rsidP="33985B12">
      <w:pPr>
        <w:spacing w:before="160"/>
        <w:jc w:val="both"/>
        <w:rPr>
          <w:rFonts w:ascii="Times New Roman" w:eastAsia="Times New Roman" w:hAnsi="Times New Roman" w:cs="Times New Roman"/>
          <w:sz w:val="26"/>
          <w:szCs w:val="26"/>
        </w:rPr>
      </w:pPr>
      <w:r w:rsidRPr="33985B12">
        <w:rPr>
          <w:rFonts w:ascii="Times New Roman" w:eastAsia="Times New Roman" w:hAnsi="Times New Roman" w:cs="Times New Roman"/>
          <w:sz w:val="26"/>
          <w:szCs w:val="26"/>
        </w:rPr>
        <w:t xml:space="preserve">Az </w:t>
      </w:r>
      <w:r w:rsidRPr="33985B12">
        <w:rPr>
          <w:rFonts w:ascii="Times New Roman" w:eastAsia="Times New Roman" w:hAnsi="Times New Roman" w:cs="Times New Roman"/>
          <w:b/>
          <w:bCs/>
          <w:sz w:val="26"/>
          <w:szCs w:val="26"/>
        </w:rPr>
        <w:t>állami vagyonnal kapcsolatos befizetések</w:t>
      </w:r>
      <w:r w:rsidRPr="33985B12">
        <w:rPr>
          <w:rFonts w:ascii="Times New Roman" w:eastAsia="Times New Roman" w:hAnsi="Times New Roman" w:cs="Times New Roman"/>
          <w:sz w:val="26"/>
          <w:szCs w:val="26"/>
        </w:rPr>
        <w:t xml:space="preserve"> 2024. évi összege 656,2 milliárd forint, amelynek</w:t>
      </w:r>
      <w:r w:rsidRPr="33985B12">
        <w:rPr>
          <w:rFonts w:ascii="Times New Roman" w:hAnsi="Times New Roman" w:cs="Times New Roman"/>
          <w:color w:val="1F497D"/>
        </w:rPr>
        <w:t xml:space="preserve"> </w:t>
      </w:r>
      <w:r w:rsidRPr="33985B12">
        <w:rPr>
          <w:rFonts w:ascii="Times New Roman" w:eastAsia="Times New Roman" w:hAnsi="Times New Roman" w:cs="Times New Roman"/>
          <w:sz w:val="26"/>
          <w:szCs w:val="26"/>
        </w:rPr>
        <w:t xml:space="preserve">meghatározó tételei a kvótaértékesítés és a társaságokkal kapcsolatos bevételek </w:t>
      </w:r>
      <w:r w:rsidRPr="33985B12">
        <w:rPr>
          <w:rFonts w:ascii="Times New Roman" w:eastAsia="Times New Roman" w:hAnsi="Times New Roman" w:cs="Times New Roman"/>
          <w:sz w:val="26"/>
          <w:szCs w:val="26"/>
        </w:rPr>
        <w:lastRenderedPageBreak/>
        <w:t>(osztalék befizetések, tőkekivonás) voltak. E mérlegsor 2024-től nem tartalmazza a kiemelt állami beruházásokkal kapcsolatos bevételeket.</w:t>
      </w:r>
    </w:p>
    <w:p w14:paraId="0D0F2783" w14:textId="7E3C7681" w:rsidR="009D55B4" w:rsidRPr="00377D59" w:rsidRDefault="00411AC0" w:rsidP="009D55B4">
      <w:pPr>
        <w:jc w:val="center"/>
        <w:rPr>
          <w:rFonts w:ascii="Times New Roman" w:eastAsia="Times New Roman" w:hAnsi="Times New Roman" w:cs="Times New Roman"/>
          <w:sz w:val="26"/>
          <w:szCs w:val="26"/>
        </w:rPr>
      </w:pPr>
      <w:r>
        <w:rPr>
          <w:noProof/>
          <w:lang w:eastAsia="hu-HU"/>
        </w:rPr>
        <w:drawing>
          <wp:inline distT="0" distB="0" distL="0" distR="0" wp14:anchorId="709B36F6" wp14:editId="55255BAE">
            <wp:extent cx="5399249" cy="3283413"/>
            <wp:effectExtent l="0" t="0" r="0" b="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409408" cy="3289591"/>
                    </a:xfrm>
                    <a:prstGeom prst="rect">
                      <a:avLst/>
                    </a:prstGeom>
                  </pic:spPr>
                </pic:pic>
              </a:graphicData>
            </a:graphic>
          </wp:inline>
        </w:drawing>
      </w:r>
    </w:p>
    <w:p w14:paraId="23623F4E" w14:textId="44BD3108" w:rsidR="5B67C7D7" w:rsidRPr="00920F4D" w:rsidRDefault="33985B12" w:rsidP="00EA5C30">
      <w:pPr>
        <w:jc w:val="both"/>
        <w:rPr>
          <w:rFonts w:ascii="Times New Roman" w:eastAsia="Times New Roman" w:hAnsi="Times New Roman" w:cs="Times New Roman"/>
          <w:sz w:val="26"/>
          <w:szCs w:val="26"/>
        </w:rPr>
      </w:pPr>
      <w:r w:rsidRPr="33985B12">
        <w:rPr>
          <w:rFonts w:ascii="Times New Roman" w:eastAsia="Times New Roman" w:hAnsi="Times New Roman" w:cs="Times New Roman"/>
          <w:sz w:val="26"/>
          <w:szCs w:val="26"/>
        </w:rPr>
        <w:t xml:space="preserve">A költségvetés XLV. </w:t>
      </w:r>
      <w:r w:rsidRPr="33985B12">
        <w:rPr>
          <w:rFonts w:ascii="Times New Roman" w:eastAsia="Times New Roman" w:hAnsi="Times New Roman" w:cs="Times New Roman"/>
          <w:b/>
          <w:bCs/>
          <w:sz w:val="26"/>
          <w:szCs w:val="26"/>
        </w:rPr>
        <w:t>Állami beruházások</w:t>
      </w:r>
      <w:r w:rsidRPr="33985B12">
        <w:rPr>
          <w:rFonts w:ascii="Times New Roman" w:eastAsia="Times New Roman" w:hAnsi="Times New Roman" w:cs="Times New Roman"/>
          <w:sz w:val="26"/>
          <w:szCs w:val="26"/>
        </w:rPr>
        <w:t xml:space="preserve"> fejezetének bevételei 2024-től új mérlegsoron szerepelnek. A fejezet bevételei 2024 végéig 74,2 milliárd forintot tettek ki.</w:t>
      </w:r>
    </w:p>
    <w:p w14:paraId="4BE4CA6A" w14:textId="5E86A1AC" w:rsidR="39728167" w:rsidRPr="00377D59" w:rsidRDefault="33985B12" w:rsidP="00EA5C30">
      <w:pPr>
        <w:jc w:val="both"/>
        <w:rPr>
          <w:rFonts w:ascii="Times New Roman" w:hAnsi="Times New Roman" w:cs="Times New Roman"/>
        </w:rPr>
      </w:pPr>
      <w:r w:rsidRPr="33985B12">
        <w:rPr>
          <w:rFonts w:ascii="Times New Roman" w:eastAsia="Times New Roman" w:hAnsi="Times New Roman" w:cs="Times New Roman"/>
          <w:sz w:val="26"/>
          <w:szCs w:val="26"/>
        </w:rPr>
        <w:t xml:space="preserve">Az uniós bevételek főszabály szerint a XLII. A költségvetés közvetlen bevételei és kiadásai fejezetbe érkeznek, ezek kimutatására szolgálnak az </w:t>
      </w:r>
      <w:r w:rsidRPr="33985B12">
        <w:rPr>
          <w:rFonts w:ascii="Times New Roman" w:eastAsia="Times New Roman" w:hAnsi="Times New Roman" w:cs="Times New Roman"/>
          <w:b/>
          <w:bCs/>
          <w:sz w:val="26"/>
          <w:szCs w:val="26"/>
        </w:rPr>
        <w:t>Uniós programok bevételei</w:t>
      </w:r>
      <w:r w:rsidRPr="33985B12">
        <w:rPr>
          <w:rFonts w:ascii="Times New Roman" w:eastAsia="Times New Roman" w:hAnsi="Times New Roman" w:cs="Times New Roman"/>
          <w:sz w:val="26"/>
          <w:szCs w:val="26"/>
        </w:rPr>
        <w:t xml:space="preserve">, valamint az </w:t>
      </w:r>
      <w:r w:rsidRPr="33985B12">
        <w:rPr>
          <w:rFonts w:ascii="Times New Roman" w:eastAsia="Times New Roman" w:hAnsi="Times New Roman" w:cs="Times New Roman"/>
          <w:b/>
          <w:bCs/>
          <w:sz w:val="26"/>
          <w:szCs w:val="26"/>
        </w:rPr>
        <w:t>Egyéb uniós bevételek</w:t>
      </w:r>
      <w:r w:rsidRPr="33985B12">
        <w:rPr>
          <w:rFonts w:ascii="Times New Roman" w:eastAsia="Times New Roman" w:hAnsi="Times New Roman" w:cs="Times New Roman"/>
          <w:sz w:val="26"/>
          <w:szCs w:val="26"/>
        </w:rPr>
        <w:t xml:space="preserve"> mérlegsorok.</w:t>
      </w:r>
    </w:p>
    <w:p w14:paraId="1E44DCF7" w14:textId="376A0157" w:rsidR="39728167" w:rsidRPr="00377D59" w:rsidRDefault="33985B12" w:rsidP="00EA5C30">
      <w:pPr>
        <w:jc w:val="both"/>
        <w:rPr>
          <w:rFonts w:ascii="Times New Roman" w:eastAsia="Times New Roman" w:hAnsi="Times New Roman" w:cs="Times New Roman"/>
          <w:sz w:val="26"/>
          <w:szCs w:val="26"/>
        </w:rPr>
      </w:pPr>
      <w:r w:rsidRPr="33985B12">
        <w:rPr>
          <w:rFonts w:ascii="Times New Roman" w:eastAsia="Times New Roman" w:hAnsi="Times New Roman" w:cs="Times New Roman"/>
          <w:sz w:val="26"/>
          <w:szCs w:val="26"/>
        </w:rPr>
        <w:lastRenderedPageBreak/>
        <w:t xml:space="preserve">Az </w:t>
      </w:r>
      <w:r w:rsidRPr="33985B12">
        <w:rPr>
          <w:rFonts w:ascii="Times New Roman" w:eastAsia="Times New Roman" w:hAnsi="Times New Roman" w:cs="Times New Roman"/>
          <w:b/>
          <w:bCs/>
          <w:sz w:val="26"/>
          <w:szCs w:val="26"/>
        </w:rPr>
        <w:t>Uniós programok bevételei</w:t>
      </w:r>
      <w:r w:rsidRPr="33985B12">
        <w:rPr>
          <w:rFonts w:ascii="Times New Roman" w:eastAsia="Times New Roman" w:hAnsi="Times New Roman" w:cs="Times New Roman"/>
          <w:sz w:val="26"/>
          <w:szCs w:val="26"/>
        </w:rPr>
        <w:t xml:space="preserve"> mérlegsoron </w:t>
      </w:r>
      <w:r w:rsidR="008F1384">
        <w:rPr>
          <w:rFonts w:ascii="Times New Roman" w:eastAsia="Times New Roman" w:hAnsi="Times New Roman" w:cs="Times New Roman"/>
          <w:sz w:val="26"/>
          <w:szCs w:val="26"/>
        </w:rPr>
        <w:t xml:space="preserve">a </w:t>
      </w:r>
      <w:r w:rsidRPr="33985B12">
        <w:rPr>
          <w:rFonts w:ascii="Times New Roman" w:eastAsia="Times New Roman" w:hAnsi="Times New Roman" w:cs="Times New Roman"/>
          <w:sz w:val="26"/>
          <w:szCs w:val="26"/>
        </w:rPr>
        <w:t xml:space="preserve">2024. </w:t>
      </w:r>
      <w:r w:rsidR="008F1384">
        <w:rPr>
          <w:rFonts w:ascii="Times New Roman" w:eastAsia="Times New Roman" w:hAnsi="Times New Roman" w:cs="Times New Roman"/>
          <w:sz w:val="26"/>
          <w:szCs w:val="26"/>
        </w:rPr>
        <w:t>évben</w:t>
      </w:r>
      <w:r w:rsidRPr="33985B12">
        <w:rPr>
          <w:rFonts w:ascii="Times New Roman" w:eastAsia="Times New Roman" w:hAnsi="Times New Roman" w:cs="Times New Roman"/>
          <w:sz w:val="26"/>
          <w:szCs w:val="26"/>
        </w:rPr>
        <w:t xml:space="preserve"> 1</w:t>
      </w:r>
      <w:r w:rsidR="008F1384">
        <w:rPr>
          <w:rFonts w:ascii="Times New Roman" w:eastAsia="Times New Roman" w:hAnsi="Times New Roman" w:cs="Times New Roman"/>
          <w:sz w:val="26"/>
          <w:szCs w:val="26"/>
        </w:rPr>
        <w:t> </w:t>
      </w:r>
      <w:r w:rsidRPr="33985B12">
        <w:rPr>
          <w:rFonts w:ascii="Times New Roman" w:eastAsia="Times New Roman" w:hAnsi="Times New Roman" w:cs="Times New Roman"/>
          <w:sz w:val="26"/>
          <w:szCs w:val="26"/>
        </w:rPr>
        <w:t>267,3 milliárd forint bevétel keletkezett. Ez az összeg a törvényi előirányzat (2</w:t>
      </w:r>
      <w:r w:rsidR="008F1384">
        <w:rPr>
          <w:rFonts w:ascii="Times New Roman" w:eastAsia="Times New Roman" w:hAnsi="Times New Roman" w:cs="Times New Roman"/>
          <w:sz w:val="26"/>
          <w:szCs w:val="26"/>
        </w:rPr>
        <w:t> </w:t>
      </w:r>
      <w:r w:rsidRPr="33985B12">
        <w:rPr>
          <w:rFonts w:ascii="Times New Roman" w:eastAsia="Times New Roman" w:hAnsi="Times New Roman" w:cs="Times New Roman"/>
          <w:sz w:val="26"/>
          <w:szCs w:val="26"/>
        </w:rPr>
        <w:t>479,8 milliárd forint) 51,1%-át teszi ki. A teljesült bevételből 775,0</w:t>
      </w:r>
      <w:r w:rsidR="008F1384">
        <w:rPr>
          <w:rFonts w:ascii="Times New Roman" w:eastAsia="Times New Roman" w:hAnsi="Times New Roman" w:cs="Times New Roman"/>
          <w:sz w:val="26"/>
          <w:szCs w:val="26"/>
        </w:rPr>
        <w:t> </w:t>
      </w:r>
      <w:r w:rsidRPr="33985B12">
        <w:rPr>
          <w:rFonts w:ascii="Times New Roman" w:eastAsia="Times New Roman" w:hAnsi="Times New Roman" w:cs="Times New Roman"/>
          <w:sz w:val="26"/>
          <w:szCs w:val="26"/>
        </w:rPr>
        <w:t>milliárd forint az uniós</w:t>
      </w:r>
      <w:r w:rsidR="006C7B4D">
        <w:rPr>
          <w:rFonts w:ascii="Times New Roman" w:eastAsia="Times New Roman" w:hAnsi="Times New Roman" w:cs="Times New Roman"/>
          <w:sz w:val="26"/>
          <w:szCs w:val="26"/>
        </w:rPr>
        <w:t>,</w:t>
      </w:r>
      <w:r w:rsidRPr="33985B12">
        <w:rPr>
          <w:rFonts w:ascii="Times New Roman" w:eastAsia="Times New Roman" w:hAnsi="Times New Roman" w:cs="Times New Roman"/>
          <w:sz w:val="26"/>
          <w:szCs w:val="26"/>
        </w:rPr>
        <w:t xml:space="preserve"> és 492,3</w:t>
      </w:r>
      <w:r w:rsidR="008F1384">
        <w:rPr>
          <w:rFonts w:ascii="Times New Roman" w:eastAsia="Times New Roman" w:hAnsi="Times New Roman" w:cs="Times New Roman"/>
          <w:sz w:val="26"/>
          <w:szCs w:val="26"/>
        </w:rPr>
        <w:t> </w:t>
      </w:r>
      <w:r w:rsidRPr="33985B12">
        <w:rPr>
          <w:rFonts w:ascii="Times New Roman" w:eastAsia="Times New Roman" w:hAnsi="Times New Roman" w:cs="Times New Roman"/>
          <w:sz w:val="26"/>
          <w:szCs w:val="26"/>
        </w:rPr>
        <w:t xml:space="preserve">milliárd forint az egyéb bevétel. </w:t>
      </w:r>
    </w:p>
    <w:p w14:paraId="040E2327" w14:textId="1075ADC3" w:rsidR="74B9DF17" w:rsidRDefault="33985B12" w:rsidP="00EA5C30">
      <w:pPr>
        <w:jc w:val="both"/>
      </w:pPr>
      <w:r w:rsidRPr="33985B12">
        <w:rPr>
          <w:rFonts w:ascii="Times New Roman" w:eastAsia="Times New Roman" w:hAnsi="Times New Roman" w:cs="Times New Roman"/>
          <w:sz w:val="26"/>
          <w:szCs w:val="26"/>
        </w:rPr>
        <w:t xml:space="preserve">Az </w:t>
      </w:r>
      <w:r w:rsidRPr="33985B12">
        <w:rPr>
          <w:rFonts w:ascii="Times New Roman" w:eastAsia="Times New Roman" w:hAnsi="Times New Roman" w:cs="Times New Roman"/>
          <w:b/>
          <w:bCs/>
          <w:sz w:val="26"/>
          <w:szCs w:val="26"/>
        </w:rPr>
        <w:t xml:space="preserve">Egyéb uniós bevételek </w:t>
      </w:r>
      <w:r w:rsidRPr="33985B12">
        <w:rPr>
          <w:rFonts w:ascii="Times New Roman" w:eastAsia="Times New Roman" w:hAnsi="Times New Roman" w:cs="Times New Roman"/>
          <w:sz w:val="26"/>
          <w:szCs w:val="26"/>
        </w:rPr>
        <w:t xml:space="preserve">soron a vámbeszedési költség megtérítése jelenik meg, mely 30,3 milliárd forintot tett ki </w:t>
      </w:r>
      <w:r w:rsidR="008F1384">
        <w:rPr>
          <w:rFonts w:ascii="Times New Roman" w:eastAsia="Times New Roman" w:hAnsi="Times New Roman" w:cs="Times New Roman"/>
          <w:sz w:val="26"/>
          <w:szCs w:val="26"/>
        </w:rPr>
        <w:t xml:space="preserve">a </w:t>
      </w:r>
      <w:r w:rsidRPr="33985B12">
        <w:rPr>
          <w:rFonts w:ascii="Times New Roman" w:eastAsia="Times New Roman" w:hAnsi="Times New Roman" w:cs="Times New Roman"/>
          <w:sz w:val="26"/>
          <w:szCs w:val="26"/>
        </w:rPr>
        <w:t>2024</w:t>
      </w:r>
      <w:r w:rsidR="008F1384">
        <w:rPr>
          <w:rFonts w:ascii="Times New Roman" w:eastAsia="Times New Roman" w:hAnsi="Times New Roman" w:cs="Times New Roman"/>
          <w:sz w:val="26"/>
          <w:szCs w:val="26"/>
        </w:rPr>
        <w:t>. év</w:t>
      </w:r>
      <w:r w:rsidR="006C7B4D">
        <w:rPr>
          <w:rFonts w:ascii="Times New Roman" w:eastAsia="Times New Roman" w:hAnsi="Times New Roman" w:cs="Times New Roman"/>
          <w:sz w:val="26"/>
          <w:szCs w:val="26"/>
        </w:rPr>
        <w:t>ben</w:t>
      </w:r>
      <w:r w:rsidRPr="33985B12">
        <w:rPr>
          <w:rFonts w:ascii="Times New Roman" w:eastAsia="Times New Roman" w:hAnsi="Times New Roman" w:cs="Times New Roman"/>
          <w:sz w:val="26"/>
          <w:szCs w:val="26"/>
        </w:rPr>
        <w:t>. Ez az össz</w:t>
      </w:r>
      <w:r w:rsidR="008F1384">
        <w:rPr>
          <w:rFonts w:ascii="Times New Roman" w:eastAsia="Times New Roman" w:hAnsi="Times New Roman" w:cs="Times New Roman"/>
          <w:sz w:val="26"/>
          <w:szCs w:val="26"/>
        </w:rPr>
        <w:t>eg a törvényi előirányzat 78,5%</w:t>
      </w:r>
      <w:r w:rsidR="008F1384">
        <w:rPr>
          <w:rFonts w:ascii="Times New Roman" w:eastAsia="Times New Roman" w:hAnsi="Times New Roman" w:cs="Times New Roman"/>
          <w:sz w:val="26"/>
          <w:szCs w:val="26"/>
        </w:rPr>
        <w:noBreakHyphen/>
      </w:r>
      <w:r w:rsidRPr="33985B12">
        <w:rPr>
          <w:rFonts w:ascii="Times New Roman" w:eastAsia="Times New Roman" w:hAnsi="Times New Roman" w:cs="Times New Roman"/>
          <w:sz w:val="26"/>
          <w:szCs w:val="26"/>
        </w:rPr>
        <w:t>a</w:t>
      </w:r>
      <w:r w:rsidR="008F1384">
        <w:rPr>
          <w:rFonts w:ascii="Times New Roman" w:eastAsia="Times New Roman" w:hAnsi="Times New Roman" w:cs="Times New Roman"/>
          <w:sz w:val="26"/>
          <w:szCs w:val="26"/>
        </w:rPr>
        <w:t>,</w:t>
      </w:r>
      <w:r w:rsidRPr="33985B12">
        <w:rPr>
          <w:rFonts w:ascii="Times New Roman" w:eastAsia="Times New Roman" w:hAnsi="Times New Roman" w:cs="Times New Roman"/>
          <w:sz w:val="26"/>
          <w:szCs w:val="26"/>
        </w:rPr>
        <w:t xml:space="preserve"> és 3,4 milliárd forinttal </w:t>
      </w:r>
      <w:r w:rsidR="004A0A15">
        <w:rPr>
          <w:rFonts w:ascii="Times New Roman" w:eastAsia="Times New Roman" w:hAnsi="Times New Roman" w:cs="Times New Roman"/>
          <w:sz w:val="26"/>
          <w:szCs w:val="26"/>
        </w:rPr>
        <w:t>alacsonyabb</w:t>
      </w:r>
      <w:r w:rsidRPr="33985B12">
        <w:rPr>
          <w:rFonts w:ascii="Times New Roman" w:eastAsia="Times New Roman" w:hAnsi="Times New Roman" w:cs="Times New Roman"/>
          <w:sz w:val="26"/>
          <w:szCs w:val="26"/>
        </w:rPr>
        <w:t xml:space="preserve"> a 2023. év</w:t>
      </w:r>
      <w:r w:rsidR="006C7B4D">
        <w:rPr>
          <w:rFonts w:ascii="Times New Roman" w:eastAsia="Times New Roman" w:hAnsi="Times New Roman" w:cs="Times New Roman"/>
          <w:sz w:val="26"/>
          <w:szCs w:val="26"/>
        </w:rPr>
        <w:t xml:space="preserve">ben </w:t>
      </w:r>
      <w:r w:rsidRPr="33985B12">
        <w:rPr>
          <w:rFonts w:ascii="Times New Roman" w:eastAsia="Times New Roman" w:hAnsi="Times New Roman" w:cs="Times New Roman"/>
          <w:sz w:val="26"/>
          <w:szCs w:val="26"/>
        </w:rPr>
        <w:t>keletkezett bevétel</w:t>
      </w:r>
      <w:r w:rsidR="004A0A15">
        <w:rPr>
          <w:rFonts w:ascii="Times New Roman" w:eastAsia="Times New Roman" w:hAnsi="Times New Roman" w:cs="Times New Roman"/>
          <w:sz w:val="26"/>
          <w:szCs w:val="26"/>
        </w:rPr>
        <w:t>hez viszonyítva.</w:t>
      </w:r>
    </w:p>
    <w:p w14:paraId="758BD0A3" w14:textId="799AA599" w:rsidR="007E22F7" w:rsidRPr="007E22F7" w:rsidRDefault="007E22F7" w:rsidP="00EA5C30">
      <w:pPr>
        <w:jc w:val="both"/>
        <w:rPr>
          <w:rFonts w:ascii="Times New Roman" w:eastAsia="Calibri" w:hAnsi="Times New Roman" w:cs="Times New Roman"/>
          <w:sz w:val="26"/>
          <w:szCs w:val="26"/>
          <w:lang w:eastAsia="hu-HU"/>
        </w:rPr>
      </w:pPr>
      <w:r w:rsidRPr="007E22F7">
        <w:rPr>
          <w:rFonts w:ascii="Times New Roman" w:eastAsia="Calibri" w:hAnsi="Times New Roman" w:cs="Times New Roman"/>
          <w:sz w:val="26"/>
          <w:szCs w:val="26"/>
          <w:lang w:eastAsia="hu-HU"/>
        </w:rPr>
        <w:t>A befizetett társadalombiztosítási járulék 8,1%-át az állami adóhatóság a foglalkoztatási programokkal kapcsolatos elkülönített állami pénzalapnak utalja át. 2024</w:t>
      </w:r>
      <w:r w:rsidR="008F1384">
        <w:rPr>
          <w:rFonts w:ascii="Times New Roman" w:eastAsia="Calibri" w:hAnsi="Times New Roman" w:cs="Times New Roman"/>
          <w:sz w:val="26"/>
          <w:szCs w:val="26"/>
          <w:lang w:eastAsia="hu-HU"/>
        </w:rPr>
        <w:t xml:space="preserve">-ben </w:t>
      </w:r>
      <w:r w:rsidRPr="007E22F7">
        <w:rPr>
          <w:rFonts w:ascii="Times New Roman" w:eastAsia="Calibri" w:hAnsi="Times New Roman" w:cs="Times New Roman"/>
          <w:sz w:val="26"/>
          <w:szCs w:val="26"/>
          <w:lang w:eastAsia="hu-HU"/>
        </w:rPr>
        <w:t xml:space="preserve">a </w:t>
      </w:r>
      <w:r w:rsidRPr="007E22F7">
        <w:rPr>
          <w:rFonts w:ascii="Times New Roman" w:eastAsia="Calibri" w:hAnsi="Times New Roman" w:cs="Times New Roman"/>
          <w:b/>
          <w:bCs/>
          <w:sz w:val="26"/>
          <w:szCs w:val="26"/>
          <w:lang w:eastAsia="hu-HU"/>
        </w:rPr>
        <w:t xml:space="preserve">társadalombiztosítási járulék </w:t>
      </w:r>
      <w:r w:rsidRPr="007E22F7">
        <w:rPr>
          <w:rFonts w:ascii="Times New Roman" w:eastAsia="Times New Roman" w:hAnsi="Times New Roman" w:cs="Times New Roman"/>
          <w:b/>
          <w:bCs/>
          <w:sz w:val="26"/>
          <w:szCs w:val="26"/>
          <w:lang w:eastAsia="hu-HU"/>
        </w:rPr>
        <w:t xml:space="preserve">Nemzeti Foglalkoztatási </w:t>
      </w:r>
      <w:r w:rsidRPr="007E22F7">
        <w:rPr>
          <w:rFonts w:ascii="Times New Roman" w:eastAsia="Calibri" w:hAnsi="Times New Roman" w:cs="Times New Roman"/>
          <w:b/>
          <w:bCs/>
          <w:sz w:val="26"/>
          <w:szCs w:val="26"/>
          <w:lang w:eastAsia="hu-HU"/>
        </w:rPr>
        <w:t xml:space="preserve">Alapot megillető része </w:t>
      </w:r>
      <w:r w:rsidRPr="007E22F7">
        <w:rPr>
          <w:rFonts w:ascii="Times New Roman" w:eastAsia="Calibri" w:hAnsi="Times New Roman" w:cs="Times New Roman"/>
          <w:sz w:val="26"/>
          <w:szCs w:val="26"/>
          <w:lang w:eastAsia="hu-HU"/>
        </w:rPr>
        <w:t>400,7 milliárd</w:t>
      </w:r>
      <w:r w:rsidRPr="007E22F7">
        <w:rPr>
          <w:rFonts w:ascii="Times New Roman" w:eastAsia="Times New Roman" w:hAnsi="Times New Roman" w:cs="Times New Roman"/>
          <w:sz w:val="26"/>
          <w:szCs w:val="20"/>
          <w:lang w:eastAsia="hu-HU"/>
        </w:rPr>
        <w:t> </w:t>
      </w:r>
      <w:r w:rsidRPr="007E22F7">
        <w:rPr>
          <w:rFonts w:ascii="Times New Roman" w:eastAsia="Calibri" w:hAnsi="Times New Roman" w:cs="Times New Roman"/>
          <w:sz w:val="26"/>
          <w:szCs w:val="26"/>
          <w:lang w:eastAsia="hu-HU"/>
        </w:rPr>
        <w:t>forintban teljesült, amely a</w:t>
      </w:r>
      <w:r w:rsidR="009F7C5E">
        <w:rPr>
          <w:rFonts w:ascii="Times New Roman" w:eastAsia="Calibri" w:hAnsi="Times New Roman" w:cs="Times New Roman"/>
          <w:sz w:val="26"/>
          <w:szCs w:val="26"/>
          <w:lang w:eastAsia="hu-HU"/>
        </w:rPr>
        <w:t xml:space="preserve"> 2023. </w:t>
      </w:r>
      <w:r w:rsidRPr="007E22F7">
        <w:rPr>
          <w:rFonts w:ascii="Times New Roman" w:eastAsia="Calibri" w:hAnsi="Times New Roman" w:cs="Times New Roman"/>
          <w:sz w:val="26"/>
          <w:szCs w:val="26"/>
          <w:lang w:eastAsia="hu-HU"/>
        </w:rPr>
        <w:t>évben befolyt bevételt 48,4</w:t>
      </w:r>
      <w:r w:rsidRPr="007E22F7">
        <w:rPr>
          <w:rFonts w:ascii="Times New Roman" w:eastAsia="Times New Roman" w:hAnsi="Times New Roman" w:cs="Times New Roman"/>
          <w:sz w:val="26"/>
          <w:szCs w:val="20"/>
          <w:lang w:eastAsia="hu-HU"/>
        </w:rPr>
        <w:t> </w:t>
      </w:r>
      <w:r w:rsidRPr="007E22F7">
        <w:rPr>
          <w:rFonts w:ascii="Times New Roman" w:eastAsia="Calibri" w:hAnsi="Times New Roman" w:cs="Times New Roman"/>
          <w:sz w:val="26"/>
          <w:szCs w:val="26"/>
          <w:lang w:eastAsia="hu-HU"/>
        </w:rPr>
        <w:t>milliárd</w:t>
      </w:r>
      <w:r w:rsidRPr="007E22F7">
        <w:rPr>
          <w:rFonts w:ascii="Times New Roman" w:eastAsia="Times New Roman" w:hAnsi="Times New Roman" w:cs="Times New Roman"/>
          <w:sz w:val="26"/>
          <w:szCs w:val="20"/>
          <w:lang w:eastAsia="hu-HU"/>
        </w:rPr>
        <w:t> </w:t>
      </w:r>
      <w:r w:rsidR="0002105A">
        <w:rPr>
          <w:rFonts w:ascii="Times New Roman" w:eastAsia="Calibri" w:hAnsi="Times New Roman" w:cs="Times New Roman"/>
          <w:sz w:val="26"/>
          <w:szCs w:val="26"/>
          <w:lang w:eastAsia="hu-HU"/>
        </w:rPr>
        <w:t xml:space="preserve">forinttal </w:t>
      </w:r>
      <w:r w:rsidRPr="007E22F7">
        <w:rPr>
          <w:rFonts w:ascii="Times New Roman" w:eastAsia="Calibri" w:hAnsi="Times New Roman" w:cs="Times New Roman"/>
          <w:sz w:val="26"/>
          <w:szCs w:val="26"/>
          <w:lang w:eastAsia="hu-HU"/>
        </w:rPr>
        <w:t>haladta meg. A bevételnövekedés oka a járulékköteles jövedelmek növekedése.</w:t>
      </w:r>
    </w:p>
    <w:p w14:paraId="0FCFE6CB" w14:textId="24FECC3B" w:rsidR="007E22F7" w:rsidRPr="007E22F7" w:rsidRDefault="007E22F7" w:rsidP="00EA5C30">
      <w:pPr>
        <w:jc w:val="both"/>
        <w:rPr>
          <w:rFonts w:ascii="Times New Roman" w:eastAsia="Times New Roman" w:hAnsi="Times New Roman" w:cs="Times New Roman"/>
          <w:sz w:val="26"/>
          <w:szCs w:val="26"/>
          <w:lang w:eastAsia="hu-HU"/>
        </w:rPr>
      </w:pPr>
      <w:r w:rsidRPr="007E22F7">
        <w:rPr>
          <w:rFonts w:ascii="Times New Roman" w:eastAsia="Times New Roman" w:hAnsi="Times New Roman" w:cs="Times New Roman"/>
          <w:sz w:val="26"/>
          <w:szCs w:val="26"/>
          <w:lang w:eastAsia="hu-HU"/>
        </w:rPr>
        <w:lastRenderedPageBreak/>
        <w:t xml:space="preserve">2024-ben a </w:t>
      </w:r>
      <w:r w:rsidRPr="007E22F7">
        <w:rPr>
          <w:rFonts w:ascii="Times New Roman" w:eastAsia="Times New Roman" w:hAnsi="Times New Roman" w:cs="Times New Roman"/>
          <w:b/>
          <w:bCs/>
          <w:sz w:val="26"/>
          <w:szCs w:val="26"/>
          <w:lang w:eastAsia="hu-HU"/>
        </w:rPr>
        <w:t>szociális hozzájárulási adó Nyugdíjbiztosítási Alapot megillető része</w:t>
      </w:r>
      <w:r w:rsidRPr="007E22F7">
        <w:rPr>
          <w:rFonts w:ascii="Times New Roman" w:eastAsia="Times New Roman" w:hAnsi="Times New Roman" w:cs="Times New Roman"/>
          <w:sz w:val="26"/>
          <w:szCs w:val="26"/>
          <w:lang w:eastAsia="hu-HU"/>
        </w:rPr>
        <w:t xml:space="preserve"> (</w:t>
      </w:r>
      <w:r w:rsidRPr="007E22F7">
        <w:rPr>
          <w:rFonts w:ascii="Times New Roman" w:eastAsia="Times New Roman" w:hAnsi="Times New Roman" w:cs="Times New Roman"/>
          <w:sz w:val="26"/>
          <w:szCs w:val="20"/>
          <w:lang w:eastAsia="hu-HU"/>
        </w:rPr>
        <w:t>2</w:t>
      </w:r>
      <w:r w:rsidR="006C7B4D">
        <w:rPr>
          <w:rFonts w:ascii="Times New Roman" w:eastAsia="Times New Roman" w:hAnsi="Times New Roman" w:cs="Times New Roman"/>
          <w:sz w:val="26"/>
          <w:szCs w:val="20"/>
          <w:lang w:eastAsia="hu-HU"/>
        </w:rPr>
        <w:t> </w:t>
      </w:r>
      <w:r w:rsidRPr="007E22F7">
        <w:rPr>
          <w:rFonts w:ascii="Times New Roman" w:eastAsia="Times New Roman" w:hAnsi="Times New Roman" w:cs="Times New Roman"/>
          <w:sz w:val="26"/>
          <w:szCs w:val="20"/>
          <w:lang w:eastAsia="hu-HU"/>
        </w:rPr>
        <w:t>704,2 </w:t>
      </w:r>
      <w:r w:rsidRPr="007E22F7">
        <w:rPr>
          <w:rFonts w:ascii="Times New Roman" w:eastAsia="Times New Roman" w:hAnsi="Times New Roman" w:cs="Times New Roman"/>
          <w:sz w:val="26"/>
          <w:szCs w:val="26"/>
          <w:lang w:eastAsia="hu-HU"/>
        </w:rPr>
        <w:t>milliárd</w:t>
      </w:r>
      <w:r w:rsidRPr="007E22F7">
        <w:rPr>
          <w:rFonts w:ascii="Times New Roman" w:eastAsia="Times New Roman" w:hAnsi="Times New Roman" w:cs="Times New Roman"/>
          <w:sz w:val="26"/>
          <w:szCs w:val="20"/>
          <w:lang w:eastAsia="hu-HU"/>
        </w:rPr>
        <w:t> </w:t>
      </w:r>
      <w:r w:rsidR="006C7B4D">
        <w:rPr>
          <w:rFonts w:ascii="Times New Roman" w:eastAsia="Times New Roman" w:hAnsi="Times New Roman" w:cs="Times New Roman"/>
          <w:sz w:val="26"/>
          <w:szCs w:val="26"/>
          <w:lang w:eastAsia="hu-HU"/>
        </w:rPr>
        <w:t xml:space="preserve">forint) </w:t>
      </w:r>
      <w:r w:rsidRPr="007E22F7">
        <w:rPr>
          <w:rFonts w:ascii="Times New Roman" w:eastAsia="Times New Roman" w:hAnsi="Times New Roman" w:cs="Times New Roman"/>
          <w:sz w:val="26"/>
          <w:szCs w:val="26"/>
          <w:lang w:eastAsia="hu-HU"/>
        </w:rPr>
        <w:t>801,1</w:t>
      </w:r>
      <w:r w:rsidRPr="007E22F7">
        <w:rPr>
          <w:rFonts w:ascii="Times New Roman" w:eastAsia="Times New Roman" w:hAnsi="Times New Roman" w:cs="Times New Roman"/>
          <w:sz w:val="26"/>
          <w:szCs w:val="20"/>
          <w:lang w:eastAsia="hu-HU"/>
        </w:rPr>
        <w:t> </w:t>
      </w:r>
      <w:r w:rsidRPr="007E22F7">
        <w:rPr>
          <w:rFonts w:ascii="Times New Roman" w:eastAsia="Times New Roman" w:hAnsi="Times New Roman" w:cs="Times New Roman"/>
          <w:sz w:val="26"/>
          <w:szCs w:val="26"/>
          <w:lang w:eastAsia="hu-HU"/>
        </w:rPr>
        <w:t>milliárd</w:t>
      </w:r>
      <w:r w:rsidRPr="007E22F7">
        <w:rPr>
          <w:rFonts w:ascii="Times New Roman" w:eastAsia="Times New Roman" w:hAnsi="Times New Roman" w:cs="Times New Roman"/>
          <w:sz w:val="26"/>
          <w:szCs w:val="20"/>
          <w:lang w:eastAsia="hu-HU"/>
        </w:rPr>
        <w:t> </w:t>
      </w:r>
      <w:r w:rsidRPr="007E22F7">
        <w:rPr>
          <w:rFonts w:ascii="Times New Roman" w:eastAsia="Times New Roman" w:hAnsi="Times New Roman" w:cs="Times New Roman"/>
          <w:sz w:val="26"/>
          <w:szCs w:val="26"/>
          <w:lang w:eastAsia="hu-HU"/>
        </w:rPr>
        <w:t>forinttal haladta meg az előző évben befolyt bevételeket. A bevétel változása az adóköteles jövedelmek növekedésével és az alapok közötti megoszlási arány változásával magyarázható.</w:t>
      </w:r>
    </w:p>
    <w:p w14:paraId="35D5AAAD" w14:textId="5BB74DBF" w:rsidR="007E22F7" w:rsidRPr="007E22F7" w:rsidRDefault="007E22F7" w:rsidP="0036497A">
      <w:pPr>
        <w:jc w:val="both"/>
        <w:rPr>
          <w:rFonts w:ascii="Times New Roman" w:eastAsia="Calibri" w:hAnsi="Times New Roman" w:cs="Times New Roman"/>
          <w:sz w:val="26"/>
          <w:szCs w:val="26"/>
          <w:lang w:eastAsia="hu-HU"/>
        </w:rPr>
      </w:pPr>
      <w:r w:rsidRPr="007E22F7">
        <w:rPr>
          <w:rFonts w:ascii="Times New Roman" w:eastAsia="Times New Roman" w:hAnsi="Times New Roman" w:cs="Times New Roman"/>
          <w:sz w:val="26"/>
          <w:szCs w:val="26"/>
          <w:lang w:eastAsia="hu-HU"/>
        </w:rPr>
        <w:t>A befizetett társadalombiztosítási járulék 54%-át az állami adóhatóság a Nyugdíjbiztosítási Alapnak utalja át. 2024</w:t>
      </w:r>
      <w:r w:rsidR="006C7B4D">
        <w:rPr>
          <w:rFonts w:ascii="Times New Roman" w:eastAsia="Times New Roman" w:hAnsi="Times New Roman" w:cs="Times New Roman"/>
          <w:sz w:val="26"/>
          <w:szCs w:val="26"/>
          <w:lang w:eastAsia="hu-HU"/>
        </w:rPr>
        <w:t xml:space="preserve">-ben </w:t>
      </w:r>
      <w:r w:rsidRPr="007E22F7">
        <w:rPr>
          <w:rFonts w:ascii="Times New Roman" w:eastAsia="Times New Roman" w:hAnsi="Times New Roman" w:cs="Times New Roman"/>
          <w:sz w:val="26"/>
          <w:szCs w:val="26"/>
          <w:lang w:eastAsia="hu-HU"/>
        </w:rPr>
        <w:t xml:space="preserve">a </w:t>
      </w:r>
      <w:r w:rsidRPr="007E22F7">
        <w:rPr>
          <w:rFonts w:ascii="Times New Roman" w:eastAsia="Times New Roman" w:hAnsi="Times New Roman" w:cs="Times New Roman"/>
          <w:b/>
          <w:bCs/>
          <w:sz w:val="26"/>
          <w:szCs w:val="26"/>
          <w:lang w:eastAsia="hu-HU"/>
        </w:rPr>
        <w:t>társadalombiztosítási járulék Nyugdíjbiztosítási Alapot megillető része és nyugdíjjárulék</w:t>
      </w:r>
      <w:r w:rsidRPr="007E22F7">
        <w:rPr>
          <w:rFonts w:ascii="Times New Roman" w:eastAsia="Times New Roman" w:hAnsi="Times New Roman" w:cs="Times New Roman"/>
          <w:sz w:val="26"/>
          <w:szCs w:val="26"/>
          <w:lang w:eastAsia="hu-HU"/>
        </w:rPr>
        <w:t xml:space="preserve"> 2</w:t>
      </w:r>
      <w:r w:rsidR="006C7B4D">
        <w:rPr>
          <w:rFonts w:ascii="Times New Roman" w:eastAsia="Times New Roman" w:hAnsi="Times New Roman" w:cs="Times New Roman"/>
          <w:sz w:val="26"/>
          <w:szCs w:val="26"/>
          <w:lang w:eastAsia="hu-HU"/>
        </w:rPr>
        <w:t> </w:t>
      </w:r>
      <w:r w:rsidRPr="007E22F7">
        <w:rPr>
          <w:rFonts w:ascii="Times New Roman" w:eastAsia="Times New Roman" w:hAnsi="Times New Roman" w:cs="Times New Roman"/>
          <w:sz w:val="26"/>
          <w:szCs w:val="26"/>
          <w:lang w:eastAsia="hu-HU"/>
        </w:rPr>
        <w:t>729,1</w:t>
      </w:r>
      <w:r w:rsidRPr="007E22F7">
        <w:rPr>
          <w:rFonts w:ascii="Times New Roman" w:eastAsia="Times New Roman" w:hAnsi="Times New Roman" w:cs="Times New Roman"/>
          <w:sz w:val="26"/>
          <w:szCs w:val="20"/>
          <w:lang w:eastAsia="hu-HU"/>
        </w:rPr>
        <w:t> </w:t>
      </w:r>
      <w:r w:rsidRPr="007E22F7">
        <w:rPr>
          <w:rFonts w:ascii="Times New Roman" w:eastAsia="Times New Roman" w:hAnsi="Times New Roman" w:cs="Times New Roman"/>
          <w:sz w:val="26"/>
          <w:szCs w:val="26"/>
          <w:lang w:eastAsia="hu-HU"/>
        </w:rPr>
        <w:t>milliárd</w:t>
      </w:r>
      <w:r w:rsidRPr="007E22F7">
        <w:rPr>
          <w:rFonts w:ascii="Times New Roman" w:eastAsia="Times New Roman" w:hAnsi="Times New Roman" w:cs="Times New Roman"/>
          <w:sz w:val="26"/>
          <w:szCs w:val="20"/>
          <w:lang w:eastAsia="hu-HU"/>
        </w:rPr>
        <w:t> </w:t>
      </w:r>
      <w:r w:rsidRPr="007E22F7">
        <w:rPr>
          <w:rFonts w:ascii="Times New Roman" w:eastAsia="Times New Roman" w:hAnsi="Times New Roman" w:cs="Times New Roman"/>
          <w:sz w:val="26"/>
          <w:szCs w:val="26"/>
          <w:lang w:eastAsia="hu-HU"/>
        </w:rPr>
        <w:t>forintban teljesült, amely az előző évben befolyt bevételt 330,5</w:t>
      </w:r>
      <w:r w:rsidRPr="007E22F7">
        <w:rPr>
          <w:rFonts w:ascii="Times New Roman" w:eastAsia="Times New Roman" w:hAnsi="Times New Roman" w:cs="Times New Roman"/>
          <w:sz w:val="26"/>
          <w:szCs w:val="20"/>
          <w:lang w:eastAsia="hu-HU"/>
        </w:rPr>
        <w:t> </w:t>
      </w:r>
      <w:r w:rsidRPr="007E22F7">
        <w:rPr>
          <w:rFonts w:ascii="Times New Roman" w:eastAsia="Times New Roman" w:hAnsi="Times New Roman" w:cs="Times New Roman"/>
          <w:sz w:val="26"/>
          <w:szCs w:val="26"/>
          <w:lang w:eastAsia="hu-HU"/>
        </w:rPr>
        <w:t>milliárd</w:t>
      </w:r>
      <w:r w:rsidRPr="007E22F7">
        <w:rPr>
          <w:rFonts w:ascii="Times New Roman" w:eastAsia="Times New Roman" w:hAnsi="Times New Roman" w:cs="Times New Roman"/>
          <w:sz w:val="26"/>
          <w:szCs w:val="20"/>
          <w:lang w:eastAsia="hu-HU"/>
        </w:rPr>
        <w:t> </w:t>
      </w:r>
      <w:r w:rsidR="009E6FFE">
        <w:rPr>
          <w:rFonts w:ascii="Times New Roman" w:eastAsia="Times New Roman" w:hAnsi="Times New Roman" w:cs="Times New Roman"/>
          <w:sz w:val="26"/>
          <w:szCs w:val="26"/>
          <w:lang w:eastAsia="hu-HU"/>
        </w:rPr>
        <w:t xml:space="preserve">forinttal </w:t>
      </w:r>
      <w:r w:rsidRPr="007E22F7">
        <w:rPr>
          <w:rFonts w:ascii="Times New Roman" w:eastAsia="Times New Roman" w:hAnsi="Times New Roman" w:cs="Times New Roman"/>
          <w:sz w:val="26"/>
          <w:szCs w:val="26"/>
          <w:lang w:eastAsia="hu-HU"/>
        </w:rPr>
        <w:t xml:space="preserve">haladta meg. </w:t>
      </w:r>
      <w:r w:rsidRPr="007E22F7">
        <w:rPr>
          <w:rFonts w:ascii="Times New Roman" w:eastAsia="Calibri" w:hAnsi="Times New Roman" w:cs="Times New Roman"/>
          <w:sz w:val="26"/>
          <w:szCs w:val="26"/>
          <w:lang w:eastAsia="hu-HU"/>
        </w:rPr>
        <w:t>A bevételnövekedés oka a járulékköteles jövedelmek növekedése.</w:t>
      </w:r>
    </w:p>
    <w:p w14:paraId="6CB67DE9" w14:textId="46EDD8F3" w:rsidR="19667954" w:rsidRDefault="33985B12" w:rsidP="0036497A">
      <w:pPr>
        <w:jc w:val="both"/>
      </w:pPr>
      <w:r w:rsidRPr="33985B12">
        <w:rPr>
          <w:rFonts w:ascii="Times New Roman" w:eastAsia="Times New Roman" w:hAnsi="Times New Roman" w:cs="Times New Roman"/>
          <w:sz w:val="26"/>
          <w:szCs w:val="26"/>
        </w:rPr>
        <w:t xml:space="preserve">A </w:t>
      </w:r>
      <w:r w:rsidRPr="33985B12">
        <w:rPr>
          <w:rFonts w:ascii="Times New Roman" w:eastAsia="Times New Roman" w:hAnsi="Times New Roman" w:cs="Times New Roman"/>
          <w:b/>
          <w:bCs/>
          <w:sz w:val="26"/>
          <w:szCs w:val="26"/>
        </w:rPr>
        <w:t>Nyugdíjbiztosítási Alap</w:t>
      </w:r>
      <w:r w:rsidRPr="33985B12">
        <w:rPr>
          <w:rFonts w:ascii="Times New Roman" w:eastAsia="Times New Roman" w:hAnsi="Times New Roman" w:cs="Times New Roman"/>
          <w:sz w:val="26"/>
          <w:szCs w:val="26"/>
        </w:rPr>
        <w:t xml:space="preserve"> 2024. évi költségvetése az ellátási kiadások támogatására 531,4 milliárd forint központi </w:t>
      </w:r>
      <w:r w:rsidRPr="33985B12">
        <w:rPr>
          <w:rFonts w:ascii="Times New Roman" w:eastAsia="Times New Roman" w:hAnsi="Times New Roman" w:cs="Times New Roman"/>
          <w:b/>
          <w:bCs/>
          <w:sz w:val="26"/>
          <w:szCs w:val="26"/>
        </w:rPr>
        <w:t>költségvetési hozzájárulást</w:t>
      </w:r>
      <w:r w:rsidRPr="33985B12">
        <w:rPr>
          <w:rFonts w:ascii="Times New Roman" w:eastAsia="Times New Roman" w:hAnsi="Times New Roman" w:cs="Times New Roman"/>
          <w:sz w:val="26"/>
          <w:szCs w:val="26"/>
        </w:rPr>
        <w:t xml:space="preserve"> tartalmaz</w:t>
      </w:r>
      <w:r w:rsidR="002F0795">
        <w:rPr>
          <w:rFonts w:ascii="Times New Roman" w:eastAsia="Times New Roman" w:hAnsi="Times New Roman" w:cs="Times New Roman"/>
          <w:sz w:val="26"/>
          <w:szCs w:val="26"/>
        </w:rPr>
        <w:t>ott</w:t>
      </w:r>
      <w:r w:rsidRPr="33985B12">
        <w:rPr>
          <w:rFonts w:ascii="Times New Roman" w:eastAsia="Times New Roman" w:hAnsi="Times New Roman" w:cs="Times New Roman"/>
          <w:sz w:val="26"/>
          <w:szCs w:val="26"/>
        </w:rPr>
        <w:t>.</w:t>
      </w:r>
    </w:p>
    <w:p w14:paraId="2CBF9A93" w14:textId="6B239E05" w:rsidR="19667954" w:rsidRDefault="33985B12" w:rsidP="0036497A">
      <w:pPr>
        <w:jc w:val="both"/>
      </w:pPr>
      <w:r w:rsidRPr="33985B12">
        <w:rPr>
          <w:rFonts w:ascii="Times New Roman" w:eastAsia="Times New Roman" w:hAnsi="Times New Roman" w:cs="Times New Roman"/>
          <w:sz w:val="26"/>
          <w:szCs w:val="26"/>
        </w:rPr>
        <w:t>A Magyar Államkincstár a Nyugdíjbiztosítási Alap részére 2024</w:t>
      </w:r>
      <w:r w:rsidR="0036497A">
        <w:rPr>
          <w:rFonts w:ascii="Times New Roman" w:eastAsia="Times New Roman" w:hAnsi="Times New Roman" w:cs="Times New Roman"/>
          <w:sz w:val="26"/>
          <w:szCs w:val="26"/>
        </w:rPr>
        <w:t xml:space="preserve">-ben </w:t>
      </w:r>
      <w:r w:rsidRPr="33985B12">
        <w:rPr>
          <w:rFonts w:ascii="Times New Roman" w:eastAsia="Times New Roman" w:hAnsi="Times New Roman" w:cs="Times New Roman"/>
          <w:sz w:val="26"/>
          <w:szCs w:val="26"/>
        </w:rPr>
        <w:t xml:space="preserve">61,9 milliárd forint központi támogatást utalt át </w:t>
      </w:r>
      <w:r w:rsidRPr="33985B12">
        <w:rPr>
          <w:rFonts w:ascii="Times New Roman" w:eastAsia="Times New Roman" w:hAnsi="Times New Roman" w:cs="Times New Roman"/>
          <w:b/>
          <w:bCs/>
          <w:sz w:val="26"/>
          <w:szCs w:val="26"/>
        </w:rPr>
        <w:t>pénzeszköz-átadás</w:t>
      </w:r>
      <w:r w:rsidRPr="33985B12">
        <w:rPr>
          <w:rFonts w:ascii="Times New Roman" w:eastAsia="Times New Roman" w:hAnsi="Times New Roman" w:cs="Times New Roman"/>
          <w:sz w:val="26"/>
          <w:szCs w:val="26"/>
        </w:rPr>
        <w:t xml:space="preserve"> jogcímen, ami 590,7 milliárd forinttal </w:t>
      </w:r>
      <w:r w:rsidRPr="33985B12">
        <w:rPr>
          <w:rFonts w:ascii="Times New Roman" w:eastAsia="Times New Roman" w:hAnsi="Times New Roman" w:cs="Times New Roman"/>
          <w:sz w:val="26"/>
          <w:szCs w:val="26"/>
        </w:rPr>
        <w:lastRenderedPageBreak/>
        <w:t>alacsonyabb az előző év azonos időszakában nyújtott támogatás összegénél. A pénzeszköz-átadás a Nyugdíjbiztosítási Alap költségvetési egyensúlyának biztosítását szolgálja.</w:t>
      </w:r>
    </w:p>
    <w:p w14:paraId="16B79A52" w14:textId="7B98A5E9" w:rsidR="19667954" w:rsidRDefault="33985B12" w:rsidP="0036497A">
      <w:pPr>
        <w:jc w:val="both"/>
      </w:pPr>
      <w:r w:rsidRPr="33985B12">
        <w:rPr>
          <w:rFonts w:ascii="Times New Roman" w:eastAsia="Times New Roman" w:hAnsi="Times New Roman" w:cs="Times New Roman"/>
          <w:sz w:val="26"/>
          <w:szCs w:val="26"/>
        </w:rPr>
        <w:t xml:space="preserve">A 13. havi nyugdíj kifizetésének támogatására </w:t>
      </w:r>
      <w:r w:rsidR="009F7C5E">
        <w:rPr>
          <w:rFonts w:ascii="Times New Roman" w:eastAsia="Times New Roman" w:hAnsi="Times New Roman" w:cs="Times New Roman"/>
          <w:sz w:val="26"/>
          <w:szCs w:val="26"/>
        </w:rPr>
        <w:t xml:space="preserve">2024. </w:t>
      </w:r>
      <w:r w:rsidRPr="33985B12">
        <w:rPr>
          <w:rFonts w:ascii="Times New Roman" w:eastAsia="Times New Roman" w:hAnsi="Times New Roman" w:cs="Times New Roman"/>
          <w:sz w:val="26"/>
          <w:szCs w:val="26"/>
        </w:rPr>
        <w:t>február hónapban 449,0 milliárd forint került átutalásra a Nyugdíjbiztosítási Alap részére, ami 31,0 milliárd forinttal haladja meg a</w:t>
      </w:r>
      <w:r w:rsidR="009F7C5E">
        <w:rPr>
          <w:rFonts w:ascii="Times New Roman" w:eastAsia="Times New Roman" w:hAnsi="Times New Roman" w:cs="Times New Roman"/>
          <w:sz w:val="26"/>
          <w:szCs w:val="26"/>
        </w:rPr>
        <w:t xml:space="preserve"> 2023. </w:t>
      </w:r>
      <w:r w:rsidRPr="33985B12">
        <w:rPr>
          <w:rFonts w:ascii="Times New Roman" w:eastAsia="Times New Roman" w:hAnsi="Times New Roman" w:cs="Times New Roman"/>
          <w:sz w:val="26"/>
          <w:szCs w:val="26"/>
        </w:rPr>
        <w:t xml:space="preserve">év azonos időszakában ugyanezen a jogcímen nyújtott támogatás összegét. </w:t>
      </w:r>
      <w:r w:rsidR="009F7C5E">
        <w:rPr>
          <w:rFonts w:ascii="Times New Roman" w:eastAsia="Times New Roman" w:hAnsi="Times New Roman" w:cs="Times New Roman"/>
          <w:sz w:val="26"/>
          <w:szCs w:val="26"/>
        </w:rPr>
        <w:t>A </w:t>
      </w:r>
      <w:r w:rsidRPr="33985B12">
        <w:rPr>
          <w:rFonts w:ascii="Times New Roman" w:eastAsia="Times New Roman" w:hAnsi="Times New Roman" w:cs="Times New Roman"/>
          <w:sz w:val="26"/>
          <w:szCs w:val="26"/>
        </w:rPr>
        <w:t xml:space="preserve">céltámogatás 7,4%-os növekedésének oka a </w:t>
      </w:r>
      <w:r w:rsidR="009F7C5E">
        <w:rPr>
          <w:rFonts w:ascii="Times New Roman" w:eastAsia="Times New Roman" w:hAnsi="Times New Roman" w:cs="Times New Roman"/>
          <w:sz w:val="26"/>
          <w:szCs w:val="26"/>
        </w:rPr>
        <w:t xml:space="preserve">2024. </w:t>
      </w:r>
      <w:r w:rsidRPr="33985B12">
        <w:rPr>
          <w:rFonts w:ascii="Times New Roman" w:eastAsia="Times New Roman" w:hAnsi="Times New Roman" w:cs="Times New Roman"/>
          <w:sz w:val="26"/>
          <w:szCs w:val="26"/>
        </w:rPr>
        <w:t>jan</w:t>
      </w:r>
      <w:r w:rsidR="009F7C5E">
        <w:rPr>
          <w:rFonts w:ascii="Times New Roman" w:eastAsia="Times New Roman" w:hAnsi="Times New Roman" w:cs="Times New Roman"/>
          <w:sz w:val="26"/>
          <w:szCs w:val="26"/>
        </w:rPr>
        <w:t>uári 6%-os nyugdíjemelés, és a 2023. </w:t>
      </w:r>
      <w:r w:rsidRPr="33985B12">
        <w:rPr>
          <w:rFonts w:ascii="Times New Roman" w:eastAsia="Times New Roman" w:hAnsi="Times New Roman" w:cs="Times New Roman"/>
          <w:sz w:val="26"/>
          <w:szCs w:val="26"/>
        </w:rPr>
        <w:t>évről áthúzódó cserélődési és létszámhatás tervezett mértékének beépülése a juttatás összegébe.</w:t>
      </w:r>
    </w:p>
    <w:p w14:paraId="3AEEF6FB" w14:textId="41D7CBED" w:rsidR="00C35E13" w:rsidRDefault="00BB12FE" w:rsidP="0036497A">
      <w:pPr>
        <w:pStyle w:val="NormlWeb"/>
        <w:spacing w:before="0" w:beforeAutospacing="0" w:after="160" w:afterAutospacing="0" w:line="259" w:lineRule="auto"/>
        <w:jc w:val="center"/>
      </w:pPr>
      <w:r>
        <w:rPr>
          <w:noProof/>
        </w:rPr>
        <w:drawing>
          <wp:inline distT="0" distB="0" distL="0" distR="0" wp14:anchorId="0EB70D94" wp14:editId="390DB101">
            <wp:extent cx="5786470" cy="2271909"/>
            <wp:effectExtent l="0" t="0" r="5080" b="0"/>
            <wp:docPr id="18" name="Kép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801220" cy="2277700"/>
                    </a:xfrm>
                    <a:prstGeom prst="rect">
                      <a:avLst/>
                    </a:prstGeom>
                  </pic:spPr>
                </pic:pic>
              </a:graphicData>
            </a:graphic>
          </wp:inline>
        </w:drawing>
      </w:r>
    </w:p>
    <w:p w14:paraId="2DA8BBE5" w14:textId="77777777" w:rsidR="002F0795" w:rsidRDefault="002F0795" w:rsidP="0036497A">
      <w:pPr>
        <w:jc w:val="both"/>
        <w:rPr>
          <w:rFonts w:ascii="Times New Roman" w:eastAsia="Calibri" w:hAnsi="Times New Roman" w:cs="Times New Roman"/>
          <w:sz w:val="26"/>
          <w:szCs w:val="26"/>
          <w:lang w:eastAsia="hu-HU"/>
        </w:rPr>
      </w:pPr>
    </w:p>
    <w:p w14:paraId="28BD7FF4" w14:textId="357ED101" w:rsidR="007E22F7" w:rsidRPr="007E22F7" w:rsidRDefault="007E22F7" w:rsidP="0036497A">
      <w:pPr>
        <w:jc w:val="both"/>
        <w:rPr>
          <w:rFonts w:ascii="Times New Roman" w:eastAsia="Times New Roman" w:hAnsi="Times New Roman" w:cs="Times New Roman"/>
          <w:sz w:val="26"/>
          <w:szCs w:val="26"/>
          <w:lang w:eastAsia="hu-HU"/>
        </w:rPr>
      </w:pPr>
      <w:r w:rsidRPr="007E22F7">
        <w:rPr>
          <w:rFonts w:ascii="Times New Roman" w:eastAsia="Calibri" w:hAnsi="Times New Roman" w:cs="Times New Roman"/>
          <w:sz w:val="26"/>
          <w:szCs w:val="26"/>
          <w:lang w:eastAsia="hu-HU"/>
        </w:rPr>
        <w:lastRenderedPageBreak/>
        <w:t xml:space="preserve">2024-ben a </w:t>
      </w:r>
      <w:r w:rsidRPr="007E22F7">
        <w:rPr>
          <w:rFonts w:ascii="Times New Roman" w:eastAsia="Calibri" w:hAnsi="Times New Roman" w:cs="Times New Roman"/>
          <w:b/>
          <w:bCs/>
          <w:sz w:val="26"/>
          <w:szCs w:val="26"/>
          <w:lang w:eastAsia="hu-HU"/>
        </w:rPr>
        <w:t>szociális hozzájárulási adó Egészségbiztosítási Alapot megillető része</w:t>
      </w:r>
      <w:r w:rsidRPr="007E22F7">
        <w:rPr>
          <w:rFonts w:ascii="Times New Roman" w:eastAsia="Calibri" w:hAnsi="Times New Roman" w:cs="Times New Roman"/>
          <w:sz w:val="26"/>
          <w:szCs w:val="26"/>
          <w:lang w:eastAsia="hu-HU"/>
        </w:rPr>
        <w:t xml:space="preserve"> (329,4</w:t>
      </w:r>
      <w:r w:rsidRPr="007E22F7">
        <w:rPr>
          <w:rFonts w:ascii="Times New Roman" w:eastAsia="Times New Roman" w:hAnsi="Times New Roman" w:cs="Times New Roman"/>
          <w:sz w:val="26"/>
          <w:szCs w:val="20"/>
          <w:lang w:eastAsia="hu-HU"/>
        </w:rPr>
        <w:t> </w:t>
      </w:r>
      <w:r w:rsidRPr="007E22F7">
        <w:rPr>
          <w:rFonts w:ascii="Times New Roman" w:eastAsia="Calibri" w:hAnsi="Times New Roman" w:cs="Times New Roman"/>
          <w:sz w:val="26"/>
          <w:szCs w:val="26"/>
          <w:lang w:eastAsia="hu-HU"/>
        </w:rPr>
        <w:t>milliárd</w:t>
      </w:r>
      <w:r w:rsidRPr="007E22F7">
        <w:rPr>
          <w:rFonts w:ascii="Times New Roman" w:eastAsia="Times New Roman" w:hAnsi="Times New Roman" w:cs="Times New Roman"/>
          <w:sz w:val="26"/>
          <w:szCs w:val="20"/>
          <w:lang w:eastAsia="hu-HU"/>
        </w:rPr>
        <w:t> </w:t>
      </w:r>
      <w:r w:rsidRPr="007E22F7">
        <w:rPr>
          <w:rFonts w:ascii="Times New Roman" w:eastAsia="Calibri" w:hAnsi="Times New Roman" w:cs="Times New Roman"/>
          <w:sz w:val="26"/>
          <w:szCs w:val="26"/>
          <w:lang w:eastAsia="hu-HU"/>
        </w:rPr>
        <w:t>forint) 424,0</w:t>
      </w:r>
      <w:r w:rsidRPr="007E22F7">
        <w:rPr>
          <w:rFonts w:ascii="Times New Roman" w:eastAsia="Times New Roman" w:hAnsi="Times New Roman" w:cs="Times New Roman"/>
          <w:sz w:val="26"/>
          <w:szCs w:val="20"/>
          <w:lang w:eastAsia="hu-HU"/>
        </w:rPr>
        <w:t> </w:t>
      </w:r>
      <w:r w:rsidRPr="007E22F7">
        <w:rPr>
          <w:rFonts w:ascii="Times New Roman" w:eastAsia="Calibri" w:hAnsi="Times New Roman" w:cs="Times New Roman"/>
          <w:sz w:val="26"/>
          <w:szCs w:val="26"/>
          <w:lang w:eastAsia="hu-HU"/>
        </w:rPr>
        <w:t>milliárd</w:t>
      </w:r>
      <w:r w:rsidRPr="007E22F7">
        <w:rPr>
          <w:rFonts w:ascii="Times New Roman" w:eastAsia="Times New Roman" w:hAnsi="Times New Roman" w:cs="Times New Roman"/>
          <w:sz w:val="26"/>
          <w:szCs w:val="20"/>
          <w:lang w:eastAsia="hu-HU"/>
        </w:rPr>
        <w:t> </w:t>
      </w:r>
      <w:r w:rsidRPr="007E22F7">
        <w:rPr>
          <w:rFonts w:ascii="Times New Roman" w:eastAsia="Calibri" w:hAnsi="Times New Roman" w:cs="Times New Roman"/>
          <w:sz w:val="26"/>
          <w:szCs w:val="26"/>
          <w:lang w:eastAsia="hu-HU"/>
        </w:rPr>
        <w:t xml:space="preserve">forinttal kevesebb az előző évben befolyt bevételnél. </w:t>
      </w:r>
      <w:r w:rsidRPr="007E22F7">
        <w:rPr>
          <w:rFonts w:ascii="Times New Roman" w:eastAsia="Times New Roman" w:hAnsi="Times New Roman" w:cs="Times New Roman"/>
          <w:sz w:val="26"/>
          <w:szCs w:val="26"/>
          <w:lang w:eastAsia="hu-HU"/>
        </w:rPr>
        <w:t>A bevétel változása az adóköteles jövedelmek növekedésével és az alapok közötti megoszlási arány változásának együttes hatásával magyarázható.</w:t>
      </w:r>
    </w:p>
    <w:p w14:paraId="08E28491" w14:textId="4DFB29EF" w:rsidR="007E22F7" w:rsidRPr="007E22F7" w:rsidRDefault="007E22F7" w:rsidP="0036497A">
      <w:pPr>
        <w:jc w:val="both"/>
        <w:rPr>
          <w:rFonts w:ascii="Times New Roman" w:eastAsia="Calibri" w:hAnsi="Times New Roman" w:cs="Times New Roman"/>
          <w:sz w:val="26"/>
          <w:szCs w:val="26"/>
          <w:lang w:eastAsia="hu-HU"/>
        </w:rPr>
      </w:pPr>
      <w:r w:rsidRPr="007E22F7">
        <w:rPr>
          <w:rFonts w:ascii="Times New Roman" w:eastAsia="Calibri" w:hAnsi="Times New Roman" w:cs="Times New Roman"/>
          <w:sz w:val="26"/>
          <w:szCs w:val="26"/>
          <w:lang w:eastAsia="hu-HU"/>
        </w:rPr>
        <w:t>A befizetett társadalombiztosítási járulék 37,9%-át az állami adóhatóság az Egészségbiztosítási Alapnak utalja át. 2024</w:t>
      </w:r>
      <w:r w:rsidR="00D65C55">
        <w:rPr>
          <w:rFonts w:ascii="Times New Roman" w:eastAsia="Calibri" w:hAnsi="Times New Roman" w:cs="Times New Roman"/>
          <w:sz w:val="26"/>
          <w:szCs w:val="26"/>
          <w:lang w:eastAsia="hu-HU"/>
        </w:rPr>
        <w:t>-ben</w:t>
      </w:r>
      <w:r w:rsidRPr="007E22F7">
        <w:rPr>
          <w:rFonts w:ascii="Times New Roman" w:eastAsia="Calibri" w:hAnsi="Times New Roman" w:cs="Times New Roman"/>
          <w:sz w:val="26"/>
          <w:szCs w:val="26"/>
          <w:lang w:eastAsia="hu-HU"/>
        </w:rPr>
        <w:t xml:space="preserve"> a </w:t>
      </w:r>
      <w:r w:rsidRPr="007E22F7">
        <w:rPr>
          <w:rFonts w:ascii="Times New Roman" w:eastAsia="Calibri" w:hAnsi="Times New Roman" w:cs="Times New Roman"/>
          <w:b/>
          <w:bCs/>
          <w:sz w:val="26"/>
          <w:szCs w:val="26"/>
          <w:lang w:eastAsia="hu-HU"/>
        </w:rPr>
        <w:t>társadalombiztosítási járulék Egészségbiztosítási Alapot megillető része és egészségbiztosítási járulék</w:t>
      </w:r>
      <w:r w:rsidRPr="007E22F7">
        <w:rPr>
          <w:rFonts w:ascii="Times New Roman" w:eastAsia="Calibri" w:hAnsi="Times New Roman" w:cs="Times New Roman"/>
          <w:sz w:val="26"/>
          <w:szCs w:val="26"/>
          <w:lang w:eastAsia="hu-HU"/>
        </w:rPr>
        <w:t xml:space="preserve"> 1</w:t>
      </w:r>
      <w:r w:rsidR="00D65C55">
        <w:rPr>
          <w:rFonts w:ascii="Times New Roman" w:eastAsia="Calibri" w:hAnsi="Times New Roman" w:cs="Times New Roman"/>
          <w:sz w:val="26"/>
          <w:szCs w:val="26"/>
          <w:lang w:eastAsia="hu-HU"/>
        </w:rPr>
        <w:t> </w:t>
      </w:r>
      <w:r w:rsidRPr="007E22F7">
        <w:rPr>
          <w:rFonts w:ascii="Times New Roman" w:eastAsia="Calibri" w:hAnsi="Times New Roman" w:cs="Times New Roman"/>
          <w:sz w:val="26"/>
          <w:szCs w:val="26"/>
          <w:lang w:eastAsia="hu-HU"/>
        </w:rPr>
        <w:t>860,5</w:t>
      </w:r>
      <w:r w:rsidRPr="007E22F7">
        <w:rPr>
          <w:rFonts w:ascii="Times New Roman" w:eastAsia="Times New Roman" w:hAnsi="Times New Roman" w:cs="Times New Roman"/>
          <w:sz w:val="26"/>
          <w:szCs w:val="20"/>
          <w:lang w:eastAsia="hu-HU"/>
        </w:rPr>
        <w:t> </w:t>
      </w:r>
      <w:r w:rsidRPr="007E22F7">
        <w:rPr>
          <w:rFonts w:ascii="Times New Roman" w:eastAsia="Calibri" w:hAnsi="Times New Roman" w:cs="Times New Roman"/>
          <w:sz w:val="26"/>
          <w:szCs w:val="26"/>
          <w:lang w:eastAsia="hu-HU"/>
        </w:rPr>
        <w:t>milliárd</w:t>
      </w:r>
      <w:r w:rsidRPr="007E22F7">
        <w:rPr>
          <w:rFonts w:ascii="Times New Roman" w:eastAsia="Times New Roman" w:hAnsi="Times New Roman" w:cs="Times New Roman"/>
          <w:sz w:val="26"/>
          <w:szCs w:val="20"/>
          <w:lang w:eastAsia="hu-HU"/>
        </w:rPr>
        <w:t> </w:t>
      </w:r>
      <w:r w:rsidRPr="007E22F7">
        <w:rPr>
          <w:rFonts w:ascii="Times New Roman" w:eastAsia="Calibri" w:hAnsi="Times New Roman" w:cs="Times New Roman"/>
          <w:sz w:val="26"/>
          <w:szCs w:val="26"/>
          <w:lang w:eastAsia="hu-HU"/>
        </w:rPr>
        <w:t>forintban teljesült, amely a</w:t>
      </w:r>
      <w:r w:rsidR="00194065">
        <w:rPr>
          <w:rFonts w:ascii="Times New Roman" w:eastAsia="Calibri" w:hAnsi="Times New Roman" w:cs="Times New Roman"/>
          <w:sz w:val="26"/>
          <w:szCs w:val="26"/>
          <w:lang w:eastAsia="hu-HU"/>
        </w:rPr>
        <w:t xml:space="preserve"> 2023. </w:t>
      </w:r>
      <w:r w:rsidRPr="007E22F7">
        <w:rPr>
          <w:rFonts w:ascii="Times New Roman" w:eastAsia="Calibri" w:hAnsi="Times New Roman" w:cs="Times New Roman"/>
          <w:sz w:val="26"/>
          <w:szCs w:val="26"/>
          <w:lang w:eastAsia="hu-HU"/>
        </w:rPr>
        <w:t>évben befolyt bevételt 224,0 milliárd</w:t>
      </w:r>
      <w:r w:rsidRPr="007E22F7">
        <w:rPr>
          <w:rFonts w:ascii="Times New Roman" w:eastAsia="Times New Roman" w:hAnsi="Times New Roman" w:cs="Times New Roman"/>
          <w:sz w:val="26"/>
          <w:szCs w:val="20"/>
          <w:lang w:eastAsia="hu-HU"/>
        </w:rPr>
        <w:t> </w:t>
      </w:r>
      <w:r w:rsidRPr="007E22F7">
        <w:rPr>
          <w:rFonts w:ascii="Times New Roman" w:eastAsia="Calibri" w:hAnsi="Times New Roman" w:cs="Times New Roman"/>
          <w:sz w:val="26"/>
          <w:szCs w:val="26"/>
          <w:lang w:eastAsia="hu-HU"/>
        </w:rPr>
        <w:t>forinttal, 13,7%-kal haladta meg. A bevételnövekedés oka a járulékköteles jövedelmek növekedése.</w:t>
      </w:r>
    </w:p>
    <w:p w14:paraId="1E047965" w14:textId="49213054" w:rsidR="005961B9" w:rsidRDefault="33985B12" w:rsidP="0036497A">
      <w:pPr>
        <w:jc w:val="both"/>
        <w:rPr>
          <w:rFonts w:ascii="Times New Roman" w:hAnsi="Times New Roman" w:cs="Times New Roman"/>
          <w:sz w:val="26"/>
          <w:szCs w:val="26"/>
        </w:rPr>
      </w:pPr>
      <w:r w:rsidRPr="33985B12">
        <w:rPr>
          <w:rFonts w:ascii="Times New Roman" w:hAnsi="Times New Roman" w:cs="Times New Roman"/>
          <w:sz w:val="26"/>
          <w:szCs w:val="26"/>
        </w:rPr>
        <w:t xml:space="preserve">Az </w:t>
      </w:r>
      <w:r w:rsidRPr="33985B12">
        <w:rPr>
          <w:rFonts w:ascii="Times New Roman" w:hAnsi="Times New Roman" w:cs="Times New Roman"/>
          <w:b/>
          <w:bCs/>
          <w:sz w:val="26"/>
          <w:szCs w:val="26"/>
        </w:rPr>
        <w:t>Egészségbiztosítási Alap költségvetési hozzájárulásai</w:t>
      </w:r>
      <w:r w:rsidRPr="33985B12">
        <w:rPr>
          <w:rFonts w:ascii="Times New Roman" w:hAnsi="Times New Roman" w:cs="Times New Roman"/>
          <w:sz w:val="26"/>
          <w:szCs w:val="26"/>
        </w:rPr>
        <w:t xml:space="preserve"> 2024-ben összesen 1 891,0 milliárd forintot tettek ki, amely 628,9 milliárd forinttal magasabb, mint a</w:t>
      </w:r>
      <w:r w:rsidR="00194065">
        <w:rPr>
          <w:rFonts w:ascii="Times New Roman" w:hAnsi="Times New Roman" w:cs="Times New Roman"/>
          <w:sz w:val="26"/>
          <w:szCs w:val="26"/>
        </w:rPr>
        <w:t xml:space="preserve"> 2023. </w:t>
      </w:r>
      <w:r w:rsidRPr="33985B12">
        <w:rPr>
          <w:rFonts w:ascii="Times New Roman" w:hAnsi="Times New Roman" w:cs="Times New Roman"/>
          <w:sz w:val="26"/>
          <w:szCs w:val="26"/>
        </w:rPr>
        <w:t xml:space="preserve">évben átutalt összeg. 2024-ben az Egészségbiztosítási Alap járulék címen átvett pénzeszközként 652,9 milliárd forint támogatást kapott, szemben a </w:t>
      </w:r>
      <w:r w:rsidR="00D65C55">
        <w:rPr>
          <w:rFonts w:ascii="Times New Roman" w:hAnsi="Times New Roman" w:cs="Times New Roman"/>
          <w:sz w:val="26"/>
          <w:szCs w:val="26"/>
        </w:rPr>
        <w:t>2023.</w:t>
      </w:r>
      <w:r w:rsidRPr="33985B12">
        <w:rPr>
          <w:rFonts w:ascii="Times New Roman" w:hAnsi="Times New Roman" w:cs="Times New Roman"/>
          <w:sz w:val="26"/>
          <w:szCs w:val="26"/>
        </w:rPr>
        <w:t xml:space="preserve"> évben átutalt 567,9 milliárd forintos összeggel. Az Alap kiadásainak támogatására szolgáló tervezett </w:t>
      </w:r>
      <w:r w:rsidRPr="33985B12">
        <w:rPr>
          <w:rFonts w:ascii="Times New Roman" w:hAnsi="Times New Roman" w:cs="Times New Roman"/>
          <w:sz w:val="26"/>
          <w:szCs w:val="26"/>
        </w:rPr>
        <w:lastRenderedPageBreak/>
        <w:t xml:space="preserve">pénzeszköz-átvétel és az egészségügyi feladatok ellátásával kapcsolatos hozzájárulás együttes összege 2024-ben 1 238,1 milliárd forintot tett ki, amely 543,8 milliárd forinttal haladta meg a </w:t>
      </w:r>
      <w:r w:rsidR="00D65C55">
        <w:rPr>
          <w:rFonts w:ascii="Times New Roman" w:hAnsi="Times New Roman" w:cs="Times New Roman"/>
          <w:sz w:val="26"/>
          <w:szCs w:val="26"/>
        </w:rPr>
        <w:t>2023.</w:t>
      </w:r>
      <w:r w:rsidRPr="33985B12">
        <w:rPr>
          <w:rFonts w:ascii="Times New Roman" w:hAnsi="Times New Roman" w:cs="Times New Roman"/>
          <w:sz w:val="26"/>
          <w:szCs w:val="26"/>
        </w:rPr>
        <w:t xml:space="preserve"> év ezen időszakában átutalt összeget.</w:t>
      </w:r>
    </w:p>
    <w:p w14:paraId="754C440E" w14:textId="77777777" w:rsidR="005961B9" w:rsidRDefault="005961B9">
      <w:pPr>
        <w:rPr>
          <w:rFonts w:ascii="Times New Roman" w:hAnsi="Times New Roman" w:cs="Times New Roman"/>
          <w:sz w:val="26"/>
          <w:szCs w:val="26"/>
        </w:rPr>
      </w:pPr>
      <w:r>
        <w:rPr>
          <w:rFonts w:ascii="Times New Roman" w:hAnsi="Times New Roman" w:cs="Times New Roman"/>
          <w:sz w:val="26"/>
          <w:szCs w:val="26"/>
        </w:rPr>
        <w:br w:type="page"/>
      </w:r>
    </w:p>
    <w:p w14:paraId="51F08DF7" w14:textId="36E87ACD" w:rsidR="009E34AE" w:rsidRPr="00377D59" w:rsidRDefault="33985B12" w:rsidP="33985B12">
      <w:pPr>
        <w:keepNext/>
        <w:numPr>
          <w:ilvl w:val="0"/>
          <w:numId w:val="3"/>
        </w:numPr>
        <w:spacing w:after="120" w:line="240" w:lineRule="auto"/>
        <w:jc w:val="both"/>
        <w:outlineLvl w:val="2"/>
        <w:rPr>
          <w:rFonts w:ascii="Times New Roman" w:eastAsia="Times New Roman" w:hAnsi="Times New Roman" w:cs="Times New Roman"/>
          <w:b/>
          <w:bCs/>
          <w:smallCaps/>
          <w:sz w:val="28"/>
          <w:szCs w:val="28"/>
          <w:lang w:eastAsia="hu-HU"/>
        </w:rPr>
      </w:pPr>
      <w:r w:rsidRPr="33985B12">
        <w:rPr>
          <w:rFonts w:ascii="Times New Roman" w:eastAsia="Times New Roman" w:hAnsi="Times New Roman" w:cs="Times New Roman"/>
          <w:b/>
          <w:bCs/>
          <w:smallCaps/>
          <w:sz w:val="28"/>
          <w:szCs w:val="28"/>
          <w:lang w:eastAsia="hu-HU"/>
        </w:rPr>
        <w:lastRenderedPageBreak/>
        <w:t xml:space="preserve">A főbb kiadások </w:t>
      </w:r>
    </w:p>
    <w:p w14:paraId="1EC78367" w14:textId="5D30BBEA" w:rsidR="00BB12FE" w:rsidRPr="00BB12FE" w:rsidRDefault="33985B12" w:rsidP="00BB12FE">
      <w:pPr>
        <w:spacing w:after="120"/>
        <w:jc w:val="both"/>
        <w:rPr>
          <w:rFonts w:ascii="Times New Roman" w:eastAsia="Times New Roman" w:hAnsi="Times New Roman" w:cs="Times New Roman"/>
          <w:b/>
          <w:bCs/>
          <w:sz w:val="26"/>
          <w:szCs w:val="26"/>
          <w:lang w:eastAsia="hu-HU"/>
        </w:rPr>
      </w:pPr>
      <w:r w:rsidRPr="33985B12">
        <w:rPr>
          <w:rFonts w:ascii="Times New Roman" w:eastAsia="Times New Roman" w:hAnsi="Times New Roman" w:cs="Times New Roman"/>
          <w:b/>
          <w:bCs/>
          <w:sz w:val="26"/>
          <w:szCs w:val="26"/>
          <w:lang w:eastAsia="hu-HU"/>
        </w:rPr>
        <w:t xml:space="preserve">A </w:t>
      </w:r>
      <w:r w:rsidR="00BB12FE" w:rsidRPr="00BB12FE">
        <w:rPr>
          <w:rFonts w:ascii="Times New Roman" w:eastAsia="Times New Roman" w:hAnsi="Times New Roman" w:cs="Times New Roman"/>
          <w:b/>
          <w:bCs/>
          <w:sz w:val="26"/>
          <w:szCs w:val="26"/>
          <w:lang w:eastAsia="hu-HU"/>
        </w:rPr>
        <w:t>közpo</w:t>
      </w:r>
      <w:r w:rsidR="006879C8">
        <w:rPr>
          <w:rFonts w:ascii="Times New Roman" w:eastAsia="Times New Roman" w:hAnsi="Times New Roman" w:cs="Times New Roman"/>
          <w:b/>
          <w:bCs/>
          <w:sz w:val="26"/>
          <w:szCs w:val="26"/>
          <w:lang w:eastAsia="hu-HU"/>
        </w:rPr>
        <w:t>nti alrendszer december végi 42 </w:t>
      </w:r>
      <w:r w:rsidR="00BB12FE" w:rsidRPr="00BB12FE">
        <w:rPr>
          <w:rFonts w:ascii="Times New Roman" w:eastAsia="Times New Roman" w:hAnsi="Times New Roman" w:cs="Times New Roman"/>
          <w:b/>
          <w:bCs/>
          <w:sz w:val="26"/>
          <w:szCs w:val="26"/>
          <w:lang w:eastAsia="hu-HU"/>
        </w:rPr>
        <w:t>134,0 milliárd forint összegű kiadása</w:t>
      </w:r>
      <w:r w:rsidR="00BB12FE">
        <w:rPr>
          <w:rFonts w:ascii="Times New Roman" w:eastAsia="Times New Roman" w:hAnsi="Times New Roman" w:cs="Times New Roman"/>
          <w:b/>
          <w:bCs/>
          <w:sz w:val="26"/>
          <w:szCs w:val="26"/>
          <w:lang w:eastAsia="hu-HU"/>
        </w:rPr>
        <w:t>i 866,6 </w:t>
      </w:r>
      <w:r w:rsidR="00BB12FE" w:rsidRPr="00BB12FE">
        <w:rPr>
          <w:rFonts w:ascii="Times New Roman" w:eastAsia="Times New Roman" w:hAnsi="Times New Roman" w:cs="Times New Roman"/>
          <w:b/>
          <w:bCs/>
          <w:sz w:val="26"/>
          <w:szCs w:val="26"/>
          <w:lang w:eastAsia="hu-HU"/>
        </w:rPr>
        <w:t xml:space="preserve">milliárd forinttal, 2,1%-kal haladták meg az előző év azonos időszaki adatát. </w:t>
      </w:r>
    </w:p>
    <w:p w14:paraId="6708C581" w14:textId="77777777" w:rsidR="00BB12FE" w:rsidRPr="00BB12FE" w:rsidRDefault="00BB12FE" w:rsidP="00BB12FE">
      <w:pPr>
        <w:spacing w:after="120"/>
        <w:jc w:val="both"/>
        <w:rPr>
          <w:rFonts w:ascii="Times New Roman" w:eastAsia="Times New Roman" w:hAnsi="Times New Roman" w:cs="Times New Roman"/>
          <w:b/>
          <w:bCs/>
          <w:sz w:val="26"/>
          <w:szCs w:val="26"/>
          <w:lang w:eastAsia="hu-HU"/>
        </w:rPr>
      </w:pPr>
      <w:r w:rsidRPr="00BB12FE">
        <w:rPr>
          <w:rFonts w:ascii="Times New Roman" w:eastAsia="Times New Roman" w:hAnsi="Times New Roman" w:cs="Times New Roman"/>
          <w:b/>
          <w:bCs/>
          <w:sz w:val="26"/>
          <w:szCs w:val="26"/>
          <w:lang w:eastAsia="hu-HU"/>
        </w:rPr>
        <w:t>Magasabban teljesültek az egy évvel korábbihoz képest többek között a családügyi és normatív támogatások, a költségvetési szervek kiadásai, valamint a kamatkiadások.</w:t>
      </w:r>
    </w:p>
    <w:p w14:paraId="447C5EFC" w14:textId="680316A3" w:rsidR="005C15F7" w:rsidRPr="00377D59" w:rsidRDefault="00BB12FE" w:rsidP="00BB12FE">
      <w:pPr>
        <w:spacing w:after="120"/>
        <w:jc w:val="both"/>
        <w:rPr>
          <w:rFonts w:ascii="Times New Roman" w:eastAsia="Times New Roman" w:hAnsi="Times New Roman" w:cs="Times New Roman"/>
          <w:b/>
          <w:bCs/>
          <w:sz w:val="26"/>
          <w:szCs w:val="26"/>
          <w:lang w:eastAsia="hu-HU"/>
        </w:rPr>
      </w:pPr>
      <w:r w:rsidRPr="00BB12FE">
        <w:rPr>
          <w:rFonts w:ascii="Times New Roman" w:eastAsia="Times New Roman" w:hAnsi="Times New Roman" w:cs="Times New Roman"/>
          <w:b/>
          <w:bCs/>
          <w:sz w:val="26"/>
          <w:szCs w:val="26"/>
          <w:lang w:eastAsia="hu-HU"/>
        </w:rPr>
        <w:t>Meghaladták az egy évvel korábbi kifizetést a nyugellátásokra és a gyógyító-megelőző ellátásra fordított</w:t>
      </w:r>
      <w:r w:rsidR="006879C8">
        <w:rPr>
          <w:rFonts w:ascii="Times New Roman" w:eastAsia="Times New Roman" w:hAnsi="Times New Roman" w:cs="Times New Roman"/>
          <w:b/>
          <w:bCs/>
          <w:sz w:val="26"/>
          <w:szCs w:val="26"/>
          <w:lang w:eastAsia="hu-HU"/>
        </w:rPr>
        <w:t xml:space="preserve"> összegek is. Nyugellátásokra 6 </w:t>
      </w:r>
      <w:r w:rsidRPr="00BB12FE">
        <w:rPr>
          <w:rFonts w:ascii="Times New Roman" w:eastAsia="Times New Roman" w:hAnsi="Times New Roman" w:cs="Times New Roman"/>
          <w:b/>
          <w:bCs/>
          <w:sz w:val="26"/>
          <w:szCs w:val="26"/>
          <w:lang w:eastAsia="hu-HU"/>
        </w:rPr>
        <w:t>209,6 milliárd forint, míg a gyógyító-megelőző ellátásra 2</w:t>
      </w:r>
      <w:r w:rsidR="006879C8">
        <w:rPr>
          <w:rFonts w:ascii="Times New Roman" w:eastAsia="Times New Roman" w:hAnsi="Times New Roman" w:cs="Times New Roman"/>
          <w:b/>
          <w:bCs/>
          <w:sz w:val="26"/>
          <w:szCs w:val="26"/>
          <w:lang w:eastAsia="hu-HU"/>
        </w:rPr>
        <w:t> </w:t>
      </w:r>
      <w:r w:rsidRPr="00BB12FE">
        <w:rPr>
          <w:rFonts w:ascii="Times New Roman" w:eastAsia="Times New Roman" w:hAnsi="Times New Roman" w:cs="Times New Roman"/>
          <w:b/>
          <w:bCs/>
          <w:sz w:val="26"/>
          <w:szCs w:val="26"/>
          <w:lang w:eastAsia="hu-HU"/>
        </w:rPr>
        <w:t>684,1 milliárd forint került kifizetésre december végéig</w:t>
      </w:r>
      <w:r w:rsidR="33985B12" w:rsidRPr="33985B12">
        <w:rPr>
          <w:rFonts w:ascii="Times New Roman" w:eastAsia="Times New Roman" w:hAnsi="Times New Roman" w:cs="Times New Roman"/>
          <w:b/>
          <w:bCs/>
          <w:sz w:val="26"/>
          <w:szCs w:val="26"/>
          <w:lang w:eastAsia="hu-HU"/>
        </w:rPr>
        <w:t>.</w:t>
      </w:r>
    </w:p>
    <w:p w14:paraId="71AFDEF8" w14:textId="5FA0A7C7" w:rsidR="00C35E13" w:rsidRDefault="00401B4D" w:rsidP="00C11940">
      <w:pPr>
        <w:pStyle w:val="NormlWeb"/>
        <w:jc w:val="center"/>
      </w:pPr>
      <w:r>
        <w:rPr>
          <w:noProof/>
        </w:rPr>
        <w:drawing>
          <wp:inline distT="0" distB="0" distL="0" distR="0" wp14:anchorId="315164B2" wp14:editId="72C3653E">
            <wp:extent cx="5940425" cy="2013585"/>
            <wp:effectExtent l="0" t="0" r="3175" b="5715"/>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0425" cy="2013585"/>
                    </a:xfrm>
                    <a:prstGeom prst="rect">
                      <a:avLst/>
                    </a:prstGeom>
                  </pic:spPr>
                </pic:pic>
              </a:graphicData>
            </a:graphic>
          </wp:inline>
        </w:drawing>
      </w:r>
    </w:p>
    <w:p w14:paraId="2AB28ACC" w14:textId="1FB5EF43" w:rsidR="70481CF2" w:rsidRDefault="33985B12" w:rsidP="33985B12">
      <w:pPr>
        <w:jc w:val="both"/>
        <w:rPr>
          <w:rFonts w:ascii="Times New Roman" w:eastAsia="Times New Roman" w:hAnsi="Times New Roman" w:cs="Times New Roman"/>
          <w:sz w:val="26"/>
          <w:szCs w:val="26"/>
        </w:rPr>
      </w:pPr>
      <w:r w:rsidRPr="33985B12">
        <w:rPr>
          <w:rFonts w:ascii="Times New Roman" w:eastAsia="Times New Roman" w:hAnsi="Times New Roman" w:cs="Times New Roman"/>
          <w:sz w:val="26"/>
          <w:szCs w:val="26"/>
        </w:rPr>
        <w:lastRenderedPageBreak/>
        <w:t xml:space="preserve">Az </w:t>
      </w:r>
      <w:r w:rsidRPr="33985B12">
        <w:rPr>
          <w:rFonts w:ascii="Times New Roman" w:eastAsia="Times New Roman" w:hAnsi="Times New Roman" w:cs="Times New Roman"/>
          <w:b/>
          <w:bCs/>
          <w:sz w:val="26"/>
          <w:szCs w:val="26"/>
        </w:rPr>
        <w:t>úthálózat rendelkezésre állási díjak</w:t>
      </w:r>
      <w:r w:rsidRPr="33985B12">
        <w:rPr>
          <w:rFonts w:ascii="Times New Roman" w:eastAsia="Times New Roman" w:hAnsi="Times New Roman" w:cs="Times New Roman"/>
          <w:sz w:val="26"/>
          <w:szCs w:val="26"/>
        </w:rPr>
        <w:t xml:space="preserve"> mérlegsor tartalmazza az M5, M6 autópálya rendelkezésre állási díjak, valamint a gyorsforgalmi úthálózat rendelkezésre állási díj előirányzatok kiadásait, amelynek összege </w:t>
      </w:r>
      <w:r w:rsidR="00134BE6">
        <w:rPr>
          <w:rFonts w:ascii="Times New Roman" w:eastAsia="Times New Roman" w:hAnsi="Times New Roman" w:cs="Times New Roman"/>
          <w:sz w:val="26"/>
          <w:szCs w:val="26"/>
        </w:rPr>
        <w:t xml:space="preserve">a </w:t>
      </w:r>
      <w:r w:rsidRPr="33985B12">
        <w:rPr>
          <w:rFonts w:ascii="Times New Roman" w:eastAsia="Times New Roman" w:hAnsi="Times New Roman" w:cs="Times New Roman"/>
          <w:sz w:val="26"/>
          <w:szCs w:val="26"/>
        </w:rPr>
        <w:t>2024.</w:t>
      </w:r>
      <w:r w:rsidR="000A0A88">
        <w:rPr>
          <w:rFonts w:ascii="Times New Roman" w:eastAsia="Times New Roman" w:hAnsi="Times New Roman" w:cs="Times New Roman"/>
          <w:sz w:val="26"/>
          <w:szCs w:val="26"/>
        </w:rPr>
        <w:t> </w:t>
      </w:r>
      <w:r w:rsidR="00134BE6">
        <w:rPr>
          <w:rFonts w:ascii="Times New Roman" w:eastAsia="Times New Roman" w:hAnsi="Times New Roman" w:cs="Times New Roman"/>
          <w:sz w:val="26"/>
          <w:szCs w:val="26"/>
        </w:rPr>
        <w:t>évben</w:t>
      </w:r>
      <w:r w:rsidRPr="33985B12">
        <w:rPr>
          <w:rFonts w:ascii="Times New Roman" w:eastAsia="Times New Roman" w:hAnsi="Times New Roman" w:cs="Times New Roman"/>
          <w:sz w:val="26"/>
          <w:szCs w:val="26"/>
        </w:rPr>
        <w:t xml:space="preserve"> 399,2 milliárd forint volt, ami 63,5</w:t>
      </w:r>
      <w:r w:rsidR="000A0A88">
        <w:rPr>
          <w:rFonts w:ascii="Times New Roman" w:eastAsia="Times New Roman" w:hAnsi="Times New Roman" w:cs="Times New Roman"/>
          <w:sz w:val="26"/>
          <w:szCs w:val="26"/>
        </w:rPr>
        <w:t> </w:t>
      </w:r>
      <w:r w:rsidRPr="33985B12">
        <w:rPr>
          <w:rFonts w:ascii="Times New Roman" w:eastAsia="Times New Roman" w:hAnsi="Times New Roman" w:cs="Times New Roman"/>
          <w:sz w:val="26"/>
          <w:szCs w:val="26"/>
        </w:rPr>
        <w:t xml:space="preserve">milliárd forinttal magasabban alakult a </w:t>
      </w:r>
      <w:r w:rsidR="000A0A88">
        <w:rPr>
          <w:rFonts w:ascii="Times New Roman" w:eastAsia="Times New Roman" w:hAnsi="Times New Roman" w:cs="Times New Roman"/>
          <w:sz w:val="26"/>
          <w:szCs w:val="26"/>
        </w:rPr>
        <w:t>2023. </w:t>
      </w:r>
      <w:r w:rsidRPr="33985B12">
        <w:rPr>
          <w:rFonts w:ascii="Times New Roman" w:eastAsia="Times New Roman" w:hAnsi="Times New Roman" w:cs="Times New Roman"/>
          <w:sz w:val="26"/>
          <w:szCs w:val="26"/>
        </w:rPr>
        <w:t xml:space="preserve">év azonos időszakához képest. </w:t>
      </w:r>
      <w:r w:rsidR="006C1AFA" w:rsidRPr="006C1AFA">
        <w:rPr>
          <w:rFonts w:ascii="Times New Roman" w:eastAsia="Times New Roman" w:hAnsi="Times New Roman" w:cs="Times New Roman"/>
          <w:sz w:val="26"/>
          <w:szCs w:val="26"/>
        </w:rPr>
        <w:t>Az eltérést alapvetően a gyorsforgalmi úthálózat rendelkezésre állási díjának szerződésből fakadó változása magyarázza.</w:t>
      </w:r>
    </w:p>
    <w:p w14:paraId="75D38B5A" w14:textId="65AC1514" w:rsidR="166F4922" w:rsidRDefault="33985B12" w:rsidP="33985B12">
      <w:pPr>
        <w:jc w:val="both"/>
        <w:rPr>
          <w:rFonts w:ascii="Times New Roman" w:eastAsia="Times New Roman" w:hAnsi="Times New Roman" w:cs="Times New Roman"/>
          <w:sz w:val="26"/>
          <w:szCs w:val="26"/>
        </w:rPr>
      </w:pPr>
      <w:r w:rsidRPr="33985B12">
        <w:rPr>
          <w:rFonts w:ascii="Times New Roman" w:eastAsia="Times New Roman" w:hAnsi="Times New Roman" w:cs="Times New Roman"/>
          <w:sz w:val="26"/>
          <w:szCs w:val="26"/>
        </w:rPr>
        <w:t xml:space="preserve">A </w:t>
      </w:r>
      <w:r w:rsidRPr="33985B12">
        <w:rPr>
          <w:rFonts w:ascii="Times New Roman" w:eastAsia="Times New Roman" w:hAnsi="Times New Roman" w:cs="Times New Roman"/>
          <w:b/>
          <w:bCs/>
          <w:sz w:val="26"/>
          <w:szCs w:val="26"/>
        </w:rPr>
        <w:t>közösségi közlekedés költségtérítés és támogatás</w:t>
      </w:r>
      <w:r w:rsidRPr="33985B12">
        <w:rPr>
          <w:rFonts w:ascii="Times New Roman" w:eastAsia="Times New Roman" w:hAnsi="Times New Roman" w:cs="Times New Roman"/>
          <w:sz w:val="26"/>
          <w:szCs w:val="26"/>
        </w:rPr>
        <w:t xml:space="preserve"> mérlegsor kiadásai </w:t>
      </w:r>
      <w:r w:rsidR="00134BE6">
        <w:rPr>
          <w:rFonts w:ascii="Times New Roman" w:eastAsia="Times New Roman" w:hAnsi="Times New Roman" w:cs="Times New Roman"/>
          <w:sz w:val="26"/>
          <w:szCs w:val="26"/>
        </w:rPr>
        <w:t>2024-ben</w:t>
      </w:r>
      <w:r w:rsidRPr="33985B12">
        <w:rPr>
          <w:rFonts w:ascii="Times New Roman" w:eastAsia="Times New Roman" w:hAnsi="Times New Roman" w:cs="Times New Roman"/>
          <w:sz w:val="26"/>
          <w:szCs w:val="26"/>
        </w:rPr>
        <w:t xml:space="preserve"> 869,9 milliárd forintot tettek ki, amelyből a szociálpolitikai menetdíj támogatás 155,8 milliárd forint.</w:t>
      </w:r>
    </w:p>
    <w:p w14:paraId="3B52873E" w14:textId="19A36F16" w:rsidR="008D3E76" w:rsidRDefault="33985B12" w:rsidP="33985B12">
      <w:pPr>
        <w:spacing w:before="160"/>
        <w:jc w:val="both"/>
        <w:rPr>
          <w:rFonts w:ascii="Times New Roman" w:eastAsia="Times New Roman" w:hAnsi="Times New Roman" w:cs="Times New Roman"/>
          <w:sz w:val="26"/>
          <w:szCs w:val="26"/>
        </w:rPr>
      </w:pPr>
      <w:r w:rsidRPr="33985B12">
        <w:rPr>
          <w:rFonts w:ascii="Times New Roman" w:eastAsia="Times New Roman" w:hAnsi="Times New Roman" w:cs="Times New Roman"/>
          <w:sz w:val="26"/>
          <w:szCs w:val="26"/>
        </w:rPr>
        <w:t xml:space="preserve">A </w:t>
      </w:r>
      <w:r w:rsidRPr="33985B12">
        <w:rPr>
          <w:rFonts w:ascii="Times New Roman" w:eastAsia="Times New Roman" w:hAnsi="Times New Roman" w:cs="Times New Roman"/>
          <w:b/>
          <w:bCs/>
          <w:sz w:val="26"/>
          <w:szCs w:val="26"/>
        </w:rPr>
        <w:t>közüzemi szolgáltatások támogatása</w:t>
      </w:r>
      <w:r w:rsidRPr="33985B12">
        <w:rPr>
          <w:rFonts w:ascii="Times New Roman" w:eastAsia="Times New Roman" w:hAnsi="Times New Roman" w:cs="Times New Roman"/>
          <w:sz w:val="26"/>
          <w:szCs w:val="26"/>
        </w:rPr>
        <w:t xml:space="preserve"> mérlegsor tartalmazza a lakossági energia rezsivédelmi szolgáltatás, a lakossági villamos energia rendszerhasználati díj támogatás, a rezsivédelmi készletezési szolgáltatás és a távhőszolgáltatók kompenzációjával kapcsolatos kiadásokat, </w:t>
      </w:r>
      <w:r w:rsidRPr="0077698F">
        <w:rPr>
          <w:rFonts w:ascii="Times New Roman" w:eastAsia="Times New Roman" w:hAnsi="Times New Roman" w:cs="Times New Roman"/>
          <w:sz w:val="26"/>
          <w:szCs w:val="26"/>
        </w:rPr>
        <w:t xml:space="preserve">valamint a Víziközmű-fejlesztési és Ellentételezési Alap kiadásait is. </w:t>
      </w:r>
      <w:r w:rsidRPr="0077698F">
        <w:rPr>
          <w:rFonts w:ascii="Times New Roman" w:eastAsia="Times New Roman" w:hAnsi="Times New Roman" w:cs="Times New Roman"/>
          <w:sz w:val="26"/>
          <w:szCs w:val="26"/>
        </w:rPr>
        <w:lastRenderedPageBreak/>
        <w:t>A közüzemi szolgáltatások támogatására fordított k</w:t>
      </w:r>
      <w:r w:rsidR="00134BE6" w:rsidRPr="0077698F">
        <w:rPr>
          <w:rFonts w:ascii="Times New Roman" w:eastAsia="Times New Roman" w:hAnsi="Times New Roman" w:cs="Times New Roman"/>
          <w:sz w:val="26"/>
          <w:szCs w:val="26"/>
        </w:rPr>
        <w:t>iadások a 2024.</w:t>
      </w:r>
      <w:r w:rsidR="000A0A88">
        <w:rPr>
          <w:rFonts w:ascii="Times New Roman" w:eastAsia="Times New Roman" w:hAnsi="Times New Roman" w:cs="Times New Roman"/>
          <w:sz w:val="26"/>
          <w:szCs w:val="26"/>
        </w:rPr>
        <w:t> </w:t>
      </w:r>
      <w:r w:rsidR="00134BE6" w:rsidRPr="0077698F">
        <w:rPr>
          <w:rFonts w:ascii="Times New Roman" w:eastAsia="Times New Roman" w:hAnsi="Times New Roman" w:cs="Times New Roman"/>
          <w:sz w:val="26"/>
          <w:szCs w:val="26"/>
        </w:rPr>
        <w:t>év</w:t>
      </w:r>
      <w:r w:rsidR="000A0A88">
        <w:rPr>
          <w:rFonts w:ascii="Times New Roman" w:eastAsia="Times New Roman" w:hAnsi="Times New Roman" w:cs="Times New Roman"/>
          <w:sz w:val="26"/>
          <w:szCs w:val="26"/>
        </w:rPr>
        <w:t xml:space="preserve">ben </w:t>
      </w:r>
      <w:r w:rsidR="00134BE6" w:rsidRPr="0077698F">
        <w:rPr>
          <w:rFonts w:ascii="Times New Roman" w:eastAsia="Times New Roman" w:hAnsi="Times New Roman" w:cs="Times New Roman"/>
          <w:sz w:val="26"/>
          <w:szCs w:val="26"/>
        </w:rPr>
        <w:t>1 </w:t>
      </w:r>
      <w:r w:rsidRPr="0077698F">
        <w:rPr>
          <w:rFonts w:ascii="Times New Roman" w:eastAsia="Times New Roman" w:hAnsi="Times New Roman" w:cs="Times New Roman"/>
          <w:sz w:val="26"/>
          <w:szCs w:val="26"/>
        </w:rPr>
        <w:t>041,2 milliárd forintot tettek ki, amelyből a mérlegsoron új elemként megjelenő Víziközmű-fejlesztési és Ellentételezési Alap kiadása 74,3</w:t>
      </w:r>
      <w:r w:rsidR="000A0A88">
        <w:rPr>
          <w:rFonts w:ascii="Times New Roman" w:eastAsia="Times New Roman" w:hAnsi="Times New Roman" w:cs="Times New Roman"/>
          <w:sz w:val="26"/>
          <w:szCs w:val="26"/>
        </w:rPr>
        <w:t> </w:t>
      </w:r>
      <w:r w:rsidRPr="0077698F">
        <w:rPr>
          <w:rFonts w:ascii="Times New Roman" w:eastAsia="Times New Roman" w:hAnsi="Times New Roman" w:cs="Times New Roman"/>
          <w:sz w:val="26"/>
          <w:szCs w:val="26"/>
        </w:rPr>
        <w:t xml:space="preserve">milliárd forintot jelent. </w:t>
      </w:r>
      <w:r w:rsidR="166F4922" w:rsidRPr="0077698F">
        <w:br/>
      </w:r>
      <w:r w:rsidRPr="0077698F">
        <w:rPr>
          <w:rFonts w:ascii="Times New Roman" w:eastAsia="Times New Roman" w:hAnsi="Times New Roman" w:cs="Times New Roman"/>
          <w:sz w:val="26"/>
          <w:szCs w:val="26"/>
        </w:rPr>
        <w:t xml:space="preserve">A jelenlegi teljesítés 305,7 milliárd forinttal alacsonyabb, mint a </w:t>
      </w:r>
      <w:r w:rsidR="00134BE6" w:rsidRPr="0077698F">
        <w:rPr>
          <w:rFonts w:ascii="Times New Roman" w:eastAsia="Times New Roman" w:hAnsi="Times New Roman" w:cs="Times New Roman"/>
          <w:sz w:val="26"/>
          <w:szCs w:val="26"/>
        </w:rPr>
        <w:t>2023.</w:t>
      </w:r>
      <w:r w:rsidR="000A0A88">
        <w:rPr>
          <w:rFonts w:ascii="Times New Roman" w:eastAsia="Times New Roman" w:hAnsi="Times New Roman" w:cs="Times New Roman"/>
          <w:sz w:val="26"/>
          <w:szCs w:val="26"/>
        </w:rPr>
        <w:t> </w:t>
      </w:r>
      <w:r w:rsidR="00134BE6" w:rsidRPr="0077698F">
        <w:rPr>
          <w:rFonts w:ascii="Times New Roman" w:eastAsia="Times New Roman" w:hAnsi="Times New Roman" w:cs="Times New Roman"/>
          <w:sz w:val="26"/>
          <w:szCs w:val="26"/>
        </w:rPr>
        <w:t>évben</w:t>
      </w:r>
      <w:r w:rsidRPr="0077698F">
        <w:rPr>
          <w:rFonts w:ascii="Times New Roman" w:eastAsia="Times New Roman" w:hAnsi="Times New Roman" w:cs="Times New Roman"/>
          <w:sz w:val="26"/>
          <w:szCs w:val="26"/>
        </w:rPr>
        <w:t xml:space="preserve"> a közüzemi szolgáltatások teljesítésére fordított 1</w:t>
      </w:r>
      <w:r w:rsidRPr="33985B12">
        <w:rPr>
          <w:rFonts w:ascii="Times New Roman" w:eastAsia="Times New Roman" w:hAnsi="Times New Roman" w:cs="Times New Roman"/>
          <w:sz w:val="26"/>
          <w:szCs w:val="26"/>
        </w:rPr>
        <w:t> 346,9</w:t>
      </w:r>
      <w:r w:rsidR="000A0A88">
        <w:rPr>
          <w:rFonts w:ascii="Times New Roman" w:eastAsia="Times New Roman" w:hAnsi="Times New Roman" w:cs="Times New Roman"/>
          <w:sz w:val="26"/>
          <w:szCs w:val="26"/>
        </w:rPr>
        <w:t> </w:t>
      </w:r>
      <w:r w:rsidRPr="33985B12">
        <w:rPr>
          <w:rFonts w:ascii="Times New Roman" w:eastAsia="Times New Roman" w:hAnsi="Times New Roman" w:cs="Times New Roman"/>
          <w:sz w:val="26"/>
          <w:szCs w:val="26"/>
        </w:rPr>
        <w:t xml:space="preserve">milliárd forint, </w:t>
      </w:r>
      <w:r w:rsidR="002F0795">
        <w:rPr>
          <w:rFonts w:ascii="Times New Roman" w:eastAsia="Times New Roman" w:hAnsi="Times New Roman" w:cs="Times New Roman"/>
          <w:sz w:val="26"/>
          <w:szCs w:val="26"/>
        </w:rPr>
        <w:t>ez</w:t>
      </w:r>
      <w:r w:rsidRPr="33985B12">
        <w:rPr>
          <w:rFonts w:ascii="Times New Roman" w:eastAsia="Times New Roman" w:hAnsi="Times New Roman" w:cs="Times New Roman"/>
          <w:sz w:val="26"/>
          <w:szCs w:val="26"/>
        </w:rPr>
        <w:t xml:space="preserve"> az alacsonyabb éves várható támogatási igényből fakad</w:t>
      </w:r>
      <w:r w:rsidR="002F0795">
        <w:rPr>
          <w:rFonts w:ascii="Times New Roman" w:eastAsia="Times New Roman" w:hAnsi="Times New Roman" w:cs="Times New Roman"/>
          <w:sz w:val="26"/>
          <w:szCs w:val="26"/>
        </w:rPr>
        <w:t>t</w:t>
      </w:r>
      <w:r w:rsidRPr="33985B12">
        <w:rPr>
          <w:rFonts w:ascii="Times New Roman" w:eastAsia="Times New Roman" w:hAnsi="Times New Roman" w:cs="Times New Roman"/>
          <w:sz w:val="26"/>
          <w:szCs w:val="26"/>
        </w:rPr>
        <w:t>.</w:t>
      </w:r>
    </w:p>
    <w:p w14:paraId="183C6341" w14:textId="18E424F2" w:rsidR="76B67B90" w:rsidRPr="00377D59" w:rsidRDefault="33985B12" w:rsidP="33985B12">
      <w:pPr>
        <w:spacing w:before="160"/>
        <w:jc w:val="both"/>
        <w:rPr>
          <w:rFonts w:ascii="Times New Roman" w:eastAsia="Times New Roman" w:hAnsi="Times New Roman" w:cs="Times New Roman"/>
          <w:sz w:val="26"/>
          <w:szCs w:val="26"/>
        </w:rPr>
      </w:pPr>
      <w:r w:rsidRPr="33985B12">
        <w:rPr>
          <w:rFonts w:ascii="Times New Roman" w:eastAsia="Times New Roman" w:hAnsi="Times New Roman" w:cs="Times New Roman"/>
          <w:b/>
          <w:bCs/>
          <w:sz w:val="26"/>
          <w:szCs w:val="26"/>
          <w:lang w:eastAsia="hu-HU"/>
        </w:rPr>
        <w:t xml:space="preserve">Lakástámogatásokra </w:t>
      </w:r>
      <w:r w:rsidRPr="33985B12">
        <w:rPr>
          <w:rFonts w:ascii="Times New Roman" w:eastAsia="Times New Roman" w:hAnsi="Times New Roman" w:cs="Times New Roman"/>
          <w:sz w:val="26"/>
          <w:szCs w:val="26"/>
        </w:rPr>
        <w:t xml:space="preserve">fordított kiadások összege </w:t>
      </w:r>
      <w:r w:rsidR="00CC0CAD">
        <w:rPr>
          <w:rFonts w:ascii="Times New Roman" w:eastAsia="Times New Roman" w:hAnsi="Times New Roman" w:cs="Times New Roman"/>
          <w:sz w:val="26"/>
          <w:szCs w:val="26"/>
        </w:rPr>
        <w:t>2024-ben</w:t>
      </w:r>
      <w:r w:rsidRPr="33985B12">
        <w:rPr>
          <w:rFonts w:ascii="Times New Roman" w:eastAsia="Times New Roman" w:hAnsi="Times New Roman" w:cs="Times New Roman"/>
          <w:sz w:val="26"/>
          <w:szCs w:val="26"/>
        </w:rPr>
        <w:t xml:space="preserve"> 167,0 milliárd forint volt, mely 2023</w:t>
      </w:r>
      <w:r w:rsidR="00CC0CAD">
        <w:rPr>
          <w:rFonts w:ascii="Times New Roman" w:eastAsia="Times New Roman" w:hAnsi="Times New Roman" w:cs="Times New Roman"/>
          <w:sz w:val="26"/>
          <w:szCs w:val="26"/>
        </w:rPr>
        <w:t xml:space="preserve">-hoz </w:t>
      </w:r>
      <w:r w:rsidRPr="33985B12">
        <w:rPr>
          <w:rFonts w:ascii="Times New Roman" w:eastAsia="Times New Roman" w:hAnsi="Times New Roman" w:cs="Times New Roman"/>
          <w:sz w:val="26"/>
          <w:szCs w:val="26"/>
        </w:rPr>
        <w:t xml:space="preserve">viszonyítva 277,6 milliárd forinttal teljesült alacsonyabban. Az eltérésben szerepet játszik az otthonfelújítási támogatás és az ehhez kapcsolódó kölcsön 2022. év végi megszüntetésének áthúzódó hatása, mely </w:t>
      </w:r>
      <w:r w:rsidR="00CC0CAD">
        <w:rPr>
          <w:rFonts w:ascii="Times New Roman" w:eastAsia="Times New Roman" w:hAnsi="Times New Roman" w:cs="Times New Roman"/>
          <w:sz w:val="26"/>
          <w:szCs w:val="26"/>
        </w:rPr>
        <w:t>2023</w:t>
      </w:r>
      <w:r w:rsidRPr="33985B12">
        <w:rPr>
          <w:rFonts w:ascii="Times New Roman" w:eastAsia="Times New Roman" w:hAnsi="Times New Roman" w:cs="Times New Roman"/>
          <w:sz w:val="26"/>
          <w:szCs w:val="26"/>
        </w:rPr>
        <w:t xml:space="preserve"> első hónapjaiban került kifizetésre. A</w:t>
      </w:r>
      <w:r w:rsidR="000A0A88">
        <w:rPr>
          <w:rFonts w:ascii="Times New Roman" w:eastAsia="Times New Roman" w:hAnsi="Times New Roman" w:cs="Times New Roman"/>
          <w:sz w:val="26"/>
          <w:szCs w:val="26"/>
        </w:rPr>
        <w:t> 2024. </w:t>
      </w:r>
      <w:r w:rsidRPr="33985B12">
        <w:rPr>
          <w:rFonts w:ascii="Times New Roman" w:eastAsia="Times New Roman" w:hAnsi="Times New Roman" w:cs="Times New Roman"/>
          <w:sz w:val="26"/>
          <w:szCs w:val="26"/>
        </w:rPr>
        <w:t>évet mozgatja továbbá, hogy a Családi Otthonteremtési Kedvezményt (CSOK) 2024. január 1-jével új feltételekkel a CSOK Plusz váltotta fel. Emellett az árfolyam- és a referenciahozamok, valamint a további konstrukciókat igénybe vevők létszámának alakulása is befolyásolta a kifizetéseket.</w:t>
      </w:r>
    </w:p>
    <w:p w14:paraId="33223970" w14:textId="1A2C644A" w:rsidR="0F03D9E1" w:rsidRDefault="33985B12" w:rsidP="33985B12">
      <w:pPr>
        <w:spacing w:before="160"/>
        <w:jc w:val="both"/>
        <w:rPr>
          <w:rFonts w:ascii="Times New Roman" w:eastAsia="Times New Roman" w:hAnsi="Times New Roman" w:cs="Times New Roman"/>
          <w:sz w:val="26"/>
          <w:szCs w:val="26"/>
        </w:rPr>
      </w:pPr>
      <w:r w:rsidRPr="33985B12">
        <w:rPr>
          <w:rFonts w:ascii="Times New Roman" w:eastAsia="Times New Roman" w:hAnsi="Times New Roman" w:cs="Times New Roman"/>
          <w:sz w:val="26"/>
          <w:szCs w:val="26"/>
        </w:rPr>
        <w:lastRenderedPageBreak/>
        <w:t xml:space="preserve">A </w:t>
      </w:r>
      <w:r w:rsidRPr="33985B12">
        <w:rPr>
          <w:rFonts w:ascii="Times New Roman" w:eastAsia="Times New Roman" w:hAnsi="Times New Roman" w:cs="Times New Roman"/>
          <w:b/>
          <w:bCs/>
          <w:sz w:val="26"/>
          <w:szCs w:val="26"/>
        </w:rPr>
        <w:t>Nemzeti Család- és Szociálpolitikai Alap</w:t>
      </w:r>
      <w:r w:rsidRPr="33985B12">
        <w:rPr>
          <w:rFonts w:ascii="Times New Roman" w:eastAsia="Times New Roman" w:hAnsi="Times New Roman" w:cs="Times New Roman"/>
          <w:sz w:val="26"/>
          <w:szCs w:val="26"/>
        </w:rPr>
        <w:t xml:space="preserve"> a családi támogatásokat, a korhatár alatti ellátásokat, a jövedelempótló és jövedelemkiegészítő szociális támogatásokat, valamint a különféle jogcímen adott térítéseket tartalmazza. A főbb támogatásokat a következő táblázat részletezi:</w:t>
      </w:r>
    </w:p>
    <w:p w14:paraId="46398944" w14:textId="3D98AFAD" w:rsidR="00621840" w:rsidRDefault="33985B12" w:rsidP="33985B12">
      <w:pPr>
        <w:spacing w:after="0"/>
        <w:jc w:val="center"/>
        <w:rPr>
          <w:rFonts w:ascii="Times New Roman" w:eastAsia="Times New Roman" w:hAnsi="Times New Roman" w:cs="Times New Roman"/>
          <w:sz w:val="26"/>
          <w:szCs w:val="26"/>
        </w:rPr>
      </w:pPr>
      <w:r w:rsidRPr="33985B12">
        <w:rPr>
          <w:rFonts w:ascii="Times New Roman" w:hAnsi="Times New Roman" w:cs="Times New Roman"/>
          <w:b/>
          <w:bCs/>
          <w:color w:val="000000" w:themeColor="text1"/>
          <w:sz w:val="24"/>
          <w:szCs w:val="24"/>
        </w:rPr>
        <w:t>A Nemzeti Család-és Szociálpolitikai Alap kiadásainak alakulása (milliárd forint)</w:t>
      </w:r>
    </w:p>
    <w:tbl>
      <w:tblPr>
        <w:tblW w:w="9356" w:type="dxa"/>
        <w:tblCellMar>
          <w:left w:w="70" w:type="dxa"/>
          <w:right w:w="70" w:type="dxa"/>
        </w:tblCellMar>
        <w:tblLook w:val="04A0" w:firstRow="1" w:lastRow="0" w:firstColumn="1" w:lastColumn="0" w:noHBand="0" w:noVBand="1"/>
      </w:tblPr>
      <w:tblGrid>
        <w:gridCol w:w="5670"/>
        <w:gridCol w:w="993"/>
        <w:gridCol w:w="992"/>
        <w:gridCol w:w="850"/>
        <w:gridCol w:w="851"/>
      </w:tblGrid>
      <w:tr w:rsidR="006068B4" w:rsidRPr="006068B4" w14:paraId="2A7C74BD" w14:textId="77777777" w:rsidTr="002F0795">
        <w:trPr>
          <w:trHeight w:hRule="exact" w:val="284"/>
        </w:trPr>
        <w:tc>
          <w:tcPr>
            <w:tcW w:w="9356" w:type="dxa"/>
            <w:gridSpan w:val="5"/>
            <w:tcBorders>
              <w:top w:val="nil"/>
              <w:left w:val="nil"/>
              <w:bottom w:val="single" w:sz="4" w:space="0" w:color="auto"/>
              <w:right w:val="nil"/>
            </w:tcBorders>
            <w:shd w:val="clear" w:color="auto" w:fill="auto"/>
            <w:noWrap/>
            <w:vAlign w:val="center"/>
            <w:hideMark/>
          </w:tcPr>
          <w:p w14:paraId="003FCBDC" w14:textId="77777777" w:rsidR="006068B4" w:rsidRPr="00C35E13" w:rsidRDefault="006068B4" w:rsidP="000C1105">
            <w:pPr>
              <w:spacing w:after="0"/>
              <w:jc w:val="center"/>
              <w:rPr>
                <w:rFonts w:ascii="Times New Roman" w:hAnsi="Times New Roman" w:cs="Times New Roman"/>
                <w:b/>
                <w:bCs/>
                <w:color w:val="000000"/>
                <w:sz w:val="16"/>
                <w:szCs w:val="16"/>
              </w:rPr>
            </w:pPr>
          </w:p>
        </w:tc>
      </w:tr>
      <w:tr w:rsidR="00081A16" w:rsidRPr="006068B4" w14:paraId="485D9574" w14:textId="77777777" w:rsidTr="002F0795">
        <w:trPr>
          <w:trHeight w:hRule="exact" w:val="284"/>
        </w:trPr>
        <w:tc>
          <w:tcPr>
            <w:tcW w:w="5670" w:type="dxa"/>
            <w:vMerge w:val="restart"/>
            <w:tcBorders>
              <w:top w:val="nil"/>
              <w:left w:val="single" w:sz="4" w:space="0" w:color="auto"/>
              <w:bottom w:val="single" w:sz="4" w:space="0" w:color="000000" w:themeColor="text1"/>
              <w:right w:val="single" w:sz="4" w:space="0" w:color="auto"/>
            </w:tcBorders>
            <w:shd w:val="clear" w:color="auto" w:fill="DBE5F1"/>
            <w:noWrap/>
            <w:vAlign w:val="center"/>
            <w:hideMark/>
          </w:tcPr>
          <w:p w14:paraId="03974AE3" w14:textId="77777777" w:rsidR="00081A16" w:rsidRPr="006068B4" w:rsidRDefault="00081A16" w:rsidP="00081A16">
            <w:pPr>
              <w:jc w:val="center"/>
              <w:rPr>
                <w:rFonts w:ascii="Times New Roman" w:hAnsi="Times New Roman" w:cs="Times New Roman"/>
                <w:color w:val="000000" w:themeColor="text1"/>
              </w:rPr>
            </w:pPr>
            <w:r w:rsidRPr="33985B12">
              <w:rPr>
                <w:rFonts w:ascii="Times New Roman" w:hAnsi="Times New Roman" w:cs="Times New Roman"/>
                <w:color w:val="000000" w:themeColor="text1"/>
              </w:rPr>
              <w:t>Megnevezés</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366F26B3" w14:textId="77777777" w:rsidR="00081A16" w:rsidRPr="00081A16" w:rsidRDefault="00081A16" w:rsidP="00081A16">
            <w:pPr>
              <w:spacing w:after="0" w:line="240" w:lineRule="auto"/>
              <w:jc w:val="center"/>
              <w:rPr>
                <w:rFonts w:ascii="Times New Roman" w:eastAsia="Times New Roman" w:hAnsi="Times New Roman" w:cs="Times New Roman"/>
                <w:b/>
                <w:bCs/>
                <w:sz w:val="20"/>
                <w:szCs w:val="20"/>
                <w:lang w:eastAsia="hu-HU"/>
              </w:rPr>
            </w:pPr>
            <w:r w:rsidRPr="00081A16">
              <w:rPr>
                <w:rFonts w:ascii="Times New Roman" w:eastAsia="Times New Roman" w:hAnsi="Times New Roman" w:cs="Times New Roman"/>
                <w:b/>
                <w:bCs/>
                <w:sz w:val="20"/>
                <w:szCs w:val="20"/>
                <w:lang w:eastAsia="hu-HU"/>
              </w:rPr>
              <w:t>2023. évi</w:t>
            </w:r>
          </w:p>
          <w:p w14:paraId="5E208842" w14:textId="612C63C9" w:rsidR="00081A16" w:rsidRPr="00081A16" w:rsidRDefault="00081A16" w:rsidP="00081A16">
            <w:pPr>
              <w:jc w:val="center"/>
              <w:rPr>
                <w:rFonts w:ascii="Times New Roman" w:hAnsi="Times New Roman" w:cs="Times New Roman"/>
                <w:b/>
                <w:bCs/>
                <w:color w:val="000000" w:themeColor="text1"/>
                <w:sz w:val="20"/>
              </w:rPr>
            </w:pPr>
            <w:r w:rsidRPr="00081A16">
              <w:rPr>
                <w:rFonts w:ascii="Times New Roman" w:eastAsia="Times New Roman" w:hAnsi="Times New Roman" w:cs="Times New Roman"/>
                <w:b/>
                <w:bCs/>
                <w:sz w:val="20"/>
                <w:szCs w:val="20"/>
                <w:lang w:eastAsia="hu-HU"/>
              </w:rPr>
              <w:t>tény</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4D6184DB" w14:textId="77777777" w:rsidR="00081A16" w:rsidRPr="00081A16" w:rsidRDefault="00081A16" w:rsidP="00081A16">
            <w:pPr>
              <w:spacing w:after="0" w:line="240" w:lineRule="auto"/>
              <w:jc w:val="center"/>
              <w:rPr>
                <w:rFonts w:ascii="Times New Roman" w:eastAsia="Times New Roman" w:hAnsi="Times New Roman" w:cs="Times New Roman"/>
                <w:b/>
                <w:bCs/>
                <w:sz w:val="20"/>
                <w:szCs w:val="20"/>
                <w:lang w:eastAsia="hu-HU"/>
              </w:rPr>
            </w:pPr>
            <w:r w:rsidRPr="00081A16">
              <w:rPr>
                <w:rFonts w:ascii="Times New Roman" w:eastAsia="Times New Roman" w:hAnsi="Times New Roman" w:cs="Times New Roman"/>
                <w:b/>
                <w:bCs/>
                <w:sz w:val="20"/>
                <w:szCs w:val="20"/>
                <w:lang w:eastAsia="hu-HU"/>
              </w:rPr>
              <w:t>2024. évi</w:t>
            </w:r>
          </w:p>
          <w:p w14:paraId="211822BF" w14:textId="3132938F" w:rsidR="00081A16" w:rsidRPr="00081A16" w:rsidRDefault="00081A16" w:rsidP="00081A16">
            <w:pPr>
              <w:jc w:val="center"/>
              <w:rPr>
                <w:rFonts w:ascii="Times New Roman" w:hAnsi="Times New Roman" w:cs="Times New Roman"/>
                <w:b/>
                <w:bCs/>
                <w:color w:val="000000" w:themeColor="text1"/>
                <w:sz w:val="20"/>
              </w:rPr>
            </w:pPr>
            <w:r w:rsidRPr="00081A16">
              <w:rPr>
                <w:rFonts w:ascii="Times New Roman" w:eastAsia="Times New Roman" w:hAnsi="Times New Roman" w:cs="Times New Roman"/>
                <w:b/>
                <w:bCs/>
                <w:sz w:val="20"/>
                <w:szCs w:val="20"/>
                <w:lang w:eastAsia="hu-HU"/>
              </w:rPr>
              <w:t>előzetes tény</w:t>
            </w:r>
          </w:p>
        </w:tc>
        <w:tc>
          <w:tcPr>
            <w:tcW w:w="1701" w:type="dxa"/>
            <w:gridSpan w:val="2"/>
            <w:tcBorders>
              <w:top w:val="single" w:sz="4" w:space="0" w:color="auto"/>
              <w:left w:val="nil"/>
              <w:bottom w:val="single" w:sz="4" w:space="0" w:color="auto"/>
              <w:right w:val="single" w:sz="4" w:space="0" w:color="auto"/>
            </w:tcBorders>
            <w:shd w:val="clear" w:color="auto" w:fill="DBE5F1"/>
            <w:noWrap/>
            <w:vAlign w:val="bottom"/>
            <w:hideMark/>
          </w:tcPr>
          <w:p w14:paraId="35F9B9E7" w14:textId="77777777" w:rsidR="00081A16" w:rsidRPr="006068B4" w:rsidRDefault="00081A16" w:rsidP="00081A16">
            <w:pPr>
              <w:jc w:val="center"/>
              <w:rPr>
                <w:rFonts w:ascii="Times New Roman" w:hAnsi="Times New Roman" w:cs="Times New Roman"/>
                <w:b/>
                <w:bCs/>
                <w:color w:val="000000" w:themeColor="text1"/>
              </w:rPr>
            </w:pPr>
            <w:r w:rsidRPr="33985B12">
              <w:rPr>
                <w:rFonts w:ascii="Times New Roman" w:hAnsi="Times New Roman" w:cs="Times New Roman"/>
                <w:b/>
                <w:bCs/>
                <w:color w:val="000000" w:themeColor="text1"/>
              </w:rPr>
              <w:t>Eltérés</w:t>
            </w:r>
          </w:p>
        </w:tc>
      </w:tr>
      <w:tr w:rsidR="006068B4" w:rsidRPr="006068B4" w14:paraId="2BEB1728" w14:textId="77777777" w:rsidTr="002F0795">
        <w:trPr>
          <w:trHeight w:hRule="exact" w:val="569"/>
        </w:trPr>
        <w:tc>
          <w:tcPr>
            <w:tcW w:w="5670" w:type="dxa"/>
            <w:vMerge/>
            <w:tcBorders>
              <w:top w:val="nil"/>
              <w:left w:val="single" w:sz="4" w:space="0" w:color="auto"/>
              <w:bottom w:val="single" w:sz="4" w:space="0" w:color="000000"/>
              <w:right w:val="single" w:sz="4" w:space="0" w:color="auto"/>
            </w:tcBorders>
            <w:shd w:val="clear" w:color="auto" w:fill="DBE5F1"/>
            <w:vAlign w:val="center"/>
            <w:hideMark/>
          </w:tcPr>
          <w:p w14:paraId="493B685E" w14:textId="77777777" w:rsidR="006068B4" w:rsidRPr="006068B4" w:rsidRDefault="006068B4" w:rsidP="000C1105">
            <w:pPr>
              <w:rPr>
                <w:rFonts w:ascii="Times New Roman" w:hAnsi="Times New Roman" w:cs="Times New Roman"/>
                <w:b/>
                <w:bCs/>
                <w:color w:val="000000"/>
              </w:rPr>
            </w:pPr>
          </w:p>
        </w:tc>
        <w:tc>
          <w:tcPr>
            <w:tcW w:w="993" w:type="dxa"/>
            <w:vMerge/>
            <w:tcBorders>
              <w:top w:val="nil"/>
              <w:left w:val="single" w:sz="4" w:space="0" w:color="auto"/>
              <w:bottom w:val="single" w:sz="4" w:space="0" w:color="000000"/>
              <w:right w:val="single" w:sz="4" w:space="0" w:color="auto"/>
            </w:tcBorders>
            <w:shd w:val="clear" w:color="auto" w:fill="DBE5F1"/>
            <w:vAlign w:val="center"/>
            <w:hideMark/>
          </w:tcPr>
          <w:p w14:paraId="071FC734" w14:textId="77777777" w:rsidR="006068B4" w:rsidRPr="006068B4" w:rsidRDefault="006068B4" w:rsidP="000C1105">
            <w:pPr>
              <w:rPr>
                <w:rFonts w:ascii="Times New Roman" w:hAnsi="Times New Roman" w:cs="Times New Roman"/>
                <w:b/>
                <w:bCs/>
                <w:color w:val="000000"/>
              </w:rPr>
            </w:pPr>
          </w:p>
        </w:tc>
        <w:tc>
          <w:tcPr>
            <w:tcW w:w="992" w:type="dxa"/>
            <w:vMerge/>
            <w:tcBorders>
              <w:top w:val="nil"/>
              <w:left w:val="single" w:sz="4" w:space="0" w:color="auto"/>
              <w:bottom w:val="single" w:sz="4" w:space="0" w:color="auto"/>
              <w:right w:val="single" w:sz="4" w:space="0" w:color="auto"/>
            </w:tcBorders>
            <w:shd w:val="clear" w:color="auto" w:fill="DBE5F1"/>
            <w:vAlign w:val="center"/>
            <w:hideMark/>
          </w:tcPr>
          <w:p w14:paraId="6929BC54" w14:textId="77777777" w:rsidR="006068B4" w:rsidRPr="006068B4" w:rsidRDefault="006068B4" w:rsidP="000C1105">
            <w:pPr>
              <w:rPr>
                <w:rFonts w:ascii="Times New Roman" w:hAnsi="Times New Roman" w:cs="Times New Roman"/>
                <w:b/>
                <w:bCs/>
                <w:color w:val="000000"/>
              </w:rPr>
            </w:pPr>
          </w:p>
        </w:tc>
        <w:tc>
          <w:tcPr>
            <w:tcW w:w="850" w:type="dxa"/>
            <w:tcBorders>
              <w:top w:val="nil"/>
              <w:left w:val="nil"/>
              <w:bottom w:val="single" w:sz="4" w:space="0" w:color="auto"/>
              <w:right w:val="single" w:sz="4" w:space="0" w:color="auto"/>
            </w:tcBorders>
            <w:shd w:val="clear" w:color="auto" w:fill="DBE5F1"/>
            <w:noWrap/>
            <w:vAlign w:val="bottom"/>
            <w:hideMark/>
          </w:tcPr>
          <w:p w14:paraId="012AC354" w14:textId="77777777" w:rsidR="006068B4" w:rsidRPr="006068B4" w:rsidRDefault="33985B12" w:rsidP="33985B12">
            <w:pPr>
              <w:jc w:val="center"/>
              <w:rPr>
                <w:rFonts w:ascii="Times New Roman" w:hAnsi="Times New Roman" w:cs="Times New Roman"/>
                <w:b/>
                <w:bCs/>
                <w:color w:val="000000" w:themeColor="text1"/>
              </w:rPr>
            </w:pPr>
            <w:r w:rsidRPr="33985B12">
              <w:rPr>
                <w:rFonts w:ascii="Times New Roman" w:hAnsi="Times New Roman" w:cs="Times New Roman"/>
                <w:b/>
                <w:bCs/>
                <w:color w:val="000000" w:themeColor="text1"/>
              </w:rPr>
              <w:t>Mrd Ft</w:t>
            </w:r>
          </w:p>
        </w:tc>
        <w:tc>
          <w:tcPr>
            <w:tcW w:w="851" w:type="dxa"/>
            <w:tcBorders>
              <w:top w:val="nil"/>
              <w:left w:val="nil"/>
              <w:bottom w:val="single" w:sz="4" w:space="0" w:color="auto"/>
              <w:right w:val="single" w:sz="4" w:space="0" w:color="auto"/>
            </w:tcBorders>
            <w:shd w:val="clear" w:color="auto" w:fill="DBE5F1"/>
            <w:noWrap/>
            <w:vAlign w:val="bottom"/>
            <w:hideMark/>
          </w:tcPr>
          <w:p w14:paraId="609414B4" w14:textId="77777777" w:rsidR="006068B4" w:rsidRPr="006068B4" w:rsidRDefault="33985B12" w:rsidP="33985B12">
            <w:pPr>
              <w:jc w:val="center"/>
              <w:rPr>
                <w:rFonts w:ascii="Times New Roman" w:hAnsi="Times New Roman" w:cs="Times New Roman"/>
                <w:b/>
                <w:bCs/>
                <w:color w:val="000000" w:themeColor="text1"/>
              </w:rPr>
            </w:pPr>
            <w:r w:rsidRPr="33985B12">
              <w:rPr>
                <w:rFonts w:ascii="Times New Roman" w:hAnsi="Times New Roman" w:cs="Times New Roman"/>
                <w:b/>
                <w:bCs/>
                <w:color w:val="000000" w:themeColor="text1"/>
              </w:rPr>
              <w:t>%</w:t>
            </w:r>
          </w:p>
        </w:tc>
      </w:tr>
      <w:tr w:rsidR="00DA488F" w:rsidRPr="006068B4" w14:paraId="49EB33A2" w14:textId="77777777" w:rsidTr="002F0795">
        <w:trPr>
          <w:trHeight w:hRule="exact" w:val="284"/>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74E42FB2" w14:textId="77777777" w:rsidR="00DA488F" w:rsidRPr="006068B4" w:rsidRDefault="00DA488F" w:rsidP="00DA488F">
            <w:pPr>
              <w:spacing w:line="240" w:lineRule="auto"/>
              <w:rPr>
                <w:rFonts w:ascii="Times New Roman" w:hAnsi="Times New Roman" w:cs="Times New Roman"/>
                <w:b/>
                <w:bCs/>
                <w:color w:val="000000" w:themeColor="text1"/>
                <w:sz w:val="20"/>
                <w:szCs w:val="20"/>
              </w:rPr>
            </w:pPr>
            <w:r w:rsidRPr="33985B12">
              <w:rPr>
                <w:rFonts w:ascii="Times New Roman" w:hAnsi="Times New Roman" w:cs="Times New Roman"/>
                <w:b/>
                <w:bCs/>
                <w:color w:val="000000" w:themeColor="text1"/>
                <w:sz w:val="20"/>
                <w:szCs w:val="20"/>
              </w:rPr>
              <w:t>Családi támogatások</w:t>
            </w:r>
          </w:p>
        </w:tc>
        <w:tc>
          <w:tcPr>
            <w:tcW w:w="993" w:type="dxa"/>
            <w:tcBorders>
              <w:top w:val="nil"/>
              <w:left w:val="nil"/>
              <w:bottom w:val="single" w:sz="4" w:space="0" w:color="auto"/>
              <w:right w:val="single" w:sz="4" w:space="0" w:color="auto"/>
            </w:tcBorders>
            <w:shd w:val="clear" w:color="auto" w:fill="auto"/>
            <w:noWrap/>
            <w:hideMark/>
          </w:tcPr>
          <w:p w14:paraId="7106BB85" w14:textId="1669557D" w:rsidR="00DA488F" w:rsidRPr="00DA488F" w:rsidRDefault="00DA488F" w:rsidP="00DA488F">
            <w:pPr>
              <w:spacing w:line="240" w:lineRule="auto"/>
              <w:jc w:val="right"/>
              <w:rPr>
                <w:rFonts w:ascii="Times New Roman" w:hAnsi="Times New Roman" w:cs="Times New Roman"/>
                <w:b/>
                <w:bCs/>
                <w:sz w:val="20"/>
                <w:szCs w:val="20"/>
              </w:rPr>
            </w:pPr>
            <w:r w:rsidRPr="00DA488F">
              <w:rPr>
                <w:rFonts w:ascii="Times New Roman" w:hAnsi="Times New Roman" w:cs="Times New Roman"/>
                <w:b/>
                <w:sz w:val="20"/>
                <w:szCs w:val="20"/>
              </w:rPr>
              <w:t>406,1</w:t>
            </w:r>
          </w:p>
        </w:tc>
        <w:tc>
          <w:tcPr>
            <w:tcW w:w="992" w:type="dxa"/>
            <w:tcBorders>
              <w:top w:val="nil"/>
              <w:left w:val="nil"/>
              <w:bottom w:val="single" w:sz="4" w:space="0" w:color="auto"/>
              <w:right w:val="single" w:sz="4" w:space="0" w:color="auto"/>
            </w:tcBorders>
            <w:shd w:val="clear" w:color="auto" w:fill="auto"/>
            <w:noWrap/>
            <w:hideMark/>
          </w:tcPr>
          <w:p w14:paraId="2A54C0E6" w14:textId="67F5228A" w:rsidR="00DA488F" w:rsidRPr="00DA488F" w:rsidRDefault="00DA488F" w:rsidP="00DA488F">
            <w:pPr>
              <w:spacing w:line="240" w:lineRule="auto"/>
              <w:jc w:val="right"/>
              <w:rPr>
                <w:rFonts w:ascii="Times New Roman" w:hAnsi="Times New Roman" w:cs="Times New Roman"/>
                <w:b/>
                <w:bCs/>
                <w:sz w:val="20"/>
                <w:szCs w:val="20"/>
              </w:rPr>
            </w:pPr>
            <w:r w:rsidRPr="00DA488F">
              <w:rPr>
                <w:rFonts w:ascii="Times New Roman" w:hAnsi="Times New Roman" w:cs="Times New Roman"/>
                <w:b/>
                <w:sz w:val="20"/>
                <w:szCs w:val="20"/>
              </w:rPr>
              <w:t>406,2</w:t>
            </w:r>
          </w:p>
        </w:tc>
        <w:tc>
          <w:tcPr>
            <w:tcW w:w="850" w:type="dxa"/>
            <w:tcBorders>
              <w:top w:val="nil"/>
              <w:left w:val="nil"/>
              <w:bottom w:val="single" w:sz="4" w:space="0" w:color="auto"/>
              <w:right w:val="single" w:sz="4" w:space="0" w:color="auto"/>
            </w:tcBorders>
            <w:shd w:val="clear" w:color="auto" w:fill="auto"/>
            <w:noWrap/>
            <w:hideMark/>
          </w:tcPr>
          <w:p w14:paraId="1078FA78" w14:textId="6AEA1D5F" w:rsidR="00DA488F" w:rsidRPr="00DA488F" w:rsidRDefault="00DA488F" w:rsidP="00DA488F">
            <w:pPr>
              <w:spacing w:line="240" w:lineRule="auto"/>
              <w:jc w:val="right"/>
              <w:rPr>
                <w:rFonts w:ascii="Times New Roman" w:hAnsi="Times New Roman" w:cs="Times New Roman"/>
                <w:b/>
                <w:bCs/>
                <w:sz w:val="20"/>
                <w:szCs w:val="20"/>
              </w:rPr>
            </w:pPr>
            <w:r w:rsidRPr="00DA488F">
              <w:rPr>
                <w:rFonts w:ascii="Times New Roman" w:hAnsi="Times New Roman" w:cs="Times New Roman"/>
                <w:b/>
                <w:sz w:val="20"/>
                <w:szCs w:val="20"/>
              </w:rPr>
              <w:t>0,1</w:t>
            </w:r>
          </w:p>
        </w:tc>
        <w:tc>
          <w:tcPr>
            <w:tcW w:w="851" w:type="dxa"/>
            <w:tcBorders>
              <w:top w:val="nil"/>
              <w:left w:val="nil"/>
              <w:bottom w:val="single" w:sz="4" w:space="0" w:color="auto"/>
              <w:right w:val="single" w:sz="4" w:space="0" w:color="auto"/>
            </w:tcBorders>
            <w:shd w:val="clear" w:color="auto" w:fill="auto"/>
            <w:noWrap/>
            <w:hideMark/>
          </w:tcPr>
          <w:p w14:paraId="0C2D88F1" w14:textId="6AE6F288" w:rsidR="00DA488F" w:rsidRPr="00DA488F" w:rsidRDefault="00DA488F" w:rsidP="00DA488F">
            <w:pPr>
              <w:spacing w:line="240" w:lineRule="auto"/>
              <w:jc w:val="right"/>
              <w:rPr>
                <w:rFonts w:ascii="Times New Roman" w:hAnsi="Times New Roman" w:cs="Times New Roman"/>
                <w:b/>
                <w:bCs/>
                <w:sz w:val="20"/>
                <w:szCs w:val="20"/>
              </w:rPr>
            </w:pPr>
            <w:r w:rsidRPr="00DA488F">
              <w:rPr>
                <w:rFonts w:ascii="Times New Roman" w:hAnsi="Times New Roman" w:cs="Times New Roman"/>
                <w:b/>
                <w:sz w:val="20"/>
                <w:szCs w:val="20"/>
              </w:rPr>
              <w:t>100,0</w:t>
            </w:r>
          </w:p>
        </w:tc>
      </w:tr>
      <w:tr w:rsidR="00DA488F" w:rsidRPr="006068B4" w14:paraId="18F11EAE" w14:textId="77777777" w:rsidTr="002F0795">
        <w:trPr>
          <w:trHeight w:hRule="exact" w:val="284"/>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5F289C86" w14:textId="77777777" w:rsidR="00DA488F" w:rsidRPr="006068B4" w:rsidRDefault="00DA488F" w:rsidP="00DA488F">
            <w:pPr>
              <w:spacing w:line="240" w:lineRule="auto"/>
              <w:ind w:firstLineChars="100" w:firstLine="200"/>
              <w:rPr>
                <w:rFonts w:ascii="Times New Roman" w:hAnsi="Times New Roman" w:cs="Times New Roman"/>
                <w:i/>
                <w:iCs/>
                <w:color w:val="000000" w:themeColor="text1"/>
                <w:sz w:val="20"/>
                <w:szCs w:val="20"/>
              </w:rPr>
            </w:pPr>
            <w:r w:rsidRPr="33985B12">
              <w:rPr>
                <w:rFonts w:ascii="Times New Roman" w:hAnsi="Times New Roman" w:cs="Times New Roman"/>
                <w:i/>
                <w:iCs/>
                <w:color w:val="000000" w:themeColor="text1"/>
                <w:sz w:val="20"/>
                <w:szCs w:val="20"/>
              </w:rPr>
              <w:t>Ebből:</w:t>
            </w:r>
          </w:p>
        </w:tc>
        <w:tc>
          <w:tcPr>
            <w:tcW w:w="993" w:type="dxa"/>
            <w:tcBorders>
              <w:top w:val="nil"/>
              <w:left w:val="nil"/>
              <w:bottom w:val="single" w:sz="4" w:space="0" w:color="auto"/>
              <w:right w:val="single" w:sz="4" w:space="0" w:color="auto"/>
            </w:tcBorders>
            <w:shd w:val="clear" w:color="auto" w:fill="auto"/>
            <w:noWrap/>
            <w:hideMark/>
          </w:tcPr>
          <w:p w14:paraId="3409B63E" w14:textId="38F34D08" w:rsidR="00DA488F" w:rsidRPr="00DA488F" w:rsidRDefault="00DA488F" w:rsidP="00DA488F">
            <w:pPr>
              <w:spacing w:line="240" w:lineRule="auto"/>
              <w:jc w:val="right"/>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noWrap/>
            <w:hideMark/>
          </w:tcPr>
          <w:p w14:paraId="73A14223" w14:textId="68DF0F09" w:rsidR="00DA488F" w:rsidRPr="00DA488F" w:rsidRDefault="00DA488F" w:rsidP="00DA488F">
            <w:pPr>
              <w:spacing w:line="240" w:lineRule="auto"/>
              <w:jc w:val="right"/>
              <w:rPr>
                <w:rFonts w:ascii="Times New Roman" w:hAnsi="Times New Roman" w:cs="Times New Roman"/>
                <w:sz w:val="20"/>
                <w:szCs w:val="20"/>
              </w:rPr>
            </w:pPr>
          </w:p>
        </w:tc>
        <w:tc>
          <w:tcPr>
            <w:tcW w:w="850" w:type="dxa"/>
            <w:tcBorders>
              <w:top w:val="nil"/>
              <w:left w:val="nil"/>
              <w:bottom w:val="single" w:sz="4" w:space="0" w:color="auto"/>
              <w:right w:val="single" w:sz="4" w:space="0" w:color="auto"/>
            </w:tcBorders>
            <w:shd w:val="clear" w:color="auto" w:fill="auto"/>
            <w:noWrap/>
            <w:hideMark/>
          </w:tcPr>
          <w:p w14:paraId="0C731BD9" w14:textId="5050B205" w:rsidR="00DA488F" w:rsidRPr="00DA488F" w:rsidRDefault="00DA488F" w:rsidP="00DA488F">
            <w:pPr>
              <w:spacing w:line="240" w:lineRule="auto"/>
              <w:jc w:val="right"/>
              <w:rPr>
                <w:rFonts w:ascii="Times New Roman" w:hAnsi="Times New Roman" w:cs="Times New Roman"/>
                <w:sz w:val="20"/>
                <w:szCs w:val="20"/>
              </w:rPr>
            </w:pPr>
          </w:p>
        </w:tc>
        <w:tc>
          <w:tcPr>
            <w:tcW w:w="851" w:type="dxa"/>
            <w:tcBorders>
              <w:top w:val="nil"/>
              <w:left w:val="nil"/>
              <w:bottom w:val="single" w:sz="4" w:space="0" w:color="auto"/>
              <w:right w:val="single" w:sz="4" w:space="0" w:color="auto"/>
            </w:tcBorders>
            <w:shd w:val="clear" w:color="auto" w:fill="auto"/>
            <w:noWrap/>
            <w:hideMark/>
          </w:tcPr>
          <w:p w14:paraId="3700134C" w14:textId="42CA5D48" w:rsidR="00DA488F" w:rsidRPr="00DA488F" w:rsidRDefault="00DA488F" w:rsidP="00DA488F">
            <w:pPr>
              <w:spacing w:line="240" w:lineRule="auto"/>
              <w:jc w:val="right"/>
              <w:rPr>
                <w:rFonts w:ascii="Times New Roman" w:hAnsi="Times New Roman" w:cs="Times New Roman"/>
                <w:sz w:val="20"/>
                <w:szCs w:val="20"/>
              </w:rPr>
            </w:pPr>
          </w:p>
        </w:tc>
      </w:tr>
      <w:tr w:rsidR="00DA488F" w:rsidRPr="006068B4" w14:paraId="177E3B96" w14:textId="77777777" w:rsidTr="002F0795">
        <w:trPr>
          <w:trHeight w:hRule="exact" w:val="284"/>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7532CB68" w14:textId="77777777" w:rsidR="00DA488F" w:rsidRPr="006068B4" w:rsidRDefault="00DA488F" w:rsidP="00DA488F">
            <w:pPr>
              <w:spacing w:line="240" w:lineRule="auto"/>
              <w:ind w:firstLineChars="400" w:firstLine="800"/>
              <w:rPr>
                <w:rFonts w:ascii="Times New Roman" w:hAnsi="Times New Roman" w:cs="Times New Roman"/>
                <w:i/>
                <w:iCs/>
                <w:color w:val="000000" w:themeColor="text1"/>
                <w:sz w:val="20"/>
                <w:szCs w:val="20"/>
              </w:rPr>
            </w:pPr>
            <w:r w:rsidRPr="33985B12">
              <w:rPr>
                <w:rFonts w:ascii="Times New Roman" w:hAnsi="Times New Roman" w:cs="Times New Roman"/>
                <w:i/>
                <w:iCs/>
                <w:color w:val="000000" w:themeColor="text1"/>
                <w:sz w:val="20"/>
                <w:szCs w:val="20"/>
              </w:rPr>
              <w:t>családi pótlék</w:t>
            </w:r>
          </w:p>
        </w:tc>
        <w:tc>
          <w:tcPr>
            <w:tcW w:w="993" w:type="dxa"/>
            <w:tcBorders>
              <w:top w:val="nil"/>
              <w:left w:val="nil"/>
              <w:bottom w:val="single" w:sz="4" w:space="0" w:color="auto"/>
              <w:right w:val="single" w:sz="4" w:space="0" w:color="auto"/>
            </w:tcBorders>
            <w:shd w:val="clear" w:color="auto" w:fill="auto"/>
            <w:noWrap/>
            <w:hideMark/>
          </w:tcPr>
          <w:p w14:paraId="38B23896" w14:textId="2F002A63" w:rsidR="00DA488F" w:rsidRPr="00DA488F" w:rsidRDefault="00DA488F" w:rsidP="00DA488F">
            <w:pPr>
              <w:spacing w:line="240" w:lineRule="auto"/>
              <w:jc w:val="right"/>
              <w:rPr>
                <w:rFonts w:ascii="Times New Roman" w:hAnsi="Times New Roman" w:cs="Times New Roman"/>
                <w:sz w:val="20"/>
                <w:szCs w:val="20"/>
              </w:rPr>
            </w:pPr>
            <w:r w:rsidRPr="00DA488F">
              <w:rPr>
                <w:rFonts w:ascii="Times New Roman" w:hAnsi="Times New Roman" w:cs="Times New Roman"/>
                <w:sz w:val="20"/>
                <w:szCs w:val="20"/>
              </w:rPr>
              <w:t>307,6</w:t>
            </w:r>
          </w:p>
        </w:tc>
        <w:tc>
          <w:tcPr>
            <w:tcW w:w="992" w:type="dxa"/>
            <w:tcBorders>
              <w:top w:val="nil"/>
              <w:left w:val="nil"/>
              <w:bottom w:val="single" w:sz="4" w:space="0" w:color="auto"/>
              <w:right w:val="single" w:sz="4" w:space="0" w:color="auto"/>
            </w:tcBorders>
            <w:shd w:val="clear" w:color="auto" w:fill="auto"/>
            <w:noWrap/>
            <w:hideMark/>
          </w:tcPr>
          <w:p w14:paraId="2831AA3C" w14:textId="6C8DDB0C" w:rsidR="00DA488F" w:rsidRPr="00DA488F" w:rsidRDefault="00DA488F" w:rsidP="00DA488F">
            <w:pPr>
              <w:spacing w:line="240" w:lineRule="auto"/>
              <w:jc w:val="right"/>
              <w:rPr>
                <w:rFonts w:ascii="Times New Roman" w:hAnsi="Times New Roman" w:cs="Times New Roman"/>
                <w:sz w:val="20"/>
                <w:szCs w:val="20"/>
              </w:rPr>
            </w:pPr>
            <w:r w:rsidRPr="00DA488F">
              <w:rPr>
                <w:rFonts w:ascii="Times New Roman" w:hAnsi="Times New Roman" w:cs="Times New Roman"/>
                <w:sz w:val="20"/>
                <w:szCs w:val="20"/>
              </w:rPr>
              <w:t>304,1</w:t>
            </w:r>
          </w:p>
        </w:tc>
        <w:tc>
          <w:tcPr>
            <w:tcW w:w="850" w:type="dxa"/>
            <w:tcBorders>
              <w:top w:val="nil"/>
              <w:left w:val="nil"/>
              <w:bottom w:val="single" w:sz="4" w:space="0" w:color="auto"/>
              <w:right w:val="single" w:sz="4" w:space="0" w:color="auto"/>
            </w:tcBorders>
            <w:shd w:val="clear" w:color="auto" w:fill="auto"/>
            <w:noWrap/>
            <w:hideMark/>
          </w:tcPr>
          <w:p w14:paraId="145C8E2D" w14:textId="7C8CD879" w:rsidR="00DA488F" w:rsidRPr="00DA488F" w:rsidRDefault="00DA488F" w:rsidP="00DA488F">
            <w:pPr>
              <w:spacing w:line="240" w:lineRule="auto"/>
              <w:jc w:val="right"/>
              <w:rPr>
                <w:rFonts w:ascii="Times New Roman" w:hAnsi="Times New Roman" w:cs="Times New Roman"/>
                <w:sz w:val="20"/>
                <w:szCs w:val="20"/>
              </w:rPr>
            </w:pPr>
            <w:r w:rsidRPr="00DA488F">
              <w:rPr>
                <w:rFonts w:ascii="Times New Roman" w:hAnsi="Times New Roman" w:cs="Times New Roman"/>
                <w:sz w:val="20"/>
                <w:szCs w:val="20"/>
              </w:rPr>
              <w:t>-3,5</w:t>
            </w:r>
          </w:p>
        </w:tc>
        <w:tc>
          <w:tcPr>
            <w:tcW w:w="851" w:type="dxa"/>
            <w:tcBorders>
              <w:top w:val="nil"/>
              <w:left w:val="nil"/>
              <w:bottom w:val="single" w:sz="4" w:space="0" w:color="auto"/>
              <w:right w:val="single" w:sz="4" w:space="0" w:color="auto"/>
            </w:tcBorders>
            <w:shd w:val="clear" w:color="auto" w:fill="auto"/>
            <w:noWrap/>
            <w:hideMark/>
          </w:tcPr>
          <w:p w14:paraId="3DC707AD" w14:textId="01D81018" w:rsidR="00DA488F" w:rsidRPr="00DA488F" w:rsidRDefault="00DA488F" w:rsidP="00DA488F">
            <w:pPr>
              <w:spacing w:line="240" w:lineRule="auto"/>
              <w:jc w:val="right"/>
              <w:rPr>
                <w:rFonts w:ascii="Times New Roman" w:hAnsi="Times New Roman" w:cs="Times New Roman"/>
                <w:sz w:val="20"/>
                <w:szCs w:val="20"/>
              </w:rPr>
            </w:pPr>
            <w:r w:rsidRPr="00DA488F">
              <w:rPr>
                <w:rFonts w:ascii="Times New Roman" w:hAnsi="Times New Roman" w:cs="Times New Roman"/>
                <w:sz w:val="20"/>
                <w:szCs w:val="20"/>
              </w:rPr>
              <w:t>98,9</w:t>
            </w:r>
          </w:p>
        </w:tc>
      </w:tr>
      <w:tr w:rsidR="00DA488F" w:rsidRPr="006068B4" w14:paraId="750E94DE" w14:textId="77777777" w:rsidTr="002F0795">
        <w:trPr>
          <w:trHeight w:hRule="exact" w:val="284"/>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60C0A4C2" w14:textId="77777777" w:rsidR="00DA488F" w:rsidRPr="006068B4" w:rsidRDefault="00DA488F" w:rsidP="00DA488F">
            <w:pPr>
              <w:spacing w:line="240" w:lineRule="auto"/>
              <w:ind w:firstLineChars="400" w:firstLine="800"/>
              <w:rPr>
                <w:rFonts w:ascii="Times New Roman" w:hAnsi="Times New Roman" w:cs="Times New Roman"/>
                <w:i/>
                <w:iCs/>
                <w:color w:val="000000" w:themeColor="text1"/>
                <w:sz w:val="20"/>
                <w:szCs w:val="20"/>
              </w:rPr>
            </w:pPr>
            <w:r w:rsidRPr="33985B12">
              <w:rPr>
                <w:rFonts w:ascii="Times New Roman" w:hAnsi="Times New Roman" w:cs="Times New Roman"/>
                <w:i/>
                <w:iCs/>
                <w:color w:val="000000" w:themeColor="text1"/>
                <w:sz w:val="20"/>
                <w:szCs w:val="20"/>
              </w:rPr>
              <w:t>anyasági támogatás</w:t>
            </w:r>
          </w:p>
        </w:tc>
        <w:tc>
          <w:tcPr>
            <w:tcW w:w="993" w:type="dxa"/>
            <w:tcBorders>
              <w:top w:val="nil"/>
              <w:left w:val="nil"/>
              <w:bottom w:val="single" w:sz="4" w:space="0" w:color="auto"/>
              <w:right w:val="single" w:sz="4" w:space="0" w:color="auto"/>
            </w:tcBorders>
            <w:shd w:val="clear" w:color="auto" w:fill="auto"/>
            <w:noWrap/>
            <w:hideMark/>
          </w:tcPr>
          <w:p w14:paraId="597D9A51" w14:textId="3EB73EA1" w:rsidR="00DA488F" w:rsidRPr="00DA488F" w:rsidRDefault="00DA488F" w:rsidP="00DA488F">
            <w:pPr>
              <w:spacing w:line="240" w:lineRule="auto"/>
              <w:jc w:val="right"/>
              <w:rPr>
                <w:rFonts w:ascii="Times New Roman" w:hAnsi="Times New Roman" w:cs="Times New Roman"/>
                <w:sz w:val="20"/>
                <w:szCs w:val="20"/>
              </w:rPr>
            </w:pPr>
            <w:r w:rsidRPr="00DA488F">
              <w:rPr>
                <w:rFonts w:ascii="Times New Roman" w:hAnsi="Times New Roman" w:cs="Times New Roman"/>
                <w:sz w:val="20"/>
                <w:szCs w:val="20"/>
              </w:rPr>
              <w:t>6,0</w:t>
            </w:r>
          </w:p>
        </w:tc>
        <w:tc>
          <w:tcPr>
            <w:tcW w:w="992" w:type="dxa"/>
            <w:tcBorders>
              <w:top w:val="nil"/>
              <w:left w:val="nil"/>
              <w:bottom w:val="single" w:sz="4" w:space="0" w:color="auto"/>
              <w:right w:val="single" w:sz="4" w:space="0" w:color="auto"/>
            </w:tcBorders>
            <w:shd w:val="clear" w:color="auto" w:fill="auto"/>
            <w:noWrap/>
            <w:hideMark/>
          </w:tcPr>
          <w:p w14:paraId="4295E839" w14:textId="3A530A55" w:rsidR="00DA488F" w:rsidRPr="00DA488F" w:rsidRDefault="00DA488F" w:rsidP="00DA488F">
            <w:pPr>
              <w:spacing w:line="240" w:lineRule="auto"/>
              <w:jc w:val="right"/>
              <w:rPr>
                <w:rFonts w:ascii="Times New Roman" w:hAnsi="Times New Roman" w:cs="Times New Roman"/>
                <w:sz w:val="20"/>
                <w:szCs w:val="20"/>
              </w:rPr>
            </w:pPr>
            <w:r w:rsidRPr="00DA488F">
              <w:rPr>
                <w:rFonts w:ascii="Times New Roman" w:hAnsi="Times New Roman" w:cs="Times New Roman"/>
                <w:sz w:val="20"/>
                <w:szCs w:val="20"/>
              </w:rPr>
              <w:t>5,3</w:t>
            </w:r>
          </w:p>
        </w:tc>
        <w:tc>
          <w:tcPr>
            <w:tcW w:w="850" w:type="dxa"/>
            <w:tcBorders>
              <w:top w:val="nil"/>
              <w:left w:val="nil"/>
              <w:bottom w:val="single" w:sz="4" w:space="0" w:color="auto"/>
              <w:right w:val="single" w:sz="4" w:space="0" w:color="auto"/>
            </w:tcBorders>
            <w:shd w:val="clear" w:color="auto" w:fill="auto"/>
            <w:noWrap/>
            <w:hideMark/>
          </w:tcPr>
          <w:p w14:paraId="0BFAA189" w14:textId="4B8CA7B6" w:rsidR="00DA488F" w:rsidRPr="00DA488F" w:rsidRDefault="00DA488F" w:rsidP="00DA488F">
            <w:pPr>
              <w:spacing w:line="240" w:lineRule="auto"/>
              <w:jc w:val="right"/>
              <w:rPr>
                <w:rFonts w:ascii="Times New Roman" w:hAnsi="Times New Roman" w:cs="Times New Roman"/>
                <w:sz w:val="20"/>
                <w:szCs w:val="20"/>
              </w:rPr>
            </w:pPr>
            <w:r w:rsidRPr="00DA488F">
              <w:rPr>
                <w:rFonts w:ascii="Times New Roman" w:hAnsi="Times New Roman" w:cs="Times New Roman"/>
                <w:sz w:val="20"/>
                <w:szCs w:val="20"/>
              </w:rPr>
              <w:t>-0,7</w:t>
            </w:r>
          </w:p>
        </w:tc>
        <w:tc>
          <w:tcPr>
            <w:tcW w:w="851" w:type="dxa"/>
            <w:tcBorders>
              <w:top w:val="nil"/>
              <w:left w:val="nil"/>
              <w:bottom w:val="single" w:sz="4" w:space="0" w:color="auto"/>
              <w:right w:val="single" w:sz="4" w:space="0" w:color="auto"/>
            </w:tcBorders>
            <w:shd w:val="clear" w:color="auto" w:fill="auto"/>
            <w:noWrap/>
            <w:hideMark/>
          </w:tcPr>
          <w:p w14:paraId="2913BB8B" w14:textId="2E557379" w:rsidR="00DA488F" w:rsidRPr="00DA488F" w:rsidRDefault="00DA488F" w:rsidP="00DA488F">
            <w:pPr>
              <w:spacing w:line="240" w:lineRule="auto"/>
              <w:jc w:val="right"/>
              <w:rPr>
                <w:rFonts w:ascii="Times New Roman" w:hAnsi="Times New Roman" w:cs="Times New Roman"/>
                <w:sz w:val="20"/>
                <w:szCs w:val="20"/>
              </w:rPr>
            </w:pPr>
            <w:r w:rsidRPr="00DA488F">
              <w:rPr>
                <w:rFonts w:ascii="Times New Roman" w:hAnsi="Times New Roman" w:cs="Times New Roman"/>
                <w:sz w:val="20"/>
                <w:szCs w:val="20"/>
              </w:rPr>
              <w:t>88,3</w:t>
            </w:r>
          </w:p>
        </w:tc>
      </w:tr>
      <w:tr w:rsidR="00DA488F" w:rsidRPr="006068B4" w14:paraId="723C4BB5" w14:textId="77777777" w:rsidTr="002F0795">
        <w:trPr>
          <w:trHeight w:hRule="exact" w:val="284"/>
        </w:trPr>
        <w:tc>
          <w:tcPr>
            <w:tcW w:w="5670" w:type="dxa"/>
            <w:tcBorders>
              <w:top w:val="nil"/>
              <w:left w:val="single" w:sz="4" w:space="0" w:color="auto"/>
              <w:bottom w:val="single" w:sz="4" w:space="0" w:color="auto"/>
              <w:right w:val="single" w:sz="4" w:space="0" w:color="auto"/>
            </w:tcBorders>
            <w:shd w:val="clear" w:color="auto" w:fill="auto"/>
            <w:vAlign w:val="center"/>
            <w:hideMark/>
          </w:tcPr>
          <w:p w14:paraId="4B71EC87" w14:textId="77777777" w:rsidR="00DA488F" w:rsidRPr="006068B4" w:rsidRDefault="00DA488F" w:rsidP="00DA488F">
            <w:pPr>
              <w:spacing w:line="240" w:lineRule="auto"/>
              <w:ind w:firstLineChars="400" w:firstLine="800"/>
              <w:rPr>
                <w:rFonts w:ascii="Times New Roman" w:hAnsi="Times New Roman" w:cs="Times New Roman"/>
                <w:i/>
                <w:iCs/>
                <w:color w:val="000000" w:themeColor="text1"/>
                <w:sz w:val="20"/>
                <w:szCs w:val="20"/>
              </w:rPr>
            </w:pPr>
            <w:r w:rsidRPr="33985B12">
              <w:rPr>
                <w:rFonts w:ascii="Times New Roman" w:hAnsi="Times New Roman" w:cs="Times New Roman"/>
                <w:i/>
                <w:iCs/>
                <w:color w:val="000000" w:themeColor="text1"/>
                <w:sz w:val="20"/>
                <w:szCs w:val="20"/>
              </w:rPr>
              <w:t>gyermekgondozást segítő ellátás</w:t>
            </w:r>
          </w:p>
        </w:tc>
        <w:tc>
          <w:tcPr>
            <w:tcW w:w="993" w:type="dxa"/>
            <w:tcBorders>
              <w:top w:val="nil"/>
              <w:left w:val="nil"/>
              <w:bottom w:val="single" w:sz="4" w:space="0" w:color="auto"/>
              <w:right w:val="single" w:sz="4" w:space="0" w:color="auto"/>
            </w:tcBorders>
            <w:shd w:val="clear" w:color="auto" w:fill="auto"/>
            <w:noWrap/>
            <w:hideMark/>
          </w:tcPr>
          <w:p w14:paraId="6C8BD5D3" w14:textId="4EA20C57" w:rsidR="00DA488F" w:rsidRPr="00DA488F" w:rsidRDefault="00DA488F" w:rsidP="00DA488F">
            <w:pPr>
              <w:spacing w:line="240" w:lineRule="auto"/>
              <w:jc w:val="right"/>
              <w:rPr>
                <w:rFonts w:ascii="Times New Roman" w:hAnsi="Times New Roman" w:cs="Times New Roman"/>
                <w:sz w:val="20"/>
                <w:szCs w:val="20"/>
              </w:rPr>
            </w:pPr>
            <w:r w:rsidRPr="00DA488F">
              <w:rPr>
                <w:rFonts w:ascii="Times New Roman" w:hAnsi="Times New Roman" w:cs="Times New Roman"/>
                <w:sz w:val="20"/>
                <w:szCs w:val="20"/>
              </w:rPr>
              <w:t>55,0</w:t>
            </w:r>
          </w:p>
        </w:tc>
        <w:tc>
          <w:tcPr>
            <w:tcW w:w="992" w:type="dxa"/>
            <w:tcBorders>
              <w:top w:val="nil"/>
              <w:left w:val="nil"/>
              <w:bottom w:val="single" w:sz="4" w:space="0" w:color="auto"/>
              <w:right w:val="single" w:sz="4" w:space="0" w:color="auto"/>
            </w:tcBorders>
            <w:shd w:val="clear" w:color="auto" w:fill="auto"/>
            <w:noWrap/>
            <w:hideMark/>
          </w:tcPr>
          <w:p w14:paraId="4B96F73D" w14:textId="1D5AA097" w:rsidR="00DA488F" w:rsidRPr="00DA488F" w:rsidRDefault="00DA488F" w:rsidP="00DA488F">
            <w:pPr>
              <w:spacing w:line="240" w:lineRule="auto"/>
              <w:jc w:val="right"/>
              <w:rPr>
                <w:rFonts w:ascii="Times New Roman" w:hAnsi="Times New Roman" w:cs="Times New Roman"/>
                <w:sz w:val="20"/>
                <w:szCs w:val="20"/>
              </w:rPr>
            </w:pPr>
            <w:r w:rsidRPr="00DA488F">
              <w:rPr>
                <w:rFonts w:ascii="Times New Roman" w:hAnsi="Times New Roman" w:cs="Times New Roman"/>
                <w:sz w:val="20"/>
                <w:szCs w:val="20"/>
              </w:rPr>
              <w:t>53,3</w:t>
            </w:r>
          </w:p>
        </w:tc>
        <w:tc>
          <w:tcPr>
            <w:tcW w:w="850" w:type="dxa"/>
            <w:tcBorders>
              <w:top w:val="nil"/>
              <w:left w:val="nil"/>
              <w:bottom w:val="single" w:sz="4" w:space="0" w:color="auto"/>
              <w:right w:val="single" w:sz="4" w:space="0" w:color="auto"/>
            </w:tcBorders>
            <w:shd w:val="clear" w:color="auto" w:fill="auto"/>
            <w:noWrap/>
            <w:hideMark/>
          </w:tcPr>
          <w:p w14:paraId="7997B51A" w14:textId="0D97058C" w:rsidR="00DA488F" w:rsidRPr="00DA488F" w:rsidRDefault="00DA488F" w:rsidP="00DA488F">
            <w:pPr>
              <w:spacing w:line="240" w:lineRule="auto"/>
              <w:jc w:val="right"/>
              <w:rPr>
                <w:rFonts w:ascii="Times New Roman" w:hAnsi="Times New Roman" w:cs="Times New Roman"/>
                <w:sz w:val="20"/>
                <w:szCs w:val="20"/>
              </w:rPr>
            </w:pPr>
            <w:r w:rsidRPr="00DA488F">
              <w:rPr>
                <w:rFonts w:ascii="Times New Roman" w:hAnsi="Times New Roman" w:cs="Times New Roman"/>
                <w:sz w:val="20"/>
                <w:szCs w:val="20"/>
              </w:rPr>
              <w:t>-1,7</w:t>
            </w:r>
          </w:p>
        </w:tc>
        <w:tc>
          <w:tcPr>
            <w:tcW w:w="851" w:type="dxa"/>
            <w:tcBorders>
              <w:top w:val="nil"/>
              <w:left w:val="nil"/>
              <w:bottom w:val="single" w:sz="4" w:space="0" w:color="auto"/>
              <w:right w:val="single" w:sz="4" w:space="0" w:color="auto"/>
            </w:tcBorders>
            <w:shd w:val="clear" w:color="auto" w:fill="auto"/>
            <w:noWrap/>
            <w:hideMark/>
          </w:tcPr>
          <w:p w14:paraId="4C0B8D65" w14:textId="5EE8EFD2" w:rsidR="00DA488F" w:rsidRPr="00DA488F" w:rsidRDefault="00DA488F" w:rsidP="00DA488F">
            <w:pPr>
              <w:spacing w:line="240" w:lineRule="auto"/>
              <w:jc w:val="right"/>
              <w:rPr>
                <w:rFonts w:ascii="Times New Roman" w:hAnsi="Times New Roman" w:cs="Times New Roman"/>
                <w:sz w:val="20"/>
                <w:szCs w:val="20"/>
              </w:rPr>
            </w:pPr>
            <w:r w:rsidRPr="00DA488F">
              <w:rPr>
                <w:rFonts w:ascii="Times New Roman" w:hAnsi="Times New Roman" w:cs="Times New Roman"/>
                <w:sz w:val="20"/>
                <w:szCs w:val="20"/>
              </w:rPr>
              <w:t>96,9</w:t>
            </w:r>
          </w:p>
        </w:tc>
      </w:tr>
      <w:tr w:rsidR="00DA488F" w:rsidRPr="006068B4" w14:paraId="4C1A9EFC" w14:textId="77777777" w:rsidTr="002F0795">
        <w:trPr>
          <w:trHeight w:hRule="exact" w:val="284"/>
        </w:trPr>
        <w:tc>
          <w:tcPr>
            <w:tcW w:w="5670" w:type="dxa"/>
            <w:tcBorders>
              <w:top w:val="nil"/>
              <w:left w:val="single" w:sz="4" w:space="0" w:color="auto"/>
              <w:bottom w:val="single" w:sz="4" w:space="0" w:color="auto"/>
              <w:right w:val="single" w:sz="4" w:space="0" w:color="auto"/>
            </w:tcBorders>
            <w:shd w:val="clear" w:color="auto" w:fill="auto"/>
            <w:vAlign w:val="center"/>
            <w:hideMark/>
          </w:tcPr>
          <w:p w14:paraId="0E314DCD" w14:textId="77777777" w:rsidR="00DA488F" w:rsidRPr="006068B4" w:rsidRDefault="00DA488F" w:rsidP="00DA488F">
            <w:pPr>
              <w:spacing w:line="240" w:lineRule="auto"/>
              <w:ind w:firstLineChars="400" w:firstLine="800"/>
              <w:rPr>
                <w:rFonts w:ascii="Times New Roman" w:hAnsi="Times New Roman" w:cs="Times New Roman"/>
                <w:i/>
                <w:iCs/>
                <w:color w:val="000000" w:themeColor="text1"/>
                <w:sz w:val="20"/>
                <w:szCs w:val="20"/>
              </w:rPr>
            </w:pPr>
            <w:r w:rsidRPr="33985B12">
              <w:rPr>
                <w:rFonts w:ascii="Times New Roman" w:hAnsi="Times New Roman" w:cs="Times New Roman"/>
                <w:i/>
                <w:iCs/>
                <w:color w:val="000000" w:themeColor="text1"/>
                <w:sz w:val="20"/>
                <w:szCs w:val="20"/>
              </w:rPr>
              <w:t>gyermeknevelési támogatás</w:t>
            </w:r>
          </w:p>
        </w:tc>
        <w:tc>
          <w:tcPr>
            <w:tcW w:w="993" w:type="dxa"/>
            <w:tcBorders>
              <w:top w:val="nil"/>
              <w:left w:val="nil"/>
              <w:bottom w:val="single" w:sz="4" w:space="0" w:color="auto"/>
              <w:right w:val="single" w:sz="4" w:space="0" w:color="auto"/>
            </w:tcBorders>
            <w:shd w:val="clear" w:color="auto" w:fill="auto"/>
            <w:noWrap/>
            <w:hideMark/>
          </w:tcPr>
          <w:p w14:paraId="14826C72" w14:textId="60A20723" w:rsidR="00DA488F" w:rsidRPr="00DA488F" w:rsidRDefault="00DA488F" w:rsidP="00DA488F">
            <w:pPr>
              <w:spacing w:line="240" w:lineRule="auto"/>
              <w:jc w:val="right"/>
              <w:rPr>
                <w:rFonts w:ascii="Times New Roman" w:hAnsi="Times New Roman" w:cs="Times New Roman"/>
                <w:sz w:val="20"/>
                <w:szCs w:val="20"/>
              </w:rPr>
            </w:pPr>
            <w:r w:rsidRPr="00DA488F">
              <w:rPr>
                <w:rFonts w:ascii="Times New Roman" w:hAnsi="Times New Roman" w:cs="Times New Roman"/>
                <w:sz w:val="20"/>
                <w:szCs w:val="20"/>
              </w:rPr>
              <w:t>9,8</w:t>
            </w:r>
          </w:p>
        </w:tc>
        <w:tc>
          <w:tcPr>
            <w:tcW w:w="992" w:type="dxa"/>
            <w:tcBorders>
              <w:top w:val="nil"/>
              <w:left w:val="nil"/>
              <w:bottom w:val="single" w:sz="4" w:space="0" w:color="auto"/>
              <w:right w:val="single" w:sz="4" w:space="0" w:color="auto"/>
            </w:tcBorders>
            <w:shd w:val="clear" w:color="auto" w:fill="auto"/>
            <w:noWrap/>
            <w:hideMark/>
          </w:tcPr>
          <w:p w14:paraId="6A870304" w14:textId="58AA049E" w:rsidR="00DA488F" w:rsidRPr="00DA488F" w:rsidRDefault="00DA488F" w:rsidP="00DA488F">
            <w:pPr>
              <w:spacing w:line="240" w:lineRule="auto"/>
              <w:jc w:val="right"/>
              <w:rPr>
                <w:rFonts w:ascii="Times New Roman" w:hAnsi="Times New Roman" w:cs="Times New Roman"/>
                <w:sz w:val="20"/>
                <w:szCs w:val="20"/>
              </w:rPr>
            </w:pPr>
            <w:r w:rsidRPr="00DA488F">
              <w:rPr>
                <w:rFonts w:ascii="Times New Roman" w:hAnsi="Times New Roman" w:cs="Times New Roman"/>
                <w:sz w:val="20"/>
                <w:szCs w:val="20"/>
              </w:rPr>
              <w:t>9,3</w:t>
            </w:r>
          </w:p>
        </w:tc>
        <w:tc>
          <w:tcPr>
            <w:tcW w:w="850" w:type="dxa"/>
            <w:tcBorders>
              <w:top w:val="nil"/>
              <w:left w:val="nil"/>
              <w:bottom w:val="single" w:sz="4" w:space="0" w:color="auto"/>
              <w:right w:val="single" w:sz="4" w:space="0" w:color="auto"/>
            </w:tcBorders>
            <w:shd w:val="clear" w:color="auto" w:fill="auto"/>
            <w:noWrap/>
            <w:hideMark/>
          </w:tcPr>
          <w:p w14:paraId="588B93BB" w14:textId="03AD8FA0" w:rsidR="00DA488F" w:rsidRPr="00DA488F" w:rsidRDefault="00DA488F" w:rsidP="00DA488F">
            <w:pPr>
              <w:spacing w:line="240" w:lineRule="auto"/>
              <w:jc w:val="right"/>
              <w:rPr>
                <w:rFonts w:ascii="Times New Roman" w:hAnsi="Times New Roman" w:cs="Times New Roman"/>
                <w:sz w:val="20"/>
                <w:szCs w:val="20"/>
              </w:rPr>
            </w:pPr>
            <w:r w:rsidRPr="00DA488F">
              <w:rPr>
                <w:rFonts w:ascii="Times New Roman" w:hAnsi="Times New Roman" w:cs="Times New Roman"/>
                <w:sz w:val="20"/>
                <w:szCs w:val="20"/>
              </w:rPr>
              <w:t>-0,5</w:t>
            </w:r>
          </w:p>
        </w:tc>
        <w:tc>
          <w:tcPr>
            <w:tcW w:w="851" w:type="dxa"/>
            <w:tcBorders>
              <w:top w:val="nil"/>
              <w:left w:val="nil"/>
              <w:bottom w:val="single" w:sz="4" w:space="0" w:color="auto"/>
              <w:right w:val="single" w:sz="4" w:space="0" w:color="auto"/>
            </w:tcBorders>
            <w:shd w:val="clear" w:color="auto" w:fill="auto"/>
            <w:noWrap/>
            <w:hideMark/>
          </w:tcPr>
          <w:p w14:paraId="7DAF609F" w14:textId="221F2D0C" w:rsidR="00DA488F" w:rsidRPr="00DA488F" w:rsidRDefault="00DA488F" w:rsidP="00DA488F">
            <w:pPr>
              <w:spacing w:line="240" w:lineRule="auto"/>
              <w:jc w:val="right"/>
              <w:rPr>
                <w:rFonts w:ascii="Times New Roman" w:hAnsi="Times New Roman" w:cs="Times New Roman"/>
                <w:sz w:val="20"/>
                <w:szCs w:val="20"/>
              </w:rPr>
            </w:pPr>
            <w:r w:rsidRPr="00DA488F">
              <w:rPr>
                <w:rFonts w:ascii="Times New Roman" w:hAnsi="Times New Roman" w:cs="Times New Roman"/>
                <w:sz w:val="20"/>
                <w:szCs w:val="20"/>
              </w:rPr>
              <w:t>94,9</w:t>
            </w:r>
          </w:p>
        </w:tc>
      </w:tr>
      <w:tr w:rsidR="00DA488F" w:rsidRPr="006068B4" w14:paraId="49AE6306" w14:textId="77777777" w:rsidTr="002F0795">
        <w:trPr>
          <w:trHeight w:hRule="exact" w:val="284"/>
        </w:trPr>
        <w:tc>
          <w:tcPr>
            <w:tcW w:w="5670" w:type="dxa"/>
            <w:tcBorders>
              <w:top w:val="nil"/>
              <w:left w:val="single" w:sz="4" w:space="0" w:color="auto"/>
              <w:bottom w:val="single" w:sz="4" w:space="0" w:color="auto"/>
              <w:right w:val="single" w:sz="4" w:space="0" w:color="auto"/>
            </w:tcBorders>
            <w:shd w:val="clear" w:color="auto" w:fill="auto"/>
            <w:vAlign w:val="center"/>
            <w:hideMark/>
          </w:tcPr>
          <w:p w14:paraId="345200B1" w14:textId="77777777" w:rsidR="00DA488F" w:rsidRPr="006068B4" w:rsidRDefault="00DA488F" w:rsidP="00DA488F">
            <w:pPr>
              <w:spacing w:line="240" w:lineRule="auto"/>
              <w:ind w:firstLineChars="400" w:firstLine="800"/>
              <w:rPr>
                <w:rFonts w:ascii="Times New Roman" w:hAnsi="Times New Roman" w:cs="Times New Roman"/>
                <w:i/>
                <w:iCs/>
                <w:color w:val="000000" w:themeColor="text1"/>
                <w:sz w:val="20"/>
                <w:szCs w:val="20"/>
              </w:rPr>
            </w:pPr>
            <w:r w:rsidRPr="33985B12">
              <w:rPr>
                <w:rFonts w:ascii="Times New Roman" w:hAnsi="Times New Roman" w:cs="Times New Roman"/>
                <w:i/>
                <w:iCs/>
                <w:color w:val="000000" w:themeColor="text1"/>
                <w:sz w:val="20"/>
                <w:szCs w:val="20"/>
              </w:rPr>
              <w:t>gyermekek születésével kapcsolatos szabadság megtérítése</w:t>
            </w:r>
          </w:p>
        </w:tc>
        <w:tc>
          <w:tcPr>
            <w:tcW w:w="993" w:type="dxa"/>
            <w:tcBorders>
              <w:top w:val="nil"/>
              <w:left w:val="nil"/>
              <w:bottom w:val="single" w:sz="4" w:space="0" w:color="auto"/>
              <w:right w:val="single" w:sz="4" w:space="0" w:color="auto"/>
            </w:tcBorders>
            <w:shd w:val="clear" w:color="auto" w:fill="auto"/>
            <w:noWrap/>
            <w:hideMark/>
          </w:tcPr>
          <w:p w14:paraId="48F1434B" w14:textId="7B513521" w:rsidR="00DA488F" w:rsidRPr="00DA488F" w:rsidRDefault="00DA488F" w:rsidP="00DA488F">
            <w:pPr>
              <w:spacing w:line="240" w:lineRule="auto"/>
              <w:jc w:val="right"/>
              <w:rPr>
                <w:rFonts w:ascii="Times New Roman" w:hAnsi="Times New Roman" w:cs="Times New Roman"/>
                <w:sz w:val="20"/>
                <w:szCs w:val="20"/>
              </w:rPr>
            </w:pPr>
            <w:r w:rsidRPr="00DA488F">
              <w:rPr>
                <w:rFonts w:ascii="Times New Roman" w:hAnsi="Times New Roman" w:cs="Times New Roman"/>
                <w:sz w:val="20"/>
                <w:szCs w:val="20"/>
              </w:rPr>
              <w:t>4,6</w:t>
            </w:r>
          </w:p>
        </w:tc>
        <w:tc>
          <w:tcPr>
            <w:tcW w:w="992" w:type="dxa"/>
            <w:tcBorders>
              <w:top w:val="nil"/>
              <w:left w:val="nil"/>
              <w:bottom w:val="single" w:sz="4" w:space="0" w:color="auto"/>
              <w:right w:val="single" w:sz="4" w:space="0" w:color="auto"/>
            </w:tcBorders>
            <w:shd w:val="clear" w:color="auto" w:fill="auto"/>
            <w:noWrap/>
            <w:hideMark/>
          </w:tcPr>
          <w:p w14:paraId="6AAF688A" w14:textId="6D8263DF" w:rsidR="00DA488F" w:rsidRPr="00DA488F" w:rsidRDefault="00DA488F" w:rsidP="00DA488F">
            <w:pPr>
              <w:spacing w:line="240" w:lineRule="auto"/>
              <w:jc w:val="right"/>
              <w:rPr>
                <w:rFonts w:ascii="Times New Roman" w:hAnsi="Times New Roman" w:cs="Times New Roman"/>
                <w:sz w:val="20"/>
                <w:szCs w:val="20"/>
              </w:rPr>
            </w:pPr>
            <w:r w:rsidRPr="00DA488F">
              <w:rPr>
                <w:rFonts w:ascii="Times New Roman" w:hAnsi="Times New Roman" w:cs="Times New Roman"/>
                <w:sz w:val="20"/>
                <w:szCs w:val="20"/>
              </w:rPr>
              <w:t>4,9</w:t>
            </w:r>
          </w:p>
        </w:tc>
        <w:tc>
          <w:tcPr>
            <w:tcW w:w="850" w:type="dxa"/>
            <w:tcBorders>
              <w:top w:val="nil"/>
              <w:left w:val="nil"/>
              <w:bottom w:val="single" w:sz="4" w:space="0" w:color="auto"/>
              <w:right w:val="single" w:sz="4" w:space="0" w:color="auto"/>
            </w:tcBorders>
            <w:shd w:val="clear" w:color="auto" w:fill="auto"/>
            <w:noWrap/>
            <w:hideMark/>
          </w:tcPr>
          <w:p w14:paraId="664A5D3B" w14:textId="783F8143" w:rsidR="00DA488F" w:rsidRPr="00DA488F" w:rsidRDefault="00DA488F" w:rsidP="00DA488F">
            <w:pPr>
              <w:spacing w:line="240" w:lineRule="auto"/>
              <w:jc w:val="right"/>
              <w:rPr>
                <w:rFonts w:ascii="Times New Roman" w:hAnsi="Times New Roman" w:cs="Times New Roman"/>
                <w:sz w:val="20"/>
                <w:szCs w:val="20"/>
              </w:rPr>
            </w:pPr>
            <w:r w:rsidRPr="00DA488F">
              <w:rPr>
                <w:rFonts w:ascii="Times New Roman" w:hAnsi="Times New Roman" w:cs="Times New Roman"/>
                <w:sz w:val="20"/>
                <w:szCs w:val="20"/>
              </w:rPr>
              <w:t>0,3</w:t>
            </w:r>
          </w:p>
        </w:tc>
        <w:tc>
          <w:tcPr>
            <w:tcW w:w="851" w:type="dxa"/>
            <w:tcBorders>
              <w:top w:val="nil"/>
              <w:left w:val="nil"/>
              <w:bottom w:val="single" w:sz="4" w:space="0" w:color="auto"/>
              <w:right w:val="single" w:sz="4" w:space="0" w:color="auto"/>
            </w:tcBorders>
            <w:shd w:val="clear" w:color="auto" w:fill="auto"/>
            <w:noWrap/>
            <w:hideMark/>
          </w:tcPr>
          <w:p w14:paraId="4DE79E3D" w14:textId="677A83A9" w:rsidR="00DA488F" w:rsidRPr="00DA488F" w:rsidRDefault="00DA488F" w:rsidP="00DA488F">
            <w:pPr>
              <w:spacing w:line="240" w:lineRule="auto"/>
              <w:jc w:val="right"/>
              <w:rPr>
                <w:rFonts w:ascii="Times New Roman" w:hAnsi="Times New Roman" w:cs="Times New Roman"/>
                <w:sz w:val="20"/>
                <w:szCs w:val="20"/>
              </w:rPr>
            </w:pPr>
            <w:r w:rsidRPr="00DA488F">
              <w:rPr>
                <w:rFonts w:ascii="Times New Roman" w:hAnsi="Times New Roman" w:cs="Times New Roman"/>
                <w:sz w:val="20"/>
                <w:szCs w:val="20"/>
              </w:rPr>
              <w:t>106,5</w:t>
            </w:r>
          </w:p>
        </w:tc>
      </w:tr>
      <w:tr w:rsidR="00DA488F" w:rsidRPr="006068B4" w14:paraId="31537421" w14:textId="77777777" w:rsidTr="002F0795">
        <w:trPr>
          <w:trHeight w:hRule="exact" w:val="284"/>
        </w:trPr>
        <w:tc>
          <w:tcPr>
            <w:tcW w:w="5670" w:type="dxa"/>
            <w:tcBorders>
              <w:top w:val="nil"/>
              <w:left w:val="single" w:sz="4" w:space="0" w:color="auto"/>
              <w:bottom w:val="single" w:sz="4" w:space="0" w:color="auto"/>
              <w:right w:val="single" w:sz="4" w:space="0" w:color="auto"/>
            </w:tcBorders>
            <w:shd w:val="clear" w:color="auto" w:fill="auto"/>
            <w:vAlign w:val="center"/>
            <w:hideMark/>
          </w:tcPr>
          <w:p w14:paraId="4219C75A" w14:textId="77777777" w:rsidR="00DA488F" w:rsidRPr="006068B4" w:rsidRDefault="00DA488F" w:rsidP="00DA488F">
            <w:pPr>
              <w:spacing w:line="240" w:lineRule="auto"/>
              <w:ind w:firstLineChars="400" w:firstLine="800"/>
              <w:rPr>
                <w:rFonts w:ascii="Times New Roman" w:hAnsi="Times New Roman" w:cs="Times New Roman"/>
                <w:i/>
                <w:iCs/>
                <w:color w:val="000000" w:themeColor="text1"/>
                <w:sz w:val="20"/>
                <w:szCs w:val="20"/>
              </w:rPr>
            </w:pPr>
            <w:r w:rsidRPr="33985B12">
              <w:rPr>
                <w:rFonts w:ascii="Times New Roman" w:hAnsi="Times New Roman" w:cs="Times New Roman"/>
                <w:i/>
                <w:iCs/>
                <w:color w:val="000000" w:themeColor="text1"/>
                <w:sz w:val="20"/>
                <w:szCs w:val="20"/>
              </w:rPr>
              <w:t>életkezdési támogatás</w:t>
            </w:r>
          </w:p>
        </w:tc>
        <w:tc>
          <w:tcPr>
            <w:tcW w:w="993" w:type="dxa"/>
            <w:tcBorders>
              <w:top w:val="nil"/>
              <w:left w:val="nil"/>
              <w:bottom w:val="single" w:sz="4" w:space="0" w:color="auto"/>
              <w:right w:val="single" w:sz="4" w:space="0" w:color="auto"/>
            </w:tcBorders>
            <w:shd w:val="clear" w:color="auto" w:fill="auto"/>
            <w:noWrap/>
            <w:hideMark/>
          </w:tcPr>
          <w:p w14:paraId="7201B04B" w14:textId="138C8C53" w:rsidR="00DA488F" w:rsidRPr="00DA488F" w:rsidRDefault="00DA488F" w:rsidP="00DA488F">
            <w:pPr>
              <w:spacing w:line="240" w:lineRule="auto"/>
              <w:jc w:val="right"/>
              <w:rPr>
                <w:rFonts w:ascii="Times New Roman" w:hAnsi="Times New Roman" w:cs="Times New Roman"/>
                <w:sz w:val="20"/>
                <w:szCs w:val="20"/>
              </w:rPr>
            </w:pPr>
            <w:r w:rsidRPr="00DA488F">
              <w:rPr>
                <w:rFonts w:ascii="Times New Roman" w:hAnsi="Times New Roman" w:cs="Times New Roman"/>
                <w:sz w:val="20"/>
                <w:szCs w:val="20"/>
              </w:rPr>
              <w:t>19,0</w:t>
            </w:r>
          </w:p>
        </w:tc>
        <w:tc>
          <w:tcPr>
            <w:tcW w:w="992" w:type="dxa"/>
            <w:tcBorders>
              <w:top w:val="nil"/>
              <w:left w:val="nil"/>
              <w:bottom w:val="single" w:sz="4" w:space="0" w:color="auto"/>
              <w:right w:val="single" w:sz="4" w:space="0" w:color="auto"/>
            </w:tcBorders>
            <w:shd w:val="clear" w:color="auto" w:fill="auto"/>
            <w:noWrap/>
            <w:hideMark/>
          </w:tcPr>
          <w:p w14:paraId="45D51CF7" w14:textId="3DCD0511" w:rsidR="00DA488F" w:rsidRPr="00DA488F" w:rsidRDefault="00DA488F" w:rsidP="00DA488F">
            <w:pPr>
              <w:spacing w:line="240" w:lineRule="auto"/>
              <w:jc w:val="right"/>
              <w:rPr>
                <w:rFonts w:ascii="Times New Roman" w:hAnsi="Times New Roman" w:cs="Times New Roman"/>
                <w:sz w:val="20"/>
                <w:szCs w:val="20"/>
              </w:rPr>
            </w:pPr>
            <w:r w:rsidRPr="00DA488F">
              <w:rPr>
                <w:rFonts w:ascii="Times New Roman" w:hAnsi="Times New Roman" w:cs="Times New Roman"/>
                <w:sz w:val="20"/>
                <w:szCs w:val="20"/>
              </w:rPr>
              <w:t>24,7</w:t>
            </w:r>
          </w:p>
        </w:tc>
        <w:tc>
          <w:tcPr>
            <w:tcW w:w="850" w:type="dxa"/>
            <w:tcBorders>
              <w:top w:val="nil"/>
              <w:left w:val="nil"/>
              <w:bottom w:val="single" w:sz="4" w:space="0" w:color="auto"/>
              <w:right w:val="single" w:sz="4" w:space="0" w:color="auto"/>
            </w:tcBorders>
            <w:shd w:val="clear" w:color="auto" w:fill="auto"/>
            <w:noWrap/>
            <w:hideMark/>
          </w:tcPr>
          <w:p w14:paraId="1BC502FA" w14:textId="579B78CE" w:rsidR="00DA488F" w:rsidRPr="00DA488F" w:rsidRDefault="00DA488F" w:rsidP="00DA488F">
            <w:pPr>
              <w:spacing w:line="240" w:lineRule="auto"/>
              <w:jc w:val="right"/>
              <w:rPr>
                <w:rFonts w:ascii="Times New Roman" w:hAnsi="Times New Roman" w:cs="Times New Roman"/>
                <w:sz w:val="20"/>
                <w:szCs w:val="20"/>
              </w:rPr>
            </w:pPr>
            <w:r w:rsidRPr="00DA488F">
              <w:rPr>
                <w:rFonts w:ascii="Times New Roman" w:hAnsi="Times New Roman" w:cs="Times New Roman"/>
                <w:sz w:val="20"/>
                <w:szCs w:val="20"/>
              </w:rPr>
              <w:t>5,7</w:t>
            </w:r>
          </w:p>
        </w:tc>
        <w:tc>
          <w:tcPr>
            <w:tcW w:w="851" w:type="dxa"/>
            <w:tcBorders>
              <w:top w:val="nil"/>
              <w:left w:val="nil"/>
              <w:bottom w:val="single" w:sz="4" w:space="0" w:color="auto"/>
              <w:right w:val="single" w:sz="4" w:space="0" w:color="auto"/>
            </w:tcBorders>
            <w:shd w:val="clear" w:color="auto" w:fill="auto"/>
            <w:noWrap/>
            <w:hideMark/>
          </w:tcPr>
          <w:p w14:paraId="70100317" w14:textId="0F949370" w:rsidR="00DA488F" w:rsidRPr="00DA488F" w:rsidRDefault="00DA488F" w:rsidP="00DA488F">
            <w:pPr>
              <w:spacing w:line="240" w:lineRule="auto"/>
              <w:jc w:val="right"/>
              <w:rPr>
                <w:rFonts w:ascii="Times New Roman" w:hAnsi="Times New Roman" w:cs="Times New Roman"/>
                <w:sz w:val="20"/>
                <w:szCs w:val="20"/>
              </w:rPr>
            </w:pPr>
            <w:r w:rsidRPr="00DA488F">
              <w:rPr>
                <w:rFonts w:ascii="Times New Roman" w:hAnsi="Times New Roman" w:cs="Times New Roman"/>
                <w:sz w:val="20"/>
                <w:szCs w:val="20"/>
              </w:rPr>
              <w:t>130,0</w:t>
            </w:r>
          </w:p>
        </w:tc>
      </w:tr>
      <w:tr w:rsidR="00DA488F" w:rsidRPr="006068B4" w14:paraId="7D88A7FB" w14:textId="77777777" w:rsidTr="002F0795">
        <w:trPr>
          <w:trHeight w:hRule="exact" w:val="284"/>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699AE9AE" w14:textId="77777777" w:rsidR="00DA488F" w:rsidRPr="006068B4" w:rsidRDefault="00DA488F" w:rsidP="00DA488F">
            <w:pPr>
              <w:spacing w:line="240" w:lineRule="auto"/>
              <w:rPr>
                <w:rFonts w:ascii="Times New Roman" w:hAnsi="Times New Roman" w:cs="Times New Roman"/>
                <w:b/>
                <w:bCs/>
                <w:color w:val="000000" w:themeColor="text1"/>
                <w:sz w:val="20"/>
                <w:szCs w:val="20"/>
              </w:rPr>
            </w:pPr>
            <w:r w:rsidRPr="33985B12">
              <w:rPr>
                <w:rFonts w:ascii="Times New Roman" w:hAnsi="Times New Roman" w:cs="Times New Roman"/>
                <w:b/>
                <w:bCs/>
                <w:color w:val="000000" w:themeColor="text1"/>
                <w:sz w:val="20"/>
                <w:szCs w:val="20"/>
              </w:rPr>
              <w:t>Korhatár alatti ellátások</w:t>
            </w:r>
          </w:p>
        </w:tc>
        <w:tc>
          <w:tcPr>
            <w:tcW w:w="993" w:type="dxa"/>
            <w:tcBorders>
              <w:top w:val="nil"/>
              <w:left w:val="nil"/>
              <w:bottom w:val="single" w:sz="4" w:space="0" w:color="auto"/>
              <w:right w:val="single" w:sz="4" w:space="0" w:color="auto"/>
            </w:tcBorders>
            <w:shd w:val="clear" w:color="auto" w:fill="auto"/>
            <w:noWrap/>
            <w:hideMark/>
          </w:tcPr>
          <w:p w14:paraId="7703B44A" w14:textId="6EC72646" w:rsidR="00DA488F" w:rsidRPr="00DA488F" w:rsidRDefault="00DA488F" w:rsidP="00DA488F">
            <w:pPr>
              <w:spacing w:line="240" w:lineRule="auto"/>
              <w:jc w:val="right"/>
              <w:rPr>
                <w:rFonts w:ascii="Times New Roman" w:hAnsi="Times New Roman" w:cs="Times New Roman"/>
                <w:b/>
                <w:bCs/>
                <w:sz w:val="20"/>
                <w:szCs w:val="20"/>
              </w:rPr>
            </w:pPr>
            <w:r w:rsidRPr="00DA488F">
              <w:rPr>
                <w:rFonts w:ascii="Times New Roman" w:hAnsi="Times New Roman" w:cs="Times New Roman"/>
                <w:b/>
                <w:sz w:val="20"/>
                <w:szCs w:val="20"/>
              </w:rPr>
              <w:t>126,1</w:t>
            </w:r>
          </w:p>
        </w:tc>
        <w:tc>
          <w:tcPr>
            <w:tcW w:w="992" w:type="dxa"/>
            <w:tcBorders>
              <w:top w:val="nil"/>
              <w:left w:val="nil"/>
              <w:bottom w:val="single" w:sz="4" w:space="0" w:color="auto"/>
              <w:right w:val="single" w:sz="4" w:space="0" w:color="auto"/>
            </w:tcBorders>
            <w:shd w:val="clear" w:color="auto" w:fill="auto"/>
            <w:noWrap/>
            <w:hideMark/>
          </w:tcPr>
          <w:p w14:paraId="6428734A" w14:textId="49FCBF27" w:rsidR="00DA488F" w:rsidRPr="00DA488F" w:rsidRDefault="00DA488F" w:rsidP="00DA488F">
            <w:pPr>
              <w:spacing w:line="240" w:lineRule="auto"/>
              <w:jc w:val="right"/>
              <w:rPr>
                <w:rFonts w:ascii="Times New Roman" w:hAnsi="Times New Roman" w:cs="Times New Roman"/>
                <w:b/>
                <w:bCs/>
                <w:sz w:val="20"/>
                <w:szCs w:val="20"/>
              </w:rPr>
            </w:pPr>
            <w:r w:rsidRPr="00DA488F">
              <w:rPr>
                <w:rFonts w:ascii="Times New Roman" w:hAnsi="Times New Roman" w:cs="Times New Roman"/>
                <w:b/>
                <w:sz w:val="20"/>
                <w:szCs w:val="20"/>
              </w:rPr>
              <w:t>124,1</w:t>
            </w:r>
          </w:p>
        </w:tc>
        <w:tc>
          <w:tcPr>
            <w:tcW w:w="850" w:type="dxa"/>
            <w:tcBorders>
              <w:top w:val="nil"/>
              <w:left w:val="nil"/>
              <w:bottom w:val="single" w:sz="4" w:space="0" w:color="auto"/>
              <w:right w:val="single" w:sz="4" w:space="0" w:color="auto"/>
            </w:tcBorders>
            <w:shd w:val="clear" w:color="auto" w:fill="auto"/>
            <w:noWrap/>
            <w:hideMark/>
          </w:tcPr>
          <w:p w14:paraId="7EDBDA2F" w14:textId="6A98C9CC" w:rsidR="00DA488F" w:rsidRPr="00DA488F" w:rsidRDefault="00DA488F" w:rsidP="00DA488F">
            <w:pPr>
              <w:spacing w:line="240" w:lineRule="auto"/>
              <w:jc w:val="right"/>
              <w:rPr>
                <w:rFonts w:ascii="Times New Roman" w:hAnsi="Times New Roman" w:cs="Times New Roman"/>
                <w:b/>
                <w:bCs/>
                <w:sz w:val="20"/>
                <w:szCs w:val="20"/>
              </w:rPr>
            </w:pPr>
            <w:r w:rsidRPr="00DA488F">
              <w:rPr>
                <w:rFonts w:ascii="Times New Roman" w:hAnsi="Times New Roman" w:cs="Times New Roman"/>
                <w:b/>
                <w:sz w:val="20"/>
                <w:szCs w:val="20"/>
              </w:rPr>
              <w:t>-2,0</w:t>
            </w:r>
          </w:p>
        </w:tc>
        <w:tc>
          <w:tcPr>
            <w:tcW w:w="851" w:type="dxa"/>
            <w:tcBorders>
              <w:top w:val="nil"/>
              <w:left w:val="nil"/>
              <w:bottom w:val="single" w:sz="4" w:space="0" w:color="auto"/>
              <w:right w:val="single" w:sz="4" w:space="0" w:color="auto"/>
            </w:tcBorders>
            <w:shd w:val="clear" w:color="auto" w:fill="auto"/>
            <w:noWrap/>
            <w:hideMark/>
          </w:tcPr>
          <w:p w14:paraId="534E4A63" w14:textId="673B94E3" w:rsidR="00DA488F" w:rsidRPr="00DA488F" w:rsidRDefault="00DA488F" w:rsidP="00DA488F">
            <w:pPr>
              <w:spacing w:line="240" w:lineRule="auto"/>
              <w:jc w:val="right"/>
              <w:rPr>
                <w:rFonts w:ascii="Times New Roman" w:hAnsi="Times New Roman" w:cs="Times New Roman"/>
                <w:b/>
                <w:bCs/>
                <w:sz w:val="20"/>
                <w:szCs w:val="20"/>
              </w:rPr>
            </w:pPr>
            <w:r w:rsidRPr="00DA488F">
              <w:rPr>
                <w:rFonts w:ascii="Times New Roman" w:hAnsi="Times New Roman" w:cs="Times New Roman"/>
                <w:b/>
                <w:sz w:val="20"/>
                <w:szCs w:val="20"/>
              </w:rPr>
              <w:t>98,4</w:t>
            </w:r>
          </w:p>
        </w:tc>
      </w:tr>
      <w:tr w:rsidR="00DA488F" w:rsidRPr="006068B4" w14:paraId="2D32D206" w14:textId="77777777" w:rsidTr="002F0795">
        <w:trPr>
          <w:trHeight w:hRule="exact" w:val="284"/>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7EA13739" w14:textId="77777777" w:rsidR="00DA488F" w:rsidRPr="006068B4" w:rsidRDefault="00DA488F" w:rsidP="00DA488F">
            <w:pPr>
              <w:spacing w:line="240" w:lineRule="auto"/>
              <w:rPr>
                <w:rFonts w:ascii="Times New Roman" w:hAnsi="Times New Roman" w:cs="Times New Roman"/>
                <w:b/>
                <w:bCs/>
                <w:color w:val="000000" w:themeColor="text1"/>
                <w:sz w:val="20"/>
                <w:szCs w:val="20"/>
              </w:rPr>
            </w:pPr>
            <w:r w:rsidRPr="33985B12">
              <w:rPr>
                <w:rFonts w:ascii="Times New Roman" w:hAnsi="Times New Roman" w:cs="Times New Roman"/>
                <w:b/>
                <w:bCs/>
                <w:color w:val="000000" w:themeColor="text1"/>
                <w:sz w:val="20"/>
                <w:szCs w:val="20"/>
              </w:rPr>
              <w:t>Jövedelempótló és jövedelemkiegészítő szociális támogatások</w:t>
            </w:r>
          </w:p>
        </w:tc>
        <w:tc>
          <w:tcPr>
            <w:tcW w:w="993" w:type="dxa"/>
            <w:tcBorders>
              <w:top w:val="nil"/>
              <w:left w:val="nil"/>
              <w:bottom w:val="single" w:sz="4" w:space="0" w:color="auto"/>
              <w:right w:val="single" w:sz="4" w:space="0" w:color="auto"/>
            </w:tcBorders>
            <w:shd w:val="clear" w:color="auto" w:fill="auto"/>
            <w:noWrap/>
            <w:hideMark/>
          </w:tcPr>
          <w:p w14:paraId="09D08D68" w14:textId="6724073D" w:rsidR="00DA488F" w:rsidRPr="00DA488F" w:rsidRDefault="00DA488F" w:rsidP="00DA488F">
            <w:pPr>
              <w:spacing w:line="240" w:lineRule="auto"/>
              <w:jc w:val="right"/>
              <w:rPr>
                <w:rFonts w:ascii="Times New Roman" w:hAnsi="Times New Roman" w:cs="Times New Roman"/>
                <w:b/>
                <w:bCs/>
                <w:sz w:val="20"/>
                <w:szCs w:val="20"/>
              </w:rPr>
            </w:pPr>
            <w:r w:rsidRPr="00DA488F">
              <w:rPr>
                <w:rFonts w:ascii="Times New Roman" w:hAnsi="Times New Roman" w:cs="Times New Roman"/>
                <w:b/>
                <w:sz w:val="20"/>
                <w:szCs w:val="20"/>
              </w:rPr>
              <w:t>199,3</w:t>
            </w:r>
          </w:p>
        </w:tc>
        <w:tc>
          <w:tcPr>
            <w:tcW w:w="992" w:type="dxa"/>
            <w:tcBorders>
              <w:top w:val="nil"/>
              <w:left w:val="nil"/>
              <w:bottom w:val="single" w:sz="4" w:space="0" w:color="auto"/>
              <w:right w:val="single" w:sz="4" w:space="0" w:color="auto"/>
            </w:tcBorders>
            <w:shd w:val="clear" w:color="auto" w:fill="auto"/>
            <w:noWrap/>
            <w:hideMark/>
          </w:tcPr>
          <w:p w14:paraId="20CD8076" w14:textId="08CFD603" w:rsidR="00DA488F" w:rsidRPr="00DA488F" w:rsidRDefault="00DA488F" w:rsidP="00DA488F">
            <w:pPr>
              <w:spacing w:line="240" w:lineRule="auto"/>
              <w:jc w:val="right"/>
              <w:rPr>
                <w:rFonts w:ascii="Times New Roman" w:hAnsi="Times New Roman" w:cs="Times New Roman"/>
                <w:b/>
                <w:bCs/>
                <w:sz w:val="20"/>
                <w:szCs w:val="20"/>
              </w:rPr>
            </w:pPr>
            <w:r w:rsidRPr="00DA488F">
              <w:rPr>
                <w:rFonts w:ascii="Times New Roman" w:hAnsi="Times New Roman" w:cs="Times New Roman"/>
                <w:b/>
                <w:sz w:val="20"/>
                <w:szCs w:val="20"/>
              </w:rPr>
              <w:t>225,0</w:t>
            </w:r>
          </w:p>
        </w:tc>
        <w:tc>
          <w:tcPr>
            <w:tcW w:w="850" w:type="dxa"/>
            <w:tcBorders>
              <w:top w:val="nil"/>
              <w:left w:val="nil"/>
              <w:bottom w:val="single" w:sz="4" w:space="0" w:color="auto"/>
              <w:right w:val="single" w:sz="4" w:space="0" w:color="auto"/>
            </w:tcBorders>
            <w:shd w:val="clear" w:color="auto" w:fill="auto"/>
            <w:noWrap/>
            <w:hideMark/>
          </w:tcPr>
          <w:p w14:paraId="06C5F2C2" w14:textId="6A584DB9" w:rsidR="00DA488F" w:rsidRPr="00DA488F" w:rsidRDefault="00DA488F" w:rsidP="00DA488F">
            <w:pPr>
              <w:spacing w:line="240" w:lineRule="auto"/>
              <w:jc w:val="right"/>
              <w:rPr>
                <w:rFonts w:ascii="Times New Roman" w:hAnsi="Times New Roman" w:cs="Times New Roman"/>
                <w:b/>
                <w:bCs/>
                <w:sz w:val="20"/>
                <w:szCs w:val="20"/>
              </w:rPr>
            </w:pPr>
            <w:r w:rsidRPr="00DA488F">
              <w:rPr>
                <w:rFonts w:ascii="Times New Roman" w:hAnsi="Times New Roman" w:cs="Times New Roman"/>
                <w:b/>
                <w:sz w:val="20"/>
                <w:szCs w:val="20"/>
              </w:rPr>
              <w:t>25,7</w:t>
            </w:r>
          </w:p>
        </w:tc>
        <w:tc>
          <w:tcPr>
            <w:tcW w:w="851" w:type="dxa"/>
            <w:tcBorders>
              <w:top w:val="nil"/>
              <w:left w:val="nil"/>
              <w:bottom w:val="single" w:sz="4" w:space="0" w:color="auto"/>
              <w:right w:val="single" w:sz="4" w:space="0" w:color="auto"/>
            </w:tcBorders>
            <w:shd w:val="clear" w:color="auto" w:fill="auto"/>
            <w:noWrap/>
            <w:hideMark/>
          </w:tcPr>
          <w:p w14:paraId="72FE9F51" w14:textId="24C817A2" w:rsidR="00DA488F" w:rsidRPr="00DA488F" w:rsidRDefault="00DA488F" w:rsidP="00DA488F">
            <w:pPr>
              <w:spacing w:line="240" w:lineRule="auto"/>
              <w:jc w:val="right"/>
              <w:rPr>
                <w:rFonts w:ascii="Times New Roman" w:hAnsi="Times New Roman" w:cs="Times New Roman"/>
                <w:b/>
                <w:bCs/>
                <w:sz w:val="20"/>
                <w:szCs w:val="20"/>
              </w:rPr>
            </w:pPr>
            <w:r w:rsidRPr="00DA488F">
              <w:rPr>
                <w:rFonts w:ascii="Times New Roman" w:hAnsi="Times New Roman" w:cs="Times New Roman"/>
                <w:b/>
                <w:sz w:val="20"/>
                <w:szCs w:val="20"/>
              </w:rPr>
              <w:t>112,9</w:t>
            </w:r>
          </w:p>
        </w:tc>
      </w:tr>
      <w:tr w:rsidR="00DA488F" w:rsidRPr="006068B4" w14:paraId="5788F37E" w14:textId="77777777" w:rsidTr="002F0795">
        <w:trPr>
          <w:trHeight w:hRule="exact" w:val="284"/>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11B003BA" w14:textId="77777777" w:rsidR="00DA488F" w:rsidRPr="006068B4" w:rsidRDefault="00DA488F" w:rsidP="00DA488F">
            <w:pPr>
              <w:spacing w:line="240" w:lineRule="auto"/>
              <w:ind w:firstLineChars="100" w:firstLine="200"/>
              <w:rPr>
                <w:rFonts w:ascii="Times New Roman" w:hAnsi="Times New Roman" w:cs="Times New Roman"/>
                <w:i/>
                <w:iCs/>
                <w:color w:val="000000" w:themeColor="text1"/>
                <w:sz w:val="20"/>
                <w:szCs w:val="20"/>
              </w:rPr>
            </w:pPr>
            <w:r w:rsidRPr="33985B12">
              <w:rPr>
                <w:rFonts w:ascii="Times New Roman" w:hAnsi="Times New Roman" w:cs="Times New Roman"/>
                <w:i/>
                <w:iCs/>
                <w:color w:val="000000" w:themeColor="text1"/>
                <w:sz w:val="20"/>
                <w:szCs w:val="20"/>
              </w:rPr>
              <w:t>Ebből:</w:t>
            </w:r>
          </w:p>
        </w:tc>
        <w:tc>
          <w:tcPr>
            <w:tcW w:w="993" w:type="dxa"/>
            <w:tcBorders>
              <w:top w:val="nil"/>
              <w:left w:val="nil"/>
              <w:bottom w:val="single" w:sz="4" w:space="0" w:color="auto"/>
              <w:right w:val="single" w:sz="4" w:space="0" w:color="auto"/>
            </w:tcBorders>
            <w:shd w:val="clear" w:color="auto" w:fill="auto"/>
            <w:noWrap/>
            <w:hideMark/>
          </w:tcPr>
          <w:p w14:paraId="288BBE5A" w14:textId="2B3F6537" w:rsidR="00DA488F" w:rsidRPr="00DA488F" w:rsidRDefault="00DA488F" w:rsidP="00DA488F">
            <w:pPr>
              <w:spacing w:line="240" w:lineRule="auto"/>
              <w:jc w:val="right"/>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noWrap/>
            <w:hideMark/>
          </w:tcPr>
          <w:p w14:paraId="14125CFD" w14:textId="3A1AADC5" w:rsidR="00DA488F" w:rsidRPr="00DA488F" w:rsidRDefault="00DA488F" w:rsidP="00DA488F">
            <w:pPr>
              <w:spacing w:line="240" w:lineRule="auto"/>
              <w:jc w:val="right"/>
              <w:rPr>
                <w:rFonts w:ascii="Times New Roman" w:hAnsi="Times New Roman" w:cs="Times New Roman"/>
                <w:sz w:val="20"/>
                <w:szCs w:val="20"/>
              </w:rPr>
            </w:pPr>
          </w:p>
        </w:tc>
        <w:tc>
          <w:tcPr>
            <w:tcW w:w="850" w:type="dxa"/>
            <w:tcBorders>
              <w:top w:val="nil"/>
              <w:left w:val="nil"/>
              <w:bottom w:val="single" w:sz="4" w:space="0" w:color="auto"/>
              <w:right w:val="single" w:sz="4" w:space="0" w:color="auto"/>
            </w:tcBorders>
            <w:shd w:val="clear" w:color="auto" w:fill="auto"/>
            <w:noWrap/>
            <w:hideMark/>
          </w:tcPr>
          <w:p w14:paraId="1F8604AB" w14:textId="2C8940A6" w:rsidR="00DA488F" w:rsidRPr="00DA488F" w:rsidRDefault="00DA488F" w:rsidP="00DA488F">
            <w:pPr>
              <w:spacing w:line="240" w:lineRule="auto"/>
              <w:jc w:val="right"/>
              <w:rPr>
                <w:rFonts w:ascii="Times New Roman" w:hAnsi="Times New Roman" w:cs="Times New Roman"/>
                <w:sz w:val="20"/>
                <w:szCs w:val="20"/>
              </w:rPr>
            </w:pPr>
          </w:p>
        </w:tc>
        <w:tc>
          <w:tcPr>
            <w:tcW w:w="851" w:type="dxa"/>
            <w:tcBorders>
              <w:top w:val="nil"/>
              <w:left w:val="nil"/>
              <w:bottom w:val="single" w:sz="4" w:space="0" w:color="auto"/>
              <w:right w:val="single" w:sz="4" w:space="0" w:color="auto"/>
            </w:tcBorders>
            <w:shd w:val="clear" w:color="auto" w:fill="auto"/>
            <w:noWrap/>
            <w:hideMark/>
          </w:tcPr>
          <w:p w14:paraId="736DD4C8" w14:textId="2881F13B" w:rsidR="00DA488F" w:rsidRPr="00DA488F" w:rsidRDefault="00DA488F" w:rsidP="00DA488F">
            <w:pPr>
              <w:spacing w:line="240" w:lineRule="auto"/>
              <w:jc w:val="right"/>
              <w:rPr>
                <w:rFonts w:ascii="Times New Roman" w:hAnsi="Times New Roman" w:cs="Times New Roman"/>
                <w:b/>
                <w:bCs/>
                <w:sz w:val="20"/>
                <w:szCs w:val="20"/>
              </w:rPr>
            </w:pPr>
          </w:p>
        </w:tc>
      </w:tr>
      <w:tr w:rsidR="00DA488F" w:rsidRPr="006068B4" w14:paraId="2B9D2C3D" w14:textId="77777777" w:rsidTr="002F0795">
        <w:trPr>
          <w:trHeight w:hRule="exact" w:val="284"/>
        </w:trPr>
        <w:tc>
          <w:tcPr>
            <w:tcW w:w="5670" w:type="dxa"/>
            <w:tcBorders>
              <w:top w:val="nil"/>
              <w:left w:val="single" w:sz="4" w:space="0" w:color="auto"/>
              <w:bottom w:val="single" w:sz="4" w:space="0" w:color="auto"/>
              <w:right w:val="single" w:sz="4" w:space="0" w:color="auto"/>
            </w:tcBorders>
            <w:shd w:val="clear" w:color="auto" w:fill="auto"/>
            <w:noWrap/>
            <w:vAlign w:val="center"/>
            <w:hideMark/>
          </w:tcPr>
          <w:p w14:paraId="3BF205E9" w14:textId="77777777" w:rsidR="00DA488F" w:rsidRPr="006068B4" w:rsidRDefault="00DA488F" w:rsidP="00DA488F">
            <w:pPr>
              <w:spacing w:line="240" w:lineRule="auto"/>
              <w:ind w:firstLineChars="400" w:firstLine="800"/>
              <w:rPr>
                <w:rFonts w:ascii="Times New Roman" w:hAnsi="Times New Roman" w:cs="Times New Roman"/>
                <w:i/>
                <w:iCs/>
                <w:color w:val="000000" w:themeColor="text1"/>
                <w:sz w:val="20"/>
                <w:szCs w:val="20"/>
              </w:rPr>
            </w:pPr>
            <w:r w:rsidRPr="33985B12">
              <w:rPr>
                <w:rFonts w:ascii="Times New Roman" w:hAnsi="Times New Roman" w:cs="Times New Roman"/>
                <w:i/>
                <w:iCs/>
                <w:color w:val="000000" w:themeColor="text1"/>
                <w:sz w:val="20"/>
                <w:szCs w:val="20"/>
              </w:rPr>
              <w:t>Jövedelempótló és jövedelemkiegészítő ellátások</w:t>
            </w:r>
          </w:p>
        </w:tc>
        <w:tc>
          <w:tcPr>
            <w:tcW w:w="993" w:type="dxa"/>
            <w:tcBorders>
              <w:top w:val="nil"/>
              <w:left w:val="nil"/>
              <w:bottom w:val="single" w:sz="4" w:space="0" w:color="auto"/>
              <w:right w:val="single" w:sz="4" w:space="0" w:color="auto"/>
            </w:tcBorders>
            <w:shd w:val="clear" w:color="auto" w:fill="auto"/>
            <w:noWrap/>
            <w:hideMark/>
          </w:tcPr>
          <w:p w14:paraId="4ED98D04" w14:textId="316F0BF0" w:rsidR="00DA488F" w:rsidRPr="00DA488F" w:rsidRDefault="00DA488F" w:rsidP="00DA488F">
            <w:pPr>
              <w:spacing w:line="240" w:lineRule="auto"/>
              <w:jc w:val="right"/>
              <w:rPr>
                <w:rFonts w:ascii="Times New Roman" w:hAnsi="Times New Roman" w:cs="Times New Roman"/>
                <w:sz w:val="20"/>
                <w:szCs w:val="20"/>
              </w:rPr>
            </w:pPr>
            <w:r w:rsidRPr="00DA488F">
              <w:rPr>
                <w:rFonts w:ascii="Times New Roman" w:hAnsi="Times New Roman" w:cs="Times New Roman"/>
                <w:sz w:val="20"/>
                <w:szCs w:val="20"/>
              </w:rPr>
              <w:t>75,9</w:t>
            </w:r>
          </w:p>
        </w:tc>
        <w:tc>
          <w:tcPr>
            <w:tcW w:w="992" w:type="dxa"/>
            <w:tcBorders>
              <w:top w:val="nil"/>
              <w:left w:val="nil"/>
              <w:bottom w:val="single" w:sz="4" w:space="0" w:color="auto"/>
              <w:right w:val="single" w:sz="4" w:space="0" w:color="auto"/>
            </w:tcBorders>
            <w:shd w:val="clear" w:color="auto" w:fill="auto"/>
            <w:noWrap/>
            <w:hideMark/>
          </w:tcPr>
          <w:p w14:paraId="0B03B656" w14:textId="38724CFF" w:rsidR="00DA488F" w:rsidRPr="00DA488F" w:rsidRDefault="00DA488F" w:rsidP="00DA488F">
            <w:pPr>
              <w:spacing w:line="240" w:lineRule="auto"/>
              <w:jc w:val="right"/>
              <w:rPr>
                <w:rFonts w:ascii="Times New Roman" w:hAnsi="Times New Roman" w:cs="Times New Roman"/>
                <w:sz w:val="20"/>
                <w:szCs w:val="20"/>
              </w:rPr>
            </w:pPr>
            <w:r w:rsidRPr="00DA488F">
              <w:rPr>
                <w:rFonts w:ascii="Times New Roman" w:hAnsi="Times New Roman" w:cs="Times New Roman"/>
                <w:sz w:val="20"/>
                <w:szCs w:val="20"/>
              </w:rPr>
              <w:t>77,7</w:t>
            </w:r>
          </w:p>
        </w:tc>
        <w:tc>
          <w:tcPr>
            <w:tcW w:w="850" w:type="dxa"/>
            <w:tcBorders>
              <w:top w:val="nil"/>
              <w:left w:val="nil"/>
              <w:bottom w:val="single" w:sz="4" w:space="0" w:color="auto"/>
              <w:right w:val="single" w:sz="4" w:space="0" w:color="auto"/>
            </w:tcBorders>
            <w:shd w:val="clear" w:color="auto" w:fill="auto"/>
            <w:noWrap/>
            <w:hideMark/>
          </w:tcPr>
          <w:p w14:paraId="2876B997" w14:textId="7656337A" w:rsidR="00DA488F" w:rsidRPr="00DA488F" w:rsidRDefault="00DA488F" w:rsidP="00DA488F">
            <w:pPr>
              <w:spacing w:line="240" w:lineRule="auto"/>
              <w:jc w:val="right"/>
              <w:rPr>
                <w:rFonts w:ascii="Times New Roman" w:hAnsi="Times New Roman" w:cs="Times New Roman"/>
                <w:sz w:val="20"/>
                <w:szCs w:val="20"/>
              </w:rPr>
            </w:pPr>
            <w:r w:rsidRPr="00DA488F">
              <w:rPr>
                <w:rFonts w:ascii="Times New Roman" w:hAnsi="Times New Roman" w:cs="Times New Roman"/>
                <w:sz w:val="20"/>
                <w:szCs w:val="20"/>
              </w:rPr>
              <w:t>1,8</w:t>
            </w:r>
          </w:p>
        </w:tc>
        <w:tc>
          <w:tcPr>
            <w:tcW w:w="851" w:type="dxa"/>
            <w:tcBorders>
              <w:top w:val="nil"/>
              <w:left w:val="nil"/>
              <w:bottom w:val="single" w:sz="4" w:space="0" w:color="auto"/>
              <w:right w:val="single" w:sz="4" w:space="0" w:color="auto"/>
            </w:tcBorders>
            <w:shd w:val="clear" w:color="auto" w:fill="auto"/>
            <w:noWrap/>
            <w:hideMark/>
          </w:tcPr>
          <w:p w14:paraId="6DBAA01B" w14:textId="31867BD4" w:rsidR="00DA488F" w:rsidRPr="00DA488F" w:rsidRDefault="00DA488F" w:rsidP="00DA488F">
            <w:pPr>
              <w:spacing w:line="240" w:lineRule="auto"/>
              <w:jc w:val="right"/>
              <w:rPr>
                <w:rFonts w:ascii="Times New Roman" w:hAnsi="Times New Roman" w:cs="Times New Roman"/>
                <w:sz w:val="20"/>
                <w:szCs w:val="20"/>
              </w:rPr>
            </w:pPr>
            <w:r w:rsidRPr="00DA488F">
              <w:rPr>
                <w:rFonts w:ascii="Times New Roman" w:hAnsi="Times New Roman" w:cs="Times New Roman"/>
                <w:sz w:val="20"/>
                <w:szCs w:val="20"/>
              </w:rPr>
              <w:t>102,4</w:t>
            </w:r>
          </w:p>
        </w:tc>
      </w:tr>
      <w:tr w:rsidR="00DA488F" w:rsidRPr="006068B4" w14:paraId="65888AD0" w14:textId="77777777" w:rsidTr="002F0795">
        <w:trPr>
          <w:trHeight w:hRule="exact" w:val="284"/>
        </w:trPr>
        <w:tc>
          <w:tcPr>
            <w:tcW w:w="5670" w:type="dxa"/>
            <w:tcBorders>
              <w:top w:val="nil"/>
              <w:left w:val="single" w:sz="4" w:space="0" w:color="auto"/>
              <w:bottom w:val="single" w:sz="4" w:space="0" w:color="auto"/>
              <w:right w:val="single" w:sz="4" w:space="0" w:color="auto"/>
            </w:tcBorders>
            <w:shd w:val="clear" w:color="auto" w:fill="auto"/>
            <w:noWrap/>
            <w:vAlign w:val="center"/>
            <w:hideMark/>
          </w:tcPr>
          <w:p w14:paraId="47B6E086" w14:textId="77777777" w:rsidR="00DA488F" w:rsidRPr="006068B4" w:rsidRDefault="00DA488F" w:rsidP="00DA488F">
            <w:pPr>
              <w:spacing w:line="240" w:lineRule="auto"/>
              <w:ind w:firstLineChars="400" w:firstLine="800"/>
              <w:rPr>
                <w:rFonts w:ascii="Times New Roman" w:hAnsi="Times New Roman" w:cs="Times New Roman"/>
                <w:i/>
                <w:iCs/>
                <w:color w:val="000000" w:themeColor="text1"/>
                <w:sz w:val="20"/>
                <w:szCs w:val="20"/>
              </w:rPr>
            </w:pPr>
            <w:r w:rsidRPr="33985B12">
              <w:rPr>
                <w:rFonts w:ascii="Times New Roman" w:hAnsi="Times New Roman" w:cs="Times New Roman"/>
                <w:i/>
                <w:iCs/>
                <w:color w:val="000000" w:themeColor="text1"/>
                <w:sz w:val="20"/>
                <w:szCs w:val="20"/>
              </w:rPr>
              <w:t>Járási szociális feladatok ellátása</w:t>
            </w:r>
          </w:p>
        </w:tc>
        <w:tc>
          <w:tcPr>
            <w:tcW w:w="993" w:type="dxa"/>
            <w:tcBorders>
              <w:top w:val="nil"/>
              <w:left w:val="nil"/>
              <w:bottom w:val="single" w:sz="4" w:space="0" w:color="auto"/>
              <w:right w:val="single" w:sz="4" w:space="0" w:color="auto"/>
            </w:tcBorders>
            <w:shd w:val="clear" w:color="auto" w:fill="auto"/>
            <w:noWrap/>
            <w:hideMark/>
          </w:tcPr>
          <w:p w14:paraId="4DD04FA4" w14:textId="08C40D2D" w:rsidR="00DA488F" w:rsidRPr="00DA488F" w:rsidRDefault="00DA488F" w:rsidP="00DA488F">
            <w:pPr>
              <w:spacing w:line="240" w:lineRule="auto"/>
              <w:jc w:val="right"/>
              <w:rPr>
                <w:rFonts w:ascii="Times New Roman" w:hAnsi="Times New Roman" w:cs="Times New Roman"/>
                <w:sz w:val="20"/>
                <w:szCs w:val="20"/>
              </w:rPr>
            </w:pPr>
            <w:r w:rsidRPr="00DA488F">
              <w:rPr>
                <w:rFonts w:ascii="Times New Roman" w:hAnsi="Times New Roman" w:cs="Times New Roman"/>
                <w:sz w:val="20"/>
                <w:szCs w:val="20"/>
              </w:rPr>
              <w:t>123,4</w:t>
            </w:r>
          </w:p>
        </w:tc>
        <w:tc>
          <w:tcPr>
            <w:tcW w:w="992" w:type="dxa"/>
            <w:tcBorders>
              <w:top w:val="nil"/>
              <w:left w:val="nil"/>
              <w:bottom w:val="single" w:sz="4" w:space="0" w:color="auto"/>
              <w:right w:val="single" w:sz="4" w:space="0" w:color="auto"/>
            </w:tcBorders>
            <w:shd w:val="clear" w:color="auto" w:fill="auto"/>
            <w:noWrap/>
            <w:hideMark/>
          </w:tcPr>
          <w:p w14:paraId="4B8C340C" w14:textId="26E2CE51" w:rsidR="00DA488F" w:rsidRPr="00DA488F" w:rsidRDefault="00DA488F" w:rsidP="00DA488F">
            <w:pPr>
              <w:spacing w:line="240" w:lineRule="auto"/>
              <w:jc w:val="right"/>
              <w:rPr>
                <w:rFonts w:ascii="Times New Roman" w:hAnsi="Times New Roman" w:cs="Times New Roman"/>
                <w:sz w:val="20"/>
                <w:szCs w:val="20"/>
              </w:rPr>
            </w:pPr>
            <w:r w:rsidRPr="00DA488F">
              <w:rPr>
                <w:rFonts w:ascii="Times New Roman" w:hAnsi="Times New Roman" w:cs="Times New Roman"/>
                <w:sz w:val="20"/>
                <w:szCs w:val="20"/>
              </w:rPr>
              <w:t>147,3</w:t>
            </w:r>
          </w:p>
        </w:tc>
        <w:tc>
          <w:tcPr>
            <w:tcW w:w="850" w:type="dxa"/>
            <w:tcBorders>
              <w:top w:val="nil"/>
              <w:left w:val="nil"/>
              <w:bottom w:val="single" w:sz="4" w:space="0" w:color="auto"/>
              <w:right w:val="single" w:sz="4" w:space="0" w:color="auto"/>
            </w:tcBorders>
            <w:shd w:val="clear" w:color="auto" w:fill="auto"/>
            <w:noWrap/>
            <w:hideMark/>
          </w:tcPr>
          <w:p w14:paraId="5CB598A8" w14:textId="52EBA002" w:rsidR="00DA488F" w:rsidRPr="00DA488F" w:rsidRDefault="00DA488F" w:rsidP="00DA488F">
            <w:pPr>
              <w:spacing w:line="240" w:lineRule="auto"/>
              <w:jc w:val="right"/>
              <w:rPr>
                <w:rFonts w:ascii="Times New Roman" w:hAnsi="Times New Roman" w:cs="Times New Roman"/>
                <w:sz w:val="20"/>
                <w:szCs w:val="20"/>
              </w:rPr>
            </w:pPr>
            <w:r w:rsidRPr="00DA488F">
              <w:rPr>
                <w:rFonts w:ascii="Times New Roman" w:hAnsi="Times New Roman" w:cs="Times New Roman"/>
                <w:sz w:val="20"/>
                <w:szCs w:val="20"/>
              </w:rPr>
              <w:t>23,9</w:t>
            </w:r>
          </w:p>
        </w:tc>
        <w:tc>
          <w:tcPr>
            <w:tcW w:w="851" w:type="dxa"/>
            <w:tcBorders>
              <w:top w:val="nil"/>
              <w:left w:val="nil"/>
              <w:bottom w:val="single" w:sz="4" w:space="0" w:color="auto"/>
              <w:right w:val="single" w:sz="4" w:space="0" w:color="auto"/>
            </w:tcBorders>
            <w:shd w:val="clear" w:color="auto" w:fill="auto"/>
            <w:noWrap/>
            <w:hideMark/>
          </w:tcPr>
          <w:p w14:paraId="3DAE5F3D" w14:textId="5174A872" w:rsidR="00DA488F" w:rsidRPr="00DA488F" w:rsidRDefault="00DA488F" w:rsidP="00DA488F">
            <w:pPr>
              <w:spacing w:line="240" w:lineRule="auto"/>
              <w:jc w:val="right"/>
              <w:rPr>
                <w:rFonts w:ascii="Times New Roman" w:hAnsi="Times New Roman" w:cs="Times New Roman"/>
                <w:sz w:val="20"/>
                <w:szCs w:val="20"/>
              </w:rPr>
            </w:pPr>
            <w:r w:rsidRPr="00DA488F">
              <w:rPr>
                <w:rFonts w:ascii="Times New Roman" w:hAnsi="Times New Roman" w:cs="Times New Roman"/>
                <w:sz w:val="20"/>
                <w:szCs w:val="20"/>
              </w:rPr>
              <w:t>119,4</w:t>
            </w:r>
          </w:p>
        </w:tc>
      </w:tr>
      <w:tr w:rsidR="00DA488F" w:rsidRPr="006068B4" w14:paraId="030B4DBA" w14:textId="77777777" w:rsidTr="002F0795">
        <w:trPr>
          <w:trHeight w:hRule="exact" w:val="284"/>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42423DBB" w14:textId="77777777" w:rsidR="00DA488F" w:rsidRPr="006068B4" w:rsidRDefault="00DA488F" w:rsidP="00DA488F">
            <w:pPr>
              <w:spacing w:line="240" w:lineRule="auto"/>
              <w:rPr>
                <w:rFonts w:ascii="Times New Roman" w:hAnsi="Times New Roman" w:cs="Times New Roman"/>
                <w:b/>
                <w:bCs/>
                <w:color w:val="000000" w:themeColor="text1"/>
                <w:sz w:val="20"/>
                <w:szCs w:val="20"/>
              </w:rPr>
            </w:pPr>
            <w:r w:rsidRPr="33985B12">
              <w:rPr>
                <w:rFonts w:ascii="Times New Roman" w:hAnsi="Times New Roman" w:cs="Times New Roman"/>
                <w:b/>
                <w:bCs/>
                <w:color w:val="000000" w:themeColor="text1"/>
                <w:sz w:val="20"/>
                <w:szCs w:val="20"/>
              </w:rPr>
              <w:t>Különféle jogcímen adott térítések</w:t>
            </w:r>
          </w:p>
        </w:tc>
        <w:tc>
          <w:tcPr>
            <w:tcW w:w="993" w:type="dxa"/>
            <w:tcBorders>
              <w:top w:val="nil"/>
              <w:left w:val="nil"/>
              <w:bottom w:val="single" w:sz="4" w:space="0" w:color="auto"/>
              <w:right w:val="single" w:sz="4" w:space="0" w:color="auto"/>
            </w:tcBorders>
            <w:shd w:val="clear" w:color="auto" w:fill="auto"/>
            <w:noWrap/>
            <w:hideMark/>
          </w:tcPr>
          <w:p w14:paraId="0247058E" w14:textId="5152BE54" w:rsidR="00DA488F" w:rsidRPr="00DA488F" w:rsidRDefault="00DA488F" w:rsidP="00DA488F">
            <w:pPr>
              <w:spacing w:line="240" w:lineRule="auto"/>
              <w:jc w:val="right"/>
              <w:rPr>
                <w:rFonts w:ascii="Times New Roman" w:hAnsi="Times New Roman" w:cs="Times New Roman"/>
                <w:b/>
                <w:bCs/>
                <w:sz w:val="20"/>
                <w:szCs w:val="20"/>
              </w:rPr>
            </w:pPr>
            <w:r w:rsidRPr="00DA488F">
              <w:rPr>
                <w:rFonts w:ascii="Times New Roman" w:hAnsi="Times New Roman" w:cs="Times New Roman"/>
                <w:b/>
                <w:sz w:val="20"/>
                <w:szCs w:val="20"/>
              </w:rPr>
              <w:t>23,4</w:t>
            </w:r>
          </w:p>
        </w:tc>
        <w:tc>
          <w:tcPr>
            <w:tcW w:w="992" w:type="dxa"/>
            <w:tcBorders>
              <w:top w:val="nil"/>
              <w:left w:val="nil"/>
              <w:bottom w:val="single" w:sz="4" w:space="0" w:color="auto"/>
              <w:right w:val="single" w:sz="4" w:space="0" w:color="auto"/>
            </w:tcBorders>
            <w:shd w:val="clear" w:color="auto" w:fill="auto"/>
            <w:noWrap/>
            <w:hideMark/>
          </w:tcPr>
          <w:p w14:paraId="79ACCB29" w14:textId="60152A7C" w:rsidR="00DA488F" w:rsidRPr="00DA488F" w:rsidRDefault="00DA488F" w:rsidP="006879C8">
            <w:pPr>
              <w:spacing w:line="240" w:lineRule="auto"/>
              <w:jc w:val="right"/>
              <w:rPr>
                <w:rFonts w:ascii="Times New Roman" w:hAnsi="Times New Roman" w:cs="Times New Roman"/>
                <w:b/>
                <w:bCs/>
                <w:sz w:val="20"/>
                <w:szCs w:val="20"/>
              </w:rPr>
            </w:pPr>
            <w:r w:rsidRPr="00DA488F">
              <w:rPr>
                <w:rFonts w:ascii="Times New Roman" w:hAnsi="Times New Roman" w:cs="Times New Roman"/>
                <w:b/>
                <w:sz w:val="20"/>
                <w:szCs w:val="20"/>
              </w:rPr>
              <w:t>22,</w:t>
            </w:r>
            <w:r w:rsidR="006879C8">
              <w:rPr>
                <w:rFonts w:ascii="Times New Roman" w:hAnsi="Times New Roman" w:cs="Times New Roman"/>
                <w:b/>
                <w:sz w:val="20"/>
                <w:szCs w:val="20"/>
              </w:rPr>
              <w:t>4</w:t>
            </w:r>
          </w:p>
        </w:tc>
        <w:tc>
          <w:tcPr>
            <w:tcW w:w="850" w:type="dxa"/>
            <w:tcBorders>
              <w:top w:val="nil"/>
              <w:left w:val="nil"/>
              <w:bottom w:val="single" w:sz="4" w:space="0" w:color="auto"/>
              <w:right w:val="single" w:sz="4" w:space="0" w:color="auto"/>
            </w:tcBorders>
            <w:shd w:val="clear" w:color="auto" w:fill="auto"/>
            <w:noWrap/>
            <w:hideMark/>
          </w:tcPr>
          <w:p w14:paraId="74FAD509" w14:textId="10EFBE53" w:rsidR="00DA488F" w:rsidRPr="00DA488F" w:rsidRDefault="00DA488F" w:rsidP="006879C8">
            <w:pPr>
              <w:spacing w:line="240" w:lineRule="auto"/>
              <w:jc w:val="right"/>
              <w:rPr>
                <w:rFonts w:ascii="Times New Roman" w:hAnsi="Times New Roman" w:cs="Times New Roman"/>
                <w:b/>
                <w:bCs/>
                <w:sz w:val="20"/>
                <w:szCs w:val="20"/>
              </w:rPr>
            </w:pPr>
            <w:r w:rsidRPr="00DA488F">
              <w:rPr>
                <w:rFonts w:ascii="Times New Roman" w:hAnsi="Times New Roman" w:cs="Times New Roman"/>
                <w:b/>
                <w:sz w:val="20"/>
                <w:szCs w:val="20"/>
              </w:rPr>
              <w:t>-1,</w:t>
            </w:r>
            <w:r w:rsidR="006879C8">
              <w:rPr>
                <w:rFonts w:ascii="Times New Roman" w:hAnsi="Times New Roman" w:cs="Times New Roman"/>
                <w:b/>
                <w:sz w:val="20"/>
                <w:szCs w:val="20"/>
              </w:rPr>
              <w:t>0</w:t>
            </w:r>
          </w:p>
        </w:tc>
        <w:tc>
          <w:tcPr>
            <w:tcW w:w="851" w:type="dxa"/>
            <w:tcBorders>
              <w:top w:val="nil"/>
              <w:left w:val="nil"/>
              <w:bottom w:val="single" w:sz="4" w:space="0" w:color="auto"/>
              <w:right w:val="single" w:sz="4" w:space="0" w:color="auto"/>
            </w:tcBorders>
            <w:shd w:val="clear" w:color="auto" w:fill="auto"/>
            <w:noWrap/>
            <w:hideMark/>
          </w:tcPr>
          <w:p w14:paraId="55CBB5D3" w14:textId="0CE1ADA6" w:rsidR="00DA488F" w:rsidRPr="00DA488F" w:rsidRDefault="00DA488F" w:rsidP="006879C8">
            <w:pPr>
              <w:spacing w:line="240" w:lineRule="auto"/>
              <w:jc w:val="right"/>
              <w:rPr>
                <w:rFonts w:ascii="Times New Roman" w:hAnsi="Times New Roman" w:cs="Times New Roman"/>
                <w:b/>
                <w:bCs/>
                <w:sz w:val="20"/>
                <w:szCs w:val="20"/>
              </w:rPr>
            </w:pPr>
            <w:r w:rsidRPr="00DA488F">
              <w:rPr>
                <w:rFonts w:ascii="Times New Roman" w:hAnsi="Times New Roman" w:cs="Times New Roman"/>
                <w:b/>
                <w:sz w:val="20"/>
                <w:szCs w:val="20"/>
              </w:rPr>
              <w:t>95,</w:t>
            </w:r>
            <w:r w:rsidR="006879C8">
              <w:rPr>
                <w:rFonts w:ascii="Times New Roman" w:hAnsi="Times New Roman" w:cs="Times New Roman"/>
                <w:b/>
                <w:sz w:val="20"/>
                <w:szCs w:val="20"/>
              </w:rPr>
              <w:t>7</w:t>
            </w:r>
          </w:p>
        </w:tc>
      </w:tr>
      <w:tr w:rsidR="00DA488F" w:rsidRPr="006068B4" w14:paraId="217EDD81" w14:textId="77777777" w:rsidTr="002F0795">
        <w:trPr>
          <w:trHeight w:hRule="exact" w:val="284"/>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63B18587" w14:textId="77777777" w:rsidR="00DA488F" w:rsidRPr="006068B4" w:rsidRDefault="00DA488F" w:rsidP="00DA488F">
            <w:pPr>
              <w:spacing w:line="240" w:lineRule="auto"/>
              <w:ind w:firstLineChars="100" w:firstLine="200"/>
              <w:rPr>
                <w:rFonts w:ascii="Times New Roman" w:hAnsi="Times New Roman" w:cs="Times New Roman"/>
                <w:i/>
                <w:iCs/>
                <w:color w:val="000000" w:themeColor="text1"/>
                <w:sz w:val="20"/>
                <w:szCs w:val="20"/>
              </w:rPr>
            </w:pPr>
            <w:r w:rsidRPr="33985B12">
              <w:rPr>
                <w:rFonts w:ascii="Times New Roman" w:hAnsi="Times New Roman" w:cs="Times New Roman"/>
                <w:i/>
                <w:iCs/>
                <w:color w:val="000000" w:themeColor="text1"/>
                <w:sz w:val="20"/>
                <w:szCs w:val="20"/>
              </w:rPr>
              <w:t>Ebből:</w:t>
            </w:r>
          </w:p>
        </w:tc>
        <w:tc>
          <w:tcPr>
            <w:tcW w:w="993" w:type="dxa"/>
            <w:tcBorders>
              <w:top w:val="nil"/>
              <w:left w:val="nil"/>
              <w:bottom w:val="single" w:sz="4" w:space="0" w:color="auto"/>
              <w:right w:val="single" w:sz="4" w:space="0" w:color="auto"/>
            </w:tcBorders>
            <w:shd w:val="clear" w:color="auto" w:fill="auto"/>
            <w:noWrap/>
            <w:hideMark/>
          </w:tcPr>
          <w:p w14:paraId="2C5C6549" w14:textId="55BA2136" w:rsidR="00DA488F" w:rsidRPr="00DA488F" w:rsidRDefault="00DA488F" w:rsidP="00DA488F">
            <w:pPr>
              <w:spacing w:line="240" w:lineRule="auto"/>
              <w:jc w:val="right"/>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noWrap/>
            <w:hideMark/>
          </w:tcPr>
          <w:p w14:paraId="6FA678CF" w14:textId="6098F400" w:rsidR="00DA488F" w:rsidRPr="00DA488F" w:rsidRDefault="00DA488F" w:rsidP="00DA488F">
            <w:pPr>
              <w:spacing w:line="240" w:lineRule="auto"/>
              <w:jc w:val="right"/>
              <w:rPr>
                <w:rFonts w:ascii="Times New Roman" w:hAnsi="Times New Roman" w:cs="Times New Roman"/>
                <w:sz w:val="20"/>
                <w:szCs w:val="20"/>
              </w:rPr>
            </w:pPr>
          </w:p>
        </w:tc>
        <w:tc>
          <w:tcPr>
            <w:tcW w:w="850" w:type="dxa"/>
            <w:tcBorders>
              <w:top w:val="nil"/>
              <w:left w:val="nil"/>
              <w:bottom w:val="single" w:sz="4" w:space="0" w:color="auto"/>
              <w:right w:val="single" w:sz="4" w:space="0" w:color="auto"/>
            </w:tcBorders>
            <w:shd w:val="clear" w:color="auto" w:fill="auto"/>
            <w:noWrap/>
            <w:hideMark/>
          </w:tcPr>
          <w:p w14:paraId="60758E7D" w14:textId="66D5869B" w:rsidR="00DA488F" w:rsidRPr="00DA488F" w:rsidRDefault="00DA488F" w:rsidP="00DA488F">
            <w:pPr>
              <w:spacing w:line="240" w:lineRule="auto"/>
              <w:jc w:val="right"/>
              <w:rPr>
                <w:rFonts w:ascii="Times New Roman" w:hAnsi="Times New Roman" w:cs="Times New Roman"/>
                <w:sz w:val="20"/>
                <w:szCs w:val="20"/>
              </w:rPr>
            </w:pPr>
          </w:p>
        </w:tc>
        <w:tc>
          <w:tcPr>
            <w:tcW w:w="851" w:type="dxa"/>
            <w:tcBorders>
              <w:top w:val="nil"/>
              <w:left w:val="nil"/>
              <w:bottom w:val="single" w:sz="4" w:space="0" w:color="auto"/>
              <w:right w:val="single" w:sz="4" w:space="0" w:color="auto"/>
            </w:tcBorders>
            <w:shd w:val="clear" w:color="auto" w:fill="auto"/>
            <w:noWrap/>
            <w:hideMark/>
          </w:tcPr>
          <w:p w14:paraId="18E843D4" w14:textId="2899C3A6" w:rsidR="00DA488F" w:rsidRPr="00DA488F" w:rsidRDefault="00DA488F" w:rsidP="00DA488F">
            <w:pPr>
              <w:spacing w:line="240" w:lineRule="auto"/>
              <w:jc w:val="right"/>
              <w:rPr>
                <w:rFonts w:ascii="Times New Roman" w:hAnsi="Times New Roman" w:cs="Times New Roman"/>
                <w:sz w:val="20"/>
                <w:szCs w:val="20"/>
              </w:rPr>
            </w:pPr>
          </w:p>
        </w:tc>
      </w:tr>
      <w:tr w:rsidR="00DA488F" w:rsidRPr="006068B4" w14:paraId="166A0870" w14:textId="77777777" w:rsidTr="002F0795">
        <w:trPr>
          <w:trHeight w:hRule="exact" w:val="284"/>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1B046E44" w14:textId="77777777" w:rsidR="00DA488F" w:rsidRPr="006068B4" w:rsidRDefault="00DA488F" w:rsidP="00DA488F">
            <w:pPr>
              <w:spacing w:line="240" w:lineRule="auto"/>
              <w:ind w:firstLineChars="400" w:firstLine="800"/>
              <w:rPr>
                <w:rFonts w:ascii="Times New Roman" w:hAnsi="Times New Roman" w:cs="Times New Roman"/>
                <w:i/>
                <w:iCs/>
                <w:color w:val="000000" w:themeColor="text1"/>
                <w:sz w:val="20"/>
                <w:szCs w:val="20"/>
              </w:rPr>
            </w:pPr>
            <w:r w:rsidRPr="33985B12">
              <w:rPr>
                <w:rFonts w:ascii="Times New Roman" w:hAnsi="Times New Roman" w:cs="Times New Roman"/>
                <w:i/>
                <w:iCs/>
                <w:color w:val="000000" w:themeColor="text1"/>
                <w:sz w:val="20"/>
                <w:szCs w:val="20"/>
              </w:rPr>
              <w:t>közgyógyellátás</w:t>
            </w:r>
          </w:p>
        </w:tc>
        <w:tc>
          <w:tcPr>
            <w:tcW w:w="993" w:type="dxa"/>
            <w:tcBorders>
              <w:top w:val="nil"/>
              <w:left w:val="nil"/>
              <w:bottom w:val="single" w:sz="4" w:space="0" w:color="auto"/>
              <w:right w:val="single" w:sz="4" w:space="0" w:color="auto"/>
            </w:tcBorders>
            <w:shd w:val="clear" w:color="auto" w:fill="auto"/>
            <w:noWrap/>
            <w:hideMark/>
          </w:tcPr>
          <w:p w14:paraId="1406D65C" w14:textId="70BE5085" w:rsidR="00DA488F" w:rsidRPr="00DA488F" w:rsidRDefault="00DA488F" w:rsidP="00DA488F">
            <w:pPr>
              <w:spacing w:line="240" w:lineRule="auto"/>
              <w:jc w:val="right"/>
              <w:rPr>
                <w:rFonts w:ascii="Times New Roman" w:hAnsi="Times New Roman" w:cs="Times New Roman"/>
                <w:sz w:val="20"/>
                <w:szCs w:val="20"/>
              </w:rPr>
            </w:pPr>
            <w:r w:rsidRPr="00DA488F">
              <w:rPr>
                <w:rFonts w:ascii="Times New Roman" w:hAnsi="Times New Roman" w:cs="Times New Roman"/>
                <w:sz w:val="20"/>
                <w:szCs w:val="20"/>
              </w:rPr>
              <w:t>15,7</w:t>
            </w:r>
          </w:p>
        </w:tc>
        <w:tc>
          <w:tcPr>
            <w:tcW w:w="992" w:type="dxa"/>
            <w:tcBorders>
              <w:top w:val="nil"/>
              <w:left w:val="nil"/>
              <w:bottom w:val="single" w:sz="4" w:space="0" w:color="auto"/>
              <w:right w:val="single" w:sz="4" w:space="0" w:color="auto"/>
            </w:tcBorders>
            <w:shd w:val="clear" w:color="auto" w:fill="auto"/>
            <w:noWrap/>
            <w:hideMark/>
          </w:tcPr>
          <w:p w14:paraId="655A4EFA" w14:textId="0F49ED1B" w:rsidR="00DA488F" w:rsidRPr="00DA488F" w:rsidRDefault="00DA488F" w:rsidP="00DA488F">
            <w:pPr>
              <w:spacing w:line="240" w:lineRule="auto"/>
              <w:jc w:val="right"/>
              <w:rPr>
                <w:rFonts w:ascii="Times New Roman" w:hAnsi="Times New Roman" w:cs="Times New Roman"/>
                <w:sz w:val="20"/>
                <w:szCs w:val="20"/>
              </w:rPr>
            </w:pPr>
            <w:r w:rsidRPr="00DA488F">
              <w:rPr>
                <w:rFonts w:ascii="Times New Roman" w:hAnsi="Times New Roman" w:cs="Times New Roman"/>
                <w:sz w:val="20"/>
                <w:szCs w:val="20"/>
              </w:rPr>
              <w:t>14,5</w:t>
            </w:r>
          </w:p>
        </w:tc>
        <w:tc>
          <w:tcPr>
            <w:tcW w:w="850" w:type="dxa"/>
            <w:tcBorders>
              <w:top w:val="nil"/>
              <w:left w:val="nil"/>
              <w:bottom w:val="single" w:sz="4" w:space="0" w:color="auto"/>
              <w:right w:val="single" w:sz="4" w:space="0" w:color="auto"/>
            </w:tcBorders>
            <w:shd w:val="clear" w:color="auto" w:fill="auto"/>
            <w:noWrap/>
            <w:hideMark/>
          </w:tcPr>
          <w:p w14:paraId="5494B891" w14:textId="53F2E10B" w:rsidR="00DA488F" w:rsidRPr="00DA488F" w:rsidRDefault="00DA488F" w:rsidP="00DA488F">
            <w:pPr>
              <w:spacing w:line="240" w:lineRule="auto"/>
              <w:jc w:val="right"/>
              <w:rPr>
                <w:rFonts w:ascii="Times New Roman" w:hAnsi="Times New Roman" w:cs="Times New Roman"/>
                <w:sz w:val="20"/>
                <w:szCs w:val="20"/>
              </w:rPr>
            </w:pPr>
            <w:r w:rsidRPr="00DA488F">
              <w:rPr>
                <w:rFonts w:ascii="Times New Roman" w:hAnsi="Times New Roman" w:cs="Times New Roman"/>
                <w:sz w:val="20"/>
                <w:szCs w:val="20"/>
              </w:rPr>
              <w:t>-1,2</w:t>
            </w:r>
          </w:p>
        </w:tc>
        <w:tc>
          <w:tcPr>
            <w:tcW w:w="851" w:type="dxa"/>
            <w:tcBorders>
              <w:top w:val="nil"/>
              <w:left w:val="nil"/>
              <w:bottom w:val="single" w:sz="4" w:space="0" w:color="auto"/>
              <w:right w:val="single" w:sz="4" w:space="0" w:color="auto"/>
            </w:tcBorders>
            <w:shd w:val="clear" w:color="auto" w:fill="auto"/>
            <w:noWrap/>
            <w:hideMark/>
          </w:tcPr>
          <w:p w14:paraId="68797428" w14:textId="3305E248" w:rsidR="00DA488F" w:rsidRPr="00DA488F" w:rsidRDefault="00DA488F" w:rsidP="00DA488F">
            <w:pPr>
              <w:spacing w:line="240" w:lineRule="auto"/>
              <w:jc w:val="right"/>
              <w:rPr>
                <w:rFonts w:ascii="Times New Roman" w:hAnsi="Times New Roman" w:cs="Times New Roman"/>
                <w:sz w:val="20"/>
                <w:szCs w:val="20"/>
              </w:rPr>
            </w:pPr>
            <w:r w:rsidRPr="00DA488F">
              <w:rPr>
                <w:rFonts w:ascii="Times New Roman" w:hAnsi="Times New Roman" w:cs="Times New Roman"/>
                <w:sz w:val="20"/>
                <w:szCs w:val="20"/>
              </w:rPr>
              <w:t>92,4</w:t>
            </w:r>
          </w:p>
        </w:tc>
      </w:tr>
      <w:tr w:rsidR="00DA488F" w:rsidRPr="006068B4" w14:paraId="393A56CC" w14:textId="77777777" w:rsidTr="002F0795">
        <w:trPr>
          <w:trHeight w:hRule="exact" w:val="284"/>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7CD2655C" w14:textId="77777777" w:rsidR="00DA488F" w:rsidRPr="006068B4" w:rsidRDefault="00DA488F" w:rsidP="00DA488F">
            <w:pPr>
              <w:spacing w:line="240" w:lineRule="auto"/>
              <w:rPr>
                <w:rFonts w:ascii="Times New Roman" w:hAnsi="Times New Roman" w:cs="Times New Roman"/>
                <w:b/>
                <w:bCs/>
                <w:color w:val="000000" w:themeColor="text1"/>
                <w:sz w:val="20"/>
                <w:szCs w:val="20"/>
              </w:rPr>
            </w:pPr>
            <w:r w:rsidRPr="33985B12">
              <w:rPr>
                <w:rFonts w:ascii="Times New Roman" w:hAnsi="Times New Roman" w:cs="Times New Roman"/>
                <w:b/>
                <w:bCs/>
                <w:color w:val="000000" w:themeColor="text1"/>
                <w:sz w:val="20"/>
                <w:szCs w:val="20"/>
              </w:rPr>
              <w:t>Összesen</w:t>
            </w:r>
          </w:p>
        </w:tc>
        <w:tc>
          <w:tcPr>
            <w:tcW w:w="993" w:type="dxa"/>
            <w:tcBorders>
              <w:top w:val="nil"/>
              <w:left w:val="nil"/>
              <w:bottom w:val="single" w:sz="4" w:space="0" w:color="auto"/>
              <w:right w:val="single" w:sz="4" w:space="0" w:color="auto"/>
            </w:tcBorders>
            <w:shd w:val="clear" w:color="auto" w:fill="auto"/>
            <w:noWrap/>
            <w:hideMark/>
          </w:tcPr>
          <w:p w14:paraId="2E876EDD" w14:textId="7790F28B" w:rsidR="00DA488F" w:rsidRPr="00DA488F" w:rsidRDefault="00DA488F" w:rsidP="00DA488F">
            <w:pPr>
              <w:spacing w:line="240" w:lineRule="auto"/>
              <w:jc w:val="right"/>
              <w:rPr>
                <w:rFonts w:ascii="Times New Roman" w:hAnsi="Times New Roman" w:cs="Times New Roman"/>
                <w:b/>
                <w:bCs/>
                <w:sz w:val="20"/>
                <w:szCs w:val="20"/>
              </w:rPr>
            </w:pPr>
            <w:r w:rsidRPr="00DA488F">
              <w:rPr>
                <w:rFonts w:ascii="Times New Roman" w:hAnsi="Times New Roman" w:cs="Times New Roman"/>
                <w:b/>
                <w:sz w:val="20"/>
                <w:szCs w:val="20"/>
              </w:rPr>
              <w:t>754,9</w:t>
            </w:r>
          </w:p>
        </w:tc>
        <w:tc>
          <w:tcPr>
            <w:tcW w:w="992" w:type="dxa"/>
            <w:tcBorders>
              <w:top w:val="nil"/>
              <w:left w:val="nil"/>
              <w:bottom w:val="single" w:sz="4" w:space="0" w:color="auto"/>
              <w:right w:val="single" w:sz="4" w:space="0" w:color="auto"/>
            </w:tcBorders>
            <w:shd w:val="clear" w:color="auto" w:fill="auto"/>
            <w:noWrap/>
            <w:hideMark/>
          </w:tcPr>
          <w:p w14:paraId="1CB4D241" w14:textId="6B0EA578" w:rsidR="00DA488F" w:rsidRPr="00DA488F" w:rsidRDefault="00DA488F" w:rsidP="00DA488F">
            <w:pPr>
              <w:spacing w:line="240" w:lineRule="auto"/>
              <w:jc w:val="right"/>
              <w:rPr>
                <w:rFonts w:ascii="Times New Roman" w:hAnsi="Times New Roman" w:cs="Times New Roman"/>
                <w:b/>
                <w:bCs/>
                <w:sz w:val="20"/>
                <w:szCs w:val="20"/>
              </w:rPr>
            </w:pPr>
            <w:r w:rsidRPr="00DA488F">
              <w:rPr>
                <w:rFonts w:ascii="Times New Roman" w:hAnsi="Times New Roman" w:cs="Times New Roman"/>
                <w:b/>
                <w:sz w:val="20"/>
                <w:szCs w:val="20"/>
              </w:rPr>
              <w:t>777,7</w:t>
            </w:r>
          </w:p>
        </w:tc>
        <w:tc>
          <w:tcPr>
            <w:tcW w:w="850" w:type="dxa"/>
            <w:tcBorders>
              <w:top w:val="nil"/>
              <w:left w:val="nil"/>
              <w:bottom w:val="single" w:sz="4" w:space="0" w:color="auto"/>
              <w:right w:val="single" w:sz="4" w:space="0" w:color="auto"/>
            </w:tcBorders>
            <w:shd w:val="clear" w:color="auto" w:fill="auto"/>
            <w:noWrap/>
            <w:hideMark/>
          </w:tcPr>
          <w:p w14:paraId="5FF2C368" w14:textId="0389F347" w:rsidR="00DA488F" w:rsidRPr="00DA488F" w:rsidRDefault="00DA488F" w:rsidP="00DA488F">
            <w:pPr>
              <w:spacing w:line="240" w:lineRule="auto"/>
              <w:jc w:val="right"/>
              <w:rPr>
                <w:rFonts w:ascii="Times New Roman" w:hAnsi="Times New Roman" w:cs="Times New Roman"/>
                <w:b/>
                <w:bCs/>
                <w:sz w:val="20"/>
                <w:szCs w:val="20"/>
              </w:rPr>
            </w:pPr>
            <w:r w:rsidRPr="00DA488F">
              <w:rPr>
                <w:rFonts w:ascii="Times New Roman" w:hAnsi="Times New Roman" w:cs="Times New Roman"/>
                <w:b/>
                <w:sz w:val="20"/>
                <w:szCs w:val="20"/>
              </w:rPr>
              <w:t>22,8</w:t>
            </w:r>
          </w:p>
        </w:tc>
        <w:tc>
          <w:tcPr>
            <w:tcW w:w="851" w:type="dxa"/>
            <w:tcBorders>
              <w:top w:val="nil"/>
              <w:left w:val="nil"/>
              <w:bottom w:val="single" w:sz="4" w:space="0" w:color="auto"/>
              <w:right w:val="single" w:sz="4" w:space="0" w:color="auto"/>
            </w:tcBorders>
            <w:shd w:val="clear" w:color="auto" w:fill="auto"/>
            <w:noWrap/>
            <w:hideMark/>
          </w:tcPr>
          <w:p w14:paraId="7F3F44AB" w14:textId="562FAEDE" w:rsidR="00DA488F" w:rsidRPr="00DA488F" w:rsidRDefault="00DA488F" w:rsidP="00DA488F">
            <w:pPr>
              <w:spacing w:line="240" w:lineRule="auto"/>
              <w:jc w:val="right"/>
              <w:rPr>
                <w:rFonts w:ascii="Times New Roman" w:hAnsi="Times New Roman" w:cs="Times New Roman"/>
                <w:b/>
                <w:bCs/>
                <w:sz w:val="20"/>
                <w:szCs w:val="20"/>
              </w:rPr>
            </w:pPr>
            <w:r w:rsidRPr="00DA488F">
              <w:rPr>
                <w:rFonts w:ascii="Times New Roman" w:hAnsi="Times New Roman" w:cs="Times New Roman"/>
                <w:b/>
                <w:sz w:val="20"/>
                <w:szCs w:val="20"/>
              </w:rPr>
              <w:t>103,0</w:t>
            </w:r>
          </w:p>
        </w:tc>
      </w:tr>
    </w:tbl>
    <w:p w14:paraId="4933371E" w14:textId="0C70D900" w:rsidR="4131F494" w:rsidRDefault="33985B12" w:rsidP="00BB12FE">
      <w:pPr>
        <w:spacing w:before="240"/>
        <w:jc w:val="both"/>
      </w:pPr>
      <w:r w:rsidRPr="33985B12">
        <w:rPr>
          <w:rFonts w:ascii="Times New Roman" w:eastAsia="Times New Roman" w:hAnsi="Times New Roman" w:cs="Times New Roman"/>
          <w:sz w:val="26"/>
          <w:szCs w:val="26"/>
        </w:rPr>
        <w:lastRenderedPageBreak/>
        <w:t xml:space="preserve">A </w:t>
      </w:r>
      <w:r w:rsidRPr="33985B12">
        <w:rPr>
          <w:rFonts w:ascii="Times New Roman" w:eastAsia="Times New Roman" w:hAnsi="Times New Roman" w:cs="Times New Roman"/>
          <w:b/>
          <w:bCs/>
          <w:sz w:val="26"/>
          <w:szCs w:val="26"/>
        </w:rPr>
        <w:t>családi támogatásokra</w:t>
      </w:r>
      <w:r w:rsidRPr="33985B12">
        <w:rPr>
          <w:rFonts w:ascii="Times New Roman" w:eastAsia="Times New Roman" w:hAnsi="Times New Roman" w:cs="Times New Roman"/>
          <w:sz w:val="26"/>
          <w:szCs w:val="26"/>
        </w:rPr>
        <w:t xml:space="preserve"> </w:t>
      </w:r>
      <w:r w:rsidR="00AE6BB5">
        <w:rPr>
          <w:rFonts w:ascii="Times New Roman" w:eastAsia="Times New Roman" w:hAnsi="Times New Roman" w:cs="Times New Roman"/>
          <w:sz w:val="26"/>
          <w:szCs w:val="26"/>
        </w:rPr>
        <w:t>2024-ben</w:t>
      </w:r>
      <w:r w:rsidRPr="33985B12">
        <w:rPr>
          <w:rFonts w:ascii="Times New Roman" w:eastAsia="Times New Roman" w:hAnsi="Times New Roman" w:cs="Times New Roman"/>
          <w:sz w:val="26"/>
          <w:szCs w:val="26"/>
        </w:rPr>
        <w:t xml:space="preserve"> összesen 406,2</w:t>
      </w:r>
      <w:r w:rsidR="00153722">
        <w:rPr>
          <w:rFonts w:ascii="Times New Roman" w:eastAsia="Times New Roman" w:hAnsi="Times New Roman" w:cs="Times New Roman"/>
          <w:sz w:val="26"/>
          <w:szCs w:val="26"/>
        </w:rPr>
        <w:t> </w:t>
      </w:r>
      <w:r w:rsidRPr="33985B12">
        <w:rPr>
          <w:rFonts w:ascii="Times New Roman" w:eastAsia="Times New Roman" w:hAnsi="Times New Roman" w:cs="Times New Roman"/>
          <w:sz w:val="26"/>
          <w:szCs w:val="26"/>
        </w:rPr>
        <w:t xml:space="preserve">milliárd forintot fizettek ki, amely </w:t>
      </w:r>
      <w:r w:rsidR="00AE6BB5">
        <w:rPr>
          <w:rFonts w:ascii="Times New Roman" w:eastAsia="Times New Roman" w:hAnsi="Times New Roman" w:cs="Times New Roman"/>
          <w:sz w:val="26"/>
          <w:szCs w:val="26"/>
        </w:rPr>
        <w:t>0,1 </w:t>
      </w:r>
      <w:r w:rsidRPr="33985B12">
        <w:rPr>
          <w:rFonts w:ascii="Times New Roman" w:eastAsia="Times New Roman" w:hAnsi="Times New Roman" w:cs="Times New Roman"/>
          <w:sz w:val="26"/>
          <w:szCs w:val="26"/>
        </w:rPr>
        <w:t>milliárd forinttal haladta meg a</w:t>
      </w:r>
      <w:r w:rsidR="00AE6BB5">
        <w:rPr>
          <w:rFonts w:ascii="Times New Roman" w:eastAsia="Times New Roman" w:hAnsi="Times New Roman" w:cs="Times New Roman"/>
          <w:sz w:val="26"/>
          <w:szCs w:val="26"/>
        </w:rPr>
        <w:t xml:space="preserve"> 2023. </w:t>
      </w:r>
      <w:r w:rsidRPr="33985B12">
        <w:rPr>
          <w:rFonts w:ascii="Times New Roman" w:eastAsia="Times New Roman" w:hAnsi="Times New Roman" w:cs="Times New Roman"/>
          <w:sz w:val="26"/>
          <w:szCs w:val="26"/>
        </w:rPr>
        <w:t>év teljesítését. Az eltérés elsősorban a családi támogatások jogcímcsoporthoz tartozó Életkezdési támogatás előirányzat kiadásai növekedésének következménye, ami 5,7</w:t>
      </w:r>
      <w:r w:rsidR="00AE6BB5">
        <w:rPr>
          <w:rFonts w:ascii="Times New Roman" w:eastAsia="Times New Roman" w:hAnsi="Times New Roman" w:cs="Times New Roman"/>
          <w:sz w:val="26"/>
          <w:szCs w:val="26"/>
        </w:rPr>
        <w:t> </w:t>
      </w:r>
      <w:r w:rsidRPr="33985B12">
        <w:rPr>
          <w:rFonts w:ascii="Times New Roman" w:eastAsia="Times New Roman" w:hAnsi="Times New Roman" w:cs="Times New Roman"/>
          <w:sz w:val="26"/>
          <w:szCs w:val="26"/>
        </w:rPr>
        <w:t xml:space="preserve">milliárd forinttal haladta meg az előző évi teljesítést. Ennek oka, hogy 2024-ben az életkezdési letéti számlákon nyilvántartott követelés összegére tekintettel fizetett kamat mértéke 17,6% volt (a 2023. évi infláció mértékének megfelelően), ami meghaladta a 2023-ben fizetett kamat mértékét (14,5%-ot), ezen kívül az életkezdési letéti számlákon nyilvántartott összeg is nőtt a </w:t>
      </w:r>
      <w:r w:rsidR="007F08CB">
        <w:rPr>
          <w:rFonts w:ascii="Times New Roman" w:eastAsia="Times New Roman" w:hAnsi="Times New Roman" w:cs="Times New Roman"/>
          <w:sz w:val="26"/>
          <w:szCs w:val="26"/>
        </w:rPr>
        <w:t>2023-ashoz</w:t>
      </w:r>
      <w:r w:rsidRPr="33985B12">
        <w:rPr>
          <w:rFonts w:ascii="Times New Roman" w:eastAsia="Times New Roman" w:hAnsi="Times New Roman" w:cs="Times New Roman"/>
          <w:sz w:val="26"/>
          <w:szCs w:val="26"/>
        </w:rPr>
        <w:t xml:space="preserve"> képest.</w:t>
      </w:r>
    </w:p>
    <w:p w14:paraId="21FDA8D0" w14:textId="0E99A438" w:rsidR="4131F494" w:rsidRDefault="33985B12" w:rsidP="4131F494">
      <w:pPr>
        <w:jc w:val="both"/>
      </w:pPr>
      <w:r w:rsidRPr="33985B12">
        <w:rPr>
          <w:rFonts w:ascii="Times New Roman" w:eastAsia="Times New Roman" w:hAnsi="Times New Roman" w:cs="Times New Roman"/>
          <w:sz w:val="26"/>
          <w:szCs w:val="26"/>
        </w:rPr>
        <w:t xml:space="preserve">A </w:t>
      </w:r>
      <w:r w:rsidRPr="33985B12">
        <w:rPr>
          <w:rFonts w:ascii="Times New Roman" w:eastAsia="Times New Roman" w:hAnsi="Times New Roman" w:cs="Times New Roman"/>
          <w:b/>
          <w:bCs/>
          <w:sz w:val="26"/>
          <w:szCs w:val="26"/>
        </w:rPr>
        <w:t>korhatár alatti ellátások</w:t>
      </w:r>
      <w:r w:rsidRPr="33985B12">
        <w:rPr>
          <w:rFonts w:ascii="Times New Roman" w:eastAsia="Times New Roman" w:hAnsi="Times New Roman" w:cs="Times New Roman"/>
          <w:sz w:val="26"/>
          <w:szCs w:val="26"/>
        </w:rPr>
        <w:t xml:space="preserve"> esetében a kiadás a 2023. évihez képest </w:t>
      </w:r>
      <w:r w:rsidR="00AE6BB5">
        <w:rPr>
          <w:rFonts w:ascii="Times New Roman" w:eastAsia="Times New Roman" w:hAnsi="Times New Roman" w:cs="Times New Roman"/>
          <w:sz w:val="26"/>
          <w:szCs w:val="26"/>
        </w:rPr>
        <w:t>2,0</w:t>
      </w:r>
      <w:r w:rsidRPr="33985B12">
        <w:rPr>
          <w:rFonts w:ascii="Times New Roman" w:eastAsia="Times New Roman" w:hAnsi="Times New Roman" w:cs="Times New Roman"/>
          <w:sz w:val="26"/>
          <w:szCs w:val="26"/>
        </w:rPr>
        <w:t xml:space="preserve"> milliárd forinttal csökkent, aminek oka a jogosultak létszámának csökkenése. A 13. havi nyugdíjhoz hasonlóan </w:t>
      </w:r>
      <w:r w:rsidR="00153722">
        <w:rPr>
          <w:rFonts w:ascii="Times New Roman" w:eastAsia="Times New Roman" w:hAnsi="Times New Roman" w:cs="Times New Roman"/>
          <w:sz w:val="26"/>
          <w:szCs w:val="26"/>
        </w:rPr>
        <w:t>2024. </w:t>
      </w:r>
      <w:r w:rsidRPr="33985B12">
        <w:rPr>
          <w:rFonts w:ascii="Times New Roman" w:eastAsia="Times New Roman" w:hAnsi="Times New Roman" w:cs="Times New Roman"/>
          <w:sz w:val="26"/>
          <w:szCs w:val="26"/>
        </w:rPr>
        <w:t>februárban a korhatár előtti ellátásban részesü</w:t>
      </w:r>
      <w:r w:rsidR="00AE6BB5">
        <w:rPr>
          <w:rFonts w:ascii="Times New Roman" w:eastAsia="Times New Roman" w:hAnsi="Times New Roman" w:cs="Times New Roman"/>
          <w:sz w:val="26"/>
          <w:szCs w:val="26"/>
        </w:rPr>
        <w:t>lő személyek is részesültek 13. </w:t>
      </w:r>
      <w:r w:rsidRPr="33985B12">
        <w:rPr>
          <w:rFonts w:ascii="Times New Roman" w:eastAsia="Times New Roman" w:hAnsi="Times New Roman" w:cs="Times New Roman"/>
          <w:sz w:val="26"/>
          <w:szCs w:val="26"/>
        </w:rPr>
        <w:t xml:space="preserve">havi ellátásban. Ezen túlmenően </w:t>
      </w:r>
      <w:r w:rsidR="00153722">
        <w:rPr>
          <w:rFonts w:ascii="Times New Roman" w:eastAsia="Times New Roman" w:hAnsi="Times New Roman" w:cs="Times New Roman"/>
          <w:sz w:val="26"/>
          <w:szCs w:val="26"/>
        </w:rPr>
        <w:t>2024. </w:t>
      </w:r>
      <w:r w:rsidRPr="33985B12">
        <w:rPr>
          <w:rFonts w:ascii="Times New Roman" w:eastAsia="Times New Roman" w:hAnsi="Times New Roman" w:cs="Times New Roman"/>
          <w:sz w:val="26"/>
          <w:szCs w:val="26"/>
        </w:rPr>
        <w:t>januárban sor került az ellátások 6,0%-os emelésére.</w:t>
      </w:r>
    </w:p>
    <w:p w14:paraId="421F26A8" w14:textId="19527BB5" w:rsidR="4131F494" w:rsidRDefault="33985B12" w:rsidP="4131F494">
      <w:pPr>
        <w:jc w:val="both"/>
      </w:pPr>
      <w:r w:rsidRPr="33985B12">
        <w:rPr>
          <w:rFonts w:ascii="Times New Roman" w:eastAsia="Times New Roman" w:hAnsi="Times New Roman" w:cs="Times New Roman"/>
          <w:sz w:val="26"/>
          <w:szCs w:val="26"/>
        </w:rPr>
        <w:lastRenderedPageBreak/>
        <w:t>2024</w:t>
      </w:r>
      <w:r w:rsidR="00AE6BB5">
        <w:rPr>
          <w:rFonts w:ascii="Times New Roman" w:eastAsia="Times New Roman" w:hAnsi="Times New Roman" w:cs="Times New Roman"/>
          <w:sz w:val="26"/>
          <w:szCs w:val="26"/>
        </w:rPr>
        <w:t xml:space="preserve">-ben </w:t>
      </w:r>
      <w:r w:rsidRPr="33985B12">
        <w:rPr>
          <w:rFonts w:ascii="Times New Roman" w:eastAsia="Times New Roman" w:hAnsi="Times New Roman" w:cs="Times New Roman"/>
          <w:b/>
          <w:bCs/>
          <w:sz w:val="26"/>
          <w:szCs w:val="26"/>
        </w:rPr>
        <w:t>a jövedelempótló és jövedelemkiegészítő szociális támogatásokra</w:t>
      </w:r>
      <w:r w:rsidRPr="33985B12">
        <w:rPr>
          <w:rFonts w:ascii="Times New Roman" w:eastAsia="Times New Roman" w:hAnsi="Times New Roman" w:cs="Times New Roman"/>
          <w:sz w:val="26"/>
          <w:szCs w:val="26"/>
        </w:rPr>
        <w:t xml:space="preserve"> biztosított kiadásokon belül a járási szociális feladatok ellátására (gyermekek otthongondozási díja, ápolási díj, időskorúak járadéka, foglalkoztatást helyettesítő támogatás, egészségkárosodási és gyermekfelügyeleti támogatás) 147,3</w:t>
      </w:r>
      <w:r w:rsidR="00A349BC">
        <w:rPr>
          <w:rFonts w:ascii="Times New Roman" w:eastAsia="Times New Roman" w:hAnsi="Times New Roman" w:cs="Times New Roman"/>
          <w:sz w:val="26"/>
          <w:szCs w:val="26"/>
        </w:rPr>
        <w:t> </w:t>
      </w:r>
      <w:r w:rsidRPr="33985B12">
        <w:rPr>
          <w:rFonts w:ascii="Times New Roman" w:eastAsia="Times New Roman" w:hAnsi="Times New Roman" w:cs="Times New Roman"/>
          <w:sz w:val="26"/>
          <w:szCs w:val="26"/>
        </w:rPr>
        <w:t>milliárd</w:t>
      </w:r>
      <w:r w:rsidR="00A349BC">
        <w:rPr>
          <w:rFonts w:ascii="Times New Roman" w:eastAsia="Times New Roman" w:hAnsi="Times New Roman" w:cs="Times New Roman"/>
          <w:sz w:val="26"/>
          <w:szCs w:val="26"/>
        </w:rPr>
        <w:t> </w:t>
      </w:r>
      <w:r w:rsidRPr="33985B12">
        <w:rPr>
          <w:rFonts w:ascii="Times New Roman" w:eastAsia="Times New Roman" w:hAnsi="Times New Roman" w:cs="Times New Roman"/>
          <w:sz w:val="26"/>
          <w:szCs w:val="26"/>
        </w:rPr>
        <w:t>forintot fordítottak, mely 23,</w:t>
      </w:r>
      <w:r w:rsidR="00AE6BB5">
        <w:rPr>
          <w:rFonts w:ascii="Times New Roman" w:eastAsia="Times New Roman" w:hAnsi="Times New Roman" w:cs="Times New Roman"/>
          <w:sz w:val="26"/>
          <w:szCs w:val="26"/>
        </w:rPr>
        <w:t>9 </w:t>
      </w:r>
      <w:r w:rsidRPr="33985B12">
        <w:rPr>
          <w:rFonts w:ascii="Times New Roman" w:eastAsia="Times New Roman" w:hAnsi="Times New Roman" w:cs="Times New Roman"/>
          <w:sz w:val="26"/>
          <w:szCs w:val="26"/>
        </w:rPr>
        <w:t>milliárd forinttal magasabb az előző évi</w:t>
      </w:r>
      <w:r w:rsidR="00AE6BB5">
        <w:rPr>
          <w:rFonts w:ascii="Times New Roman" w:eastAsia="Times New Roman" w:hAnsi="Times New Roman" w:cs="Times New Roman"/>
          <w:sz w:val="26"/>
          <w:szCs w:val="26"/>
        </w:rPr>
        <w:t xml:space="preserve"> adatnál. Ennek oka, hogy 2024. </w:t>
      </w:r>
      <w:r w:rsidRPr="33985B12">
        <w:rPr>
          <w:rFonts w:ascii="Times New Roman" w:eastAsia="Times New Roman" w:hAnsi="Times New Roman" w:cs="Times New Roman"/>
          <w:sz w:val="26"/>
          <w:szCs w:val="26"/>
        </w:rPr>
        <w:t>januártól a gyermekek otthongondozási díjának összege a minimálbér emelkedése (232</w:t>
      </w:r>
      <w:r w:rsidR="00BA016E">
        <w:rPr>
          <w:rFonts w:ascii="Times New Roman" w:eastAsia="Times New Roman" w:hAnsi="Times New Roman" w:cs="Times New Roman"/>
          <w:sz w:val="26"/>
          <w:szCs w:val="26"/>
        </w:rPr>
        <w:t> 000 forintról 266 </w:t>
      </w:r>
      <w:r w:rsidRPr="33985B12">
        <w:rPr>
          <w:rFonts w:ascii="Times New Roman" w:eastAsia="Times New Roman" w:hAnsi="Times New Roman" w:cs="Times New Roman"/>
          <w:sz w:val="26"/>
          <w:szCs w:val="26"/>
        </w:rPr>
        <w:t xml:space="preserve">800 forintra) miatt emelkedett, és a jogosultak száma is emelkedő tendenciát mutat, az ápolási díj összege pedig 6,0%-kal nőtt. </w:t>
      </w:r>
    </w:p>
    <w:p w14:paraId="708A79F5" w14:textId="3D7CC8CC" w:rsidR="4131F494" w:rsidRDefault="33985B12" w:rsidP="4131F494">
      <w:pPr>
        <w:jc w:val="both"/>
      </w:pPr>
      <w:r w:rsidRPr="33985B12">
        <w:rPr>
          <w:rFonts w:ascii="Times New Roman" w:eastAsia="Times New Roman" w:hAnsi="Times New Roman" w:cs="Times New Roman"/>
          <w:sz w:val="26"/>
          <w:szCs w:val="26"/>
        </w:rPr>
        <w:t xml:space="preserve">A </w:t>
      </w:r>
      <w:r w:rsidRPr="33985B12">
        <w:rPr>
          <w:rFonts w:ascii="Times New Roman" w:eastAsia="Times New Roman" w:hAnsi="Times New Roman" w:cs="Times New Roman"/>
          <w:b/>
          <w:bCs/>
          <w:sz w:val="26"/>
          <w:szCs w:val="26"/>
        </w:rPr>
        <w:t>jövedelempótló és jövedelemkiegészítő ellátások</w:t>
      </w:r>
      <w:r w:rsidRPr="33985B12">
        <w:rPr>
          <w:rFonts w:ascii="Times New Roman" w:eastAsia="Times New Roman" w:hAnsi="Times New Roman" w:cs="Times New Roman"/>
          <w:sz w:val="26"/>
          <w:szCs w:val="26"/>
        </w:rPr>
        <w:t xml:space="preserve"> előirányzat tartalmazza a fogyatékossági támogatás, a vakok személyi járadéka, az átmeneti bányászjáradék és számos további, jellemzően kifutó jellegű ellátás (pl. mezőgazdasági járadék, politikai rehabilitációs és más nyugdíj-kiegészítések, házastársi pótlék) forrását. A jövedelempótló és jövedelemkiegészítő ellátásokra 77,7</w:t>
      </w:r>
      <w:r w:rsidR="00153722">
        <w:rPr>
          <w:rFonts w:ascii="Times New Roman" w:eastAsia="Times New Roman" w:hAnsi="Times New Roman" w:cs="Times New Roman"/>
          <w:sz w:val="26"/>
          <w:szCs w:val="26"/>
        </w:rPr>
        <w:t> </w:t>
      </w:r>
      <w:r w:rsidRPr="33985B12">
        <w:rPr>
          <w:rFonts w:ascii="Times New Roman" w:eastAsia="Times New Roman" w:hAnsi="Times New Roman" w:cs="Times New Roman"/>
          <w:sz w:val="26"/>
          <w:szCs w:val="26"/>
        </w:rPr>
        <w:t>milliárd</w:t>
      </w:r>
      <w:r w:rsidR="00153722">
        <w:rPr>
          <w:rFonts w:ascii="Times New Roman" w:eastAsia="Times New Roman" w:hAnsi="Times New Roman" w:cs="Times New Roman"/>
          <w:sz w:val="26"/>
          <w:szCs w:val="26"/>
        </w:rPr>
        <w:t> </w:t>
      </w:r>
      <w:r w:rsidRPr="33985B12">
        <w:rPr>
          <w:rFonts w:ascii="Times New Roman" w:eastAsia="Times New Roman" w:hAnsi="Times New Roman" w:cs="Times New Roman"/>
          <w:sz w:val="26"/>
          <w:szCs w:val="26"/>
        </w:rPr>
        <w:t>forintot fizettek ki, mely a</w:t>
      </w:r>
      <w:r w:rsidR="00153722">
        <w:rPr>
          <w:rFonts w:ascii="Times New Roman" w:eastAsia="Times New Roman" w:hAnsi="Times New Roman" w:cs="Times New Roman"/>
          <w:sz w:val="26"/>
          <w:szCs w:val="26"/>
        </w:rPr>
        <w:t xml:space="preserve"> 2023. </w:t>
      </w:r>
      <w:r w:rsidRPr="33985B12">
        <w:rPr>
          <w:rFonts w:ascii="Times New Roman" w:eastAsia="Times New Roman" w:hAnsi="Times New Roman" w:cs="Times New Roman"/>
          <w:sz w:val="26"/>
          <w:szCs w:val="26"/>
        </w:rPr>
        <w:t>évi kifizetésénél 1,</w:t>
      </w:r>
      <w:r w:rsidR="00AE6BB5">
        <w:rPr>
          <w:rFonts w:ascii="Times New Roman" w:eastAsia="Times New Roman" w:hAnsi="Times New Roman" w:cs="Times New Roman"/>
          <w:sz w:val="26"/>
          <w:szCs w:val="26"/>
        </w:rPr>
        <w:t>8</w:t>
      </w:r>
      <w:r w:rsidR="00153722">
        <w:rPr>
          <w:rFonts w:ascii="Times New Roman" w:eastAsia="Times New Roman" w:hAnsi="Times New Roman" w:cs="Times New Roman"/>
          <w:sz w:val="26"/>
          <w:szCs w:val="26"/>
        </w:rPr>
        <w:t> </w:t>
      </w:r>
      <w:r w:rsidRPr="33985B12">
        <w:rPr>
          <w:rFonts w:ascii="Times New Roman" w:eastAsia="Times New Roman" w:hAnsi="Times New Roman" w:cs="Times New Roman"/>
          <w:sz w:val="26"/>
          <w:szCs w:val="26"/>
        </w:rPr>
        <w:t>milliárd</w:t>
      </w:r>
      <w:r w:rsidR="00153722">
        <w:rPr>
          <w:rFonts w:ascii="Times New Roman" w:eastAsia="Times New Roman" w:hAnsi="Times New Roman" w:cs="Times New Roman"/>
          <w:sz w:val="26"/>
          <w:szCs w:val="26"/>
        </w:rPr>
        <w:t> </w:t>
      </w:r>
      <w:r w:rsidRPr="33985B12">
        <w:rPr>
          <w:rFonts w:ascii="Times New Roman" w:eastAsia="Times New Roman" w:hAnsi="Times New Roman" w:cs="Times New Roman"/>
          <w:sz w:val="26"/>
          <w:szCs w:val="26"/>
        </w:rPr>
        <w:t xml:space="preserve">forinttal magasabb. A kiadások növekedését egyes ellátások </w:t>
      </w:r>
      <w:r w:rsidR="00153722">
        <w:rPr>
          <w:rFonts w:ascii="Times New Roman" w:eastAsia="Times New Roman" w:hAnsi="Times New Roman" w:cs="Times New Roman"/>
          <w:sz w:val="26"/>
          <w:szCs w:val="26"/>
        </w:rPr>
        <w:lastRenderedPageBreak/>
        <w:t>2024. </w:t>
      </w:r>
      <w:r w:rsidRPr="33985B12">
        <w:rPr>
          <w:rFonts w:ascii="Times New Roman" w:eastAsia="Times New Roman" w:hAnsi="Times New Roman" w:cs="Times New Roman"/>
          <w:sz w:val="26"/>
          <w:szCs w:val="26"/>
        </w:rPr>
        <w:t>januárban végrehajtott 6,0%-os emelésének, valamint a 2</w:t>
      </w:r>
      <w:r w:rsidR="00AE6BB5">
        <w:rPr>
          <w:rFonts w:ascii="Times New Roman" w:eastAsia="Times New Roman" w:hAnsi="Times New Roman" w:cs="Times New Roman"/>
          <w:sz w:val="26"/>
          <w:szCs w:val="26"/>
        </w:rPr>
        <w:t>024 februárjában kifizetett 13. </w:t>
      </w:r>
      <w:r w:rsidRPr="33985B12">
        <w:rPr>
          <w:rFonts w:ascii="Times New Roman" w:eastAsia="Times New Roman" w:hAnsi="Times New Roman" w:cs="Times New Roman"/>
          <w:sz w:val="26"/>
          <w:szCs w:val="26"/>
        </w:rPr>
        <w:t>havi ellátásnak a hatása okozza.</w:t>
      </w:r>
    </w:p>
    <w:p w14:paraId="283C543F" w14:textId="56793E41" w:rsidR="4131F494" w:rsidRDefault="33985B12" w:rsidP="4131F494">
      <w:pPr>
        <w:jc w:val="both"/>
      </w:pPr>
      <w:r w:rsidRPr="33985B12">
        <w:rPr>
          <w:rFonts w:ascii="Times New Roman" w:eastAsia="Times New Roman" w:hAnsi="Times New Roman" w:cs="Times New Roman"/>
          <w:sz w:val="26"/>
          <w:szCs w:val="26"/>
        </w:rPr>
        <w:t xml:space="preserve">A </w:t>
      </w:r>
      <w:r w:rsidRPr="33985B12">
        <w:rPr>
          <w:rFonts w:ascii="Times New Roman" w:eastAsia="Times New Roman" w:hAnsi="Times New Roman" w:cs="Times New Roman"/>
          <w:b/>
          <w:bCs/>
          <w:sz w:val="26"/>
          <w:szCs w:val="26"/>
        </w:rPr>
        <w:t>különféle jogcímen adott térítések</w:t>
      </w:r>
      <w:r w:rsidRPr="33985B12">
        <w:rPr>
          <w:rFonts w:ascii="Times New Roman" w:eastAsia="Times New Roman" w:hAnsi="Times New Roman" w:cs="Times New Roman"/>
          <w:sz w:val="26"/>
          <w:szCs w:val="26"/>
        </w:rPr>
        <w:t xml:space="preserve"> 2024</w:t>
      </w:r>
      <w:r w:rsidR="00AE6BB5">
        <w:rPr>
          <w:rFonts w:ascii="Times New Roman" w:eastAsia="Times New Roman" w:hAnsi="Times New Roman" w:cs="Times New Roman"/>
          <w:sz w:val="26"/>
          <w:szCs w:val="26"/>
        </w:rPr>
        <w:t xml:space="preserve">-ben </w:t>
      </w:r>
      <w:r w:rsidRPr="33985B12">
        <w:rPr>
          <w:rFonts w:ascii="Times New Roman" w:eastAsia="Times New Roman" w:hAnsi="Times New Roman" w:cs="Times New Roman"/>
          <w:sz w:val="26"/>
          <w:szCs w:val="26"/>
        </w:rPr>
        <w:t>kifizetett összege 22,</w:t>
      </w:r>
      <w:r w:rsidR="006879C8">
        <w:rPr>
          <w:rFonts w:ascii="Times New Roman" w:eastAsia="Times New Roman" w:hAnsi="Times New Roman" w:cs="Times New Roman"/>
          <w:sz w:val="26"/>
          <w:szCs w:val="26"/>
        </w:rPr>
        <w:t>4</w:t>
      </w:r>
      <w:r w:rsidR="00A349BC">
        <w:rPr>
          <w:rFonts w:ascii="Times New Roman" w:eastAsia="Times New Roman" w:hAnsi="Times New Roman" w:cs="Times New Roman"/>
          <w:sz w:val="26"/>
          <w:szCs w:val="26"/>
        </w:rPr>
        <w:t> </w:t>
      </w:r>
      <w:r w:rsidRPr="33985B12">
        <w:rPr>
          <w:rFonts w:ascii="Times New Roman" w:eastAsia="Times New Roman" w:hAnsi="Times New Roman" w:cs="Times New Roman"/>
          <w:sz w:val="26"/>
          <w:szCs w:val="26"/>
        </w:rPr>
        <w:t>milliárd</w:t>
      </w:r>
      <w:r w:rsidR="00A349BC">
        <w:rPr>
          <w:rFonts w:ascii="Times New Roman" w:eastAsia="Times New Roman" w:hAnsi="Times New Roman" w:cs="Times New Roman"/>
          <w:sz w:val="26"/>
          <w:szCs w:val="26"/>
        </w:rPr>
        <w:t> </w:t>
      </w:r>
      <w:r w:rsidRPr="33985B12">
        <w:rPr>
          <w:rFonts w:ascii="Times New Roman" w:eastAsia="Times New Roman" w:hAnsi="Times New Roman" w:cs="Times New Roman"/>
          <w:sz w:val="26"/>
          <w:szCs w:val="26"/>
        </w:rPr>
        <w:t>forint volt, ami 1,</w:t>
      </w:r>
      <w:r w:rsidR="006879C8">
        <w:rPr>
          <w:rFonts w:ascii="Times New Roman" w:eastAsia="Times New Roman" w:hAnsi="Times New Roman" w:cs="Times New Roman"/>
          <w:sz w:val="26"/>
          <w:szCs w:val="26"/>
        </w:rPr>
        <w:t>0</w:t>
      </w:r>
      <w:r w:rsidR="00C326EB">
        <w:rPr>
          <w:rFonts w:ascii="Times New Roman" w:eastAsia="Times New Roman" w:hAnsi="Times New Roman" w:cs="Times New Roman"/>
          <w:sz w:val="26"/>
          <w:szCs w:val="26"/>
        </w:rPr>
        <w:t> </w:t>
      </w:r>
      <w:r w:rsidRPr="33985B12">
        <w:rPr>
          <w:rFonts w:ascii="Times New Roman" w:eastAsia="Times New Roman" w:hAnsi="Times New Roman" w:cs="Times New Roman"/>
          <w:sz w:val="26"/>
          <w:szCs w:val="26"/>
        </w:rPr>
        <w:t>milliárd forinttal alacsonyabb az előző év azonos időszakához képest. Ennek oka, hogy a közgyógyellátásra fordított összeg (14,5</w:t>
      </w:r>
      <w:r w:rsidR="00A349BC">
        <w:rPr>
          <w:rFonts w:ascii="Times New Roman" w:eastAsia="Times New Roman" w:hAnsi="Times New Roman" w:cs="Times New Roman"/>
          <w:sz w:val="26"/>
          <w:szCs w:val="26"/>
        </w:rPr>
        <w:t> </w:t>
      </w:r>
      <w:r w:rsidRPr="33985B12">
        <w:rPr>
          <w:rFonts w:ascii="Times New Roman" w:eastAsia="Times New Roman" w:hAnsi="Times New Roman" w:cs="Times New Roman"/>
          <w:sz w:val="26"/>
          <w:szCs w:val="26"/>
        </w:rPr>
        <w:t>milliárd</w:t>
      </w:r>
      <w:r w:rsidR="00A349BC">
        <w:rPr>
          <w:rFonts w:ascii="Times New Roman" w:eastAsia="Times New Roman" w:hAnsi="Times New Roman" w:cs="Times New Roman"/>
          <w:sz w:val="26"/>
          <w:szCs w:val="26"/>
        </w:rPr>
        <w:t> </w:t>
      </w:r>
      <w:r w:rsidRPr="33985B12">
        <w:rPr>
          <w:rFonts w:ascii="Times New Roman" w:eastAsia="Times New Roman" w:hAnsi="Times New Roman" w:cs="Times New Roman"/>
          <w:sz w:val="26"/>
          <w:szCs w:val="26"/>
        </w:rPr>
        <w:t>forint) 1,2</w:t>
      </w:r>
      <w:r w:rsidR="00C326EB">
        <w:rPr>
          <w:rFonts w:ascii="Times New Roman" w:eastAsia="Times New Roman" w:hAnsi="Times New Roman" w:cs="Times New Roman"/>
          <w:sz w:val="26"/>
          <w:szCs w:val="26"/>
        </w:rPr>
        <w:t> </w:t>
      </w:r>
      <w:r w:rsidRPr="33985B12">
        <w:rPr>
          <w:rFonts w:ascii="Times New Roman" w:eastAsia="Times New Roman" w:hAnsi="Times New Roman" w:cs="Times New Roman"/>
          <w:sz w:val="26"/>
          <w:szCs w:val="26"/>
        </w:rPr>
        <w:t xml:space="preserve">milliárd forinttal kevesebb volt, mint </w:t>
      </w:r>
      <w:r w:rsidR="00AE6BB5">
        <w:rPr>
          <w:rFonts w:ascii="Times New Roman" w:eastAsia="Times New Roman" w:hAnsi="Times New Roman" w:cs="Times New Roman"/>
          <w:sz w:val="26"/>
          <w:szCs w:val="26"/>
        </w:rPr>
        <w:t>2023-ban</w:t>
      </w:r>
      <w:r w:rsidRPr="33985B12">
        <w:rPr>
          <w:rFonts w:ascii="Times New Roman" w:eastAsia="Times New Roman" w:hAnsi="Times New Roman" w:cs="Times New Roman"/>
          <w:sz w:val="26"/>
          <w:szCs w:val="26"/>
        </w:rPr>
        <w:t>.</w:t>
      </w:r>
    </w:p>
    <w:p w14:paraId="2BBDBEB3" w14:textId="34E0062E" w:rsidR="0032261D" w:rsidRPr="005C3ECD" w:rsidRDefault="33985B12" w:rsidP="33985B12">
      <w:pPr>
        <w:pStyle w:val="NormlWeb"/>
        <w:spacing w:before="0" w:beforeAutospacing="0" w:after="160" w:afterAutospacing="0" w:line="259" w:lineRule="auto"/>
        <w:jc w:val="both"/>
        <w:rPr>
          <w:sz w:val="26"/>
          <w:szCs w:val="26"/>
        </w:rPr>
      </w:pPr>
      <w:r w:rsidRPr="33985B12">
        <w:rPr>
          <w:sz w:val="26"/>
          <w:szCs w:val="26"/>
        </w:rPr>
        <w:t xml:space="preserve">A </w:t>
      </w:r>
      <w:r w:rsidRPr="33985B12">
        <w:rPr>
          <w:b/>
          <w:bCs/>
          <w:sz w:val="26"/>
          <w:szCs w:val="26"/>
        </w:rPr>
        <w:t>babaváró támogatásokra</w:t>
      </w:r>
      <w:r w:rsidRPr="33985B12">
        <w:rPr>
          <w:sz w:val="26"/>
          <w:szCs w:val="26"/>
        </w:rPr>
        <w:t xml:space="preserve"> fordított kiadások összege </w:t>
      </w:r>
      <w:r w:rsidR="00AE6BB5">
        <w:rPr>
          <w:sz w:val="26"/>
          <w:szCs w:val="26"/>
        </w:rPr>
        <w:t>2024-ben</w:t>
      </w:r>
      <w:r w:rsidRPr="33985B12">
        <w:rPr>
          <w:sz w:val="26"/>
          <w:szCs w:val="26"/>
        </w:rPr>
        <w:t xml:space="preserve"> 208,3 milliárd forint volt, amely a törvényi előirányzat 91,8%-ának felel meg, és </w:t>
      </w:r>
      <w:r w:rsidR="00AE6BB5">
        <w:rPr>
          <w:sz w:val="26"/>
          <w:szCs w:val="26"/>
        </w:rPr>
        <w:t>a 2023. év</w:t>
      </w:r>
      <w:r w:rsidRPr="33985B12">
        <w:rPr>
          <w:sz w:val="26"/>
          <w:szCs w:val="26"/>
        </w:rPr>
        <w:t xml:space="preserve"> azonos időszakához viszonyítva 31,3 milliárd forinttal teljesült magasabban.</w:t>
      </w:r>
    </w:p>
    <w:p w14:paraId="1A25D4E0" w14:textId="1F581CD1" w:rsidR="000C2BFE" w:rsidRPr="005C3ECD" w:rsidRDefault="33985B12" w:rsidP="33985B12">
      <w:pPr>
        <w:pStyle w:val="NormlWeb"/>
        <w:spacing w:before="0" w:beforeAutospacing="0" w:after="160" w:afterAutospacing="0" w:line="259" w:lineRule="auto"/>
        <w:jc w:val="both"/>
        <w:rPr>
          <w:sz w:val="26"/>
          <w:szCs w:val="26"/>
        </w:rPr>
      </w:pPr>
      <w:r w:rsidRPr="33985B12">
        <w:rPr>
          <w:sz w:val="26"/>
          <w:szCs w:val="26"/>
        </w:rPr>
        <w:t xml:space="preserve">A </w:t>
      </w:r>
      <w:r w:rsidRPr="33985B12">
        <w:rPr>
          <w:b/>
          <w:bCs/>
          <w:sz w:val="26"/>
          <w:szCs w:val="26"/>
        </w:rPr>
        <w:t>helyi önkormányzatok</w:t>
      </w:r>
      <w:r w:rsidRPr="33985B12">
        <w:rPr>
          <w:sz w:val="26"/>
          <w:szCs w:val="26"/>
        </w:rPr>
        <w:t xml:space="preserve"> 2024. évi feladataihoz a hatályos jogszabályok alapján </w:t>
      </w:r>
      <w:r w:rsidR="166F4922">
        <w:br/>
      </w:r>
      <w:r w:rsidRPr="33985B12">
        <w:rPr>
          <w:sz w:val="26"/>
          <w:szCs w:val="26"/>
        </w:rPr>
        <w:t xml:space="preserve">1 132,7 milliárd forint állami támogatás került megállapításra, ezt a </w:t>
      </w:r>
      <w:r w:rsidR="00AE6BB5">
        <w:rPr>
          <w:sz w:val="26"/>
          <w:szCs w:val="26"/>
        </w:rPr>
        <w:t xml:space="preserve">2024. év </w:t>
      </w:r>
      <w:r w:rsidRPr="33985B12">
        <w:rPr>
          <w:sz w:val="26"/>
          <w:szCs w:val="26"/>
        </w:rPr>
        <w:t>végi tényadat 117,5 milliárd forinttal haladta meg. Az előző év azon</w:t>
      </w:r>
      <w:r w:rsidR="00B95AD8">
        <w:rPr>
          <w:sz w:val="26"/>
          <w:szCs w:val="26"/>
        </w:rPr>
        <w:t xml:space="preserve">os időszakához viszonyítva </w:t>
      </w:r>
      <w:r w:rsidR="009353CC">
        <w:rPr>
          <w:sz w:val="26"/>
          <w:szCs w:val="26"/>
        </w:rPr>
        <w:t>72,2</w:t>
      </w:r>
      <w:r w:rsidR="00B95AD8">
        <w:rPr>
          <w:sz w:val="26"/>
          <w:szCs w:val="26"/>
        </w:rPr>
        <w:t> </w:t>
      </w:r>
      <w:r w:rsidR="00496C75">
        <w:rPr>
          <w:sz w:val="26"/>
          <w:szCs w:val="26"/>
        </w:rPr>
        <w:t>milliárd </w:t>
      </w:r>
      <w:r w:rsidRPr="33985B12">
        <w:rPr>
          <w:sz w:val="26"/>
          <w:szCs w:val="26"/>
        </w:rPr>
        <w:t>forint (6,</w:t>
      </w:r>
      <w:r w:rsidR="009353CC">
        <w:rPr>
          <w:sz w:val="26"/>
          <w:szCs w:val="26"/>
        </w:rPr>
        <w:t>1</w:t>
      </w:r>
      <w:r w:rsidRPr="33985B12">
        <w:rPr>
          <w:sz w:val="26"/>
          <w:szCs w:val="26"/>
        </w:rPr>
        <w:t>%-os) növekedés történt. A jelentősebb tételek alakulását a következő táblázat mutatja:</w:t>
      </w:r>
    </w:p>
    <w:p w14:paraId="3A64F068" w14:textId="77777777" w:rsidR="000C2BFE" w:rsidRDefault="000C2BFE">
      <w:pPr>
        <w:rPr>
          <w:rFonts w:ascii="Times New Roman" w:eastAsia="Times New Roman" w:hAnsi="Times New Roman" w:cs="Times New Roman"/>
          <w:sz w:val="26"/>
          <w:szCs w:val="26"/>
          <w:lang w:eastAsia="hu-HU"/>
        </w:rPr>
      </w:pPr>
      <w:r>
        <w:rPr>
          <w:sz w:val="26"/>
          <w:szCs w:val="26"/>
        </w:rPr>
        <w:lastRenderedPageBreak/>
        <w:br w:type="page"/>
      </w:r>
    </w:p>
    <w:p w14:paraId="2723D8B3" w14:textId="722DE9C1" w:rsidR="00C24948" w:rsidRDefault="33985B12" w:rsidP="33985B12">
      <w:pPr>
        <w:spacing w:before="120" w:after="120" w:line="240" w:lineRule="auto"/>
        <w:jc w:val="center"/>
        <w:rPr>
          <w:rFonts w:ascii="Times New Roman" w:eastAsia="Times New Roman" w:hAnsi="Times New Roman" w:cs="Times New Roman"/>
          <w:b/>
          <w:bCs/>
          <w:sz w:val="26"/>
          <w:szCs w:val="26"/>
        </w:rPr>
      </w:pPr>
      <w:r w:rsidRPr="33985B12">
        <w:rPr>
          <w:rFonts w:ascii="Times New Roman" w:eastAsia="Times New Roman" w:hAnsi="Times New Roman" w:cs="Times New Roman"/>
          <w:b/>
          <w:bCs/>
          <w:sz w:val="26"/>
          <w:szCs w:val="26"/>
        </w:rPr>
        <w:lastRenderedPageBreak/>
        <w:t>A helyi önkormányzatok támogatásának alakulása (milliárd forint)</w:t>
      </w:r>
    </w:p>
    <w:tbl>
      <w:tblPr>
        <w:tblpPr w:leftFromText="141" w:rightFromText="141" w:vertAnchor="text" w:horzAnchor="margin" w:tblpY="20"/>
        <w:tblW w:w="9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82"/>
        <w:gridCol w:w="1196"/>
        <w:gridCol w:w="992"/>
        <w:gridCol w:w="850"/>
        <w:gridCol w:w="851"/>
      </w:tblGrid>
      <w:tr w:rsidR="00081A16" w:rsidRPr="00377D59" w14:paraId="6741B982" w14:textId="77777777" w:rsidTr="00081A16">
        <w:trPr>
          <w:trHeight w:val="340"/>
        </w:trPr>
        <w:tc>
          <w:tcPr>
            <w:tcW w:w="5382" w:type="dxa"/>
            <w:vMerge w:val="restart"/>
            <w:shd w:val="clear" w:color="auto" w:fill="DBE5F1"/>
            <w:noWrap/>
            <w:vAlign w:val="center"/>
            <w:hideMark/>
          </w:tcPr>
          <w:p w14:paraId="07514BAA" w14:textId="77777777" w:rsidR="00081A16" w:rsidRPr="00976E1E" w:rsidRDefault="00081A16" w:rsidP="00081A16">
            <w:pPr>
              <w:keepNext/>
              <w:keepLines/>
              <w:spacing w:after="0" w:line="240" w:lineRule="auto"/>
              <w:jc w:val="center"/>
              <w:rPr>
                <w:rFonts w:ascii="Times New Roman" w:eastAsia="Times New Roman" w:hAnsi="Times New Roman" w:cs="Times New Roman"/>
                <w:b/>
                <w:bCs/>
                <w:sz w:val="20"/>
                <w:szCs w:val="20"/>
                <w:lang w:eastAsia="hu-HU"/>
              </w:rPr>
            </w:pPr>
            <w:r w:rsidRPr="33985B12">
              <w:rPr>
                <w:rFonts w:ascii="Times New Roman" w:eastAsia="Times New Roman" w:hAnsi="Times New Roman" w:cs="Times New Roman"/>
                <w:b/>
                <w:bCs/>
                <w:sz w:val="20"/>
                <w:szCs w:val="20"/>
                <w:lang w:eastAsia="hu-HU"/>
              </w:rPr>
              <w:t>Megnevezés</w:t>
            </w:r>
          </w:p>
        </w:tc>
        <w:tc>
          <w:tcPr>
            <w:tcW w:w="1196" w:type="dxa"/>
            <w:vMerge w:val="restart"/>
            <w:shd w:val="clear" w:color="auto" w:fill="DBE5F1"/>
            <w:vAlign w:val="center"/>
            <w:hideMark/>
          </w:tcPr>
          <w:p w14:paraId="09362FE2" w14:textId="77777777" w:rsidR="00081A16" w:rsidRPr="00081A16" w:rsidRDefault="00081A16" w:rsidP="00081A16">
            <w:pPr>
              <w:spacing w:after="0" w:line="240" w:lineRule="auto"/>
              <w:jc w:val="center"/>
              <w:rPr>
                <w:rFonts w:ascii="Times New Roman" w:eastAsia="Times New Roman" w:hAnsi="Times New Roman" w:cs="Times New Roman"/>
                <w:b/>
                <w:bCs/>
                <w:sz w:val="20"/>
                <w:szCs w:val="20"/>
                <w:lang w:eastAsia="hu-HU"/>
              </w:rPr>
            </w:pPr>
            <w:r w:rsidRPr="00081A16">
              <w:rPr>
                <w:rFonts w:ascii="Times New Roman" w:eastAsia="Times New Roman" w:hAnsi="Times New Roman" w:cs="Times New Roman"/>
                <w:b/>
                <w:bCs/>
                <w:sz w:val="20"/>
                <w:szCs w:val="20"/>
                <w:lang w:eastAsia="hu-HU"/>
              </w:rPr>
              <w:t>2023. évi</w:t>
            </w:r>
          </w:p>
          <w:p w14:paraId="5DC080D6" w14:textId="7ED7A326" w:rsidR="00081A16" w:rsidRPr="00081A16" w:rsidRDefault="00081A16" w:rsidP="00081A16">
            <w:pPr>
              <w:keepNext/>
              <w:keepLines/>
              <w:spacing w:after="0" w:line="240" w:lineRule="auto"/>
              <w:jc w:val="center"/>
              <w:rPr>
                <w:rFonts w:ascii="Times New Roman" w:eastAsia="Times New Roman" w:hAnsi="Times New Roman" w:cs="Times New Roman"/>
                <w:b/>
                <w:bCs/>
                <w:sz w:val="20"/>
                <w:szCs w:val="20"/>
                <w:lang w:eastAsia="hu-HU"/>
              </w:rPr>
            </w:pPr>
            <w:r w:rsidRPr="00081A16">
              <w:rPr>
                <w:rFonts w:ascii="Times New Roman" w:eastAsia="Times New Roman" w:hAnsi="Times New Roman" w:cs="Times New Roman"/>
                <w:b/>
                <w:bCs/>
                <w:sz w:val="20"/>
                <w:szCs w:val="20"/>
                <w:lang w:eastAsia="hu-HU"/>
              </w:rPr>
              <w:t>tény</w:t>
            </w:r>
          </w:p>
        </w:tc>
        <w:tc>
          <w:tcPr>
            <w:tcW w:w="992" w:type="dxa"/>
            <w:vMerge w:val="restart"/>
            <w:shd w:val="clear" w:color="auto" w:fill="DBE5F1"/>
            <w:vAlign w:val="center"/>
            <w:hideMark/>
          </w:tcPr>
          <w:p w14:paraId="20D82D3B" w14:textId="77777777" w:rsidR="00081A16" w:rsidRPr="00081A16" w:rsidRDefault="00081A16" w:rsidP="00081A16">
            <w:pPr>
              <w:spacing w:after="0" w:line="240" w:lineRule="auto"/>
              <w:jc w:val="center"/>
              <w:rPr>
                <w:rFonts w:ascii="Times New Roman" w:eastAsia="Times New Roman" w:hAnsi="Times New Roman" w:cs="Times New Roman"/>
                <w:b/>
                <w:bCs/>
                <w:sz w:val="20"/>
                <w:szCs w:val="20"/>
                <w:lang w:eastAsia="hu-HU"/>
              </w:rPr>
            </w:pPr>
            <w:r w:rsidRPr="00081A16">
              <w:rPr>
                <w:rFonts w:ascii="Times New Roman" w:eastAsia="Times New Roman" w:hAnsi="Times New Roman" w:cs="Times New Roman"/>
                <w:b/>
                <w:bCs/>
                <w:sz w:val="20"/>
                <w:szCs w:val="20"/>
                <w:lang w:eastAsia="hu-HU"/>
              </w:rPr>
              <w:t>2024. évi</w:t>
            </w:r>
          </w:p>
          <w:p w14:paraId="626AC8BC" w14:textId="204BFE83" w:rsidR="00081A16" w:rsidRPr="00081A16" w:rsidRDefault="00081A16" w:rsidP="00081A16">
            <w:pPr>
              <w:keepNext/>
              <w:keepLines/>
              <w:spacing w:after="0" w:line="240" w:lineRule="auto"/>
              <w:jc w:val="center"/>
              <w:rPr>
                <w:rFonts w:ascii="Times New Roman" w:eastAsia="Times New Roman" w:hAnsi="Times New Roman" w:cs="Times New Roman"/>
                <w:b/>
                <w:bCs/>
                <w:sz w:val="20"/>
                <w:szCs w:val="20"/>
                <w:lang w:eastAsia="hu-HU"/>
              </w:rPr>
            </w:pPr>
            <w:r w:rsidRPr="00081A16">
              <w:rPr>
                <w:rFonts w:ascii="Times New Roman" w:eastAsia="Times New Roman" w:hAnsi="Times New Roman" w:cs="Times New Roman"/>
                <w:b/>
                <w:bCs/>
                <w:sz w:val="20"/>
                <w:szCs w:val="20"/>
                <w:lang w:eastAsia="hu-HU"/>
              </w:rPr>
              <w:t>előzetes tény</w:t>
            </w:r>
          </w:p>
        </w:tc>
        <w:tc>
          <w:tcPr>
            <w:tcW w:w="1701" w:type="dxa"/>
            <w:gridSpan w:val="2"/>
            <w:shd w:val="clear" w:color="auto" w:fill="DBE5F1"/>
            <w:noWrap/>
            <w:vAlign w:val="center"/>
            <w:hideMark/>
          </w:tcPr>
          <w:p w14:paraId="35A3C823" w14:textId="77777777" w:rsidR="00081A16" w:rsidRPr="00976E1E" w:rsidRDefault="00081A16" w:rsidP="00081A16">
            <w:pPr>
              <w:keepNext/>
              <w:keepLines/>
              <w:spacing w:after="0" w:line="240" w:lineRule="auto"/>
              <w:jc w:val="center"/>
              <w:rPr>
                <w:rFonts w:ascii="Times New Roman" w:eastAsia="Times New Roman" w:hAnsi="Times New Roman" w:cs="Times New Roman"/>
                <w:b/>
                <w:bCs/>
                <w:sz w:val="20"/>
                <w:szCs w:val="20"/>
                <w:lang w:eastAsia="hu-HU"/>
              </w:rPr>
            </w:pPr>
            <w:r w:rsidRPr="33985B12">
              <w:rPr>
                <w:rFonts w:ascii="Times New Roman" w:eastAsia="Times New Roman" w:hAnsi="Times New Roman" w:cs="Times New Roman"/>
                <w:b/>
                <w:bCs/>
                <w:sz w:val="20"/>
                <w:szCs w:val="20"/>
                <w:lang w:eastAsia="hu-HU"/>
              </w:rPr>
              <w:t>Eltérés</w:t>
            </w:r>
          </w:p>
        </w:tc>
      </w:tr>
      <w:tr w:rsidR="00C24948" w:rsidRPr="00377D59" w14:paraId="2DD9A798" w14:textId="77777777" w:rsidTr="00081A16">
        <w:trPr>
          <w:trHeight w:val="340"/>
        </w:trPr>
        <w:tc>
          <w:tcPr>
            <w:tcW w:w="5382" w:type="dxa"/>
            <w:vMerge/>
            <w:shd w:val="clear" w:color="auto" w:fill="DBE5F1"/>
            <w:vAlign w:val="center"/>
            <w:hideMark/>
          </w:tcPr>
          <w:p w14:paraId="5F76A56A" w14:textId="77777777" w:rsidR="00C24948" w:rsidRPr="00976E1E" w:rsidRDefault="00C24948" w:rsidP="00C24948">
            <w:pPr>
              <w:keepNext/>
              <w:keepLines/>
              <w:spacing w:after="0" w:line="240" w:lineRule="auto"/>
              <w:rPr>
                <w:rFonts w:ascii="Times New Roman" w:eastAsia="Times New Roman" w:hAnsi="Times New Roman" w:cs="Times New Roman"/>
                <w:b/>
                <w:bCs/>
                <w:sz w:val="20"/>
                <w:szCs w:val="20"/>
                <w:lang w:eastAsia="hu-HU"/>
              </w:rPr>
            </w:pPr>
          </w:p>
        </w:tc>
        <w:tc>
          <w:tcPr>
            <w:tcW w:w="1196" w:type="dxa"/>
            <w:vMerge/>
            <w:shd w:val="clear" w:color="auto" w:fill="DBE5F1"/>
            <w:vAlign w:val="center"/>
            <w:hideMark/>
          </w:tcPr>
          <w:p w14:paraId="65B4B0A4" w14:textId="77777777" w:rsidR="00C24948" w:rsidRPr="00976E1E" w:rsidRDefault="00C24948" w:rsidP="00C24948">
            <w:pPr>
              <w:keepNext/>
              <w:keepLines/>
              <w:spacing w:after="0" w:line="240" w:lineRule="auto"/>
              <w:jc w:val="center"/>
              <w:rPr>
                <w:rFonts w:ascii="Times New Roman" w:eastAsia="Times New Roman" w:hAnsi="Times New Roman" w:cs="Times New Roman"/>
                <w:b/>
                <w:bCs/>
                <w:sz w:val="20"/>
                <w:szCs w:val="20"/>
                <w:lang w:eastAsia="hu-HU"/>
              </w:rPr>
            </w:pPr>
          </w:p>
        </w:tc>
        <w:tc>
          <w:tcPr>
            <w:tcW w:w="992" w:type="dxa"/>
            <w:vMerge/>
            <w:shd w:val="clear" w:color="auto" w:fill="DBE5F1"/>
            <w:vAlign w:val="center"/>
            <w:hideMark/>
          </w:tcPr>
          <w:p w14:paraId="5FE97B50" w14:textId="77777777" w:rsidR="00C24948" w:rsidRPr="00976E1E" w:rsidRDefault="00C24948" w:rsidP="00C24948">
            <w:pPr>
              <w:keepNext/>
              <w:keepLines/>
              <w:spacing w:after="0" w:line="240" w:lineRule="auto"/>
              <w:jc w:val="center"/>
              <w:rPr>
                <w:rFonts w:ascii="Times New Roman" w:eastAsia="Times New Roman" w:hAnsi="Times New Roman" w:cs="Times New Roman"/>
                <w:b/>
                <w:bCs/>
                <w:sz w:val="20"/>
                <w:szCs w:val="20"/>
                <w:lang w:eastAsia="hu-HU"/>
              </w:rPr>
            </w:pPr>
          </w:p>
        </w:tc>
        <w:tc>
          <w:tcPr>
            <w:tcW w:w="850" w:type="dxa"/>
            <w:shd w:val="clear" w:color="auto" w:fill="DBE5F1"/>
            <w:noWrap/>
            <w:vAlign w:val="center"/>
            <w:hideMark/>
          </w:tcPr>
          <w:p w14:paraId="1B2C8FF2" w14:textId="77777777" w:rsidR="00C24948" w:rsidRPr="00976E1E" w:rsidRDefault="33985B12" w:rsidP="33985B12">
            <w:pPr>
              <w:keepNext/>
              <w:keepLines/>
              <w:spacing w:after="0" w:line="240" w:lineRule="auto"/>
              <w:jc w:val="center"/>
              <w:rPr>
                <w:rFonts w:ascii="Times New Roman" w:eastAsia="Times New Roman" w:hAnsi="Times New Roman" w:cs="Times New Roman"/>
                <w:b/>
                <w:bCs/>
                <w:sz w:val="20"/>
                <w:szCs w:val="20"/>
                <w:lang w:eastAsia="hu-HU"/>
              </w:rPr>
            </w:pPr>
            <w:r w:rsidRPr="33985B12">
              <w:rPr>
                <w:rFonts w:ascii="Times New Roman" w:eastAsia="Times New Roman" w:hAnsi="Times New Roman" w:cs="Times New Roman"/>
                <w:b/>
                <w:bCs/>
                <w:sz w:val="20"/>
                <w:szCs w:val="20"/>
                <w:lang w:eastAsia="hu-HU"/>
              </w:rPr>
              <w:t>Mrd Ft</w:t>
            </w:r>
          </w:p>
        </w:tc>
        <w:tc>
          <w:tcPr>
            <w:tcW w:w="851" w:type="dxa"/>
            <w:shd w:val="clear" w:color="auto" w:fill="DBE5F1"/>
            <w:noWrap/>
            <w:vAlign w:val="center"/>
            <w:hideMark/>
          </w:tcPr>
          <w:p w14:paraId="179AEF43" w14:textId="77777777" w:rsidR="00C24948" w:rsidRPr="00976E1E" w:rsidRDefault="33985B12" w:rsidP="33985B12">
            <w:pPr>
              <w:keepNext/>
              <w:keepLines/>
              <w:spacing w:after="0" w:line="240" w:lineRule="auto"/>
              <w:jc w:val="center"/>
              <w:rPr>
                <w:rFonts w:ascii="Times New Roman" w:eastAsia="Times New Roman" w:hAnsi="Times New Roman" w:cs="Times New Roman"/>
                <w:b/>
                <w:bCs/>
                <w:sz w:val="20"/>
                <w:szCs w:val="20"/>
                <w:lang w:eastAsia="hu-HU"/>
              </w:rPr>
            </w:pPr>
            <w:r w:rsidRPr="33985B12">
              <w:rPr>
                <w:rFonts w:ascii="Times New Roman" w:eastAsia="Times New Roman" w:hAnsi="Times New Roman" w:cs="Times New Roman"/>
                <w:b/>
                <w:bCs/>
                <w:sz w:val="20"/>
                <w:szCs w:val="20"/>
                <w:lang w:eastAsia="hu-HU"/>
              </w:rPr>
              <w:t>%</w:t>
            </w:r>
          </w:p>
        </w:tc>
      </w:tr>
      <w:tr w:rsidR="00FC0D58" w:rsidRPr="00377D59" w14:paraId="5CF52B9C" w14:textId="77777777" w:rsidTr="00081A16">
        <w:trPr>
          <w:trHeight w:val="510"/>
        </w:trPr>
        <w:tc>
          <w:tcPr>
            <w:tcW w:w="5382" w:type="dxa"/>
            <w:shd w:val="clear" w:color="auto" w:fill="auto"/>
            <w:vAlign w:val="center"/>
            <w:hideMark/>
          </w:tcPr>
          <w:p w14:paraId="11FF4C49" w14:textId="77777777" w:rsidR="00FC0D58" w:rsidRPr="00976E1E" w:rsidRDefault="33985B12" w:rsidP="33985B12">
            <w:pPr>
              <w:keepNext/>
              <w:keepLines/>
              <w:spacing w:after="0" w:line="240" w:lineRule="auto"/>
              <w:rPr>
                <w:rFonts w:ascii="Times New Roman" w:eastAsia="Times New Roman" w:hAnsi="Times New Roman" w:cs="Times New Roman"/>
                <w:b/>
                <w:bCs/>
                <w:sz w:val="20"/>
                <w:szCs w:val="20"/>
                <w:lang w:eastAsia="hu-HU"/>
              </w:rPr>
            </w:pPr>
            <w:r w:rsidRPr="33985B12">
              <w:rPr>
                <w:rFonts w:ascii="Times New Roman" w:eastAsia="Times New Roman" w:hAnsi="Times New Roman" w:cs="Times New Roman"/>
                <w:b/>
                <w:bCs/>
                <w:sz w:val="20"/>
                <w:szCs w:val="20"/>
                <w:lang w:eastAsia="hu-HU"/>
              </w:rPr>
              <w:t>A helyi önkormányzatok általános működésének és ágazati feladatainak támogatása</w:t>
            </w:r>
          </w:p>
        </w:tc>
        <w:tc>
          <w:tcPr>
            <w:tcW w:w="1196" w:type="dxa"/>
            <w:shd w:val="clear" w:color="auto" w:fill="auto"/>
            <w:noWrap/>
            <w:vAlign w:val="center"/>
          </w:tcPr>
          <w:p w14:paraId="0A1E4CBD" w14:textId="000E9FA8" w:rsidR="00FC0D58" w:rsidRPr="00FC0D58" w:rsidRDefault="33985B12" w:rsidP="33985B12">
            <w:pPr>
              <w:keepNext/>
              <w:keepLines/>
              <w:spacing w:after="0" w:line="240" w:lineRule="auto"/>
              <w:jc w:val="right"/>
              <w:rPr>
                <w:rFonts w:ascii="Times New Roman" w:eastAsia="Times New Roman" w:hAnsi="Times New Roman" w:cs="Times New Roman"/>
                <w:b/>
                <w:bCs/>
                <w:sz w:val="20"/>
                <w:szCs w:val="20"/>
                <w:lang w:eastAsia="hu-HU"/>
              </w:rPr>
            </w:pPr>
            <w:r w:rsidRPr="33985B12">
              <w:rPr>
                <w:rFonts w:ascii="Times New Roman" w:hAnsi="Times New Roman" w:cs="Times New Roman"/>
                <w:b/>
                <w:bCs/>
                <w:color w:val="000000" w:themeColor="text1"/>
                <w:sz w:val="20"/>
                <w:szCs w:val="20"/>
              </w:rPr>
              <w:t>901,5</w:t>
            </w:r>
          </w:p>
        </w:tc>
        <w:tc>
          <w:tcPr>
            <w:tcW w:w="992" w:type="dxa"/>
            <w:shd w:val="clear" w:color="auto" w:fill="auto"/>
            <w:noWrap/>
            <w:vAlign w:val="center"/>
          </w:tcPr>
          <w:p w14:paraId="47729553" w14:textId="3CF46FDA" w:rsidR="00FC0D58" w:rsidRPr="00FC0D58" w:rsidRDefault="33985B12" w:rsidP="33985B12">
            <w:pPr>
              <w:keepNext/>
              <w:keepLines/>
              <w:spacing w:after="0" w:line="240" w:lineRule="auto"/>
              <w:jc w:val="right"/>
              <w:rPr>
                <w:rFonts w:ascii="Times New Roman" w:eastAsia="Times New Roman" w:hAnsi="Times New Roman" w:cs="Times New Roman"/>
                <w:b/>
                <w:bCs/>
                <w:sz w:val="20"/>
                <w:szCs w:val="20"/>
                <w:lang w:eastAsia="hu-HU"/>
              </w:rPr>
            </w:pPr>
            <w:r w:rsidRPr="33985B12">
              <w:rPr>
                <w:rFonts w:ascii="Times New Roman" w:hAnsi="Times New Roman" w:cs="Times New Roman"/>
                <w:b/>
                <w:bCs/>
                <w:color w:val="000000" w:themeColor="text1"/>
                <w:sz w:val="20"/>
                <w:szCs w:val="20"/>
              </w:rPr>
              <w:t>1</w:t>
            </w:r>
            <w:r w:rsidR="00C326EB">
              <w:rPr>
                <w:rFonts w:ascii="Times New Roman" w:hAnsi="Times New Roman" w:cs="Times New Roman"/>
                <w:b/>
                <w:bCs/>
                <w:color w:val="000000" w:themeColor="text1"/>
                <w:sz w:val="20"/>
                <w:szCs w:val="20"/>
              </w:rPr>
              <w:t> </w:t>
            </w:r>
            <w:r w:rsidRPr="33985B12">
              <w:rPr>
                <w:rFonts w:ascii="Times New Roman" w:hAnsi="Times New Roman" w:cs="Times New Roman"/>
                <w:b/>
                <w:bCs/>
                <w:color w:val="000000" w:themeColor="text1"/>
                <w:sz w:val="20"/>
                <w:szCs w:val="20"/>
              </w:rPr>
              <w:t>118,5</w:t>
            </w:r>
          </w:p>
        </w:tc>
        <w:tc>
          <w:tcPr>
            <w:tcW w:w="850" w:type="dxa"/>
            <w:shd w:val="clear" w:color="auto" w:fill="auto"/>
            <w:noWrap/>
            <w:vAlign w:val="center"/>
          </w:tcPr>
          <w:p w14:paraId="11D76081" w14:textId="1CBA299B" w:rsidR="00FC0D58" w:rsidRPr="00C326EB" w:rsidRDefault="33985B12" w:rsidP="33985B12">
            <w:pPr>
              <w:keepNext/>
              <w:keepLines/>
              <w:spacing w:after="0" w:line="240" w:lineRule="auto"/>
              <w:jc w:val="right"/>
              <w:rPr>
                <w:rFonts w:ascii="Times New Roman" w:eastAsia="Times New Roman" w:hAnsi="Times New Roman" w:cs="Times New Roman"/>
                <w:b/>
                <w:bCs/>
                <w:sz w:val="20"/>
                <w:szCs w:val="20"/>
                <w:lang w:eastAsia="hu-HU"/>
              </w:rPr>
            </w:pPr>
            <w:r w:rsidRPr="00C326EB">
              <w:rPr>
                <w:rFonts w:ascii="Times New Roman" w:hAnsi="Times New Roman" w:cs="Times New Roman"/>
                <w:b/>
                <w:color w:val="000000" w:themeColor="text1"/>
                <w:sz w:val="20"/>
                <w:szCs w:val="20"/>
              </w:rPr>
              <w:t>217,0</w:t>
            </w:r>
          </w:p>
        </w:tc>
        <w:tc>
          <w:tcPr>
            <w:tcW w:w="851" w:type="dxa"/>
            <w:shd w:val="clear" w:color="auto" w:fill="auto"/>
            <w:noWrap/>
            <w:vAlign w:val="center"/>
          </w:tcPr>
          <w:p w14:paraId="0E9DF60E" w14:textId="61D81A8F" w:rsidR="00FC0D58" w:rsidRPr="00FC0D58" w:rsidRDefault="33985B12" w:rsidP="33985B12">
            <w:pPr>
              <w:keepNext/>
              <w:keepLines/>
              <w:spacing w:after="0" w:line="240" w:lineRule="auto"/>
              <w:jc w:val="right"/>
              <w:rPr>
                <w:rFonts w:ascii="Times New Roman" w:eastAsia="Times New Roman" w:hAnsi="Times New Roman" w:cs="Times New Roman"/>
                <w:b/>
                <w:bCs/>
                <w:sz w:val="20"/>
                <w:szCs w:val="20"/>
                <w:lang w:eastAsia="hu-HU"/>
              </w:rPr>
            </w:pPr>
            <w:r w:rsidRPr="33985B12">
              <w:rPr>
                <w:rFonts w:ascii="Times New Roman" w:hAnsi="Times New Roman" w:cs="Times New Roman"/>
                <w:b/>
                <w:bCs/>
                <w:color w:val="000000" w:themeColor="text1"/>
                <w:sz w:val="20"/>
                <w:szCs w:val="20"/>
              </w:rPr>
              <w:t>124,1</w:t>
            </w:r>
          </w:p>
        </w:tc>
      </w:tr>
      <w:tr w:rsidR="00FC0D58" w:rsidRPr="00377D59" w14:paraId="66D88640" w14:textId="77777777" w:rsidTr="00081A16">
        <w:trPr>
          <w:trHeight w:val="340"/>
        </w:trPr>
        <w:tc>
          <w:tcPr>
            <w:tcW w:w="5382" w:type="dxa"/>
            <w:shd w:val="clear" w:color="auto" w:fill="auto"/>
            <w:vAlign w:val="center"/>
            <w:hideMark/>
          </w:tcPr>
          <w:p w14:paraId="4496E62C" w14:textId="77777777" w:rsidR="00FC0D58" w:rsidRPr="00976E1E" w:rsidRDefault="33985B12" w:rsidP="33985B12">
            <w:pPr>
              <w:keepNext/>
              <w:keepLines/>
              <w:spacing w:after="0" w:line="240" w:lineRule="auto"/>
              <w:rPr>
                <w:rFonts w:ascii="Times New Roman" w:eastAsia="Times New Roman" w:hAnsi="Times New Roman" w:cs="Times New Roman"/>
                <w:i/>
                <w:iCs/>
                <w:sz w:val="20"/>
                <w:szCs w:val="20"/>
                <w:lang w:eastAsia="hu-HU"/>
              </w:rPr>
            </w:pPr>
            <w:r w:rsidRPr="33985B12">
              <w:rPr>
                <w:rFonts w:ascii="Times New Roman" w:eastAsia="Times New Roman" w:hAnsi="Times New Roman" w:cs="Times New Roman"/>
                <w:i/>
                <w:iCs/>
                <w:sz w:val="20"/>
                <w:szCs w:val="20"/>
                <w:lang w:eastAsia="hu-HU"/>
              </w:rPr>
              <w:t>A helyi önkormányzatok működésének általános támogatása</w:t>
            </w:r>
          </w:p>
        </w:tc>
        <w:tc>
          <w:tcPr>
            <w:tcW w:w="1196" w:type="dxa"/>
            <w:shd w:val="clear" w:color="auto" w:fill="auto"/>
            <w:noWrap/>
            <w:vAlign w:val="center"/>
          </w:tcPr>
          <w:p w14:paraId="6C091267" w14:textId="5617B1BA" w:rsidR="00FC0D58" w:rsidRPr="00FC0D58" w:rsidRDefault="33985B12" w:rsidP="33985B12">
            <w:pPr>
              <w:keepNext/>
              <w:keepLines/>
              <w:spacing w:after="0" w:line="240" w:lineRule="auto"/>
              <w:jc w:val="right"/>
              <w:rPr>
                <w:rFonts w:ascii="Times New Roman" w:eastAsia="Times New Roman" w:hAnsi="Times New Roman" w:cs="Times New Roman"/>
                <w:i/>
                <w:iCs/>
                <w:sz w:val="20"/>
                <w:szCs w:val="20"/>
                <w:lang w:eastAsia="hu-HU"/>
              </w:rPr>
            </w:pPr>
            <w:r w:rsidRPr="33985B12">
              <w:rPr>
                <w:rFonts w:ascii="Times New Roman" w:hAnsi="Times New Roman" w:cs="Times New Roman"/>
                <w:color w:val="000000" w:themeColor="text1"/>
                <w:sz w:val="20"/>
                <w:szCs w:val="20"/>
              </w:rPr>
              <w:t>286,2</w:t>
            </w:r>
          </w:p>
        </w:tc>
        <w:tc>
          <w:tcPr>
            <w:tcW w:w="992" w:type="dxa"/>
            <w:shd w:val="clear" w:color="auto" w:fill="auto"/>
            <w:noWrap/>
            <w:vAlign w:val="center"/>
          </w:tcPr>
          <w:p w14:paraId="3313F341" w14:textId="2CC0F7FF" w:rsidR="00FC0D58" w:rsidRPr="00FC0D58" w:rsidRDefault="33985B12" w:rsidP="33985B12">
            <w:pPr>
              <w:keepNext/>
              <w:keepLines/>
              <w:spacing w:after="0" w:line="240" w:lineRule="auto"/>
              <w:jc w:val="right"/>
              <w:rPr>
                <w:rFonts w:ascii="Times New Roman" w:eastAsia="Times New Roman" w:hAnsi="Times New Roman" w:cs="Times New Roman"/>
                <w:i/>
                <w:iCs/>
                <w:sz w:val="20"/>
                <w:szCs w:val="20"/>
                <w:lang w:eastAsia="hu-HU"/>
              </w:rPr>
            </w:pPr>
            <w:r w:rsidRPr="33985B12">
              <w:rPr>
                <w:rFonts w:ascii="Times New Roman" w:hAnsi="Times New Roman" w:cs="Times New Roman"/>
                <w:color w:val="000000" w:themeColor="text1"/>
                <w:sz w:val="20"/>
                <w:szCs w:val="20"/>
              </w:rPr>
              <w:t>312,5</w:t>
            </w:r>
          </w:p>
        </w:tc>
        <w:tc>
          <w:tcPr>
            <w:tcW w:w="850" w:type="dxa"/>
            <w:shd w:val="clear" w:color="auto" w:fill="auto"/>
            <w:noWrap/>
            <w:vAlign w:val="center"/>
          </w:tcPr>
          <w:p w14:paraId="1F67C594" w14:textId="6F7F2BD1" w:rsidR="00FC0D58" w:rsidRPr="00FC0D58" w:rsidRDefault="33985B12" w:rsidP="33985B12">
            <w:pPr>
              <w:keepNext/>
              <w:keepLines/>
              <w:spacing w:after="0" w:line="240" w:lineRule="auto"/>
              <w:jc w:val="right"/>
              <w:rPr>
                <w:rFonts w:ascii="Times New Roman" w:eastAsia="Times New Roman" w:hAnsi="Times New Roman" w:cs="Times New Roman"/>
                <w:i/>
                <w:iCs/>
                <w:sz w:val="20"/>
                <w:szCs w:val="20"/>
                <w:lang w:eastAsia="hu-HU"/>
              </w:rPr>
            </w:pPr>
            <w:r w:rsidRPr="33985B12">
              <w:rPr>
                <w:rFonts w:ascii="Times New Roman" w:hAnsi="Times New Roman" w:cs="Times New Roman"/>
                <w:color w:val="000000" w:themeColor="text1"/>
                <w:sz w:val="20"/>
                <w:szCs w:val="20"/>
              </w:rPr>
              <w:t>26,3</w:t>
            </w:r>
          </w:p>
        </w:tc>
        <w:tc>
          <w:tcPr>
            <w:tcW w:w="851" w:type="dxa"/>
            <w:shd w:val="clear" w:color="auto" w:fill="auto"/>
            <w:noWrap/>
            <w:vAlign w:val="center"/>
          </w:tcPr>
          <w:p w14:paraId="6B1384BF" w14:textId="0C5D7C61" w:rsidR="00FC0D58" w:rsidRPr="00FC0D58" w:rsidRDefault="33985B12" w:rsidP="33985B12">
            <w:pPr>
              <w:keepNext/>
              <w:keepLines/>
              <w:spacing w:after="0" w:line="240" w:lineRule="auto"/>
              <w:jc w:val="right"/>
              <w:rPr>
                <w:rFonts w:ascii="Times New Roman" w:eastAsia="Times New Roman" w:hAnsi="Times New Roman" w:cs="Times New Roman"/>
                <w:i/>
                <w:iCs/>
                <w:sz w:val="20"/>
                <w:szCs w:val="20"/>
                <w:lang w:eastAsia="hu-HU"/>
              </w:rPr>
            </w:pPr>
            <w:r w:rsidRPr="33985B12">
              <w:rPr>
                <w:rFonts w:ascii="Times New Roman" w:hAnsi="Times New Roman" w:cs="Times New Roman"/>
                <w:color w:val="000000" w:themeColor="text1"/>
                <w:sz w:val="20"/>
                <w:szCs w:val="20"/>
              </w:rPr>
              <w:t>109,2</w:t>
            </w:r>
          </w:p>
        </w:tc>
      </w:tr>
      <w:tr w:rsidR="00FC0D58" w:rsidRPr="00377D59" w14:paraId="644FC967" w14:textId="77777777" w:rsidTr="00081A16">
        <w:trPr>
          <w:trHeight w:val="510"/>
        </w:trPr>
        <w:tc>
          <w:tcPr>
            <w:tcW w:w="5382" w:type="dxa"/>
            <w:shd w:val="clear" w:color="auto" w:fill="auto"/>
            <w:vAlign w:val="center"/>
            <w:hideMark/>
          </w:tcPr>
          <w:p w14:paraId="1BA330A0" w14:textId="77777777" w:rsidR="00FC0D58" w:rsidRPr="00976E1E" w:rsidRDefault="33985B12" w:rsidP="33985B12">
            <w:pPr>
              <w:keepNext/>
              <w:keepLines/>
              <w:spacing w:after="0" w:line="240" w:lineRule="auto"/>
              <w:rPr>
                <w:rFonts w:ascii="Times New Roman" w:eastAsia="Times New Roman" w:hAnsi="Times New Roman" w:cs="Times New Roman"/>
                <w:i/>
                <w:iCs/>
                <w:sz w:val="20"/>
                <w:szCs w:val="20"/>
                <w:lang w:eastAsia="hu-HU"/>
              </w:rPr>
            </w:pPr>
            <w:r w:rsidRPr="33985B12">
              <w:rPr>
                <w:rFonts w:ascii="Times New Roman" w:eastAsia="Times New Roman" w:hAnsi="Times New Roman" w:cs="Times New Roman"/>
                <w:i/>
                <w:iCs/>
                <w:sz w:val="20"/>
                <w:szCs w:val="20"/>
                <w:lang w:eastAsia="hu-HU"/>
              </w:rPr>
              <w:t>A települési önkormányzatok egyes köznevelési feladatainak támogatása</w:t>
            </w:r>
          </w:p>
        </w:tc>
        <w:tc>
          <w:tcPr>
            <w:tcW w:w="1196" w:type="dxa"/>
            <w:shd w:val="clear" w:color="auto" w:fill="auto"/>
            <w:noWrap/>
            <w:vAlign w:val="center"/>
          </w:tcPr>
          <w:p w14:paraId="5E8D28C3" w14:textId="3AED7CEA" w:rsidR="00FC0D58" w:rsidRPr="00FC0D58" w:rsidRDefault="33985B12" w:rsidP="33985B12">
            <w:pPr>
              <w:keepNext/>
              <w:keepLines/>
              <w:spacing w:after="0" w:line="240" w:lineRule="auto"/>
              <w:jc w:val="right"/>
              <w:rPr>
                <w:rFonts w:ascii="Times New Roman" w:eastAsia="Times New Roman" w:hAnsi="Times New Roman" w:cs="Times New Roman"/>
                <w:i/>
                <w:iCs/>
                <w:sz w:val="20"/>
                <w:szCs w:val="20"/>
                <w:lang w:eastAsia="hu-HU"/>
              </w:rPr>
            </w:pPr>
            <w:r w:rsidRPr="33985B12">
              <w:rPr>
                <w:rFonts w:ascii="Times New Roman" w:hAnsi="Times New Roman" w:cs="Times New Roman"/>
                <w:color w:val="000000" w:themeColor="text1"/>
                <w:sz w:val="20"/>
                <w:szCs w:val="20"/>
              </w:rPr>
              <w:t>242,2</w:t>
            </w:r>
          </w:p>
        </w:tc>
        <w:tc>
          <w:tcPr>
            <w:tcW w:w="992" w:type="dxa"/>
            <w:shd w:val="clear" w:color="auto" w:fill="auto"/>
            <w:noWrap/>
            <w:vAlign w:val="center"/>
          </w:tcPr>
          <w:p w14:paraId="6861BB58" w14:textId="34BE3B3B" w:rsidR="00FC0D58" w:rsidRPr="00FC0D58" w:rsidRDefault="33985B12" w:rsidP="33985B12">
            <w:pPr>
              <w:keepNext/>
              <w:keepLines/>
              <w:spacing w:after="0" w:line="240" w:lineRule="auto"/>
              <w:jc w:val="right"/>
              <w:rPr>
                <w:rFonts w:ascii="Times New Roman" w:eastAsia="Times New Roman" w:hAnsi="Times New Roman" w:cs="Times New Roman"/>
                <w:i/>
                <w:iCs/>
                <w:sz w:val="20"/>
                <w:szCs w:val="20"/>
                <w:lang w:eastAsia="hu-HU"/>
              </w:rPr>
            </w:pPr>
            <w:r w:rsidRPr="33985B12">
              <w:rPr>
                <w:rFonts w:ascii="Times New Roman" w:hAnsi="Times New Roman" w:cs="Times New Roman"/>
                <w:color w:val="000000" w:themeColor="text1"/>
                <w:sz w:val="20"/>
                <w:szCs w:val="20"/>
              </w:rPr>
              <w:t>355,2</w:t>
            </w:r>
          </w:p>
        </w:tc>
        <w:tc>
          <w:tcPr>
            <w:tcW w:w="850" w:type="dxa"/>
            <w:shd w:val="clear" w:color="auto" w:fill="auto"/>
            <w:noWrap/>
            <w:vAlign w:val="center"/>
          </w:tcPr>
          <w:p w14:paraId="085D1E80" w14:textId="07B74B4C" w:rsidR="00FC0D58" w:rsidRPr="00FC0D58" w:rsidRDefault="33985B12" w:rsidP="33985B12">
            <w:pPr>
              <w:keepNext/>
              <w:keepLines/>
              <w:spacing w:after="0" w:line="240" w:lineRule="auto"/>
              <w:jc w:val="right"/>
              <w:rPr>
                <w:rFonts w:ascii="Times New Roman" w:eastAsia="Times New Roman" w:hAnsi="Times New Roman" w:cs="Times New Roman"/>
                <w:i/>
                <w:iCs/>
                <w:sz w:val="20"/>
                <w:szCs w:val="20"/>
                <w:lang w:eastAsia="hu-HU"/>
              </w:rPr>
            </w:pPr>
            <w:r w:rsidRPr="33985B12">
              <w:rPr>
                <w:rFonts w:ascii="Times New Roman" w:hAnsi="Times New Roman" w:cs="Times New Roman"/>
                <w:color w:val="000000" w:themeColor="text1"/>
                <w:sz w:val="20"/>
                <w:szCs w:val="20"/>
              </w:rPr>
              <w:t>113,0</w:t>
            </w:r>
          </w:p>
        </w:tc>
        <w:tc>
          <w:tcPr>
            <w:tcW w:w="851" w:type="dxa"/>
            <w:shd w:val="clear" w:color="auto" w:fill="auto"/>
            <w:noWrap/>
            <w:vAlign w:val="center"/>
          </w:tcPr>
          <w:p w14:paraId="7767CDD1" w14:textId="5ED94C44" w:rsidR="00FC0D58" w:rsidRPr="00FC0D58" w:rsidRDefault="33985B12" w:rsidP="33985B12">
            <w:pPr>
              <w:keepNext/>
              <w:keepLines/>
              <w:spacing w:after="0" w:line="240" w:lineRule="auto"/>
              <w:jc w:val="right"/>
              <w:rPr>
                <w:rFonts w:ascii="Times New Roman" w:eastAsia="Times New Roman" w:hAnsi="Times New Roman" w:cs="Times New Roman"/>
                <w:i/>
                <w:iCs/>
                <w:sz w:val="20"/>
                <w:szCs w:val="20"/>
                <w:lang w:eastAsia="hu-HU"/>
              </w:rPr>
            </w:pPr>
            <w:r w:rsidRPr="33985B12">
              <w:rPr>
                <w:rFonts w:ascii="Times New Roman" w:hAnsi="Times New Roman" w:cs="Times New Roman"/>
                <w:color w:val="000000" w:themeColor="text1"/>
                <w:sz w:val="20"/>
                <w:szCs w:val="20"/>
              </w:rPr>
              <w:t>146,7</w:t>
            </w:r>
          </w:p>
        </w:tc>
      </w:tr>
      <w:tr w:rsidR="00FC0D58" w:rsidRPr="00377D59" w14:paraId="11F06AEB" w14:textId="77777777" w:rsidTr="00081A16">
        <w:trPr>
          <w:trHeight w:val="510"/>
        </w:trPr>
        <w:tc>
          <w:tcPr>
            <w:tcW w:w="5382" w:type="dxa"/>
            <w:shd w:val="clear" w:color="auto" w:fill="auto"/>
            <w:vAlign w:val="center"/>
            <w:hideMark/>
          </w:tcPr>
          <w:p w14:paraId="63EE65A2" w14:textId="77777777" w:rsidR="00FC0D58" w:rsidRPr="00976E1E" w:rsidRDefault="33985B12" w:rsidP="33985B12">
            <w:pPr>
              <w:keepNext/>
              <w:keepLines/>
              <w:spacing w:after="0" w:line="240" w:lineRule="auto"/>
              <w:rPr>
                <w:rFonts w:ascii="Times New Roman" w:eastAsia="Times New Roman" w:hAnsi="Times New Roman" w:cs="Times New Roman"/>
                <w:i/>
                <w:iCs/>
                <w:sz w:val="20"/>
                <w:szCs w:val="20"/>
                <w:lang w:eastAsia="hu-HU"/>
              </w:rPr>
            </w:pPr>
            <w:r w:rsidRPr="33985B12">
              <w:rPr>
                <w:rFonts w:ascii="Times New Roman" w:eastAsia="Times New Roman" w:hAnsi="Times New Roman" w:cs="Times New Roman"/>
                <w:i/>
                <w:iCs/>
                <w:sz w:val="20"/>
                <w:szCs w:val="20"/>
                <w:lang w:eastAsia="hu-HU"/>
              </w:rPr>
              <w:t>A települési önkormányzatok egyes szociális, gyermekjóléti és gyermekétkeztetési feladatainak támogatása</w:t>
            </w:r>
          </w:p>
        </w:tc>
        <w:tc>
          <w:tcPr>
            <w:tcW w:w="1196" w:type="dxa"/>
            <w:shd w:val="clear" w:color="auto" w:fill="auto"/>
            <w:noWrap/>
            <w:vAlign w:val="center"/>
          </w:tcPr>
          <w:p w14:paraId="4BBDE34C" w14:textId="77DBC275" w:rsidR="00FC0D58" w:rsidRPr="00FC0D58" w:rsidRDefault="33985B12" w:rsidP="33985B12">
            <w:pPr>
              <w:keepNext/>
              <w:keepLines/>
              <w:spacing w:after="0" w:line="240" w:lineRule="auto"/>
              <w:jc w:val="right"/>
              <w:rPr>
                <w:rFonts w:ascii="Times New Roman" w:eastAsia="Times New Roman" w:hAnsi="Times New Roman" w:cs="Times New Roman"/>
                <w:i/>
                <w:iCs/>
                <w:sz w:val="20"/>
                <w:szCs w:val="20"/>
                <w:lang w:eastAsia="hu-HU"/>
              </w:rPr>
            </w:pPr>
            <w:r w:rsidRPr="33985B12">
              <w:rPr>
                <w:rFonts w:ascii="Times New Roman" w:hAnsi="Times New Roman" w:cs="Times New Roman"/>
                <w:color w:val="000000" w:themeColor="text1"/>
                <w:sz w:val="20"/>
                <w:szCs w:val="20"/>
              </w:rPr>
              <w:t>350,5</w:t>
            </w:r>
          </w:p>
        </w:tc>
        <w:tc>
          <w:tcPr>
            <w:tcW w:w="992" w:type="dxa"/>
            <w:shd w:val="clear" w:color="auto" w:fill="auto"/>
            <w:noWrap/>
            <w:vAlign w:val="center"/>
          </w:tcPr>
          <w:p w14:paraId="4EC5C695" w14:textId="13128413" w:rsidR="00FC0D58" w:rsidRPr="00FC0D58" w:rsidRDefault="33985B12" w:rsidP="33985B12">
            <w:pPr>
              <w:keepNext/>
              <w:keepLines/>
              <w:spacing w:after="0" w:line="240" w:lineRule="auto"/>
              <w:jc w:val="right"/>
              <w:rPr>
                <w:rFonts w:ascii="Times New Roman" w:eastAsia="Times New Roman" w:hAnsi="Times New Roman" w:cs="Times New Roman"/>
                <w:i/>
                <w:iCs/>
                <w:sz w:val="20"/>
                <w:szCs w:val="20"/>
                <w:lang w:eastAsia="hu-HU"/>
              </w:rPr>
            </w:pPr>
            <w:r w:rsidRPr="33985B12">
              <w:rPr>
                <w:rFonts w:ascii="Times New Roman" w:hAnsi="Times New Roman" w:cs="Times New Roman"/>
                <w:color w:val="000000" w:themeColor="text1"/>
                <w:sz w:val="20"/>
                <w:szCs w:val="20"/>
              </w:rPr>
              <w:t>428,2</w:t>
            </w:r>
          </w:p>
        </w:tc>
        <w:tc>
          <w:tcPr>
            <w:tcW w:w="850" w:type="dxa"/>
            <w:shd w:val="clear" w:color="auto" w:fill="auto"/>
            <w:noWrap/>
            <w:vAlign w:val="center"/>
          </w:tcPr>
          <w:p w14:paraId="14601228" w14:textId="62DC9480" w:rsidR="00FC0D58" w:rsidRPr="00FC0D58" w:rsidRDefault="33985B12" w:rsidP="33985B12">
            <w:pPr>
              <w:keepNext/>
              <w:keepLines/>
              <w:spacing w:after="0" w:line="240" w:lineRule="auto"/>
              <w:jc w:val="right"/>
              <w:rPr>
                <w:rFonts w:ascii="Times New Roman" w:eastAsia="Times New Roman" w:hAnsi="Times New Roman" w:cs="Times New Roman"/>
                <w:i/>
                <w:iCs/>
                <w:sz w:val="20"/>
                <w:szCs w:val="20"/>
                <w:lang w:eastAsia="hu-HU"/>
              </w:rPr>
            </w:pPr>
            <w:r w:rsidRPr="33985B12">
              <w:rPr>
                <w:rFonts w:ascii="Times New Roman" w:hAnsi="Times New Roman" w:cs="Times New Roman"/>
                <w:color w:val="000000" w:themeColor="text1"/>
                <w:sz w:val="20"/>
                <w:szCs w:val="20"/>
              </w:rPr>
              <w:t>77,7</w:t>
            </w:r>
          </w:p>
        </w:tc>
        <w:tc>
          <w:tcPr>
            <w:tcW w:w="851" w:type="dxa"/>
            <w:shd w:val="clear" w:color="auto" w:fill="auto"/>
            <w:noWrap/>
            <w:vAlign w:val="center"/>
          </w:tcPr>
          <w:p w14:paraId="44A53BB5" w14:textId="1BDC91B8" w:rsidR="00FC0D58" w:rsidRPr="00FC0D58" w:rsidRDefault="33985B12" w:rsidP="33985B12">
            <w:pPr>
              <w:keepNext/>
              <w:keepLines/>
              <w:spacing w:after="0" w:line="240" w:lineRule="auto"/>
              <w:jc w:val="right"/>
              <w:rPr>
                <w:rFonts w:ascii="Times New Roman" w:eastAsia="Times New Roman" w:hAnsi="Times New Roman" w:cs="Times New Roman"/>
                <w:i/>
                <w:iCs/>
                <w:sz w:val="20"/>
                <w:szCs w:val="20"/>
                <w:lang w:eastAsia="hu-HU"/>
              </w:rPr>
            </w:pPr>
            <w:r w:rsidRPr="33985B12">
              <w:rPr>
                <w:rFonts w:ascii="Times New Roman" w:hAnsi="Times New Roman" w:cs="Times New Roman"/>
                <w:color w:val="000000" w:themeColor="text1"/>
                <w:sz w:val="20"/>
                <w:szCs w:val="20"/>
              </w:rPr>
              <w:t>122,2</w:t>
            </w:r>
          </w:p>
        </w:tc>
      </w:tr>
      <w:tr w:rsidR="00FC0D58" w:rsidRPr="00377D59" w14:paraId="1FC403F4" w14:textId="77777777" w:rsidTr="00081A16">
        <w:trPr>
          <w:trHeight w:val="340"/>
        </w:trPr>
        <w:tc>
          <w:tcPr>
            <w:tcW w:w="5382" w:type="dxa"/>
            <w:shd w:val="clear" w:color="auto" w:fill="auto"/>
            <w:vAlign w:val="center"/>
            <w:hideMark/>
          </w:tcPr>
          <w:p w14:paraId="4F427CE2" w14:textId="77777777" w:rsidR="00FC0D58" w:rsidRPr="00976E1E" w:rsidRDefault="33985B12" w:rsidP="33985B12">
            <w:pPr>
              <w:keepNext/>
              <w:keepLines/>
              <w:spacing w:after="0" w:line="240" w:lineRule="auto"/>
              <w:rPr>
                <w:rFonts w:ascii="Times New Roman" w:eastAsia="Times New Roman" w:hAnsi="Times New Roman" w:cs="Times New Roman"/>
                <w:i/>
                <w:iCs/>
                <w:sz w:val="20"/>
                <w:szCs w:val="20"/>
                <w:lang w:eastAsia="hu-HU"/>
              </w:rPr>
            </w:pPr>
            <w:r w:rsidRPr="33985B12">
              <w:rPr>
                <w:rFonts w:ascii="Times New Roman" w:eastAsia="Times New Roman" w:hAnsi="Times New Roman" w:cs="Times New Roman"/>
                <w:i/>
                <w:iCs/>
                <w:sz w:val="20"/>
                <w:szCs w:val="20"/>
                <w:lang w:eastAsia="hu-HU"/>
              </w:rPr>
              <w:t>A települési önkormányzatok kulturális feladatainak támogatása</w:t>
            </w:r>
          </w:p>
        </w:tc>
        <w:tc>
          <w:tcPr>
            <w:tcW w:w="1196" w:type="dxa"/>
            <w:shd w:val="clear" w:color="auto" w:fill="auto"/>
            <w:noWrap/>
            <w:vAlign w:val="center"/>
          </w:tcPr>
          <w:p w14:paraId="44BDB6D4" w14:textId="5B78AA04" w:rsidR="00FC0D58" w:rsidRPr="00FC0D58" w:rsidRDefault="33985B12" w:rsidP="33985B12">
            <w:pPr>
              <w:keepNext/>
              <w:keepLines/>
              <w:spacing w:after="0" w:line="240" w:lineRule="auto"/>
              <w:jc w:val="right"/>
              <w:rPr>
                <w:rFonts w:ascii="Times New Roman" w:eastAsia="Times New Roman" w:hAnsi="Times New Roman" w:cs="Times New Roman"/>
                <w:i/>
                <w:iCs/>
                <w:sz w:val="20"/>
                <w:szCs w:val="20"/>
                <w:lang w:eastAsia="hu-HU"/>
              </w:rPr>
            </w:pPr>
            <w:r w:rsidRPr="33985B12">
              <w:rPr>
                <w:rFonts w:ascii="Times New Roman" w:hAnsi="Times New Roman" w:cs="Times New Roman"/>
                <w:color w:val="000000" w:themeColor="text1"/>
                <w:sz w:val="20"/>
                <w:szCs w:val="20"/>
              </w:rPr>
              <w:t>22,6</w:t>
            </w:r>
          </w:p>
        </w:tc>
        <w:tc>
          <w:tcPr>
            <w:tcW w:w="992" w:type="dxa"/>
            <w:shd w:val="clear" w:color="auto" w:fill="auto"/>
            <w:noWrap/>
            <w:vAlign w:val="center"/>
          </w:tcPr>
          <w:p w14:paraId="3D1BBCDB" w14:textId="2F402266" w:rsidR="00FC0D58" w:rsidRPr="00FC0D58" w:rsidRDefault="33985B12" w:rsidP="33985B12">
            <w:pPr>
              <w:keepNext/>
              <w:keepLines/>
              <w:spacing w:after="0" w:line="240" w:lineRule="auto"/>
              <w:jc w:val="right"/>
              <w:rPr>
                <w:rFonts w:ascii="Times New Roman" w:eastAsia="Times New Roman" w:hAnsi="Times New Roman" w:cs="Times New Roman"/>
                <w:i/>
                <w:iCs/>
                <w:sz w:val="20"/>
                <w:szCs w:val="20"/>
                <w:lang w:eastAsia="hu-HU"/>
              </w:rPr>
            </w:pPr>
            <w:r w:rsidRPr="33985B12">
              <w:rPr>
                <w:rFonts w:ascii="Times New Roman" w:hAnsi="Times New Roman" w:cs="Times New Roman"/>
                <w:color w:val="000000" w:themeColor="text1"/>
                <w:sz w:val="20"/>
                <w:szCs w:val="20"/>
              </w:rPr>
              <w:t>22,6</w:t>
            </w:r>
          </w:p>
        </w:tc>
        <w:tc>
          <w:tcPr>
            <w:tcW w:w="850" w:type="dxa"/>
            <w:shd w:val="clear" w:color="auto" w:fill="auto"/>
            <w:noWrap/>
            <w:vAlign w:val="center"/>
          </w:tcPr>
          <w:p w14:paraId="6C28EF3A" w14:textId="12BF95F7" w:rsidR="00FC0D58" w:rsidRPr="00FC0D58" w:rsidRDefault="33985B12" w:rsidP="33985B12">
            <w:pPr>
              <w:keepNext/>
              <w:keepLines/>
              <w:spacing w:after="0" w:line="240" w:lineRule="auto"/>
              <w:jc w:val="right"/>
              <w:rPr>
                <w:rFonts w:ascii="Times New Roman" w:eastAsia="Times New Roman" w:hAnsi="Times New Roman" w:cs="Times New Roman"/>
                <w:i/>
                <w:iCs/>
                <w:sz w:val="20"/>
                <w:szCs w:val="20"/>
                <w:lang w:eastAsia="hu-HU"/>
              </w:rPr>
            </w:pPr>
            <w:r w:rsidRPr="33985B12">
              <w:rPr>
                <w:rFonts w:ascii="Times New Roman" w:hAnsi="Times New Roman" w:cs="Times New Roman"/>
                <w:color w:val="000000" w:themeColor="text1"/>
                <w:sz w:val="20"/>
                <w:szCs w:val="20"/>
              </w:rPr>
              <w:t>0,0</w:t>
            </w:r>
          </w:p>
        </w:tc>
        <w:tc>
          <w:tcPr>
            <w:tcW w:w="851" w:type="dxa"/>
            <w:shd w:val="clear" w:color="auto" w:fill="auto"/>
            <w:noWrap/>
            <w:vAlign w:val="center"/>
          </w:tcPr>
          <w:p w14:paraId="796E83D2" w14:textId="12011E2A" w:rsidR="00FC0D58" w:rsidRPr="00FC0D58" w:rsidRDefault="33985B12" w:rsidP="33985B12">
            <w:pPr>
              <w:keepNext/>
              <w:keepLines/>
              <w:spacing w:after="0" w:line="240" w:lineRule="auto"/>
              <w:jc w:val="right"/>
              <w:rPr>
                <w:rFonts w:ascii="Times New Roman" w:eastAsia="Times New Roman" w:hAnsi="Times New Roman" w:cs="Times New Roman"/>
                <w:i/>
                <w:iCs/>
                <w:sz w:val="20"/>
                <w:szCs w:val="20"/>
                <w:lang w:eastAsia="hu-HU"/>
              </w:rPr>
            </w:pPr>
            <w:r w:rsidRPr="33985B12">
              <w:rPr>
                <w:rFonts w:ascii="Times New Roman" w:hAnsi="Times New Roman" w:cs="Times New Roman"/>
                <w:color w:val="000000" w:themeColor="text1"/>
                <w:sz w:val="20"/>
                <w:szCs w:val="20"/>
              </w:rPr>
              <w:t>100,0</w:t>
            </w:r>
          </w:p>
        </w:tc>
      </w:tr>
      <w:tr w:rsidR="00FC0D58" w:rsidRPr="00377D59" w14:paraId="44EF96BF" w14:textId="77777777" w:rsidTr="00081A16">
        <w:trPr>
          <w:trHeight w:val="340"/>
        </w:trPr>
        <w:tc>
          <w:tcPr>
            <w:tcW w:w="5382" w:type="dxa"/>
            <w:shd w:val="clear" w:color="auto" w:fill="auto"/>
            <w:vAlign w:val="center"/>
            <w:hideMark/>
          </w:tcPr>
          <w:p w14:paraId="3DD87A70" w14:textId="766307B5" w:rsidR="00FC0D58" w:rsidRPr="00976E1E" w:rsidRDefault="33985B12" w:rsidP="33985B12">
            <w:pPr>
              <w:keepNext/>
              <w:keepLines/>
              <w:spacing w:after="0" w:line="240" w:lineRule="auto"/>
              <w:rPr>
                <w:rFonts w:ascii="Times New Roman" w:eastAsia="Times New Roman" w:hAnsi="Times New Roman" w:cs="Times New Roman"/>
                <w:b/>
                <w:bCs/>
                <w:sz w:val="20"/>
                <w:szCs w:val="20"/>
                <w:lang w:eastAsia="hu-HU"/>
              </w:rPr>
            </w:pPr>
            <w:r w:rsidRPr="33985B12">
              <w:rPr>
                <w:rFonts w:ascii="Times New Roman" w:eastAsia="Times New Roman" w:hAnsi="Times New Roman" w:cs="Times New Roman"/>
                <w:b/>
                <w:bCs/>
                <w:sz w:val="20"/>
                <w:szCs w:val="20"/>
                <w:lang w:eastAsia="hu-HU"/>
              </w:rPr>
              <w:t>Helyi önkormányzatok kiegészítő támogatása</w:t>
            </w:r>
          </w:p>
        </w:tc>
        <w:tc>
          <w:tcPr>
            <w:tcW w:w="1196" w:type="dxa"/>
            <w:shd w:val="clear" w:color="auto" w:fill="auto"/>
            <w:noWrap/>
            <w:vAlign w:val="center"/>
          </w:tcPr>
          <w:p w14:paraId="34DDE983" w14:textId="52CD27FC" w:rsidR="00FC0D58" w:rsidRPr="00FC0D58" w:rsidRDefault="33985B12" w:rsidP="00347F4F">
            <w:pPr>
              <w:keepNext/>
              <w:keepLines/>
              <w:spacing w:after="0" w:line="240" w:lineRule="auto"/>
              <w:jc w:val="right"/>
              <w:rPr>
                <w:rFonts w:ascii="Times New Roman" w:eastAsia="Times New Roman" w:hAnsi="Times New Roman" w:cs="Times New Roman"/>
                <w:b/>
                <w:bCs/>
                <w:sz w:val="20"/>
                <w:szCs w:val="20"/>
                <w:lang w:eastAsia="hu-HU"/>
              </w:rPr>
            </w:pPr>
            <w:r w:rsidRPr="33985B12">
              <w:rPr>
                <w:rFonts w:ascii="Times New Roman" w:hAnsi="Times New Roman" w:cs="Times New Roman"/>
                <w:b/>
                <w:bCs/>
                <w:sz w:val="20"/>
                <w:szCs w:val="20"/>
              </w:rPr>
              <w:t>17</w:t>
            </w:r>
            <w:r w:rsidR="00347F4F">
              <w:rPr>
                <w:rFonts w:ascii="Times New Roman" w:hAnsi="Times New Roman" w:cs="Times New Roman"/>
                <w:b/>
                <w:bCs/>
                <w:sz w:val="20"/>
                <w:szCs w:val="20"/>
              </w:rPr>
              <w:t>3</w:t>
            </w:r>
            <w:r w:rsidRPr="33985B12">
              <w:rPr>
                <w:rFonts w:ascii="Times New Roman" w:hAnsi="Times New Roman" w:cs="Times New Roman"/>
                <w:b/>
                <w:bCs/>
                <w:sz w:val="20"/>
                <w:szCs w:val="20"/>
              </w:rPr>
              <w:t>,</w:t>
            </w:r>
            <w:r w:rsidR="00347F4F">
              <w:rPr>
                <w:rFonts w:ascii="Times New Roman" w:hAnsi="Times New Roman" w:cs="Times New Roman"/>
                <w:b/>
                <w:bCs/>
                <w:sz w:val="20"/>
                <w:szCs w:val="20"/>
              </w:rPr>
              <w:t>0</w:t>
            </w:r>
          </w:p>
        </w:tc>
        <w:tc>
          <w:tcPr>
            <w:tcW w:w="992" w:type="dxa"/>
            <w:shd w:val="clear" w:color="auto" w:fill="auto"/>
            <w:noWrap/>
            <w:vAlign w:val="center"/>
          </w:tcPr>
          <w:p w14:paraId="405423BA" w14:textId="5252E102" w:rsidR="00FC0D58" w:rsidRPr="00FC0D58" w:rsidRDefault="33985B12" w:rsidP="33985B12">
            <w:pPr>
              <w:keepNext/>
              <w:keepLines/>
              <w:spacing w:after="0" w:line="240" w:lineRule="auto"/>
              <w:jc w:val="right"/>
              <w:rPr>
                <w:rFonts w:ascii="Times New Roman" w:eastAsia="Times New Roman" w:hAnsi="Times New Roman" w:cs="Times New Roman"/>
                <w:b/>
                <w:bCs/>
                <w:sz w:val="20"/>
                <w:szCs w:val="20"/>
                <w:lang w:eastAsia="hu-HU"/>
              </w:rPr>
            </w:pPr>
            <w:r w:rsidRPr="33985B12">
              <w:rPr>
                <w:rFonts w:ascii="Times New Roman" w:hAnsi="Times New Roman" w:cs="Times New Roman"/>
                <w:b/>
                <w:bCs/>
                <w:color w:val="000000" w:themeColor="text1"/>
                <w:sz w:val="20"/>
                <w:szCs w:val="20"/>
              </w:rPr>
              <w:t>111,3</w:t>
            </w:r>
          </w:p>
        </w:tc>
        <w:tc>
          <w:tcPr>
            <w:tcW w:w="850" w:type="dxa"/>
            <w:shd w:val="clear" w:color="auto" w:fill="auto"/>
            <w:noWrap/>
            <w:vAlign w:val="center"/>
          </w:tcPr>
          <w:p w14:paraId="76EB67F0" w14:textId="1D21C2BB" w:rsidR="00FC0D58" w:rsidRPr="00FC0D58" w:rsidRDefault="33985B12" w:rsidP="00347F4F">
            <w:pPr>
              <w:keepNext/>
              <w:keepLines/>
              <w:spacing w:after="0" w:line="240" w:lineRule="auto"/>
              <w:jc w:val="right"/>
              <w:rPr>
                <w:rFonts w:ascii="Times New Roman" w:eastAsia="Times New Roman" w:hAnsi="Times New Roman" w:cs="Times New Roman"/>
                <w:b/>
                <w:bCs/>
                <w:sz w:val="20"/>
                <w:szCs w:val="20"/>
                <w:lang w:eastAsia="hu-HU"/>
              </w:rPr>
            </w:pPr>
            <w:r w:rsidRPr="33985B12">
              <w:rPr>
                <w:rFonts w:ascii="Times New Roman" w:hAnsi="Times New Roman" w:cs="Times New Roman"/>
                <w:b/>
                <w:bCs/>
                <w:color w:val="000000" w:themeColor="text1"/>
                <w:sz w:val="20"/>
                <w:szCs w:val="20"/>
              </w:rPr>
              <w:t>-</w:t>
            </w:r>
            <w:r w:rsidR="00347F4F">
              <w:rPr>
                <w:rFonts w:ascii="Times New Roman" w:hAnsi="Times New Roman" w:cs="Times New Roman"/>
                <w:b/>
                <w:bCs/>
                <w:color w:val="000000" w:themeColor="text1"/>
                <w:sz w:val="20"/>
                <w:szCs w:val="20"/>
              </w:rPr>
              <w:t>61,7</w:t>
            </w:r>
          </w:p>
        </w:tc>
        <w:tc>
          <w:tcPr>
            <w:tcW w:w="851" w:type="dxa"/>
            <w:shd w:val="clear" w:color="auto" w:fill="auto"/>
            <w:noWrap/>
            <w:vAlign w:val="center"/>
          </w:tcPr>
          <w:p w14:paraId="3FFF6C6E" w14:textId="11A28C15" w:rsidR="00FC0D58" w:rsidRPr="00FC0D58" w:rsidRDefault="33985B12" w:rsidP="00347F4F">
            <w:pPr>
              <w:keepNext/>
              <w:keepLines/>
              <w:spacing w:after="0" w:line="240" w:lineRule="auto"/>
              <w:jc w:val="right"/>
              <w:rPr>
                <w:rFonts w:ascii="Times New Roman" w:eastAsia="Times New Roman" w:hAnsi="Times New Roman" w:cs="Times New Roman"/>
                <w:b/>
                <w:bCs/>
                <w:sz w:val="20"/>
                <w:szCs w:val="20"/>
                <w:lang w:eastAsia="hu-HU"/>
              </w:rPr>
            </w:pPr>
            <w:r w:rsidRPr="33985B12">
              <w:rPr>
                <w:rFonts w:ascii="Times New Roman" w:hAnsi="Times New Roman" w:cs="Times New Roman"/>
                <w:b/>
                <w:bCs/>
                <w:color w:val="000000" w:themeColor="text1"/>
                <w:sz w:val="20"/>
                <w:szCs w:val="20"/>
              </w:rPr>
              <w:t>64,</w:t>
            </w:r>
            <w:r w:rsidR="00347F4F">
              <w:rPr>
                <w:rFonts w:ascii="Times New Roman" w:hAnsi="Times New Roman" w:cs="Times New Roman"/>
                <w:b/>
                <w:bCs/>
                <w:color w:val="000000" w:themeColor="text1"/>
                <w:sz w:val="20"/>
                <w:szCs w:val="20"/>
              </w:rPr>
              <w:t>3</w:t>
            </w:r>
          </w:p>
        </w:tc>
      </w:tr>
      <w:tr w:rsidR="00FC0D58" w:rsidRPr="00377D59" w14:paraId="648C3F54" w14:textId="77777777" w:rsidTr="00081A16">
        <w:trPr>
          <w:trHeight w:val="340"/>
        </w:trPr>
        <w:tc>
          <w:tcPr>
            <w:tcW w:w="5382" w:type="dxa"/>
            <w:shd w:val="clear" w:color="auto" w:fill="auto"/>
            <w:vAlign w:val="center"/>
            <w:hideMark/>
          </w:tcPr>
          <w:p w14:paraId="3676EE9C" w14:textId="4925EF27" w:rsidR="00FC0D58" w:rsidRPr="00976E1E" w:rsidRDefault="33985B12" w:rsidP="33985B12">
            <w:pPr>
              <w:keepNext/>
              <w:keepLines/>
              <w:spacing w:after="0" w:line="240" w:lineRule="auto"/>
              <w:rPr>
                <w:rFonts w:ascii="Times New Roman" w:eastAsia="Times New Roman" w:hAnsi="Times New Roman" w:cs="Times New Roman"/>
                <w:b/>
                <w:bCs/>
                <w:sz w:val="20"/>
                <w:szCs w:val="20"/>
                <w:lang w:eastAsia="hu-HU"/>
              </w:rPr>
            </w:pPr>
            <w:r w:rsidRPr="33985B12">
              <w:rPr>
                <w:rFonts w:ascii="Times New Roman" w:eastAsia="Times New Roman" w:hAnsi="Times New Roman" w:cs="Times New Roman"/>
                <w:b/>
                <w:bCs/>
                <w:sz w:val="20"/>
                <w:szCs w:val="20"/>
                <w:lang w:eastAsia="hu-HU"/>
              </w:rPr>
              <w:t>Év közben létrejött új jogcímek kiadásai</w:t>
            </w:r>
          </w:p>
        </w:tc>
        <w:tc>
          <w:tcPr>
            <w:tcW w:w="1196" w:type="dxa"/>
            <w:shd w:val="clear" w:color="auto" w:fill="auto"/>
            <w:noWrap/>
            <w:vAlign w:val="center"/>
          </w:tcPr>
          <w:p w14:paraId="0BACAC9E" w14:textId="1C22BA4A" w:rsidR="00FC0D58" w:rsidRPr="00FC0D58" w:rsidRDefault="33985B12" w:rsidP="33985B12">
            <w:pPr>
              <w:keepNext/>
              <w:keepLines/>
              <w:spacing w:after="0" w:line="240" w:lineRule="auto"/>
              <w:jc w:val="right"/>
              <w:rPr>
                <w:rFonts w:ascii="Times New Roman" w:eastAsia="Times New Roman" w:hAnsi="Times New Roman" w:cs="Times New Roman"/>
                <w:b/>
                <w:bCs/>
                <w:sz w:val="20"/>
                <w:szCs w:val="20"/>
                <w:lang w:eastAsia="hu-HU"/>
              </w:rPr>
            </w:pPr>
            <w:r w:rsidRPr="33985B12">
              <w:rPr>
                <w:rFonts w:ascii="Times New Roman" w:hAnsi="Times New Roman" w:cs="Times New Roman"/>
                <w:b/>
                <w:bCs/>
                <w:color w:val="000000" w:themeColor="text1"/>
                <w:sz w:val="20"/>
                <w:szCs w:val="20"/>
              </w:rPr>
              <w:t>103,5</w:t>
            </w:r>
          </w:p>
        </w:tc>
        <w:tc>
          <w:tcPr>
            <w:tcW w:w="992" w:type="dxa"/>
            <w:shd w:val="clear" w:color="auto" w:fill="auto"/>
            <w:noWrap/>
            <w:vAlign w:val="center"/>
          </w:tcPr>
          <w:p w14:paraId="7A66E9FC" w14:textId="7DB54B8B" w:rsidR="00FC0D58" w:rsidRPr="00FC0D58" w:rsidRDefault="33985B12" w:rsidP="33985B12">
            <w:pPr>
              <w:keepNext/>
              <w:keepLines/>
              <w:spacing w:after="0" w:line="240" w:lineRule="auto"/>
              <w:jc w:val="right"/>
              <w:rPr>
                <w:rFonts w:ascii="Times New Roman" w:eastAsia="Times New Roman" w:hAnsi="Times New Roman" w:cs="Times New Roman"/>
                <w:b/>
                <w:bCs/>
                <w:sz w:val="20"/>
                <w:szCs w:val="20"/>
                <w:lang w:eastAsia="hu-HU"/>
              </w:rPr>
            </w:pPr>
            <w:r w:rsidRPr="33985B12">
              <w:rPr>
                <w:rFonts w:ascii="Times New Roman" w:hAnsi="Times New Roman" w:cs="Times New Roman"/>
                <w:b/>
                <w:bCs/>
                <w:color w:val="000000" w:themeColor="text1"/>
                <w:sz w:val="20"/>
                <w:szCs w:val="20"/>
              </w:rPr>
              <w:t>20,4</w:t>
            </w:r>
          </w:p>
        </w:tc>
        <w:tc>
          <w:tcPr>
            <w:tcW w:w="850" w:type="dxa"/>
            <w:shd w:val="clear" w:color="auto" w:fill="auto"/>
            <w:noWrap/>
            <w:vAlign w:val="center"/>
          </w:tcPr>
          <w:p w14:paraId="592B586A" w14:textId="7D418487" w:rsidR="00FC0D58" w:rsidRPr="00FC0D58" w:rsidRDefault="33985B12" w:rsidP="33985B12">
            <w:pPr>
              <w:keepNext/>
              <w:keepLines/>
              <w:spacing w:after="0" w:line="240" w:lineRule="auto"/>
              <w:jc w:val="right"/>
              <w:rPr>
                <w:rFonts w:ascii="Times New Roman" w:eastAsia="Times New Roman" w:hAnsi="Times New Roman" w:cs="Times New Roman"/>
                <w:b/>
                <w:bCs/>
                <w:sz w:val="20"/>
                <w:szCs w:val="20"/>
                <w:lang w:eastAsia="hu-HU"/>
              </w:rPr>
            </w:pPr>
            <w:r w:rsidRPr="33985B12">
              <w:rPr>
                <w:rFonts w:ascii="Times New Roman" w:hAnsi="Times New Roman" w:cs="Times New Roman"/>
                <w:b/>
                <w:bCs/>
                <w:color w:val="000000" w:themeColor="text1"/>
                <w:sz w:val="20"/>
                <w:szCs w:val="20"/>
              </w:rPr>
              <w:t>-83,1</w:t>
            </w:r>
          </w:p>
        </w:tc>
        <w:tc>
          <w:tcPr>
            <w:tcW w:w="851" w:type="dxa"/>
            <w:shd w:val="clear" w:color="auto" w:fill="auto"/>
            <w:noWrap/>
            <w:vAlign w:val="center"/>
          </w:tcPr>
          <w:p w14:paraId="6EEBBBB0" w14:textId="18B26B7F" w:rsidR="00FC0D58" w:rsidRPr="00FC0D58" w:rsidRDefault="33985B12" w:rsidP="33985B12">
            <w:pPr>
              <w:keepNext/>
              <w:keepLines/>
              <w:spacing w:after="0" w:line="240" w:lineRule="auto"/>
              <w:jc w:val="right"/>
              <w:rPr>
                <w:rFonts w:ascii="Times New Roman" w:eastAsia="Times New Roman" w:hAnsi="Times New Roman" w:cs="Times New Roman"/>
                <w:b/>
                <w:bCs/>
                <w:sz w:val="20"/>
                <w:szCs w:val="20"/>
                <w:lang w:eastAsia="hu-HU"/>
              </w:rPr>
            </w:pPr>
            <w:r w:rsidRPr="33985B12">
              <w:rPr>
                <w:rFonts w:ascii="Times New Roman" w:hAnsi="Times New Roman" w:cs="Times New Roman"/>
                <w:b/>
                <w:bCs/>
                <w:color w:val="000000" w:themeColor="text1"/>
                <w:sz w:val="20"/>
                <w:szCs w:val="20"/>
              </w:rPr>
              <w:t>19,7</w:t>
            </w:r>
          </w:p>
        </w:tc>
      </w:tr>
      <w:tr w:rsidR="00FC0D58" w:rsidRPr="00377D59" w14:paraId="60064293" w14:textId="77777777" w:rsidTr="00081A16">
        <w:trPr>
          <w:trHeight w:val="340"/>
        </w:trPr>
        <w:tc>
          <w:tcPr>
            <w:tcW w:w="5382" w:type="dxa"/>
            <w:shd w:val="clear" w:color="auto" w:fill="auto"/>
            <w:noWrap/>
            <w:vAlign w:val="center"/>
            <w:hideMark/>
          </w:tcPr>
          <w:p w14:paraId="73666509" w14:textId="770E1DDA" w:rsidR="00FC0D58" w:rsidRPr="00976E1E" w:rsidRDefault="33985B12" w:rsidP="33985B12">
            <w:pPr>
              <w:widowControl w:val="0"/>
              <w:spacing w:after="0" w:line="240" w:lineRule="auto"/>
              <w:rPr>
                <w:rFonts w:ascii="Times New Roman" w:eastAsia="Times New Roman" w:hAnsi="Times New Roman" w:cs="Times New Roman"/>
                <w:b/>
                <w:bCs/>
                <w:sz w:val="20"/>
                <w:szCs w:val="20"/>
                <w:lang w:eastAsia="hu-HU"/>
              </w:rPr>
            </w:pPr>
            <w:r w:rsidRPr="33985B12">
              <w:rPr>
                <w:rFonts w:ascii="Times New Roman" w:eastAsia="Times New Roman" w:hAnsi="Times New Roman" w:cs="Times New Roman"/>
                <w:b/>
                <w:bCs/>
                <w:sz w:val="20"/>
                <w:szCs w:val="20"/>
                <w:lang w:eastAsia="hu-HU"/>
              </w:rPr>
              <w:t>Összesen</w:t>
            </w:r>
          </w:p>
        </w:tc>
        <w:tc>
          <w:tcPr>
            <w:tcW w:w="1196" w:type="dxa"/>
            <w:shd w:val="clear" w:color="auto" w:fill="auto"/>
            <w:noWrap/>
            <w:vAlign w:val="center"/>
          </w:tcPr>
          <w:p w14:paraId="3A3EFD36" w14:textId="2EE3C401" w:rsidR="00FC0D58" w:rsidRPr="00FC0D58" w:rsidRDefault="33985B12" w:rsidP="33985B12">
            <w:pPr>
              <w:keepNext/>
              <w:keepLines/>
              <w:spacing w:after="0" w:line="240" w:lineRule="auto"/>
              <w:jc w:val="right"/>
              <w:rPr>
                <w:rFonts w:ascii="Times New Roman" w:eastAsia="Times New Roman" w:hAnsi="Times New Roman" w:cs="Times New Roman"/>
                <w:b/>
                <w:bCs/>
                <w:sz w:val="20"/>
                <w:szCs w:val="20"/>
                <w:lang w:eastAsia="hu-HU"/>
              </w:rPr>
            </w:pPr>
            <w:r w:rsidRPr="33985B12">
              <w:rPr>
                <w:rFonts w:ascii="Times New Roman" w:hAnsi="Times New Roman" w:cs="Times New Roman"/>
                <w:b/>
                <w:bCs/>
                <w:color w:val="000000" w:themeColor="text1"/>
                <w:sz w:val="20"/>
                <w:szCs w:val="20"/>
              </w:rPr>
              <w:t>1</w:t>
            </w:r>
            <w:r w:rsidR="00C326EB">
              <w:rPr>
                <w:rFonts w:ascii="Times New Roman" w:hAnsi="Times New Roman" w:cs="Times New Roman"/>
                <w:b/>
                <w:bCs/>
                <w:color w:val="000000" w:themeColor="text1"/>
                <w:sz w:val="20"/>
                <w:szCs w:val="20"/>
              </w:rPr>
              <w:t> </w:t>
            </w:r>
            <w:r w:rsidR="00347F4F">
              <w:rPr>
                <w:rFonts w:ascii="Times New Roman" w:hAnsi="Times New Roman" w:cs="Times New Roman"/>
                <w:b/>
                <w:bCs/>
                <w:color w:val="000000" w:themeColor="text1"/>
                <w:sz w:val="20"/>
                <w:szCs w:val="20"/>
              </w:rPr>
              <w:t>178,0</w:t>
            </w:r>
          </w:p>
        </w:tc>
        <w:tc>
          <w:tcPr>
            <w:tcW w:w="992" w:type="dxa"/>
            <w:shd w:val="clear" w:color="auto" w:fill="auto"/>
            <w:noWrap/>
            <w:vAlign w:val="center"/>
          </w:tcPr>
          <w:p w14:paraId="1D84CCAC" w14:textId="0873E214" w:rsidR="00FC0D58" w:rsidRPr="00FC0D58" w:rsidRDefault="33985B12" w:rsidP="33985B12">
            <w:pPr>
              <w:keepNext/>
              <w:keepLines/>
              <w:spacing w:after="0" w:line="240" w:lineRule="auto"/>
              <w:jc w:val="right"/>
              <w:rPr>
                <w:rFonts w:ascii="Times New Roman" w:eastAsia="Times New Roman" w:hAnsi="Times New Roman" w:cs="Times New Roman"/>
                <w:b/>
                <w:bCs/>
                <w:sz w:val="20"/>
                <w:szCs w:val="20"/>
                <w:lang w:eastAsia="hu-HU"/>
              </w:rPr>
            </w:pPr>
            <w:r w:rsidRPr="33985B12">
              <w:rPr>
                <w:rFonts w:ascii="Times New Roman" w:hAnsi="Times New Roman" w:cs="Times New Roman"/>
                <w:b/>
                <w:bCs/>
                <w:color w:val="000000" w:themeColor="text1"/>
                <w:sz w:val="20"/>
                <w:szCs w:val="20"/>
              </w:rPr>
              <w:t>1</w:t>
            </w:r>
            <w:r w:rsidR="00C326EB">
              <w:rPr>
                <w:rFonts w:ascii="Times New Roman" w:hAnsi="Times New Roman" w:cs="Times New Roman"/>
                <w:b/>
                <w:bCs/>
                <w:color w:val="000000" w:themeColor="text1"/>
                <w:sz w:val="20"/>
                <w:szCs w:val="20"/>
              </w:rPr>
              <w:t> </w:t>
            </w:r>
            <w:r w:rsidRPr="33985B12">
              <w:rPr>
                <w:rFonts w:ascii="Times New Roman" w:hAnsi="Times New Roman" w:cs="Times New Roman"/>
                <w:b/>
                <w:bCs/>
                <w:color w:val="000000" w:themeColor="text1"/>
                <w:sz w:val="20"/>
                <w:szCs w:val="20"/>
              </w:rPr>
              <w:t>250,2</w:t>
            </w:r>
          </w:p>
        </w:tc>
        <w:tc>
          <w:tcPr>
            <w:tcW w:w="850" w:type="dxa"/>
            <w:shd w:val="clear" w:color="auto" w:fill="auto"/>
            <w:noWrap/>
            <w:vAlign w:val="center"/>
          </w:tcPr>
          <w:p w14:paraId="0AACA3FA" w14:textId="3E56FCBE" w:rsidR="00FC0D58" w:rsidRPr="00FC0D58" w:rsidRDefault="00347F4F" w:rsidP="33985B12">
            <w:pPr>
              <w:keepNext/>
              <w:keepLines/>
              <w:spacing w:after="0" w:line="240" w:lineRule="auto"/>
              <w:jc w:val="right"/>
              <w:rPr>
                <w:rFonts w:ascii="Times New Roman" w:eastAsia="Times New Roman" w:hAnsi="Times New Roman" w:cs="Times New Roman"/>
                <w:b/>
                <w:bCs/>
                <w:sz w:val="20"/>
                <w:szCs w:val="20"/>
                <w:lang w:eastAsia="hu-HU"/>
              </w:rPr>
            </w:pPr>
            <w:r>
              <w:rPr>
                <w:rFonts w:ascii="Times New Roman" w:hAnsi="Times New Roman" w:cs="Times New Roman"/>
                <w:b/>
                <w:bCs/>
                <w:color w:val="000000" w:themeColor="text1"/>
                <w:sz w:val="20"/>
                <w:szCs w:val="20"/>
              </w:rPr>
              <w:t>72,2</w:t>
            </w:r>
          </w:p>
        </w:tc>
        <w:tc>
          <w:tcPr>
            <w:tcW w:w="851" w:type="dxa"/>
            <w:shd w:val="clear" w:color="auto" w:fill="auto"/>
            <w:noWrap/>
            <w:vAlign w:val="center"/>
          </w:tcPr>
          <w:p w14:paraId="1C1B57DC" w14:textId="18E1F486" w:rsidR="00FC0D58" w:rsidRPr="00FC0D58" w:rsidRDefault="00347F4F" w:rsidP="33985B12">
            <w:pPr>
              <w:keepNext/>
              <w:keepLines/>
              <w:spacing w:after="0" w:line="240" w:lineRule="auto"/>
              <w:jc w:val="right"/>
              <w:rPr>
                <w:rFonts w:ascii="Times New Roman" w:eastAsia="Times New Roman" w:hAnsi="Times New Roman" w:cs="Times New Roman"/>
                <w:b/>
                <w:bCs/>
                <w:sz w:val="20"/>
                <w:szCs w:val="20"/>
                <w:lang w:eastAsia="hu-HU"/>
              </w:rPr>
            </w:pPr>
            <w:r>
              <w:rPr>
                <w:rFonts w:ascii="Times New Roman" w:hAnsi="Times New Roman" w:cs="Times New Roman"/>
                <w:b/>
                <w:bCs/>
                <w:color w:val="000000" w:themeColor="text1"/>
                <w:sz w:val="20"/>
                <w:szCs w:val="20"/>
              </w:rPr>
              <w:t>106,1</w:t>
            </w:r>
          </w:p>
        </w:tc>
      </w:tr>
    </w:tbl>
    <w:p w14:paraId="5DF2D658" w14:textId="391E158C" w:rsidR="74B9DF17" w:rsidRDefault="33985B12" w:rsidP="247593E9">
      <w:pPr>
        <w:spacing w:before="240"/>
        <w:jc w:val="both"/>
      </w:pPr>
      <w:r w:rsidRPr="33985B12">
        <w:rPr>
          <w:rFonts w:ascii="Times New Roman" w:eastAsia="Times New Roman" w:hAnsi="Times New Roman" w:cs="Times New Roman"/>
          <w:sz w:val="26"/>
          <w:szCs w:val="26"/>
        </w:rPr>
        <w:t xml:space="preserve">Az </w:t>
      </w:r>
      <w:r w:rsidRPr="33985B12">
        <w:rPr>
          <w:rFonts w:ascii="Times New Roman" w:eastAsia="Times New Roman" w:hAnsi="Times New Roman" w:cs="Times New Roman"/>
          <w:b/>
          <w:bCs/>
          <w:sz w:val="26"/>
          <w:szCs w:val="26"/>
        </w:rPr>
        <w:t>Uniós programok kiadásai</w:t>
      </w:r>
      <w:r w:rsidRPr="33985B12">
        <w:rPr>
          <w:rFonts w:ascii="Times New Roman" w:eastAsia="Times New Roman" w:hAnsi="Times New Roman" w:cs="Times New Roman"/>
          <w:i/>
          <w:iCs/>
          <w:sz w:val="26"/>
          <w:szCs w:val="26"/>
        </w:rPr>
        <w:t xml:space="preserve"> </w:t>
      </w:r>
      <w:r w:rsidRPr="33985B12">
        <w:rPr>
          <w:rFonts w:ascii="Times New Roman" w:eastAsia="Times New Roman" w:hAnsi="Times New Roman" w:cs="Times New Roman"/>
          <w:sz w:val="26"/>
          <w:szCs w:val="26"/>
        </w:rPr>
        <w:t>mérlegsoron 2024</w:t>
      </w:r>
      <w:r w:rsidR="007D0565">
        <w:rPr>
          <w:rFonts w:ascii="Times New Roman" w:eastAsia="Times New Roman" w:hAnsi="Times New Roman" w:cs="Times New Roman"/>
          <w:sz w:val="26"/>
          <w:szCs w:val="26"/>
        </w:rPr>
        <w:t xml:space="preserve">-ben </w:t>
      </w:r>
      <w:r w:rsidRPr="33985B12">
        <w:rPr>
          <w:rFonts w:ascii="Times New Roman" w:eastAsia="Times New Roman" w:hAnsi="Times New Roman" w:cs="Times New Roman"/>
          <w:sz w:val="26"/>
          <w:szCs w:val="26"/>
        </w:rPr>
        <w:t>1</w:t>
      </w:r>
      <w:r w:rsidR="007D0565">
        <w:rPr>
          <w:rFonts w:ascii="Times New Roman" w:eastAsia="Times New Roman" w:hAnsi="Times New Roman" w:cs="Times New Roman"/>
          <w:sz w:val="26"/>
          <w:szCs w:val="26"/>
        </w:rPr>
        <w:t> </w:t>
      </w:r>
      <w:r w:rsidRPr="33985B12">
        <w:rPr>
          <w:rFonts w:ascii="Times New Roman" w:eastAsia="Times New Roman" w:hAnsi="Times New Roman" w:cs="Times New Roman"/>
          <w:sz w:val="26"/>
          <w:szCs w:val="26"/>
        </w:rPr>
        <w:t>516,1 milliárd forint összegű kifizetés történt, amely a törvényi előirányzat (3</w:t>
      </w:r>
      <w:r w:rsidR="007D0565">
        <w:rPr>
          <w:rFonts w:ascii="Times New Roman" w:eastAsia="Times New Roman" w:hAnsi="Times New Roman" w:cs="Times New Roman"/>
          <w:sz w:val="26"/>
          <w:szCs w:val="26"/>
        </w:rPr>
        <w:t> </w:t>
      </w:r>
      <w:r w:rsidRPr="33985B12">
        <w:rPr>
          <w:rFonts w:ascii="Times New Roman" w:eastAsia="Times New Roman" w:hAnsi="Times New Roman" w:cs="Times New Roman"/>
          <w:sz w:val="26"/>
          <w:szCs w:val="26"/>
        </w:rPr>
        <w:t>605,8 milliárd forint) 42,0%-os teljesítését jelenti. A felmerült kiadások túlnyomó részét a 2021-2027-es Széchenyi Plusz programjai adták.</w:t>
      </w:r>
    </w:p>
    <w:p w14:paraId="6ABC464B" w14:textId="1DE79AFA" w:rsidR="74B9DF17" w:rsidRDefault="33985B12" w:rsidP="777ECC86">
      <w:pPr>
        <w:spacing w:before="160"/>
        <w:jc w:val="both"/>
      </w:pPr>
      <w:r w:rsidRPr="33985B12">
        <w:rPr>
          <w:rFonts w:ascii="Times New Roman" w:eastAsia="Times New Roman" w:hAnsi="Times New Roman" w:cs="Times New Roman"/>
          <w:sz w:val="26"/>
          <w:szCs w:val="26"/>
        </w:rPr>
        <w:t>A legnagyobb összegű kifizetéseket ezen időszakban a Széchenyi Terv Plusz operatív programok közül az Emberi Erőforrás Fejlesztési OP Plusz (EFOP Plusz) és a Gazdaságfejlesztés és Innovációs OP (GINOP Plusz) teljesítette. Kiemelkedők továbbá a Vidékfejlesztési Program és a KAP Stratégiai Terv Vidékfejlesztési Intézkedéseinek kifizetése.</w:t>
      </w:r>
    </w:p>
    <w:p w14:paraId="0EE0B389" w14:textId="10D541DF" w:rsidR="029C2633" w:rsidRPr="00026266" w:rsidRDefault="33985B12" w:rsidP="33985B12">
      <w:pPr>
        <w:jc w:val="both"/>
        <w:rPr>
          <w:rFonts w:ascii="Times New Roman" w:eastAsia="Times New Roman" w:hAnsi="Times New Roman" w:cs="Times New Roman"/>
          <w:sz w:val="26"/>
          <w:szCs w:val="26"/>
        </w:rPr>
      </w:pPr>
      <w:r w:rsidRPr="33985B12">
        <w:rPr>
          <w:rFonts w:ascii="Times New Roman" w:eastAsia="Times New Roman" w:hAnsi="Times New Roman" w:cs="Times New Roman"/>
          <w:sz w:val="26"/>
          <w:szCs w:val="26"/>
        </w:rPr>
        <w:t xml:space="preserve">Az </w:t>
      </w:r>
      <w:r w:rsidRPr="33985B12">
        <w:rPr>
          <w:rFonts w:ascii="Times New Roman" w:eastAsia="Times New Roman" w:hAnsi="Times New Roman" w:cs="Times New Roman"/>
          <w:b/>
          <w:bCs/>
          <w:sz w:val="26"/>
          <w:szCs w:val="26"/>
        </w:rPr>
        <w:t>állami vagyonnal kapcsolatos kiadások</w:t>
      </w:r>
      <w:r w:rsidRPr="33985B12">
        <w:rPr>
          <w:rFonts w:ascii="Times New Roman" w:eastAsia="Times New Roman" w:hAnsi="Times New Roman" w:cs="Times New Roman"/>
          <w:sz w:val="26"/>
          <w:szCs w:val="26"/>
        </w:rPr>
        <w:t xml:space="preserve"> 2024. évi összege 962,3 milliárd forint volt, amelynek meghatározó része tőkeemelésként került kifizetésre. </w:t>
      </w:r>
    </w:p>
    <w:p w14:paraId="4D36018A" w14:textId="6DF4C4A6" w:rsidR="000B49AE" w:rsidRPr="00377D59" w:rsidRDefault="008E5513" w:rsidP="000B49AE">
      <w:pPr>
        <w:spacing w:before="240" w:after="120" w:line="240" w:lineRule="auto"/>
        <w:jc w:val="center"/>
        <w:rPr>
          <w:rFonts w:ascii="Times New Roman" w:eastAsia="Times New Roman" w:hAnsi="Times New Roman" w:cs="Times New Roman"/>
          <w:b/>
          <w:bCs/>
          <w:sz w:val="26"/>
          <w:szCs w:val="26"/>
        </w:rPr>
      </w:pPr>
      <w:r>
        <w:rPr>
          <w:noProof/>
          <w:lang w:eastAsia="hu-HU"/>
        </w:rPr>
        <w:lastRenderedPageBreak/>
        <w:drawing>
          <wp:inline distT="0" distB="0" distL="0" distR="0" wp14:anchorId="62290BD0" wp14:editId="693B952C">
            <wp:extent cx="5231298" cy="3190225"/>
            <wp:effectExtent l="0" t="0" r="7620" b="0"/>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247738" cy="3200251"/>
                    </a:xfrm>
                    <a:prstGeom prst="rect">
                      <a:avLst/>
                    </a:prstGeom>
                  </pic:spPr>
                </pic:pic>
              </a:graphicData>
            </a:graphic>
          </wp:inline>
        </w:drawing>
      </w:r>
    </w:p>
    <w:p w14:paraId="030326D3" w14:textId="38F05521" w:rsidR="5B67C7D7" w:rsidRPr="00377D59" w:rsidRDefault="33985B12" w:rsidP="33985B12">
      <w:pPr>
        <w:jc w:val="both"/>
        <w:rPr>
          <w:rFonts w:ascii="Times New Roman" w:eastAsia="Times New Roman" w:hAnsi="Times New Roman" w:cs="Times New Roman"/>
          <w:sz w:val="26"/>
          <w:szCs w:val="26"/>
        </w:rPr>
      </w:pPr>
      <w:r w:rsidRPr="33985B12">
        <w:rPr>
          <w:rFonts w:ascii="Times New Roman" w:eastAsia="Times New Roman" w:hAnsi="Times New Roman" w:cs="Times New Roman"/>
          <w:sz w:val="26"/>
          <w:szCs w:val="26"/>
        </w:rPr>
        <w:t xml:space="preserve">Az </w:t>
      </w:r>
      <w:r w:rsidRPr="33985B12">
        <w:rPr>
          <w:rFonts w:ascii="Times New Roman" w:eastAsia="Times New Roman" w:hAnsi="Times New Roman" w:cs="Times New Roman"/>
          <w:b/>
          <w:bCs/>
          <w:sz w:val="26"/>
          <w:szCs w:val="26"/>
        </w:rPr>
        <w:t xml:space="preserve">állami beruházási fejezet kiadásait </w:t>
      </w:r>
      <w:r w:rsidRPr="33985B12">
        <w:rPr>
          <w:rFonts w:ascii="Times New Roman" w:eastAsia="Times New Roman" w:hAnsi="Times New Roman" w:cs="Times New Roman"/>
          <w:sz w:val="26"/>
          <w:szCs w:val="26"/>
        </w:rPr>
        <w:t>alapvetően az egyes projektek előrehaladása határozza meg</w:t>
      </w:r>
      <w:r w:rsidR="00153722">
        <w:rPr>
          <w:rFonts w:ascii="Times New Roman" w:eastAsia="Times New Roman" w:hAnsi="Times New Roman" w:cs="Times New Roman"/>
          <w:sz w:val="26"/>
          <w:szCs w:val="26"/>
        </w:rPr>
        <w:t>.</w:t>
      </w:r>
      <w:r w:rsidRPr="33985B12">
        <w:rPr>
          <w:rFonts w:ascii="Times New Roman" w:eastAsia="Times New Roman" w:hAnsi="Times New Roman" w:cs="Times New Roman"/>
          <w:sz w:val="26"/>
          <w:szCs w:val="26"/>
        </w:rPr>
        <w:t xml:space="preserve"> </w:t>
      </w:r>
      <w:r w:rsidR="00B95AD8">
        <w:rPr>
          <w:rFonts w:ascii="Times New Roman" w:eastAsia="Times New Roman" w:hAnsi="Times New Roman" w:cs="Times New Roman"/>
          <w:sz w:val="26"/>
          <w:szCs w:val="26"/>
        </w:rPr>
        <w:t>A 2024. évben</w:t>
      </w:r>
      <w:r w:rsidRPr="33985B12">
        <w:rPr>
          <w:rFonts w:ascii="Times New Roman" w:eastAsia="Times New Roman" w:hAnsi="Times New Roman" w:cs="Times New Roman"/>
          <w:sz w:val="26"/>
          <w:szCs w:val="26"/>
        </w:rPr>
        <w:t xml:space="preserve"> 645,0</w:t>
      </w:r>
      <w:r w:rsidR="008C3359">
        <w:rPr>
          <w:rFonts w:ascii="Times New Roman" w:eastAsia="Times New Roman" w:hAnsi="Times New Roman" w:cs="Times New Roman"/>
          <w:sz w:val="26"/>
          <w:szCs w:val="26"/>
        </w:rPr>
        <w:t> </w:t>
      </w:r>
      <w:r w:rsidRPr="33985B12">
        <w:rPr>
          <w:rFonts w:ascii="Times New Roman" w:eastAsia="Times New Roman" w:hAnsi="Times New Roman" w:cs="Times New Roman"/>
          <w:sz w:val="26"/>
          <w:szCs w:val="26"/>
        </w:rPr>
        <w:t>milliárd forint kiadá</w:t>
      </w:r>
      <w:r w:rsidR="008C3359">
        <w:rPr>
          <w:rFonts w:ascii="Times New Roman" w:eastAsia="Times New Roman" w:hAnsi="Times New Roman" w:cs="Times New Roman"/>
          <w:sz w:val="26"/>
          <w:szCs w:val="26"/>
        </w:rPr>
        <w:t>s teljesült, amely alacsonyabb a 2023 </w:t>
      </w:r>
      <w:r w:rsidRPr="33985B12">
        <w:rPr>
          <w:rFonts w:ascii="Times New Roman" w:eastAsia="Times New Roman" w:hAnsi="Times New Roman" w:cs="Times New Roman"/>
          <w:sz w:val="26"/>
          <w:szCs w:val="26"/>
        </w:rPr>
        <w:t>azonos időszakában teljesültekhez képest. A kifizetések nagy része az állami közútfejlesztési beruházásokhoz (343,3 milliárd forint), az európai uniós forrásokból me</w:t>
      </w:r>
      <w:r w:rsidR="00B95AD8">
        <w:rPr>
          <w:rFonts w:ascii="Times New Roman" w:eastAsia="Times New Roman" w:hAnsi="Times New Roman" w:cs="Times New Roman"/>
          <w:sz w:val="26"/>
          <w:szCs w:val="26"/>
        </w:rPr>
        <w:t>gvalósuló beruházásokhoz (155</w:t>
      </w:r>
      <w:r w:rsidR="0002105A">
        <w:rPr>
          <w:rFonts w:ascii="Times New Roman" w:eastAsia="Times New Roman" w:hAnsi="Times New Roman" w:cs="Times New Roman"/>
          <w:sz w:val="26"/>
          <w:szCs w:val="26"/>
        </w:rPr>
        <w:t>,4</w:t>
      </w:r>
      <w:r w:rsidR="00A349BC">
        <w:rPr>
          <w:rFonts w:ascii="Times New Roman" w:eastAsia="Times New Roman" w:hAnsi="Times New Roman" w:cs="Times New Roman"/>
          <w:sz w:val="26"/>
          <w:szCs w:val="26"/>
        </w:rPr>
        <w:t> </w:t>
      </w:r>
      <w:r w:rsidRPr="33985B12">
        <w:rPr>
          <w:rFonts w:ascii="Times New Roman" w:eastAsia="Times New Roman" w:hAnsi="Times New Roman" w:cs="Times New Roman"/>
          <w:sz w:val="26"/>
          <w:szCs w:val="26"/>
        </w:rPr>
        <w:t>milliárd</w:t>
      </w:r>
      <w:r w:rsidR="00A349BC">
        <w:rPr>
          <w:rFonts w:ascii="Times New Roman" w:eastAsia="Times New Roman" w:hAnsi="Times New Roman" w:cs="Times New Roman"/>
          <w:sz w:val="26"/>
          <w:szCs w:val="26"/>
        </w:rPr>
        <w:t> </w:t>
      </w:r>
      <w:r w:rsidRPr="33985B12">
        <w:rPr>
          <w:rFonts w:ascii="Times New Roman" w:eastAsia="Times New Roman" w:hAnsi="Times New Roman" w:cs="Times New Roman"/>
          <w:sz w:val="26"/>
          <w:szCs w:val="26"/>
        </w:rPr>
        <w:t>forint) és az egyedi magasépítési beruházásokhoz (128,7</w:t>
      </w:r>
      <w:r w:rsidR="008C3359">
        <w:rPr>
          <w:rFonts w:ascii="Times New Roman" w:eastAsia="Times New Roman" w:hAnsi="Times New Roman" w:cs="Times New Roman"/>
          <w:sz w:val="26"/>
          <w:szCs w:val="26"/>
        </w:rPr>
        <w:t> </w:t>
      </w:r>
      <w:r w:rsidRPr="33985B12">
        <w:rPr>
          <w:rFonts w:ascii="Times New Roman" w:eastAsia="Times New Roman" w:hAnsi="Times New Roman" w:cs="Times New Roman"/>
          <w:sz w:val="26"/>
          <w:szCs w:val="26"/>
        </w:rPr>
        <w:t>milliárd forint) kapcsolódtak</w:t>
      </w:r>
      <w:r w:rsidRPr="33985B12">
        <w:rPr>
          <w:rFonts w:ascii="Times New Roman" w:eastAsia="Times New Roman" w:hAnsi="Times New Roman" w:cs="Times New Roman"/>
          <w:sz w:val="24"/>
          <w:szCs w:val="24"/>
        </w:rPr>
        <w:t>.</w:t>
      </w:r>
    </w:p>
    <w:p w14:paraId="215633DE" w14:textId="20C0AF24" w:rsidR="464F45A7" w:rsidRDefault="33985B12" w:rsidP="33985B12">
      <w:pPr>
        <w:jc w:val="both"/>
        <w:rPr>
          <w:rFonts w:ascii="Times New Roman" w:eastAsia="Times New Roman" w:hAnsi="Times New Roman" w:cs="Times New Roman"/>
          <w:sz w:val="26"/>
          <w:szCs w:val="26"/>
        </w:rPr>
      </w:pPr>
      <w:r w:rsidRPr="33985B12">
        <w:rPr>
          <w:rFonts w:ascii="Times New Roman" w:eastAsia="Times New Roman" w:hAnsi="Times New Roman" w:cs="Times New Roman"/>
          <w:b/>
          <w:bCs/>
          <w:sz w:val="26"/>
          <w:szCs w:val="26"/>
        </w:rPr>
        <w:t>Az egyéb kiadások</w:t>
      </w:r>
      <w:r w:rsidRPr="33985B12">
        <w:rPr>
          <w:rFonts w:ascii="Times New Roman" w:eastAsia="Times New Roman" w:hAnsi="Times New Roman" w:cs="Times New Roman"/>
          <w:sz w:val="26"/>
          <w:szCs w:val="26"/>
        </w:rPr>
        <w:t xml:space="preserve"> 2024. évi teljesítése 585,6</w:t>
      </w:r>
      <w:r w:rsidR="008C3359">
        <w:rPr>
          <w:rFonts w:ascii="Times New Roman" w:eastAsia="Times New Roman" w:hAnsi="Times New Roman" w:cs="Times New Roman"/>
          <w:sz w:val="26"/>
          <w:szCs w:val="26"/>
        </w:rPr>
        <w:t> </w:t>
      </w:r>
      <w:r w:rsidRPr="33985B12">
        <w:rPr>
          <w:rFonts w:ascii="Times New Roman" w:eastAsia="Times New Roman" w:hAnsi="Times New Roman" w:cs="Times New Roman"/>
          <w:sz w:val="26"/>
          <w:szCs w:val="26"/>
        </w:rPr>
        <w:t>milliárd forint lett, ami 97,4 milliárd forinttal magasabban alakult az elmúlt év azo</w:t>
      </w:r>
      <w:r w:rsidR="00B95AD8">
        <w:rPr>
          <w:rFonts w:ascii="Times New Roman" w:eastAsia="Times New Roman" w:hAnsi="Times New Roman" w:cs="Times New Roman"/>
          <w:sz w:val="26"/>
          <w:szCs w:val="26"/>
        </w:rPr>
        <w:t>nos időszakának az értékétől. E </w:t>
      </w:r>
      <w:r w:rsidRPr="33985B12">
        <w:rPr>
          <w:rFonts w:ascii="Times New Roman" w:eastAsia="Times New Roman" w:hAnsi="Times New Roman" w:cs="Times New Roman"/>
          <w:sz w:val="26"/>
          <w:szCs w:val="26"/>
        </w:rPr>
        <w:t xml:space="preserve">mérlegsor </w:t>
      </w:r>
      <w:r w:rsidRPr="33985B12">
        <w:rPr>
          <w:rFonts w:ascii="Times New Roman" w:eastAsia="Times New Roman" w:hAnsi="Times New Roman" w:cs="Times New Roman"/>
          <w:sz w:val="26"/>
          <w:szCs w:val="26"/>
        </w:rPr>
        <w:lastRenderedPageBreak/>
        <w:t>tételeinek összetétele jelentősen változott a 2023. évihez képest. A mérlegsor pl. új elemként tartalmazza a villamosenergia-termelés, mint rendszerbiztonsági szolgáltatás ellentételezését (</w:t>
      </w:r>
      <w:r w:rsidR="00B95AD8">
        <w:rPr>
          <w:rFonts w:ascii="Times New Roman" w:eastAsia="Times New Roman" w:hAnsi="Times New Roman" w:cs="Times New Roman"/>
          <w:sz w:val="26"/>
          <w:szCs w:val="26"/>
        </w:rPr>
        <w:t xml:space="preserve">a 2024. évben </w:t>
      </w:r>
      <w:r w:rsidRPr="33985B12">
        <w:rPr>
          <w:rFonts w:ascii="Times New Roman" w:eastAsia="Times New Roman" w:hAnsi="Times New Roman" w:cs="Times New Roman"/>
          <w:sz w:val="26"/>
          <w:szCs w:val="26"/>
        </w:rPr>
        <w:t>51,9 milliárd forint), valamint az ipari fogyasztók veszélyhelyzeti rezsitámogatását (</w:t>
      </w:r>
      <w:r w:rsidR="00B95AD8">
        <w:rPr>
          <w:rFonts w:ascii="Times New Roman" w:eastAsia="Times New Roman" w:hAnsi="Times New Roman" w:cs="Times New Roman"/>
          <w:sz w:val="26"/>
          <w:szCs w:val="26"/>
        </w:rPr>
        <w:t xml:space="preserve">a 2024. évben </w:t>
      </w:r>
      <w:r w:rsidRPr="33985B12">
        <w:rPr>
          <w:rFonts w:ascii="Times New Roman" w:eastAsia="Times New Roman" w:hAnsi="Times New Roman" w:cs="Times New Roman"/>
          <w:sz w:val="26"/>
          <w:szCs w:val="26"/>
        </w:rPr>
        <w:t>8,4 milliárd forint).</w:t>
      </w:r>
    </w:p>
    <w:p w14:paraId="15F013A7" w14:textId="28DCC643" w:rsidR="74B9DF17" w:rsidRDefault="33985B12" w:rsidP="33985B12">
      <w:pPr>
        <w:jc w:val="both"/>
        <w:rPr>
          <w:rFonts w:ascii="Times New Roman" w:eastAsia="Times New Roman" w:hAnsi="Times New Roman" w:cs="Times New Roman"/>
          <w:sz w:val="26"/>
          <w:szCs w:val="26"/>
        </w:rPr>
      </w:pPr>
      <w:r w:rsidRPr="33985B12">
        <w:rPr>
          <w:rFonts w:ascii="Times New Roman" w:eastAsia="Times New Roman" w:hAnsi="Times New Roman" w:cs="Times New Roman"/>
          <w:sz w:val="26"/>
          <w:szCs w:val="26"/>
        </w:rPr>
        <w:t xml:space="preserve">A </w:t>
      </w:r>
      <w:r w:rsidRPr="33985B12">
        <w:rPr>
          <w:rFonts w:ascii="Times New Roman" w:eastAsia="Times New Roman" w:hAnsi="Times New Roman" w:cs="Times New Roman"/>
          <w:b/>
          <w:bCs/>
          <w:sz w:val="26"/>
          <w:szCs w:val="26"/>
        </w:rPr>
        <w:t>Hozzájárulás az EU költségvetéséhez</w:t>
      </w:r>
      <w:r w:rsidRPr="33985B12">
        <w:rPr>
          <w:rFonts w:ascii="Times New Roman" w:eastAsia="Times New Roman" w:hAnsi="Times New Roman" w:cs="Times New Roman"/>
          <w:sz w:val="26"/>
          <w:szCs w:val="26"/>
        </w:rPr>
        <w:t xml:space="preserve"> mérlegsoron </w:t>
      </w:r>
      <w:r w:rsidR="00B95AD8">
        <w:rPr>
          <w:rFonts w:ascii="Times New Roman" w:eastAsia="Times New Roman" w:hAnsi="Times New Roman" w:cs="Times New Roman"/>
          <w:sz w:val="26"/>
          <w:szCs w:val="26"/>
        </w:rPr>
        <w:t xml:space="preserve">a </w:t>
      </w:r>
      <w:r w:rsidRPr="33985B12">
        <w:rPr>
          <w:rFonts w:ascii="Times New Roman" w:eastAsia="Times New Roman" w:hAnsi="Times New Roman" w:cs="Times New Roman"/>
          <w:sz w:val="26"/>
          <w:szCs w:val="26"/>
        </w:rPr>
        <w:t>2024. </w:t>
      </w:r>
      <w:r w:rsidR="00B95AD8">
        <w:rPr>
          <w:rFonts w:ascii="Times New Roman" w:eastAsia="Times New Roman" w:hAnsi="Times New Roman" w:cs="Times New Roman"/>
          <w:sz w:val="26"/>
          <w:szCs w:val="26"/>
        </w:rPr>
        <w:t>évben</w:t>
      </w:r>
      <w:r w:rsidRPr="33985B12">
        <w:rPr>
          <w:rFonts w:ascii="Times New Roman" w:eastAsia="Times New Roman" w:hAnsi="Times New Roman" w:cs="Times New Roman"/>
          <w:sz w:val="26"/>
          <w:szCs w:val="26"/>
        </w:rPr>
        <w:t xml:space="preserve"> 616,8 milliárd forint kiadás teljesült, ami a törvényi előirányzat 89,1%-a. E hozzájárulás 57,</w:t>
      </w:r>
      <w:r w:rsidR="00B95AD8">
        <w:rPr>
          <w:rFonts w:ascii="Times New Roman" w:eastAsia="Times New Roman" w:hAnsi="Times New Roman" w:cs="Times New Roman"/>
          <w:sz w:val="26"/>
          <w:szCs w:val="26"/>
        </w:rPr>
        <w:t>6</w:t>
      </w:r>
      <w:r w:rsidR="00A349BC">
        <w:rPr>
          <w:rFonts w:ascii="Times New Roman" w:eastAsia="Times New Roman" w:hAnsi="Times New Roman" w:cs="Times New Roman"/>
          <w:sz w:val="26"/>
          <w:szCs w:val="26"/>
        </w:rPr>
        <w:t> </w:t>
      </w:r>
      <w:r w:rsidRPr="33985B12">
        <w:rPr>
          <w:rFonts w:ascii="Times New Roman" w:eastAsia="Times New Roman" w:hAnsi="Times New Roman" w:cs="Times New Roman"/>
          <w:sz w:val="26"/>
          <w:szCs w:val="26"/>
        </w:rPr>
        <w:t xml:space="preserve">milliárd forinttal </w:t>
      </w:r>
      <w:r w:rsidR="008C3359">
        <w:rPr>
          <w:rFonts w:ascii="Times New Roman" w:eastAsia="Times New Roman" w:hAnsi="Times New Roman" w:cs="Times New Roman"/>
          <w:sz w:val="26"/>
          <w:szCs w:val="26"/>
        </w:rPr>
        <w:t>alacsonyabb</w:t>
      </w:r>
      <w:r w:rsidRPr="33985B12">
        <w:rPr>
          <w:rFonts w:ascii="Times New Roman" w:eastAsia="Times New Roman" w:hAnsi="Times New Roman" w:cs="Times New Roman"/>
          <w:sz w:val="26"/>
          <w:szCs w:val="26"/>
        </w:rPr>
        <w:t xml:space="preserve"> a 2023. év azonos időszakában teljesített kiadások</w:t>
      </w:r>
      <w:r w:rsidR="008C3359">
        <w:rPr>
          <w:rFonts w:ascii="Times New Roman" w:eastAsia="Times New Roman" w:hAnsi="Times New Roman" w:cs="Times New Roman"/>
          <w:sz w:val="26"/>
          <w:szCs w:val="26"/>
        </w:rPr>
        <w:t>nál</w:t>
      </w:r>
      <w:r w:rsidRPr="33985B12">
        <w:rPr>
          <w:rFonts w:ascii="Times New Roman" w:eastAsia="Times New Roman" w:hAnsi="Times New Roman" w:cs="Times New Roman"/>
          <w:sz w:val="26"/>
          <w:szCs w:val="26"/>
        </w:rPr>
        <w:t>.</w:t>
      </w:r>
    </w:p>
    <w:p w14:paraId="74BFA59F" w14:textId="6225F169" w:rsidR="004F2496" w:rsidRPr="00D92214" w:rsidRDefault="33985B12" w:rsidP="33985B12">
      <w:pPr>
        <w:jc w:val="both"/>
        <w:rPr>
          <w:rFonts w:ascii="Times New Roman" w:eastAsia="Times New Roman" w:hAnsi="Times New Roman" w:cs="Times New Roman"/>
          <w:sz w:val="26"/>
          <w:szCs w:val="26"/>
        </w:rPr>
      </w:pPr>
      <w:r w:rsidRPr="33985B12">
        <w:rPr>
          <w:rFonts w:ascii="Times New Roman" w:eastAsia="Times New Roman" w:hAnsi="Times New Roman" w:cs="Times New Roman"/>
          <w:sz w:val="26"/>
          <w:szCs w:val="26"/>
        </w:rPr>
        <w:t xml:space="preserve">A </w:t>
      </w:r>
      <w:r w:rsidRPr="33985B12">
        <w:rPr>
          <w:rFonts w:ascii="Times New Roman" w:eastAsia="Times New Roman" w:hAnsi="Times New Roman" w:cs="Times New Roman"/>
          <w:b/>
          <w:bCs/>
          <w:sz w:val="26"/>
          <w:szCs w:val="26"/>
        </w:rPr>
        <w:t>Nemzeti Kutatási, Fejlesztési és Innovációs Alapból</w:t>
      </w:r>
      <w:r w:rsidRPr="33985B12">
        <w:rPr>
          <w:rFonts w:ascii="Times New Roman" w:eastAsia="Times New Roman" w:hAnsi="Times New Roman" w:cs="Times New Roman"/>
          <w:sz w:val="26"/>
          <w:szCs w:val="26"/>
        </w:rPr>
        <w:t xml:space="preserve"> (NKFI Alap) </w:t>
      </w:r>
      <w:r w:rsidR="00B95AD8">
        <w:rPr>
          <w:rFonts w:ascii="Times New Roman" w:eastAsia="Times New Roman" w:hAnsi="Times New Roman" w:cs="Times New Roman"/>
          <w:sz w:val="26"/>
          <w:szCs w:val="26"/>
        </w:rPr>
        <w:t xml:space="preserve">a </w:t>
      </w:r>
      <w:r w:rsidRPr="33985B12">
        <w:rPr>
          <w:rFonts w:ascii="Times New Roman" w:eastAsia="Times New Roman" w:hAnsi="Times New Roman" w:cs="Times New Roman"/>
          <w:sz w:val="26"/>
          <w:szCs w:val="26"/>
        </w:rPr>
        <w:t xml:space="preserve">2024. </w:t>
      </w:r>
      <w:r w:rsidR="00B95AD8">
        <w:rPr>
          <w:rFonts w:ascii="Times New Roman" w:eastAsia="Times New Roman" w:hAnsi="Times New Roman" w:cs="Times New Roman"/>
          <w:sz w:val="26"/>
          <w:szCs w:val="26"/>
        </w:rPr>
        <w:t>évben</w:t>
      </w:r>
      <w:r w:rsidRPr="33985B12">
        <w:rPr>
          <w:rFonts w:ascii="Times New Roman" w:eastAsia="Times New Roman" w:hAnsi="Times New Roman" w:cs="Times New Roman"/>
          <w:sz w:val="26"/>
          <w:szCs w:val="26"/>
        </w:rPr>
        <w:t xml:space="preserve"> 155,3 milliárd forint kiadás teljesült, ami 18,6 milliárd forinttal több kifizetést jelent a 2023. évi teljesítéséhez képest. A különbség a 2024. évi magasabb keretösszegből adódik.</w:t>
      </w:r>
    </w:p>
    <w:p w14:paraId="17605E21" w14:textId="08357DA0" w:rsidR="6462B5A6" w:rsidRPr="00920F4D" w:rsidRDefault="33985B12" w:rsidP="33985B12">
      <w:pPr>
        <w:jc w:val="both"/>
        <w:rPr>
          <w:rFonts w:ascii="Times New Roman" w:eastAsia="Times New Roman" w:hAnsi="Times New Roman" w:cs="Times New Roman"/>
          <w:sz w:val="26"/>
          <w:szCs w:val="26"/>
        </w:rPr>
      </w:pPr>
      <w:r w:rsidRPr="33985B12">
        <w:rPr>
          <w:rFonts w:ascii="Times New Roman" w:eastAsia="Times New Roman" w:hAnsi="Times New Roman" w:cs="Times New Roman"/>
          <w:sz w:val="26"/>
          <w:szCs w:val="26"/>
        </w:rPr>
        <w:t xml:space="preserve">A </w:t>
      </w:r>
      <w:r w:rsidRPr="33985B12">
        <w:rPr>
          <w:rFonts w:ascii="Times New Roman" w:eastAsia="Times New Roman" w:hAnsi="Times New Roman" w:cs="Times New Roman"/>
          <w:b/>
          <w:bCs/>
          <w:sz w:val="26"/>
          <w:szCs w:val="26"/>
        </w:rPr>
        <w:t>Nemzeti Foglalkoztatási Alap</w:t>
      </w:r>
      <w:r w:rsidRPr="33985B12">
        <w:rPr>
          <w:rFonts w:ascii="Times New Roman" w:eastAsia="Times New Roman" w:hAnsi="Times New Roman" w:cs="Times New Roman"/>
          <w:sz w:val="26"/>
          <w:szCs w:val="26"/>
        </w:rPr>
        <w:t xml:space="preserve"> (NFA) kiadásai estében a Start-munkaprogramra összesen 123,1 milliárd forint teljesült. Az uniós elő- és társfinanszírozásra 35,5 milliárd forintot fordítottak.</w:t>
      </w:r>
    </w:p>
    <w:p w14:paraId="76B18BB1" w14:textId="5E5D0BA5" w:rsidR="123EFD2F" w:rsidRPr="00377D59" w:rsidRDefault="33985B12" w:rsidP="33985B12">
      <w:pPr>
        <w:jc w:val="both"/>
        <w:rPr>
          <w:rFonts w:ascii="Times New Roman" w:hAnsi="Times New Roman" w:cs="Times New Roman"/>
        </w:rPr>
      </w:pPr>
      <w:r w:rsidRPr="33985B12">
        <w:rPr>
          <w:rFonts w:ascii="Times New Roman" w:eastAsia="Times New Roman" w:hAnsi="Times New Roman" w:cs="Times New Roman"/>
          <w:sz w:val="26"/>
          <w:szCs w:val="26"/>
        </w:rPr>
        <w:lastRenderedPageBreak/>
        <w:t>A</w:t>
      </w:r>
      <w:r w:rsidRPr="33985B12">
        <w:rPr>
          <w:rFonts w:ascii="Times New Roman" w:eastAsia="Times New Roman" w:hAnsi="Times New Roman" w:cs="Times New Roman"/>
          <w:b/>
          <w:bCs/>
          <w:sz w:val="26"/>
          <w:szCs w:val="26"/>
        </w:rPr>
        <w:t xml:space="preserve"> Bethlen Gábor Alapból</w:t>
      </w:r>
      <w:r w:rsidRPr="33985B12">
        <w:rPr>
          <w:rFonts w:ascii="Times New Roman" w:eastAsia="Times New Roman" w:hAnsi="Times New Roman" w:cs="Times New Roman"/>
          <w:sz w:val="26"/>
          <w:szCs w:val="26"/>
        </w:rPr>
        <w:t xml:space="preserve"> (BGA) összesen 101,1 milliárd forint kiadás teljesült. Az alapból nyújtott támogatások a BGA irányítását ellátó Bizottság döntései alapján, ütemezetten kerültek kifizetésre.</w:t>
      </w:r>
    </w:p>
    <w:p w14:paraId="338763C1" w14:textId="0AF3EB3E" w:rsidR="19667954" w:rsidRDefault="33985B12" w:rsidP="33985B12">
      <w:pPr>
        <w:jc w:val="both"/>
        <w:rPr>
          <w:rFonts w:ascii="Times New Roman" w:hAnsi="Times New Roman" w:cs="Times New Roman"/>
        </w:rPr>
      </w:pPr>
      <w:r w:rsidRPr="33985B12">
        <w:rPr>
          <w:rFonts w:ascii="Times New Roman" w:eastAsia="Times New Roman" w:hAnsi="Times New Roman" w:cs="Times New Roman"/>
          <w:sz w:val="26"/>
          <w:szCs w:val="26"/>
        </w:rPr>
        <w:t xml:space="preserve">A </w:t>
      </w:r>
      <w:r w:rsidRPr="33985B12">
        <w:rPr>
          <w:rFonts w:ascii="Times New Roman" w:eastAsia="Times New Roman" w:hAnsi="Times New Roman" w:cs="Times New Roman"/>
          <w:b/>
          <w:bCs/>
          <w:sz w:val="26"/>
          <w:szCs w:val="26"/>
        </w:rPr>
        <w:t>Nyugdíjbiztosítási Alap</w:t>
      </w:r>
      <w:r w:rsidRPr="33985B12">
        <w:rPr>
          <w:rFonts w:ascii="Times New Roman" w:eastAsia="Times New Roman" w:hAnsi="Times New Roman" w:cs="Times New Roman"/>
          <w:sz w:val="26"/>
          <w:szCs w:val="26"/>
        </w:rPr>
        <w:t xml:space="preserve"> nyugellátási kiadásai </w:t>
      </w:r>
      <w:r w:rsidR="00B95AD8">
        <w:rPr>
          <w:rFonts w:ascii="Times New Roman" w:eastAsia="Times New Roman" w:hAnsi="Times New Roman" w:cs="Times New Roman"/>
          <w:sz w:val="26"/>
          <w:szCs w:val="26"/>
        </w:rPr>
        <w:t>2024-ben</w:t>
      </w:r>
      <w:r w:rsidRPr="33985B12">
        <w:rPr>
          <w:rFonts w:ascii="Times New Roman" w:eastAsia="Times New Roman" w:hAnsi="Times New Roman" w:cs="Times New Roman"/>
          <w:sz w:val="26"/>
          <w:szCs w:val="26"/>
        </w:rPr>
        <w:t xml:space="preserve"> 6 209,6</w:t>
      </w:r>
      <w:r w:rsidR="00A349BC">
        <w:rPr>
          <w:rFonts w:ascii="Times New Roman" w:eastAsia="Times New Roman" w:hAnsi="Times New Roman" w:cs="Times New Roman"/>
          <w:sz w:val="26"/>
          <w:szCs w:val="26"/>
        </w:rPr>
        <w:t> </w:t>
      </w:r>
      <w:r w:rsidRPr="33985B12">
        <w:rPr>
          <w:rFonts w:ascii="Times New Roman" w:eastAsia="Times New Roman" w:hAnsi="Times New Roman" w:cs="Times New Roman"/>
          <w:sz w:val="26"/>
          <w:szCs w:val="26"/>
        </w:rPr>
        <w:t>milliárd</w:t>
      </w:r>
      <w:r w:rsidR="00A349BC">
        <w:rPr>
          <w:rFonts w:ascii="Times New Roman" w:eastAsia="Times New Roman" w:hAnsi="Times New Roman" w:cs="Times New Roman"/>
          <w:sz w:val="26"/>
          <w:szCs w:val="26"/>
        </w:rPr>
        <w:t> </w:t>
      </w:r>
      <w:r w:rsidRPr="33985B12">
        <w:rPr>
          <w:rFonts w:ascii="Times New Roman" w:eastAsia="Times New Roman" w:hAnsi="Times New Roman" w:cs="Times New Roman"/>
          <w:sz w:val="26"/>
          <w:szCs w:val="26"/>
        </w:rPr>
        <w:t>forintban teljesültek, ami 451,0 m</w:t>
      </w:r>
      <w:r w:rsidR="000F046E">
        <w:rPr>
          <w:rFonts w:ascii="Times New Roman" w:eastAsia="Times New Roman" w:hAnsi="Times New Roman" w:cs="Times New Roman"/>
          <w:sz w:val="26"/>
          <w:szCs w:val="26"/>
        </w:rPr>
        <w:t>illiárd forinttal haladta meg a 2023. </w:t>
      </w:r>
      <w:r w:rsidRPr="33985B12">
        <w:rPr>
          <w:rFonts w:ascii="Times New Roman" w:eastAsia="Times New Roman" w:hAnsi="Times New Roman" w:cs="Times New Roman"/>
          <w:sz w:val="26"/>
          <w:szCs w:val="26"/>
        </w:rPr>
        <w:t xml:space="preserve">év azonos időszakának teljesítési adatait. A 7,8%-os kiadásnövekedést a </w:t>
      </w:r>
      <w:r w:rsidR="005B0833">
        <w:rPr>
          <w:rFonts w:ascii="Times New Roman" w:eastAsia="Times New Roman" w:hAnsi="Times New Roman" w:cs="Times New Roman"/>
          <w:sz w:val="26"/>
          <w:szCs w:val="26"/>
        </w:rPr>
        <w:t>2023. </w:t>
      </w:r>
      <w:r w:rsidRPr="33985B12">
        <w:rPr>
          <w:rFonts w:ascii="Times New Roman" w:eastAsia="Times New Roman" w:hAnsi="Times New Roman" w:cs="Times New Roman"/>
          <w:sz w:val="26"/>
          <w:szCs w:val="26"/>
        </w:rPr>
        <w:t>nove</w:t>
      </w:r>
      <w:r w:rsidR="005B0833">
        <w:rPr>
          <w:rFonts w:ascii="Times New Roman" w:eastAsia="Times New Roman" w:hAnsi="Times New Roman" w:cs="Times New Roman"/>
          <w:sz w:val="26"/>
          <w:szCs w:val="26"/>
        </w:rPr>
        <w:t>mberi kiegészítő nyugdíjemelés 2024-</w:t>
      </w:r>
      <w:r w:rsidRPr="33985B12">
        <w:rPr>
          <w:rFonts w:ascii="Times New Roman" w:eastAsia="Times New Roman" w:hAnsi="Times New Roman" w:cs="Times New Roman"/>
          <w:sz w:val="26"/>
          <w:szCs w:val="26"/>
        </w:rPr>
        <w:t xml:space="preserve">re áthúzódó hatása, a </w:t>
      </w:r>
      <w:r w:rsidR="005B0833">
        <w:rPr>
          <w:rFonts w:ascii="Times New Roman" w:eastAsia="Times New Roman" w:hAnsi="Times New Roman" w:cs="Times New Roman"/>
          <w:sz w:val="26"/>
          <w:szCs w:val="26"/>
        </w:rPr>
        <w:t>2024. január</w:t>
      </w:r>
      <w:r w:rsidRPr="33985B12">
        <w:rPr>
          <w:rFonts w:ascii="Times New Roman" w:eastAsia="Times New Roman" w:hAnsi="Times New Roman" w:cs="Times New Roman"/>
          <w:sz w:val="26"/>
          <w:szCs w:val="26"/>
        </w:rPr>
        <w:t>ban végrehajtott inflációkövető nyugdíjemelés hatása, valamint az eltelt időszakban bekövetkezett létszámváltozás és cserélődés együttes hatása eredményezte.</w:t>
      </w:r>
    </w:p>
    <w:p w14:paraId="7163F43A" w14:textId="63226213" w:rsidR="19667954" w:rsidRDefault="33985B12" w:rsidP="33985B12">
      <w:pPr>
        <w:jc w:val="both"/>
        <w:rPr>
          <w:rFonts w:ascii="Times New Roman" w:eastAsia="Times New Roman" w:hAnsi="Times New Roman" w:cs="Times New Roman"/>
          <w:sz w:val="26"/>
          <w:szCs w:val="26"/>
        </w:rPr>
      </w:pPr>
      <w:r w:rsidRPr="33985B12">
        <w:rPr>
          <w:rFonts w:ascii="Times New Roman" w:eastAsia="Times New Roman" w:hAnsi="Times New Roman" w:cs="Times New Roman"/>
          <w:sz w:val="26"/>
          <w:szCs w:val="26"/>
        </w:rPr>
        <w:t>Az öregségi nyugdíjban részesülők 2024. december havi</w:t>
      </w:r>
      <w:r w:rsidRPr="33985B12">
        <w:rPr>
          <w:rFonts w:ascii="Times New Roman" w:eastAsia="Times New Roman" w:hAnsi="Times New Roman" w:cs="Times New Roman"/>
          <w:b/>
          <w:bCs/>
          <w:sz w:val="26"/>
          <w:szCs w:val="26"/>
        </w:rPr>
        <w:t xml:space="preserve"> átlagos statisztikai állományi létszáma</w:t>
      </w:r>
      <w:r w:rsidRPr="33985B12">
        <w:rPr>
          <w:rFonts w:ascii="Times New Roman" w:eastAsia="Times New Roman" w:hAnsi="Times New Roman" w:cs="Times New Roman"/>
          <w:sz w:val="26"/>
          <w:szCs w:val="26"/>
        </w:rPr>
        <w:t xml:space="preserve"> kis mértékben növekedett, 2 236 fővel haladta meg a</w:t>
      </w:r>
      <w:r w:rsidR="005B0833">
        <w:rPr>
          <w:rFonts w:ascii="Times New Roman" w:eastAsia="Times New Roman" w:hAnsi="Times New Roman" w:cs="Times New Roman"/>
          <w:sz w:val="26"/>
          <w:szCs w:val="26"/>
        </w:rPr>
        <w:t xml:space="preserve"> 2023. </w:t>
      </w:r>
      <w:r w:rsidRPr="33985B12">
        <w:rPr>
          <w:rFonts w:ascii="Times New Roman" w:eastAsia="Times New Roman" w:hAnsi="Times New Roman" w:cs="Times New Roman"/>
          <w:sz w:val="26"/>
          <w:szCs w:val="26"/>
        </w:rPr>
        <w:t>év azonos időszakának létszámát. Az öregségi nyugdíjban részesülők létszámán belül a nők kedvezményes nyugdíjában részesülők (korhatár alattiak) létszáma a korhatárbetöltés és az elhalálozás együttes hatásaként 5 673 fővel csökkent a 2023. decemberi adathoz képest.</w:t>
      </w:r>
    </w:p>
    <w:p w14:paraId="0F073B32" w14:textId="59AEC5A7" w:rsidR="00C35E13" w:rsidRDefault="00BB12FE" w:rsidP="00C35E13">
      <w:pPr>
        <w:pStyle w:val="NormlWeb"/>
        <w:jc w:val="center"/>
      </w:pPr>
      <w:r>
        <w:rPr>
          <w:noProof/>
        </w:rPr>
        <w:lastRenderedPageBreak/>
        <w:drawing>
          <wp:inline distT="0" distB="0" distL="0" distR="0" wp14:anchorId="20E17AA7" wp14:editId="76F3EAD8">
            <wp:extent cx="5940425" cy="2145030"/>
            <wp:effectExtent l="0" t="0" r="3175" b="7620"/>
            <wp:docPr id="20" name="Kép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0425" cy="2145030"/>
                    </a:xfrm>
                    <a:prstGeom prst="rect">
                      <a:avLst/>
                    </a:prstGeom>
                  </pic:spPr>
                </pic:pic>
              </a:graphicData>
            </a:graphic>
          </wp:inline>
        </w:drawing>
      </w:r>
    </w:p>
    <w:p w14:paraId="13D00DDC" w14:textId="0C19EFA9" w:rsidR="593AC637" w:rsidRDefault="33985B12" w:rsidP="593AC637">
      <w:pPr>
        <w:jc w:val="both"/>
      </w:pPr>
      <w:r w:rsidRPr="33985B12">
        <w:rPr>
          <w:rFonts w:ascii="Times New Roman" w:eastAsia="Times New Roman" w:hAnsi="Times New Roman" w:cs="Times New Roman"/>
          <w:sz w:val="26"/>
          <w:szCs w:val="26"/>
        </w:rPr>
        <w:t xml:space="preserve">Idén is 2,1 millió öregségi nyugdíjban és hozzátartozói nyugellátásban részesülő személy részére folyósítottak 13. havi nyugdíjat. A 13. havi nyugdíjkifizetés Nyugdíjbiztosítási Alapot terhelő kiadása </w:t>
      </w:r>
      <w:r w:rsidR="005B0833">
        <w:rPr>
          <w:rFonts w:ascii="Times New Roman" w:eastAsia="Times New Roman" w:hAnsi="Times New Roman" w:cs="Times New Roman"/>
          <w:sz w:val="26"/>
          <w:szCs w:val="26"/>
        </w:rPr>
        <w:t>2024-ben</w:t>
      </w:r>
      <w:r w:rsidRPr="33985B12">
        <w:rPr>
          <w:rFonts w:ascii="Times New Roman" w:eastAsia="Times New Roman" w:hAnsi="Times New Roman" w:cs="Times New Roman"/>
          <w:sz w:val="26"/>
          <w:szCs w:val="26"/>
        </w:rPr>
        <w:t xml:space="preserve"> 471,9 milliárd forint volt, ami 33,7</w:t>
      </w:r>
      <w:r w:rsidR="00A349BC">
        <w:rPr>
          <w:rFonts w:ascii="Times New Roman" w:eastAsia="Times New Roman" w:hAnsi="Times New Roman" w:cs="Times New Roman"/>
          <w:sz w:val="26"/>
          <w:szCs w:val="26"/>
        </w:rPr>
        <w:t> </w:t>
      </w:r>
      <w:r w:rsidRPr="33985B12">
        <w:rPr>
          <w:rFonts w:ascii="Times New Roman" w:eastAsia="Times New Roman" w:hAnsi="Times New Roman" w:cs="Times New Roman"/>
          <w:sz w:val="26"/>
          <w:szCs w:val="26"/>
        </w:rPr>
        <w:t>milliárd</w:t>
      </w:r>
      <w:r w:rsidR="00A349BC">
        <w:rPr>
          <w:rFonts w:ascii="Times New Roman" w:eastAsia="Times New Roman" w:hAnsi="Times New Roman" w:cs="Times New Roman"/>
          <w:sz w:val="26"/>
          <w:szCs w:val="26"/>
        </w:rPr>
        <w:t> </w:t>
      </w:r>
      <w:r w:rsidRPr="33985B12">
        <w:rPr>
          <w:rFonts w:ascii="Times New Roman" w:eastAsia="Times New Roman" w:hAnsi="Times New Roman" w:cs="Times New Roman"/>
          <w:sz w:val="26"/>
          <w:szCs w:val="26"/>
        </w:rPr>
        <w:t>forinttal haladta meg a</w:t>
      </w:r>
      <w:r w:rsidR="000F046E">
        <w:rPr>
          <w:rFonts w:ascii="Times New Roman" w:eastAsia="Times New Roman" w:hAnsi="Times New Roman" w:cs="Times New Roman"/>
          <w:sz w:val="26"/>
          <w:szCs w:val="26"/>
        </w:rPr>
        <w:t xml:space="preserve"> 2023. </w:t>
      </w:r>
      <w:r w:rsidRPr="33985B12">
        <w:rPr>
          <w:rFonts w:ascii="Times New Roman" w:eastAsia="Times New Roman" w:hAnsi="Times New Roman" w:cs="Times New Roman"/>
          <w:sz w:val="26"/>
          <w:szCs w:val="26"/>
        </w:rPr>
        <w:t>évben ezen a jogcímen t</w:t>
      </w:r>
      <w:r w:rsidR="005B0833">
        <w:rPr>
          <w:rFonts w:ascii="Times New Roman" w:eastAsia="Times New Roman" w:hAnsi="Times New Roman" w:cs="Times New Roman"/>
          <w:sz w:val="26"/>
          <w:szCs w:val="26"/>
        </w:rPr>
        <w:t>eljesített kiadások összegét. A </w:t>
      </w:r>
      <w:r w:rsidRPr="33985B12">
        <w:rPr>
          <w:rFonts w:ascii="Times New Roman" w:eastAsia="Times New Roman" w:hAnsi="Times New Roman" w:cs="Times New Roman"/>
          <w:sz w:val="26"/>
          <w:szCs w:val="26"/>
        </w:rPr>
        <w:t xml:space="preserve">kiadásnövekedést az ellátások </w:t>
      </w:r>
      <w:r w:rsidR="005B0833">
        <w:rPr>
          <w:rFonts w:ascii="Times New Roman" w:eastAsia="Times New Roman" w:hAnsi="Times New Roman" w:cs="Times New Roman"/>
          <w:sz w:val="26"/>
          <w:szCs w:val="26"/>
        </w:rPr>
        <w:t>2023</w:t>
      </w:r>
      <w:r w:rsidR="000F046E">
        <w:rPr>
          <w:rFonts w:ascii="Times New Roman" w:eastAsia="Times New Roman" w:hAnsi="Times New Roman" w:cs="Times New Roman"/>
          <w:sz w:val="26"/>
          <w:szCs w:val="26"/>
        </w:rPr>
        <w:t>.</w:t>
      </w:r>
      <w:r w:rsidR="00A349BC">
        <w:rPr>
          <w:rFonts w:ascii="Times New Roman" w:eastAsia="Times New Roman" w:hAnsi="Times New Roman" w:cs="Times New Roman"/>
          <w:sz w:val="26"/>
          <w:szCs w:val="26"/>
        </w:rPr>
        <w:t> </w:t>
      </w:r>
      <w:r w:rsidR="005B0833">
        <w:rPr>
          <w:rFonts w:ascii="Times New Roman" w:eastAsia="Times New Roman" w:hAnsi="Times New Roman" w:cs="Times New Roman"/>
          <w:sz w:val="26"/>
          <w:szCs w:val="26"/>
        </w:rPr>
        <w:t>novemberi</w:t>
      </w:r>
      <w:r w:rsidR="00A349BC">
        <w:rPr>
          <w:rFonts w:ascii="Times New Roman" w:eastAsia="Times New Roman" w:hAnsi="Times New Roman" w:cs="Times New Roman"/>
          <w:sz w:val="26"/>
          <w:szCs w:val="26"/>
        </w:rPr>
        <w:t> </w:t>
      </w:r>
      <w:r w:rsidR="005B0833">
        <w:rPr>
          <w:rFonts w:ascii="Times New Roman" w:eastAsia="Times New Roman" w:hAnsi="Times New Roman" w:cs="Times New Roman"/>
          <w:sz w:val="26"/>
          <w:szCs w:val="26"/>
        </w:rPr>
        <w:t>és</w:t>
      </w:r>
      <w:r w:rsidR="00A349BC">
        <w:rPr>
          <w:rFonts w:ascii="Times New Roman" w:eastAsia="Times New Roman" w:hAnsi="Times New Roman" w:cs="Times New Roman"/>
          <w:sz w:val="26"/>
          <w:szCs w:val="26"/>
        </w:rPr>
        <w:t> </w:t>
      </w:r>
      <w:r w:rsidR="005B0833">
        <w:rPr>
          <w:rFonts w:ascii="Times New Roman" w:eastAsia="Times New Roman" w:hAnsi="Times New Roman" w:cs="Times New Roman"/>
          <w:sz w:val="26"/>
          <w:szCs w:val="26"/>
        </w:rPr>
        <w:t>2024</w:t>
      </w:r>
      <w:r w:rsidR="000F046E">
        <w:rPr>
          <w:rFonts w:ascii="Times New Roman" w:eastAsia="Times New Roman" w:hAnsi="Times New Roman" w:cs="Times New Roman"/>
          <w:sz w:val="26"/>
          <w:szCs w:val="26"/>
        </w:rPr>
        <w:t>.</w:t>
      </w:r>
      <w:r w:rsidR="00A349BC">
        <w:rPr>
          <w:rFonts w:ascii="Times New Roman" w:eastAsia="Times New Roman" w:hAnsi="Times New Roman" w:cs="Times New Roman"/>
          <w:sz w:val="26"/>
          <w:szCs w:val="26"/>
        </w:rPr>
        <w:t> </w:t>
      </w:r>
      <w:r w:rsidRPr="33985B12">
        <w:rPr>
          <w:rFonts w:ascii="Times New Roman" w:eastAsia="Times New Roman" w:hAnsi="Times New Roman" w:cs="Times New Roman"/>
          <w:sz w:val="26"/>
          <w:szCs w:val="26"/>
        </w:rPr>
        <w:t>januári</w:t>
      </w:r>
      <w:r w:rsidR="00A349BC">
        <w:rPr>
          <w:rFonts w:ascii="Times New Roman" w:eastAsia="Times New Roman" w:hAnsi="Times New Roman" w:cs="Times New Roman"/>
          <w:sz w:val="26"/>
          <w:szCs w:val="26"/>
        </w:rPr>
        <w:t> </w:t>
      </w:r>
      <w:r w:rsidRPr="33985B12">
        <w:rPr>
          <w:rFonts w:ascii="Times New Roman" w:eastAsia="Times New Roman" w:hAnsi="Times New Roman" w:cs="Times New Roman"/>
          <w:sz w:val="26"/>
          <w:szCs w:val="26"/>
        </w:rPr>
        <w:t>emelése, valamint a jogosultak létszám- és cserélődési hatásának változása eredményezte.</w:t>
      </w:r>
    </w:p>
    <w:p w14:paraId="35EF778C" w14:textId="0BE1D261" w:rsidR="593AC637" w:rsidRDefault="33985B12" w:rsidP="593AC637">
      <w:pPr>
        <w:jc w:val="both"/>
      </w:pPr>
      <w:r w:rsidRPr="33985B12">
        <w:rPr>
          <w:rFonts w:ascii="Times New Roman" w:eastAsia="Times New Roman" w:hAnsi="Times New Roman" w:cs="Times New Roman"/>
          <w:sz w:val="26"/>
          <w:szCs w:val="26"/>
        </w:rPr>
        <w:t>Az öregségi nyugdíjak átlagos havi összege egy év alatt 16 791 forinttal emelkedett, 2024 decemberében 234 426 forint volt.</w:t>
      </w:r>
    </w:p>
    <w:p w14:paraId="33821262" w14:textId="52B0DEFD" w:rsidR="593AC637" w:rsidRDefault="33985B12" w:rsidP="33985B12">
      <w:pPr>
        <w:jc w:val="both"/>
        <w:rPr>
          <w:rFonts w:ascii="Times New Roman" w:eastAsia="Times New Roman" w:hAnsi="Times New Roman" w:cs="Times New Roman"/>
          <w:sz w:val="26"/>
          <w:szCs w:val="26"/>
        </w:rPr>
      </w:pPr>
      <w:r w:rsidRPr="33985B12">
        <w:rPr>
          <w:rFonts w:ascii="Times New Roman" w:eastAsia="Times New Roman" w:hAnsi="Times New Roman" w:cs="Times New Roman"/>
          <w:sz w:val="26"/>
          <w:szCs w:val="26"/>
        </w:rPr>
        <w:t>Az ellátások egy főre jutó havi átlagos összege az egyes ellátotti jogcímeken belül az előző év azonos időszakával összehasonlítva az alábbiak szerint növekedett.</w:t>
      </w:r>
    </w:p>
    <w:p w14:paraId="503DFEB7" w14:textId="495EA0F8" w:rsidR="00EF1F5B" w:rsidRDefault="000F046E" w:rsidP="00EF1F5B">
      <w:pPr>
        <w:pStyle w:val="NormlWeb"/>
        <w:jc w:val="center"/>
      </w:pPr>
      <w:r>
        <w:rPr>
          <w:noProof/>
        </w:rPr>
        <w:lastRenderedPageBreak/>
        <w:drawing>
          <wp:inline distT="0" distB="0" distL="0" distR="0" wp14:anchorId="4E522A73" wp14:editId="41336E3F">
            <wp:extent cx="5018674" cy="3410338"/>
            <wp:effectExtent l="0" t="0" r="0" b="0"/>
            <wp:docPr id="21" name="Kép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035931" cy="3422064"/>
                    </a:xfrm>
                    <a:prstGeom prst="rect">
                      <a:avLst/>
                    </a:prstGeom>
                  </pic:spPr>
                </pic:pic>
              </a:graphicData>
            </a:graphic>
          </wp:inline>
        </w:drawing>
      </w:r>
    </w:p>
    <w:p w14:paraId="12787823" w14:textId="77777777" w:rsidR="00C11940" w:rsidRDefault="00C11940">
      <w:pPr>
        <w:rPr>
          <w:rFonts w:ascii="Times New Roman" w:eastAsia="Times New Roman" w:hAnsi="Times New Roman" w:cs="Times New Roman"/>
          <w:sz w:val="26"/>
          <w:szCs w:val="26"/>
        </w:rPr>
      </w:pPr>
      <w:r>
        <w:rPr>
          <w:rFonts w:ascii="Times New Roman" w:eastAsia="Times New Roman" w:hAnsi="Times New Roman" w:cs="Times New Roman"/>
          <w:sz w:val="26"/>
          <w:szCs w:val="26"/>
        </w:rPr>
        <w:br w:type="page"/>
      </w:r>
    </w:p>
    <w:p w14:paraId="3779DB9C" w14:textId="522A5F6A" w:rsidR="0022104D" w:rsidRDefault="33985B12" w:rsidP="593AC637">
      <w:pPr>
        <w:jc w:val="both"/>
      </w:pPr>
      <w:r w:rsidRPr="33985B12">
        <w:rPr>
          <w:rFonts w:ascii="Times New Roman" w:eastAsia="Times New Roman" w:hAnsi="Times New Roman" w:cs="Times New Roman"/>
          <w:sz w:val="26"/>
          <w:szCs w:val="26"/>
        </w:rPr>
        <w:lastRenderedPageBreak/>
        <w:t>Az öregségi nyugdíjban, hozzátartozói nyugellátásban részesülők jogcím szerinti megoszlásának összehasonlítását a</w:t>
      </w:r>
      <w:r w:rsidR="00E167FF">
        <w:rPr>
          <w:rFonts w:ascii="Times New Roman" w:eastAsia="Times New Roman" w:hAnsi="Times New Roman" w:cs="Times New Roman"/>
          <w:sz w:val="26"/>
          <w:szCs w:val="26"/>
        </w:rPr>
        <w:t xml:space="preserve"> korábbi </w:t>
      </w:r>
      <w:r w:rsidRPr="33985B12">
        <w:rPr>
          <w:rFonts w:ascii="Times New Roman" w:eastAsia="Times New Roman" w:hAnsi="Times New Roman" w:cs="Times New Roman"/>
          <w:sz w:val="26"/>
          <w:szCs w:val="26"/>
        </w:rPr>
        <w:t xml:space="preserve">adatokkal az alábbi ábrák mutatják. </w:t>
      </w:r>
    </w:p>
    <w:p w14:paraId="6E229341" w14:textId="684B3401" w:rsidR="00EF1F5B" w:rsidRDefault="00BB12FE" w:rsidP="00EF1F5B">
      <w:pPr>
        <w:pStyle w:val="NormlWeb"/>
        <w:jc w:val="center"/>
      </w:pPr>
      <w:r>
        <w:rPr>
          <w:noProof/>
        </w:rPr>
        <w:drawing>
          <wp:inline distT="0" distB="0" distL="0" distR="0" wp14:anchorId="2816F690" wp14:editId="6943A68D">
            <wp:extent cx="5940425" cy="2263775"/>
            <wp:effectExtent l="0" t="0" r="3175" b="3175"/>
            <wp:docPr id="22" name="Kép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40425" cy="2263775"/>
                    </a:xfrm>
                    <a:prstGeom prst="rect">
                      <a:avLst/>
                    </a:prstGeom>
                  </pic:spPr>
                </pic:pic>
              </a:graphicData>
            </a:graphic>
          </wp:inline>
        </w:drawing>
      </w:r>
    </w:p>
    <w:p w14:paraId="2A4F88FB" w14:textId="77777777" w:rsidR="00D4148C" w:rsidRPr="002B492B" w:rsidRDefault="33985B12" w:rsidP="33985B12">
      <w:pPr>
        <w:keepLines/>
        <w:widowControl w:val="0"/>
        <w:jc w:val="center"/>
        <w:rPr>
          <w:rFonts w:ascii="Times New Roman" w:eastAsia="Times New Roman" w:hAnsi="Times New Roman" w:cs="Times New Roman"/>
          <w:b/>
          <w:bCs/>
          <w:sz w:val="26"/>
          <w:szCs w:val="26"/>
        </w:rPr>
      </w:pPr>
      <w:r w:rsidRPr="33985B12">
        <w:rPr>
          <w:rFonts w:ascii="Times New Roman" w:eastAsia="Times New Roman" w:hAnsi="Times New Roman" w:cs="Times New Roman"/>
          <w:sz w:val="26"/>
          <w:szCs w:val="26"/>
        </w:rPr>
        <w:t xml:space="preserve">Az </w:t>
      </w:r>
      <w:r w:rsidRPr="33985B12">
        <w:rPr>
          <w:rFonts w:ascii="Times New Roman" w:eastAsia="Times New Roman" w:hAnsi="Times New Roman" w:cs="Times New Roman"/>
          <w:b/>
          <w:bCs/>
          <w:sz w:val="26"/>
          <w:szCs w:val="26"/>
        </w:rPr>
        <w:t>Egészségbiztosítási Alap kiadásainak</w:t>
      </w:r>
      <w:r w:rsidRPr="33985B12">
        <w:rPr>
          <w:rFonts w:ascii="Times New Roman" w:eastAsia="Times New Roman" w:hAnsi="Times New Roman" w:cs="Times New Roman"/>
          <w:sz w:val="26"/>
          <w:szCs w:val="26"/>
        </w:rPr>
        <w:t xml:space="preserve"> összetételét a következő ábra mutatja be:</w:t>
      </w:r>
      <w:r w:rsidRPr="33985B12">
        <w:rPr>
          <w:rFonts w:ascii="Times New Roman" w:eastAsia="Times New Roman" w:hAnsi="Times New Roman" w:cs="Times New Roman"/>
          <w:b/>
          <w:bCs/>
          <w:sz w:val="26"/>
          <w:szCs w:val="26"/>
        </w:rPr>
        <w:t xml:space="preserve"> </w:t>
      </w:r>
    </w:p>
    <w:p w14:paraId="57C38B59" w14:textId="0B77A35F" w:rsidR="00D4148C" w:rsidRDefault="00BB12FE" w:rsidP="00D4148C">
      <w:pPr>
        <w:widowControl w:val="0"/>
        <w:spacing w:after="240"/>
        <w:jc w:val="center"/>
        <w:rPr>
          <w:rFonts w:ascii="Times New Roman" w:eastAsia="Times New Roman" w:hAnsi="Times New Roman" w:cs="Times New Roman"/>
          <w:sz w:val="26"/>
          <w:szCs w:val="26"/>
        </w:rPr>
      </w:pPr>
      <w:r>
        <w:rPr>
          <w:noProof/>
          <w:lang w:eastAsia="hu-HU"/>
        </w:rPr>
        <w:drawing>
          <wp:inline distT="0" distB="0" distL="0" distR="0" wp14:anchorId="07C33AC6" wp14:editId="675507A9">
            <wp:extent cx="5940425" cy="2340610"/>
            <wp:effectExtent l="0" t="0" r="3175" b="254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940425" cy="2340610"/>
                    </a:xfrm>
                    <a:prstGeom prst="rect">
                      <a:avLst/>
                    </a:prstGeom>
                  </pic:spPr>
                </pic:pic>
              </a:graphicData>
            </a:graphic>
          </wp:inline>
        </w:drawing>
      </w:r>
    </w:p>
    <w:p w14:paraId="19FDF989" w14:textId="62A69F8A" w:rsidR="00CA3468" w:rsidRDefault="33985B12" w:rsidP="33985B12">
      <w:pPr>
        <w:spacing w:before="240" w:after="240"/>
        <w:jc w:val="both"/>
        <w:rPr>
          <w:rFonts w:ascii="Times New Roman" w:eastAsia="Times New Roman" w:hAnsi="Times New Roman" w:cs="Times New Roman"/>
          <w:sz w:val="26"/>
          <w:szCs w:val="26"/>
        </w:rPr>
      </w:pPr>
      <w:r w:rsidRPr="33985B12">
        <w:rPr>
          <w:rFonts w:ascii="Times New Roman" w:eastAsia="Times New Roman" w:hAnsi="Times New Roman" w:cs="Times New Roman"/>
          <w:sz w:val="26"/>
          <w:szCs w:val="26"/>
        </w:rPr>
        <w:t xml:space="preserve">Az </w:t>
      </w:r>
      <w:r w:rsidRPr="33985B12">
        <w:rPr>
          <w:rFonts w:ascii="Times New Roman" w:eastAsia="Times New Roman" w:hAnsi="Times New Roman" w:cs="Times New Roman"/>
          <w:b/>
          <w:bCs/>
          <w:sz w:val="26"/>
          <w:szCs w:val="26"/>
        </w:rPr>
        <w:t>Egészségbiztosítási Alap</w:t>
      </w:r>
      <w:r w:rsidRPr="33985B12">
        <w:rPr>
          <w:rFonts w:ascii="Times New Roman" w:eastAsia="Times New Roman" w:hAnsi="Times New Roman" w:cs="Times New Roman"/>
          <w:sz w:val="26"/>
          <w:szCs w:val="26"/>
        </w:rPr>
        <w:t xml:space="preserve"> összes kiadásának 25,7%-át a </w:t>
      </w:r>
      <w:r w:rsidRPr="33985B12">
        <w:rPr>
          <w:rFonts w:ascii="Times New Roman" w:eastAsia="Times New Roman" w:hAnsi="Times New Roman" w:cs="Times New Roman"/>
          <w:b/>
          <w:bCs/>
          <w:sz w:val="26"/>
          <w:szCs w:val="26"/>
        </w:rPr>
        <w:t>pénzbeli ellátásokra</w:t>
      </w:r>
      <w:r w:rsidRPr="33985B12">
        <w:rPr>
          <w:rFonts w:ascii="Times New Roman" w:eastAsia="Times New Roman" w:hAnsi="Times New Roman" w:cs="Times New Roman"/>
          <w:sz w:val="26"/>
          <w:szCs w:val="26"/>
        </w:rPr>
        <w:t xml:space="preserve"> fordított összeg adta. Az ellátások részletes bemutatását a következő táblázat tartalmazza:</w:t>
      </w:r>
    </w:p>
    <w:p w14:paraId="1D31F2C8" w14:textId="3F5AAC59" w:rsidR="00DA4FBC" w:rsidRDefault="33985B12" w:rsidP="33985B12">
      <w:pPr>
        <w:spacing w:after="120"/>
        <w:jc w:val="center"/>
        <w:rPr>
          <w:rFonts w:ascii="Times New Roman" w:eastAsia="Times New Roman" w:hAnsi="Times New Roman" w:cs="Times New Roman"/>
          <w:b/>
          <w:bCs/>
          <w:sz w:val="26"/>
          <w:szCs w:val="26"/>
        </w:rPr>
      </w:pPr>
      <w:r w:rsidRPr="33985B12">
        <w:rPr>
          <w:rFonts w:ascii="Times New Roman" w:eastAsia="Times New Roman" w:hAnsi="Times New Roman" w:cs="Times New Roman"/>
          <w:b/>
          <w:bCs/>
          <w:sz w:val="26"/>
          <w:szCs w:val="26"/>
        </w:rPr>
        <w:lastRenderedPageBreak/>
        <w:t>Az Egészségbiztosítási Alap pénzbeli ellátásokra fordított kiadásainak alakulása (milliárd forint)</w:t>
      </w:r>
    </w:p>
    <w:tbl>
      <w:tblPr>
        <w:tblpPr w:leftFromText="141" w:rightFromText="141" w:vertAnchor="text" w:tblpXSpec="center" w:tblpY="1"/>
        <w:tblOverlap w:val="never"/>
        <w:tblW w:w="8718" w:type="dxa"/>
        <w:tblLayout w:type="fixed"/>
        <w:tblCellMar>
          <w:left w:w="70" w:type="dxa"/>
          <w:right w:w="70" w:type="dxa"/>
        </w:tblCellMar>
        <w:tblLook w:val="04A0" w:firstRow="1" w:lastRow="0" w:firstColumn="1" w:lastColumn="0" w:noHBand="0" w:noVBand="1"/>
      </w:tblPr>
      <w:tblGrid>
        <w:gridCol w:w="4179"/>
        <w:gridCol w:w="1134"/>
        <w:gridCol w:w="1420"/>
        <w:gridCol w:w="992"/>
        <w:gridCol w:w="993"/>
      </w:tblGrid>
      <w:tr w:rsidR="00E601EF" w:rsidRPr="00377D59" w14:paraId="06E6BC15" w14:textId="77777777" w:rsidTr="00081A16">
        <w:trPr>
          <w:trHeight w:val="340"/>
        </w:trPr>
        <w:tc>
          <w:tcPr>
            <w:tcW w:w="4179" w:type="dxa"/>
            <w:vMerge w:val="restart"/>
            <w:tcBorders>
              <w:top w:val="single" w:sz="4" w:space="0" w:color="auto"/>
              <w:left w:val="single" w:sz="4" w:space="0" w:color="auto"/>
              <w:bottom w:val="single" w:sz="4" w:space="0" w:color="000000" w:themeColor="text1"/>
              <w:right w:val="single" w:sz="4" w:space="0" w:color="auto"/>
            </w:tcBorders>
            <w:shd w:val="clear" w:color="auto" w:fill="DBE5F1"/>
            <w:noWrap/>
            <w:vAlign w:val="center"/>
            <w:hideMark/>
          </w:tcPr>
          <w:p w14:paraId="510863DA" w14:textId="77777777" w:rsidR="00E601EF" w:rsidRPr="00377D59" w:rsidRDefault="33985B12" w:rsidP="33985B12">
            <w:pPr>
              <w:keepNext/>
              <w:keepLines/>
              <w:spacing w:after="0" w:line="240" w:lineRule="auto"/>
              <w:jc w:val="center"/>
              <w:rPr>
                <w:rFonts w:ascii="Times New Roman" w:eastAsia="Times New Roman" w:hAnsi="Times New Roman" w:cs="Times New Roman"/>
                <w:b/>
                <w:bCs/>
              </w:rPr>
            </w:pPr>
            <w:r w:rsidRPr="33985B12">
              <w:rPr>
                <w:rFonts w:ascii="Times New Roman" w:eastAsia="Times New Roman" w:hAnsi="Times New Roman" w:cs="Times New Roman"/>
                <w:b/>
                <w:bCs/>
              </w:rPr>
              <w:t>Megnevezés</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49EB8759" w14:textId="77777777" w:rsidR="00E601EF" w:rsidRPr="00377D59" w:rsidRDefault="33985B12" w:rsidP="33985B12">
            <w:pPr>
              <w:keepNext/>
              <w:keepLines/>
              <w:spacing w:after="0" w:line="240" w:lineRule="auto"/>
              <w:jc w:val="center"/>
              <w:rPr>
                <w:rFonts w:ascii="Times New Roman" w:eastAsia="Times New Roman" w:hAnsi="Times New Roman" w:cs="Times New Roman"/>
                <w:b/>
                <w:bCs/>
              </w:rPr>
            </w:pPr>
            <w:r w:rsidRPr="33985B12">
              <w:rPr>
                <w:rFonts w:ascii="Times New Roman" w:eastAsia="Times New Roman" w:hAnsi="Times New Roman" w:cs="Times New Roman"/>
                <w:b/>
                <w:bCs/>
              </w:rPr>
              <w:t xml:space="preserve">2023. </w:t>
            </w:r>
          </w:p>
          <w:p w14:paraId="6BB44369" w14:textId="125CCBBF" w:rsidR="00E601EF" w:rsidRPr="00377D59" w:rsidRDefault="0002105A" w:rsidP="33985B12">
            <w:pPr>
              <w:keepNext/>
              <w:keepLine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évi tény</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5A1BFE64" w14:textId="029886DE" w:rsidR="00E601EF" w:rsidRPr="00377D59" w:rsidRDefault="33985B12" w:rsidP="33985B12">
            <w:pPr>
              <w:keepNext/>
              <w:keepLines/>
              <w:spacing w:after="0" w:line="240" w:lineRule="auto"/>
              <w:jc w:val="center"/>
              <w:rPr>
                <w:rFonts w:ascii="Times New Roman" w:eastAsia="Times New Roman" w:hAnsi="Times New Roman" w:cs="Times New Roman"/>
                <w:b/>
                <w:bCs/>
              </w:rPr>
            </w:pPr>
            <w:r w:rsidRPr="33985B12">
              <w:rPr>
                <w:rFonts w:ascii="Times New Roman" w:eastAsia="Times New Roman" w:hAnsi="Times New Roman" w:cs="Times New Roman"/>
                <w:b/>
                <w:bCs/>
              </w:rPr>
              <w:t xml:space="preserve">2024. </w:t>
            </w:r>
            <w:r w:rsidR="0002105A">
              <w:rPr>
                <w:rFonts w:ascii="Times New Roman" w:eastAsia="Times New Roman" w:hAnsi="Times New Roman" w:cs="Times New Roman"/>
                <w:b/>
                <w:bCs/>
              </w:rPr>
              <w:t>évi előzetes tény</w:t>
            </w:r>
          </w:p>
        </w:tc>
        <w:tc>
          <w:tcPr>
            <w:tcW w:w="1985" w:type="dxa"/>
            <w:gridSpan w:val="2"/>
            <w:tcBorders>
              <w:top w:val="single" w:sz="4" w:space="0" w:color="auto"/>
              <w:left w:val="nil"/>
              <w:bottom w:val="single" w:sz="4" w:space="0" w:color="auto"/>
              <w:right w:val="single" w:sz="4" w:space="0" w:color="auto"/>
            </w:tcBorders>
            <w:shd w:val="clear" w:color="auto" w:fill="DBE5F1"/>
            <w:noWrap/>
            <w:vAlign w:val="center"/>
            <w:hideMark/>
          </w:tcPr>
          <w:p w14:paraId="7EFB39D6" w14:textId="77777777" w:rsidR="00E601EF" w:rsidRPr="00377D59" w:rsidRDefault="33985B12" w:rsidP="33985B12">
            <w:pPr>
              <w:keepNext/>
              <w:keepLines/>
              <w:spacing w:after="0" w:line="240" w:lineRule="auto"/>
              <w:jc w:val="center"/>
              <w:rPr>
                <w:rFonts w:ascii="Times New Roman" w:eastAsia="Times New Roman" w:hAnsi="Times New Roman" w:cs="Times New Roman"/>
                <w:b/>
                <w:bCs/>
              </w:rPr>
            </w:pPr>
            <w:r w:rsidRPr="33985B12">
              <w:rPr>
                <w:rFonts w:ascii="Times New Roman" w:eastAsia="Times New Roman" w:hAnsi="Times New Roman" w:cs="Times New Roman"/>
                <w:b/>
                <w:bCs/>
              </w:rPr>
              <w:t>Eltérés</w:t>
            </w:r>
          </w:p>
        </w:tc>
      </w:tr>
      <w:tr w:rsidR="00E601EF" w:rsidRPr="00377D59" w14:paraId="67C6C54B" w14:textId="77777777" w:rsidTr="00081A16">
        <w:trPr>
          <w:trHeight w:val="340"/>
        </w:trPr>
        <w:tc>
          <w:tcPr>
            <w:tcW w:w="4179" w:type="dxa"/>
            <w:vMerge/>
            <w:tcBorders>
              <w:top w:val="single" w:sz="4" w:space="0" w:color="auto"/>
              <w:left w:val="single" w:sz="4" w:space="0" w:color="auto"/>
              <w:bottom w:val="single" w:sz="4" w:space="0" w:color="000000"/>
              <w:right w:val="single" w:sz="4" w:space="0" w:color="auto"/>
            </w:tcBorders>
            <w:shd w:val="clear" w:color="auto" w:fill="DBE5F1"/>
            <w:vAlign w:val="center"/>
            <w:hideMark/>
          </w:tcPr>
          <w:p w14:paraId="5CCA367D" w14:textId="77777777" w:rsidR="00E601EF" w:rsidRPr="00377D59" w:rsidRDefault="00E601EF" w:rsidP="002678FB">
            <w:pPr>
              <w:keepNext/>
              <w:keepLines/>
              <w:spacing w:after="0" w:line="240" w:lineRule="auto"/>
              <w:rPr>
                <w:rFonts w:ascii="Times New Roman" w:eastAsia="Times New Roman" w:hAnsi="Times New Roman" w:cs="Times New Roman"/>
                <w:b/>
                <w:bCs/>
                <w:lang w:eastAsia="hu-HU"/>
              </w:rPr>
            </w:pPr>
          </w:p>
        </w:tc>
        <w:tc>
          <w:tcPr>
            <w:tcW w:w="1134" w:type="dxa"/>
            <w:vMerge/>
            <w:tcBorders>
              <w:top w:val="single" w:sz="4" w:space="0" w:color="auto"/>
              <w:left w:val="single" w:sz="4" w:space="0" w:color="auto"/>
              <w:bottom w:val="single" w:sz="4" w:space="0" w:color="auto"/>
              <w:right w:val="single" w:sz="4" w:space="0" w:color="auto"/>
            </w:tcBorders>
            <w:shd w:val="clear" w:color="auto" w:fill="DBE5F1"/>
            <w:vAlign w:val="center"/>
            <w:hideMark/>
          </w:tcPr>
          <w:p w14:paraId="5499307A" w14:textId="77777777" w:rsidR="00E601EF" w:rsidRPr="00377D59" w:rsidRDefault="00E601EF" w:rsidP="002678FB">
            <w:pPr>
              <w:keepNext/>
              <w:keepLines/>
              <w:spacing w:after="0" w:line="240" w:lineRule="auto"/>
              <w:jc w:val="center"/>
              <w:rPr>
                <w:rFonts w:ascii="Times New Roman" w:eastAsia="Times New Roman" w:hAnsi="Times New Roman" w:cs="Times New Roman"/>
                <w:b/>
                <w:bCs/>
                <w:lang w:eastAsia="hu-HU"/>
              </w:rPr>
            </w:pPr>
          </w:p>
        </w:tc>
        <w:tc>
          <w:tcPr>
            <w:tcW w:w="1420" w:type="dxa"/>
            <w:vMerge/>
            <w:tcBorders>
              <w:top w:val="single" w:sz="4" w:space="0" w:color="auto"/>
              <w:left w:val="single" w:sz="4" w:space="0" w:color="auto"/>
              <w:bottom w:val="single" w:sz="4" w:space="0" w:color="auto"/>
              <w:right w:val="single" w:sz="4" w:space="0" w:color="auto"/>
            </w:tcBorders>
            <w:shd w:val="clear" w:color="auto" w:fill="DBE5F1"/>
            <w:vAlign w:val="center"/>
            <w:hideMark/>
          </w:tcPr>
          <w:p w14:paraId="13E594B6" w14:textId="77777777" w:rsidR="00E601EF" w:rsidRPr="00377D59" w:rsidRDefault="00E601EF" w:rsidP="002678FB">
            <w:pPr>
              <w:keepNext/>
              <w:keepLines/>
              <w:spacing w:after="0" w:line="240" w:lineRule="auto"/>
              <w:jc w:val="center"/>
              <w:rPr>
                <w:rFonts w:ascii="Times New Roman" w:eastAsia="Times New Roman" w:hAnsi="Times New Roman" w:cs="Times New Roman"/>
                <w:b/>
                <w:bCs/>
                <w:lang w:eastAsia="hu-HU"/>
              </w:rPr>
            </w:pPr>
          </w:p>
        </w:tc>
        <w:tc>
          <w:tcPr>
            <w:tcW w:w="992" w:type="dxa"/>
            <w:tcBorders>
              <w:top w:val="single" w:sz="4" w:space="0" w:color="auto"/>
              <w:left w:val="nil"/>
              <w:bottom w:val="single" w:sz="4" w:space="0" w:color="auto"/>
              <w:right w:val="single" w:sz="4" w:space="0" w:color="auto"/>
            </w:tcBorders>
            <w:shd w:val="clear" w:color="auto" w:fill="DBE5F1"/>
            <w:noWrap/>
            <w:vAlign w:val="center"/>
            <w:hideMark/>
          </w:tcPr>
          <w:p w14:paraId="6986BC2B" w14:textId="77777777" w:rsidR="00E601EF" w:rsidRPr="00377D59" w:rsidRDefault="33985B12" w:rsidP="33985B12">
            <w:pPr>
              <w:keepNext/>
              <w:keepLines/>
              <w:spacing w:after="0" w:line="240" w:lineRule="auto"/>
              <w:jc w:val="center"/>
              <w:rPr>
                <w:rFonts w:ascii="Times New Roman" w:eastAsia="Times New Roman" w:hAnsi="Times New Roman" w:cs="Times New Roman"/>
                <w:b/>
                <w:bCs/>
                <w:lang w:eastAsia="hu-HU"/>
              </w:rPr>
            </w:pPr>
            <w:r w:rsidRPr="33985B12">
              <w:rPr>
                <w:rFonts w:ascii="Times New Roman" w:eastAsia="Times New Roman" w:hAnsi="Times New Roman" w:cs="Times New Roman"/>
                <w:b/>
                <w:bCs/>
                <w:lang w:eastAsia="hu-HU"/>
              </w:rPr>
              <w:t>Mrd Ft</w:t>
            </w:r>
          </w:p>
        </w:tc>
        <w:tc>
          <w:tcPr>
            <w:tcW w:w="993" w:type="dxa"/>
            <w:tcBorders>
              <w:top w:val="single" w:sz="4" w:space="0" w:color="auto"/>
              <w:left w:val="nil"/>
              <w:bottom w:val="single" w:sz="4" w:space="0" w:color="auto"/>
              <w:right w:val="single" w:sz="4" w:space="0" w:color="auto"/>
            </w:tcBorders>
            <w:shd w:val="clear" w:color="auto" w:fill="DBE5F1"/>
            <w:noWrap/>
            <w:vAlign w:val="center"/>
            <w:hideMark/>
          </w:tcPr>
          <w:p w14:paraId="70EDA458" w14:textId="77777777" w:rsidR="00E601EF" w:rsidRPr="00377D59" w:rsidRDefault="33985B12" w:rsidP="33985B12">
            <w:pPr>
              <w:keepNext/>
              <w:keepLines/>
              <w:spacing w:after="0" w:line="240" w:lineRule="auto"/>
              <w:jc w:val="center"/>
              <w:rPr>
                <w:rFonts w:ascii="Times New Roman" w:eastAsia="Times New Roman" w:hAnsi="Times New Roman" w:cs="Times New Roman"/>
                <w:b/>
                <w:bCs/>
                <w:lang w:eastAsia="hu-HU"/>
              </w:rPr>
            </w:pPr>
            <w:r w:rsidRPr="33985B12">
              <w:rPr>
                <w:rFonts w:ascii="Times New Roman" w:eastAsia="Times New Roman" w:hAnsi="Times New Roman" w:cs="Times New Roman"/>
                <w:b/>
                <w:bCs/>
                <w:lang w:eastAsia="hu-HU"/>
              </w:rPr>
              <w:t>%</w:t>
            </w:r>
          </w:p>
        </w:tc>
      </w:tr>
      <w:tr w:rsidR="00E601EF" w:rsidRPr="00377D59" w14:paraId="0F7FB8C0" w14:textId="77777777" w:rsidTr="33985B12">
        <w:trPr>
          <w:trHeight w:val="340"/>
        </w:trPr>
        <w:tc>
          <w:tcPr>
            <w:tcW w:w="4179" w:type="dxa"/>
            <w:tcBorders>
              <w:top w:val="nil"/>
              <w:left w:val="single" w:sz="4" w:space="0" w:color="auto"/>
              <w:bottom w:val="single" w:sz="4" w:space="0" w:color="auto"/>
              <w:right w:val="single" w:sz="4" w:space="0" w:color="auto"/>
            </w:tcBorders>
            <w:shd w:val="clear" w:color="auto" w:fill="auto"/>
            <w:noWrap/>
            <w:vAlign w:val="center"/>
            <w:hideMark/>
          </w:tcPr>
          <w:p w14:paraId="4F8BBBDE" w14:textId="77777777" w:rsidR="00E601EF" w:rsidRPr="00377D59" w:rsidRDefault="33985B12" w:rsidP="33985B12">
            <w:pPr>
              <w:keepNext/>
              <w:keepLines/>
              <w:spacing w:after="0" w:line="240" w:lineRule="auto"/>
              <w:rPr>
                <w:rFonts w:ascii="Times New Roman" w:eastAsia="Times New Roman" w:hAnsi="Times New Roman" w:cs="Times New Roman"/>
                <w:b/>
                <w:bCs/>
                <w:lang w:eastAsia="hu-HU"/>
              </w:rPr>
            </w:pPr>
            <w:r w:rsidRPr="33985B12">
              <w:rPr>
                <w:rFonts w:ascii="Times New Roman" w:eastAsia="Times New Roman" w:hAnsi="Times New Roman" w:cs="Times New Roman"/>
                <w:b/>
                <w:bCs/>
                <w:lang w:eastAsia="hu-HU"/>
              </w:rPr>
              <w:t>Pénzbeli ellátások</w:t>
            </w:r>
          </w:p>
        </w:tc>
        <w:tc>
          <w:tcPr>
            <w:tcW w:w="1134" w:type="dxa"/>
            <w:tcBorders>
              <w:top w:val="single" w:sz="4" w:space="0" w:color="auto"/>
              <w:left w:val="nil"/>
              <w:bottom w:val="single" w:sz="4" w:space="0" w:color="auto"/>
              <w:right w:val="single" w:sz="4" w:space="0" w:color="auto"/>
            </w:tcBorders>
            <w:shd w:val="clear" w:color="auto" w:fill="auto"/>
            <w:vAlign w:val="center"/>
          </w:tcPr>
          <w:p w14:paraId="3EB30386" w14:textId="77028F27" w:rsidR="00E601EF" w:rsidRPr="00377D59" w:rsidRDefault="33985B12" w:rsidP="33985B12">
            <w:pPr>
              <w:keepNext/>
              <w:keepLines/>
              <w:spacing w:after="0"/>
              <w:jc w:val="right"/>
              <w:rPr>
                <w:rFonts w:ascii="Times New Roman" w:eastAsia="Times New Roman" w:hAnsi="Times New Roman" w:cs="Times New Roman"/>
                <w:b/>
                <w:bCs/>
                <w:lang w:eastAsia="hu-HU"/>
              </w:rPr>
            </w:pPr>
            <w:r w:rsidRPr="33985B12">
              <w:rPr>
                <w:rFonts w:ascii="Times New Roman" w:eastAsia="Times New Roman" w:hAnsi="Times New Roman" w:cs="Times New Roman"/>
                <w:b/>
                <w:bCs/>
                <w:lang w:eastAsia="hu-HU"/>
              </w:rPr>
              <w:t>1 065,4</w:t>
            </w:r>
          </w:p>
        </w:tc>
        <w:tc>
          <w:tcPr>
            <w:tcW w:w="1420" w:type="dxa"/>
            <w:tcBorders>
              <w:top w:val="single" w:sz="4" w:space="0" w:color="auto"/>
              <w:left w:val="nil"/>
              <w:bottom w:val="single" w:sz="4" w:space="0" w:color="auto"/>
              <w:right w:val="single" w:sz="4" w:space="0" w:color="auto"/>
            </w:tcBorders>
            <w:shd w:val="clear" w:color="auto" w:fill="auto"/>
            <w:vAlign w:val="center"/>
          </w:tcPr>
          <w:p w14:paraId="749AF748" w14:textId="5F389B1D" w:rsidR="00E601EF" w:rsidRPr="00377D59" w:rsidRDefault="005B0833" w:rsidP="33985B12">
            <w:pPr>
              <w:keepNext/>
              <w:keepLines/>
              <w:spacing w:after="0"/>
              <w:jc w:val="right"/>
              <w:rPr>
                <w:rFonts w:ascii="Times New Roman" w:eastAsia="Times New Roman" w:hAnsi="Times New Roman" w:cs="Times New Roman"/>
                <w:b/>
                <w:bCs/>
                <w:lang w:eastAsia="hu-HU"/>
              </w:rPr>
            </w:pPr>
            <w:r>
              <w:rPr>
                <w:rFonts w:ascii="Times New Roman" w:eastAsia="Times New Roman" w:hAnsi="Times New Roman" w:cs="Times New Roman"/>
                <w:b/>
                <w:bCs/>
                <w:lang w:eastAsia="hu-HU"/>
              </w:rPr>
              <w:t>1 </w:t>
            </w:r>
            <w:r w:rsidR="33985B12" w:rsidRPr="33985B12">
              <w:rPr>
                <w:rFonts w:ascii="Times New Roman" w:eastAsia="Times New Roman" w:hAnsi="Times New Roman" w:cs="Times New Roman"/>
                <w:b/>
                <w:bCs/>
                <w:lang w:eastAsia="hu-HU"/>
              </w:rPr>
              <w:t>164,4</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80D698F" w14:textId="6EC4C22F" w:rsidR="00E601EF" w:rsidRPr="00377D59" w:rsidRDefault="33985B12" w:rsidP="33985B12">
            <w:pPr>
              <w:keepNext/>
              <w:keepLines/>
              <w:spacing w:after="0"/>
              <w:jc w:val="right"/>
              <w:rPr>
                <w:rFonts w:ascii="Times New Roman" w:eastAsia="Times New Roman" w:hAnsi="Times New Roman" w:cs="Times New Roman"/>
                <w:b/>
                <w:bCs/>
                <w:lang w:eastAsia="hu-HU"/>
              </w:rPr>
            </w:pPr>
            <w:r w:rsidRPr="33985B12">
              <w:rPr>
                <w:rFonts w:ascii="Times New Roman" w:eastAsia="Times New Roman" w:hAnsi="Times New Roman" w:cs="Times New Roman"/>
                <w:b/>
                <w:bCs/>
                <w:lang w:eastAsia="hu-HU"/>
              </w:rPr>
              <w:t>99,0</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35977C13" w14:textId="3D849619" w:rsidR="00E601EF" w:rsidRPr="00377D59" w:rsidRDefault="33985B12" w:rsidP="33985B12">
            <w:pPr>
              <w:keepNext/>
              <w:keepLines/>
              <w:spacing w:after="0"/>
              <w:jc w:val="right"/>
              <w:rPr>
                <w:rFonts w:ascii="Times New Roman" w:eastAsia="Times New Roman" w:hAnsi="Times New Roman" w:cs="Times New Roman"/>
                <w:b/>
                <w:bCs/>
                <w:lang w:eastAsia="hu-HU"/>
              </w:rPr>
            </w:pPr>
            <w:r w:rsidRPr="33985B12">
              <w:rPr>
                <w:rFonts w:ascii="Times New Roman" w:eastAsia="Times New Roman" w:hAnsi="Times New Roman" w:cs="Times New Roman"/>
                <w:b/>
                <w:bCs/>
                <w:lang w:eastAsia="hu-HU"/>
              </w:rPr>
              <w:t>109,3</w:t>
            </w:r>
          </w:p>
        </w:tc>
      </w:tr>
      <w:tr w:rsidR="00E601EF" w:rsidRPr="00377D59" w14:paraId="07715518" w14:textId="77777777" w:rsidTr="33985B12">
        <w:trPr>
          <w:trHeight w:val="284"/>
        </w:trPr>
        <w:tc>
          <w:tcPr>
            <w:tcW w:w="4179" w:type="dxa"/>
            <w:tcBorders>
              <w:top w:val="nil"/>
              <w:left w:val="single" w:sz="4" w:space="0" w:color="auto"/>
              <w:bottom w:val="single" w:sz="4" w:space="0" w:color="auto"/>
              <w:right w:val="single" w:sz="4" w:space="0" w:color="auto"/>
            </w:tcBorders>
            <w:shd w:val="clear" w:color="auto" w:fill="auto"/>
            <w:noWrap/>
            <w:vAlign w:val="center"/>
            <w:hideMark/>
          </w:tcPr>
          <w:p w14:paraId="31DF5B0B" w14:textId="77777777" w:rsidR="00E601EF" w:rsidRPr="00377D59" w:rsidRDefault="33985B12" w:rsidP="33985B12">
            <w:pPr>
              <w:keepNext/>
              <w:keepLines/>
              <w:spacing w:after="0" w:line="240" w:lineRule="auto"/>
              <w:ind w:firstLine="285"/>
              <w:rPr>
                <w:rFonts w:ascii="Times New Roman" w:eastAsia="Times New Roman" w:hAnsi="Times New Roman" w:cs="Times New Roman"/>
                <w:i/>
                <w:iCs/>
                <w:lang w:eastAsia="hu-HU"/>
              </w:rPr>
            </w:pPr>
            <w:r w:rsidRPr="33985B12">
              <w:rPr>
                <w:rFonts w:ascii="Times New Roman" w:eastAsia="Times New Roman" w:hAnsi="Times New Roman" w:cs="Times New Roman"/>
                <w:i/>
                <w:iCs/>
                <w:lang w:eastAsia="hu-HU"/>
              </w:rPr>
              <w:t>Ebből:</w:t>
            </w:r>
          </w:p>
        </w:tc>
        <w:tc>
          <w:tcPr>
            <w:tcW w:w="4539" w:type="dxa"/>
            <w:gridSpan w:val="4"/>
            <w:tcBorders>
              <w:top w:val="single" w:sz="4" w:space="0" w:color="auto"/>
              <w:left w:val="nil"/>
              <w:bottom w:val="single" w:sz="4" w:space="0" w:color="auto"/>
              <w:right w:val="single" w:sz="4" w:space="0" w:color="auto"/>
            </w:tcBorders>
            <w:shd w:val="clear" w:color="auto" w:fill="auto"/>
            <w:vAlign w:val="center"/>
          </w:tcPr>
          <w:p w14:paraId="60B47ECC" w14:textId="77777777" w:rsidR="00E601EF" w:rsidRPr="00377D59" w:rsidRDefault="00E601EF" w:rsidP="002678FB">
            <w:pPr>
              <w:keepNext/>
              <w:keepLines/>
              <w:spacing w:after="0" w:line="240" w:lineRule="auto"/>
              <w:jc w:val="right"/>
              <w:rPr>
                <w:rFonts w:ascii="Times New Roman" w:eastAsia="Times New Roman" w:hAnsi="Times New Roman" w:cs="Times New Roman"/>
                <w:lang w:eastAsia="hu-HU"/>
              </w:rPr>
            </w:pPr>
          </w:p>
        </w:tc>
      </w:tr>
      <w:tr w:rsidR="00E601EF" w:rsidRPr="00377D59" w14:paraId="72B9616A" w14:textId="77777777" w:rsidTr="33985B12">
        <w:trPr>
          <w:trHeight w:val="340"/>
        </w:trPr>
        <w:tc>
          <w:tcPr>
            <w:tcW w:w="4179" w:type="dxa"/>
            <w:tcBorders>
              <w:top w:val="nil"/>
              <w:left w:val="single" w:sz="4" w:space="0" w:color="auto"/>
              <w:bottom w:val="single" w:sz="4" w:space="0" w:color="auto"/>
              <w:right w:val="single" w:sz="4" w:space="0" w:color="auto"/>
            </w:tcBorders>
            <w:shd w:val="clear" w:color="auto" w:fill="auto"/>
            <w:noWrap/>
            <w:vAlign w:val="center"/>
            <w:hideMark/>
          </w:tcPr>
          <w:p w14:paraId="21DA2C4C" w14:textId="77777777" w:rsidR="00E601EF" w:rsidRPr="00377D59" w:rsidRDefault="33985B12" w:rsidP="33985B12">
            <w:pPr>
              <w:keepNext/>
              <w:keepLines/>
              <w:spacing w:after="0" w:line="240" w:lineRule="auto"/>
              <w:ind w:firstLineChars="284" w:firstLine="625"/>
              <w:rPr>
                <w:rFonts w:ascii="Times New Roman" w:eastAsia="Times New Roman" w:hAnsi="Times New Roman" w:cs="Times New Roman"/>
                <w:lang w:eastAsia="hu-HU"/>
              </w:rPr>
            </w:pPr>
            <w:r w:rsidRPr="33985B12">
              <w:rPr>
                <w:rFonts w:ascii="Times New Roman" w:eastAsia="Times New Roman" w:hAnsi="Times New Roman" w:cs="Times New Roman"/>
                <w:lang w:eastAsia="hu-HU"/>
              </w:rPr>
              <w:t>Rokkantsági, rehabilitációs ellátások</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9E22A63" w14:textId="04D7989B" w:rsidR="00E601EF" w:rsidRPr="00377D59" w:rsidRDefault="33985B12" w:rsidP="33985B12">
            <w:pPr>
              <w:keepNext/>
              <w:keepLines/>
              <w:spacing w:after="0"/>
              <w:jc w:val="right"/>
              <w:rPr>
                <w:rFonts w:ascii="Times New Roman" w:eastAsia="Times New Roman" w:hAnsi="Times New Roman" w:cs="Times New Roman"/>
                <w:lang w:eastAsia="hu-HU"/>
              </w:rPr>
            </w:pPr>
            <w:r w:rsidRPr="33985B12">
              <w:rPr>
                <w:rFonts w:ascii="Times New Roman" w:eastAsia="Times New Roman" w:hAnsi="Times New Roman" w:cs="Times New Roman"/>
                <w:lang w:eastAsia="hu-HU"/>
              </w:rPr>
              <w:t>379,0</w:t>
            </w:r>
          </w:p>
        </w:tc>
        <w:tc>
          <w:tcPr>
            <w:tcW w:w="1420" w:type="dxa"/>
            <w:tcBorders>
              <w:top w:val="single" w:sz="4" w:space="0" w:color="auto"/>
              <w:left w:val="nil"/>
              <w:bottom w:val="single" w:sz="4" w:space="0" w:color="auto"/>
              <w:right w:val="single" w:sz="4" w:space="0" w:color="auto"/>
            </w:tcBorders>
            <w:shd w:val="clear" w:color="auto" w:fill="auto"/>
            <w:noWrap/>
            <w:vAlign w:val="center"/>
          </w:tcPr>
          <w:p w14:paraId="0480FC73" w14:textId="1F7AB5B3" w:rsidR="00E601EF" w:rsidRPr="00377D59" w:rsidRDefault="33985B12" w:rsidP="33985B12">
            <w:pPr>
              <w:keepNext/>
              <w:keepLines/>
              <w:spacing w:after="0"/>
              <w:jc w:val="right"/>
              <w:rPr>
                <w:rFonts w:ascii="Times New Roman" w:eastAsia="Times New Roman" w:hAnsi="Times New Roman" w:cs="Times New Roman"/>
                <w:lang w:eastAsia="hu-HU"/>
              </w:rPr>
            </w:pPr>
            <w:r w:rsidRPr="33985B12">
              <w:rPr>
                <w:rFonts w:ascii="Times New Roman" w:eastAsia="Times New Roman" w:hAnsi="Times New Roman" w:cs="Times New Roman"/>
                <w:lang w:eastAsia="hu-HU"/>
              </w:rPr>
              <w:t>400,5</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3616B24" w14:textId="003A8929" w:rsidR="00E601EF" w:rsidRPr="00377D59" w:rsidRDefault="33985B12" w:rsidP="33985B12">
            <w:pPr>
              <w:keepNext/>
              <w:keepLines/>
              <w:spacing w:after="0"/>
              <w:jc w:val="right"/>
              <w:rPr>
                <w:rFonts w:ascii="Times New Roman" w:eastAsia="Times New Roman" w:hAnsi="Times New Roman" w:cs="Times New Roman"/>
                <w:lang w:eastAsia="hu-HU"/>
              </w:rPr>
            </w:pPr>
            <w:r w:rsidRPr="33985B12">
              <w:rPr>
                <w:rFonts w:ascii="Times New Roman" w:eastAsia="Times New Roman" w:hAnsi="Times New Roman" w:cs="Times New Roman"/>
                <w:lang w:eastAsia="hu-HU"/>
              </w:rPr>
              <w:t>21,5</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2B583A17" w14:textId="1FF5EADE" w:rsidR="00E601EF" w:rsidRPr="00377D59" w:rsidRDefault="33985B12" w:rsidP="33985B12">
            <w:pPr>
              <w:keepNext/>
              <w:keepLines/>
              <w:spacing w:after="0"/>
              <w:jc w:val="right"/>
              <w:rPr>
                <w:rFonts w:ascii="Times New Roman" w:eastAsia="Times New Roman" w:hAnsi="Times New Roman" w:cs="Times New Roman"/>
                <w:lang w:eastAsia="hu-HU"/>
              </w:rPr>
            </w:pPr>
            <w:r w:rsidRPr="33985B12">
              <w:rPr>
                <w:rFonts w:ascii="Times New Roman" w:eastAsia="Times New Roman" w:hAnsi="Times New Roman" w:cs="Times New Roman"/>
                <w:lang w:eastAsia="hu-HU"/>
              </w:rPr>
              <w:t>105,7</w:t>
            </w:r>
          </w:p>
        </w:tc>
      </w:tr>
      <w:tr w:rsidR="00E601EF" w:rsidRPr="00377D59" w14:paraId="778FD915" w14:textId="77777777" w:rsidTr="33985B12">
        <w:trPr>
          <w:trHeight w:val="340"/>
        </w:trPr>
        <w:tc>
          <w:tcPr>
            <w:tcW w:w="4179" w:type="dxa"/>
            <w:tcBorders>
              <w:top w:val="nil"/>
              <w:left w:val="single" w:sz="4" w:space="0" w:color="auto"/>
              <w:bottom w:val="single" w:sz="4" w:space="0" w:color="auto"/>
              <w:right w:val="single" w:sz="4" w:space="0" w:color="auto"/>
            </w:tcBorders>
            <w:shd w:val="clear" w:color="auto" w:fill="auto"/>
            <w:noWrap/>
            <w:vAlign w:val="center"/>
            <w:hideMark/>
          </w:tcPr>
          <w:p w14:paraId="4CDB1046" w14:textId="77777777" w:rsidR="00E601EF" w:rsidRPr="00377D59" w:rsidRDefault="33985B12" w:rsidP="33985B12">
            <w:pPr>
              <w:keepNext/>
              <w:keepLines/>
              <w:spacing w:after="0" w:line="240" w:lineRule="auto"/>
              <w:ind w:firstLineChars="284" w:firstLine="625"/>
              <w:rPr>
                <w:rFonts w:ascii="Times New Roman" w:eastAsia="Times New Roman" w:hAnsi="Times New Roman" w:cs="Times New Roman"/>
                <w:lang w:eastAsia="hu-HU"/>
              </w:rPr>
            </w:pPr>
            <w:r w:rsidRPr="33985B12">
              <w:rPr>
                <w:rFonts w:ascii="Times New Roman" w:eastAsia="Times New Roman" w:hAnsi="Times New Roman" w:cs="Times New Roman"/>
                <w:lang w:eastAsia="hu-HU"/>
              </w:rPr>
              <w:t>Gyermekgondozási díj</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B0C3582" w14:textId="3AB6A600" w:rsidR="00E601EF" w:rsidRPr="00377D59" w:rsidRDefault="33985B12" w:rsidP="33985B12">
            <w:pPr>
              <w:keepNext/>
              <w:keepLines/>
              <w:spacing w:after="0"/>
              <w:jc w:val="right"/>
              <w:rPr>
                <w:rFonts w:ascii="Times New Roman" w:eastAsia="Times New Roman" w:hAnsi="Times New Roman" w:cs="Times New Roman"/>
                <w:lang w:eastAsia="hu-HU"/>
              </w:rPr>
            </w:pPr>
            <w:r w:rsidRPr="33985B12">
              <w:rPr>
                <w:rFonts w:ascii="Times New Roman" w:eastAsia="Times New Roman" w:hAnsi="Times New Roman" w:cs="Times New Roman"/>
                <w:lang w:eastAsia="hu-HU"/>
              </w:rPr>
              <w:t>328,3</w:t>
            </w:r>
          </w:p>
        </w:tc>
        <w:tc>
          <w:tcPr>
            <w:tcW w:w="1420" w:type="dxa"/>
            <w:tcBorders>
              <w:top w:val="single" w:sz="4" w:space="0" w:color="auto"/>
              <w:left w:val="nil"/>
              <w:bottom w:val="single" w:sz="4" w:space="0" w:color="auto"/>
              <w:right w:val="single" w:sz="4" w:space="0" w:color="auto"/>
            </w:tcBorders>
            <w:shd w:val="clear" w:color="auto" w:fill="auto"/>
            <w:noWrap/>
            <w:vAlign w:val="center"/>
          </w:tcPr>
          <w:p w14:paraId="6E6D7B2A" w14:textId="50B850D1" w:rsidR="00E601EF" w:rsidRPr="00377D59" w:rsidRDefault="33985B12" w:rsidP="33985B12">
            <w:pPr>
              <w:keepNext/>
              <w:keepLines/>
              <w:spacing w:after="0"/>
              <w:jc w:val="right"/>
              <w:rPr>
                <w:rFonts w:ascii="Times New Roman" w:eastAsia="Times New Roman" w:hAnsi="Times New Roman" w:cs="Times New Roman"/>
                <w:lang w:eastAsia="hu-HU"/>
              </w:rPr>
            </w:pPr>
            <w:r w:rsidRPr="33985B12">
              <w:rPr>
                <w:rFonts w:ascii="Times New Roman" w:eastAsia="Times New Roman" w:hAnsi="Times New Roman" w:cs="Times New Roman"/>
                <w:lang w:eastAsia="hu-HU"/>
              </w:rPr>
              <w:t>376,5</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91AEA46" w14:textId="4A478932" w:rsidR="00E601EF" w:rsidRPr="00377D59" w:rsidRDefault="33985B12" w:rsidP="33985B12">
            <w:pPr>
              <w:keepNext/>
              <w:keepLines/>
              <w:spacing w:after="0"/>
              <w:jc w:val="right"/>
              <w:rPr>
                <w:rFonts w:ascii="Times New Roman" w:eastAsia="Times New Roman" w:hAnsi="Times New Roman" w:cs="Times New Roman"/>
                <w:lang w:eastAsia="hu-HU"/>
              </w:rPr>
            </w:pPr>
            <w:r w:rsidRPr="33985B12">
              <w:rPr>
                <w:rFonts w:ascii="Times New Roman" w:eastAsia="Times New Roman" w:hAnsi="Times New Roman" w:cs="Times New Roman"/>
                <w:lang w:eastAsia="hu-HU"/>
              </w:rPr>
              <w:t>48,2</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189A6E8D" w14:textId="2E017A09" w:rsidR="00E601EF" w:rsidRPr="00377D59" w:rsidRDefault="33985B12" w:rsidP="33985B12">
            <w:pPr>
              <w:keepNext/>
              <w:keepLines/>
              <w:spacing w:after="0"/>
              <w:jc w:val="right"/>
              <w:rPr>
                <w:rFonts w:ascii="Times New Roman" w:eastAsia="Times New Roman" w:hAnsi="Times New Roman" w:cs="Times New Roman"/>
                <w:lang w:eastAsia="hu-HU"/>
              </w:rPr>
            </w:pPr>
            <w:r w:rsidRPr="33985B12">
              <w:rPr>
                <w:rFonts w:ascii="Times New Roman" w:eastAsia="Times New Roman" w:hAnsi="Times New Roman" w:cs="Times New Roman"/>
                <w:lang w:eastAsia="hu-HU"/>
              </w:rPr>
              <w:t>114,7</w:t>
            </w:r>
          </w:p>
        </w:tc>
      </w:tr>
      <w:tr w:rsidR="00E601EF" w:rsidRPr="00377D59" w14:paraId="7D62EFFD" w14:textId="77777777" w:rsidTr="33985B12">
        <w:trPr>
          <w:trHeight w:val="340"/>
        </w:trPr>
        <w:tc>
          <w:tcPr>
            <w:tcW w:w="41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87EDDE" w14:textId="77777777" w:rsidR="00E601EF" w:rsidRPr="00377D59" w:rsidRDefault="33985B12" w:rsidP="33985B12">
            <w:pPr>
              <w:keepNext/>
              <w:keepLines/>
              <w:spacing w:after="0" w:line="240" w:lineRule="auto"/>
              <w:ind w:firstLineChars="284" w:firstLine="625"/>
              <w:rPr>
                <w:rFonts w:ascii="Times New Roman" w:eastAsia="Times New Roman" w:hAnsi="Times New Roman" w:cs="Times New Roman"/>
                <w:lang w:eastAsia="hu-HU"/>
              </w:rPr>
            </w:pPr>
            <w:r w:rsidRPr="33985B12">
              <w:rPr>
                <w:rFonts w:ascii="Times New Roman" w:eastAsia="Times New Roman" w:hAnsi="Times New Roman" w:cs="Times New Roman"/>
                <w:lang w:eastAsia="hu-HU"/>
              </w:rPr>
              <w:t>Táppénz</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DBD4593" w14:textId="19017050" w:rsidR="00E601EF" w:rsidRPr="00377D59" w:rsidRDefault="33985B12" w:rsidP="33985B12">
            <w:pPr>
              <w:keepNext/>
              <w:keepLines/>
              <w:spacing w:after="0"/>
              <w:jc w:val="right"/>
              <w:rPr>
                <w:rFonts w:ascii="Times New Roman" w:eastAsia="Times New Roman" w:hAnsi="Times New Roman" w:cs="Times New Roman"/>
                <w:lang w:eastAsia="hu-HU"/>
              </w:rPr>
            </w:pPr>
            <w:r w:rsidRPr="33985B12">
              <w:rPr>
                <w:rFonts w:ascii="Times New Roman" w:eastAsia="Times New Roman" w:hAnsi="Times New Roman" w:cs="Times New Roman"/>
                <w:lang w:eastAsia="hu-HU"/>
              </w:rPr>
              <w:t>192,9</w:t>
            </w:r>
          </w:p>
        </w:tc>
        <w:tc>
          <w:tcPr>
            <w:tcW w:w="1420" w:type="dxa"/>
            <w:tcBorders>
              <w:top w:val="single" w:sz="4" w:space="0" w:color="auto"/>
              <w:left w:val="nil"/>
              <w:bottom w:val="single" w:sz="4" w:space="0" w:color="auto"/>
              <w:right w:val="single" w:sz="4" w:space="0" w:color="auto"/>
            </w:tcBorders>
            <w:shd w:val="clear" w:color="auto" w:fill="auto"/>
            <w:noWrap/>
            <w:vAlign w:val="center"/>
          </w:tcPr>
          <w:p w14:paraId="7122EFC4" w14:textId="6BAC9331" w:rsidR="00E601EF" w:rsidRPr="00377D59" w:rsidRDefault="33985B12" w:rsidP="33985B12">
            <w:pPr>
              <w:keepNext/>
              <w:keepLines/>
              <w:spacing w:after="0"/>
              <w:jc w:val="right"/>
              <w:rPr>
                <w:rFonts w:ascii="Times New Roman" w:eastAsia="Times New Roman" w:hAnsi="Times New Roman" w:cs="Times New Roman"/>
                <w:lang w:eastAsia="hu-HU"/>
              </w:rPr>
            </w:pPr>
            <w:r w:rsidRPr="33985B12">
              <w:rPr>
                <w:rFonts w:ascii="Times New Roman" w:eastAsia="Times New Roman" w:hAnsi="Times New Roman" w:cs="Times New Roman"/>
                <w:lang w:eastAsia="hu-HU"/>
              </w:rPr>
              <w:t>216,9</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4552A76" w14:textId="47EDC0E5" w:rsidR="00E601EF" w:rsidRPr="00377D59" w:rsidRDefault="33985B12" w:rsidP="33985B12">
            <w:pPr>
              <w:keepNext/>
              <w:keepLines/>
              <w:spacing w:after="0"/>
              <w:jc w:val="right"/>
              <w:rPr>
                <w:rFonts w:ascii="Times New Roman" w:eastAsia="Times New Roman" w:hAnsi="Times New Roman" w:cs="Times New Roman"/>
                <w:lang w:eastAsia="hu-HU"/>
              </w:rPr>
            </w:pPr>
            <w:r w:rsidRPr="33985B12">
              <w:rPr>
                <w:rFonts w:ascii="Times New Roman" w:eastAsia="Times New Roman" w:hAnsi="Times New Roman" w:cs="Times New Roman"/>
                <w:lang w:eastAsia="hu-HU"/>
              </w:rPr>
              <w:t>24,0</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324ADF3D" w14:textId="55D2554C" w:rsidR="00E601EF" w:rsidRPr="00377D59" w:rsidRDefault="33985B12" w:rsidP="33985B12">
            <w:pPr>
              <w:keepNext/>
              <w:keepLines/>
              <w:spacing w:after="0"/>
              <w:jc w:val="right"/>
              <w:rPr>
                <w:rFonts w:ascii="Times New Roman" w:eastAsia="Times New Roman" w:hAnsi="Times New Roman" w:cs="Times New Roman"/>
                <w:lang w:eastAsia="hu-HU"/>
              </w:rPr>
            </w:pPr>
            <w:r w:rsidRPr="33985B12">
              <w:rPr>
                <w:rFonts w:ascii="Times New Roman" w:eastAsia="Times New Roman" w:hAnsi="Times New Roman" w:cs="Times New Roman"/>
                <w:lang w:eastAsia="hu-HU"/>
              </w:rPr>
              <w:t>112,5</w:t>
            </w:r>
          </w:p>
        </w:tc>
      </w:tr>
    </w:tbl>
    <w:p w14:paraId="12645E46" w14:textId="77777777" w:rsidR="00C11940" w:rsidRDefault="00C11940" w:rsidP="24CA6B4B">
      <w:pPr>
        <w:spacing w:before="240"/>
        <w:jc w:val="both"/>
        <w:rPr>
          <w:rFonts w:ascii="Times New Roman" w:eastAsia="Times New Roman" w:hAnsi="Times New Roman" w:cs="Times New Roman"/>
          <w:sz w:val="26"/>
          <w:szCs w:val="26"/>
        </w:rPr>
      </w:pPr>
    </w:p>
    <w:p w14:paraId="0018CD50" w14:textId="304835D1" w:rsidR="000A1F24" w:rsidRDefault="00C11940" w:rsidP="33985B12">
      <w:pPr>
        <w:spacing w:before="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br w:type="column"/>
      </w:r>
      <w:r w:rsidR="24CA6B4B" w:rsidRPr="24CA6B4B">
        <w:rPr>
          <w:rFonts w:ascii="Times New Roman" w:eastAsia="Times New Roman" w:hAnsi="Times New Roman" w:cs="Times New Roman"/>
          <w:sz w:val="26"/>
          <w:szCs w:val="26"/>
        </w:rPr>
        <w:lastRenderedPageBreak/>
        <w:t xml:space="preserve">A </w:t>
      </w:r>
      <w:r w:rsidR="24CA6B4B" w:rsidRPr="24CA6B4B">
        <w:rPr>
          <w:rFonts w:ascii="Times New Roman" w:eastAsia="Times New Roman" w:hAnsi="Times New Roman" w:cs="Times New Roman"/>
          <w:b/>
          <w:bCs/>
          <w:sz w:val="26"/>
          <w:szCs w:val="26"/>
        </w:rPr>
        <w:t>gyógyító-megelőző ellátásokra</w:t>
      </w:r>
      <w:r w:rsidR="24CA6B4B" w:rsidRPr="24CA6B4B">
        <w:rPr>
          <w:rFonts w:ascii="Times New Roman" w:eastAsia="Times New Roman" w:hAnsi="Times New Roman" w:cs="Times New Roman"/>
          <w:sz w:val="26"/>
          <w:szCs w:val="26"/>
        </w:rPr>
        <w:t xml:space="preserve"> fordított kiadás 2024-ben 2 684,1 milliárd forintot tett ki a 2023-ban felmerült 2 410,1 milliárd forint öss</w:t>
      </w:r>
      <w:r w:rsidR="005B0833">
        <w:rPr>
          <w:rFonts w:ascii="Times New Roman" w:eastAsia="Times New Roman" w:hAnsi="Times New Roman" w:cs="Times New Roman"/>
          <w:sz w:val="26"/>
          <w:szCs w:val="26"/>
        </w:rPr>
        <w:t>zegű kiadással szemben. A 2023.</w:t>
      </w:r>
      <w:r w:rsidR="24CA6B4B" w:rsidRPr="24CA6B4B">
        <w:rPr>
          <w:rFonts w:ascii="Times New Roman" w:eastAsia="Times New Roman" w:hAnsi="Times New Roman" w:cs="Times New Roman"/>
          <w:sz w:val="26"/>
          <w:szCs w:val="26"/>
        </w:rPr>
        <w:t xml:space="preserve"> évhez viszonyított magasabb összegű kiadás elsődlegesen az egészségügyi ágazati előmeneteli szabályok hatálya alá tartozó egészségügyi szakdolgozókat és egészségügyben dolgozókat 2024. március 1-jétől megillető, átlagosan 20%-os, valamint az alapellátásban dolgozó egészségügyi dolgozók azonos mértékű béremelésével kapcsolatosan jelentkezik.</w:t>
      </w:r>
    </w:p>
    <w:p w14:paraId="232C3763" w14:textId="4F73705A" w:rsidR="24CA6B4B" w:rsidRDefault="33985B12" w:rsidP="00BA016E">
      <w:pPr>
        <w:jc w:val="both"/>
        <w:rPr>
          <w:rFonts w:ascii="Times New Roman" w:eastAsia="Times New Roman" w:hAnsi="Times New Roman" w:cs="Times New Roman"/>
          <w:sz w:val="26"/>
          <w:szCs w:val="26"/>
        </w:rPr>
      </w:pPr>
      <w:r w:rsidRPr="33985B12">
        <w:rPr>
          <w:rFonts w:ascii="Times New Roman" w:eastAsia="Times New Roman" w:hAnsi="Times New Roman" w:cs="Times New Roman"/>
          <w:sz w:val="26"/>
          <w:szCs w:val="26"/>
        </w:rPr>
        <w:t xml:space="preserve">További kiadás-növelő tényezőt jelent még az, hogy a járóbeteg- és fekvőbeteg-szakellátást nyújtó közfinanszírozott szolgáltatók gazdálkodását segítő intézkedésekről szóló 83/2024. (IV. 17.) Korm. rendelet alapján az említett ellátásokat nyújtó állami, önkormányzati, egyházi tulajdonban álló egészségügyi szolgáltatók, továbbá az orvostudományi egyetemek klinikai központjai a lejárt tartozásállományuk alapján működési támogatásban részesültek első ütemben 2024. április végéig 63,4 milliárd forint összegben, majd </w:t>
      </w:r>
      <w:r w:rsidRPr="33985B12">
        <w:rPr>
          <w:rFonts w:ascii="Times New Roman" w:eastAsia="Times New Roman" w:hAnsi="Times New Roman" w:cs="Times New Roman"/>
          <w:sz w:val="26"/>
          <w:szCs w:val="26"/>
        </w:rPr>
        <w:lastRenderedPageBreak/>
        <w:t>második ütemben, az Egészségbiztosítási Alap Gyógyító-megelőző ellátás alcím Célelőirányzatok jogcímcsoport 2024. évi előirányzatának megemeléséről és egyéb intézkedésről szóló 1171/2024. (VI. 17.) Korm. határozat alapján, 2024. június végéig 41,0</w:t>
      </w:r>
      <w:r w:rsidR="009A65D0">
        <w:rPr>
          <w:rFonts w:ascii="Times New Roman" w:eastAsia="Times New Roman" w:hAnsi="Times New Roman" w:cs="Times New Roman"/>
          <w:sz w:val="26"/>
          <w:szCs w:val="26"/>
        </w:rPr>
        <w:t> </w:t>
      </w:r>
      <w:r w:rsidRPr="33985B12">
        <w:rPr>
          <w:rFonts w:ascii="Times New Roman" w:eastAsia="Times New Roman" w:hAnsi="Times New Roman" w:cs="Times New Roman"/>
          <w:sz w:val="26"/>
          <w:szCs w:val="26"/>
        </w:rPr>
        <w:t xml:space="preserve">milliárd forint összegben. Harmadik ütemben is sor került működési támogatásra, az Egészségbiztosítási Alap Gyógyító-megelőző ellátás alcím Célelőirányzatok jogcímcsoport 2024. évi előirányzatának megemeléséről szóló 1363/2024. (XI. 25.) Korm. határozat alapján </w:t>
      </w:r>
      <w:r w:rsidR="00801B64">
        <w:rPr>
          <w:rFonts w:ascii="Times New Roman" w:eastAsia="Times New Roman" w:hAnsi="Times New Roman" w:cs="Times New Roman"/>
          <w:sz w:val="26"/>
          <w:szCs w:val="26"/>
        </w:rPr>
        <w:t xml:space="preserve">2024. </w:t>
      </w:r>
      <w:r w:rsidRPr="33985B12">
        <w:rPr>
          <w:rFonts w:ascii="Times New Roman" w:eastAsia="Times New Roman" w:hAnsi="Times New Roman" w:cs="Times New Roman"/>
          <w:sz w:val="26"/>
          <w:szCs w:val="26"/>
        </w:rPr>
        <w:t>november végéig 39,5</w:t>
      </w:r>
      <w:r w:rsidR="009A65D0">
        <w:rPr>
          <w:rFonts w:ascii="Times New Roman" w:eastAsia="Times New Roman" w:hAnsi="Times New Roman" w:cs="Times New Roman"/>
          <w:sz w:val="26"/>
          <w:szCs w:val="26"/>
        </w:rPr>
        <w:t> </w:t>
      </w:r>
      <w:r w:rsidRPr="33985B12">
        <w:rPr>
          <w:rFonts w:ascii="Times New Roman" w:eastAsia="Times New Roman" w:hAnsi="Times New Roman" w:cs="Times New Roman"/>
          <w:sz w:val="26"/>
          <w:szCs w:val="26"/>
        </w:rPr>
        <w:t>milliárd forint összegben.</w:t>
      </w:r>
    </w:p>
    <w:p w14:paraId="2ED08265" w14:textId="107B450A" w:rsidR="46186346" w:rsidRDefault="33985B12" w:rsidP="33985B12">
      <w:pPr>
        <w:jc w:val="both"/>
        <w:rPr>
          <w:rFonts w:ascii="Times New Roman" w:eastAsia="Times New Roman" w:hAnsi="Times New Roman" w:cs="Times New Roman"/>
          <w:sz w:val="26"/>
          <w:szCs w:val="26"/>
        </w:rPr>
      </w:pPr>
      <w:r w:rsidRPr="33985B12">
        <w:rPr>
          <w:rFonts w:ascii="Times New Roman" w:eastAsia="Times New Roman" w:hAnsi="Times New Roman" w:cs="Times New Roman"/>
          <w:b/>
          <w:bCs/>
          <w:sz w:val="26"/>
          <w:szCs w:val="26"/>
        </w:rPr>
        <w:t>Gyógyszertámogatásra</w:t>
      </w:r>
      <w:r w:rsidRPr="33985B12">
        <w:rPr>
          <w:rFonts w:ascii="Times New Roman" w:eastAsia="Times New Roman" w:hAnsi="Times New Roman" w:cs="Times New Roman"/>
          <w:sz w:val="26"/>
          <w:szCs w:val="26"/>
        </w:rPr>
        <w:t xml:space="preserve"> 2024-ben 549,9 milliárd forint került kifizetésre, amely 44,0 milliárd forinttal több az előző évben kifizetett összegnél. 2024 decemberében a Gyógyszertámogatás év végi kifizetéseinek biztosításához szükséges intézkedésekről szóló 1391/2024. (XII. 12.) Korm. határozat biztosított 54,0</w:t>
      </w:r>
      <w:r w:rsidR="00496C75">
        <w:rPr>
          <w:rFonts w:ascii="Times New Roman" w:eastAsia="Times New Roman" w:hAnsi="Times New Roman" w:cs="Times New Roman"/>
          <w:sz w:val="26"/>
          <w:szCs w:val="26"/>
        </w:rPr>
        <w:t> </w:t>
      </w:r>
      <w:r w:rsidRPr="33985B12">
        <w:rPr>
          <w:rFonts w:ascii="Times New Roman" w:eastAsia="Times New Roman" w:hAnsi="Times New Roman" w:cs="Times New Roman"/>
          <w:sz w:val="26"/>
          <w:szCs w:val="26"/>
        </w:rPr>
        <w:t>milliárd forint összegű többletforrást</w:t>
      </w:r>
      <w:r w:rsidR="00801B64">
        <w:rPr>
          <w:rFonts w:ascii="Times New Roman" w:eastAsia="Times New Roman" w:hAnsi="Times New Roman" w:cs="Times New Roman"/>
          <w:sz w:val="26"/>
          <w:szCs w:val="26"/>
        </w:rPr>
        <w:t>.</w:t>
      </w:r>
    </w:p>
    <w:p w14:paraId="69E4940B" w14:textId="75597E01" w:rsidR="46186346" w:rsidRDefault="46186346" w:rsidP="46186346">
      <w:pPr>
        <w:spacing w:before="160"/>
        <w:jc w:val="both"/>
        <w:rPr>
          <w:rFonts w:ascii="Times New Roman" w:eastAsia="Times New Roman" w:hAnsi="Times New Roman" w:cs="Times New Roman"/>
          <w:sz w:val="26"/>
          <w:szCs w:val="26"/>
        </w:rPr>
      </w:pPr>
    </w:p>
    <w:p w14:paraId="7B768C24" w14:textId="77777777" w:rsidR="00B155FE" w:rsidRPr="00FB35A4" w:rsidRDefault="33985B12" w:rsidP="33985B12">
      <w:pPr>
        <w:keepNext/>
        <w:pageBreakBefore/>
        <w:numPr>
          <w:ilvl w:val="0"/>
          <w:numId w:val="3"/>
        </w:numPr>
        <w:spacing w:after="120" w:line="240" w:lineRule="auto"/>
        <w:ind w:left="714" w:hanging="357"/>
        <w:jc w:val="both"/>
        <w:outlineLvl w:val="2"/>
        <w:rPr>
          <w:rFonts w:ascii="Times New Roman" w:eastAsia="Times New Roman" w:hAnsi="Times New Roman" w:cs="Times New Roman"/>
          <w:b/>
          <w:bCs/>
          <w:smallCaps/>
          <w:sz w:val="28"/>
          <w:szCs w:val="28"/>
          <w:lang w:eastAsia="hu-HU"/>
        </w:rPr>
      </w:pPr>
      <w:r w:rsidRPr="33985B12">
        <w:rPr>
          <w:rFonts w:ascii="Times New Roman" w:eastAsia="Times New Roman" w:hAnsi="Times New Roman" w:cs="Times New Roman"/>
          <w:b/>
          <w:bCs/>
          <w:smallCaps/>
          <w:sz w:val="28"/>
          <w:szCs w:val="28"/>
          <w:lang w:eastAsia="hu-HU"/>
        </w:rPr>
        <w:lastRenderedPageBreak/>
        <w:t xml:space="preserve">A költségvetési szervek és fejezeti kezelésű előirányzatok alakulása </w:t>
      </w:r>
    </w:p>
    <w:p w14:paraId="33892978" w14:textId="175687B6" w:rsidR="00B63DA3" w:rsidRPr="00496C75" w:rsidRDefault="33985B12" w:rsidP="33985B12">
      <w:pPr>
        <w:jc w:val="both"/>
        <w:rPr>
          <w:rFonts w:ascii="Times New Roman" w:eastAsia="Times New Roman" w:hAnsi="Times New Roman" w:cs="Times New Roman"/>
          <w:sz w:val="26"/>
          <w:szCs w:val="26"/>
          <w:lang w:eastAsia="hu-HU"/>
        </w:rPr>
      </w:pPr>
      <w:r w:rsidRPr="33985B12">
        <w:rPr>
          <w:rFonts w:ascii="Times New Roman" w:eastAsia="Times New Roman" w:hAnsi="Times New Roman" w:cs="Times New Roman"/>
          <w:sz w:val="26"/>
          <w:szCs w:val="26"/>
          <w:lang w:eastAsia="hu-HU"/>
        </w:rPr>
        <w:t xml:space="preserve">A </w:t>
      </w:r>
      <w:r w:rsidRPr="33985B12">
        <w:rPr>
          <w:rFonts w:ascii="Times New Roman" w:eastAsia="Times New Roman" w:hAnsi="Times New Roman" w:cs="Times New Roman"/>
          <w:b/>
          <w:bCs/>
          <w:sz w:val="26"/>
          <w:szCs w:val="26"/>
          <w:lang w:eastAsia="hu-HU"/>
        </w:rPr>
        <w:t>költségvetési szervek bevételei</w:t>
      </w:r>
      <w:r w:rsidRPr="33985B12">
        <w:rPr>
          <w:rFonts w:ascii="Times New Roman" w:eastAsia="Times New Roman" w:hAnsi="Times New Roman" w:cs="Times New Roman"/>
          <w:sz w:val="26"/>
          <w:szCs w:val="26"/>
          <w:lang w:eastAsia="hu-HU"/>
        </w:rPr>
        <w:t xml:space="preserve"> </w:t>
      </w:r>
      <w:r w:rsidR="002E31EF">
        <w:rPr>
          <w:rFonts w:ascii="Times New Roman" w:eastAsia="Times New Roman" w:hAnsi="Times New Roman" w:cs="Times New Roman"/>
          <w:sz w:val="26"/>
          <w:szCs w:val="26"/>
          <w:lang w:eastAsia="hu-HU"/>
        </w:rPr>
        <w:t xml:space="preserve">a </w:t>
      </w:r>
      <w:r w:rsidRPr="33985B12">
        <w:rPr>
          <w:rFonts w:ascii="Times New Roman" w:eastAsia="Times New Roman" w:hAnsi="Times New Roman" w:cs="Times New Roman"/>
          <w:sz w:val="26"/>
          <w:szCs w:val="26"/>
          <w:lang w:eastAsia="hu-HU"/>
        </w:rPr>
        <w:t>2024</w:t>
      </w:r>
      <w:r w:rsidR="002E31EF">
        <w:rPr>
          <w:rFonts w:ascii="Times New Roman" w:eastAsia="Times New Roman" w:hAnsi="Times New Roman" w:cs="Times New Roman"/>
          <w:sz w:val="26"/>
          <w:szCs w:val="26"/>
          <w:lang w:eastAsia="hu-HU"/>
        </w:rPr>
        <w:t>. évben 2 597,4</w:t>
      </w:r>
      <w:r w:rsidRPr="33985B12">
        <w:rPr>
          <w:rFonts w:ascii="Times New Roman" w:eastAsia="Times New Roman" w:hAnsi="Times New Roman" w:cs="Times New Roman"/>
          <w:sz w:val="26"/>
          <w:szCs w:val="26"/>
          <w:lang w:eastAsia="hu-HU"/>
        </w:rPr>
        <w:t xml:space="preserve"> milliárd forintot tettek ki, amely </w:t>
      </w:r>
      <w:r w:rsidR="003112A9" w:rsidRPr="00E86D49">
        <w:rPr>
          <w:rFonts w:ascii="Times New Roman" w:eastAsia="Times New Roman" w:hAnsi="Times New Roman" w:cs="Times New Roman"/>
          <w:sz w:val="26"/>
          <w:szCs w:val="26"/>
          <w:lang w:eastAsia="hu-HU"/>
        </w:rPr>
        <w:t>0,9</w:t>
      </w:r>
      <w:r w:rsidRPr="00E86D49">
        <w:rPr>
          <w:rFonts w:ascii="Times New Roman" w:eastAsia="Times New Roman" w:hAnsi="Times New Roman" w:cs="Times New Roman"/>
          <w:sz w:val="26"/>
          <w:szCs w:val="26"/>
          <w:lang w:eastAsia="hu-HU"/>
        </w:rPr>
        <w:t>%-kal magasabb az előző év bevételeihez képest. Az intézmények bevételei közül 1</w:t>
      </w:r>
      <w:r w:rsidR="00E86D49" w:rsidRPr="00E86D49">
        <w:rPr>
          <w:rFonts w:ascii="Times New Roman" w:eastAsia="Times New Roman" w:hAnsi="Times New Roman" w:cs="Times New Roman"/>
          <w:sz w:val="26"/>
          <w:szCs w:val="26"/>
          <w:lang w:eastAsia="hu-HU"/>
        </w:rPr>
        <w:t> 453,2</w:t>
      </w:r>
      <w:r w:rsidRPr="00E86D49">
        <w:rPr>
          <w:rFonts w:ascii="Times New Roman" w:eastAsia="Times New Roman" w:hAnsi="Times New Roman" w:cs="Times New Roman"/>
          <w:sz w:val="26"/>
          <w:szCs w:val="26"/>
          <w:lang w:eastAsia="hu-HU"/>
        </w:rPr>
        <w:t xml:space="preserve"> milliárd forintot tett ki a Nemzeti Egészségbiztosítási Alapkezelő által az egészségügyi </w:t>
      </w:r>
      <w:r w:rsidRPr="00496C75">
        <w:rPr>
          <w:rFonts w:ascii="Times New Roman" w:eastAsia="Times New Roman" w:hAnsi="Times New Roman" w:cs="Times New Roman"/>
          <w:sz w:val="26"/>
          <w:szCs w:val="26"/>
          <w:lang w:eastAsia="hu-HU"/>
        </w:rPr>
        <w:t>intézményeknek utalt támogatás.</w:t>
      </w:r>
    </w:p>
    <w:p w14:paraId="3008A395" w14:textId="250AE019" w:rsidR="00B63DA3" w:rsidRPr="00496C75" w:rsidRDefault="33985B12" w:rsidP="33985B12">
      <w:pPr>
        <w:jc w:val="both"/>
        <w:rPr>
          <w:rFonts w:ascii="Times New Roman" w:eastAsia="Times New Roman" w:hAnsi="Times New Roman" w:cs="Times New Roman"/>
          <w:sz w:val="26"/>
          <w:szCs w:val="26"/>
          <w:lang w:eastAsia="hu-HU"/>
        </w:rPr>
      </w:pPr>
      <w:r w:rsidRPr="00496C75">
        <w:rPr>
          <w:rFonts w:ascii="Times New Roman" w:eastAsia="Times New Roman" w:hAnsi="Times New Roman" w:cs="Times New Roman"/>
          <w:sz w:val="26"/>
          <w:szCs w:val="26"/>
          <w:lang w:eastAsia="hu-HU"/>
        </w:rPr>
        <w:t xml:space="preserve">A </w:t>
      </w:r>
      <w:r w:rsidRPr="00496C75">
        <w:rPr>
          <w:rFonts w:ascii="Times New Roman" w:eastAsia="Times New Roman" w:hAnsi="Times New Roman" w:cs="Times New Roman"/>
          <w:b/>
          <w:bCs/>
          <w:sz w:val="26"/>
          <w:szCs w:val="26"/>
          <w:lang w:eastAsia="hu-HU"/>
        </w:rPr>
        <w:t>szakmai fejezeti kezelésű előirányzatok bevételei</w:t>
      </w:r>
      <w:r w:rsidRPr="00496C75">
        <w:rPr>
          <w:rFonts w:ascii="Times New Roman" w:eastAsia="Times New Roman" w:hAnsi="Times New Roman" w:cs="Times New Roman"/>
          <w:sz w:val="26"/>
          <w:szCs w:val="26"/>
          <w:lang w:eastAsia="hu-HU"/>
        </w:rPr>
        <w:t xml:space="preserve"> </w:t>
      </w:r>
      <w:r w:rsidR="003112A9" w:rsidRPr="00496C75">
        <w:rPr>
          <w:rFonts w:ascii="Times New Roman" w:eastAsia="Times New Roman" w:hAnsi="Times New Roman" w:cs="Times New Roman"/>
          <w:sz w:val="26"/>
          <w:szCs w:val="26"/>
          <w:lang w:eastAsia="hu-HU"/>
        </w:rPr>
        <w:t xml:space="preserve">a </w:t>
      </w:r>
      <w:r w:rsidRPr="00496C75">
        <w:rPr>
          <w:rFonts w:ascii="Times New Roman" w:eastAsia="Times New Roman" w:hAnsi="Times New Roman" w:cs="Times New Roman"/>
          <w:sz w:val="26"/>
          <w:szCs w:val="26"/>
          <w:lang w:eastAsia="hu-HU"/>
        </w:rPr>
        <w:t>2024</w:t>
      </w:r>
      <w:r w:rsidR="003112A9" w:rsidRPr="00496C75">
        <w:rPr>
          <w:rFonts w:ascii="Times New Roman" w:eastAsia="Times New Roman" w:hAnsi="Times New Roman" w:cs="Times New Roman"/>
          <w:sz w:val="26"/>
          <w:szCs w:val="26"/>
          <w:lang w:eastAsia="hu-HU"/>
        </w:rPr>
        <w:t>. évben</w:t>
      </w:r>
      <w:r w:rsidRPr="00496C75">
        <w:rPr>
          <w:rFonts w:ascii="Times New Roman" w:eastAsia="Times New Roman" w:hAnsi="Times New Roman" w:cs="Times New Roman"/>
          <w:sz w:val="26"/>
          <w:szCs w:val="26"/>
          <w:lang w:eastAsia="hu-HU"/>
        </w:rPr>
        <w:t xml:space="preserve"> </w:t>
      </w:r>
      <w:r w:rsidR="003112A9" w:rsidRPr="00496C75">
        <w:rPr>
          <w:rFonts w:ascii="Times New Roman" w:eastAsia="Times New Roman" w:hAnsi="Times New Roman" w:cs="Times New Roman"/>
          <w:sz w:val="26"/>
          <w:szCs w:val="26"/>
          <w:lang w:eastAsia="hu-HU"/>
        </w:rPr>
        <w:t>749,8</w:t>
      </w:r>
      <w:r w:rsidRPr="00496C75">
        <w:rPr>
          <w:rFonts w:ascii="Times New Roman" w:eastAsia="Times New Roman" w:hAnsi="Times New Roman" w:cs="Times New Roman"/>
          <w:sz w:val="26"/>
          <w:szCs w:val="26"/>
          <w:lang w:eastAsia="hu-HU"/>
        </w:rPr>
        <w:t xml:space="preserve"> milliárd forintot tettek ki, mely </w:t>
      </w:r>
      <w:r w:rsidR="003112A9" w:rsidRPr="00496C75">
        <w:rPr>
          <w:rFonts w:ascii="Times New Roman" w:eastAsia="Times New Roman" w:hAnsi="Times New Roman" w:cs="Times New Roman"/>
          <w:sz w:val="26"/>
          <w:szCs w:val="26"/>
          <w:lang w:eastAsia="hu-HU"/>
        </w:rPr>
        <w:t>31,8</w:t>
      </w:r>
      <w:r w:rsidRPr="00496C75">
        <w:rPr>
          <w:rFonts w:ascii="Times New Roman" w:eastAsia="Times New Roman" w:hAnsi="Times New Roman" w:cs="Times New Roman"/>
          <w:sz w:val="26"/>
          <w:szCs w:val="26"/>
          <w:lang w:eastAsia="hu-HU"/>
        </w:rPr>
        <w:t>%-kal magasabb az előző év bevételéhez képest. A bevételek jelentős részét az „Alapok alapja GINOP pénzügyi eszközök”, illetve az „Alapok alapja GINOP Plusz pénzügyi eszközök” törvényi sorokra befolyt összegek teszik ki, melyek nem uniós bevételként jóváírt tételek.</w:t>
      </w:r>
    </w:p>
    <w:p w14:paraId="56786471" w14:textId="4B202CAC" w:rsidR="00B63DA3" w:rsidRPr="00F90893" w:rsidRDefault="33985B12" w:rsidP="33985B12">
      <w:pPr>
        <w:jc w:val="both"/>
        <w:rPr>
          <w:rFonts w:ascii="Times New Roman" w:eastAsia="Times New Roman" w:hAnsi="Times New Roman" w:cs="Times New Roman"/>
          <w:sz w:val="26"/>
          <w:szCs w:val="26"/>
          <w:lang w:eastAsia="hu-HU"/>
        </w:rPr>
      </w:pPr>
      <w:r w:rsidRPr="00496C75">
        <w:rPr>
          <w:rFonts w:ascii="Times New Roman" w:eastAsia="Times New Roman" w:hAnsi="Times New Roman" w:cs="Times New Roman"/>
          <w:sz w:val="26"/>
          <w:szCs w:val="26"/>
          <w:lang w:eastAsia="hu-HU"/>
        </w:rPr>
        <w:t xml:space="preserve">A </w:t>
      </w:r>
      <w:r w:rsidRPr="00496C75">
        <w:rPr>
          <w:rFonts w:ascii="Times New Roman" w:hAnsi="Times New Roman" w:cs="Times New Roman"/>
          <w:sz w:val="26"/>
          <w:szCs w:val="26"/>
          <w:lang w:eastAsia="hu-HU"/>
        </w:rPr>
        <w:t>2024. év</w:t>
      </w:r>
      <w:r w:rsidR="003112A9" w:rsidRPr="00496C75">
        <w:rPr>
          <w:rFonts w:ascii="Times New Roman" w:hAnsi="Times New Roman" w:cs="Times New Roman"/>
          <w:sz w:val="26"/>
          <w:szCs w:val="26"/>
          <w:lang w:eastAsia="hu-HU"/>
        </w:rPr>
        <w:t>i,</w:t>
      </w:r>
      <w:r w:rsidRPr="00496C75">
        <w:rPr>
          <w:rFonts w:ascii="Times New Roman" w:hAnsi="Times New Roman" w:cs="Times New Roman"/>
          <w:sz w:val="26"/>
          <w:szCs w:val="26"/>
          <w:lang w:eastAsia="hu-HU"/>
        </w:rPr>
        <w:t> 3</w:t>
      </w:r>
      <w:r w:rsidR="003112A9" w:rsidRPr="00496C75">
        <w:rPr>
          <w:rFonts w:ascii="Times New Roman" w:hAnsi="Times New Roman" w:cs="Times New Roman"/>
          <w:sz w:val="26"/>
          <w:szCs w:val="26"/>
          <w:lang w:eastAsia="hu-HU"/>
        </w:rPr>
        <w:t> 347,2</w:t>
      </w:r>
      <w:r w:rsidRPr="00496C75">
        <w:rPr>
          <w:rFonts w:ascii="Times New Roman" w:hAnsi="Times New Roman" w:cs="Times New Roman"/>
          <w:sz w:val="26"/>
          <w:szCs w:val="26"/>
          <w:lang w:eastAsia="hu-HU"/>
        </w:rPr>
        <w:t xml:space="preserve"> milliárd forint </w:t>
      </w:r>
      <w:r w:rsidRPr="33985B12">
        <w:rPr>
          <w:rFonts w:ascii="Times New Roman" w:hAnsi="Times New Roman" w:cs="Times New Roman"/>
          <w:sz w:val="26"/>
          <w:szCs w:val="26"/>
          <w:lang w:eastAsia="hu-HU"/>
        </w:rPr>
        <w:t>összegű bevételek megoszlását a következő grafikon szemlélteti</w:t>
      </w:r>
      <w:r w:rsidRPr="33985B12">
        <w:rPr>
          <w:rFonts w:ascii="Times New Roman" w:eastAsia="Times New Roman" w:hAnsi="Times New Roman" w:cs="Times New Roman"/>
          <w:sz w:val="26"/>
          <w:szCs w:val="26"/>
          <w:lang w:eastAsia="hu-HU"/>
        </w:rPr>
        <w:t>:</w:t>
      </w:r>
    </w:p>
    <w:p w14:paraId="576D18BB" w14:textId="3203F0A3" w:rsidR="00B056CC" w:rsidRPr="00377D59" w:rsidRDefault="003C1306" w:rsidP="00C2238F">
      <w:pPr>
        <w:spacing w:before="240" w:after="120"/>
        <w:jc w:val="center"/>
        <w:rPr>
          <w:rFonts w:ascii="Times New Roman" w:eastAsia="Times New Roman" w:hAnsi="Times New Roman" w:cs="Times New Roman"/>
          <w:b/>
          <w:sz w:val="26"/>
          <w:szCs w:val="26"/>
        </w:rPr>
      </w:pPr>
      <w:r w:rsidRPr="003C1306">
        <w:rPr>
          <w:rFonts w:ascii="Times New Roman" w:eastAsia="Times New Roman" w:hAnsi="Times New Roman" w:cs="Times New Roman"/>
          <w:b/>
          <w:noProof/>
          <w:sz w:val="26"/>
          <w:szCs w:val="26"/>
          <w:lang w:eastAsia="hu-HU"/>
        </w:rPr>
        <w:lastRenderedPageBreak/>
        <w:drawing>
          <wp:inline distT="0" distB="0" distL="0" distR="0" wp14:anchorId="5C337C4C" wp14:editId="23FA071C">
            <wp:extent cx="5940425" cy="3435350"/>
            <wp:effectExtent l="0" t="0" r="3175" b="0"/>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940425" cy="3435350"/>
                    </a:xfrm>
                    <a:prstGeom prst="rect">
                      <a:avLst/>
                    </a:prstGeom>
                  </pic:spPr>
                </pic:pic>
              </a:graphicData>
            </a:graphic>
          </wp:inline>
        </w:drawing>
      </w:r>
    </w:p>
    <w:p w14:paraId="26E52363" w14:textId="235D3123" w:rsidR="00B63DA3" w:rsidRPr="003112A9" w:rsidRDefault="33985B12" w:rsidP="33985B12">
      <w:pPr>
        <w:jc w:val="both"/>
        <w:rPr>
          <w:rFonts w:ascii="Times New Roman" w:eastAsia="Times New Roman" w:hAnsi="Times New Roman" w:cs="Times New Roman"/>
          <w:sz w:val="26"/>
          <w:szCs w:val="26"/>
          <w:lang w:eastAsia="hu-HU"/>
        </w:rPr>
      </w:pPr>
      <w:r w:rsidRPr="33985B12">
        <w:rPr>
          <w:rFonts w:ascii="Times New Roman" w:eastAsia="Times New Roman" w:hAnsi="Times New Roman" w:cs="Times New Roman"/>
          <w:sz w:val="26"/>
          <w:szCs w:val="26"/>
          <w:lang w:eastAsia="hu-HU"/>
        </w:rPr>
        <w:t xml:space="preserve">A </w:t>
      </w:r>
      <w:r w:rsidRPr="33985B12">
        <w:rPr>
          <w:rFonts w:ascii="Times New Roman" w:eastAsia="Times New Roman" w:hAnsi="Times New Roman" w:cs="Times New Roman"/>
          <w:b/>
          <w:bCs/>
          <w:sz w:val="26"/>
          <w:szCs w:val="26"/>
          <w:lang w:eastAsia="hu-HU"/>
        </w:rPr>
        <w:t>Költségvetési szervek kiadásai</w:t>
      </w:r>
      <w:r w:rsidRPr="33985B12">
        <w:rPr>
          <w:rFonts w:ascii="Times New Roman" w:eastAsia="Times New Roman" w:hAnsi="Times New Roman" w:cs="Times New Roman"/>
          <w:sz w:val="26"/>
          <w:szCs w:val="26"/>
          <w:lang w:eastAsia="hu-HU"/>
        </w:rPr>
        <w:t xml:space="preserve"> mérlegsoron </w:t>
      </w:r>
      <w:r w:rsidR="003112A9">
        <w:rPr>
          <w:rFonts w:ascii="Times New Roman" w:eastAsia="Times New Roman" w:hAnsi="Times New Roman" w:cs="Times New Roman"/>
          <w:sz w:val="26"/>
          <w:szCs w:val="26"/>
          <w:lang w:eastAsia="hu-HU"/>
        </w:rPr>
        <w:t xml:space="preserve">a </w:t>
      </w:r>
      <w:r w:rsidRPr="33985B12">
        <w:rPr>
          <w:rFonts w:ascii="Times New Roman" w:eastAsia="Times New Roman" w:hAnsi="Times New Roman" w:cs="Times New Roman"/>
          <w:sz w:val="26"/>
          <w:szCs w:val="26"/>
          <w:lang w:eastAsia="hu-HU"/>
        </w:rPr>
        <w:t>2024</w:t>
      </w:r>
      <w:r w:rsidR="003112A9">
        <w:rPr>
          <w:rFonts w:ascii="Times New Roman" w:eastAsia="Times New Roman" w:hAnsi="Times New Roman" w:cs="Times New Roman"/>
          <w:sz w:val="26"/>
          <w:szCs w:val="26"/>
          <w:lang w:eastAsia="hu-HU"/>
        </w:rPr>
        <w:t>. évben</w:t>
      </w:r>
      <w:r w:rsidRPr="33985B12">
        <w:rPr>
          <w:rFonts w:ascii="Times New Roman" w:eastAsia="Times New Roman" w:hAnsi="Times New Roman" w:cs="Times New Roman"/>
          <w:sz w:val="26"/>
          <w:szCs w:val="26"/>
          <w:lang w:eastAsia="hu-HU"/>
        </w:rPr>
        <w:t xml:space="preserve"> </w:t>
      </w:r>
      <w:r w:rsidR="003112A9">
        <w:rPr>
          <w:rFonts w:ascii="Times New Roman" w:eastAsia="Times New Roman" w:hAnsi="Times New Roman" w:cs="Times New Roman"/>
          <w:sz w:val="26"/>
          <w:szCs w:val="26"/>
          <w:lang w:eastAsia="hu-HU"/>
        </w:rPr>
        <w:t>9 022,</w:t>
      </w:r>
      <w:r w:rsidR="004605F2">
        <w:rPr>
          <w:rFonts w:ascii="Times New Roman" w:eastAsia="Times New Roman" w:hAnsi="Times New Roman" w:cs="Times New Roman"/>
          <w:sz w:val="26"/>
          <w:szCs w:val="26"/>
          <w:lang w:eastAsia="hu-HU"/>
        </w:rPr>
        <w:t>4</w:t>
      </w:r>
      <w:r w:rsidRPr="33985B12">
        <w:rPr>
          <w:rFonts w:ascii="Times New Roman" w:eastAsia="Times New Roman" w:hAnsi="Times New Roman" w:cs="Times New Roman"/>
          <w:sz w:val="26"/>
          <w:szCs w:val="26"/>
          <w:lang w:eastAsia="hu-HU"/>
        </w:rPr>
        <w:t xml:space="preserve"> milliárd forint </w:t>
      </w:r>
      <w:r w:rsidRPr="003112A9">
        <w:rPr>
          <w:rFonts w:ascii="Times New Roman" w:eastAsia="Times New Roman" w:hAnsi="Times New Roman" w:cs="Times New Roman"/>
          <w:sz w:val="26"/>
          <w:szCs w:val="26"/>
          <w:lang w:eastAsia="hu-HU"/>
        </w:rPr>
        <w:t>kiadás teljesült, mely 1</w:t>
      </w:r>
      <w:r w:rsidR="003112A9" w:rsidRPr="003112A9">
        <w:rPr>
          <w:rFonts w:ascii="Times New Roman" w:eastAsia="Times New Roman" w:hAnsi="Times New Roman" w:cs="Times New Roman"/>
          <w:sz w:val="26"/>
          <w:szCs w:val="26"/>
          <w:lang w:eastAsia="hu-HU"/>
        </w:rPr>
        <w:t>3,</w:t>
      </w:r>
      <w:r w:rsidR="008D6609">
        <w:rPr>
          <w:rFonts w:ascii="Times New Roman" w:eastAsia="Times New Roman" w:hAnsi="Times New Roman" w:cs="Times New Roman"/>
          <w:sz w:val="26"/>
          <w:szCs w:val="26"/>
          <w:lang w:eastAsia="hu-HU"/>
        </w:rPr>
        <w:t>6</w:t>
      </w:r>
      <w:r w:rsidR="003112A9" w:rsidRPr="003112A9">
        <w:rPr>
          <w:rFonts w:ascii="Times New Roman" w:eastAsia="Times New Roman" w:hAnsi="Times New Roman" w:cs="Times New Roman"/>
          <w:sz w:val="26"/>
          <w:szCs w:val="26"/>
          <w:lang w:eastAsia="hu-HU"/>
        </w:rPr>
        <w:t>%</w:t>
      </w:r>
      <w:r w:rsidRPr="003112A9">
        <w:rPr>
          <w:rFonts w:ascii="Times New Roman" w:eastAsia="Times New Roman" w:hAnsi="Times New Roman" w:cs="Times New Roman"/>
          <w:sz w:val="26"/>
          <w:szCs w:val="26"/>
          <w:lang w:eastAsia="hu-HU"/>
        </w:rPr>
        <w:t xml:space="preserve">-kal magasabb az előző </w:t>
      </w:r>
      <w:r w:rsidR="003112A9" w:rsidRPr="003112A9">
        <w:rPr>
          <w:rFonts w:ascii="Times New Roman" w:eastAsia="Times New Roman" w:hAnsi="Times New Roman" w:cs="Times New Roman"/>
          <w:sz w:val="26"/>
          <w:szCs w:val="26"/>
          <w:lang w:eastAsia="hu-HU"/>
        </w:rPr>
        <w:t>év</w:t>
      </w:r>
      <w:r w:rsidRPr="003112A9">
        <w:rPr>
          <w:rFonts w:ascii="Times New Roman" w:eastAsia="Times New Roman" w:hAnsi="Times New Roman" w:cs="Times New Roman"/>
          <w:sz w:val="26"/>
          <w:szCs w:val="26"/>
          <w:lang w:eastAsia="hu-HU"/>
        </w:rPr>
        <w:t xml:space="preserve"> kiadásaihoz képest. A kiadásból 4</w:t>
      </w:r>
      <w:r w:rsidR="003112A9" w:rsidRPr="003112A9">
        <w:rPr>
          <w:rFonts w:ascii="Times New Roman" w:eastAsia="Times New Roman" w:hAnsi="Times New Roman" w:cs="Times New Roman"/>
          <w:sz w:val="26"/>
          <w:szCs w:val="26"/>
          <w:lang w:eastAsia="hu-HU"/>
        </w:rPr>
        <w:t> 877,8</w:t>
      </w:r>
      <w:r w:rsidR="003C1306">
        <w:rPr>
          <w:rFonts w:ascii="Times New Roman" w:eastAsia="Times New Roman" w:hAnsi="Times New Roman" w:cs="Times New Roman"/>
          <w:sz w:val="26"/>
          <w:szCs w:val="26"/>
          <w:lang w:eastAsia="hu-HU"/>
        </w:rPr>
        <w:t> </w:t>
      </w:r>
      <w:r w:rsidRPr="003112A9">
        <w:rPr>
          <w:rFonts w:ascii="Times New Roman" w:eastAsia="Times New Roman" w:hAnsi="Times New Roman" w:cs="Times New Roman"/>
          <w:sz w:val="26"/>
          <w:szCs w:val="26"/>
          <w:lang w:eastAsia="hu-HU"/>
        </w:rPr>
        <w:t>milliárd forint a személyi juttatásokra és munkaadókat terhelő járulékokra kifizetett összeg.</w:t>
      </w:r>
    </w:p>
    <w:p w14:paraId="1F07A5C3" w14:textId="1EA13E9A" w:rsidR="000E4F73" w:rsidRPr="00CC24D0" w:rsidRDefault="33985B12" w:rsidP="33985B12">
      <w:pPr>
        <w:jc w:val="both"/>
        <w:rPr>
          <w:rFonts w:ascii="Times New Roman" w:eastAsia="Times New Roman" w:hAnsi="Times New Roman" w:cs="Times New Roman"/>
          <w:sz w:val="26"/>
          <w:szCs w:val="26"/>
          <w:lang w:eastAsia="hu-HU"/>
        </w:rPr>
      </w:pPr>
      <w:r w:rsidRPr="33985B12">
        <w:rPr>
          <w:rFonts w:ascii="Times New Roman" w:eastAsia="Times New Roman" w:hAnsi="Times New Roman" w:cs="Times New Roman"/>
          <w:sz w:val="26"/>
          <w:szCs w:val="26"/>
          <w:lang w:eastAsia="hu-HU"/>
        </w:rPr>
        <w:t xml:space="preserve">A </w:t>
      </w:r>
      <w:r w:rsidRPr="33985B12">
        <w:rPr>
          <w:rFonts w:ascii="Times New Roman" w:eastAsia="Times New Roman" w:hAnsi="Times New Roman" w:cs="Times New Roman"/>
          <w:b/>
          <w:bCs/>
          <w:sz w:val="26"/>
          <w:szCs w:val="26"/>
          <w:lang w:eastAsia="hu-HU"/>
        </w:rPr>
        <w:t>Szakmai fejezeti kezelésű előirányzatok kiadásai</w:t>
      </w:r>
      <w:r w:rsidRPr="33985B12">
        <w:rPr>
          <w:rFonts w:ascii="Times New Roman" w:eastAsia="Times New Roman" w:hAnsi="Times New Roman" w:cs="Times New Roman"/>
          <w:sz w:val="26"/>
          <w:szCs w:val="26"/>
          <w:lang w:eastAsia="hu-HU"/>
        </w:rPr>
        <w:t xml:space="preserve"> mérlegsoron</w:t>
      </w:r>
      <w:r w:rsidR="003112A9">
        <w:rPr>
          <w:rFonts w:ascii="Times New Roman" w:eastAsia="Times New Roman" w:hAnsi="Times New Roman" w:cs="Times New Roman"/>
          <w:sz w:val="26"/>
          <w:szCs w:val="26"/>
          <w:lang w:eastAsia="hu-HU"/>
        </w:rPr>
        <w:t xml:space="preserve"> a </w:t>
      </w:r>
      <w:r w:rsidRPr="33985B12">
        <w:rPr>
          <w:rFonts w:ascii="Times New Roman" w:eastAsia="Times New Roman" w:hAnsi="Times New Roman" w:cs="Times New Roman"/>
          <w:sz w:val="26"/>
          <w:szCs w:val="26"/>
          <w:lang w:eastAsia="hu-HU"/>
        </w:rPr>
        <w:t>2024</w:t>
      </w:r>
      <w:r w:rsidR="003112A9">
        <w:rPr>
          <w:rFonts w:ascii="Times New Roman" w:eastAsia="Times New Roman" w:hAnsi="Times New Roman" w:cs="Times New Roman"/>
          <w:sz w:val="26"/>
          <w:szCs w:val="26"/>
          <w:lang w:eastAsia="hu-HU"/>
        </w:rPr>
        <w:t>. évben</w:t>
      </w:r>
      <w:r w:rsidRPr="33985B12">
        <w:rPr>
          <w:rFonts w:ascii="Times New Roman" w:eastAsia="Times New Roman" w:hAnsi="Times New Roman" w:cs="Times New Roman"/>
          <w:sz w:val="26"/>
          <w:szCs w:val="26"/>
          <w:lang w:eastAsia="hu-HU"/>
        </w:rPr>
        <w:t xml:space="preserve"> 4</w:t>
      </w:r>
      <w:r w:rsidR="003112A9">
        <w:rPr>
          <w:rFonts w:ascii="Times New Roman" w:eastAsia="Times New Roman" w:hAnsi="Times New Roman" w:cs="Times New Roman"/>
          <w:sz w:val="26"/>
          <w:szCs w:val="26"/>
          <w:lang w:eastAsia="hu-HU"/>
        </w:rPr>
        <w:t> 929,9</w:t>
      </w:r>
      <w:r w:rsidRPr="33985B12">
        <w:rPr>
          <w:rFonts w:ascii="Times New Roman" w:eastAsia="Times New Roman" w:hAnsi="Times New Roman" w:cs="Times New Roman"/>
          <w:sz w:val="26"/>
          <w:szCs w:val="26"/>
          <w:lang w:eastAsia="hu-HU"/>
        </w:rPr>
        <w:t xml:space="preserve"> milliárd forint kiadás teljesült, mely </w:t>
      </w:r>
      <w:r w:rsidR="003112A9">
        <w:rPr>
          <w:rFonts w:ascii="Times New Roman" w:eastAsia="Times New Roman" w:hAnsi="Times New Roman" w:cs="Times New Roman"/>
          <w:sz w:val="26"/>
          <w:szCs w:val="26"/>
          <w:lang w:eastAsia="hu-HU"/>
        </w:rPr>
        <w:t>1,8</w:t>
      </w:r>
      <w:r w:rsidRPr="33985B12">
        <w:rPr>
          <w:rFonts w:ascii="Times New Roman" w:eastAsia="Times New Roman" w:hAnsi="Times New Roman" w:cs="Times New Roman"/>
          <w:sz w:val="26"/>
          <w:szCs w:val="26"/>
          <w:lang w:eastAsia="hu-HU"/>
        </w:rPr>
        <w:t>%-kal alacsonyabb, mint az előző év kiadása. Ezen időszak teljesítéséből az alábbi kiadások emelhetők ki:</w:t>
      </w:r>
      <w:r w:rsidR="166F4922" w:rsidRPr="33985B12">
        <w:rPr>
          <w:rFonts w:ascii="Times New Roman" w:eastAsia="Times New Roman" w:hAnsi="Times New Roman" w:cs="Times New Roman"/>
          <w:sz w:val="26"/>
          <w:szCs w:val="26"/>
          <w:lang w:eastAsia="hu-HU"/>
        </w:rPr>
        <w:br w:type="page"/>
      </w:r>
    </w:p>
    <w:p w14:paraId="036EE87C" w14:textId="77777777" w:rsidR="000E4F73" w:rsidRPr="00803666" w:rsidRDefault="33985B12" w:rsidP="33985B12">
      <w:pPr>
        <w:spacing w:after="120" w:line="240" w:lineRule="auto"/>
        <w:jc w:val="right"/>
        <w:rPr>
          <w:rFonts w:ascii="Times New Roman" w:eastAsia="Times New Roman" w:hAnsi="Times New Roman" w:cs="Times New Roman"/>
          <w:i/>
          <w:iCs/>
          <w:sz w:val="20"/>
          <w:szCs w:val="20"/>
          <w:lang w:eastAsia="hu-HU"/>
        </w:rPr>
      </w:pPr>
      <w:r w:rsidRPr="33985B12">
        <w:rPr>
          <w:rFonts w:ascii="Times New Roman" w:eastAsia="Times New Roman" w:hAnsi="Times New Roman" w:cs="Times New Roman"/>
          <w:i/>
          <w:iCs/>
          <w:sz w:val="20"/>
          <w:szCs w:val="20"/>
          <w:lang w:eastAsia="hu-HU"/>
        </w:rPr>
        <w:lastRenderedPageBreak/>
        <w:t>milliárd forint</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251"/>
        <w:gridCol w:w="992"/>
      </w:tblGrid>
      <w:tr w:rsidR="003112A9" w:rsidRPr="003112A9" w14:paraId="6D9D36DE" w14:textId="77777777" w:rsidTr="33985B12">
        <w:trPr>
          <w:trHeight w:val="340"/>
        </w:trPr>
        <w:tc>
          <w:tcPr>
            <w:tcW w:w="8251" w:type="dxa"/>
            <w:tcMar>
              <w:top w:w="0" w:type="dxa"/>
              <w:left w:w="108" w:type="dxa"/>
              <w:bottom w:w="0" w:type="dxa"/>
              <w:right w:w="108" w:type="dxa"/>
            </w:tcMar>
            <w:vAlign w:val="center"/>
            <w:hideMark/>
          </w:tcPr>
          <w:p w14:paraId="75B0580E" w14:textId="77777777" w:rsidR="00B63DA3" w:rsidRPr="003112A9" w:rsidRDefault="33985B12" w:rsidP="33985B12">
            <w:pPr>
              <w:spacing w:after="0" w:line="240" w:lineRule="auto"/>
              <w:jc w:val="both"/>
              <w:rPr>
                <w:rFonts w:ascii="Times New Roman" w:hAnsi="Times New Roman" w:cs="Times New Roman"/>
                <w:lang w:eastAsia="hu-HU"/>
              </w:rPr>
            </w:pPr>
            <w:r w:rsidRPr="003112A9">
              <w:rPr>
                <w:rFonts w:ascii="Times New Roman" w:hAnsi="Times New Roman" w:cs="Times New Roman"/>
                <w:lang w:eastAsia="hu-HU"/>
              </w:rPr>
              <w:t>Normatív finanszírozás (köznevelési célú humánszolgáltatás és működési támogatás, hit- és erkölcstanoktatás és tankönyvtámogatás, illetve szociális, gyermekvédelmi, gyermekjóléti és fogyatékos személyek esélyegyenlőségét elősegítő célelőirányzatok)</w:t>
            </w:r>
          </w:p>
        </w:tc>
        <w:tc>
          <w:tcPr>
            <w:tcW w:w="992" w:type="dxa"/>
            <w:noWrap/>
            <w:tcMar>
              <w:top w:w="0" w:type="dxa"/>
              <w:left w:w="108" w:type="dxa"/>
              <w:bottom w:w="0" w:type="dxa"/>
              <w:right w:w="108" w:type="dxa"/>
            </w:tcMar>
            <w:vAlign w:val="center"/>
          </w:tcPr>
          <w:p w14:paraId="092F109E" w14:textId="04ED5CDD" w:rsidR="00B63DA3" w:rsidRPr="003112A9" w:rsidRDefault="003112A9" w:rsidP="003112A9">
            <w:pPr>
              <w:spacing w:after="0" w:line="240" w:lineRule="auto"/>
              <w:jc w:val="right"/>
              <w:rPr>
                <w:rFonts w:ascii="Times New Roman" w:hAnsi="Times New Roman" w:cs="Times New Roman"/>
                <w:lang w:eastAsia="hu-HU"/>
              </w:rPr>
            </w:pPr>
            <w:r w:rsidRPr="003112A9">
              <w:rPr>
                <w:rFonts w:ascii="Times New Roman" w:hAnsi="Times New Roman" w:cs="Times New Roman"/>
                <w:lang w:eastAsia="hu-HU"/>
              </w:rPr>
              <w:t>944,2</w:t>
            </w:r>
          </w:p>
        </w:tc>
      </w:tr>
      <w:tr w:rsidR="003112A9" w:rsidRPr="003112A9" w14:paraId="18ECFFF1" w14:textId="77777777" w:rsidTr="33985B12">
        <w:trPr>
          <w:trHeight w:val="283"/>
        </w:trPr>
        <w:tc>
          <w:tcPr>
            <w:tcW w:w="8251" w:type="dxa"/>
            <w:tcMar>
              <w:top w:w="0" w:type="dxa"/>
              <w:left w:w="108" w:type="dxa"/>
              <w:bottom w:w="0" w:type="dxa"/>
              <w:right w:w="108" w:type="dxa"/>
            </w:tcMar>
            <w:vAlign w:val="center"/>
            <w:hideMark/>
          </w:tcPr>
          <w:p w14:paraId="434EC8B3" w14:textId="77777777" w:rsidR="00B63DA3" w:rsidRPr="003112A9" w:rsidRDefault="33985B12" w:rsidP="33985B12">
            <w:pPr>
              <w:spacing w:after="0" w:line="240" w:lineRule="auto"/>
              <w:jc w:val="both"/>
              <w:rPr>
                <w:rFonts w:ascii="Times New Roman" w:hAnsi="Times New Roman" w:cs="Times New Roman"/>
                <w:lang w:eastAsia="hu-HU"/>
              </w:rPr>
            </w:pPr>
            <w:r w:rsidRPr="003112A9">
              <w:rPr>
                <w:rFonts w:ascii="Times New Roman" w:hAnsi="Times New Roman" w:cs="Times New Roman"/>
                <w:lang w:eastAsia="hu-HU"/>
              </w:rPr>
              <w:t>Nem állami felsőoktatási intézmények támogatása</w:t>
            </w:r>
          </w:p>
        </w:tc>
        <w:tc>
          <w:tcPr>
            <w:tcW w:w="992" w:type="dxa"/>
            <w:noWrap/>
            <w:tcMar>
              <w:top w:w="0" w:type="dxa"/>
              <w:left w:w="108" w:type="dxa"/>
              <w:bottom w:w="0" w:type="dxa"/>
              <w:right w:w="108" w:type="dxa"/>
            </w:tcMar>
            <w:vAlign w:val="center"/>
          </w:tcPr>
          <w:p w14:paraId="40766427" w14:textId="2B559853" w:rsidR="00B63DA3" w:rsidRPr="003112A9" w:rsidRDefault="00751A9D" w:rsidP="003112A9">
            <w:pPr>
              <w:spacing w:after="0" w:line="240" w:lineRule="auto"/>
              <w:jc w:val="right"/>
              <w:rPr>
                <w:rFonts w:ascii="Times New Roman" w:hAnsi="Times New Roman" w:cs="Times New Roman"/>
                <w:lang w:eastAsia="hu-HU"/>
              </w:rPr>
            </w:pPr>
            <w:r w:rsidRPr="00A349BC">
              <w:rPr>
                <w:rFonts w:ascii="Times New Roman" w:hAnsi="Times New Roman" w:cs="Times New Roman"/>
                <w:lang w:eastAsia="hu-HU"/>
              </w:rPr>
              <w:t>5</w:t>
            </w:r>
            <w:r w:rsidR="003112A9" w:rsidRPr="00A349BC">
              <w:rPr>
                <w:rFonts w:ascii="Times New Roman" w:hAnsi="Times New Roman" w:cs="Times New Roman"/>
                <w:lang w:eastAsia="hu-HU"/>
              </w:rPr>
              <w:t>70,0</w:t>
            </w:r>
          </w:p>
        </w:tc>
      </w:tr>
      <w:tr w:rsidR="003112A9" w:rsidRPr="003112A9" w14:paraId="4BDF7C43" w14:textId="77777777" w:rsidTr="33985B12">
        <w:trPr>
          <w:trHeight w:val="283"/>
        </w:trPr>
        <w:tc>
          <w:tcPr>
            <w:tcW w:w="8251" w:type="dxa"/>
            <w:tcMar>
              <w:top w:w="0" w:type="dxa"/>
              <w:left w:w="108" w:type="dxa"/>
              <w:bottom w:w="0" w:type="dxa"/>
              <w:right w:w="108" w:type="dxa"/>
            </w:tcMar>
            <w:vAlign w:val="center"/>
          </w:tcPr>
          <w:p w14:paraId="0D847C87" w14:textId="77777777" w:rsidR="00C75D5A" w:rsidRPr="003112A9" w:rsidRDefault="33985B12" w:rsidP="33985B12">
            <w:pPr>
              <w:spacing w:after="0" w:line="240" w:lineRule="auto"/>
              <w:jc w:val="both"/>
              <w:rPr>
                <w:rFonts w:ascii="Times New Roman" w:hAnsi="Times New Roman" w:cs="Times New Roman"/>
                <w:lang w:eastAsia="hu-HU"/>
              </w:rPr>
            </w:pPr>
            <w:r w:rsidRPr="003112A9">
              <w:rPr>
                <w:rFonts w:ascii="Times New Roman" w:hAnsi="Times New Roman" w:cs="Times New Roman"/>
                <w:lang w:eastAsia="hu-HU"/>
              </w:rPr>
              <w:t>Gazdaságfejlesztési programok</w:t>
            </w:r>
          </w:p>
        </w:tc>
        <w:tc>
          <w:tcPr>
            <w:tcW w:w="992" w:type="dxa"/>
            <w:noWrap/>
            <w:tcMar>
              <w:top w:w="0" w:type="dxa"/>
              <w:left w:w="108" w:type="dxa"/>
              <w:bottom w:w="0" w:type="dxa"/>
              <w:right w:w="108" w:type="dxa"/>
            </w:tcMar>
            <w:vAlign w:val="center"/>
          </w:tcPr>
          <w:p w14:paraId="2EAA071C" w14:textId="4A39E125" w:rsidR="00C75D5A" w:rsidRPr="003112A9" w:rsidRDefault="003112A9" w:rsidP="003112A9">
            <w:pPr>
              <w:spacing w:after="0" w:line="240" w:lineRule="auto"/>
              <w:jc w:val="right"/>
              <w:rPr>
                <w:rFonts w:ascii="Times New Roman" w:hAnsi="Times New Roman" w:cs="Times New Roman"/>
                <w:lang w:eastAsia="hu-HU"/>
              </w:rPr>
            </w:pPr>
            <w:r w:rsidRPr="003112A9">
              <w:rPr>
                <w:rFonts w:ascii="Times New Roman" w:hAnsi="Times New Roman" w:cs="Times New Roman"/>
                <w:lang w:eastAsia="hu-HU"/>
              </w:rPr>
              <w:t>310,2</w:t>
            </w:r>
          </w:p>
        </w:tc>
      </w:tr>
      <w:tr w:rsidR="003112A9" w:rsidRPr="003112A9" w14:paraId="5BC53E90" w14:textId="77777777" w:rsidTr="33985B12">
        <w:trPr>
          <w:trHeight w:val="283"/>
        </w:trPr>
        <w:tc>
          <w:tcPr>
            <w:tcW w:w="8251" w:type="dxa"/>
            <w:tcMar>
              <w:top w:w="0" w:type="dxa"/>
              <w:left w:w="108" w:type="dxa"/>
              <w:bottom w:w="0" w:type="dxa"/>
              <w:right w:w="108" w:type="dxa"/>
            </w:tcMar>
            <w:vAlign w:val="center"/>
            <w:hideMark/>
          </w:tcPr>
          <w:p w14:paraId="231C02BF" w14:textId="77777777" w:rsidR="00EA1037" w:rsidRPr="003112A9" w:rsidRDefault="33985B12" w:rsidP="33985B12">
            <w:pPr>
              <w:spacing w:after="0" w:line="240" w:lineRule="auto"/>
              <w:jc w:val="both"/>
              <w:rPr>
                <w:rFonts w:ascii="Times New Roman" w:hAnsi="Times New Roman" w:cs="Times New Roman"/>
                <w:lang w:eastAsia="hu-HU"/>
              </w:rPr>
            </w:pPr>
            <w:r w:rsidRPr="003112A9">
              <w:rPr>
                <w:rFonts w:ascii="Times New Roman" w:hAnsi="Times New Roman" w:cs="Times New Roman"/>
                <w:lang w:eastAsia="hu-HU"/>
              </w:rPr>
              <w:t>Beruházás ösztönzési célelőirányzatok</w:t>
            </w:r>
          </w:p>
        </w:tc>
        <w:tc>
          <w:tcPr>
            <w:tcW w:w="992" w:type="dxa"/>
            <w:noWrap/>
            <w:tcMar>
              <w:top w:w="0" w:type="dxa"/>
              <w:left w:w="108" w:type="dxa"/>
              <w:bottom w:w="0" w:type="dxa"/>
              <w:right w:w="108" w:type="dxa"/>
            </w:tcMar>
            <w:vAlign w:val="center"/>
          </w:tcPr>
          <w:p w14:paraId="04A2272B" w14:textId="0A3E5E60" w:rsidR="00EA1037" w:rsidRPr="003112A9" w:rsidRDefault="33985B12" w:rsidP="003112A9">
            <w:pPr>
              <w:spacing w:after="0" w:line="240" w:lineRule="auto"/>
              <w:jc w:val="right"/>
              <w:rPr>
                <w:rFonts w:ascii="Times New Roman" w:hAnsi="Times New Roman" w:cs="Times New Roman"/>
                <w:lang w:eastAsia="hu-HU"/>
              </w:rPr>
            </w:pPr>
            <w:r w:rsidRPr="003112A9">
              <w:rPr>
                <w:rFonts w:ascii="Times New Roman" w:hAnsi="Times New Roman" w:cs="Times New Roman"/>
                <w:lang w:eastAsia="hu-HU"/>
              </w:rPr>
              <w:t>1</w:t>
            </w:r>
            <w:r w:rsidR="003112A9" w:rsidRPr="003112A9">
              <w:rPr>
                <w:rFonts w:ascii="Times New Roman" w:hAnsi="Times New Roman" w:cs="Times New Roman"/>
                <w:lang w:eastAsia="hu-HU"/>
              </w:rPr>
              <w:t>70,0</w:t>
            </w:r>
          </w:p>
        </w:tc>
      </w:tr>
      <w:tr w:rsidR="003112A9" w:rsidRPr="003112A9" w14:paraId="7F9C36E4" w14:textId="77777777" w:rsidTr="33985B12">
        <w:trPr>
          <w:trHeight w:val="283"/>
        </w:trPr>
        <w:tc>
          <w:tcPr>
            <w:tcW w:w="8251" w:type="dxa"/>
            <w:tcMar>
              <w:top w:w="0" w:type="dxa"/>
              <w:left w:w="108" w:type="dxa"/>
              <w:bottom w:w="0" w:type="dxa"/>
              <w:right w:w="108" w:type="dxa"/>
            </w:tcMar>
            <w:vAlign w:val="center"/>
          </w:tcPr>
          <w:p w14:paraId="3401BC92" w14:textId="77777777" w:rsidR="006817A6" w:rsidRPr="003112A9" w:rsidRDefault="33985B12" w:rsidP="33985B12">
            <w:pPr>
              <w:spacing w:after="0" w:line="240" w:lineRule="auto"/>
              <w:jc w:val="both"/>
              <w:rPr>
                <w:rFonts w:ascii="Times New Roman" w:hAnsi="Times New Roman" w:cs="Times New Roman"/>
                <w:lang w:eastAsia="hu-HU"/>
              </w:rPr>
            </w:pPr>
            <w:r w:rsidRPr="003112A9">
              <w:rPr>
                <w:rFonts w:ascii="Times New Roman" w:hAnsi="Times New Roman" w:cs="Times New Roman"/>
                <w:lang w:eastAsia="hu-HU"/>
              </w:rPr>
              <w:t>Közlekedési ágazati programok</w:t>
            </w:r>
          </w:p>
        </w:tc>
        <w:tc>
          <w:tcPr>
            <w:tcW w:w="992" w:type="dxa"/>
            <w:noWrap/>
            <w:tcMar>
              <w:top w:w="0" w:type="dxa"/>
              <w:left w:w="108" w:type="dxa"/>
              <w:bottom w:w="0" w:type="dxa"/>
              <w:right w:w="108" w:type="dxa"/>
            </w:tcMar>
            <w:vAlign w:val="center"/>
          </w:tcPr>
          <w:p w14:paraId="41AC072E" w14:textId="671B2DE0" w:rsidR="006817A6" w:rsidRPr="003112A9" w:rsidRDefault="33985B12" w:rsidP="003112A9">
            <w:pPr>
              <w:spacing w:after="0" w:line="240" w:lineRule="auto"/>
              <w:jc w:val="right"/>
              <w:rPr>
                <w:rFonts w:ascii="Times New Roman" w:hAnsi="Times New Roman" w:cs="Times New Roman"/>
                <w:lang w:eastAsia="hu-HU"/>
              </w:rPr>
            </w:pPr>
            <w:r w:rsidRPr="003112A9">
              <w:rPr>
                <w:rFonts w:ascii="Times New Roman" w:hAnsi="Times New Roman" w:cs="Times New Roman"/>
                <w:lang w:eastAsia="hu-HU"/>
              </w:rPr>
              <w:t>1</w:t>
            </w:r>
            <w:r w:rsidR="003112A9" w:rsidRPr="003112A9">
              <w:rPr>
                <w:rFonts w:ascii="Times New Roman" w:hAnsi="Times New Roman" w:cs="Times New Roman"/>
                <w:lang w:eastAsia="hu-HU"/>
              </w:rPr>
              <w:t>24,5</w:t>
            </w:r>
          </w:p>
        </w:tc>
      </w:tr>
      <w:tr w:rsidR="003112A9" w:rsidRPr="003112A9" w14:paraId="3695AB0C" w14:textId="77777777" w:rsidTr="003112A9">
        <w:trPr>
          <w:trHeight w:val="283"/>
        </w:trPr>
        <w:tc>
          <w:tcPr>
            <w:tcW w:w="8251" w:type="dxa"/>
            <w:tcMar>
              <w:top w:w="0" w:type="dxa"/>
              <w:left w:w="108" w:type="dxa"/>
              <w:bottom w:w="0" w:type="dxa"/>
              <w:right w:w="108" w:type="dxa"/>
            </w:tcMar>
            <w:vAlign w:val="center"/>
            <w:hideMark/>
          </w:tcPr>
          <w:p w14:paraId="5DD694C2" w14:textId="77777777" w:rsidR="003112A9" w:rsidRPr="003112A9" w:rsidRDefault="003112A9" w:rsidP="003112A9">
            <w:pPr>
              <w:spacing w:after="0" w:line="240" w:lineRule="auto"/>
              <w:jc w:val="both"/>
              <w:rPr>
                <w:rFonts w:ascii="Times New Roman" w:hAnsi="Times New Roman" w:cs="Times New Roman"/>
                <w:lang w:eastAsia="hu-HU"/>
              </w:rPr>
            </w:pPr>
            <w:r w:rsidRPr="003112A9">
              <w:rPr>
                <w:rFonts w:ascii="Times New Roman" w:hAnsi="Times New Roman" w:cs="Times New Roman"/>
                <w:lang w:eastAsia="hu-HU"/>
              </w:rPr>
              <w:t>Turisztikai fejlesztési célelőirányzat</w:t>
            </w:r>
          </w:p>
        </w:tc>
        <w:tc>
          <w:tcPr>
            <w:tcW w:w="992" w:type="dxa"/>
            <w:noWrap/>
            <w:tcMar>
              <w:top w:w="0" w:type="dxa"/>
              <w:left w:w="108" w:type="dxa"/>
              <w:bottom w:w="0" w:type="dxa"/>
              <w:right w:w="108" w:type="dxa"/>
            </w:tcMar>
            <w:vAlign w:val="center"/>
          </w:tcPr>
          <w:p w14:paraId="0C15ACDF" w14:textId="77777777" w:rsidR="003112A9" w:rsidRPr="003112A9" w:rsidRDefault="003112A9" w:rsidP="003112A9">
            <w:pPr>
              <w:spacing w:after="0" w:line="240" w:lineRule="auto"/>
              <w:jc w:val="right"/>
              <w:rPr>
                <w:rFonts w:ascii="Times New Roman" w:hAnsi="Times New Roman" w:cs="Times New Roman"/>
                <w:lang w:eastAsia="hu-HU"/>
              </w:rPr>
            </w:pPr>
            <w:r w:rsidRPr="003112A9">
              <w:rPr>
                <w:rFonts w:ascii="Times New Roman" w:hAnsi="Times New Roman" w:cs="Times New Roman"/>
                <w:lang w:eastAsia="hu-HU"/>
              </w:rPr>
              <w:t>110,9</w:t>
            </w:r>
          </w:p>
        </w:tc>
      </w:tr>
      <w:tr w:rsidR="003112A9" w:rsidRPr="003112A9" w14:paraId="05B27790" w14:textId="77777777" w:rsidTr="33985B12">
        <w:trPr>
          <w:trHeight w:val="283"/>
        </w:trPr>
        <w:tc>
          <w:tcPr>
            <w:tcW w:w="8251" w:type="dxa"/>
            <w:tcMar>
              <w:top w:w="0" w:type="dxa"/>
              <w:left w:w="108" w:type="dxa"/>
              <w:bottom w:w="0" w:type="dxa"/>
              <w:right w:w="108" w:type="dxa"/>
            </w:tcMar>
            <w:vAlign w:val="center"/>
          </w:tcPr>
          <w:p w14:paraId="1867129C" w14:textId="77777777" w:rsidR="00C75D5A" w:rsidRPr="003112A9" w:rsidRDefault="33985B12" w:rsidP="33985B12">
            <w:pPr>
              <w:spacing w:after="0" w:line="240" w:lineRule="auto"/>
              <w:jc w:val="both"/>
              <w:rPr>
                <w:rFonts w:ascii="Times New Roman" w:hAnsi="Times New Roman" w:cs="Times New Roman"/>
                <w:lang w:eastAsia="hu-HU"/>
              </w:rPr>
            </w:pPr>
            <w:r w:rsidRPr="003112A9">
              <w:rPr>
                <w:rFonts w:ascii="Times New Roman" w:hAnsi="Times New Roman" w:cs="Times New Roman"/>
                <w:lang w:eastAsia="hu-HU"/>
              </w:rPr>
              <w:t>Térségi fejlesztési feladatok</w:t>
            </w:r>
          </w:p>
        </w:tc>
        <w:tc>
          <w:tcPr>
            <w:tcW w:w="992" w:type="dxa"/>
            <w:noWrap/>
            <w:tcMar>
              <w:top w:w="0" w:type="dxa"/>
              <w:left w:w="108" w:type="dxa"/>
              <w:bottom w:w="0" w:type="dxa"/>
              <w:right w:w="108" w:type="dxa"/>
            </w:tcMar>
            <w:vAlign w:val="center"/>
          </w:tcPr>
          <w:p w14:paraId="4541BB12" w14:textId="0F3908A9" w:rsidR="00C75D5A" w:rsidRPr="003112A9" w:rsidRDefault="33985B12" w:rsidP="003112A9">
            <w:pPr>
              <w:spacing w:after="0" w:line="240" w:lineRule="auto"/>
              <w:jc w:val="right"/>
              <w:rPr>
                <w:rFonts w:ascii="Times New Roman" w:hAnsi="Times New Roman" w:cs="Times New Roman"/>
                <w:lang w:eastAsia="hu-HU"/>
              </w:rPr>
            </w:pPr>
            <w:r w:rsidRPr="003112A9">
              <w:rPr>
                <w:rFonts w:ascii="Times New Roman" w:hAnsi="Times New Roman" w:cs="Times New Roman"/>
                <w:lang w:eastAsia="hu-HU"/>
              </w:rPr>
              <w:t>1</w:t>
            </w:r>
            <w:r w:rsidR="003112A9" w:rsidRPr="003112A9">
              <w:rPr>
                <w:rFonts w:ascii="Times New Roman" w:hAnsi="Times New Roman" w:cs="Times New Roman"/>
                <w:lang w:eastAsia="hu-HU"/>
              </w:rPr>
              <w:t>10,7</w:t>
            </w:r>
          </w:p>
        </w:tc>
      </w:tr>
      <w:tr w:rsidR="003112A9" w:rsidRPr="003112A9" w14:paraId="75537FB7" w14:textId="77777777" w:rsidTr="33985B12">
        <w:trPr>
          <w:trHeight w:val="283"/>
        </w:trPr>
        <w:tc>
          <w:tcPr>
            <w:tcW w:w="8251" w:type="dxa"/>
            <w:tcMar>
              <w:top w:w="0" w:type="dxa"/>
              <w:left w:w="108" w:type="dxa"/>
              <w:bottom w:w="0" w:type="dxa"/>
              <w:right w:w="108" w:type="dxa"/>
            </w:tcMar>
            <w:vAlign w:val="center"/>
            <w:hideMark/>
          </w:tcPr>
          <w:p w14:paraId="2F9CDF71" w14:textId="0B43D50F" w:rsidR="00B63DA3" w:rsidRPr="003112A9" w:rsidRDefault="33985B12" w:rsidP="33985B12">
            <w:pPr>
              <w:spacing w:after="0" w:line="240" w:lineRule="auto"/>
              <w:jc w:val="both"/>
              <w:rPr>
                <w:rFonts w:ascii="Times New Roman" w:hAnsi="Times New Roman" w:cs="Times New Roman"/>
                <w:lang w:eastAsia="hu-HU"/>
              </w:rPr>
            </w:pPr>
            <w:r w:rsidRPr="003112A9">
              <w:rPr>
                <w:rFonts w:ascii="Times New Roman" w:hAnsi="Times New Roman" w:cs="Times New Roman"/>
                <w:lang w:eastAsia="hu-HU"/>
              </w:rPr>
              <w:t>Kulturális értékmegőrző beruházások</w:t>
            </w:r>
          </w:p>
        </w:tc>
        <w:tc>
          <w:tcPr>
            <w:tcW w:w="992" w:type="dxa"/>
            <w:noWrap/>
            <w:tcMar>
              <w:top w:w="0" w:type="dxa"/>
              <w:left w:w="108" w:type="dxa"/>
              <w:bottom w:w="0" w:type="dxa"/>
              <w:right w:w="108" w:type="dxa"/>
            </w:tcMar>
            <w:vAlign w:val="center"/>
          </w:tcPr>
          <w:p w14:paraId="3034D170" w14:textId="35836479" w:rsidR="00B63DA3" w:rsidRPr="003112A9" w:rsidRDefault="33985B12" w:rsidP="003112A9">
            <w:pPr>
              <w:spacing w:after="0" w:line="240" w:lineRule="auto"/>
              <w:jc w:val="right"/>
              <w:rPr>
                <w:rFonts w:ascii="Times New Roman" w:hAnsi="Times New Roman" w:cs="Times New Roman"/>
                <w:lang w:eastAsia="hu-HU"/>
              </w:rPr>
            </w:pPr>
            <w:r w:rsidRPr="003112A9">
              <w:rPr>
                <w:rFonts w:ascii="Times New Roman" w:hAnsi="Times New Roman" w:cs="Times New Roman"/>
                <w:lang w:eastAsia="hu-HU"/>
              </w:rPr>
              <w:t>8</w:t>
            </w:r>
            <w:r w:rsidR="003112A9" w:rsidRPr="003112A9">
              <w:rPr>
                <w:rFonts w:ascii="Times New Roman" w:hAnsi="Times New Roman" w:cs="Times New Roman"/>
                <w:lang w:eastAsia="hu-HU"/>
              </w:rPr>
              <w:t>5,8</w:t>
            </w:r>
          </w:p>
        </w:tc>
      </w:tr>
    </w:tbl>
    <w:p w14:paraId="130E1B4D" w14:textId="730F6BF2" w:rsidR="0033462C" w:rsidRPr="00A41272" w:rsidRDefault="33985B12" w:rsidP="33985B12">
      <w:pPr>
        <w:spacing w:before="160" w:after="0"/>
        <w:jc w:val="both"/>
        <w:rPr>
          <w:rFonts w:ascii="Times New Roman" w:eastAsia="Times New Roman" w:hAnsi="Times New Roman" w:cs="Times New Roman"/>
          <w:sz w:val="26"/>
          <w:szCs w:val="26"/>
          <w:lang w:eastAsia="hu-HU"/>
        </w:rPr>
      </w:pPr>
      <w:r w:rsidRPr="33985B12">
        <w:rPr>
          <w:rFonts w:ascii="Times New Roman" w:eastAsia="Times New Roman" w:hAnsi="Times New Roman" w:cs="Times New Roman"/>
          <w:sz w:val="26"/>
          <w:szCs w:val="26"/>
          <w:lang w:eastAsia="hu-HU"/>
        </w:rPr>
        <w:t>A 2024. év</w:t>
      </w:r>
      <w:r w:rsidR="003112A9">
        <w:rPr>
          <w:rFonts w:ascii="Times New Roman" w:eastAsia="Times New Roman" w:hAnsi="Times New Roman" w:cs="Times New Roman"/>
          <w:sz w:val="26"/>
          <w:szCs w:val="26"/>
          <w:lang w:eastAsia="hu-HU"/>
        </w:rPr>
        <w:t>i</w:t>
      </w:r>
      <w:r w:rsidRPr="33985B12">
        <w:rPr>
          <w:rFonts w:ascii="Times New Roman" w:eastAsia="Times New Roman" w:hAnsi="Times New Roman" w:cs="Times New Roman"/>
          <w:sz w:val="26"/>
          <w:szCs w:val="26"/>
          <w:lang w:eastAsia="hu-HU"/>
        </w:rPr>
        <w:t>, 1</w:t>
      </w:r>
      <w:r w:rsidR="003112A9">
        <w:rPr>
          <w:rFonts w:ascii="Times New Roman" w:eastAsia="Times New Roman" w:hAnsi="Times New Roman" w:cs="Times New Roman"/>
          <w:sz w:val="26"/>
          <w:szCs w:val="26"/>
          <w:lang w:eastAsia="hu-HU"/>
        </w:rPr>
        <w:t>3 952,3</w:t>
      </w:r>
      <w:r w:rsidRPr="33985B12">
        <w:rPr>
          <w:rFonts w:ascii="Times New Roman" w:eastAsia="Times New Roman" w:hAnsi="Times New Roman" w:cs="Times New Roman"/>
          <w:sz w:val="26"/>
          <w:szCs w:val="26"/>
          <w:lang w:eastAsia="hu-HU"/>
        </w:rPr>
        <w:t> milliárd forint összegű kiadásai megoszlását a következő grafikon szemlélteti:</w:t>
      </w:r>
    </w:p>
    <w:p w14:paraId="3599A16D" w14:textId="0413EA20" w:rsidR="00B056CC" w:rsidRDefault="00BB12FE" w:rsidP="009C33A4">
      <w:pPr>
        <w:spacing w:before="240"/>
        <w:jc w:val="center"/>
        <w:rPr>
          <w:rFonts w:ascii="Times New Roman" w:eastAsia="Times New Roman" w:hAnsi="Times New Roman" w:cs="Times New Roman"/>
          <w:b/>
          <w:sz w:val="26"/>
          <w:szCs w:val="26"/>
        </w:rPr>
      </w:pPr>
      <w:r>
        <w:rPr>
          <w:noProof/>
          <w:lang w:eastAsia="hu-HU"/>
        </w:rPr>
        <w:drawing>
          <wp:inline distT="0" distB="0" distL="0" distR="0" wp14:anchorId="0B097989" wp14:editId="78D332A7">
            <wp:extent cx="5940425" cy="3376930"/>
            <wp:effectExtent l="0" t="0" r="3175" b="0"/>
            <wp:docPr id="24" name="Kép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940425" cy="3376930"/>
                    </a:xfrm>
                    <a:prstGeom prst="rect">
                      <a:avLst/>
                    </a:prstGeom>
                  </pic:spPr>
                </pic:pic>
              </a:graphicData>
            </a:graphic>
          </wp:inline>
        </w:drawing>
      </w:r>
    </w:p>
    <w:p w14:paraId="7B768C4E" w14:textId="3E063542" w:rsidR="00B155FE" w:rsidRPr="00377D59" w:rsidRDefault="33985B12" w:rsidP="33985B12">
      <w:pPr>
        <w:keepNext/>
        <w:numPr>
          <w:ilvl w:val="0"/>
          <w:numId w:val="3"/>
        </w:numPr>
        <w:ind w:left="714" w:hanging="357"/>
        <w:jc w:val="both"/>
        <w:outlineLvl w:val="2"/>
        <w:rPr>
          <w:rFonts w:ascii="Times New Roman" w:eastAsia="Times New Roman" w:hAnsi="Times New Roman" w:cs="Times New Roman"/>
          <w:b/>
          <w:bCs/>
          <w:smallCaps/>
          <w:sz w:val="28"/>
          <w:szCs w:val="28"/>
          <w:lang w:eastAsia="hu-HU"/>
        </w:rPr>
      </w:pPr>
      <w:r w:rsidRPr="33985B12">
        <w:rPr>
          <w:rFonts w:ascii="Times New Roman" w:eastAsia="Times New Roman" w:hAnsi="Times New Roman" w:cs="Times New Roman"/>
          <w:b/>
          <w:bCs/>
          <w:smallCaps/>
          <w:sz w:val="28"/>
          <w:szCs w:val="28"/>
          <w:lang w:eastAsia="hu-HU"/>
        </w:rPr>
        <w:lastRenderedPageBreak/>
        <w:t>Kamategyenleg</w:t>
      </w:r>
    </w:p>
    <w:p w14:paraId="0047F521" w14:textId="7F6C19AE" w:rsidR="003F3151" w:rsidRDefault="33985B12" w:rsidP="33985B12">
      <w:pPr>
        <w:jc w:val="both"/>
        <w:rPr>
          <w:rFonts w:ascii="Times New Roman" w:hAnsi="Times New Roman" w:cs="Times New Roman"/>
          <w:sz w:val="26"/>
          <w:szCs w:val="26"/>
        </w:rPr>
      </w:pPr>
      <w:r w:rsidRPr="33985B12">
        <w:rPr>
          <w:rFonts w:ascii="Times New Roman" w:hAnsi="Times New Roman" w:cs="Times New Roman"/>
          <w:sz w:val="26"/>
          <w:szCs w:val="26"/>
          <w:lang w:eastAsia="hu-HU"/>
        </w:rPr>
        <w:t xml:space="preserve">A bevételek és kiadások egyenlegeként adódó 2 863,4 milliárd forint összegű </w:t>
      </w:r>
      <w:r w:rsidRPr="33985B12">
        <w:rPr>
          <w:rFonts w:ascii="Times New Roman" w:hAnsi="Times New Roman" w:cs="Times New Roman"/>
          <w:b/>
          <w:bCs/>
          <w:sz w:val="26"/>
          <w:szCs w:val="26"/>
          <w:lang w:eastAsia="hu-HU"/>
        </w:rPr>
        <w:t>nettó</w:t>
      </w:r>
      <w:r w:rsidRPr="33985B12">
        <w:rPr>
          <w:rFonts w:ascii="Times New Roman" w:hAnsi="Times New Roman" w:cs="Times New Roman"/>
          <w:b/>
          <w:bCs/>
          <w:sz w:val="26"/>
          <w:szCs w:val="26"/>
        </w:rPr>
        <w:t xml:space="preserve"> kamatkiadás</w:t>
      </w:r>
      <w:r w:rsidRPr="33985B12">
        <w:rPr>
          <w:rFonts w:ascii="Times New Roman" w:hAnsi="Times New Roman" w:cs="Times New Roman"/>
          <w:sz w:val="26"/>
          <w:szCs w:val="26"/>
        </w:rPr>
        <w:t xml:space="preserve"> 2024-ben 541,9 milliárd forinttal lett magasabb az előző évhez képest, mely az előző évitől különböző hozamokkal és finanszírozási szerkezettel magyarázható.</w:t>
      </w:r>
    </w:p>
    <w:p w14:paraId="5DC0C16D" w14:textId="1452104F" w:rsidR="00890C69" w:rsidRPr="00377D59" w:rsidRDefault="00890C69" w:rsidP="33985B12">
      <w:pPr>
        <w:jc w:val="both"/>
        <w:rPr>
          <w:rFonts w:ascii="Times New Roman" w:hAnsi="Times New Roman" w:cs="Times New Roman"/>
          <w:sz w:val="26"/>
          <w:szCs w:val="26"/>
        </w:rPr>
      </w:pPr>
      <w:r>
        <w:rPr>
          <w:rFonts w:ascii="Times New Roman" w:hAnsi="Times New Roman" w:cs="Times New Roman"/>
          <w:sz w:val="26"/>
          <w:szCs w:val="26"/>
        </w:rPr>
        <w:t>A Magyar Nemzeti Banktól 2024. december 19-én és 31-én visszavásárolt államkötvények árfolyamnyereségét (névértékhez képest a piaci ár), összesen mintegy 322 milliárd forint értékben pénzforgalmi kamatbevételként kellett elszámolni.</w:t>
      </w:r>
    </w:p>
    <w:p w14:paraId="7B768C50" w14:textId="77777777" w:rsidR="00B155FE" w:rsidRPr="00377D59" w:rsidRDefault="00B155FE" w:rsidP="00B155FE">
      <w:pPr>
        <w:tabs>
          <w:tab w:val="left" w:pos="550"/>
        </w:tabs>
        <w:spacing w:before="120" w:after="120" w:line="240" w:lineRule="auto"/>
        <w:jc w:val="both"/>
        <w:rPr>
          <w:rFonts w:ascii="Times New Roman" w:eastAsia="Times New Roman" w:hAnsi="Times New Roman" w:cs="Times New Roman"/>
          <w:caps/>
          <w:sz w:val="26"/>
          <w:szCs w:val="20"/>
          <w:lang w:eastAsia="hu-HU"/>
        </w:rPr>
      </w:pPr>
      <w:r w:rsidRPr="00377D59">
        <w:rPr>
          <w:rFonts w:ascii="Times New Roman" w:eastAsia="Times New Roman" w:hAnsi="Times New Roman" w:cs="Times New Roman"/>
          <w:caps/>
          <w:sz w:val="26"/>
          <w:szCs w:val="20"/>
          <w:lang w:eastAsia="hu-HU"/>
        </w:rPr>
        <w:br w:type="page"/>
      </w:r>
    </w:p>
    <w:p w14:paraId="688B9DA7" w14:textId="77777777" w:rsidR="00C9408B" w:rsidRDefault="33985B12" w:rsidP="33985B12">
      <w:pPr>
        <w:keepNext/>
        <w:spacing w:after="120" w:line="240" w:lineRule="auto"/>
        <w:jc w:val="center"/>
        <w:outlineLvl w:val="3"/>
        <w:rPr>
          <w:rFonts w:ascii="Times New Roman" w:eastAsia="Times New Roman" w:hAnsi="Times New Roman" w:cs="Times New Roman"/>
          <w:b/>
          <w:bCs/>
          <w:caps/>
          <w:sz w:val="26"/>
          <w:szCs w:val="26"/>
          <w:lang w:eastAsia="hu-HU"/>
        </w:rPr>
      </w:pPr>
      <w:r w:rsidRPr="33985B12">
        <w:rPr>
          <w:rFonts w:ascii="Times New Roman" w:eastAsia="Times New Roman" w:hAnsi="Times New Roman" w:cs="Times New Roman"/>
          <w:b/>
          <w:bCs/>
          <w:caps/>
          <w:sz w:val="26"/>
          <w:szCs w:val="26"/>
          <w:lang w:eastAsia="hu-HU"/>
        </w:rPr>
        <w:lastRenderedPageBreak/>
        <w:t>II.</w:t>
      </w:r>
    </w:p>
    <w:p w14:paraId="7B768C51" w14:textId="63BB059C" w:rsidR="00B155FE" w:rsidRPr="00377D59" w:rsidRDefault="33985B12" w:rsidP="33985B12">
      <w:pPr>
        <w:keepNext/>
        <w:spacing w:after="240" w:line="240" w:lineRule="auto"/>
        <w:jc w:val="center"/>
        <w:outlineLvl w:val="3"/>
        <w:rPr>
          <w:rFonts w:ascii="Times New Roman" w:eastAsia="Times New Roman" w:hAnsi="Times New Roman" w:cs="Times New Roman"/>
          <w:b/>
          <w:bCs/>
          <w:caps/>
          <w:sz w:val="26"/>
          <w:szCs w:val="26"/>
          <w:lang w:eastAsia="hu-HU"/>
        </w:rPr>
      </w:pPr>
      <w:r w:rsidRPr="33985B12">
        <w:rPr>
          <w:rFonts w:ascii="Times New Roman" w:eastAsia="Times New Roman" w:hAnsi="Times New Roman" w:cs="Times New Roman"/>
          <w:b/>
          <w:bCs/>
          <w:caps/>
          <w:sz w:val="26"/>
          <w:szCs w:val="26"/>
          <w:lang w:eastAsia="hu-HU"/>
        </w:rPr>
        <w:t>Az államháztartás központi alrendszerének finanszírozása</w:t>
      </w:r>
    </w:p>
    <w:p w14:paraId="06C778E7" w14:textId="5AA94142" w:rsidR="00710A26" w:rsidRPr="008E6DF0" w:rsidRDefault="33985B12" w:rsidP="33985B12">
      <w:pPr>
        <w:ind w:right="23"/>
        <w:jc w:val="both"/>
        <w:rPr>
          <w:rFonts w:ascii="Times New Roman" w:eastAsia="Times New Roman" w:hAnsi="Times New Roman" w:cs="Times New Roman"/>
          <w:b/>
          <w:bCs/>
          <w:sz w:val="26"/>
          <w:szCs w:val="26"/>
          <w:lang w:eastAsia="hu-HU"/>
        </w:rPr>
      </w:pPr>
      <w:r w:rsidRPr="33985B12">
        <w:rPr>
          <w:rFonts w:ascii="Times New Roman" w:eastAsia="Times New Roman" w:hAnsi="Times New Roman" w:cs="Times New Roman"/>
          <w:b/>
          <w:bCs/>
          <w:sz w:val="26"/>
          <w:szCs w:val="26"/>
          <w:lang w:eastAsia="hu-HU"/>
        </w:rPr>
        <w:t xml:space="preserve">A központi költségvetés </w:t>
      </w:r>
      <w:r w:rsidRPr="33985B12">
        <w:rPr>
          <w:rFonts w:ascii="Times New Roman" w:eastAsia="Times New Roman" w:hAnsi="Times New Roman" w:cs="Times New Roman"/>
          <w:sz w:val="26"/>
          <w:szCs w:val="26"/>
          <w:lang w:eastAsia="hu-HU"/>
        </w:rPr>
        <w:t>adóssága 2024-ben 4 613,8 milliárd forinttal növekedett a következő négy tényező eredményeképpen:</w:t>
      </w:r>
    </w:p>
    <w:p w14:paraId="2A396A8D" w14:textId="163A93C7" w:rsidR="00844879" w:rsidRPr="00844879" w:rsidRDefault="33985B12" w:rsidP="33985B12">
      <w:pPr>
        <w:pStyle w:val="Listaszerbekezds"/>
        <w:numPr>
          <w:ilvl w:val="0"/>
          <w:numId w:val="2"/>
        </w:numPr>
        <w:jc w:val="both"/>
        <w:rPr>
          <w:rFonts w:ascii="Times New Roman" w:eastAsia="Times New Roman" w:hAnsi="Times New Roman" w:cs="Times New Roman"/>
          <w:sz w:val="26"/>
          <w:szCs w:val="26"/>
          <w:lang w:eastAsia="hu-HU"/>
        </w:rPr>
      </w:pPr>
      <w:r w:rsidRPr="33985B12">
        <w:rPr>
          <w:rFonts w:ascii="Times New Roman" w:eastAsia="Times New Roman" w:hAnsi="Times New Roman" w:cs="Times New Roman"/>
          <w:b/>
          <w:bCs/>
          <w:sz w:val="26"/>
          <w:szCs w:val="26"/>
          <w:lang w:eastAsia="hu-HU"/>
        </w:rPr>
        <w:t>Az első tényező, amely növelte az adósságot</w:t>
      </w:r>
      <w:r w:rsidRPr="33985B12">
        <w:rPr>
          <w:rFonts w:ascii="Times New Roman" w:eastAsia="Times New Roman" w:hAnsi="Times New Roman" w:cs="Times New Roman"/>
          <w:sz w:val="26"/>
          <w:szCs w:val="26"/>
          <w:lang w:eastAsia="hu-HU"/>
        </w:rPr>
        <w:t xml:space="preserve"> a nettó forintkibocsátás 1 813,6 milliárd forint összegben, ami a költségvetés hiányát finanszírozta és részben a likvid pénzügyi eszközök állományát növelte.</w:t>
      </w:r>
    </w:p>
    <w:p w14:paraId="1C9C0533" w14:textId="2BB2DCC7" w:rsidR="00464B6D" w:rsidRPr="00464B6D" w:rsidRDefault="33985B12" w:rsidP="33985B12">
      <w:pPr>
        <w:pStyle w:val="Listaszerbekezds"/>
        <w:numPr>
          <w:ilvl w:val="0"/>
          <w:numId w:val="2"/>
        </w:numPr>
        <w:jc w:val="both"/>
        <w:rPr>
          <w:rFonts w:ascii="Times New Roman" w:eastAsia="Times New Roman" w:hAnsi="Times New Roman" w:cs="Times New Roman"/>
          <w:sz w:val="26"/>
          <w:szCs w:val="26"/>
          <w:lang w:eastAsia="hu-HU"/>
        </w:rPr>
      </w:pPr>
      <w:r w:rsidRPr="33985B12">
        <w:rPr>
          <w:rFonts w:ascii="Times New Roman" w:eastAsia="Times New Roman" w:hAnsi="Times New Roman" w:cs="Times New Roman"/>
          <w:b/>
          <w:bCs/>
          <w:sz w:val="26"/>
          <w:szCs w:val="26"/>
          <w:lang w:eastAsia="hu-HU"/>
        </w:rPr>
        <w:t>A második – szintén növelő hatású – tényező</w:t>
      </w:r>
      <w:r w:rsidRPr="33985B12">
        <w:rPr>
          <w:rFonts w:ascii="Times New Roman" w:eastAsia="Times New Roman" w:hAnsi="Times New Roman" w:cs="Times New Roman"/>
          <w:sz w:val="26"/>
          <w:szCs w:val="26"/>
          <w:lang w:eastAsia="hu-HU"/>
        </w:rPr>
        <w:t xml:space="preserve"> a nettó devizakibocsátás volt, amely 1 766,0 milliárd forint összegben járult hozzá a hiány finanszírozásához és a devizabetétállomány növekedéséhez.</w:t>
      </w:r>
    </w:p>
    <w:p w14:paraId="5A4247D4" w14:textId="780A8A44" w:rsidR="00617ED1" w:rsidRDefault="33985B12" w:rsidP="33985B12">
      <w:pPr>
        <w:pStyle w:val="Listaszerbekezds"/>
        <w:numPr>
          <w:ilvl w:val="0"/>
          <w:numId w:val="2"/>
        </w:numPr>
        <w:jc w:val="both"/>
        <w:rPr>
          <w:rFonts w:ascii="Times New Roman" w:eastAsia="Times New Roman" w:hAnsi="Times New Roman" w:cs="Times New Roman"/>
          <w:sz w:val="26"/>
          <w:szCs w:val="26"/>
          <w:lang w:eastAsia="hu-HU"/>
        </w:rPr>
      </w:pPr>
      <w:r w:rsidRPr="33985B12">
        <w:rPr>
          <w:rFonts w:ascii="Times New Roman" w:eastAsia="Times New Roman" w:hAnsi="Times New Roman" w:cs="Times New Roman"/>
          <w:b/>
          <w:bCs/>
          <w:sz w:val="26"/>
          <w:szCs w:val="26"/>
          <w:lang w:eastAsia="hu-HU"/>
        </w:rPr>
        <w:t>A harmadik – további növelő hatású – tényező</w:t>
      </w:r>
      <w:r w:rsidRPr="33985B12">
        <w:rPr>
          <w:rFonts w:ascii="Times New Roman" w:eastAsia="Times New Roman" w:hAnsi="Times New Roman" w:cs="Times New Roman"/>
          <w:sz w:val="26"/>
          <w:szCs w:val="26"/>
          <w:lang w:eastAsia="hu-HU"/>
        </w:rPr>
        <w:t xml:space="preserve"> a forint árfolyamának az elmúlt év végéhez képest bekövetkezett gyengülése, amely az adósság devizában fennálló részének forintban számított nyilvántartási értékét 1 113,5 milliárd forinttal növelte.</w:t>
      </w:r>
    </w:p>
    <w:p w14:paraId="2476E515" w14:textId="62A2177E" w:rsidR="00464B6D" w:rsidRDefault="33985B12" w:rsidP="33985B12">
      <w:pPr>
        <w:pStyle w:val="Listaszerbekezds"/>
        <w:numPr>
          <w:ilvl w:val="0"/>
          <w:numId w:val="2"/>
        </w:numPr>
        <w:jc w:val="both"/>
        <w:rPr>
          <w:rFonts w:ascii="Times New Roman" w:eastAsia="Times New Roman" w:hAnsi="Times New Roman" w:cs="Times New Roman"/>
          <w:sz w:val="26"/>
          <w:szCs w:val="26"/>
          <w:lang w:eastAsia="hu-HU"/>
        </w:rPr>
      </w:pPr>
      <w:r w:rsidRPr="33985B12">
        <w:rPr>
          <w:rFonts w:ascii="Times New Roman" w:eastAsia="Times New Roman" w:hAnsi="Times New Roman" w:cs="Times New Roman"/>
          <w:b/>
          <w:bCs/>
          <w:sz w:val="26"/>
          <w:szCs w:val="26"/>
          <w:lang w:eastAsia="hu-HU"/>
        </w:rPr>
        <w:lastRenderedPageBreak/>
        <w:t>A negyedik – fentiekkel ellentétes, csökkentő hatású – tényező</w:t>
      </w:r>
      <w:r w:rsidRPr="33985B12">
        <w:rPr>
          <w:rFonts w:ascii="Times New Roman" w:eastAsia="Times New Roman" w:hAnsi="Times New Roman" w:cs="Times New Roman"/>
          <w:sz w:val="26"/>
          <w:szCs w:val="26"/>
          <w:lang w:eastAsia="hu-HU"/>
        </w:rPr>
        <w:t xml:space="preserve"> a deviza-keresztárfolyamok változása és egyéb tényezők miatt bekövetkezett mark-to-market betétállományok csökkenése 79,2 milliárd forint összegben.</w:t>
      </w:r>
    </w:p>
    <w:p w14:paraId="5DC271BB" w14:textId="6E228B90" w:rsidR="00377D59" w:rsidRPr="00464B6D" w:rsidRDefault="00377D59" w:rsidP="00844879">
      <w:pPr>
        <w:pStyle w:val="Listaszerbekezds"/>
        <w:spacing w:after="120"/>
        <w:ind w:right="23"/>
        <w:jc w:val="both"/>
        <w:rPr>
          <w:rFonts w:ascii="Times New Roman" w:eastAsia="Times New Roman" w:hAnsi="Times New Roman" w:cs="Times New Roman"/>
          <w:sz w:val="26"/>
          <w:szCs w:val="26"/>
          <w:lang w:eastAsia="hu-HU"/>
        </w:rPr>
      </w:pPr>
    </w:p>
    <w:p w14:paraId="157CBCF7" w14:textId="16BBD789" w:rsidR="00E5484A" w:rsidRPr="00377D59" w:rsidRDefault="00E5484A" w:rsidP="00377D59">
      <w:pPr>
        <w:rPr>
          <w:rFonts w:ascii="Times New Roman" w:eastAsia="Times New Roman" w:hAnsi="Times New Roman" w:cs="Times New Roman"/>
          <w:sz w:val="26"/>
          <w:szCs w:val="26"/>
          <w:lang w:eastAsia="hu-HU"/>
        </w:rPr>
        <w:sectPr w:rsidR="00E5484A" w:rsidRPr="00377D59" w:rsidSect="00556984">
          <w:headerReference w:type="default" r:id="rId26"/>
          <w:footerReference w:type="default" r:id="rId27"/>
          <w:footnotePr>
            <w:numRestart w:val="eachPage"/>
          </w:footnotePr>
          <w:pgSz w:w="11907" w:h="16840" w:code="9"/>
          <w:pgMar w:top="1134" w:right="1134" w:bottom="1418" w:left="1418" w:header="709" w:footer="709" w:gutter="0"/>
          <w:cols w:space="708"/>
          <w:docGrid w:linePitch="354"/>
        </w:sectPr>
      </w:pPr>
    </w:p>
    <w:p w14:paraId="7B768C5C" w14:textId="0DC17D33" w:rsidR="00B155FE" w:rsidRPr="00377D59" w:rsidRDefault="33985B12" w:rsidP="33985B12">
      <w:pPr>
        <w:spacing w:after="120" w:line="240" w:lineRule="auto"/>
        <w:ind w:right="23"/>
        <w:jc w:val="both"/>
        <w:rPr>
          <w:rFonts w:ascii="Times New Roman" w:eastAsia="Times New Roman" w:hAnsi="Times New Roman" w:cs="Times New Roman"/>
          <w:sz w:val="26"/>
          <w:szCs w:val="26"/>
          <w:lang w:eastAsia="hu-HU"/>
        </w:rPr>
      </w:pPr>
      <w:r w:rsidRPr="33985B12">
        <w:rPr>
          <w:rFonts w:ascii="Times New Roman" w:eastAsia="Times New Roman" w:hAnsi="Times New Roman" w:cs="Times New Roman"/>
          <w:sz w:val="26"/>
          <w:szCs w:val="26"/>
          <w:lang w:eastAsia="hu-HU"/>
        </w:rPr>
        <w:lastRenderedPageBreak/>
        <w:t xml:space="preserve">Az előzetes adatok szerint </w:t>
      </w:r>
      <w:r w:rsidR="00751A9D">
        <w:rPr>
          <w:rFonts w:ascii="Times New Roman" w:eastAsia="Times New Roman" w:hAnsi="Times New Roman" w:cs="Times New Roman"/>
          <w:sz w:val="26"/>
          <w:szCs w:val="26"/>
          <w:lang w:eastAsia="hu-HU"/>
        </w:rPr>
        <w:t xml:space="preserve">2024. </w:t>
      </w:r>
      <w:r w:rsidRPr="33985B12">
        <w:rPr>
          <w:rFonts w:ascii="Times New Roman" w:eastAsia="Times New Roman" w:hAnsi="Times New Roman" w:cs="Times New Roman"/>
          <w:sz w:val="26"/>
          <w:szCs w:val="26"/>
          <w:lang w:eastAsia="hu-HU"/>
        </w:rPr>
        <w:t xml:space="preserve">december végén a </w:t>
      </w:r>
      <w:r w:rsidRPr="33985B12">
        <w:rPr>
          <w:rFonts w:ascii="Times New Roman" w:eastAsia="Times New Roman" w:hAnsi="Times New Roman" w:cs="Times New Roman"/>
          <w:b/>
          <w:bCs/>
          <w:sz w:val="26"/>
          <w:szCs w:val="26"/>
          <w:lang w:eastAsia="hu-HU"/>
        </w:rPr>
        <w:t xml:space="preserve">központi költségvetés forint- és devizaadóssága </w:t>
      </w:r>
      <w:r w:rsidRPr="33985B12">
        <w:rPr>
          <w:rFonts w:ascii="Times New Roman" w:eastAsia="Times New Roman" w:hAnsi="Times New Roman" w:cs="Times New Roman"/>
          <w:sz w:val="26"/>
          <w:szCs w:val="26"/>
          <w:lang w:eastAsia="hu-HU"/>
        </w:rPr>
        <w:t>az alábbiak szerint alakult:</w:t>
      </w:r>
    </w:p>
    <w:p w14:paraId="7B768C5D" w14:textId="053E8C67" w:rsidR="00B155FE" w:rsidRDefault="33985B12" w:rsidP="33985B12">
      <w:pPr>
        <w:overflowPunct w:val="0"/>
        <w:autoSpaceDE w:val="0"/>
        <w:autoSpaceDN w:val="0"/>
        <w:adjustRightInd w:val="0"/>
        <w:spacing w:after="120" w:line="240" w:lineRule="auto"/>
        <w:ind w:right="23"/>
        <w:jc w:val="center"/>
        <w:textAlignment w:val="baseline"/>
        <w:rPr>
          <w:rFonts w:ascii="Times New Roman" w:eastAsia="Times New Roman" w:hAnsi="Times New Roman" w:cs="Times New Roman"/>
          <w:sz w:val="26"/>
          <w:szCs w:val="26"/>
          <w:lang w:eastAsia="hu-HU"/>
        </w:rPr>
      </w:pPr>
      <w:r w:rsidRPr="33985B12">
        <w:rPr>
          <w:rFonts w:ascii="Times New Roman" w:eastAsia="Times New Roman" w:hAnsi="Times New Roman" w:cs="Times New Roman"/>
          <w:sz w:val="26"/>
          <w:szCs w:val="26"/>
          <w:lang w:eastAsia="hu-HU"/>
        </w:rPr>
        <w:t>A központi költségvetés adósságának alakulása 2024-ben, milliárd forint</w:t>
      </w:r>
    </w:p>
    <w:p w14:paraId="31C86ED1" w14:textId="3D2F39D9" w:rsidR="002F2521" w:rsidRDefault="002F2521" w:rsidP="166F4922">
      <w:pPr>
        <w:overflowPunct w:val="0"/>
        <w:autoSpaceDE w:val="0"/>
        <w:autoSpaceDN w:val="0"/>
        <w:adjustRightInd w:val="0"/>
        <w:spacing w:after="120" w:line="240" w:lineRule="auto"/>
        <w:ind w:right="23"/>
        <w:jc w:val="center"/>
        <w:textAlignment w:val="baseline"/>
        <w:rPr>
          <w:rFonts w:ascii="Times New Roman" w:eastAsia="Times New Roman" w:hAnsi="Times New Roman" w:cs="Times New Roman"/>
          <w:sz w:val="26"/>
          <w:szCs w:val="26"/>
          <w:lang w:eastAsia="hu-HU"/>
        </w:rPr>
      </w:pPr>
      <w:r w:rsidRPr="002F2521">
        <w:rPr>
          <w:noProof/>
          <w:lang w:eastAsia="hu-HU"/>
        </w:rPr>
        <w:drawing>
          <wp:inline distT="0" distB="0" distL="0" distR="0" wp14:anchorId="744E6457" wp14:editId="71FACA49">
            <wp:extent cx="8935085" cy="4231640"/>
            <wp:effectExtent l="0" t="0" r="0" b="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935085" cy="4231640"/>
                    </a:xfrm>
                    <a:prstGeom prst="rect">
                      <a:avLst/>
                    </a:prstGeom>
                    <a:noFill/>
                    <a:ln>
                      <a:noFill/>
                    </a:ln>
                  </pic:spPr>
                </pic:pic>
              </a:graphicData>
            </a:graphic>
          </wp:inline>
        </w:drawing>
      </w:r>
    </w:p>
    <w:p w14:paraId="7B768C5F" w14:textId="77777777" w:rsidR="00B155FE" w:rsidRPr="00377D59" w:rsidRDefault="33985B12" w:rsidP="33985B12">
      <w:pPr>
        <w:spacing w:after="120" w:line="240" w:lineRule="auto"/>
        <w:jc w:val="both"/>
        <w:rPr>
          <w:rFonts w:ascii="Times New Roman" w:eastAsia="Times New Roman" w:hAnsi="Times New Roman" w:cs="Times New Roman"/>
          <w:sz w:val="24"/>
          <w:szCs w:val="24"/>
          <w:lang w:eastAsia="hu-HU"/>
        </w:rPr>
      </w:pPr>
      <w:r w:rsidRPr="33985B12">
        <w:rPr>
          <w:rFonts w:ascii="Times New Roman" w:eastAsia="Times New Roman" w:hAnsi="Times New Roman" w:cs="Times New Roman"/>
          <w:i/>
          <w:iCs/>
          <w:sz w:val="24"/>
          <w:szCs w:val="24"/>
          <w:lang w:eastAsia="hu-HU"/>
        </w:rPr>
        <w:t>Megjegyzés: a táblában szereplő tizedes eltérések kerekítésből adódnak.</w:t>
      </w:r>
    </w:p>
    <w:p w14:paraId="67FEF71B" w14:textId="4352F928" w:rsidR="00617877" w:rsidRPr="00377D59" w:rsidRDefault="00617877" w:rsidP="00617877">
      <w:pPr>
        <w:jc w:val="center"/>
        <w:rPr>
          <w:rFonts w:ascii="Times New Roman" w:eastAsia="Times New Roman" w:hAnsi="Times New Roman" w:cs="Times New Roman"/>
          <w:sz w:val="26"/>
          <w:szCs w:val="26"/>
          <w:lang w:eastAsia="hu-HU"/>
        </w:rPr>
      </w:pPr>
    </w:p>
    <w:p w14:paraId="612D5E01" w14:textId="247C2A7A" w:rsidR="00617877" w:rsidRPr="00377D59" w:rsidRDefault="00617877" w:rsidP="00617877">
      <w:pPr>
        <w:rPr>
          <w:rFonts w:ascii="Times New Roman" w:eastAsia="Times New Roman" w:hAnsi="Times New Roman" w:cs="Times New Roman"/>
          <w:sz w:val="26"/>
          <w:szCs w:val="26"/>
          <w:lang w:eastAsia="hu-HU"/>
        </w:rPr>
      </w:pPr>
    </w:p>
    <w:p w14:paraId="4A764331" w14:textId="77777777" w:rsidR="00EA1F58" w:rsidRPr="00377D59" w:rsidRDefault="00EA1F58" w:rsidP="00617877">
      <w:pPr>
        <w:rPr>
          <w:rFonts w:ascii="Times New Roman" w:eastAsia="Times New Roman" w:hAnsi="Times New Roman" w:cs="Times New Roman"/>
          <w:sz w:val="26"/>
          <w:szCs w:val="26"/>
          <w:lang w:eastAsia="hu-HU"/>
        </w:rPr>
        <w:sectPr w:rsidR="00EA1F58" w:rsidRPr="00377D59" w:rsidSect="00947C6B">
          <w:headerReference w:type="default" r:id="rId29"/>
          <w:headerReference w:type="first" r:id="rId30"/>
          <w:footnotePr>
            <w:numRestart w:val="eachPage"/>
          </w:footnotePr>
          <w:pgSz w:w="16840" w:h="11907" w:orient="landscape" w:code="9"/>
          <w:pgMar w:top="993" w:right="1134" w:bottom="1134" w:left="1418" w:header="709" w:footer="709" w:gutter="0"/>
          <w:pgNumType w:start="19"/>
          <w:cols w:space="708"/>
          <w:titlePg/>
          <w:docGrid w:linePitch="299"/>
        </w:sectPr>
      </w:pPr>
    </w:p>
    <w:p w14:paraId="13BA019E" w14:textId="77777777" w:rsidR="00BA415E" w:rsidRPr="00215F73" w:rsidRDefault="00BA415E" w:rsidP="00BA415E">
      <w:pPr>
        <w:jc w:val="both"/>
        <w:rPr>
          <w:rFonts w:ascii="Times New Roman" w:eastAsia="Times New Roman" w:hAnsi="Times New Roman" w:cs="Times New Roman"/>
          <w:sz w:val="26"/>
          <w:szCs w:val="26"/>
          <w:lang w:eastAsia="hu-HU"/>
        </w:rPr>
      </w:pPr>
      <w:r w:rsidRPr="33985B12">
        <w:rPr>
          <w:rFonts w:ascii="Times New Roman" w:eastAsia="Times New Roman" w:hAnsi="Times New Roman" w:cs="Times New Roman"/>
          <w:b/>
          <w:bCs/>
          <w:sz w:val="26"/>
          <w:szCs w:val="26"/>
          <w:lang w:eastAsia="hu-HU"/>
        </w:rPr>
        <w:lastRenderedPageBreak/>
        <w:t>A központi költségvetés devizaadóssága</w:t>
      </w:r>
      <w:r w:rsidRPr="33985B12">
        <w:rPr>
          <w:rFonts w:ascii="Times New Roman" w:eastAsia="Times New Roman" w:hAnsi="Times New Roman" w:cs="Times New Roman"/>
          <w:sz w:val="26"/>
          <w:szCs w:val="26"/>
          <w:lang w:eastAsia="hu-HU"/>
        </w:rPr>
        <w:t xml:space="preserve"> 2024-ben 2 879,5 milliárd forinttal 16 557,8 milliárd forintra növekedett az elmúlt év végéhez képest. A devizaadósság részaránya a 2023. év végi 26,9%-os szintről 29,8%-os szintre emelkedett a teljes adósságon belül. </w:t>
      </w:r>
    </w:p>
    <w:p w14:paraId="61DCBED9" w14:textId="30E82369" w:rsidR="00BA415E" w:rsidRPr="00215F73" w:rsidRDefault="00BA415E" w:rsidP="00BA415E">
      <w:pPr>
        <w:jc w:val="both"/>
        <w:rPr>
          <w:rFonts w:ascii="Times New Roman" w:eastAsia="Times New Roman" w:hAnsi="Times New Roman" w:cs="Times New Roman"/>
          <w:sz w:val="26"/>
          <w:szCs w:val="26"/>
          <w:lang w:eastAsia="hu-HU"/>
        </w:rPr>
      </w:pPr>
      <w:r w:rsidRPr="33985B12">
        <w:rPr>
          <w:rFonts w:ascii="Times New Roman" w:eastAsia="Times New Roman" w:hAnsi="Times New Roman" w:cs="Times New Roman"/>
          <w:sz w:val="26"/>
          <w:szCs w:val="26"/>
          <w:lang w:eastAsia="hu-HU"/>
        </w:rPr>
        <w:t>A növekedés hátterében döntően a januárban végrehajtott devizakötvény-kibocsátások állnak. 2024</w:t>
      </w:r>
      <w:r>
        <w:rPr>
          <w:rFonts w:ascii="Times New Roman" w:eastAsia="Times New Roman" w:hAnsi="Times New Roman" w:cs="Times New Roman"/>
          <w:sz w:val="26"/>
          <w:szCs w:val="26"/>
          <w:lang w:eastAsia="hu-HU"/>
        </w:rPr>
        <w:t>.</w:t>
      </w:r>
      <w:r w:rsidRPr="33985B12">
        <w:rPr>
          <w:rFonts w:ascii="Times New Roman" w:eastAsia="Times New Roman" w:hAnsi="Times New Roman" w:cs="Times New Roman"/>
          <w:sz w:val="26"/>
          <w:szCs w:val="26"/>
          <w:lang w:eastAsia="hu-HU"/>
        </w:rPr>
        <w:t xml:space="preserve"> január 3-án került sor a</w:t>
      </w:r>
      <w:r w:rsidR="00890C69">
        <w:rPr>
          <w:rFonts w:ascii="Times New Roman" w:eastAsia="Times New Roman" w:hAnsi="Times New Roman" w:cs="Times New Roman"/>
          <w:sz w:val="26"/>
          <w:szCs w:val="26"/>
          <w:lang w:eastAsia="hu-HU"/>
        </w:rPr>
        <w:t xml:space="preserve"> 2024. </w:t>
      </w:r>
      <w:r w:rsidRPr="33985B12">
        <w:rPr>
          <w:rFonts w:ascii="Times New Roman" w:eastAsia="Times New Roman" w:hAnsi="Times New Roman" w:cs="Times New Roman"/>
          <w:sz w:val="26"/>
          <w:szCs w:val="26"/>
          <w:lang w:eastAsia="hu-HU"/>
        </w:rPr>
        <w:t xml:space="preserve">év első nemzetközi kötvénykibocsátására 863,6 milliárd forint (2,5 milliárd USD) összegben 12 éves futamidővel, majd </w:t>
      </w:r>
      <w:r>
        <w:rPr>
          <w:rFonts w:ascii="Times New Roman" w:eastAsia="Times New Roman" w:hAnsi="Times New Roman" w:cs="Times New Roman"/>
          <w:sz w:val="26"/>
          <w:szCs w:val="26"/>
          <w:lang w:eastAsia="hu-HU"/>
        </w:rPr>
        <w:t xml:space="preserve">2024. </w:t>
      </w:r>
      <w:r w:rsidRPr="33985B12">
        <w:rPr>
          <w:rFonts w:ascii="Times New Roman" w:eastAsia="Times New Roman" w:hAnsi="Times New Roman" w:cs="Times New Roman"/>
          <w:sz w:val="26"/>
          <w:szCs w:val="26"/>
          <w:lang w:eastAsia="hu-HU"/>
        </w:rPr>
        <w:t>január 18-án Magyarország harmadik EUR Zöld Kötvényének kibocsátására 5,5 éves futamidővel 577,6 milliárd forint (1,5 milliárd EUR) összegben. 2024. szeptember 5-én japán jenben denominált Szamuráj kötvények kibocsátására került sor összesen 99,3 milliárd forint (39,6 milliárd JPY) összegben. Két sorozat piacra vitele történt meg, egy 3 éves futamidejű hagyományos sorozat 96,0 milliárd forint (38,3 milliárd JPY) összegben és egy 10 éves futamidejű zöld sorozat 3,3 milliárd forint (1,3 milliárd JPY) összegben.</w:t>
      </w:r>
    </w:p>
    <w:p w14:paraId="6C926A5D" w14:textId="77777777" w:rsidR="00BA415E" w:rsidRPr="00215F73" w:rsidRDefault="00BA415E" w:rsidP="00BA415E">
      <w:pPr>
        <w:jc w:val="both"/>
        <w:rPr>
          <w:rFonts w:ascii="Times New Roman" w:eastAsia="Times New Roman" w:hAnsi="Times New Roman" w:cs="Times New Roman"/>
          <w:sz w:val="26"/>
          <w:szCs w:val="26"/>
          <w:lang w:eastAsia="hu-HU"/>
        </w:rPr>
      </w:pPr>
      <w:r w:rsidRPr="33985B12">
        <w:rPr>
          <w:rFonts w:ascii="Times New Roman" w:eastAsia="Times New Roman" w:hAnsi="Times New Roman" w:cs="Times New Roman"/>
          <w:sz w:val="26"/>
          <w:szCs w:val="26"/>
          <w:lang w:eastAsia="hu-HU"/>
        </w:rPr>
        <w:lastRenderedPageBreak/>
        <w:t>Áprilisban 393,8 milliárd forint (1,0 milliárd EUR) összegű projektfinanszírozó devizahitel lehívása növelte a devizaadósságot. Az ECP (Euro Commercial Paper) program keretében 2024-ben kibocsátott devizaértékpapírok összege 180,4 milliárd forint (500 millió USD) volt. A további devizahitel lehívások és az árfolyamgyengülés szintén emelte a devizaadósság részarányát.</w:t>
      </w:r>
    </w:p>
    <w:p w14:paraId="48076254" w14:textId="0112D39C" w:rsidR="00BA415E" w:rsidRPr="00215F73" w:rsidRDefault="00BA415E" w:rsidP="00BA415E">
      <w:pPr>
        <w:jc w:val="both"/>
        <w:rPr>
          <w:rFonts w:ascii="Times New Roman" w:eastAsia="Times New Roman" w:hAnsi="Times New Roman" w:cs="Times New Roman"/>
          <w:sz w:val="26"/>
          <w:szCs w:val="26"/>
          <w:lang w:eastAsia="hu-HU"/>
        </w:rPr>
      </w:pPr>
      <w:r w:rsidRPr="33985B12">
        <w:rPr>
          <w:rFonts w:ascii="Times New Roman" w:eastAsia="Times New Roman" w:hAnsi="Times New Roman" w:cs="Times New Roman"/>
          <w:b/>
          <w:bCs/>
          <w:sz w:val="26"/>
          <w:szCs w:val="26"/>
          <w:lang w:eastAsia="hu-HU"/>
        </w:rPr>
        <w:t>A költségvetés forintadóssága</w:t>
      </w:r>
      <w:r w:rsidRPr="33985B12">
        <w:rPr>
          <w:rFonts w:ascii="Times New Roman" w:eastAsia="Times New Roman" w:hAnsi="Times New Roman" w:cs="Times New Roman"/>
          <w:sz w:val="26"/>
          <w:szCs w:val="26"/>
          <w:lang w:eastAsia="hu-HU"/>
        </w:rPr>
        <w:t xml:space="preserve"> december végéig 1 813,6 milliárd forinttal növekedett és 38 701,6 milliárd forintot ért el, a forint adósság a teljes állam</w:t>
      </w:r>
      <w:r w:rsidR="00C950DD">
        <w:rPr>
          <w:rFonts w:ascii="Times New Roman" w:eastAsia="Times New Roman" w:hAnsi="Times New Roman" w:cs="Times New Roman"/>
          <w:sz w:val="26"/>
          <w:szCs w:val="26"/>
          <w:lang w:eastAsia="hu-HU"/>
        </w:rPr>
        <w:t>adósság 69,8%-át teszi ki. 2023 </w:t>
      </w:r>
      <w:r w:rsidRPr="33985B12">
        <w:rPr>
          <w:rFonts w:ascii="Times New Roman" w:eastAsia="Times New Roman" w:hAnsi="Times New Roman" w:cs="Times New Roman"/>
          <w:sz w:val="26"/>
          <w:szCs w:val="26"/>
          <w:lang w:eastAsia="hu-HU"/>
        </w:rPr>
        <w:t>decemberében ez az arány 72,5% volt.</w:t>
      </w:r>
    </w:p>
    <w:p w14:paraId="5E5403C2" w14:textId="77777777" w:rsidR="00BA415E" w:rsidRPr="00215F73" w:rsidRDefault="00BA415E" w:rsidP="00BA415E">
      <w:pPr>
        <w:jc w:val="both"/>
        <w:rPr>
          <w:rFonts w:ascii="Times New Roman" w:eastAsia="Times New Roman" w:hAnsi="Times New Roman" w:cs="Times New Roman"/>
          <w:sz w:val="26"/>
          <w:szCs w:val="26"/>
          <w:lang w:eastAsia="hu-HU"/>
        </w:rPr>
      </w:pPr>
      <w:r w:rsidRPr="33985B12">
        <w:rPr>
          <w:rFonts w:ascii="Times New Roman" w:eastAsia="Times New Roman" w:hAnsi="Times New Roman" w:cs="Times New Roman"/>
          <w:sz w:val="26"/>
          <w:szCs w:val="26"/>
          <w:lang w:eastAsia="hu-HU"/>
        </w:rPr>
        <w:t xml:space="preserve">2024. december végén a forint lakossági állampapírok állománya 11 262,9 milliárd forintot tett ki, ami 1 185,7 milliárd forint növekedést jelent 2023. december vége óta. A Prémium Magyar Állampapír állománya 2024. december végére 31,7 milliárd forinttal csökkent, amely így 6 961,0 milliárd forintot tett ki. A januárban bevezetett, 3 éves futamidejű Fix Magyar Állampapír állománya elérte a 1 016,9 milliárd forintot. Szintén emelkedett a 3 és 5 éves Bónusz Magyar Állampapír állománya is, 335,7 milliárd forint </w:t>
      </w:r>
      <w:r w:rsidRPr="33985B12">
        <w:rPr>
          <w:rFonts w:ascii="Times New Roman" w:eastAsia="Times New Roman" w:hAnsi="Times New Roman" w:cs="Times New Roman"/>
          <w:sz w:val="26"/>
          <w:szCs w:val="26"/>
          <w:lang w:eastAsia="hu-HU"/>
        </w:rPr>
        <w:lastRenderedPageBreak/>
        <w:t>növekedést követően 1 208,9 milliárd forintot tett ki. Júniustól megújult kondíciók mellett 5 éves futamidejű Magyar Állampapír Plusz került értékesítésre, amelynek állománya, a nyomdai kibocsátású és a korábban értékesített papírokkal együtt 762,6 milliárd forintot tett ki. Ezzel párhuzamosan júniustól kivezetésre kerül az Egyéves Magyar Állampapír, amelynek állománya 382,4 milliárd forint volt december végén, 191,6 milliárd forinttal kisebb a 2023. év végi állománynál. A lakossági állampapírok közül a hosszú futamidejű Fix Magyar Állampapír értékesítése volt a legmagasabb decemberben.</w:t>
      </w:r>
    </w:p>
    <w:p w14:paraId="5821221C" w14:textId="77777777" w:rsidR="00BA415E" w:rsidRPr="00215F73" w:rsidRDefault="00BA415E" w:rsidP="00BA415E">
      <w:pPr>
        <w:jc w:val="both"/>
        <w:rPr>
          <w:rFonts w:ascii="Times New Roman" w:eastAsia="Times New Roman" w:hAnsi="Times New Roman" w:cs="Times New Roman"/>
          <w:sz w:val="26"/>
          <w:szCs w:val="26"/>
          <w:lang w:eastAsia="hu-HU"/>
        </w:rPr>
      </w:pPr>
      <w:r w:rsidRPr="33985B12">
        <w:rPr>
          <w:rFonts w:ascii="Times New Roman" w:eastAsia="Times New Roman" w:hAnsi="Times New Roman" w:cs="Times New Roman"/>
          <w:sz w:val="26"/>
          <w:szCs w:val="26"/>
          <w:lang w:eastAsia="hu-HU"/>
        </w:rPr>
        <w:t>Az ÁKK Zrt. december hó folyamán összesen 13,1 milliárd forint összegben vásárolt vissza lakossági állampapírokat a forgalmazó bankoktól.</w:t>
      </w:r>
    </w:p>
    <w:p w14:paraId="0A2676F3" w14:textId="412D0F01" w:rsidR="00BA415E" w:rsidRPr="00215F73" w:rsidRDefault="00BA415E" w:rsidP="00BA415E">
      <w:pPr>
        <w:jc w:val="both"/>
        <w:rPr>
          <w:rFonts w:ascii="Times New Roman" w:eastAsia="Times New Roman" w:hAnsi="Times New Roman" w:cs="Times New Roman"/>
          <w:sz w:val="26"/>
          <w:szCs w:val="26"/>
          <w:lang w:eastAsia="hu-HU"/>
        </w:rPr>
      </w:pPr>
      <w:r w:rsidRPr="33985B12">
        <w:rPr>
          <w:rFonts w:ascii="Times New Roman" w:eastAsia="Times New Roman" w:hAnsi="Times New Roman" w:cs="Times New Roman"/>
          <w:b/>
          <w:bCs/>
          <w:sz w:val="26"/>
          <w:szCs w:val="26"/>
          <w:lang w:eastAsia="hu-HU"/>
        </w:rPr>
        <w:t>A külföldi befektetők állampapír állománya</w:t>
      </w:r>
      <w:r w:rsidRPr="33985B12">
        <w:rPr>
          <w:rFonts w:ascii="Times New Roman" w:eastAsia="Times New Roman" w:hAnsi="Times New Roman" w:cs="Times New Roman"/>
          <w:sz w:val="26"/>
          <w:szCs w:val="26"/>
          <w:lang w:eastAsia="hu-HU"/>
        </w:rPr>
        <w:t xml:space="preserve"> decemberben 794,7 milliárd forinttal 4 670,4 milliárd forintra csökkent az előző hónaphoz képest. A külföldi állomány 99,8%-a, 4 662,2 milliárd forint államkötvény, 0,2%-a, 8,2 milliárd</w:t>
      </w:r>
      <w:r w:rsidR="00C950DD">
        <w:rPr>
          <w:rFonts w:ascii="Times New Roman" w:eastAsia="Times New Roman" w:hAnsi="Times New Roman" w:cs="Times New Roman"/>
          <w:sz w:val="26"/>
          <w:szCs w:val="26"/>
          <w:lang w:eastAsia="hu-HU"/>
        </w:rPr>
        <w:t xml:space="preserve"> forint diszkontkincstárjegy. A </w:t>
      </w:r>
      <w:r w:rsidRPr="33985B12">
        <w:rPr>
          <w:rFonts w:ascii="Times New Roman" w:eastAsia="Times New Roman" w:hAnsi="Times New Roman" w:cs="Times New Roman"/>
          <w:sz w:val="26"/>
          <w:szCs w:val="26"/>
          <w:lang w:eastAsia="hu-HU"/>
        </w:rPr>
        <w:t>külföldi állomány átlagos hátralévő futamideje december végén 6,1 év volt.</w:t>
      </w:r>
    </w:p>
    <w:p w14:paraId="00ADF58A" w14:textId="77777777" w:rsidR="00BA415E" w:rsidRPr="004603AD" w:rsidRDefault="00BA415E" w:rsidP="00BA415E">
      <w:pPr>
        <w:jc w:val="both"/>
        <w:rPr>
          <w:rFonts w:ascii="Times New Roman" w:eastAsia="Times New Roman" w:hAnsi="Times New Roman" w:cs="Times New Roman"/>
          <w:sz w:val="26"/>
          <w:szCs w:val="26"/>
          <w:lang w:eastAsia="hu-HU"/>
        </w:rPr>
      </w:pPr>
      <w:r w:rsidRPr="33985B12">
        <w:rPr>
          <w:rFonts w:ascii="Times New Roman" w:eastAsia="Times New Roman" w:hAnsi="Times New Roman" w:cs="Times New Roman"/>
          <w:sz w:val="26"/>
          <w:szCs w:val="26"/>
          <w:lang w:eastAsia="hu-HU"/>
        </w:rPr>
        <w:lastRenderedPageBreak/>
        <w:t>A deviza-államadósság kockázatainak csökkentése érdekében az ÁKK Zrt. swap műveleteket köt, amiből az adósságállomány részét képezik az ezen ügyletek után az ÁKK Zrt-nél elhelyezésre kerülő fedezeti összegek (az ún. mark-to-market betétek) az egyéb kötelezettségek soron. A korábbi dollárkötvény kibocsátások óta eltelt időszakban az egyéb devizák (főként az USD) jelentősen felértékelődtek az euróhoz képest, az emiatt keletkező többletadósságot viszont a swapkötéssel sikerült kizárni. A vizsgált időszakban az egyéb kötelezettségek állománya 79,2 milliárd forinttal csökkent. December végén az állomány 219,6 milliárd forintot tett ki, ami a teljes államadósság 0,4%-át jelenti.</w:t>
      </w:r>
    </w:p>
    <w:p w14:paraId="65A61190" w14:textId="10993EED" w:rsidR="00C35CE2" w:rsidRPr="004603AD" w:rsidRDefault="00C35CE2" w:rsidP="00BA415E">
      <w:pPr>
        <w:jc w:val="both"/>
        <w:rPr>
          <w:rFonts w:ascii="Times New Roman" w:eastAsia="Times New Roman" w:hAnsi="Times New Roman" w:cs="Times New Roman"/>
          <w:sz w:val="26"/>
          <w:szCs w:val="26"/>
          <w:lang w:eastAsia="hu-HU"/>
        </w:rPr>
      </w:pPr>
    </w:p>
    <w:sectPr w:rsidR="00C35CE2" w:rsidRPr="004603AD" w:rsidSect="00617877">
      <w:headerReference w:type="even" r:id="rId31"/>
      <w:footerReference w:type="default" r:id="rId32"/>
      <w:footerReference w:type="first" r:id="rId33"/>
      <w:pgSz w:w="11906" w:h="16838"/>
      <w:pgMar w:top="1418" w:right="1134" w:bottom="1418" w:left="1134" w:header="708" w:footer="68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0E8FE5" w14:textId="77777777" w:rsidR="001C456C" w:rsidRDefault="001C456C" w:rsidP="00B155FE">
      <w:pPr>
        <w:spacing w:after="0" w:line="240" w:lineRule="auto"/>
      </w:pPr>
      <w:r>
        <w:separator/>
      </w:r>
    </w:p>
  </w:endnote>
  <w:endnote w:type="continuationSeparator" w:id="0">
    <w:p w14:paraId="5AEC2D18" w14:textId="77777777" w:rsidR="001C456C" w:rsidRDefault="001C456C" w:rsidP="00B155FE">
      <w:pPr>
        <w:spacing w:after="0" w:line="240" w:lineRule="auto"/>
      </w:pPr>
      <w:r>
        <w:continuationSeparator/>
      </w:r>
    </w:p>
  </w:endnote>
  <w:endnote w:type="continuationNotice" w:id="1">
    <w:p w14:paraId="34E69C2A" w14:textId="77777777" w:rsidR="001C456C" w:rsidRDefault="001C4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22D1F" w14:textId="4DE2DC1D" w:rsidR="001C456C" w:rsidRDefault="001C456C">
    <w:pPr>
      <w:pStyle w:val="llb"/>
      <w:jc w:val="center"/>
    </w:pPr>
  </w:p>
  <w:p w14:paraId="41773F2F" w14:textId="77777777" w:rsidR="001C456C" w:rsidRDefault="001C456C">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4154505"/>
      <w:docPartObj>
        <w:docPartGallery w:val="Page Numbers (Bottom of Page)"/>
        <w:docPartUnique/>
      </w:docPartObj>
    </w:sdtPr>
    <w:sdtEndPr>
      <w:rPr>
        <w:rFonts w:ascii="Times New Roman" w:hAnsi="Times New Roman" w:cs="Times New Roman"/>
        <w:sz w:val="24"/>
      </w:rPr>
    </w:sdtEndPr>
    <w:sdtContent>
      <w:p w14:paraId="52C756D2" w14:textId="22FAF100" w:rsidR="001C456C" w:rsidRPr="00F57CC6" w:rsidRDefault="001C456C">
        <w:pPr>
          <w:pStyle w:val="llb"/>
          <w:jc w:val="center"/>
          <w:rPr>
            <w:rFonts w:ascii="Times New Roman" w:hAnsi="Times New Roman" w:cs="Times New Roman"/>
            <w:sz w:val="24"/>
          </w:rPr>
        </w:pPr>
        <w:r w:rsidRPr="00F57CC6">
          <w:rPr>
            <w:rFonts w:ascii="Times New Roman" w:hAnsi="Times New Roman" w:cs="Times New Roman"/>
          </w:rPr>
          <w:t>20</w:t>
        </w:r>
      </w:p>
    </w:sdtContent>
  </w:sdt>
  <w:p w14:paraId="64304736" w14:textId="77777777" w:rsidR="001C456C" w:rsidRDefault="001C456C">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1558895"/>
      <w:docPartObj>
        <w:docPartGallery w:val="Page Numbers (Bottom of Page)"/>
        <w:docPartUnique/>
      </w:docPartObj>
    </w:sdtPr>
    <w:sdtEndPr>
      <w:rPr>
        <w:rFonts w:ascii="Times New Roman" w:hAnsi="Times New Roman" w:cs="Times New Roman"/>
        <w:sz w:val="24"/>
      </w:rPr>
    </w:sdtEndPr>
    <w:sdtContent>
      <w:p w14:paraId="10FD5F29" w14:textId="5FC2EE51" w:rsidR="001C456C" w:rsidRPr="00470868" w:rsidRDefault="001C456C">
        <w:pPr>
          <w:pStyle w:val="llb"/>
          <w:jc w:val="center"/>
          <w:rPr>
            <w:rFonts w:ascii="Times New Roman" w:hAnsi="Times New Roman" w:cs="Times New Roman"/>
            <w:sz w:val="24"/>
          </w:rPr>
        </w:pPr>
        <w:r w:rsidRPr="00470868">
          <w:rPr>
            <w:rFonts w:ascii="Times New Roman" w:hAnsi="Times New Roman" w:cs="Times New Roman"/>
            <w:sz w:val="24"/>
          </w:rPr>
          <w:fldChar w:fldCharType="begin"/>
        </w:r>
        <w:r w:rsidRPr="00470868">
          <w:rPr>
            <w:rFonts w:ascii="Times New Roman" w:hAnsi="Times New Roman" w:cs="Times New Roman"/>
            <w:sz w:val="24"/>
          </w:rPr>
          <w:instrText>PAGE   \* MERGEFORMAT</w:instrText>
        </w:r>
        <w:r w:rsidRPr="00470868">
          <w:rPr>
            <w:rFonts w:ascii="Times New Roman" w:hAnsi="Times New Roman" w:cs="Times New Roman"/>
            <w:sz w:val="24"/>
          </w:rPr>
          <w:fldChar w:fldCharType="separate"/>
        </w:r>
        <w:r w:rsidR="00D661F0">
          <w:rPr>
            <w:rFonts w:ascii="Times New Roman" w:hAnsi="Times New Roman" w:cs="Times New Roman"/>
            <w:noProof/>
            <w:sz w:val="24"/>
          </w:rPr>
          <w:t>2</w:t>
        </w:r>
        <w:r w:rsidRPr="00470868">
          <w:rPr>
            <w:rFonts w:ascii="Times New Roman" w:hAnsi="Times New Roman" w:cs="Times New Roman"/>
            <w:sz w:val="24"/>
          </w:rPr>
          <w:fldChar w:fldCharType="end"/>
        </w:r>
      </w:p>
    </w:sdtContent>
  </w:sdt>
  <w:p w14:paraId="17329691" w14:textId="773A5D5E" w:rsidR="001C456C" w:rsidRPr="00556984" w:rsidRDefault="001C456C" w:rsidP="00556984">
    <w:pPr>
      <w:pStyle w:val="ll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218299"/>
      <w:docPartObj>
        <w:docPartGallery w:val="Page Numbers (Bottom of Page)"/>
        <w:docPartUnique/>
      </w:docPartObj>
    </w:sdtPr>
    <w:sdtEndPr>
      <w:rPr>
        <w:rFonts w:ascii="Times New Roman" w:hAnsi="Times New Roman" w:cs="Times New Roman"/>
        <w:sz w:val="24"/>
      </w:rPr>
    </w:sdtEndPr>
    <w:sdtContent>
      <w:p w14:paraId="7ADCE6C8" w14:textId="77777777" w:rsidR="001C456C" w:rsidRPr="00D4148C" w:rsidRDefault="001C456C">
        <w:pPr>
          <w:pStyle w:val="llb"/>
          <w:jc w:val="center"/>
          <w:rPr>
            <w:rFonts w:ascii="Times New Roman" w:hAnsi="Times New Roman" w:cs="Times New Roman"/>
            <w:sz w:val="24"/>
          </w:rPr>
        </w:pPr>
        <w:r>
          <w:rPr>
            <w:rFonts w:ascii="Times New Roman" w:hAnsi="Times New Roman" w:cs="Times New Roman"/>
            <w:sz w:val="24"/>
          </w:rPr>
          <w:t>22</w:t>
        </w:r>
      </w:p>
    </w:sdtContent>
  </w:sdt>
  <w:p w14:paraId="078E8FA1" w14:textId="77777777" w:rsidR="001C456C" w:rsidRDefault="001C456C" w:rsidP="00C74E0F">
    <w:pPr>
      <w:pStyle w:val="llb"/>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F40D1" w14:textId="77777777" w:rsidR="001C456C" w:rsidRDefault="001C456C" w:rsidP="004A3001">
    <w:pPr>
      <w:pStyle w:val="llb"/>
      <w:jc w:val="center"/>
    </w:pPr>
    <w:r w:rsidRPr="33985B12">
      <w:rPr>
        <w:rFonts w:ascii="Times New Roman" w:hAnsi="Times New Roman" w:cs="Times New Roman"/>
        <w:sz w:val="24"/>
        <w:szCs w:val="24"/>
      </w:rPr>
      <w:t>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38EBAB" w14:textId="77777777" w:rsidR="001C456C" w:rsidRDefault="001C456C" w:rsidP="00B155FE">
      <w:pPr>
        <w:spacing w:after="0" w:line="240" w:lineRule="auto"/>
      </w:pPr>
      <w:r>
        <w:separator/>
      </w:r>
    </w:p>
  </w:footnote>
  <w:footnote w:type="continuationSeparator" w:id="0">
    <w:p w14:paraId="5448876D" w14:textId="77777777" w:rsidR="001C456C" w:rsidRDefault="001C456C" w:rsidP="00B155FE">
      <w:pPr>
        <w:spacing w:after="0" w:line="240" w:lineRule="auto"/>
      </w:pPr>
      <w:r>
        <w:continuationSeparator/>
      </w:r>
    </w:p>
  </w:footnote>
  <w:footnote w:type="continuationNotice" w:id="1">
    <w:p w14:paraId="3D17B7CC" w14:textId="77777777" w:rsidR="001C456C" w:rsidRDefault="001C456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3118"/>
      <w:gridCol w:w="3118"/>
      <w:gridCol w:w="3118"/>
    </w:tblGrid>
    <w:tr w:rsidR="001C456C" w14:paraId="1027336C" w14:textId="77777777" w:rsidTr="75E7E8C2">
      <w:tc>
        <w:tcPr>
          <w:tcW w:w="3118" w:type="dxa"/>
        </w:tcPr>
        <w:p w14:paraId="4C837DDD" w14:textId="79A8EEFC" w:rsidR="001C456C" w:rsidRDefault="001C456C" w:rsidP="75E7E8C2">
          <w:pPr>
            <w:pStyle w:val="lfej"/>
            <w:ind w:left="-115"/>
          </w:pPr>
        </w:p>
      </w:tc>
      <w:tc>
        <w:tcPr>
          <w:tcW w:w="3118" w:type="dxa"/>
        </w:tcPr>
        <w:p w14:paraId="215A5B55" w14:textId="4B5EFC16" w:rsidR="001C456C" w:rsidRDefault="001C456C" w:rsidP="75E7E8C2">
          <w:pPr>
            <w:pStyle w:val="lfej"/>
            <w:jc w:val="center"/>
          </w:pPr>
        </w:p>
      </w:tc>
      <w:tc>
        <w:tcPr>
          <w:tcW w:w="3118" w:type="dxa"/>
        </w:tcPr>
        <w:p w14:paraId="08CD3A76" w14:textId="283AC16D" w:rsidR="001C456C" w:rsidRDefault="001C456C" w:rsidP="75E7E8C2">
          <w:pPr>
            <w:pStyle w:val="lfej"/>
            <w:ind w:right="-115"/>
            <w:jc w:val="right"/>
          </w:pPr>
        </w:p>
      </w:tc>
    </w:tr>
  </w:tbl>
  <w:p w14:paraId="4176297E" w14:textId="7CD13837" w:rsidR="001C456C" w:rsidRDefault="001C456C" w:rsidP="75E7E8C2">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F47D1" w14:textId="3D0DDD49" w:rsidR="001C456C" w:rsidRDefault="001C456C" w:rsidP="75E7E8C2">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68C96" w14:textId="77777777" w:rsidR="001C456C" w:rsidRPr="00881044" w:rsidRDefault="001C456C" w:rsidP="00C74E0F">
    <w:pPr>
      <w:pStyle w:val="lfej"/>
      <w:rPr>
        <w:rStyle w:val="Oldalszm"/>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68C97" w14:textId="77777777" w:rsidR="001C456C" w:rsidRPr="00FE4DD1" w:rsidRDefault="001C456C" w:rsidP="00C74E0F">
    <w:pPr>
      <w:pStyle w:val="lfej"/>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7009518"/>
      <w:docPartObj>
        <w:docPartGallery w:val="Page Numbers (Top of Page)"/>
        <w:docPartUnique/>
      </w:docPartObj>
    </w:sdtPr>
    <w:sdtEndPr>
      <w:rPr>
        <w:noProof/>
      </w:rPr>
    </w:sdtEndPr>
    <w:sdtContent>
      <w:p w14:paraId="2CB15785" w14:textId="77777777" w:rsidR="001C456C" w:rsidRDefault="001C456C">
        <w:pPr>
          <w:pStyle w:val="lfej"/>
          <w:jc w:val="center"/>
        </w:pPr>
        <w:r>
          <w:fldChar w:fldCharType="begin"/>
        </w:r>
        <w:r>
          <w:instrText xml:space="preserve"> PAGE   \* MERGEFORMAT </w:instrText>
        </w:r>
        <w:r>
          <w:fldChar w:fldCharType="separate"/>
        </w:r>
        <w:r>
          <w:rPr>
            <w:noProof/>
          </w:rPr>
          <w:t>20</w:t>
        </w:r>
        <w:r>
          <w:rPr>
            <w:noProof/>
          </w:rPr>
          <w:fldChar w:fldCharType="end"/>
        </w:r>
      </w:p>
    </w:sdtContent>
  </w:sdt>
  <w:p w14:paraId="2A775F7D" w14:textId="77777777" w:rsidR="001C456C" w:rsidRDefault="001C456C">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27298"/>
    <w:multiLevelType w:val="hybridMultilevel"/>
    <w:tmpl w:val="44CCC2AC"/>
    <w:lvl w:ilvl="0" w:tplc="08783BEC">
      <w:start w:val="1"/>
      <w:numFmt w:val="decimal"/>
      <w:lvlText w:val="%1."/>
      <w:lvlJc w:val="left"/>
      <w:pPr>
        <w:ind w:left="720" w:hanging="360"/>
      </w:pPr>
      <w:rPr>
        <w:rFonts w:hint="default"/>
        <w:u w:val="no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36602D43"/>
    <w:multiLevelType w:val="hybridMultilevel"/>
    <w:tmpl w:val="390E53F2"/>
    <w:lvl w:ilvl="0" w:tplc="F872D380">
      <w:start w:val="1"/>
      <w:numFmt w:val="bullet"/>
      <w:lvlText w:val=""/>
      <w:lvlJc w:val="left"/>
      <w:pPr>
        <w:ind w:left="720" w:hanging="360"/>
      </w:pPr>
      <w:rPr>
        <w:rFonts w:ascii="Symbol" w:hAnsi="Symbol" w:hint="default"/>
      </w:rPr>
    </w:lvl>
    <w:lvl w:ilvl="1" w:tplc="86BC4448">
      <w:start w:val="1"/>
      <w:numFmt w:val="bullet"/>
      <w:lvlText w:val="o"/>
      <w:lvlJc w:val="left"/>
      <w:pPr>
        <w:ind w:left="1440" w:hanging="360"/>
      </w:pPr>
      <w:rPr>
        <w:rFonts w:ascii="Courier New" w:hAnsi="Courier New" w:hint="default"/>
      </w:rPr>
    </w:lvl>
    <w:lvl w:ilvl="2" w:tplc="F05C9352">
      <w:start w:val="1"/>
      <w:numFmt w:val="bullet"/>
      <w:lvlText w:val=""/>
      <w:lvlJc w:val="left"/>
      <w:pPr>
        <w:ind w:left="2160" w:hanging="360"/>
      </w:pPr>
      <w:rPr>
        <w:rFonts w:ascii="Wingdings" w:hAnsi="Wingdings" w:hint="default"/>
      </w:rPr>
    </w:lvl>
    <w:lvl w:ilvl="3" w:tplc="232EF98C">
      <w:start w:val="1"/>
      <w:numFmt w:val="bullet"/>
      <w:lvlText w:val=""/>
      <w:lvlJc w:val="left"/>
      <w:pPr>
        <w:ind w:left="2880" w:hanging="360"/>
      </w:pPr>
      <w:rPr>
        <w:rFonts w:ascii="Symbol" w:hAnsi="Symbol" w:hint="default"/>
      </w:rPr>
    </w:lvl>
    <w:lvl w:ilvl="4" w:tplc="03066B72">
      <w:start w:val="1"/>
      <w:numFmt w:val="bullet"/>
      <w:lvlText w:val="o"/>
      <w:lvlJc w:val="left"/>
      <w:pPr>
        <w:ind w:left="3600" w:hanging="360"/>
      </w:pPr>
      <w:rPr>
        <w:rFonts w:ascii="Courier New" w:hAnsi="Courier New" w:hint="default"/>
      </w:rPr>
    </w:lvl>
    <w:lvl w:ilvl="5" w:tplc="7A906010">
      <w:start w:val="1"/>
      <w:numFmt w:val="bullet"/>
      <w:lvlText w:val=""/>
      <w:lvlJc w:val="left"/>
      <w:pPr>
        <w:ind w:left="4320" w:hanging="360"/>
      </w:pPr>
      <w:rPr>
        <w:rFonts w:ascii="Wingdings" w:hAnsi="Wingdings" w:hint="default"/>
      </w:rPr>
    </w:lvl>
    <w:lvl w:ilvl="6" w:tplc="9F6A3F04">
      <w:start w:val="1"/>
      <w:numFmt w:val="bullet"/>
      <w:lvlText w:val=""/>
      <w:lvlJc w:val="left"/>
      <w:pPr>
        <w:ind w:left="5040" w:hanging="360"/>
      </w:pPr>
      <w:rPr>
        <w:rFonts w:ascii="Symbol" w:hAnsi="Symbol" w:hint="default"/>
      </w:rPr>
    </w:lvl>
    <w:lvl w:ilvl="7" w:tplc="D5603E42">
      <w:start w:val="1"/>
      <w:numFmt w:val="bullet"/>
      <w:lvlText w:val="o"/>
      <w:lvlJc w:val="left"/>
      <w:pPr>
        <w:ind w:left="5760" w:hanging="360"/>
      </w:pPr>
      <w:rPr>
        <w:rFonts w:ascii="Courier New" w:hAnsi="Courier New" w:hint="default"/>
      </w:rPr>
    </w:lvl>
    <w:lvl w:ilvl="8" w:tplc="F1D4D0F8">
      <w:start w:val="1"/>
      <w:numFmt w:val="bullet"/>
      <w:lvlText w:val=""/>
      <w:lvlJc w:val="left"/>
      <w:pPr>
        <w:ind w:left="6480" w:hanging="360"/>
      </w:pPr>
      <w:rPr>
        <w:rFonts w:ascii="Wingdings" w:hAnsi="Wingdings" w:hint="default"/>
      </w:rPr>
    </w:lvl>
  </w:abstractNum>
  <w:abstractNum w:abstractNumId="2" w15:restartNumberingAfterBreak="0">
    <w:nsid w:val="3CC7670D"/>
    <w:multiLevelType w:val="hybridMultilevel"/>
    <w:tmpl w:val="FDDC7674"/>
    <w:lvl w:ilvl="0" w:tplc="9120DF1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51033469"/>
    <w:multiLevelType w:val="hybridMultilevel"/>
    <w:tmpl w:val="D612FE54"/>
    <w:lvl w:ilvl="0" w:tplc="85BCE940">
      <w:start w:val="1"/>
      <w:numFmt w:val="bullet"/>
      <w:lvlText w:val=""/>
      <w:lvlJc w:val="left"/>
      <w:pPr>
        <w:ind w:left="720" w:hanging="360"/>
      </w:pPr>
      <w:rPr>
        <w:rFonts w:ascii="Symbol" w:hAnsi="Symbol" w:hint="default"/>
      </w:rPr>
    </w:lvl>
    <w:lvl w:ilvl="1" w:tplc="EDE89D4A">
      <w:start w:val="1"/>
      <w:numFmt w:val="bullet"/>
      <w:lvlText w:val="o"/>
      <w:lvlJc w:val="left"/>
      <w:pPr>
        <w:ind w:left="1440" w:hanging="360"/>
      </w:pPr>
      <w:rPr>
        <w:rFonts w:ascii="Courier New" w:hAnsi="Courier New" w:hint="default"/>
      </w:rPr>
    </w:lvl>
    <w:lvl w:ilvl="2" w:tplc="91061732">
      <w:start w:val="1"/>
      <w:numFmt w:val="bullet"/>
      <w:lvlText w:val=""/>
      <w:lvlJc w:val="left"/>
      <w:pPr>
        <w:ind w:left="2160" w:hanging="360"/>
      </w:pPr>
      <w:rPr>
        <w:rFonts w:ascii="Wingdings" w:hAnsi="Wingdings" w:hint="default"/>
      </w:rPr>
    </w:lvl>
    <w:lvl w:ilvl="3" w:tplc="5D04C974">
      <w:start w:val="1"/>
      <w:numFmt w:val="bullet"/>
      <w:lvlText w:val=""/>
      <w:lvlJc w:val="left"/>
      <w:pPr>
        <w:ind w:left="2880" w:hanging="360"/>
      </w:pPr>
      <w:rPr>
        <w:rFonts w:ascii="Symbol" w:hAnsi="Symbol" w:hint="default"/>
      </w:rPr>
    </w:lvl>
    <w:lvl w:ilvl="4" w:tplc="1C648E36">
      <w:start w:val="1"/>
      <w:numFmt w:val="bullet"/>
      <w:lvlText w:val="o"/>
      <w:lvlJc w:val="left"/>
      <w:pPr>
        <w:ind w:left="3600" w:hanging="360"/>
      </w:pPr>
      <w:rPr>
        <w:rFonts w:ascii="Courier New" w:hAnsi="Courier New" w:hint="default"/>
      </w:rPr>
    </w:lvl>
    <w:lvl w:ilvl="5" w:tplc="2DB00CB0">
      <w:start w:val="1"/>
      <w:numFmt w:val="bullet"/>
      <w:lvlText w:val=""/>
      <w:lvlJc w:val="left"/>
      <w:pPr>
        <w:ind w:left="4320" w:hanging="360"/>
      </w:pPr>
      <w:rPr>
        <w:rFonts w:ascii="Wingdings" w:hAnsi="Wingdings" w:hint="default"/>
      </w:rPr>
    </w:lvl>
    <w:lvl w:ilvl="6" w:tplc="3C9E0854">
      <w:start w:val="1"/>
      <w:numFmt w:val="bullet"/>
      <w:lvlText w:val=""/>
      <w:lvlJc w:val="left"/>
      <w:pPr>
        <w:ind w:left="5040" w:hanging="360"/>
      </w:pPr>
      <w:rPr>
        <w:rFonts w:ascii="Symbol" w:hAnsi="Symbol" w:hint="default"/>
      </w:rPr>
    </w:lvl>
    <w:lvl w:ilvl="7" w:tplc="EF2AE296">
      <w:start w:val="1"/>
      <w:numFmt w:val="bullet"/>
      <w:lvlText w:val="o"/>
      <w:lvlJc w:val="left"/>
      <w:pPr>
        <w:ind w:left="5760" w:hanging="360"/>
      </w:pPr>
      <w:rPr>
        <w:rFonts w:ascii="Courier New" w:hAnsi="Courier New" w:hint="default"/>
      </w:rPr>
    </w:lvl>
    <w:lvl w:ilvl="8" w:tplc="1B7CE0FC">
      <w:start w:val="1"/>
      <w:numFmt w:val="bullet"/>
      <w:lvlText w:val=""/>
      <w:lvlJc w:val="left"/>
      <w:pPr>
        <w:ind w:left="6480" w:hanging="360"/>
      </w:pPr>
      <w:rPr>
        <w:rFonts w:ascii="Wingdings" w:hAnsi="Wingdings" w:hint="default"/>
      </w:rPr>
    </w:lvl>
  </w:abstractNum>
  <w:abstractNum w:abstractNumId="4" w15:restartNumberingAfterBreak="0">
    <w:nsid w:val="5573523A"/>
    <w:multiLevelType w:val="hybridMultilevel"/>
    <w:tmpl w:val="92D45DA0"/>
    <w:lvl w:ilvl="0" w:tplc="5E42905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670F720B"/>
    <w:multiLevelType w:val="hybridMultilevel"/>
    <w:tmpl w:val="9D34690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hdrShapeDefaults>
    <o:shapedefaults v:ext="edit" spidmax="233473"/>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5FE"/>
    <w:rsid w:val="00000517"/>
    <w:rsid w:val="0000169C"/>
    <w:rsid w:val="00001DDD"/>
    <w:rsid w:val="000103E9"/>
    <w:rsid w:val="00015945"/>
    <w:rsid w:val="00020D17"/>
    <w:rsid w:val="0002105A"/>
    <w:rsid w:val="00022205"/>
    <w:rsid w:val="00022974"/>
    <w:rsid w:val="0002586B"/>
    <w:rsid w:val="00025889"/>
    <w:rsid w:val="00026266"/>
    <w:rsid w:val="0002674A"/>
    <w:rsid w:val="000302F3"/>
    <w:rsid w:val="00031896"/>
    <w:rsid w:val="00031C82"/>
    <w:rsid w:val="000365DC"/>
    <w:rsid w:val="0003668B"/>
    <w:rsid w:val="0003701E"/>
    <w:rsid w:val="0004032B"/>
    <w:rsid w:val="000407DB"/>
    <w:rsid w:val="00044042"/>
    <w:rsid w:val="000458BD"/>
    <w:rsid w:val="000471E4"/>
    <w:rsid w:val="000512BB"/>
    <w:rsid w:val="00051E9B"/>
    <w:rsid w:val="0005236D"/>
    <w:rsid w:val="00052502"/>
    <w:rsid w:val="00052E4F"/>
    <w:rsid w:val="00054358"/>
    <w:rsid w:val="00054CDA"/>
    <w:rsid w:val="00057916"/>
    <w:rsid w:val="000617B7"/>
    <w:rsid w:val="00064521"/>
    <w:rsid w:val="0006496D"/>
    <w:rsid w:val="00064D6A"/>
    <w:rsid w:val="00065E19"/>
    <w:rsid w:val="00067A57"/>
    <w:rsid w:val="00070EAC"/>
    <w:rsid w:val="00071FA3"/>
    <w:rsid w:val="00072A58"/>
    <w:rsid w:val="000770F3"/>
    <w:rsid w:val="0008062F"/>
    <w:rsid w:val="00081A0C"/>
    <w:rsid w:val="00081A16"/>
    <w:rsid w:val="00082ADE"/>
    <w:rsid w:val="000846A7"/>
    <w:rsid w:val="00085B09"/>
    <w:rsid w:val="00085C37"/>
    <w:rsid w:val="00085DCC"/>
    <w:rsid w:val="000874F4"/>
    <w:rsid w:val="00091F16"/>
    <w:rsid w:val="0009484D"/>
    <w:rsid w:val="00095C95"/>
    <w:rsid w:val="00096300"/>
    <w:rsid w:val="000A0A88"/>
    <w:rsid w:val="000A18F9"/>
    <w:rsid w:val="000A1F24"/>
    <w:rsid w:val="000A296F"/>
    <w:rsid w:val="000A2EAB"/>
    <w:rsid w:val="000A531B"/>
    <w:rsid w:val="000A7964"/>
    <w:rsid w:val="000B1235"/>
    <w:rsid w:val="000B2569"/>
    <w:rsid w:val="000B49AE"/>
    <w:rsid w:val="000B6723"/>
    <w:rsid w:val="000B6BE0"/>
    <w:rsid w:val="000C1105"/>
    <w:rsid w:val="000C13F2"/>
    <w:rsid w:val="000C1781"/>
    <w:rsid w:val="000C2BFE"/>
    <w:rsid w:val="000C31E5"/>
    <w:rsid w:val="000C3D4C"/>
    <w:rsid w:val="000C46F3"/>
    <w:rsid w:val="000C7CC7"/>
    <w:rsid w:val="000D074C"/>
    <w:rsid w:val="000D1BA8"/>
    <w:rsid w:val="000D4A41"/>
    <w:rsid w:val="000D4E21"/>
    <w:rsid w:val="000D6C88"/>
    <w:rsid w:val="000D76F4"/>
    <w:rsid w:val="000D7836"/>
    <w:rsid w:val="000D7C83"/>
    <w:rsid w:val="000D7EFD"/>
    <w:rsid w:val="000E4745"/>
    <w:rsid w:val="000E4B01"/>
    <w:rsid w:val="000E4F73"/>
    <w:rsid w:val="000E78FE"/>
    <w:rsid w:val="000F046E"/>
    <w:rsid w:val="000F13BA"/>
    <w:rsid w:val="000F63B6"/>
    <w:rsid w:val="000F765C"/>
    <w:rsid w:val="00103FE9"/>
    <w:rsid w:val="00110C6D"/>
    <w:rsid w:val="001138B8"/>
    <w:rsid w:val="00115AF5"/>
    <w:rsid w:val="00117E64"/>
    <w:rsid w:val="001209E7"/>
    <w:rsid w:val="00120B53"/>
    <w:rsid w:val="001215DC"/>
    <w:rsid w:val="0012490F"/>
    <w:rsid w:val="00125040"/>
    <w:rsid w:val="00126D53"/>
    <w:rsid w:val="00127579"/>
    <w:rsid w:val="00133EE6"/>
    <w:rsid w:val="0013421A"/>
    <w:rsid w:val="0013434A"/>
    <w:rsid w:val="00134BE6"/>
    <w:rsid w:val="00135EA3"/>
    <w:rsid w:val="00136087"/>
    <w:rsid w:val="001366F9"/>
    <w:rsid w:val="001378AC"/>
    <w:rsid w:val="00142F01"/>
    <w:rsid w:val="00146517"/>
    <w:rsid w:val="00147C0E"/>
    <w:rsid w:val="00153722"/>
    <w:rsid w:val="0015385C"/>
    <w:rsid w:val="00153C19"/>
    <w:rsid w:val="00155283"/>
    <w:rsid w:val="001552F0"/>
    <w:rsid w:val="00155301"/>
    <w:rsid w:val="00156079"/>
    <w:rsid w:val="001615DE"/>
    <w:rsid w:val="00170E23"/>
    <w:rsid w:val="00174A9A"/>
    <w:rsid w:val="00180337"/>
    <w:rsid w:val="001849A2"/>
    <w:rsid w:val="00185268"/>
    <w:rsid w:val="001855C0"/>
    <w:rsid w:val="00186B09"/>
    <w:rsid w:val="00193514"/>
    <w:rsid w:val="00193DF7"/>
    <w:rsid w:val="00194065"/>
    <w:rsid w:val="00194E8F"/>
    <w:rsid w:val="001970FB"/>
    <w:rsid w:val="00197516"/>
    <w:rsid w:val="001A2835"/>
    <w:rsid w:val="001A4E5E"/>
    <w:rsid w:val="001A57FD"/>
    <w:rsid w:val="001A5B43"/>
    <w:rsid w:val="001A7E0B"/>
    <w:rsid w:val="001B0DB1"/>
    <w:rsid w:val="001B307C"/>
    <w:rsid w:val="001B4DF1"/>
    <w:rsid w:val="001B50D2"/>
    <w:rsid w:val="001B6F61"/>
    <w:rsid w:val="001C1935"/>
    <w:rsid w:val="001C456C"/>
    <w:rsid w:val="001D04A8"/>
    <w:rsid w:val="001D04FF"/>
    <w:rsid w:val="001D17F4"/>
    <w:rsid w:val="001D4975"/>
    <w:rsid w:val="001D6BA0"/>
    <w:rsid w:val="001D709B"/>
    <w:rsid w:val="001D7FB5"/>
    <w:rsid w:val="001E4B4D"/>
    <w:rsid w:val="001E4C57"/>
    <w:rsid w:val="001E6717"/>
    <w:rsid w:val="001E689B"/>
    <w:rsid w:val="001F10C2"/>
    <w:rsid w:val="001F14EB"/>
    <w:rsid w:val="001F4D95"/>
    <w:rsid w:val="001F7400"/>
    <w:rsid w:val="001F7BB0"/>
    <w:rsid w:val="001F7CA7"/>
    <w:rsid w:val="00201050"/>
    <w:rsid w:val="00201886"/>
    <w:rsid w:val="00204EA6"/>
    <w:rsid w:val="0020759E"/>
    <w:rsid w:val="00210593"/>
    <w:rsid w:val="002107FF"/>
    <w:rsid w:val="00213E49"/>
    <w:rsid w:val="002147CD"/>
    <w:rsid w:val="00215B35"/>
    <w:rsid w:val="00215F73"/>
    <w:rsid w:val="0022104D"/>
    <w:rsid w:val="0022196A"/>
    <w:rsid w:val="002223AF"/>
    <w:rsid w:val="0022447A"/>
    <w:rsid w:val="00224692"/>
    <w:rsid w:val="00224714"/>
    <w:rsid w:val="002247AD"/>
    <w:rsid w:val="002260BF"/>
    <w:rsid w:val="00226A85"/>
    <w:rsid w:val="002276A7"/>
    <w:rsid w:val="0022DF0C"/>
    <w:rsid w:val="002310C9"/>
    <w:rsid w:val="00232288"/>
    <w:rsid w:val="00232FCD"/>
    <w:rsid w:val="00235F55"/>
    <w:rsid w:val="0023693F"/>
    <w:rsid w:val="0024009D"/>
    <w:rsid w:val="002409BB"/>
    <w:rsid w:val="00241A82"/>
    <w:rsid w:val="00241E69"/>
    <w:rsid w:val="0024586E"/>
    <w:rsid w:val="0025038B"/>
    <w:rsid w:val="0025229C"/>
    <w:rsid w:val="00257190"/>
    <w:rsid w:val="00262041"/>
    <w:rsid w:val="002655BB"/>
    <w:rsid w:val="00265E51"/>
    <w:rsid w:val="002678FB"/>
    <w:rsid w:val="00272765"/>
    <w:rsid w:val="00272CF0"/>
    <w:rsid w:val="002736E9"/>
    <w:rsid w:val="00275CF5"/>
    <w:rsid w:val="00280C09"/>
    <w:rsid w:val="00281CE8"/>
    <w:rsid w:val="00282A85"/>
    <w:rsid w:val="002910F0"/>
    <w:rsid w:val="0029176A"/>
    <w:rsid w:val="002921A1"/>
    <w:rsid w:val="0029251A"/>
    <w:rsid w:val="0029365F"/>
    <w:rsid w:val="00295391"/>
    <w:rsid w:val="002954AA"/>
    <w:rsid w:val="00295EBB"/>
    <w:rsid w:val="002975B9"/>
    <w:rsid w:val="002A11AD"/>
    <w:rsid w:val="002A1BCD"/>
    <w:rsid w:val="002A4B97"/>
    <w:rsid w:val="002B09F4"/>
    <w:rsid w:val="002B2B83"/>
    <w:rsid w:val="002B39F8"/>
    <w:rsid w:val="002B492B"/>
    <w:rsid w:val="002B7BB9"/>
    <w:rsid w:val="002B7C36"/>
    <w:rsid w:val="002C1531"/>
    <w:rsid w:val="002C34B8"/>
    <w:rsid w:val="002C4EE9"/>
    <w:rsid w:val="002C5F14"/>
    <w:rsid w:val="002D7D55"/>
    <w:rsid w:val="002E1C57"/>
    <w:rsid w:val="002E31EF"/>
    <w:rsid w:val="002E401D"/>
    <w:rsid w:val="002E4E83"/>
    <w:rsid w:val="002E502E"/>
    <w:rsid w:val="002E5FBF"/>
    <w:rsid w:val="002E7744"/>
    <w:rsid w:val="002F0795"/>
    <w:rsid w:val="002F150D"/>
    <w:rsid w:val="002F2521"/>
    <w:rsid w:val="002F25C3"/>
    <w:rsid w:val="002F4E3B"/>
    <w:rsid w:val="002F5E69"/>
    <w:rsid w:val="002F6126"/>
    <w:rsid w:val="002F6DDD"/>
    <w:rsid w:val="002F7F1A"/>
    <w:rsid w:val="0030136A"/>
    <w:rsid w:val="003018B0"/>
    <w:rsid w:val="00303306"/>
    <w:rsid w:val="003050ED"/>
    <w:rsid w:val="00306EFA"/>
    <w:rsid w:val="00307C4F"/>
    <w:rsid w:val="003112A9"/>
    <w:rsid w:val="00311E85"/>
    <w:rsid w:val="0031479F"/>
    <w:rsid w:val="00316788"/>
    <w:rsid w:val="003208C8"/>
    <w:rsid w:val="0032261D"/>
    <w:rsid w:val="00324B1E"/>
    <w:rsid w:val="0032514C"/>
    <w:rsid w:val="00326644"/>
    <w:rsid w:val="00327D30"/>
    <w:rsid w:val="003310E3"/>
    <w:rsid w:val="00333A2D"/>
    <w:rsid w:val="0033462C"/>
    <w:rsid w:val="00336E30"/>
    <w:rsid w:val="0034134A"/>
    <w:rsid w:val="0034232F"/>
    <w:rsid w:val="00343A3D"/>
    <w:rsid w:val="00343F69"/>
    <w:rsid w:val="00346908"/>
    <w:rsid w:val="00347F4F"/>
    <w:rsid w:val="00350F76"/>
    <w:rsid w:val="00351831"/>
    <w:rsid w:val="00351D59"/>
    <w:rsid w:val="003524B0"/>
    <w:rsid w:val="003550F2"/>
    <w:rsid w:val="003559D3"/>
    <w:rsid w:val="00356959"/>
    <w:rsid w:val="0035701C"/>
    <w:rsid w:val="00360024"/>
    <w:rsid w:val="00362276"/>
    <w:rsid w:val="003632EE"/>
    <w:rsid w:val="00364745"/>
    <w:rsid w:val="0036497A"/>
    <w:rsid w:val="00370B57"/>
    <w:rsid w:val="00370CD6"/>
    <w:rsid w:val="003754BF"/>
    <w:rsid w:val="00375C19"/>
    <w:rsid w:val="00377D59"/>
    <w:rsid w:val="003804A3"/>
    <w:rsid w:val="00380D8A"/>
    <w:rsid w:val="003824FA"/>
    <w:rsid w:val="00382EE1"/>
    <w:rsid w:val="003847D8"/>
    <w:rsid w:val="00384AA3"/>
    <w:rsid w:val="003865FB"/>
    <w:rsid w:val="00387FF8"/>
    <w:rsid w:val="0039133A"/>
    <w:rsid w:val="003942C9"/>
    <w:rsid w:val="00395832"/>
    <w:rsid w:val="00397C7F"/>
    <w:rsid w:val="003A0943"/>
    <w:rsid w:val="003A0BA1"/>
    <w:rsid w:val="003A4D97"/>
    <w:rsid w:val="003A5C78"/>
    <w:rsid w:val="003A6B84"/>
    <w:rsid w:val="003B04CA"/>
    <w:rsid w:val="003B53B6"/>
    <w:rsid w:val="003B55AB"/>
    <w:rsid w:val="003B5A9A"/>
    <w:rsid w:val="003C09EA"/>
    <w:rsid w:val="003C1306"/>
    <w:rsid w:val="003C13C6"/>
    <w:rsid w:val="003C2D6B"/>
    <w:rsid w:val="003C501E"/>
    <w:rsid w:val="003C57BB"/>
    <w:rsid w:val="003D0602"/>
    <w:rsid w:val="003D16B4"/>
    <w:rsid w:val="003D5132"/>
    <w:rsid w:val="003D61A8"/>
    <w:rsid w:val="003E46ED"/>
    <w:rsid w:val="003E4A41"/>
    <w:rsid w:val="003E508C"/>
    <w:rsid w:val="003E622C"/>
    <w:rsid w:val="003F18A4"/>
    <w:rsid w:val="003F267F"/>
    <w:rsid w:val="003F3149"/>
    <w:rsid w:val="003F3151"/>
    <w:rsid w:val="00400149"/>
    <w:rsid w:val="004003D1"/>
    <w:rsid w:val="00401229"/>
    <w:rsid w:val="00401B4D"/>
    <w:rsid w:val="00403D7E"/>
    <w:rsid w:val="0040704D"/>
    <w:rsid w:val="00411AC0"/>
    <w:rsid w:val="00411BDD"/>
    <w:rsid w:val="00414CDD"/>
    <w:rsid w:val="004163D7"/>
    <w:rsid w:val="004206D8"/>
    <w:rsid w:val="00421775"/>
    <w:rsid w:val="004220DE"/>
    <w:rsid w:val="0042380D"/>
    <w:rsid w:val="004269CF"/>
    <w:rsid w:val="00427F34"/>
    <w:rsid w:val="0043012E"/>
    <w:rsid w:val="0043393D"/>
    <w:rsid w:val="00436C3A"/>
    <w:rsid w:val="004412D5"/>
    <w:rsid w:val="0044233D"/>
    <w:rsid w:val="00442993"/>
    <w:rsid w:val="00444554"/>
    <w:rsid w:val="0044587B"/>
    <w:rsid w:val="004523FE"/>
    <w:rsid w:val="004561EE"/>
    <w:rsid w:val="0045694E"/>
    <w:rsid w:val="00457124"/>
    <w:rsid w:val="00457711"/>
    <w:rsid w:val="00457918"/>
    <w:rsid w:val="004603AD"/>
    <w:rsid w:val="004605F2"/>
    <w:rsid w:val="00464B6D"/>
    <w:rsid w:val="00464D42"/>
    <w:rsid w:val="00465074"/>
    <w:rsid w:val="00466390"/>
    <w:rsid w:val="00466A47"/>
    <w:rsid w:val="00466C80"/>
    <w:rsid w:val="00467A58"/>
    <w:rsid w:val="00470868"/>
    <w:rsid w:val="004727C2"/>
    <w:rsid w:val="00474AC8"/>
    <w:rsid w:val="00477B37"/>
    <w:rsid w:val="004816C1"/>
    <w:rsid w:val="0048361E"/>
    <w:rsid w:val="0048484D"/>
    <w:rsid w:val="00485019"/>
    <w:rsid w:val="00485E1E"/>
    <w:rsid w:val="004879B8"/>
    <w:rsid w:val="00490330"/>
    <w:rsid w:val="0049287F"/>
    <w:rsid w:val="00494B89"/>
    <w:rsid w:val="00496C75"/>
    <w:rsid w:val="00496EAA"/>
    <w:rsid w:val="004971F1"/>
    <w:rsid w:val="004A0A15"/>
    <w:rsid w:val="004A2974"/>
    <w:rsid w:val="004A3001"/>
    <w:rsid w:val="004A6DD1"/>
    <w:rsid w:val="004B0F31"/>
    <w:rsid w:val="004B1132"/>
    <w:rsid w:val="004B1AF1"/>
    <w:rsid w:val="004B2CAC"/>
    <w:rsid w:val="004B3704"/>
    <w:rsid w:val="004B391E"/>
    <w:rsid w:val="004B60A5"/>
    <w:rsid w:val="004B7931"/>
    <w:rsid w:val="004C0F47"/>
    <w:rsid w:val="004C1AE7"/>
    <w:rsid w:val="004C1B57"/>
    <w:rsid w:val="004C3A05"/>
    <w:rsid w:val="004C3E54"/>
    <w:rsid w:val="004C5E84"/>
    <w:rsid w:val="004C64E7"/>
    <w:rsid w:val="004C73AF"/>
    <w:rsid w:val="004D06BA"/>
    <w:rsid w:val="004D0EEC"/>
    <w:rsid w:val="004D32C3"/>
    <w:rsid w:val="004D50F6"/>
    <w:rsid w:val="004D5146"/>
    <w:rsid w:val="004D549E"/>
    <w:rsid w:val="004D72BB"/>
    <w:rsid w:val="004E12D4"/>
    <w:rsid w:val="004E13F6"/>
    <w:rsid w:val="004E1FF6"/>
    <w:rsid w:val="004E6FA2"/>
    <w:rsid w:val="004F2496"/>
    <w:rsid w:val="004F25F4"/>
    <w:rsid w:val="004F277F"/>
    <w:rsid w:val="004F3F73"/>
    <w:rsid w:val="004F41FE"/>
    <w:rsid w:val="00507BC3"/>
    <w:rsid w:val="00510390"/>
    <w:rsid w:val="00510655"/>
    <w:rsid w:val="00512F67"/>
    <w:rsid w:val="005173AB"/>
    <w:rsid w:val="00521BEE"/>
    <w:rsid w:val="00523772"/>
    <w:rsid w:val="00523C26"/>
    <w:rsid w:val="005246B0"/>
    <w:rsid w:val="00526D67"/>
    <w:rsid w:val="005271DC"/>
    <w:rsid w:val="00527BF5"/>
    <w:rsid w:val="00530561"/>
    <w:rsid w:val="00530DB0"/>
    <w:rsid w:val="0053190B"/>
    <w:rsid w:val="00533CAF"/>
    <w:rsid w:val="00541866"/>
    <w:rsid w:val="00541988"/>
    <w:rsid w:val="00543F6A"/>
    <w:rsid w:val="00545562"/>
    <w:rsid w:val="00545BAB"/>
    <w:rsid w:val="00547E18"/>
    <w:rsid w:val="005518E4"/>
    <w:rsid w:val="005521BE"/>
    <w:rsid w:val="00553319"/>
    <w:rsid w:val="005535B5"/>
    <w:rsid w:val="00556984"/>
    <w:rsid w:val="0055711F"/>
    <w:rsid w:val="0056020F"/>
    <w:rsid w:val="00560E0A"/>
    <w:rsid w:val="0056202F"/>
    <w:rsid w:val="005635A9"/>
    <w:rsid w:val="005652EE"/>
    <w:rsid w:val="00565662"/>
    <w:rsid w:val="00570628"/>
    <w:rsid w:val="00572182"/>
    <w:rsid w:val="00577BC5"/>
    <w:rsid w:val="00584382"/>
    <w:rsid w:val="00584DFC"/>
    <w:rsid w:val="00587EF6"/>
    <w:rsid w:val="00590630"/>
    <w:rsid w:val="00590E73"/>
    <w:rsid w:val="00591E27"/>
    <w:rsid w:val="005920CB"/>
    <w:rsid w:val="005933D0"/>
    <w:rsid w:val="005961B9"/>
    <w:rsid w:val="005971AF"/>
    <w:rsid w:val="005A0706"/>
    <w:rsid w:val="005A0AFC"/>
    <w:rsid w:val="005A1631"/>
    <w:rsid w:val="005A246F"/>
    <w:rsid w:val="005A2FAA"/>
    <w:rsid w:val="005A684D"/>
    <w:rsid w:val="005A799B"/>
    <w:rsid w:val="005B053D"/>
    <w:rsid w:val="005B0833"/>
    <w:rsid w:val="005B2320"/>
    <w:rsid w:val="005B2606"/>
    <w:rsid w:val="005B326D"/>
    <w:rsid w:val="005B3D58"/>
    <w:rsid w:val="005B4611"/>
    <w:rsid w:val="005B5A7D"/>
    <w:rsid w:val="005C15F7"/>
    <w:rsid w:val="005C32F3"/>
    <w:rsid w:val="005C34CA"/>
    <w:rsid w:val="005C3CF0"/>
    <w:rsid w:val="005C3ECD"/>
    <w:rsid w:val="005D02FC"/>
    <w:rsid w:val="005D2900"/>
    <w:rsid w:val="005D3512"/>
    <w:rsid w:val="005D42A9"/>
    <w:rsid w:val="005D513C"/>
    <w:rsid w:val="005D5304"/>
    <w:rsid w:val="005E0C48"/>
    <w:rsid w:val="005E31AC"/>
    <w:rsid w:val="005E34FD"/>
    <w:rsid w:val="005E58C2"/>
    <w:rsid w:val="005F0581"/>
    <w:rsid w:val="005F5EDA"/>
    <w:rsid w:val="005F7D0D"/>
    <w:rsid w:val="00601C5A"/>
    <w:rsid w:val="00603461"/>
    <w:rsid w:val="006068B4"/>
    <w:rsid w:val="00607B0F"/>
    <w:rsid w:val="00607C87"/>
    <w:rsid w:val="006106CD"/>
    <w:rsid w:val="006116FE"/>
    <w:rsid w:val="00611B90"/>
    <w:rsid w:val="00616AB4"/>
    <w:rsid w:val="00617877"/>
    <w:rsid w:val="00617ED1"/>
    <w:rsid w:val="006200F6"/>
    <w:rsid w:val="00621840"/>
    <w:rsid w:val="006222FA"/>
    <w:rsid w:val="006260BC"/>
    <w:rsid w:val="00626577"/>
    <w:rsid w:val="006314BC"/>
    <w:rsid w:val="00640595"/>
    <w:rsid w:val="00641968"/>
    <w:rsid w:val="006449C9"/>
    <w:rsid w:val="006461FB"/>
    <w:rsid w:val="006569D7"/>
    <w:rsid w:val="00656DFE"/>
    <w:rsid w:val="00657D8D"/>
    <w:rsid w:val="00660576"/>
    <w:rsid w:val="0066185B"/>
    <w:rsid w:val="00667FF1"/>
    <w:rsid w:val="00670A50"/>
    <w:rsid w:val="0067190E"/>
    <w:rsid w:val="006737F6"/>
    <w:rsid w:val="00673E4A"/>
    <w:rsid w:val="00675784"/>
    <w:rsid w:val="006757CD"/>
    <w:rsid w:val="00676F5C"/>
    <w:rsid w:val="006777EF"/>
    <w:rsid w:val="006817A6"/>
    <w:rsid w:val="0068195E"/>
    <w:rsid w:val="00681D20"/>
    <w:rsid w:val="00681D46"/>
    <w:rsid w:val="00681D62"/>
    <w:rsid w:val="006821C2"/>
    <w:rsid w:val="006829CF"/>
    <w:rsid w:val="006843D1"/>
    <w:rsid w:val="00684D06"/>
    <w:rsid w:val="00685DCD"/>
    <w:rsid w:val="0068706A"/>
    <w:rsid w:val="006879C8"/>
    <w:rsid w:val="0068D30D"/>
    <w:rsid w:val="006909E9"/>
    <w:rsid w:val="0069214F"/>
    <w:rsid w:val="0069385B"/>
    <w:rsid w:val="00695394"/>
    <w:rsid w:val="0069615E"/>
    <w:rsid w:val="00696F46"/>
    <w:rsid w:val="006A18B3"/>
    <w:rsid w:val="006A38AE"/>
    <w:rsid w:val="006A486D"/>
    <w:rsid w:val="006A4AFD"/>
    <w:rsid w:val="006A624D"/>
    <w:rsid w:val="006B0E36"/>
    <w:rsid w:val="006B0F2B"/>
    <w:rsid w:val="006B1170"/>
    <w:rsid w:val="006B2682"/>
    <w:rsid w:val="006B3F67"/>
    <w:rsid w:val="006B5076"/>
    <w:rsid w:val="006B50D4"/>
    <w:rsid w:val="006B7816"/>
    <w:rsid w:val="006C1AFA"/>
    <w:rsid w:val="006C240C"/>
    <w:rsid w:val="006C2DF5"/>
    <w:rsid w:val="006C3879"/>
    <w:rsid w:val="006C5291"/>
    <w:rsid w:val="006C5426"/>
    <w:rsid w:val="006C7B4D"/>
    <w:rsid w:val="006D304F"/>
    <w:rsid w:val="006D57FF"/>
    <w:rsid w:val="006D626D"/>
    <w:rsid w:val="006D67B9"/>
    <w:rsid w:val="006D7D00"/>
    <w:rsid w:val="006E045D"/>
    <w:rsid w:val="006E1380"/>
    <w:rsid w:val="006E1E70"/>
    <w:rsid w:val="006E311E"/>
    <w:rsid w:val="006E3762"/>
    <w:rsid w:val="006E789B"/>
    <w:rsid w:val="006E7C4E"/>
    <w:rsid w:val="006F0DD1"/>
    <w:rsid w:val="006F2D56"/>
    <w:rsid w:val="006F6524"/>
    <w:rsid w:val="006F7D2B"/>
    <w:rsid w:val="0070016B"/>
    <w:rsid w:val="00700FD8"/>
    <w:rsid w:val="007046C5"/>
    <w:rsid w:val="0070715D"/>
    <w:rsid w:val="00710A26"/>
    <w:rsid w:val="00711792"/>
    <w:rsid w:val="00712EB6"/>
    <w:rsid w:val="00715220"/>
    <w:rsid w:val="00715222"/>
    <w:rsid w:val="0071549A"/>
    <w:rsid w:val="007173BC"/>
    <w:rsid w:val="007176FE"/>
    <w:rsid w:val="0072076F"/>
    <w:rsid w:val="007211BE"/>
    <w:rsid w:val="00721D27"/>
    <w:rsid w:val="007225C9"/>
    <w:rsid w:val="00726F02"/>
    <w:rsid w:val="00727AFB"/>
    <w:rsid w:val="007308FE"/>
    <w:rsid w:val="00736977"/>
    <w:rsid w:val="0073772C"/>
    <w:rsid w:val="00741A5C"/>
    <w:rsid w:val="00742B4A"/>
    <w:rsid w:val="00745FE6"/>
    <w:rsid w:val="00751A9D"/>
    <w:rsid w:val="007535E7"/>
    <w:rsid w:val="00753A39"/>
    <w:rsid w:val="00755595"/>
    <w:rsid w:val="007557AF"/>
    <w:rsid w:val="00756037"/>
    <w:rsid w:val="00763ED2"/>
    <w:rsid w:val="00763F5B"/>
    <w:rsid w:val="00766F20"/>
    <w:rsid w:val="00767472"/>
    <w:rsid w:val="00767D38"/>
    <w:rsid w:val="00770976"/>
    <w:rsid w:val="00775995"/>
    <w:rsid w:val="00776277"/>
    <w:rsid w:val="0077698F"/>
    <w:rsid w:val="007770BD"/>
    <w:rsid w:val="007804BF"/>
    <w:rsid w:val="00780E0D"/>
    <w:rsid w:val="0078168D"/>
    <w:rsid w:val="00781776"/>
    <w:rsid w:val="007847A7"/>
    <w:rsid w:val="00785089"/>
    <w:rsid w:val="0078542D"/>
    <w:rsid w:val="00785DD9"/>
    <w:rsid w:val="0078755A"/>
    <w:rsid w:val="00787E89"/>
    <w:rsid w:val="0079570B"/>
    <w:rsid w:val="00796589"/>
    <w:rsid w:val="007A45B7"/>
    <w:rsid w:val="007A6D89"/>
    <w:rsid w:val="007B0346"/>
    <w:rsid w:val="007B2E0D"/>
    <w:rsid w:val="007B3563"/>
    <w:rsid w:val="007C2B68"/>
    <w:rsid w:val="007C6787"/>
    <w:rsid w:val="007C7FEB"/>
    <w:rsid w:val="007D0565"/>
    <w:rsid w:val="007D7E03"/>
    <w:rsid w:val="007E123A"/>
    <w:rsid w:val="007E13DB"/>
    <w:rsid w:val="007E22F7"/>
    <w:rsid w:val="007E2E82"/>
    <w:rsid w:val="007E4009"/>
    <w:rsid w:val="007F08CB"/>
    <w:rsid w:val="007F131A"/>
    <w:rsid w:val="007F13C6"/>
    <w:rsid w:val="007F1E17"/>
    <w:rsid w:val="007F3648"/>
    <w:rsid w:val="007F3717"/>
    <w:rsid w:val="007F3D0C"/>
    <w:rsid w:val="007F5DD2"/>
    <w:rsid w:val="007F76C4"/>
    <w:rsid w:val="007F778F"/>
    <w:rsid w:val="00801AAF"/>
    <w:rsid w:val="00801B64"/>
    <w:rsid w:val="00803666"/>
    <w:rsid w:val="0080387B"/>
    <w:rsid w:val="00803A01"/>
    <w:rsid w:val="0080426C"/>
    <w:rsid w:val="0080731D"/>
    <w:rsid w:val="00812402"/>
    <w:rsid w:val="00812D11"/>
    <w:rsid w:val="00815AAA"/>
    <w:rsid w:val="00815E8F"/>
    <w:rsid w:val="00827E74"/>
    <w:rsid w:val="008303AC"/>
    <w:rsid w:val="00832955"/>
    <w:rsid w:val="008343F0"/>
    <w:rsid w:val="00835E74"/>
    <w:rsid w:val="0083681E"/>
    <w:rsid w:val="00841ABD"/>
    <w:rsid w:val="00843640"/>
    <w:rsid w:val="00844879"/>
    <w:rsid w:val="00847DD0"/>
    <w:rsid w:val="00852731"/>
    <w:rsid w:val="00856A6C"/>
    <w:rsid w:val="00856DEE"/>
    <w:rsid w:val="00861563"/>
    <w:rsid w:val="008618F5"/>
    <w:rsid w:val="00863CDD"/>
    <w:rsid w:val="008642C6"/>
    <w:rsid w:val="008647C5"/>
    <w:rsid w:val="00865224"/>
    <w:rsid w:val="008655FB"/>
    <w:rsid w:val="00865CA2"/>
    <w:rsid w:val="00867A22"/>
    <w:rsid w:val="00872377"/>
    <w:rsid w:val="00873BD8"/>
    <w:rsid w:val="00873F9F"/>
    <w:rsid w:val="00875487"/>
    <w:rsid w:val="00880C11"/>
    <w:rsid w:val="00880D1C"/>
    <w:rsid w:val="00885FCD"/>
    <w:rsid w:val="008877C7"/>
    <w:rsid w:val="00890C69"/>
    <w:rsid w:val="008916DB"/>
    <w:rsid w:val="0089371E"/>
    <w:rsid w:val="00897EAF"/>
    <w:rsid w:val="008A3B0D"/>
    <w:rsid w:val="008A3C12"/>
    <w:rsid w:val="008A4DB8"/>
    <w:rsid w:val="008A524B"/>
    <w:rsid w:val="008A66DB"/>
    <w:rsid w:val="008A6C91"/>
    <w:rsid w:val="008A7027"/>
    <w:rsid w:val="008A7D1D"/>
    <w:rsid w:val="008A7E51"/>
    <w:rsid w:val="008B0614"/>
    <w:rsid w:val="008B14E9"/>
    <w:rsid w:val="008B2A36"/>
    <w:rsid w:val="008B4734"/>
    <w:rsid w:val="008B5D03"/>
    <w:rsid w:val="008B685D"/>
    <w:rsid w:val="008B75B5"/>
    <w:rsid w:val="008C06B6"/>
    <w:rsid w:val="008C22A1"/>
    <w:rsid w:val="008C3359"/>
    <w:rsid w:val="008C3E79"/>
    <w:rsid w:val="008D01C3"/>
    <w:rsid w:val="008D17C3"/>
    <w:rsid w:val="008D26F8"/>
    <w:rsid w:val="008D2842"/>
    <w:rsid w:val="008D3E76"/>
    <w:rsid w:val="008D41C5"/>
    <w:rsid w:val="008D6609"/>
    <w:rsid w:val="008E0260"/>
    <w:rsid w:val="008E2BC7"/>
    <w:rsid w:val="008E322E"/>
    <w:rsid w:val="008E5513"/>
    <w:rsid w:val="008E5FE2"/>
    <w:rsid w:val="008E6833"/>
    <w:rsid w:val="008E6DF0"/>
    <w:rsid w:val="008F0603"/>
    <w:rsid w:val="008F1384"/>
    <w:rsid w:val="008F2C57"/>
    <w:rsid w:val="008F511B"/>
    <w:rsid w:val="009009EC"/>
    <w:rsid w:val="00901531"/>
    <w:rsid w:val="00902688"/>
    <w:rsid w:val="00903806"/>
    <w:rsid w:val="00904BD8"/>
    <w:rsid w:val="00911D45"/>
    <w:rsid w:val="009120C5"/>
    <w:rsid w:val="00920F4D"/>
    <w:rsid w:val="009221A4"/>
    <w:rsid w:val="00922213"/>
    <w:rsid w:val="00924572"/>
    <w:rsid w:val="0092636F"/>
    <w:rsid w:val="009267C3"/>
    <w:rsid w:val="009278F9"/>
    <w:rsid w:val="00927CAB"/>
    <w:rsid w:val="00930092"/>
    <w:rsid w:val="00933DA0"/>
    <w:rsid w:val="009353CC"/>
    <w:rsid w:val="00936F84"/>
    <w:rsid w:val="009422F9"/>
    <w:rsid w:val="00945147"/>
    <w:rsid w:val="00945CE5"/>
    <w:rsid w:val="00946E3A"/>
    <w:rsid w:val="00947C6B"/>
    <w:rsid w:val="00947DAB"/>
    <w:rsid w:val="0095149A"/>
    <w:rsid w:val="009521B4"/>
    <w:rsid w:val="009621AE"/>
    <w:rsid w:val="00964981"/>
    <w:rsid w:val="00964C0D"/>
    <w:rsid w:val="009704FA"/>
    <w:rsid w:val="00970EE4"/>
    <w:rsid w:val="00971B20"/>
    <w:rsid w:val="0097271E"/>
    <w:rsid w:val="0097327C"/>
    <w:rsid w:val="0097329F"/>
    <w:rsid w:val="0097449A"/>
    <w:rsid w:val="009756D7"/>
    <w:rsid w:val="00975C2C"/>
    <w:rsid w:val="00976E1E"/>
    <w:rsid w:val="00980084"/>
    <w:rsid w:val="00987B39"/>
    <w:rsid w:val="00990E75"/>
    <w:rsid w:val="00991946"/>
    <w:rsid w:val="009926FC"/>
    <w:rsid w:val="00993967"/>
    <w:rsid w:val="00995845"/>
    <w:rsid w:val="00996A51"/>
    <w:rsid w:val="009A0101"/>
    <w:rsid w:val="009A1DD5"/>
    <w:rsid w:val="009A20F3"/>
    <w:rsid w:val="009A3D4A"/>
    <w:rsid w:val="009A65D0"/>
    <w:rsid w:val="009A7DCA"/>
    <w:rsid w:val="009A7F54"/>
    <w:rsid w:val="009B1108"/>
    <w:rsid w:val="009B5E74"/>
    <w:rsid w:val="009C33A4"/>
    <w:rsid w:val="009C40EA"/>
    <w:rsid w:val="009C49CC"/>
    <w:rsid w:val="009C7BDF"/>
    <w:rsid w:val="009D0F61"/>
    <w:rsid w:val="009D353C"/>
    <w:rsid w:val="009D533D"/>
    <w:rsid w:val="009D55B4"/>
    <w:rsid w:val="009D64CC"/>
    <w:rsid w:val="009D7D92"/>
    <w:rsid w:val="009E34AE"/>
    <w:rsid w:val="009E3E8D"/>
    <w:rsid w:val="009E6FFE"/>
    <w:rsid w:val="009F019D"/>
    <w:rsid w:val="009F4052"/>
    <w:rsid w:val="009F66DB"/>
    <w:rsid w:val="009F7C5E"/>
    <w:rsid w:val="00A023F8"/>
    <w:rsid w:val="00A02DDD"/>
    <w:rsid w:val="00A0698F"/>
    <w:rsid w:val="00A07653"/>
    <w:rsid w:val="00A10571"/>
    <w:rsid w:val="00A12022"/>
    <w:rsid w:val="00A13316"/>
    <w:rsid w:val="00A136DD"/>
    <w:rsid w:val="00A14C8C"/>
    <w:rsid w:val="00A161A8"/>
    <w:rsid w:val="00A20692"/>
    <w:rsid w:val="00A24316"/>
    <w:rsid w:val="00A254CF"/>
    <w:rsid w:val="00A26E31"/>
    <w:rsid w:val="00A3350E"/>
    <w:rsid w:val="00A349BC"/>
    <w:rsid w:val="00A3501B"/>
    <w:rsid w:val="00A358EC"/>
    <w:rsid w:val="00A36ED5"/>
    <w:rsid w:val="00A37B00"/>
    <w:rsid w:val="00A40C03"/>
    <w:rsid w:val="00A40F40"/>
    <w:rsid w:val="00A41272"/>
    <w:rsid w:val="00A43A0F"/>
    <w:rsid w:val="00A47DF6"/>
    <w:rsid w:val="00A5012D"/>
    <w:rsid w:val="00A50271"/>
    <w:rsid w:val="00A5085A"/>
    <w:rsid w:val="00A54466"/>
    <w:rsid w:val="00A54ACF"/>
    <w:rsid w:val="00A601F9"/>
    <w:rsid w:val="00A623E0"/>
    <w:rsid w:val="00A62B93"/>
    <w:rsid w:val="00A6446F"/>
    <w:rsid w:val="00A64CED"/>
    <w:rsid w:val="00A650E2"/>
    <w:rsid w:val="00A66196"/>
    <w:rsid w:val="00A67AF0"/>
    <w:rsid w:val="00A67F78"/>
    <w:rsid w:val="00A71CD2"/>
    <w:rsid w:val="00A734E7"/>
    <w:rsid w:val="00A80FCF"/>
    <w:rsid w:val="00A82F6B"/>
    <w:rsid w:val="00A8723E"/>
    <w:rsid w:val="00A8797E"/>
    <w:rsid w:val="00A90970"/>
    <w:rsid w:val="00A928FF"/>
    <w:rsid w:val="00A94005"/>
    <w:rsid w:val="00A95CB6"/>
    <w:rsid w:val="00A95D1D"/>
    <w:rsid w:val="00A96796"/>
    <w:rsid w:val="00A9789C"/>
    <w:rsid w:val="00AA21F5"/>
    <w:rsid w:val="00AA2D82"/>
    <w:rsid w:val="00AA5008"/>
    <w:rsid w:val="00AB129C"/>
    <w:rsid w:val="00AB3613"/>
    <w:rsid w:val="00AB7A63"/>
    <w:rsid w:val="00AC0CBB"/>
    <w:rsid w:val="00AC2A80"/>
    <w:rsid w:val="00AC5E67"/>
    <w:rsid w:val="00AC64A0"/>
    <w:rsid w:val="00AD1243"/>
    <w:rsid w:val="00AD169C"/>
    <w:rsid w:val="00AD2450"/>
    <w:rsid w:val="00AD6A38"/>
    <w:rsid w:val="00AD72B4"/>
    <w:rsid w:val="00AD7AA1"/>
    <w:rsid w:val="00AE3104"/>
    <w:rsid w:val="00AE43AD"/>
    <w:rsid w:val="00AE43BB"/>
    <w:rsid w:val="00AE53A6"/>
    <w:rsid w:val="00AE6B64"/>
    <w:rsid w:val="00AE6BB5"/>
    <w:rsid w:val="00AE7710"/>
    <w:rsid w:val="00AF2CE8"/>
    <w:rsid w:val="00AF704D"/>
    <w:rsid w:val="00AF7F6F"/>
    <w:rsid w:val="00B056CC"/>
    <w:rsid w:val="00B058B6"/>
    <w:rsid w:val="00B075D7"/>
    <w:rsid w:val="00B13AB1"/>
    <w:rsid w:val="00B14AB5"/>
    <w:rsid w:val="00B14D9C"/>
    <w:rsid w:val="00B155FE"/>
    <w:rsid w:val="00B15A4C"/>
    <w:rsid w:val="00B17819"/>
    <w:rsid w:val="00B221B5"/>
    <w:rsid w:val="00B22BD9"/>
    <w:rsid w:val="00B2454C"/>
    <w:rsid w:val="00B2544B"/>
    <w:rsid w:val="00B33638"/>
    <w:rsid w:val="00B33C05"/>
    <w:rsid w:val="00B34A94"/>
    <w:rsid w:val="00B35B95"/>
    <w:rsid w:val="00B36150"/>
    <w:rsid w:val="00B41B58"/>
    <w:rsid w:val="00B43A9F"/>
    <w:rsid w:val="00B44127"/>
    <w:rsid w:val="00B51261"/>
    <w:rsid w:val="00B54171"/>
    <w:rsid w:val="00B56CB1"/>
    <w:rsid w:val="00B60534"/>
    <w:rsid w:val="00B6124E"/>
    <w:rsid w:val="00B622E5"/>
    <w:rsid w:val="00B62D08"/>
    <w:rsid w:val="00B63DA3"/>
    <w:rsid w:val="00B63EBC"/>
    <w:rsid w:val="00B72569"/>
    <w:rsid w:val="00B7456C"/>
    <w:rsid w:val="00B7458D"/>
    <w:rsid w:val="00B745F4"/>
    <w:rsid w:val="00B75545"/>
    <w:rsid w:val="00B771CD"/>
    <w:rsid w:val="00B8241D"/>
    <w:rsid w:val="00B8447F"/>
    <w:rsid w:val="00B84AD1"/>
    <w:rsid w:val="00B850B8"/>
    <w:rsid w:val="00B91ABD"/>
    <w:rsid w:val="00B94CCA"/>
    <w:rsid w:val="00B95AD8"/>
    <w:rsid w:val="00B9640C"/>
    <w:rsid w:val="00B9670A"/>
    <w:rsid w:val="00B9709B"/>
    <w:rsid w:val="00B9738E"/>
    <w:rsid w:val="00B97A62"/>
    <w:rsid w:val="00BA016E"/>
    <w:rsid w:val="00BA04EA"/>
    <w:rsid w:val="00BA35CC"/>
    <w:rsid w:val="00BA3B98"/>
    <w:rsid w:val="00BA415E"/>
    <w:rsid w:val="00BA5D1C"/>
    <w:rsid w:val="00BA60BB"/>
    <w:rsid w:val="00BA62C3"/>
    <w:rsid w:val="00BB0472"/>
    <w:rsid w:val="00BB10E1"/>
    <w:rsid w:val="00BB12FE"/>
    <w:rsid w:val="00BB259D"/>
    <w:rsid w:val="00BB4D90"/>
    <w:rsid w:val="00BB5D94"/>
    <w:rsid w:val="00BB79F6"/>
    <w:rsid w:val="00BC19CC"/>
    <w:rsid w:val="00BC2001"/>
    <w:rsid w:val="00BC24BF"/>
    <w:rsid w:val="00BC4B9F"/>
    <w:rsid w:val="00BC74C4"/>
    <w:rsid w:val="00BD2A9C"/>
    <w:rsid w:val="00BD37C8"/>
    <w:rsid w:val="00BD3CEA"/>
    <w:rsid w:val="00BD4776"/>
    <w:rsid w:val="00BD6602"/>
    <w:rsid w:val="00BD7229"/>
    <w:rsid w:val="00BD7F31"/>
    <w:rsid w:val="00BE00CC"/>
    <w:rsid w:val="00BE0DA4"/>
    <w:rsid w:val="00BE0F9D"/>
    <w:rsid w:val="00BE2602"/>
    <w:rsid w:val="00BE354F"/>
    <w:rsid w:val="00BE3FC6"/>
    <w:rsid w:val="00BE530F"/>
    <w:rsid w:val="00BE7750"/>
    <w:rsid w:val="00BE7819"/>
    <w:rsid w:val="00BF007B"/>
    <w:rsid w:val="00BF099A"/>
    <w:rsid w:val="00BF4035"/>
    <w:rsid w:val="00BF48C3"/>
    <w:rsid w:val="00BF7707"/>
    <w:rsid w:val="00C00710"/>
    <w:rsid w:val="00C012D1"/>
    <w:rsid w:val="00C01545"/>
    <w:rsid w:val="00C0256F"/>
    <w:rsid w:val="00C02772"/>
    <w:rsid w:val="00C063C3"/>
    <w:rsid w:val="00C11940"/>
    <w:rsid w:val="00C12BFF"/>
    <w:rsid w:val="00C13FAE"/>
    <w:rsid w:val="00C21016"/>
    <w:rsid w:val="00C21761"/>
    <w:rsid w:val="00C2238F"/>
    <w:rsid w:val="00C24948"/>
    <w:rsid w:val="00C261DC"/>
    <w:rsid w:val="00C268BB"/>
    <w:rsid w:val="00C268F4"/>
    <w:rsid w:val="00C27BFB"/>
    <w:rsid w:val="00C27DF5"/>
    <w:rsid w:val="00C326EB"/>
    <w:rsid w:val="00C32924"/>
    <w:rsid w:val="00C32D53"/>
    <w:rsid w:val="00C35CE2"/>
    <w:rsid w:val="00C35E13"/>
    <w:rsid w:val="00C36894"/>
    <w:rsid w:val="00C36A62"/>
    <w:rsid w:val="00C45E7A"/>
    <w:rsid w:val="00C46F63"/>
    <w:rsid w:val="00C50404"/>
    <w:rsid w:val="00C5054A"/>
    <w:rsid w:val="00C52FED"/>
    <w:rsid w:val="00C5351F"/>
    <w:rsid w:val="00C53734"/>
    <w:rsid w:val="00C53C2A"/>
    <w:rsid w:val="00C566FB"/>
    <w:rsid w:val="00C56FEF"/>
    <w:rsid w:val="00C56FF4"/>
    <w:rsid w:val="00C61227"/>
    <w:rsid w:val="00C6157D"/>
    <w:rsid w:val="00C62668"/>
    <w:rsid w:val="00C63C88"/>
    <w:rsid w:val="00C64C54"/>
    <w:rsid w:val="00C65238"/>
    <w:rsid w:val="00C72068"/>
    <w:rsid w:val="00C74E0F"/>
    <w:rsid w:val="00C75D5A"/>
    <w:rsid w:val="00C75E27"/>
    <w:rsid w:val="00C7666C"/>
    <w:rsid w:val="00C768D3"/>
    <w:rsid w:val="00C776A0"/>
    <w:rsid w:val="00C8266F"/>
    <w:rsid w:val="00C83548"/>
    <w:rsid w:val="00C86437"/>
    <w:rsid w:val="00C86618"/>
    <w:rsid w:val="00C86EA4"/>
    <w:rsid w:val="00C87225"/>
    <w:rsid w:val="00C872F4"/>
    <w:rsid w:val="00C87909"/>
    <w:rsid w:val="00C9408B"/>
    <w:rsid w:val="00C950DD"/>
    <w:rsid w:val="00C95900"/>
    <w:rsid w:val="00C97321"/>
    <w:rsid w:val="00CA0CEB"/>
    <w:rsid w:val="00CA1438"/>
    <w:rsid w:val="00CA1C2C"/>
    <w:rsid w:val="00CA3468"/>
    <w:rsid w:val="00CA629D"/>
    <w:rsid w:val="00CA7B88"/>
    <w:rsid w:val="00CB01DA"/>
    <w:rsid w:val="00CB09E7"/>
    <w:rsid w:val="00CB1A82"/>
    <w:rsid w:val="00CB3696"/>
    <w:rsid w:val="00CB4082"/>
    <w:rsid w:val="00CB459B"/>
    <w:rsid w:val="00CB571B"/>
    <w:rsid w:val="00CB6F27"/>
    <w:rsid w:val="00CB7E48"/>
    <w:rsid w:val="00CC075B"/>
    <w:rsid w:val="00CC0CAD"/>
    <w:rsid w:val="00CC18D6"/>
    <w:rsid w:val="00CC24D0"/>
    <w:rsid w:val="00CC4689"/>
    <w:rsid w:val="00CC703F"/>
    <w:rsid w:val="00CC706B"/>
    <w:rsid w:val="00CC7777"/>
    <w:rsid w:val="00CD0671"/>
    <w:rsid w:val="00CD0F03"/>
    <w:rsid w:val="00CD1BD7"/>
    <w:rsid w:val="00CD2095"/>
    <w:rsid w:val="00CD45B0"/>
    <w:rsid w:val="00CE01FC"/>
    <w:rsid w:val="00CE0F40"/>
    <w:rsid w:val="00CE1608"/>
    <w:rsid w:val="00CE4C8C"/>
    <w:rsid w:val="00CE5744"/>
    <w:rsid w:val="00CF0DB6"/>
    <w:rsid w:val="00CF15E7"/>
    <w:rsid w:val="00CF1732"/>
    <w:rsid w:val="00CF533D"/>
    <w:rsid w:val="00CF551C"/>
    <w:rsid w:val="00CF667E"/>
    <w:rsid w:val="00CF75FB"/>
    <w:rsid w:val="00CF7986"/>
    <w:rsid w:val="00D0533C"/>
    <w:rsid w:val="00D07EA5"/>
    <w:rsid w:val="00D11009"/>
    <w:rsid w:val="00D12DA6"/>
    <w:rsid w:val="00D1616F"/>
    <w:rsid w:val="00D226F1"/>
    <w:rsid w:val="00D23FED"/>
    <w:rsid w:val="00D3076A"/>
    <w:rsid w:val="00D30DEE"/>
    <w:rsid w:val="00D31737"/>
    <w:rsid w:val="00D33A8A"/>
    <w:rsid w:val="00D33B8F"/>
    <w:rsid w:val="00D34CD7"/>
    <w:rsid w:val="00D35813"/>
    <w:rsid w:val="00D36123"/>
    <w:rsid w:val="00D3672D"/>
    <w:rsid w:val="00D4148C"/>
    <w:rsid w:val="00D436B8"/>
    <w:rsid w:val="00D4434A"/>
    <w:rsid w:val="00D44A68"/>
    <w:rsid w:val="00D45ADC"/>
    <w:rsid w:val="00D479D4"/>
    <w:rsid w:val="00D503EA"/>
    <w:rsid w:val="00D5055E"/>
    <w:rsid w:val="00D50A39"/>
    <w:rsid w:val="00D50A45"/>
    <w:rsid w:val="00D511E9"/>
    <w:rsid w:val="00D545F7"/>
    <w:rsid w:val="00D557C7"/>
    <w:rsid w:val="00D5594E"/>
    <w:rsid w:val="00D5677F"/>
    <w:rsid w:val="00D57B63"/>
    <w:rsid w:val="00D6008D"/>
    <w:rsid w:val="00D63A8A"/>
    <w:rsid w:val="00D65C55"/>
    <w:rsid w:val="00D661F0"/>
    <w:rsid w:val="00D6691A"/>
    <w:rsid w:val="00D73002"/>
    <w:rsid w:val="00D7302C"/>
    <w:rsid w:val="00D77DDB"/>
    <w:rsid w:val="00D84846"/>
    <w:rsid w:val="00D86367"/>
    <w:rsid w:val="00D86A94"/>
    <w:rsid w:val="00D870CF"/>
    <w:rsid w:val="00D916FA"/>
    <w:rsid w:val="00D91A99"/>
    <w:rsid w:val="00D92214"/>
    <w:rsid w:val="00D92384"/>
    <w:rsid w:val="00D925F7"/>
    <w:rsid w:val="00D9414C"/>
    <w:rsid w:val="00D96195"/>
    <w:rsid w:val="00DA143F"/>
    <w:rsid w:val="00DA15B5"/>
    <w:rsid w:val="00DA1682"/>
    <w:rsid w:val="00DA30F4"/>
    <w:rsid w:val="00DA363F"/>
    <w:rsid w:val="00DA4434"/>
    <w:rsid w:val="00DA488F"/>
    <w:rsid w:val="00DA4FBC"/>
    <w:rsid w:val="00DA547D"/>
    <w:rsid w:val="00DA6CEE"/>
    <w:rsid w:val="00DA72D2"/>
    <w:rsid w:val="00DB07FB"/>
    <w:rsid w:val="00DB12ED"/>
    <w:rsid w:val="00DB1326"/>
    <w:rsid w:val="00DB3DD8"/>
    <w:rsid w:val="00DB6953"/>
    <w:rsid w:val="00DC0B89"/>
    <w:rsid w:val="00DC15E6"/>
    <w:rsid w:val="00DC1F02"/>
    <w:rsid w:val="00DC22D9"/>
    <w:rsid w:val="00DC31DE"/>
    <w:rsid w:val="00DC4E7F"/>
    <w:rsid w:val="00DD0EAE"/>
    <w:rsid w:val="00DD1EE7"/>
    <w:rsid w:val="00DD25C1"/>
    <w:rsid w:val="00DD30E6"/>
    <w:rsid w:val="00DD3916"/>
    <w:rsid w:val="00DE084E"/>
    <w:rsid w:val="00DE1B2C"/>
    <w:rsid w:val="00DE7A5C"/>
    <w:rsid w:val="00DE7C03"/>
    <w:rsid w:val="00DF1268"/>
    <w:rsid w:val="00DF5E25"/>
    <w:rsid w:val="00E012DF"/>
    <w:rsid w:val="00E02497"/>
    <w:rsid w:val="00E02EEE"/>
    <w:rsid w:val="00E03AA3"/>
    <w:rsid w:val="00E049D4"/>
    <w:rsid w:val="00E04BAA"/>
    <w:rsid w:val="00E055C2"/>
    <w:rsid w:val="00E07128"/>
    <w:rsid w:val="00E12802"/>
    <w:rsid w:val="00E14619"/>
    <w:rsid w:val="00E1527D"/>
    <w:rsid w:val="00E16566"/>
    <w:rsid w:val="00E167FF"/>
    <w:rsid w:val="00E2147C"/>
    <w:rsid w:val="00E23C29"/>
    <w:rsid w:val="00E23EA4"/>
    <w:rsid w:val="00E23FFC"/>
    <w:rsid w:val="00E27C2A"/>
    <w:rsid w:val="00E3367D"/>
    <w:rsid w:val="00E36984"/>
    <w:rsid w:val="00E373AC"/>
    <w:rsid w:val="00E37F8C"/>
    <w:rsid w:val="00E4062F"/>
    <w:rsid w:val="00E41BFB"/>
    <w:rsid w:val="00E42061"/>
    <w:rsid w:val="00E424F3"/>
    <w:rsid w:val="00E4406D"/>
    <w:rsid w:val="00E440AB"/>
    <w:rsid w:val="00E46055"/>
    <w:rsid w:val="00E46CB1"/>
    <w:rsid w:val="00E501C9"/>
    <w:rsid w:val="00E5484A"/>
    <w:rsid w:val="00E55CD7"/>
    <w:rsid w:val="00E561AD"/>
    <w:rsid w:val="00E56767"/>
    <w:rsid w:val="00E601EF"/>
    <w:rsid w:val="00E60670"/>
    <w:rsid w:val="00E632CB"/>
    <w:rsid w:val="00E63B72"/>
    <w:rsid w:val="00E63B79"/>
    <w:rsid w:val="00E71F61"/>
    <w:rsid w:val="00E72811"/>
    <w:rsid w:val="00E72CB2"/>
    <w:rsid w:val="00E81967"/>
    <w:rsid w:val="00E82306"/>
    <w:rsid w:val="00E823A7"/>
    <w:rsid w:val="00E832D7"/>
    <w:rsid w:val="00E8589D"/>
    <w:rsid w:val="00E86D49"/>
    <w:rsid w:val="00E92BE7"/>
    <w:rsid w:val="00E942CF"/>
    <w:rsid w:val="00E943EC"/>
    <w:rsid w:val="00E94D1D"/>
    <w:rsid w:val="00E97147"/>
    <w:rsid w:val="00E97430"/>
    <w:rsid w:val="00E97B76"/>
    <w:rsid w:val="00EA0D4A"/>
    <w:rsid w:val="00EA0EF7"/>
    <w:rsid w:val="00EA1037"/>
    <w:rsid w:val="00EA1F58"/>
    <w:rsid w:val="00EA29C4"/>
    <w:rsid w:val="00EA375F"/>
    <w:rsid w:val="00EA435E"/>
    <w:rsid w:val="00EA5289"/>
    <w:rsid w:val="00EA5C30"/>
    <w:rsid w:val="00EA626E"/>
    <w:rsid w:val="00EB26A0"/>
    <w:rsid w:val="00EB382B"/>
    <w:rsid w:val="00EC0C4A"/>
    <w:rsid w:val="00EC2203"/>
    <w:rsid w:val="00EC3951"/>
    <w:rsid w:val="00EC3CCC"/>
    <w:rsid w:val="00EC421A"/>
    <w:rsid w:val="00EC589B"/>
    <w:rsid w:val="00ED0EA7"/>
    <w:rsid w:val="00ED1137"/>
    <w:rsid w:val="00ED17C4"/>
    <w:rsid w:val="00ED1AEF"/>
    <w:rsid w:val="00ED219E"/>
    <w:rsid w:val="00ED2D97"/>
    <w:rsid w:val="00ED40C7"/>
    <w:rsid w:val="00ED4A6F"/>
    <w:rsid w:val="00ED57BA"/>
    <w:rsid w:val="00ED6136"/>
    <w:rsid w:val="00EE1E12"/>
    <w:rsid w:val="00EE2213"/>
    <w:rsid w:val="00EE3EB9"/>
    <w:rsid w:val="00EE444B"/>
    <w:rsid w:val="00EE5EA4"/>
    <w:rsid w:val="00EF002E"/>
    <w:rsid w:val="00EF14BD"/>
    <w:rsid w:val="00EF1F5B"/>
    <w:rsid w:val="00EF22AA"/>
    <w:rsid w:val="00EF4EF8"/>
    <w:rsid w:val="00EF6820"/>
    <w:rsid w:val="00EF717B"/>
    <w:rsid w:val="00F01A63"/>
    <w:rsid w:val="00F01C3C"/>
    <w:rsid w:val="00F05220"/>
    <w:rsid w:val="00F05815"/>
    <w:rsid w:val="00F06549"/>
    <w:rsid w:val="00F11762"/>
    <w:rsid w:val="00F22077"/>
    <w:rsid w:val="00F224A0"/>
    <w:rsid w:val="00F249DA"/>
    <w:rsid w:val="00F26244"/>
    <w:rsid w:val="00F26645"/>
    <w:rsid w:val="00F314E1"/>
    <w:rsid w:val="00F33AE7"/>
    <w:rsid w:val="00F34521"/>
    <w:rsid w:val="00F3505B"/>
    <w:rsid w:val="00F35767"/>
    <w:rsid w:val="00F37865"/>
    <w:rsid w:val="00F40BBC"/>
    <w:rsid w:val="00F4169D"/>
    <w:rsid w:val="00F47184"/>
    <w:rsid w:val="00F57CC6"/>
    <w:rsid w:val="00F71CAC"/>
    <w:rsid w:val="00F71FDE"/>
    <w:rsid w:val="00F72867"/>
    <w:rsid w:val="00F73CB9"/>
    <w:rsid w:val="00F7556A"/>
    <w:rsid w:val="00F75868"/>
    <w:rsid w:val="00F76EE9"/>
    <w:rsid w:val="00F805AE"/>
    <w:rsid w:val="00F8132B"/>
    <w:rsid w:val="00F90893"/>
    <w:rsid w:val="00F92C4C"/>
    <w:rsid w:val="00F9424C"/>
    <w:rsid w:val="00F946AB"/>
    <w:rsid w:val="00F95FB2"/>
    <w:rsid w:val="00F97910"/>
    <w:rsid w:val="00FA31A9"/>
    <w:rsid w:val="00FA3BFF"/>
    <w:rsid w:val="00FA5AA9"/>
    <w:rsid w:val="00FA7FDB"/>
    <w:rsid w:val="00FB114C"/>
    <w:rsid w:val="00FB1921"/>
    <w:rsid w:val="00FB28BD"/>
    <w:rsid w:val="00FB35A4"/>
    <w:rsid w:val="00FB59DC"/>
    <w:rsid w:val="00FC0D58"/>
    <w:rsid w:val="00FC114E"/>
    <w:rsid w:val="00FC2081"/>
    <w:rsid w:val="00FC4076"/>
    <w:rsid w:val="00FC49F4"/>
    <w:rsid w:val="00FC4CD2"/>
    <w:rsid w:val="00FC4EDF"/>
    <w:rsid w:val="00FC4F7E"/>
    <w:rsid w:val="00FC7D15"/>
    <w:rsid w:val="00FC7DF0"/>
    <w:rsid w:val="00FD3C21"/>
    <w:rsid w:val="00FD3F05"/>
    <w:rsid w:val="00FD46EE"/>
    <w:rsid w:val="00FD65B4"/>
    <w:rsid w:val="00FD7247"/>
    <w:rsid w:val="00FE0CFB"/>
    <w:rsid w:val="00FE2CD2"/>
    <w:rsid w:val="00FE30F2"/>
    <w:rsid w:val="00FE32C3"/>
    <w:rsid w:val="00FE6C0F"/>
    <w:rsid w:val="00FE7686"/>
    <w:rsid w:val="00FF0720"/>
    <w:rsid w:val="00FF17E5"/>
    <w:rsid w:val="00FF30FF"/>
    <w:rsid w:val="00FF3A69"/>
    <w:rsid w:val="00FF50AB"/>
    <w:rsid w:val="00FF603C"/>
    <w:rsid w:val="00FF6CB2"/>
    <w:rsid w:val="010C1112"/>
    <w:rsid w:val="029C2633"/>
    <w:rsid w:val="03F51677"/>
    <w:rsid w:val="03F69F1A"/>
    <w:rsid w:val="05919A2D"/>
    <w:rsid w:val="06379433"/>
    <w:rsid w:val="063D6843"/>
    <w:rsid w:val="066432AC"/>
    <w:rsid w:val="069B7ADC"/>
    <w:rsid w:val="06BE6BE2"/>
    <w:rsid w:val="06FE8B66"/>
    <w:rsid w:val="07A6191C"/>
    <w:rsid w:val="07ABBEBB"/>
    <w:rsid w:val="07BA705A"/>
    <w:rsid w:val="0907052C"/>
    <w:rsid w:val="0A613950"/>
    <w:rsid w:val="0A700B55"/>
    <w:rsid w:val="0B0022D9"/>
    <w:rsid w:val="0B48D58A"/>
    <w:rsid w:val="0C5E71B7"/>
    <w:rsid w:val="0C689E27"/>
    <w:rsid w:val="0C6C4946"/>
    <w:rsid w:val="0C9FAC85"/>
    <w:rsid w:val="0CB1253A"/>
    <w:rsid w:val="0E967858"/>
    <w:rsid w:val="0F03D9E1"/>
    <w:rsid w:val="0F3B75E8"/>
    <w:rsid w:val="0F95990C"/>
    <w:rsid w:val="10A4A11E"/>
    <w:rsid w:val="10FB2C97"/>
    <w:rsid w:val="1112F309"/>
    <w:rsid w:val="112C6B7A"/>
    <w:rsid w:val="11DD2B83"/>
    <w:rsid w:val="123EFD2F"/>
    <w:rsid w:val="1323E382"/>
    <w:rsid w:val="13A3A09E"/>
    <w:rsid w:val="13A79940"/>
    <w:rsid w:val="13F426FA"/>
    <w:rsid w:val="15A58401"/>
    <w:rsid w:val="16287004"/>
    <w:rsid w:val="166F4922"/>
    <w:rsid w:val="17131A31"/>
    <w:rsid w:val="17C27382"/>
    <w:rsid w:val="17DC55AF"/>
    <w:rsid w:val="17FEF9E5"/>
    <w:rsid w:val="18B57E3D"/>
    <w:rsid w:val="19667954"/>
    <w:rsid w:val="19E6C14B"/>
    <w:rsid w:val="1AC17C3A"/>
    <w:rsid w:val="1ADA31FC"/>
    <w:rsid w:val="1B284C5D"/>
    <w:rsid w:val="1B597A7E"/>
    <w:rsid w:val="1BD611AD"/>
    <w:rsid w:val="1CE469A7"/>
    <w:rsid w:val="1D481232"/>
    <w:rsid w:val="1DD9EF3C"/>
    <w:rsid w:val="1DF69EC9"/>
    <w:rsid w:val="1E25FE9E"/>
    <w:rsid w:val="1F152BF5"/>
    <w:rsid w:val="1F6DAFD8"/>
    <w:rsid w:val="20BD1B28"/>
    <w:rsid w:val="218F7423"/>
    <w:rsid w:val="21CD325D"/>
    <w:rsid w:val="22B2E273"/>
    <w:rsid w:val="244B8BA3"/>
    <w:rsid w:val="247593E9"/>
    <w:rsid w:val="2482AB30"/>
    <w:rsid w:val="24CA6B4B"/>
    <w:rsid w:val="25167A99"/>
    <w:rsid w:val="256E7D1F"/>
    <w:rsid w:val="266D0E36"/>
    <w:rsid w:val="2705F438"/>
    <w:rsid w:val="29E24B52"/>
    <w:rsid w:val="2AB2F450"/>
    <w:rsid w:val="2AB70C23"/>
    <w:rsid w:val="2AEB4A54"/>
    <w:rsid w:val="2B04FDB1"/>
    <w:rsid w:val="2B1AC7DC"/>
    <w:rsid w:val="2BEF2B23"/>
    <w:rsid w:val="2CE0FEC2"/>
    <w:rsid w:val="2CF1AE67"/>
    <w:rsid w:val="2D99E544"/>
    <w:rsid w:val="2DEB2C8A"/>
    <w:rsid w:val="2E2AB90F"/>
    <w:rsid w:val="2E3CCF42"/>
    <w:rsid w:val="2EE8C294"/>
    <w:rsid w:val="2F7661F3"/>
    <w:rsid w:val="2FA6F2C0"/>
    <w:rsid w:val="30B89212"/>
    <w:rsid w:val="30FC3356"/>
    <w:rsid w:val="3192DD79"/>
    <w:rsid w:val="32158470"/>
    <w:rsid w:val="32C1C859"/>
    <w:rsid w:val="33059570"/>
    <w:rsid w:val="33985B12"/>
    <w:rsid w:val="34E998B1"/>
    <w:rsid w:val="34F06E92"/>
    <w:rsid w:val="3518770D"/>
    <w:rsid w:val="351F2960"/>
    <w:rsid w:val="35821FBB"/>
    <w:rsid w:val="358BCD3F"/>
    <w:rsid w:val="3630E3D9"/>
    <w:rsid w:val="36C1AD60"/>
    <w:rsid w:val="381054FE"/>
    <w:rsid w:val="382BB0E4"/>
    <w:rsid w:val="38303276"/>
    <w:rsid w:val="38D94B9A"/>
    <w:rsid w:val="39728167"/>
    <w:rsid w:val="397FF86C"/>
    <w:rsid w:val="3A1863B5"/>
    <w:rsid w:val="3A252E23"/>
    <w:rsid w:val="3AE1C658"/>
    <w:rsid w:val="3AE87F4D"/>
    <w:rsid w:val="3B3759A5"/>
    <w:rsid w:val="3B799BCC"/>
    <w:rsid w:val="3BBDEFDF"/>
    <w:rsid w:val="3C205190"/>
    <w:rsid w:val="3C415B41"/>
    <w:rsid w:val="3C637521"/>
    <w:rsid w:val="3D1B7E88"/>
    <w:rsid w:val="3D23032C"/>
    <w:rsid w:val="3E0BD2A6"/>
    <w:rsid w:val="3E587F8E"/>
    <w:rsid w:val="3EEBE81C"/>
    <w:rsid w:val="3F8285E0"/>
    <w:rsid w:val="3FC738EB"/>
    <w:rsid w:val="3FF7CE88"/>
    <w:rsid w:val="404A42F7"/>
    <w:rsid w:val="405C61C0"/>
    <w:rsid w:val="40CDF8D1"/>
    <w:rsid w:val="4131F494"/>
    <w:rsid w:val="41B4A28C"/>
    <w:rsid w:val="4254DCC1"/>
    <w:rsid w:val="42EDEF6D"/>
    <w:rsid w:val="43768F17"/>
    <w:rsid w:val="451C38B0"/>
    <w:rsid w:val="45866D16"/>
    <w:rsid w:val="46186346"/>
    <w:rsid w:val="464F45A7"/>
    <w:rsid w:val="4660B91A"/>
    <w:rsid w:val="47C26FF6"/>
    <w:rsid w:val="481A0B18"/>
    <w:rsid w:val="48375772"/>
    <w:rsid w:val="4936E5BF"/>
    <w:rsid w:val="4A1DDAEB"/>
    <w:rsid w:val="4A4DD050"/>
    <w:rsid w:val="4AA1AE5E"/>
    <w:rsid w:val="4C05280B"/>
    <w:rsid w:val="4C8918ED"/>
    <w:rsid w:val="4D0967CF"/>
    <w:rsid w:val="4DBA415A"/>
    <w:rsid w:val="4DE0175B"/>
    <w:rsid w:val="4E12A658"/>
    <w:rsid w:val="4E2B0E51"/>
    <w:rsid w:val="4EF92727"/>
    <w:rsid w:val="4F9EA472"/>
    <w:rsid w:val="4FCC0AD1"/>
    <w:rsid w:val="5018C294"/>
    <w:rsid w:val="510D766F"/>
    <w:rsid w:val="51115786"/>
    <w:rsid w:val="526362D6"/>
    <w:rsid w:val="527DC273"/>
    <w:rsid w:val="52CC3B59"/>
    <w:rsid w:val="5369F3F4"/>
    <w:rsid w:val="537B7A8F"/>
    <w:rsid w:val="547A2D94"/>
    <w:rsid w:val="547CDDA0"/>
    <w:rsid w:val="54ACA371"/>
    <w:rsid w:val="558BDF90"/>
    <w:rsid w:val="559D80A3"/>
    <w:rsid w:val="56F1BA1B"/>
    <w:rsid w:val="58532BE8"/>
    <w:rsid w:val="587E035A"/>
    <w:rsid w:val="58A84EEA"/>
    <w:rsid w:val="593AC637"/>
    <w:rsid w:val="593E5738"/>
    <w:rsid w:val="594C7A0B"/>
    <w:rsid w:val="59C112C8"/>
    <w:rsid w:val="5AF03726"/>
    <w:rsid w:val="5B67C7D7"/>
    <w:rsid w:val="5C24D288"/>
    <w:rsid w:val="5C6F8BC2"/>
    <w:rsid w:val="5CEFEC53"/>
    <w:rsid w:val="5E4023AB"/>
    <w:rsid w:val="5E7D70E4"/>
    <w:rsid w:val="5E97B0CB"/>
    <w:rsid w:val="5F62B1B6"/>
    <w:rsid w:val="5FAE97D8"/>
    <w:rsid w:val="5FD35E9D"/>
    <w:rsid w:val="62C9B2EA"/>
    <w:rsid w:val="639E9B9B"/>
    <w:rsid w:val="63BEA325"/>
    <w:rsid w:val="6462B5A6"/>
    <w:rsid w:val="649087DC"/>
    <w:rsid w:val="649395FB"/>
    <w:rsid w:val="64A4B944"/>
    <w:rsid w:val="64F692D4"/>
    <w:rsid w:val="656A1E2D"/>
    <w:rsid w:val="65772A6C"/>
    <w:rsid w:val="65A72BA2"/>
    <w:rsid w:val="671C4404"/>
    <w:rsid w:val="67205E4B"/>
    <w:rsid w:val="67630FE3"/>
    <w:rsid w:val="67929FA3"/>
    <w:rsid w:val="67E5EF71"/>
    <w:rsid w:val="688EC8D6"/>
    <w:rsid w:val="68C2C5D5"/>
    <w:rsid w:val="691A7037"/>
    <w:rsid w:val="6924D4D1"/>
    <w:rsid w:val="6987D822"/>
    <w:rsid w:val="6A66705C"/>
    <w:rsid w:val="6B3C2582"/>
    <w:rsid w:val="6B5B80CE"/>
    <w:rsid w:val="6BF9886D"/>
    <w:rsid w:val="6C7E551B"/>
    <w:rsid w:val="6D488CFE"/>
    <w:rsid w:val="6DC8581C"/>
    <w:rsid w:val="6DE954D4"/>
    <w:rsid w:val="702EE3C2"/>
    <w:rsid w:val="70481CF2"/>
    <w:rsid w:val="7193A06A"/>
    <w:rsid w:val="724E9FAD"/>
    <w:rsid w:val="727A167A"/>
    <w:rsid w:val="72AFD5C4"/>
    <w:rsid w:val="72F6ECCE"/>
    <w:rsid w:val="730FCCFB"/>
    <w:rsid w:val="73BF3F6F"/>
    <w:rsid w:val="73F401F8"/>
    <w:rsid w:val="74B9DF17"/>
    <w:rsid w:val="75BE7B32"/>
    <w:rsid w:val="75E7E8C2"/>
    <w:rsid w:val="766E7AF6"/>
    <w:rsid w:val="76825172"/>
    <w:rsid w:val="76B67B90"/>
    <w:rsid w:val="77359BF2"/>
    <w:rsid w:val="77446A4A"/>
    <w:rsid w:val="777ECC86"/>
    <w:rsid w:val="77D2CA7A"/>
    <w:rsid w:val="784B72B7"/>
    <w:rsid w:val="7929D98B"/>
    <w:rsid w:val="79B17F01"/>
    <w:rsid w:val="79CB34D5"/>
    <w:rsid w:val="7A6AF975"/>
    <w:rsid w:val="7B254AC1"/>
    <w:rsid w:val="7B51F349"/>
    <w:rsid w:val="7BAD7C19"/>
    <w:rsid w:val="7BEE4526"/>
    <w:rsid w:val="7C297149"/>
    <w:rsid w:val="7C97CD75"/>
    <w:rsid w:val="7D073C85"/>
    <w:rsid w:val="7D0CF5E0"/>
    <w:rsid w:val="7DEED1A8"/>
    <w:rsid w:val="7FD3791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33473"/>
    <o:shapelayout v:ext="edit">
      <o:idmap v:ext="edit" data="1"/>
    </o:shapelayout>
  </w:shapeDefaults>
  <w:decimalSymbol w:val=","/>
  <w:listSeparator w:val=";"/>
  <w14:docId w14:val="7B7689E2"/>
  <w15:docId w15:val="{38D6A328-5785-4CB2-BD85-E77B75525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B55AB"/>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B155FE"/>
    <w:pPr>
      <w:tabs>
        <w:tab w:val="center" w:pos="4536"/>
        <w:tab w:val="right" w:pos="9072"/>
      </w:tabs>
      <w:spacing w:after="0" w:line="240" w:lineRule="auto"/>
    </w:pPr>
  </w:style>
  <w:style w:type="character" w:customStyle="1" w:styleId="lfejChar">
    <w:name w:val="Élőfej Char"/>
    <w:basedOn w:val="Bekezdsalapbettpusa"/>
    <w:link w:val="lfej"/>
    <w:uiPriority w:val="99"/>
    <w:rsid w:val="00B155FE"/>
  </w:style>
  <w:style w:type="paragraph" w:styleId="llb">
    <w:name w:val="footer"/>
    <w:basedOn w:val="Norml"/>
    <w:link w:val="llbChar"/>
    <w:uiPriority w:val="99"/>
    <w:unhideWhenUsed/>
    <w:rsid w:val="00B155FE"/>
    <w:pPr>
      <w:tabs>
        <w:tab w:val="center" w:pos="4536"/>
        <w:tab w:val="right" w:pos="9072"/>
      </w:tabs>
      <w:spacing w:after="0" w:line="240" w:lineRule="auto"/>
    </w:pPr>
  </w:style>
  <w:style w:type="character" w:customStyle="1" w:styleId="llbChar">
    <w:name w:val="Élőláb Char"/>
    <w:basedOn w:val="Bekezdsalapbettpusa"/>
    <w:link w:val="llb"/>
    <w:uiPriority w:val="99"/>
    <w:rsid w:val="00B155FE"/>
  </w:style>
  <w:style w:type="paragraph" w:styleId="Lbjegyzetszveg">
    <w:name w:val="footnote text"/>
    <w:basedOn w:val="Norml"/>
    <w:link w:val="LbjegyzetszvegChar"/>
    <w:uiPriority w:val="99"/>
    <w:semiHidden/>
    <w:unhideWhenUsed/>
    <w:rsid w:val="00B155FE"/>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B155FE"/>
    <w:rPr>
      <w:sz w:val="20"/>
      <w:szCs w:val="20"/>
    </w:rPr>
  </w:style>
  <w:style w:type="character" w:styleId="Lbjegyzet-hivatkozs">
    <w:name w:val="footnote reference"/>
    <w:semiHidden/>
    <w:rsid w:val="00B155FE"/>
    <w:rPr>
      <w:vertAlign w:val="superscript"/>
    </w:rPr>
  </w:style>
  <w:style w:type="character" w:styleId="Oldalszm">
    <w:name w:val="page number"/>
    <w:basedOn w:val="Bekezdsalapbettpusa"/>
    <w:rsid w:val="00B155FE"/>
  </w:style>
  <w:style w:type="paragraph" w:styleId="Buborkszveg">
    <w:name w:val="Balloon Text"/>
    <w:basedOn w:val="Norml"/>
    <w:link w:val="BuborkszvegChar"/>
    <w:uiPriority w:val="99"/>
    <w:semiHidden/>
    <w:unhideWhenUsed/>
    <w:rsid w:val="0097327C"/>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97327C"/>
    <w:rPr>
      <w:rFonts w:ascii="Tahoma" w:hAnsi="Tahoma" w:cs="Tahoma"/>
      <w:sz w:val="16"/>
      <w:szCs w:val="16"/>
    </w:rPr>
  </w:style>
  <w:style w:type="paragraph" w:styleId="Listaszerbekezds">
    <w:name w:val="List Paragraph"/>
    <w:basedOn w:val="Norml"/>
    <w:uiPriority w:val="34"/>
    <w:qFormat/>
    <w:rsid w:val="00F71CAC"/>
    <w:pPr>
      <w:ind w:left="720"/>
      <w:contextualSpacing/>
    </w:pPr>
  </w:style>
  <w:style w:type="paragraph" w:styleId="Jegyzetszveg">
    <w:name w:val="annotation text"/>
    <w:basedOn w:val="Norml"/>
    <w:link w:val="JegyzetszvegChar"/>
    <w:uiPriority w:val="99"/>
    <w:semiHidden/>
    <w:unhideWhenUsed/>
    <w:pPr>
      <w:spacing w:line="240" w:lineRule="auto"/>
    </w:pPr>
    <w:rPr>
      <w:sz w:val="20"/>
      <w:szCs w:val="20"/>
    </w:rPr>
  </w:style>
  <w:style w:type="character" w:customStyle="1" w:styleId="JegyzetszvegChar">
    <w:name w:val="Jegyzetszöveg Char"/>
    <w:basedOn w:val="Bekezdsalapbettpusa"/>
    <w:link w:val="Jegyzetszveg"/>
    <w:uiPriority w:val="99"/>
    <w:semiHidden/>
    <w:rPr>
      <w:sz w:val="20"/>
      <w:szCs w:val="20"/>
    </w:rPr>
  </w:style>
  <w:style w:type="character" w:styleId="Jegyzethivatkozs">
    <w:name w:val="annotation reference"/>
    <w:basedOn w:val="Bekezdsalapbettpusa"/>
    <w:uiPriority w:val="99"/>
    <w:semiHidden/>
    <w:unhideWhenUsed/>
    <w:rPr>
      <w:sz w:val="16"/>
      <w:szCs w:val="16"/>
    </w:rPr>
  </w:style>
  <w:style w:type="table" w:styleId="Rcsostblzat">
    <w:name w:val="Table Grid"/>
    <w:basedOn w:val="Normltblzat"/>
    <w:uiPriority w:val="39"/>
    <w:rsid w:val="00D479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Web">
    <w:name w:val="Normal (Web)"/>
    <w:basedOn w:val="Norml"/>
    <w:uiPriority w:val="99"/>
    <w:unhideWhenUsed/>
    <w:rsid w:val="00E16566"/>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unhideWhenUsed/>
    <w:rPr>
      <w:color w:val="0563C1" w:themeColor="hyperlink"/>
      <w:u w:val="single"/>
    </w:rPr>
  </w:style>
  <w:style w:type="table" w:styleId="Tblzatrcsos1vilgos1jellszn">
    <w:name w:val="Grid Table 1 Light Accent 1"/>
    <w:basedOn w:val="Normltblzat"/>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Megjegyzstrgya">
    <w:name w:val="annotation subject"/>
    <w:basedOn w:val="Jegyzetszveg"/>
    <w:next w:val="Jegyzetszveg"/>
    <w:link w:val="MegjegyzstrgyaChar"/>
    <w:uiPriority w:val="99"/>
    <w:semiHidden/>
    <w:unhideWhenUsed/>
    <w:rsid w:val="00C75D5A"/>
    <w:rPr>
      <w:b/>
      <w:bCs/>
    </w:rPr>
  </w:style>
  <w:style w:type="character" w:customStyle="1" w:styleId="MegjegyzstrgyaChar">
    <w:name w:val="Megjegyzés tárgya Char"/>
    <w:basedOn w:val="JegyzetszvegChar"/>
    <w:link w:val="Megjegyzstrgya"/>
    <w:uiPriority w:val="99"/>
    <w:semiHidden/>
    <w:rsid w:val="00C75D5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81892">
      <w:bodyDiv w:val="1"/>
      <w:marLeft w:val="0"/>
      <w:marRight w:val="0"/>
      <w:marTop w:val="0"/>
      <w:marBottom w:val="0"/>
      <w:divBdr>
        <w:top w:val="none" w:sz="0" w:space="0" w:color="auto"/>
        <w:left w:val="none" w:sz="0" w:space="0" w:color="auto"/>
        <w:bottom w:val="none" w:sz="0" w:space="0" w:color="auto"/>
        <w:right w:val="none" w:sz="0" w:space="0" w:color="auto"/>
      </w:divBdr>
    </w:div>
    <w:div w:id="240256079">
      <w:bodyDiv w:val="1"/>
      <w:marLeft w:val="0"/>
      <w:marRight w:val="0"/>
      <w:marTop w:val="0"/>
      <w:marBottom w:val="0"/>
      <w:divBdr>
        <w:top w:val="none" w:sz="0" w:space="0" w:color="auto"/>
        <w:left w:val="none" w:sz="0" w:space="0" w:color="auto"/>
        <w:bottom w:val="none" w:sz="0" w:space="0" w:color="auto"/>
        <w:right w:val="none" w:sz="0" w:space="0" w:color="auto"/>
      </w:divBdr>
    </w:div>
    <w:div w:id="248008608">
      <w:bodyDiv w:val="1"/>
      <w:marLeft w:val="0"/>
      <w:marRight w:val="0"/>
      <w:marTop w:val="0"/>
      <w:marBottom w:val="0"/>
      <w:divBdr>
        <w:top w:val="none" w:sz="0" w:space="0" w:color="auto"/>
        <w:left w:val="none" w:sz="0" w:space="0" w:color="auto"/>
        <w:bottom w:val="none" w:sz="0" w:space="0" w:color="auto"/>
        <w:right w:val="none" w:sz="0" w:space="0" w:color="auto"/>
      </w:divBdr>
    </w:div>
    <w:div w:id="251550484">
      <w:bodyDiv w:val="1"/>
      <w:marLeft w:val="0"/>
      <w:marRight w:val="0"/>
      <w:marTop w:val="0"/>
      <w:marBottom w:val="0"/>
      <w:divBdr>
        <w:top w:val="none" w:sz="0" w:space="0" w:color="auto"/>
        <w:left w:val="none" w:sz="0" w:space="0" w:color="auto"/>
        <w:bottom w:val="none" w:sz="0" w:space="0" w:color="auto"/>
        <w:right w:val="none" w:sz="0" w:space="0" w:color="auto"/>
      </w:divBdr>
    </w:div>
    <w:div w:id="263924984">
      <w:bodyDiv w:val="1"/>
      <w:marLeft w:val="0"/>
      <w:marRight w:val="0"/>
      <w:marTop w:val="0"/>
      <w:marBottom w:val="0"/>
      <w:divBdr>
        <w:top w:val="none" w:sz="0" w:space="0" w:color="auto"/>
        <w:left w:val="none" w:sz="0" w:space="0" w:color="auto"/>
        <w:bottom w:val="none" w:sz="0" w:space="0" w:color="auto"/>
        <w:right w:val="none" w:sz="0" w:space="0" w:color="auto"/>
      </w:divBdr>
    </w:div>
    <w:div w:id="414713825">
      <w:bodyDiv w:val="1"/>
      <w:marLeft w:val="0"/>
      <w:marRight w:val="0"/>
      <w:marTop w:val="0"/>
      <w:marBottom w:val="0"/>
      <w:divBdr>
        <w:top w:val="none" w:sz="0" w:space="0" w:color="auto"/>
        <w:left w:val="none" w:sz="0" w:space="0" w:color="auto"/>
        <w:bottom w:val="none" w:sz="0" w:space="0" w:color="auto"/>
        <w:right w:val="none" w:sz="0" w:space="0" w:color="auto"/>
      </w:divBdr>
    </w:div>
    <w:div w:id="419377097">
      <w:bodyDiv w:val="1"/>
      <w:marLeft w:val="0"/>
      <w:marRight w:val="0"/>
      <w:marTop w:val="0"/>
      <w:marBottom w:val="0"/>
      <w:divBdr>
        <w:top w:val="none" w:sz="0" w:space="0" w:color="auto"/>
        <w:left w:val="none" w:sz="0" w:space="0" w:color="auto"/>
        <w:bottom w:val="none" w:sz="0" w:space="0" w:color="auto"/>
        <w:right w:val="none" w:sz="0" w:space="0" w:color="auto"/>
      </w:divBdr>
    </w:div>
    <w:div w:id="422839085">
      <w:bodyDiv w:val="1"/>
      <w:marLeft w:val="0"/>
      <w:marRight w:val="0"/>
      <w:marTop w:val="0"/>
      <w:marBottom w:val="0"/>
      <w:divBdr>
        <w:top w:val="none" w:sz="0" w:space="0" w:color="auto"/>
        <w:left w:val="none" w:sz="0" w:space="0" w:color="auto"/>
        <w:bottom w:val="none" w:sz="0" w:space="0" w:color="auto"/>
        <w:right w:val="none" w:sz="0" w:space="0" w:color="auto"/>
      </w:divBdr>
    </w:div>
    <w:div w:id="425614567">
      <w:bodyDiv w:val="1"/>
      <w:marLeft w:val="0"/>
      <w:marRight w:val="0"/>
      <w:marTop w:val="0"/>
      <w:marBottom w:val="0"/>
      <w:divBdr>
        <w:top w:val="none" w:sz="0" w:space="0" w:color="auto"/>
        <w:left w:val="none" w:sz="0" w:space="0" w:color="auto"/>
        <w:bottom w:val="none" w:sz="0" w:space="0" w:color="auto"/>
        <w:right w:val="none" w:sz="0" w:space="0" w:color="auto"/>
      </w:divBdr>
    </w:div>
    <w:div w:id="750005642">
      <w:bodyDiv w:val="1"/>
      <w:marLeft w:val="0"/>
      <w:marRight w:val="0"/>
      <w:marTop w:val="0"/>
      <w:marBottom w:val="0"/>
      <w:divBdr>
        <w:top w:val="none" w:sz="0" w:space="0" w:color="auto"/>
        <w:left w:val="none" w:sz="0" w:space="0" w:color="auto"/>
        <w:bottom w:val="none" w:sz="0" w:space="0" w:color="auto"/>
        <w:right w:val="none" w:sz="0" w:space="0" w:color="auto"/>
      </w:divBdr>
    </w:div>
    <w:div w:id="825049051">
      <w:bodyDiv w:val="1"/>
      <w:marLeft w:val="0"/>
      <w:marRight w:val="0"/>
      <w:marTop w:val="0"/>
      <w:marBottom w:val="0"/>
      <w:divBdr>
        <w:top w:val="none" w:sz="0" w:space="0" w:color="auto"/>
        <w:left w:val="none" w:sz="0" w:space="0" w:color="auto"/>
        <w:bottom w:val="none" w:sz="0" w:space="0" w:color="auto"/>
        <w:right w:val="none" w:sz="0" w:space="0" w:color="auto"/>
      </w:divBdr>
    </w:div>
    <w:div w:id="831945513">
      <w:bodyDiv w:val="1"/>
      <w:marLeft w:val="0"/>
      <w:marRight w:val="0"/>
      <w:marTop w:val="0"/>
      <w:marBottom w:val="0"/>
      <w:divBdr>
        <w:top w:val="none" w:sz="0" w:space="0" w:color="auto"/>
        <w:left w:val="none" w:sz="0" w:space="0" w:color="auto"/>
        <w:bottom w:val="none" w:sz="0" w:space="0" w:color="auto"/>
        <w:right w:val="none" w:sz="0" w:space="0" w:color="auto"/>
      </w:divBdr>
    </w:div>
    <w:div w:id="955060427">
      <w:bodyDiv w:val="1"/>
      <w:marLeft w:val="0"/>
      <w:marRight w:val="0"/>
      <w:marTop w:val="0"/>
      <w:marBottom w:val="0"/>
      <w:divBdr>
        <w:top w:val="none" w:sz="0" w:space="0" w:color="auto"/>
        <w:left w:val="none" w:sz="0" w:space="0" w:color="auto"/>
        <w:bottom w:val="none" w:sz="0" w:space="0" w:color="auto"/>
        <w:right w:val="none" w:sz="0" w:space="0" w:color="auto"/>
      </w:divBdr>
    </w:div>
    <w:div w:id="1020281846">
      <w:bodyDiv w:val="1"/>
      <w:marLeft w:val="0"/>
      <w:marRight w:val="0"/>
      <w:marTop w:val="0"/>
      <w:marBottom w:val="0"/>
      <w:divBdr>
        <w:top w:val="none" w:sz="0" w:space="0" w:color="auto"/>
        <w:left w:val="none" w:sz="0" w:space="0" w:color="auto"/>
        <w:bottom w:val="none" w:sz="0" w:space="0" w:color="auto"/>
        <w:right w:val="none" w:sz="0" w:space="0" w:color="auto"/>
      </w:divBdr>
    </w:div>
    <w:div w:id="1137841753">
      <w:bodyDiv w:val="1"/>
      <w:marLeft w:val="0"/>
      <w:marRight w:val="0"/>
      <w:marTop w:val="0"/>
      <w:marBottom w:val="0"/>
      <w:divBdr>
        <w:top w:val="none" w:sz="0" w:space="0" w:color="auto"/>
        <w:left w:val="none" w:sz="0" w:space="0" w:color="auto"/>
        <w:bottom w:val="none" w:sz="0" w:space="0" w:color="auto"/>
        <w:right w:val="none" w:sz="0" w:space="0" w:color="auto"/>
      </w:divBdr>
    </w:div>
    <w:div w:id="1145925425">
      <w:bodyDiv w:val="1"/>
      <w:marLeft w:val="0"/>
      <w:marRight w:val="0"/>
      <w:marTop w:val="0"/>
      <w:marBottom w:val="0"/>
      <w:divBdr>
        <w:top w:val="none" w:sz="0" w:space="0" w:color="auto"/>
        <w:left w:val="none" w:sz="0" w:space="0" w:color="auto"/>
        <w:bottom w:val="none" w:sz="0" w:space="0" w:color="auto"/>
        <w:right w:val="none" w:sz="0" w:space="0" w:color="auto"/>
      </w:divBdr>
    </w:div>
    <w:div w:id="1154029676">
      <w:bodyDiv w:val="1"/>
      <w:marLeft w:val="0"/>
      <w:marRight w:val="0"/>
      <w:marTop w:val="0"/>
      <w:marBottom w:val="0"/>
      <w:divBdr>
        <w:top w:val="none" w:sz="0" w:space="0" w:color="auto"/>
        <w:left w:val="none" w:sz="0" w:space="0" w:color="auto"/>
        <w:bottom w:val="none" w:sz="0" w:space="0" w:color="auto"/>
        <w:right w:val="none" w:sz="0" w:space="0" w:color="auto"/>
      </w:divBdr>
    </w:div>
    <w:div w:id="1194074906">
      <w:bodyDiv w:val="1"/>
      <w:marLeft w:val="0"/>
      <w:marRight w:val="0"/>
      <w:marTop w:val="0"/>
      <w:marBottom w:val="0"/>
      <w:divBdr>
        <w:top w:val="none" w:sz="0" w:space="0" w:color="auto"/>
        <w:left w:val="none" w:sz="0" w:space="0" w:color="auto"/>
        <w:bottom w:val="none" w:sz="0" w:space="0" w:color="auto"/>
        <w:right w:val="none" w:sz="0" w:space="0" w:color="auto"/>
      </w:divBdr>
    </w:div>
    <w:div w:id="1262031817">
      <w:bodyDiv w:val="1"/>
      <w:marLeft w:val="0"/>
      <w:marRight w:val="0"/>
      <w:marTop w:val="0"/>
      <w:marBottom w:val="0"/>
      <w:divBdr>
        <w:top w:val="none" w:sz="0" w:space="0" w:color="auto"/>
        <w:left w:val="none" w:sz="0" w:space="0" w:color="auto"/>
        <w:bottom w:val="none" w:sz="0" w:space="0" w:color="auto"/>
        <w:right w:val="none" w:sz="0" w:space="0" w:color="auto"/>
      </w:divBdr>
    </w:div>
    <w:div w:id="1299650999">
      <w:bodyDiv w:val="1"/>
      <w:marLeft w:val="0"/>
      <w:marRight w:val="0"/>
      <w:marTop w:val="0"/>
      <w:marBottom w:val="0"/>
      <w:divBdr>
        <w:top w:val="none" w:sz="0" w:space="0" w:color="auto"/>
        <w:left w:val="none" w:sz="0" w:space="0" w:color="auto"/>
        <w:bottom w:val="none" w:sz="0" w:space="0" w:color="auto"/>
        <w:right w:val="none" w:sz="0" w:space="0" w:color="auto"/>
      </w:divBdr>
    </w:div>
    <w:div w:id="1332442699">
      <w:bodyDiv w:val="1"/>
      <w:marLeft w:val="0"/>
      <w:marRight w:val="0"/>
      <w:marTop w:val="0"/>
      <w:marBottom w:val="0"/>
      <w:divBdr>
        <w:top w:val="none" w:sz="0" w:space="0" w:color="auto"/>
        <w:left w:val="none" w:sz="0" w:space="0" w:color="auto"/>
        <w:bottom w:val="none" w:sz="0" w:space="0" w:color="auto"/>
        <w:right w:val="none" w:sz="0" w:space="0" w:color="auto"/>
      </w:divBdr>
    </w:div>
    <w:div w:id="1362433673">
      <w:bodyDiv w:val="1"/>
      <w:marLeft w:val="0"/>
      <w:marRight w:val="0"/>
      <w:marTop w:val="0"/>
      <w:marBottom w:val="0"/>
      <w:divBdr>
        <w:top w:val="none" w:sz="0" w:space="0" w:color="auto"/>
        <w:left w:val="none" w:sz="0" w:space="0" w:color="auto"/>
        <w:bottom w:val="none" w:sz="0" w:space="0" w:color="auto"/>
        <w:right w:val="none" w:sz="0" w:space="0" w:color="auto"/>
      </w:divBdr>
    </w:div>
    <w:div w:id="1369573113">
      <w:bodyDiv w:val="1"/>
      <w:marLeft w:val="0"/>
      <w:marRight w:val="0"/>
      <w:marTop w:val="0"/>
      <w:marBottom w:val="0"/>
      <w:divBdr>
        <w:top w:val="none" w:sz="0" w:space="0" w:color="auto"/>
        <w:left w:val="none" w:sz="0" w:space="0" w:color="auto"/>
        <w:bottom w:val="none" w:sz="0" w:space="0" w:color="auto"/>
        <w:right w:val="none" w:sz="0" w:space="0" w:color="auto"/>
      </w:divBdr>
    </w:div>
    <w:div w:id="1514765667">
      <w:bodyDiv w:val="1"/>
      <w:marLeft w:val="0"/>
      <w:marRight w:val="0"/>
      <w:marTop w:val="0"/>
      <w:marBottom w:val="0"/>
      <w:divBdr>
        <w:top w:val="none" w:sz="0" w:space="0" w:color="auto"/>
        <w:left w:val="none" w:sz="0" w:space="0" w:color="auto"/>
        <w:bottom w:val="none" w:sz="0" w:space="0" w:color="auto"/>
        <w:right w:val="none" w:sz="0" w:space="0" w:color="auto"/>
      </w:divBdr>
    </w:div>
    <w:div w:id="1527596982">
      <w:bodyDiv w:val="1"/>
      <w:marLeft w:val="0"/>
      <w:marRight w:val="0"/>
      <w:marTop w:val="0"/>
      <w:marBottom w:val="0"/>
      <w:divBdr>
        <w:top w:val="none" w:sz="0" w:space="0" w:color="auto"/>
        <w:left w:val="none" w:sz="0" w:space="0" w:color="auto"/>
        <w:bottom w:val="none" w:sz="0" w:space="0" w:color="auto"/>
        <w:right w:val="none" w:sz="0" w:space="0" w:color="auto"/>
      </w:divBdr>
    </w:div>
    <w:div w:id="1538201461">
      <w:bodyDiv w:val="1"/>
      <w:marLeft w:val="0"/>
      <w:marRight w:val="0"/>
      <w:marTop w:val="0"/>
      <w:marBottom w:val="0"/>
      <w:divBdr>
        <w:top w:val="none" w:sz="0" w:space="0" w:color="auto"/>
        <w:left w:val="none" w:sz="0" w:space="0" w:color="auto"/>
        <w:bottom w:val="none" w:sz="0" w:space="0" w:color="auto"/>
        <w:right w:val="none" w:sz="0" w:space="0" w:color="auto"/>
      </w:divBdr>
    </w:div>
    <w:div w:id="1587760903">
      <w:bodyDiv w:val="1"/>
      <w:marLeft w:val="0"/>
      <w:marRight w:val="0"/>
      <w:marTop w:val="0"/>
      <w:marBottom w:val="0"/>
      <w:divBdr>
        <w:top w:val="none" w:sz="0" w:space="0" w:color="auto"/>
        <w:left w:val="none" w:sz="0" w:space="0" w:color="auto"/>
        <w:bottom w:val="none" w:sz="0" w:space="0" w:color="auto"/>
        <w:right w:val="none" w:sz="0" w:space="0" w:color="auto"/>
      </w:divBdr>
    </w:div>
    <w:div w:id="1611275865">
      <w:bodyDiv w:val="1"/>
      <w:marLeft w:val="0"/>
      <w:marRight w:val="0"/>
      <w:marTop w:val="0"/>
      <w:marBottom w:val="0"/>
      <w:divBdr>
        <w:top w:val="none" w:sz="0" w:space="0" w:color="auto"/>
        <w:left w:val="none" w:sz="0" w:space="0" w:color="auto"/>
        <w:bottom w:val="none" w:sz="0" w:space="0" w:color="auto"/>
        <w:right w:val="none" w:sz="0" w:space="0" w:color="auto"/>
      </w:divBdr>
    </w:div>
    <w:div w:id="1633056647">
      <w:bodyDiv w:val="1"/>
      <w:marLeft w:val="0"/>
      <w:marRight w:val="0"/>
      <w:marTop w:val="0"/>
      <w:marBottom w:val="0"/>
      <w:divBdr>
        <w:top w:val="none" w:sz="0" w:space="0" w:color="auto"/>
        <w:left w:val="none" w:sz="0" w:space="0" w:color="auto"/>
        <w:bottom w:val="none" w:sz="0" w:space="0" w:color="auto"/>
        <w:right w:val="none" w:sz="0" w:space="0" w:color="auto"/>
      </w:divBdr>
    </w:div>
    <w:div w:id="1891844003">
      <w:bodyDiv w:val="1"/>
      <w:marLeft w:val="0"/>
      <w:marRight w:val="0"/>
      <w:marTop w:val="0"/>
      <w:marBottom w:val="0"/>
      <w:divBdr>
        <w:top w:val="none" w:sz="0" w:space="0" w:color="auto"/>
        <w:left w:val="none" w:sz="0" w:space="0" w:color="auto"/>
        <w:bottom w:val="none" w:sz="0" w:space="0" w:color="auto"/>
        <w:right w:val="none" w:sz="0" w:space="0" w:color="auto"/>
      </w:divBdr>
    </w:div>
    <w:div w:id="2032297061">
      <w:bodyDiv w:val="1"/>
      <w:marLeft w:val="0"/>
      <w:marRight w:val="0"/>
      <w:marTop w:val="0"/>
      <w:marBottom w:val="0"/>
      <w:divBdr>
        <w:top w:val="none" w:sz="0" w:space="0" w:color="auto"/>
        <w:left w:val="none" w:sz="0" w:space="0" w:color="auto"/>
        <w:bottom w:val="none" w:sz="0" w:space="0" w:color="auto"/>
        <w:right w:val="none" w:sz="0" w:space="0" w:color="auto"/>
      </w:divBdr>
    </w:div>
    <w:div w:id="206976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5.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11.png"/><Relationship Id="rId32"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3.emf"/><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footer" Target="footer3.xml"/><Relationship Id="rId30" Type="http://schemas.openxmlformats.org/officeDocument/2006/relationships/header" Target="header4.xml"/><Relationship Id="rId35"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CDF1BD466E83E842902559549E0F08F2" ma:contentTypeVersion="5" ma:contentTypeDescription="Új dokumentum létrehozása." ma:contentTypeScope="" ma:versionID="31e4e3cdae65457b6dd54469a0de32db">
  <xsd:schema xmlns:xsd="http://www.w3.org/2001/XMLSchema" xmlns:xs="http://www.w3.org/2001/XMLSchema" xmlns:p="http://schemas.microsoft.com/office/2006/metadata/properties" xmlns:ns2="cb7eed14-1ed6-4f4f-9464-e9d73fc2f8e9" xmlns:ns3="9669010e-b829-4d86-87dd-cdce11b02043" targetNamespace="http://schemas.microsoft.com/office/2006/metadata/properties" ma:root="true" ma:fieldsID="96afc7bfeb3cbb4c401c9bb959457ab5" ns2:_="" ns3:_="">
    <xsd:import namespace="cb7eed14-1ed6-4f4f-9464-e9d73fc2f8e9"/>
    <xsd:import namespace="9669010e-b829-4d86-87dd-cdce11b02043"/>
    <xsd:element name="properties">
      <xsd:complexType>
        <xsd:sequence>
          <xsd:element name="documentManagement">
            <xsd:complexType>
              <xsd:all>
                <xsd:element ref="ns2:T_x00e9_ma" minOccurs="0"/>
                <xsd:element ref="ns2:_x00c9_v"/>
                <xsd:element ref="ns2:L_x00e1_that_x00f3_s_x00e1_g"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7eed14-1ed6-4f4f-9464-e9d73fc2f8e9" elementFormDefault="qualified">
    <xsd:import namespace="http://schemas.microsoft.com/office/2006/documentManagement/types"/>
    <xsd:import namespace="http://schemas.microsoft.com/office/infopath/2007/PartnerControls"/>
    <xsd:element name="T_x00e9_ma" ma:index="2" nillable="true" ma:displayName="Téma" ma:format="Dropdown" ma:internalName="T_x00e9_ma">
      <xsd:simpleType>
        <xsd:restriction base="dms:Choice">
          <xsd:enumeration value="Tervezés"/>
          <xsd:enumeration value="Zárszámadás"/>
          <xsd:enumeration value="Törvénymódosítás"/>
          <xsd:enumeration value="ÁSZ ellenőrzés"/>
          <xsd:enumeration value="Gyorsjelentés"/>
          <xsd:enumeration value="Monitoring"/>
          <xsd:enumeration value="Tervezési tájékoztató"/>
          <xsd:enumeration value="Útmutató"/>
          <xsd:enumeration value="Munkaprogram"/>
          <xsd:enumeration value="Ütemterv"/>
          <xsd:enumeration value="Módosító"/>
          <xsd:enumeration value="Kormányülés"/>
          <xsd:enumeration value="Gazdasági kabinet"/>
          <xsd:enumeration value="Stratégiai kabinet"/>
          <xsd:enumeration value="IFMIS"/>
          <xsd:enumeration value="Fejezeten belüli átcsoportosítás"/>
          <xsd:enumeration value="Címlista"/>
          <xsd:enumeration value="BEÜ"/>
          <xsd:enumeration value="Koronavírus"/>
          <xsd:enumeration value="Tudásbázis"/>
          <xsd:enumeration value="Kiemelt fejlesztési igények"/>
          <xsd:enumeration value="Iktatás"/>
        </xsd:restriction>
      </xsd:simpleType>
    </xsd:element>
    <xsd:element name="_x00c9_v" ma:index="3" ma:displayName="Év" ma:default="2018" ma:format="Dropdown" ma:internalName="_x00c9_v">
      <xsd:simpleType>
        <xsd:restriction base="dms:Choice">
          <xsd:enumeration value="2025"/>
          <xsd:enumeration value="2024"/>
          <xsd:enumeration value="2023"/>
          <xsd:enumeration value="2022"/>
          <xsd:enumeration value="2021"/>
          <xsd:enumeration value="2020"/>
          <xsd:enumeration value="2019"/>
          <xsd:enumeration value="2018"/>
          <xsd:enumeration value="2017"/>
          <xsd:enumeration value="2016"/>
          <xsd:enumeration value="2015"/>
        </xsd:restriction>
      </xsd:simpleType>
    </xsd:element>
    <xsd:element name="L_x00e1_that_x00f3_s_x00e1_g" ma:index="4" nillable="true" ma:displayName="Láthatóság" ma:default="Publikus" ma:format="Dropdown" ma:internalName="L_x00e1_that_x00f3_s_x00e1_g">
      <xsd:simpleType>
        <xsd:restriction base="dms:Choice">
          <xsd:enumeration value="Publikus"/>
          <xsd:enumeration value="Csak admin látja (verziókat tartalmaz)"/>
        </xsd:restriction>
      </xsd:simpleType>
    </xsd:element>
  </xsd:schema>
  <xsd:schema xmlns:xsd="http://www.w3.org/2001/XMLSchema" xmlns:xs="http://www.w3.org/2001/XMLSchema" xmlns:dms="http://schemas.microsoft.com/office/2006/documentManagement/types" xmlns:pc="http://schemas.microsoft.com/office/infopath/2007/PartnerControls" targetNamespace="9669010e-b829-4d86-87dd-cdce11b02043" elementFormDefault="qualified">
    <xsd:import namespace="http://schemas.microsoft.com/office/2006/documentManagement/types"/>
    <xsd:import namespace="http://schemas.microsoft.com/office/infopath/2007/PartnerControls"/>
    <xsd:element name="SharedWithUsers" ma:index="11" nillable="true" ma:displayName="Résztvevők"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Tartalomtípus"/>
        <xsd:element ref="dc:title" minOccurs="0" maxOccurs="1" ma:index="1"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0c9_v xmlns="cb7eed14-1ed6-4f4f-9464-e9d73fc2f8e9">2024</_x00c9_v>
    <T_x00e9_ma xmlns="cb7eed14-1ed6-4f4f-9464-e9d73fc2f8e9">Monitoring</T_x00e9_ma>
    <L_x00e1_that_x00f3_s_x00e1_g xmlns="cb7eed14-1ed6-4f4f-9464-e9d73fc2f8e9">Publikus</L_x00e1_that_x00f3_s_x00e1_g>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329B3-64CC-4780-89B6-C8C7C77A4D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7eed14-1ed6-4f4f-9464-e9d73fc2f8e9"/>
    <ds:schemaRef ds:uri="9669010e-b829-4d86-87dd-cdce11b02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D0F6AD-19C0-4D6B-ABDF-2564A2CC5C1F}">
  <ds:schemaRefs>
    <ds:schemaRef ds:uri="http://schemas.microsoft.com/sharepoint/v3/contenttype/forms"/>
  </ds:schemaRefs>
</ds:datastoreItem>
</file>

<file path=customXml/itemProps3.xml><?xml version="1.0" encoding="utf-8"?>
<ds:datastoreItem xmlns:ds="http://schemas.openxmlformats.org/officeDocument/2006/customXml" ds:itemID="{C84C958D-48DC-4564-B24D-56E63215790F}">
  <ds:schemaRefs>
    <ds:schemaRef ds:uri="http://schemas.microsoft.com/office/infopath/2007/PartnerControls"/>
    <ds:schemaRef ds:uri="http://purl.org/dc/terms/"/>
    <ds:schemaRef ds:uri="cb7eed14-1ed6-4f4f-9464-e9d73fc2f8e9"/>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9669010e-b829-4d86-87dd-cdce11b02043"/>
    <ds:schemaRef ds:uri="http://www.w3.org/XML/1998/namespace"/>
    <ds:schemaRef ds:uri="http://purl.org/dc/dcmitype/"/>
  </ds:schemaRefs>
</ds:datastoreItem>
</file>

<file path=customXml/itemProps4.xml><?xml version="1.0" encoding="utf-8"?>
<ds:datastoreItem xmlns:ds="http://schemas.openxmlformats.org/officeDocument/2006/customXml" ds:itemID="{E2C10A09-D030-4C77-8F9B-17531DBB7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4845</Words>
  <Characters>33437</Characters>
  <Application>Microsoft Office Word</Application>
  <DocSecurity>4</DocSecurity>
  <Lines>278</Lines>
  <Paragraphs>76</Paragraphs>
  <ScaleCrop>false</ScaleCrop>
  <HeadingPairs>
    <vt:vector size="2" baseType="variant">
      <vt:variant>
        <vt:lpstr>Cím</vt:lpstr>
      </vt:variant>
      <vt:variant>
        <vt:i4>1</vt:i4>
      </vt:variant>
    </vt:vector>
  </HeadingPairs>
  <TitlesOfParts>
    <vt:vector size="1" baseType="lpstr">
      <vt:lpstr>monitoring_2024_12</vt:lpstr>
    </vt:vector>
  </TitlesOfParts>
  <Company>Egységes InfraStruktúra</Company>
  <LinksUpToDate>false</LinksUpToDate>
  <CharactersWithSpaces>38206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monitoring_2024_12</dc:title>
  <dc:creator>Kovács Márta</dc:creator>
  <cp:lastModifiedBy>Pozsgai Mónika</cp:lastModifiedBy>
  <cp:revision>2</cp:revision>
  <cp:lastPrinted>2025-01-15T11:42:00Z</cp:lastPrinted>
  <dcterms:created xsi:type="dcterms:W3CDTF">2025-01-21T10:39:00Z</dcterms:created>
  <dcterms:modified xsi:type="dcterms:W3CDTF">2025-01-21T10:39:00Z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0x010100CDF1BD466E83E842902559549E0F08F2</vt:lpwstr>
  </property>
</Properties>
</file>