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689E2" w14:textId="685CB7B9" w:rsidR="00B155FE" w:rsidRPr="00377D59" w:rsidRDefault="22B2E273" w:rsidP="22B2E273">
      <w:pPr>
        <w:tabs>
          <w:tab w:val="center" w:pos="4536"/>
        </w:tabs>
        <w:bidi/>
        <w:spacing w:after="120" w:line="240" w:lineRule="auto"/>
        <w:ind w:left="-142" w:right="-1" w:firstLine="142"/>
        <w:rPr>
          <w:rFonts w:ascii="Times New Roman" w:eastAsia="Times New Roman" w:hAnsi="Times New Roman" w:cs="Times New Roman"/>
          <w:b/>
          <w:bCs/>
          <w:smallCaps/>
          <w:sz w:val="32"/>
          <w:szCs w:val="32"/>
          <w:lang w:eastAsia="hu-HU"/>
        </w:rPr>
      </w:pPr>
      <w:r w:rsidRPr="22B2E273">
        <w:rPr>
          <w:rFonts w:ascii="Times New Roman" w:eastAsia="Times New Roman" w:hAnsi="Times New Roman" w:cs="Times New Roman"/>
          <w:b/>
          <w:bCs/>
          <w:smallCaps/>
          <w:sz w:val="32"/>
          <w:szCs w:val="32"/>
          <w:lang w:eastAsia="hu-HU"/>
        </w:rPr>
        <w:t>Pénzügyminisztérium</w:t>
      </w:r>
    </w:p>
    <w:p w14:paraId="7B7689E4"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36F33C9C" w14:textId="77777777" w:rsidR="001E689B" w:rsidRPr="00377D59" w:rsidRDefault="001E689B"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5"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6"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7"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8"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9"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26"/>
          <w:szCs w:val="26"/>
          <w:lang w:eastAsia="hu-HU"/>
        </w:rPr>
      </w:pPr>
    </w:p>
    <w:p w14:paraId="7B7689EA"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B"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C"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D"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E"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F" w14:textId="77777777" w:rsidR="00B155FE" w:rsidRPr="00377D59" w:rsidRDefault="00B155FE" w:rsidP="22B2E273">
      <w:pPr>
        <w:keepNext/>
        <w:widowControl w:val="0"/>
        <w:spacing w:after="120" w:line="240" w:lineRule="auto"/>
        <w:jc w:val="center"/>
        <w:rPr>
          <w:rFonts w:ascii="Times New Roman" w:eastAsia="Times New Roman" w:hAnsi="Times New Roman" w:cs="Times New Roman"/>
          <w:b/>
          <w:bCs/>
          <w:caps/>
          <w:sz w:val="32"/>
          <w:szCs w:val="32"/>
          <w:lang w:eastAsia="hu-HU"/>
        </w:rPr>
      </w:pPr>
      <w:r w:rsidRPr="00377D59">
        <w:rPr>
          <w:rFonts w:ascii="Times New Roman" w:eastAsia="Times New Roman" w:hAnsi="Times New Roman" w:cs="Times New Roman"/>
          <w:b/>
          <w:bCs/>
          <w:caps/>
          <w:spacing w:val="60"/>
          <w:sz w:val="32"/>
          <w:szCs w:val="32"/>
          <w:lang w:eastAsia="hu-HU"/>
        </w:rPr>
        <w:t>Tájékoztató</w:t>
      </w:r>
    </w:p>
    <w:p w14:paraId="5AE02B14" w14:textId="4C0249CC" w:rsidR="00B94CCA" w:rsidRPr="00377D59" w:rsidRDefault="22B2E273" w:rsidP="22B2E273">
      <w:pPr>
        <w:keepNext/>
        <w:tabs>
          <w:tab w:val="left" w:pos="2694"/>
        </w:tabs>
        <w:spacing w:after="120" w:line="240" w:lineRule="auto"/>
        <w:ind w:right="-1"/>
        <w:jc w:val="center"/>
        <w:outlineLvl w:val="1"/>
        <w:rPr>
          <w:rFonts w:ascii="Times New Roman" w:eastAsia="Times New Roman" w:hAnsi="Times New Roman" w:cs="Times New Roman"/>
          <w:b/>
          <w:bCs/>
          <w:i/>
          <w:iCs/>
          <w:sz w:val="26"/>
          <w:szCs w:val="26"/>
          <w:lang w:eastAsia="hu-HU"/>
        </w:rPr>
      </w:pPr>
      <w:proofErr w:type="gramStart"/>
      <w:r w:rsidRPr="22B2E273">
        <w:rPr>
          <w:rFonts w:ascii="Times New Roman" w:eastAsia="Times New Roman" w:hAnsi="Times New Roman" w:cs="Times New Roman"/>
          <w:b/>
          <w:bCs/>
          <w:i/>
          <w:iCs/>
          <w:sz w:val="26"/>
          <w:szCs w:val="26"/>
          <w:lang w:eastAsia="hu-HU"/>
        </w:rPr>
        <w:t>az</w:t>
      </w:r>
      <w:proofErr w:type="gramEnd"/>
      <w:r w:rsidRPr="22B2E273">
        <w:rPr>
          <w:rFonts w:ascii="Times New Roman" w:eastAsia="Times New Roman" w:hAnsi="Times New Roman" w:cs="Times New Roman"/>
          <w:b/>
          <w:bCs/>
          <w:i/>
          <w:iCs/>
          <w:sz w:val="26"/>
          <w:szCs w:val="26"/>
          <w:lang w:eastAsia="hu-HU"/>
        </w:rPr>
        <w:t xml:space="preserve"> államháztartás központi alrendszerének</w:t>
      </w:r>
      <w:r w:rsidR="7929D98B">
        <w:br/>
      </w:r>
      <w:r w:rsidRPr="22B2E273">
        <w:rPr>
          <w:rFonts w:ascii="Times New Roman" w:eastAsia="Times New Roman" w:hAnsi="Times New Roman" w:cs="Times New Roman"/>
          <w:b/>
          <w:bCs/>
          <w:i/>
          <w:iCs/>
          <w:sz w:val="26"/>
          <w:szCs w:val="26"/>
          <w:lang w:eastAsia="hu-HU"/>
        </w:rPr>
        <w:t>2024. november végi helyzetéről</w:t>
      </w:r>
    </w:p>
    <w:p w14:paraId="7B7689F2" w14:textId="2D4563EC" w:rsidR="00B155FE" w:rsidRPr="00377D59" w:rsidRDefault="00B155FE"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4A2F8C9F"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D327E5D"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35267E04"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20BD3D31"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6E13D32"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59F56A13"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7B7689F4"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6"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7"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8" w14:textId="7C3BEFF0" w:rsidR="00B155FE" w:rsidRPr="00377D59" w:rsidRDefault="00B155FE" w:rsidP="00EA1F58">
      <w:pPr>
        <w:tabs>
          <w:tab w:val="left" w:pos="5685"/>
        </w:tabs>
        <w:spacing w:after="120" w:line="240" w:lineRule="auto"/>
        <w:jc w:val="both"/>
        <w:rPr>
          <w:rFonts w:ascii="Times New Roman" w:eastAsia="Times New Roman" w:hAnsi="Times New Roman" w:cs="Times New Roman"/>
          <w:sz w:val="26"/>
          <w:szCs w:val="20"/>
          <w:lang w:eastAsia="hu-HU"/>
        </w:rPr>
      </w:pPr>
    </w:p>
    <w:p w14:paraId="7B7689F9"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A"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B"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1CF999E6" w14:textId="3EBD80A4" w:rsidR="00E97147" w:rsidRPr="00377D59" w:rsidRDefault="00B155FE" w:rsidP="22B2E273">
      <w:pPr>
        <w:tabs>
          <w:tab w:val="left" w:pos="2694"/>
        </w:tabs>
        <w:spacing w:after="120" w:line="240" w:lineRule="auto"/>
        <w:jc w:val="center"/>
        <w:rPr>
          <w:rFonts w:ascii="Times New Roman" w:eastAsia="Times New Roman" w:hAnsi="Times New Roman" w:cs="Times New Roman"/>
          <w:b/>
          <w:bCs/>
          <w:lang w:eastAsia="hu-HU"/>
        </w:rPr>
        <w:sectPr w:rsidR="00E97147" w:rsidRPr="00377D59" w:rsidSect="002276A7">
          <w:headerReference w:type="default" r:id="rId11"/>
          <w:footerReference w:type="default" r:id="rId12"/>
          <w:footerReference w:type="first" r:id="rId13"/>
          <w:footnotePr>
            <w:numRestart w:val="eachPage"/>
          </w:footnotePr>
          <w:pgSz w:w="11907" w:h="16840" w:code="9"/>
          <w:pgMar w:top="1134" w:right="1134" w:bottom="1418" w:left="1418" w:header="709" w:footer="709" w:gutter="0"/>
          <w:pgNumType w:fmt="numberInDash" w:start="0"/>
          <w:cols w:space="708"/>
          <w:docGrid w:linePitch="354"/>
        </w:sectPr>
      </w:pPr>
      <w:r w:rsidRPr="00377D59">
        <w:rPr>
          <w:rFonts w:ascii="Times New Roman" w:eastAsia="Times New Roman" w:hAnsi="Times New Roman" w:cs="Times New Roman"/>
          <w:b/>
          <w:bCs/>
          <w:noProof/>
          <w:lang w:eastAsia="hu-HU"/>
        </w:rPr>
        <mc:AlternateContent>
          <mc:Choice Requires="wps">
            <w:drawing>
              <wp:anchor distT="0" distB="0" distL="114300" distR="114300" simplePos="0" relativeHeight="251658240" behindDoc="0" locked="0" layoutInCell="1" allowOverlap="1" wp14:anchorId="7B768C6C" wp14:editId="7B768C6D">
                <wp:simplePos x="0" y="0"/>
                <wp:positionH relativeFrom="column">
                  <wp:posOffset>2336732</wp:posOffset>
                </wp:positionH>
                <wp:positionV relativeFrom="paragraph">
                  <wp:posOffset>980217</wp:posOffset>
                </wp:positionV>
                <wp:extent cx="971550" cy="393065"/>
                <wp:effectExtent l="0" t="0" r="0"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438C728">
              <v:rect id="Rectangle 2" style="position:absolute;margin-left:184pt;margin-top:77.2pt;width:76.5pt;height: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2B7717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zDew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"/>
            </w:pict>
          </mc:Fallback>
        </mc:AlternateContent>
      </w:r>
      <w:r w:rsidRPr="00377D59">
        <w:rPr>
          <w:rFonts w:ascii="Times New Roman" w:eastAsia="Times New Roman" w:hAnsi="Times New Roman" w:cs="Times New Roman"/>
          <w:b/>
          <w:bCs/>
          <w:lang w:eastAsia="hu-HU"/>
        </w:rPr>
        <w:t>202</w:t>
      </w:r>
      <w:r w:rsidR="0032514C" w:rsidRPr="00377D59">
        <w:rPr>
          <w:rFonts w:ascii="Times New Roman" w:eastAsia="Times New Roman" w:hAnsi="Times New Roman" w:cs="Times New Roman"/>
          <w:b/>
          <w:bCs/>
          <w:lang w:eastAsia="hu-HU"/>
        </w:rPr>
        <w:t>4</w:t>
      </w:r>
      <w:r w:rsidRPr="00377D59">
        <w:rPr>
          <w:rFonts w:ascii="Times New Roman" w:eastAsia="Times New Roman" w:hAnsi="Times New Roman" w:cs="Times New Roman"/>
          <w:b/>
          <w:bCs/>
          <w:lang w:eastAsia="hu-HU"/>
        </w:rPr>
        <w:t xml:space="preserve">. </w:t>
      </w:r>
      <w:r w:rsidR="0029251A">
        <w:rPr>
          <w:rFonts w:ascii="Times New Roman" w:eastAsia="Times New Roman" w:hAnsi="Times New Roman" w:cs="Times New Roman"/>
          <w:b/>
          <w:bCs/>
          <w:lang w:eastAsia="hu-HU"/>
        </w:rPr>
        <w:t>december</w:t>
      </w:r>
    </w:p>
    <w:p w14:paraId="7B7689FF" w14:textId="77777777" w:rsidR="00B155FE" w:rsidRPr="00377D59" w:rsidRDefault="22B2E273" w:rsidP="22B2E273">
      <w:pPr>
        <w:keepNext/>
        <w:spacing w:before="240" w:after="480" w:line="480" w:lineRule="auto"/>
        <w:ind w:left="425" w:hanging="425"/>
        <w:jc w:val="center"/>
        <w:outlineLvl w:val="3"/>
        <w:rPr>
          <w:rFonts w:ascii="Times New Roman" w:eastAsia="Times New Roman" w:hAnsi="Times New Roman" w:cs="Times New Roman"/>
          <w:b/>
          <w:bCs/>
          <w:caps/>
          <w:color w:val="000000" w:themeColor="text1"/>
          <w:sz w:val="26"/>
          <w:szCs w:val="26"/>
          <w:lang w:eastAsia="hu-HU"/>
        </w:rPr>
      </w:pPr>
      <w:r w:rsidRPr="22B2E273">
        <w:rPr>
          <w:rFonts w:ascii="Times New Roman" w:eastAsia="Times New Roman" w:hAnsi="Times New Roman" w:cs="Times New Roman"/>
          <w:b/>
          <w:bCs/>
          <w:caps/>
          <w:color w:val="000000" w:themeColor="text1"/>
          <w:sz w:val="26"/>
          <w:szCs w:val="26"/>
          <w:lang w:eastAsia="hu-HU"/>
        </w:rPr>
        <w:lastRenderedPageBreak/>
        <w:t>Összefoglalás</w:t>
      </w:r>
    </w:p>
    <w:p w14:paraId="26986694" w14:textId="77777777" w:rsidR="00B56CB1" w:rsidRPr="00B56CB1" w:rsidRDefault="00B56CB1" w:rsidP="00B56CB1">
      <w:pPr>
        <w:widowControl w:val="0"/>
        <w:spacing w:after="240" w:line="240" w:lineRule="auto"/>
        <w:jc w:val="both"/>
        <w:rPr>
          <w:rFonts w:ascii="Times New Roman" w:eastAsia="Times New Roman" w:hAnsi="Times New Roman" w:cs="Times New Roman"/>
          <w:b/>
          <w:bCs/>
          <w:color w:val="000000" w:themeColor="text1"/>
          <w:sz w:val="26"/>
          <w:szCs w:val="26"/>
          <w:lang w:eastAsia="hu-HU"/>
        </w:rPr>
      </w:pPr>
      <w:r w:rsidRPr="00B56CB1">
        <w:rPr>
          <w:rFonts w:ascii="Times New Roman" w:eastAsia="Times New Roman" w:hAnsi="Times New Roman" w:cs="Times New Roman"/>
          <w:b/>
          <w:bCs/>
          <w:color w:val="000000" w:themeColor="text1"/>
          <w:sz w:val="26"/>
          <w:szCs w:val="26"/>
          <w:lang w:eastAsia="hu-HU"/>
        </w:rPr>
        <w:t xml:space="preserve">A kormány az idei évben stabilizálta a költségvetés egyensúlyát, emellett folyamatosan figyelemmel kíséri a hiány alakulását. Az intézkedéseknek is köszönhetően a novemberi, egyhavi hiány mértéke utoljára 2019-ben alakult ennél kedvezőbben: 233,8 milliárd forintra teljesült. A kormány továbbra is elkötelezett az egyensúlyi mutatók javítása mellett, miközben a gazdaságot fenntartható növekedési pályára állítja. </w:t>
      </w:r>
    </w:p>
    <w:p w14:paraId="3FA40C3D" w14:textId="01A5C887" w:rsidR="00B56CB1" w:rsidRPr="00B56CB1" w:rsidRDefault="00B56CB1" w:rsidP="00B56CB1">
      <w:pPr>
        <w:widowControl w:val="0"/>
        <w:spacing w:after="240" w:line="240" w:lineRule="auto"/>
        <w:jc w:val="both"/>
        <w:rPr>
          <w:rFonts w:ascii="Times New Roman" w:eastAsia="Times New Roman" w:hAnsi="Times New Roman" w:cs="Times New Roman"/>
          <w:bCs/>
          <w:color w:val="000000" w:themeColor="text1"/>
          <w:sz w:val="26"/>
          <w:szCs w:val="26"/>
          <w:lang w:eastAsia="hu-HU"/>
        </w:rPr>
      </w:pPr>
      <w:r w:rsidRPr="00B56CB1">
        <w:rPr>
          <w:rFonts w:ascii="Times New Roman" w:eastAsia="Times New Roman" w:hAnsi="Times New Roman" w:cs="Times New Roman"/>
          <w:bCs/>
          <w:color w:val="000000" w:themeColor="text1"/>
          <w:sz w:val="26"/>
          <w:szCs w:val="26"/>
          <w:lang w:eastAsia="hu-HU"/>
        </w:rPr>
        <w:t>November végéig az államháztartás központi alrendszere 3 284,3 milliárd forintos hiánnyal zárt. Ezen belül a központi költségvetés 3</w:t>
      </w:r>
      <w:r>
        <w:rPr>
          <w:rFonts w:ascii="Times New Roman" w:eastAsia="Times New Roman" w:hAnsi="Times New Roman" w:cs="Times New Roman"/>
          <w:bCs/>
          <w:color w:val="000000" w:themeColor="text1"/>
          <w:sz w:val="26"/>
          <w:szCs w:val="26"/>
          <w:lang w:eastAsia="hu-HU"/>
        </w:rPr>
        <w:t> </w:t>
      </w:r>
      <w:r w:rsidRPr="00B56CB1">
        <w:rPr>
          <w:rFonts w:ascii="Times New Roman" w:eastAsia="Times New Roman" w:hAnsi="Times New Roman" w:cs="Times New Roman"/>
          <w:bCs/>
          <w:color w:val="000000" w:themeColor="text1"/>
          <w:sz w:val="26"/>
          <w:szCs w:val="26"/>
          <w:lang w:eastAsia="hu-HU"/>
        </w:rPr>
        <w:t>257,5 milliárd forintos hiányt, az elkülönített állami pénzalapok 200,0 milliárd forintos többletet, a társadalombiztosítás pénzügyi alapjai pedig 226,8 milliárd forintos hiányt mutattak. Novemberben (egy hónap alatt) a központi alrendszer 233,8 milliárd forint hiánnyal zárt, szemben</w:t>
      </w:r>
      <w:r>
        <w:rPr>
          <w:rFonts w:ascii="Times New Roman" w:eastAsia="Times New Roman" w:hAnsi="Times New Roman" w:cs="Times New Roman"/>
          <w:bCs/>
          <w:color w:val="000000" w:themeColor="text1"/>
          <w:sz w:val="26"/>
          <w:szCs w:val="26"/>
          <w:lang w:eastAsia="hu-HU"/>
        </w:rPr>
        <w:t xml:space="preserve"> az előző évi azonos havi 586,7 </w:t>
      </w:r>
      <w:r w:rsidRPr="00B56CB1">
        <w:rPr>
          <w:rFonts w:ascii="Times New Roman" w:eastAsia="Times New Roman" w:hAnsi="Times New Roman" w:cs="Times New Roman"/>
          <w:bCs/>
          <w:color w:val="000000" w:themeColor="text1"/>
          <w:sz w:val="26"/>
          <w:szCs w:val="26"/>
          <w:lang w:eastAsia="hu-HU"/>
        </w:rPr>
        <w:t xml:space="preserve">milliárd forintos deficittel. </w:t>
      </w:r>
    </w:p>
    <w:p w14:paraId="13765D26" w14:textId="6F9DFD9D" w:rsidR="00B56CB1" w:rsidRPr="00B56CB1" w:rsidRDefault="00B56CB1" w:rsidP="00B56CB1">
      <w:pPr>
        <w:widowControl w:val="0"/>
        <w:spacing w:after="240" w:line="240" w:lineRule="auto"/>
        <w:jc w:val="both"/>
        <w:rPr>
          <w:rFonts w:ascii="Times New Roman" w:eastAsia="Times New Roman" w:hAnsi="Times New Roman" w:cs="Times New Roman"/>
          <w:bCs/>
          <w:color w:val="000000" w:themeColor="text1"/>
          <w:sz w:val="26"/>
          <w:szCs w:val="26"/>
          <w:lang w:eastAsia="hu-HU"/>
        </w:rPr>
      </w:pPr>
      <w:r w:rsidRPr="00B56CB1">
        <w:rPr>
          <w:rFonts w:ascii="Times New Roman" w:eastAsia="Times New Roman" w:hAnsi="Times New Roman" w:cs="Times New Roman"/>
          <w:bCs/>
          <w:color w:val="000000" w:themeColor="text1"/>
          <w:sz w:val="26"/>
          <w:szCs w:val="26"/>
          <w:lang w:eastAsia="hu-HU"/>
        </w:rPr>
        <w:t>A kamatkiadásokra fordított kifize</w:t>
      </w:r>
      <w:r>
        <w:rPr>
          <w:rFonts w:ascii="Times New Roman" w:eastAsia="Times New Roman" w:hAnsi="Times New Roman" w:cs="Times New Roman"/>
          <w:bCs/>
          <w:color w:val="000000" w:themeColor="text1"/>
          <w:sz w:val="26"/>
          <w:szCs w:val="26"/>
          <w:lang w:eastAsia="hu-HU"/>
        </w:rPr>
        <w:t>tések összege november végéig 3 </w:t>
      </w:r>
      <w:r w:rsidRPr="00B56CB1">
        <w:rPr>
          <w:rFonts w:ascii="Times New Roman" w:eastAsia="Times New Roman" w:hAnsi="Times New Roman" w:cs="Times New Roman"/>
          <w:bCs/>
          <w:color w:val="000000" w:themeColor="text1"/>
          <w:sz w:val="26"/>
          <w:szCs w:val="26"/>
          <w:lang w:eastAsia="hu-HU"/>
        </w:rPr>
        <w:t>412,7 milliárd forint volt, amely 798,1 milliárd forinttal magasabb az előző évi azonos időszaki teljesítésnél. Lényeges körülmény, hogy bár a forintpiaci kamatok már 2023-ban elkezdtek csökkenni, a pénzforgalmi kamatkiadásban ez a csökkenés c</w:t>
      </w:r>
      <w:r>
        <w:rPr>
          <w:rFonts w:ascii="Times New Roman" w:eastAsia="Times New Roman" w:hAnsi="Times New Roman" w:cs="Times New Roman"/>
          <w:bCs/>
          <w:color w:val="000000" w:themeColor="text1"/>
          <w:sz w:val="26"/>
          <w:szCs w:val="26"/>
          <w:lang w:eastAsia="hu-HU"/>
        </w:rPr>
        <w:t>sak késleltetve jelentkezik. Az </w:t>
      </w:r>
      <w:r w:rsidRPr="00B56CB1">
        <w:rPr>
          <w:rFonts w:ascii="Times New Roman" w:eastAsia="Times New Roman" w:hAnsi="Times New Roman" w:cs="Times New Roman"/>
          <w:bCs/>
          <w:color w:val="000000" w:themeColor="text1"/>
          <w:sz w:val="26"/>
          <w:szCs w:val="26"/>
          <w:lang w:eastAsia="hu-HU"/>
        </w:rPr>
        <w:t>eredményszemléletű kamatkiadás jövőre érdemben mérséklődni fog.</w:t>
      </w:r>
    </w:p>
    <w:p w14:paraId="3EE03E3E" w14:textId="25A1C015" w:rsidR="00B56CB1" w:rsidRPr="00B56CB1" w:rsidRDefault="00B56CB1" w:rsidP="00B56CB1">
      <w:pPr>
        <w:widowControl w:val="0"/>
        <w:spacing w:after="240" w:line="240" w:lineRule="auto"/>
        <w:jc w:val="both"/>
        <w:rPr>
          <w:rFonts w:ascii="Times New Roman" w:eastAsia="Times New Roman" w:hAnsi="Times New Roman" w:cs="Times New Roman"/>
          <w:bCs/>
          <w:color w:val="000000" w:themeColor="text1"/>
          <w:sz w:val="26"/>
          <w:szCs w:val="26"/>
          <w:lang w:eastAsia="hu-HU"/>
        </w:rPr>
      </w:pPr>
      <w:r w:rsidRPr="00B56CB1">
        <w:rPr>
          <w:rFonts w:ascii="Times New Roman" w:eastAsia="Times New Roman" w:hAnsi="Times New Roman" w:cs="Times New Roman"/>
          <w:bCs/>
          <w:color w:val="000000" w:themeColor="text1"/>
          <w:sz w:val="26"/>
          <w:szCs w:val="26"/>
          <w:lang w:eastAsia="hu-HU"/>
        </w:rPr>
        <w:t>Továbbra is meghaladják az egy évvel korábbi kifizetést a nyugellátásokra és a gyógyító-megelőző ellátásra fordított összegek is. Nyugellátásokra 5</w:t>
      </w:r>
      <w:r>
        <w:rPr>
          <w:rFonts w:ascii="Times New Roman" w:eastAsia="Times New Roman" w:hAnsi="Times New Roman" w:cs="Times New Roman"/>
          <w:bCs/>
          <w:color w:val="000000" w:themeColor="text1"/>
          <w:sz w:val="26"/>
          <w:szCs w:val="26"/>
          <w:lang w:eastAsia="hu-HU"/>
        </w:rPr>
        <w:t> 727,7 milliárd forintot, míg a gyógyító-megelőző ellátásra 2 </w:t>
      </w:r>
      <w:r w:rsidRPr="00B56CB1">
        <w:rPr>
          <w:rFonts w:ascii="Times New Roman" w:eastAsia="Times New Roman" w:hAnsi="Times New Roman" w:cs="Times New Roman"/>
          <w:bCs/>
          <w:color w:val="000000" w:themeColor="text1"/>
          <w:sz w:val="26"/>
          <w:szCs w:val="26"/>
          <w:lang w:eastAsia="hu-HU"/>
        </w:rPr>
        <w:t xml:space="preserve">434,3 milliárd forintot fordított a kormány november végéig. </w:t>
      </w:r>
    </w:p>
    <w:p w14:paraId="561D96B1" w14:textId="6652261D" w:rsidR="00FC2081" w:rsidRPr="00B56CB1" w:rsidRDefault="00B56CB1" w:rsidP="00B56CB1">
      <w:pPr>
        <w:widowControl w:val="0"/>
        <w:spacing w:after="240" w:line="240" w:lineRule="auto"/>
        <w:jc w:val="both"/>
        <w:rPr>
          <w:rFonts w:ascii="Times New Roman" w:eastAsia="Times New Roman" w:hAnsi="Times New Roman" w:cs="Times New Roman"/>
          <w:color w:val="000000" w:themeColor="text1"/>
          <w:sz w:val="26"/>
          <w:szCs w:val="26"/>
          <w:lang w:eastAsia="hu-HU"/>
        </w:rPr>
      </w:pPr>
      <w:r w:rsidRPr="00B56CB1">
        <w:rPr>
          <w:rFonts w:ascii="Times New Roman" w:eastAsia="Times New Roman" w:hAnsi="Times New Roman" w:cs="Times New Roman"/>
          <w:bCs/>
          <w:color w:val="000000" w:themeColor="text1"/>
          <w:sz w:val="26"/>
          <w:szCs w:val="26"/>
          <w:lang w:eastAsia="hu-HU"/>
        </w:rPr>
        <w:t>A kormány elkötelezett a hiány mértékének további csökkentésében: az idei évre tervezett 4,5% után jövőre 3,7%-kal, 2026-ban pedig 3% alatti deficittel számol.</w:t>
      </w:r>
    </w:p>
    <w:p w14:paraId="7B768A0B" w14:textId="6DA4010B" w:rsidR="00B155FE" w:rsidRPr="00377D59" w:rsidRDefault="00920F4D" w:rsidP="22B2E273">
      <w:pPr>
        <w:widowControl w:val="0"/>
        <w:spacing w:after="240" w:line="240" w:lineRule="auto"/>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br w:type="column"/>
      </w:r>
      <w:r w:rsidR="639E9B9B" w:rsidRPr="639E9B9B">
        <w:rPr>
          <w:rFonts w:ascii="Times New Roman" w:eastAsia="Times New Roman" w:hAnsi="Times New Roman" w:cs="Times New Roman"/>
          <w:sz w:val="26"/>
          <w:szCs w:val="26"/>
          <w:lang w:eastAsia="hu-HU"/>
        </w:rPr>
        <w:lastRenderedPageBreak/>
        <w:t xml:space="preserve">Az államháztartás központi alrendszerének 2024. </w:t>
      </w:r>
      <w:r w:rsidR="00B56CB1">
        <w:rPr>
          <w:rFonts w:ascii="Times New Roman" w:eastAsia="Times New Roman" w:hAnsi="Times New Roman" w:cs="Times New Roman"/>
          <w:sz w:val="26"/>
          <w:szCs w:val="26"/>
          <w:lang w:eastAsia="hu-HU"/>
        </w:rPr>
        <w:t>november</w:t>
      </w:r>
      <w:r w:rsidR="639E9B9B" w:rsidRPr="639E9B9B">
        <w:rPr>
          <w:rFonts w:ascii="Times New Roman" w:eastAsia="Times New Roman" w:hAnsi="Times New Roman" w:cs="Times New Roman"/>
          <w:sz w:val="26"/>
          <w:szCs w:val="26"/>
          <w:lang w:eastAsia="hu-HU"/>
        </w:rPr>
        <w:t xml:space="preserve"> végi főbb pénzforgalmi adatai a következők: </w:t>
      </w:r>
    </w:p>
    <w:tbl>
      <w:tblPr>
        <w:tblW w:w="10201" w:type="dxa"/>
        <w:jc w:val="center"/>
        <w:tblLayout w:type="fixed"/>
        <w:tblCellMar>
          <w:left w:w="70" w:type="dxa"/>
          <w:right w:w="70" w:type="dxa"/>
        </w:tblCellMar>
        <w:tblLook w:val="04A0" w:firstRow="1" w:lastRow="0" w:firstColumn="1" w:lastColumn="0" w:noHBand="0" w:noVBand="1"/>
      </w:tblPr>
      <w:tblGrid>
        <w:gridCol w:w="2047"/>
        <w:gridCol w:w="1067"/>
        <w:gridCol w:w="1233"/>
        <w:gridCol w:w="1118"/>
        <w:gridCol w:w="1103"/>
        <w:gridCol w:w="1224"/>
        <w:gridCol w:w="1275"/>
        <w:gridCol w:w="1134"/>
      </w:tblGrid>
      <w:tr w:rsidR="007225C9" w:rsidRPr="00377D59" w14:paraId="0660AA2A" w14:textId="77777777" w:rsidTr="24CA6B4B">
        <w:trPr>
          <w:trHeight w:val="1440"/>
          <w:jc w:val="center"/>
        </w:trPr>
        <w:tc>
          <w:tcPr>
            <w:tcW w:w="204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4025339B" w14:textId="6DBDEEE8" w:rsidR="00CB4082" w:rsidRPr="00CB4082" w:rsidRDefault="24CA6B4B" w:rsidP="24CA6B4B">
            <w:pPr>
              <w:keepNext/>
              <w:keepLines/>
              <w:spacing w:after="0" w:line="240" w:lineRule="auto"/>
              <w:rPr>
                <w:rFonts w:ascii="Times New Roman" w:eastAsia="Times New Roman" w:hAnsi="Times New Roman" w:cs="Times New Roman"/>
                <w:sz w:val="20"/>
                <w:szCs w:val="20"/>
                <w:lang w:eastAsia="hu-HU"/>
              </w:rPr>
            </w:pPr>
            <w:r w:rsidRPr="24CA6B4B">
              <w:rPr>
                <w:rFonts w:ascii="Times New Roman" w:hAnsi="Times New Roman" w:cs="Times New Roman"/>
                <w:sz w:val="20"/>
                <w:szCs w:val="20"/>
              </w:rPr>
              <w:t> </w:t>
            </w:r>
          </w:p>
        </w:tc>
        <w:tc>
          <w:tcPr>
            <w:tcW w:w="1067" w:type="dxa"/>
            <w:tcBorders>
              <w:top w:val="single" w:sz="4" w:space="0" w:color="auto"/>
              <w:left w:val="nil"/>
              <w:bottom w:val="single" w:sz="4" w:space="0" w:color="auto"/>
              <w:right w:val="single" w:sz="4" w:space="0" w:color="auto"/>
            </w:tcBorders>
            <w:shd w:val="clear" w:color="auto" w:fill="BDD6EE" w:themeFill="accent1" w:themeFillTint="66"/>
            <w:hideMark/>
          </w:tcPr>
          <w:p w14:paraId="05BB2C24" w14:textId="77777777" w:rsidR="00CB4082" w:rsidRPr="00CB4082" w:rsidRDefault="22B2E273" w:rsidP="22B2E273">
            <w:pPr>
              <w:keepNext/>
              <w:keepLines/>
              <w:jc w:val="center"/>
              <w:rPr>
                <w:rFonts w:ascii="Times New Roman" w:hAnsi="Times New Roman" w:cs="Times New Roman"/>
                <w:sz w:val="20"/>
                <w:szCs w:val="20"/>
              </w:rPr>
            </w:pPr>
            <w:r w:rsidRPr="22B2E273">
              <w:rPr>
                <w:rFonts w:ascii="Times New Roman" w:hAnsi="Times New Roman" w:cs="Times New Roman"/>
                <w:b/>
                <w:bCs/>
                <w:sz w:val="20"/>
                <w:szCs w:val="20"/>
              </w:rPr>
              <w:t xml:space="preserve">2023. évi </w:t>
            </w:r>
            <w:r w:rsidR="7929D98B">
              <w:br/>
            </w:r>
            <w:r w:rsidRPr="22B2E273">
              <w:rPr>
                <w:rFonts w:ascii="Times New Roman" w:hAnsi="Times New Roman" w:cs="Times New Roman"/>
                <w:b/>
                <w:bCs/>
                <w:sz w:val="20"/>
                <w:szCs w:val="20"/>
              </w:rPr>
              <w:t>tény</w:t>
            </w:r>
            <w:r w:rsidR="7929D98B">
              <w:br/>
            </w:r>
            <w:r w:rsidRPr="22B2E273">
              <w:rPr>
                <w:rFonts w:ascii="Times New Roman" w:hAnsi="Times New Roman" w:cs="Times New Roman"/>
                <w:sz w:val="20"/>
                <w:szCs w:val="20"/>
              </w:rPr>
              <w:t>milliárd forintban</w:t>
            </w:r>
          </w:p>
          <w:p w14:paraId="30025502" w14:textId="60E508D0" w:rsidR="00CB4082" w:rsidRPr="00CB4082" w:rsidRDefault="22B2E273" w:rsidP="22B2E273">
            <w:pPr>
              <w:keepNext/>
              <w:keepLines/>
              <w:spacing w:after="120" w:line="240" w:lineRule="auto"/>
              <w:jc w:val="center"/>
              <w:rPr>
                <w:rFonts w:ascii="Times New Roman" w:eastAsia="Times New Roman" w:hAnsi="Times New Roman" w:cs="Times New Roman"/>
                <w:sz w:val="20"/>
                <w:szCs w:val="20"/>
                <w:lang w:eastAsia="hu-HU"/>
              </w:rPr>
            </w:pPr>
            <w:r w:rsidRPr="22B2E273">
              <w:rPr>
                <w:rFonts w:ascii="Times New Roman" w:hAnsi="Times New Roman" w:cs="Times New Roman"/>
                <w:sz w:val="20"/>
                <w:szCs w:val="20"/>
              </w:rPr>
              <w:t>(1)</w:t>
            </w:r>
          </w:p>
        </w:tc>
        <w:tc>
          <w:tcPr>
            <w:tcW w:w="1233" w:type="dxa"/>
            <w:tcBorders>
              <w:top w:val="single" w:sz="4" w:space="0" w:color="auto"/>
              <w:left w:val="nil"/>
              <w:bottom w:val="single" w:sz="4" w:space="0" w:color="auto"/>
              <w:right w:val="single" w:sz="4" w:space="0" w:color="auto"/>
            </w:tcBorders>
            <w:shd w:val="clear" w:color="auto" w:fill="BDD6EE" w:themeFill="accent1" w:themeFillTint="66"/>
            <w:hideMark/>
          </w:tcPr>
          <w:p w14:paraId="7A7A386E" w14:textId="47C903B9" w:rsidR="00CB4082" w:rsidRPr="00CB4082" w:rsidRDefault="22B2E273" w:rsidP="22B2E273">
            <w:pPr>
              <w:keepNext/>
              <w:keepLines/>
              <w:jc w:val="center"/>
              <w:rPr>
                <w:rFonts w:ascii="Times New Roman" w:hAnsi="Times New Roman" w:cs="Times New Roman"/>
                <w:sz w:val="20"/>
                <w:szCs w:val="20"/>
              </w:rPr>
            </w:pPr>
            <w:r w:rsidRPr="22B2E273">
              <w:rPr>
                <w:rFonts w:ascii="Times New Roman" w:hAnsi="Times New Roman" w:cs="Times New Roman"/>
                <w:b/>
                <w:bCs/>
                <w:sz w:val="20"/>
                <w:szCs w:val="20"/>
              </w:rPr>
              <w:t>2023. I-X</w:t>
            </w:r>
            <w:r w:rsidR="00B56CB1">
              <w:rPr>
                <w:rFonts w:ascii="Times New Roman" w:hAnsi="Times New Roman" w:cs="Times New Roman"/>
                <w:b/>
                <w:bCs/>
                <w:sz w:val="20"/>
                <w:szCs w:val="20"/>
              </w:rPr>
              <w:t>I</w:t>
            </w:r>
            <w:r w:rsidRPr="22B2E273">
              <w:rPr>
                <w:rFonts w:ascii="Times New Roman" w:hAnsi="Times New Roman" w:cs="Times New Roman"/>
                <w:b/>
                <w:bCs/>
                <w:sz w:val="20"/>
                <w:szCs w:val="20"/>
              </w:rPr>
              <w:t>. hó tény</w:t>
            </w:r>
            <w:r w:rsidR="7929D98B">
              <w:br/>
            </w:r>
            <w:r w:rsidRPr="22B2E273">
              <w:rPr>
                <w:rFonts w:ascii="Times New Roman" w:hAnsi="Times New Roman" w:cs="Times New Roman"/>
                <w:sz w:val="20"/>
                <w:szCs w:val="20"/>
              </w:rPr>
              <w:t>milliárd forintban</w:t>
            </w:r>
          </w:p>
          <w:p w14:paraId="5119075E" w14:textId="3916688C" w:rsidR="00CB4082" w:rsidRPr="00CB4082" w:rsidRDefault="22B2E273" w:rsidP="22B2E273">
            <w:pPr>
              <w:keepNext/>
              <w:keepLines/>
              <w:spacing w:after="0" w:line="240" w:lineRule="auto"/>
              <w:jc w:val="center"/>
              <w:rPr>
                <w:rFonts w:ascii="Times New Roman" w:eastAsia="Times New Roman" w:hAnsi="Times New Roman" w:cs="Times New Roman"/>
                <w:sz w:val="20"/>
                <w:szCs w:val="20"/>
                <w:lang w:eastAsia="hu-HU"/>
              </w:rPr>
            </w:pPr>
            <w:r w:rsidRPr="22B2E273">
              <w:rPr>
                <w:rFonts w:ascii="Times New Roman" w:hAnsi="Times New Roman" w:cs="Times New Roman"/>
                <w:sz w:val="20"/>
                <w:szCs w:val="20"/>
              </w:rPr>
              <w:t>(2)</w:t>
            </w:r>
          </w:p>
        </w:tc>
        <w:tc>
          <w:tcPr>
            <w:tcW w:w="1118" w:type="dxa"/>
            <w:tcBorders>
              <w:top w:val="single" w:sz="4" w:space="0" w:color="auto"/>
              <w:left w:val="nil"/>
              <w:bottom w:val="single" w:sz="4" w:space="0" w:color="auto"/>
              <w:right w:val="single" w:sz="4" w:space="0" w:color="auto"/>
            </w:tcBorders>
            <w:shd w:val="clear" w:color="auto" w:fill="BDD6EE" w:themeFill="accent1" w:themeFillTint="66"/>
            <w:hideMark/>
          </w:tcPr>
          <w:p w14:paraId="00A1D400" w14:textId="46D9EE2B" w:rsidR="00E46055" w:rsidRDefault="22B2E273" w:rsidP="22B2E273">
            <w:pPr>
              <w:keepNext/>
              <w:keepLines/>
              <w:jc w:val="center"/>
              <w:rPr>
                <w:rFonts w:ascii="Times New Roman" w:hAnsi="Times New Roman" w:cs="Times New Roman"/>
                <w:sz w:val="20"/>
                <w:szCs w:val="20"/>
              </w:rPr>
            </w:pPr>
            <w:r w:rsidRPr="22B2E273">
              <w:rPr>
                <w:rFonts w:ascii="Times New Roman" w:hAnsi="Times New Roman" w:cs="Times New Roman"/>
                <w:sz w:val="20"/>
                <w:szCs w:val="20"/>
              </w:rPr>
              <w:t>éves tény=100%</w:t>
            </w:r>
            <w:r w:rsidR="7929D98B">
              <w:br/>
            </w:r>
            <w:r w:rsidRPr="22B2E273">
              <w:rPr>
                <w:rFonts w:ascii="Times New Roman" w:hAnsi="Times New Roman" w:cs="Times New Roman"/>
                <w:sz w:val="20"/>
                <w:szCs w:val="20"/>
              </w:rPr>
              <w:t>Index (%)</w:t>
            </w:r>
          </w:p>
          <w:p w14:paraId="652BC803" w14:textId="77777777" w:rsidR="00A5085A" w:rsidRDefault="00A5085A" w:rsidP="00A5085A">
            <w:pPr>
              <w:keepNext/>
              <w:keepLines/>
              <w:spacing w:after="0"/>
              <w:jc w:val="center"/>
              <w:rPr>
                <w:rFonts w:ascii="Times New Roman" w:hAnsi="Times New Roman" w:cs="Times New Roman"/>
                <w:sz w:val="20"/>
                <w:szCs w:val="20"/>
              </w:rPr>
            </w:pPr>
          </w:p>
          <w:p w14:paraId="77947B74" w14:textId="732CD428" w:rsidR="00CB4082" w:rsidRPr="00E46055" w:rsidRDefault="22B2E273" w:rsidP="22B2E273">
            <w:pPr>
              <w:keepNext/>
              <w:keepLines/>
              <w:jc w:val="center"/>
              <w:rPr>
                <w:rFonts w:ascii="Times New Roman" w:hAnsi="Times New Roman" w:cs="Times New Roman"/>
                <w:sz w:val="20"/>
                <w:szCs w:val="20"/>
              </w:rPr>
            </w:pPr>
            <w:r w:rsidRPr="22B2E273">
              <w:rPr>
                <w:rFonts w:ascii="Times New Roman" w:hAnsi="Times New Roman" w:cs="Times New Roman"/>
                <w:sz w:val="20"/>
                <w:szCs w:val="20"/>
              </w:rPr>
              <w:t>(2/1)</w:t>
            </w:r>
          </w:p>
        </w:tc>
        <w:tc>
          <w:tcPr>
            <w:tcW w:w="1103" w:type="dxa"/>
            <w:tcBorders>
              <w:top w:val="single" w:sz="4" w:space="0" w:color="auto"/>
              <w:left w:val="nil"/>
              <w:bottom w:val="single" w:sz="4" w:space="0" w:color="auto"/>
              <w:right w:val="single" w:sz="4" w:space="0" w:color="auto"/>
            </w:tcBorders>
            <w:shd w:val="clear" w:color="auto" w:fill="BDD6EE" w:themeFill="accent1" w:themeFillTint="66"/>
            <w:hideMark/>
          </w:tcPr>
          <w:p w14:paraId="6EECF805" w14:textId="77777777" w:rsidR="00CB4082" w:rsidRPr="00CB4082" w:rsidRDefault="22B2E273" w:rsidP="22B2E273">
            <w:pPr>
              <w:keepNext/>
              <w:keepLines/>
              <w:jc w:val="center"/>
              <w:rPr>
                <w:rFonts w:ascii="Times New Roman" w:hAnsi="Times New Roman" w:cs="Times New Roman"/>
                <w:sz w:val="20"/>
                <w:szCs w:val="20"/>
              </w:rPr>
            </w:pPr>
            <w:r w:rsidRPr="22B2E273">
              <w:rPr>
                <w:rFonts w:ascii="Times New Roman" w:hAnsi="Times New Roman" w:cs="Times New Roman"/>
                <w:b/>
                <w:bCs/>
                <w:sz w:val="20"/>
                <w:szCs w:val="20"/>
              </w:rPr>
              <w:t>2024. évi előirányzat</w:t>
            </w:r>
            <w:r w:rsidR="7929D98B">
              <w:br/>
            </w:r>
            <w:r w:rsidRPr="22B2E273">
              <w:rPr>
                <w:rFonts w:ascii="Times New Roman" w:hAnsi="Times New Roman" w:cs="Times New Roman"/>
                <w:sz w:val="20"/>
                <w:szCs w:val="20"/>
              </w:rPr>
              <w:t>milliárd forintban</w:t>
            </w:r>
          </w:p>
          <w:p w14:paraId="3EE81095" w14:textId="29F67184" w:rsidR="00CB4082" w:rsidRPr="00CB4082" w:rsidRDefault="22B2E273" w:rsidP="22B2E273">
            <w:pPr>
              <w:keepNext/>
              <w:keepLines/>
              <w:spacing w:after="0" w:line="240" w:lineRule="auto"/>
              <w:jc w:val="center"/>
              <w:rPr>
                <w:rFonts w:ascii="Times New Roman" w:eastAsia="Times New Roman" w:hAnsi="Times New Roman" w:cs="Times New Roman"/>
                <w:sz w:val="20"/>
                <w:szCs w:val="20"/>
                <w:lang w:eastAsia="hu-HU"/>
              </w:rPr>
            </w:pPr>
            <w:r w:rsidRPr="22B2E273">
              <w:rPr>
                <w:rFonts w:ascii="Times New Roman" w:hAnsi="Times New Roman" w:cs="Times New Roman"/>
                <w:sz w:val="20"/>
                <w:szCs w:val="20"/>
              </w:rPr>
              <w:t>(3)</w:t>
            </w:r>
          </w:p>
        </w:tc>
        <w:tc>
          <w:tcPr>
            <w:tcW w:w="1224" w:type="dxa"/>
            <w:tcBorders>
              <w:top w:val="single" w:sz="4" w:space="0" w:color="auto"/>
              <w:left w:val="nil"/>
              <w:bottom w:val="single" w:sz="4" w:space="0" w:color="auto"/>
              <w:right w:val="single" w:sz="4" w:space="0" w:color="auto"/>
            </w:tcBorders>
            <w:shd w:val="clear" w:color="auto" w:fill="BDD6EE" w:themeFill="accent1" w:themeFillTint="66"/>
            <w:hideMark/>
          </w:tcPr>
          <w:p w14:paraId="689A3894" w14:textId="05A0AC73" w:rsidR="00E46055" w:rsidRDefault="22B2E273" w:rsidP="22B2E273">
            <w:pPr>
              <w:keepNext/>
              <w:keepLines/>
              <w:jc w:val="center"/>
              <w:rPr>
                <w:rFonts w:ascii="Times New Roman" w:hAnsi="Times New Roman" w:cs="Times New Roman"/>
                <w:sz w:val="20"/>
                <w:szCs w:val="20"/>
              </w:rPr>
            </w:pPr>
            <w:r w:rsidRPr="22B2E273">
              <w:rPr>
                <w:rFonts w:ascii="Times New Roman" w:hAnsi="Times New Roman" w:cs="Times New Roman"/>
                <w:b/>
                <w:bCs/>
                <w:sz w:val="20"/>
                <w:szCs w:val="20"/>
              </w:rPr>
              <w:t>2024. I-X</w:t>
            </w:r>
            <w:r w:rsidR="00B56CB1">
              <w:rPr>
                <w:rFonts w:ascii="Times New Roman" w:hAnsi="Times New Roman" w:cs="Times New Roman"/>
                <w:b/>
                <w:bCs/>
                <w:sz w:val="20"/>
                <w:szCs w:val="20"/>
              </w:rPr>
              <w:t>I</w:t>
            </w:r>
            <w:r w:rsidRPr="22B2E273">
              <w:rPr>
                <w:rFonts w:ascii="Times New Roman" w:hAnsi="Times New Roman" w:cs="Times New Roman"/>
                <w:b/>
                <w:bCs/>
                <w:sz w:val="20"/>
                <w:szCs w:val="20"/>
              </w:rPr>
              <w:t xml:space="preserve">. </w:t>
            </w:r>
            <w:r w:rsidR="7929D98B">
              <w:br/>
            </w:r>
            <w:r w:rsidRPr="22B2E273">
              <w:rPr>
                <w:rFonts w:ascii="Times New Roman" w:hAnsi="Times New Roman" w:cs="Times New Roman"/>
                <w:b/>
                <w:bCs/>
                <w:sz w:val="20"/>
                <w:szCs w:val="20"/>
              </w:rPr>
              <w:t>hó tény</w:t>
            </w:r>
            <w:r w:rsidR="7929D98B">
              <w:br/>
            </w:r>
            <w:r w:rsidRPr="22B2E273">
              <w:rPr>
                <w:rFonts w:ascii="Times New Roman" w:hAnsi="Times New Roman" w:cs="Times New Roman"/>
                <w:sz w:val="20"/>
                <w:szCs w:val="20"/>
              </w:rPr>
              <w:t>milliárd forintban</w:t>
            </w:r>
          </w:p>
          <w:p w14:paraId="72F7B7E0" w14:textId="73D60F9C" w:rsidR="00CB4082" w:rsidRPr="00CB4082" w:rsidRDefault="22B2E273" w:rsidP="22B2E273">
            <w:pPr>
              <w:keepNext/>
              <w:keepLines/>
              <w:jc w:val="center"/>
              <w:rPr>
                <w:rFonts w:ascii="Times New Roman" w:eastAsia="Times New Roman" w:hAnsi="Times New Roman" w:cs="Times New Roman"/>
                <w:sz w:val="20"/>
                <w:szCs w:val="20"/>
                <w:lang w:eastAsia="hu-HU"/>
              </w:rPr>
            </w:pPr>
            <w:r w:rsidRPr="22B2E273">
              <w:rPr>
                <w:rFonts w:ascii="Times New Roman" w:hAnsi="Times New Roman" w:cs="Times New Roman"/>
                <w:sz w:val="20"/>
                <w:szCs w:val="20"/>
              </w:rPr>
              <w:t>(4)</w:t>
            </w:r>
          </w:p>
        </w:tc>
        <w:tc>
          <w:tcPr>
            <w:tcW w:w="1275" w:type="dxa"/>
            <w:tcBorders>
              <w:top w:val="single" w:sz="4" w:space="0" w:color="auto"/>
              <w:left w:val="nil"/>
              <w:bottom w:val="single" w:sz="4" w:space="0" w:color="auto"/>
              <w:right w:val="single" w:sz="4" w:space="0" w:color="auto"/>
            </w:tcBorders>
            <w:shd w:val="clear" w:color="auto" w:fill="BDD6EE" w:themeFill="accent1" w:themeFillTint="66"/>
            <w:hideMark/>
          </w:tcPr>
          <w:p w14:paraId="5E910D6E" w14:textId="77777777" w:rsidR="00CB4082" w:rsidRPr="00CB4082" w:rsidRDefault="22B2E273" w:rsidP="22B2E273">
            <w:pPr>
              <w:keepNext/>
              <w:keepLines/>
              <w:jc w:val="center"/>
              <w:rPr>
                <w:rFonts w:ascii="Times New Roman" w:hAnsi="Times New Roman" w:cs="Times New Roman"/>
                <w:sz w:val="20"/>
                <w:szCs w:val="20"/>
              </w:rPr>
            </w:pPr>
            <w:r w:rsidRPr="22B2E273">
              <w:rPr>
                <w:rFonts w:ascii="Times New Roman" w:hAnsi="Times New Roman" w:cs="Times New Roman"/>
                <w:sz w:val="20"/>
                <w:szCs w:val="20"/>
              </w:rPr>
              <w:t>előirányzat=</w:t>
            </w:r>
            <w:r w:rsidR="7929D98B">
              <w:br/>
            </w:r>
            <w:r w:rsidRPr="22B2E273">
              <w:rPr>
                <w:rFonts w:ascii="Times New Roman" w:hAnsi="Times New Roman" w:cs="Times New Roman"/>
                <w:sz w:val="20"/>
                <w:szCs w:val="20"/>
              </w:rPr>
              <w:t>100%</w:t>
            </w:r>
            <w:r w:rsidR="7929D98B">
              <w:br/>
            </w:r>
            <w:r w:rsidRPr="22B2E273">
              <w:rPr>
                <w:rFonts w:ascii="Times New Roman" w:hAnsi="Times New Roman" w:cs="Times New Roman"/>
                <w:sz w:val="20"/>
                <w:szCs w:val="20"/>
              </w:rPr>
              <w:t>Index (%)</w:t>
            </w:r>
            <w:r w:rsidR="7929D98B">
              <w:br/>
            </w:r>
          </w:p>
          <w:p w14:paraId="5173E54B" w14:textId="7BC3594B" w:rsidR="00CB4082" w:rsidRPr="00CB4082" w:rsidRDefault="22B2E273" w:rsidP="22B2E273">
            <w:pPr>
              <w:keepNext/>
              <w:keepLines/>
              <w:spacing w:after="0" w:line="240" w:lineRule="auto"/>
              <w:jc w:val="center"/>
              <w:rPr>
                <w:rFonts w:ascii="Times New Roman" w:eastAsia="Times New Roman" w:hAnsi="Times New Roman" w:cs="Times New Roman"/>
                <w:sz w:val="20"/>
                <w:szCs w:val="20"/>
                <w:lang w:eastAsia="hu-HU"/>
              </w:rPr>
            </w:pPr>
            <w:r w:rsidRPr="22B2E273">
              <w:rPr>
                <w:rFonts w:ascii="Times New Roman" w:hAnsi="Times New Roman" w:cs="Times New Roman"/>
                <w:sz w:val="20"/>
                <w:szCs w:val="20"/>
              </w:rPr>
              <w:t>(4/3)</w:t>
            </w:r>
          </w:p>
        </w:tc>
        <w:tc>
          <w:tcPr>
            <w:tcW w:w="1134" w:type="dxa"/>
            <w:tcBorders>
              <w:top w:val="single" w:sz="4" w:space="0" w:color="auto"/>
              <w:left w:val="nil"/>
              <w:bottom w:val="single" w:sz="4" w:space="0" w:color="auto"/>
              <w:right w:val="single" w:sz="4" w:space="0" w:color="auto"/>
            </w:tcBorders>
            <w:shd w:val="clear" w:color="auto" w:fill="BDD6EE" w:themeFill="accent1" w:themeFillTint="66"/>
            <w:hideMark/>
          </w:tcPr>
          <w:p w14:paraId="578EBD6B" w14:textId="77777777" w:rsidR="00CB4082" w:rsidRPr="00CB4082" w:rsidRDefault="22B2E273" w:rsidP="22B2E273">
            <w:pPr>
              <w:keepNext/>
              <w:keepLines/>
              <w:jc w:val="center"/>
              <w:rPr>
                <w:rFonts w:ascii="Times New Roman" w:hAnsi="Times New Roman" w:cs="Times New Roman"/>
                <w:sz w:val="20"/>
                <w:szCs w:val="20"/>
              </w:rPr>
            </w:pPr>
            <w:r w:rsidRPr="22B2E273">
              <w:rPr>
                <w:rFonts w:ascii="Times New Roman" w:hAnsi="Times New Roman" w:cs="Times New Roman"/>
                <w:sz w:val="20"/>
                <w:szCs w:val="20"/>
              </w:rPr>
              <w:t>előző év=</w:t>
            </w:r>
            <w:r w:rsidR="7929D98B">
              <w:br/>
            </w:r>
            <w:r w:rsidRPr="22B2E273">
              <w:rPr>
                <w:rFonts w:ascii="Times New Roman" w:hAnsi="Times New Roman" w:cs="Times New Roman"/>
                <w:sz w:val="20"/>
                <w:szCs w:val="20"/>
              </w:rPr>
              <w:t>100%</w:t>
            </w:r>
            <w:r w:rsidR="7929D98B">
              <w:br/>
            </w:r>
            <w:r w:rsidRPr="22B2E273">
              <w:rPr>
                <w:rFonts w:ascii="Times New Roman" w:hAnsi="Times New Roman" w:cs="Times New Roman"/>
                <w:sz w:val="20"/>
                <w:szCs w:val="20"/>
              </w:rPr>
              <w:t>Index (%)</w:t>
            </w:r>
            <w:r w:rsidR="7929D98B">
              <w:br/>
            </w:r>
          </w:p>
          <w:p w14:paraId="72D59276" w14:textId="133FE863" w:rsidR="00CB4082" w:rsidRPr="00CB4082" w:rsidRDefault="22B2E273" w:rsidP="22B2E273">
            <w:pPr>
              <w:keepNext/>
              <w:keepLines/>
              <w:spacing w:after="0" w:line="240" w:lineRule="auto"/>
              <w:jc w:val="center"/>
              <w:rPr>
                <w:rFonts w:ascii="Times New Roman" w:eastAsia="Times New Roman" w:hAnsi="Times New Roman" w:cs="Times New Roman"/>
                <w:sz w:val="20"/>
                <w:szCs w:val="20"/>
                <w:lang w:eastAsia="hu-HU"/>
              </w:rPr>
            </w:pPr>
            <w:r w:rsidRPr="22B2E273">
              <w:rPr>
                <w:rFonts w:ascii="Times New Roman" w:hAnsi="Times New Roman" w:cs="Times New Roman"/>
                <w:sz w:val="20"/>
                <w:szCs w:val="20"/>
              </w:rPr>
              <w:t>(4/2)</w:t>
            </w:r>
          </w:p>
        </w:tc>
      </w:tr>
      <w:tr w:rsidR="00B56CB1" w:rsidRPr="00377D59" w14:paraId="650BB2C3" w14:textId="77777777" w:rsidTr="24CA6B4B">
        <w:trPr>
          <w:trHeight w:val="68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56CB2F2" w14:textId="71818456" w:rsidR="00B56CB1" w:rsidRPr="00CB4082" w:rsidRDefault="00B56CB1" w:rsidP="00B56CB1">
            <w:pPr>
              <w:keepNext/>
              <w:keepLines/>
              <w:spacing w:after="0" w:line="240" w:lineRule="auto"/>
              <w:rPr>
                <w:rFonts w:ascii="Times New Roman" w:eastAsia="Times New Roman" w:hAnsi="Times New Roman" w:cs="Times New Roman"/>
                <w:b/>
                <w:bCs/>
                <w:sz w:val="20"/>
                <w:szCs w:val="20"/>
                <w:lang w:eastAsia="hu-HU"/>
              </w:rPr>
            </w:pPr>
            <w:r w:rsidRPr="22B2E273">
              <w:rPr>
                <w:rFonts w:ascii="Times New Roman" w:hAnsi="Times New Roman" w:cs="Times New Roman"/>
                <w:b/>
                <w:bCs/>
                <w:sz w:val="20"/>
                <w:szCs w:val="20"/>
              </w:rPr>
              <w:t>Központi költségvetés egyenlege</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9D5C3" w14:textId="73135697" w:rsidR="00B56CB1" w:rsidRPr="00CB4082" w:rsidRDefault="00B56CB1" w:rsidP="00B56CB1">
            <w:pPr>
              <w:spacing w:after="0" w:line="240" w:lineRule="auto"/>
              <w:jc w:val="right"/>
              <w:rPr>
                <w:rFonts w:ascii="Times New Roman" w:eastAsia="Times New Roman" w:hAnsi="Times New Roman" w:cs="Times New Roman"/>
                <w:b/>
                <w:bCs/>
                <w:sz w:val="20"/>
                <w:szCs w:val="20"/>
                <w:lang w:eastAsia="hu-HU"/>
              </w:rPr>
            </w:pPr>
            <w:r w:rsidRPr="00077224">
              <w:rPr>
                <w:rFonts w:ascii="Garamond" w:hAnsi="Garamond"/>
                <w:b/>
                <w:bCs/>
                <w:sz w:val="20"/>
                <w:szCs w:val="20"/>
              </w:rPr>
              <w:t>-4 132,1</w:t>
            </w:r>
          </w:p>
        </w:tc>
        <w:tc>
          <w:tcPr>
            <w:tcW w:w="1233" w:type="dxa"/>
            <w:tcBorders>
              <w:top w:val="single" w:sz="4" w:space="0" w:color="auto"/>
              <w:left w:val="nil"/>
              <w:bottom w:val="single" w:sz="4" w:space="0" w:color="auto"/>
              <w:right w:val="single" w:sz="4" w:space="0" w:color="auto"/>
            </w:tcBorders>
            <w:shd w:val="clear" w:color="auto" w:fill="auto"/>
            <w:noWrap/>
            <w:vAlign w:val="center"/>
          </w:tcPr>
          <w:p w14:paraId="582A909A" w14:textId="07A7E169" w:rsidR="00B56CB1" w:rsidRPr="00CB4082" w:rsidRDefault="00B56CB1" w:rsidP="00B56CB1">
            <w:pPr>
              <w:spacing w:after="0" w:line="240" w:lineRule="auto"/>
              <w:jc w:val="right"/>
              <w:rPr>
                <w:rFonts w:ascii="Times New Roman" w:eastAsia="Times New Roman" w:hAnsi="Times New Roman" w:cs="Times New Roman"/>
                <w:b/>
                <w:bCs/>
                <w:sz w:val="20"/>
                <w:szCs w:val="20"/>
                <w:lang w:eastAsia="hu-HU"/>
              </w:rPr>
            </w:pPr>
            <w:r w:rsidRPr="00077224">
              <w:rPr>
                <w:rFonts w:ascii="Garamond" w:hAnsi="Garamond"/>
                <w:b/>
                <w:bCs/>
                <w:sz w:val="20"/>
                <w:szCs w:val="20"/>
              </w:rPr>
              <w:t>-3 824,9</w:t>
            </w:r>
          </w:p>
        </w:tc>
        <w:tc>
          <w:tcPr>
            <w:tcW w:w="1118" w:type="dxa"/>
            <w:tcBorders>
              <w:top w:val="single" w:sz="4" w:space="0" w:color="auto"/>
              <w:left w:val="nil"/>
              <w:bottom w:val="single" w:sz="4" w:space="0" w:color="auto"/>
              <w:right w:val="single" w:sz="4" w:space="0" w:color="auto"/>
            </w:tcBorders>
            <w:shd w:val="clear" w:color="auto" w:fill="auto"/>
            <w:noWrap/>
            <w:vAlign w:val="center"/>
          </w:tcPr>
          <w:p w14:paraId="73FA3A09" w14:textId="7EF6CBE8"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92,6</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61916028" w14:textId="696CF248" w:rsidR="00B56CB1" w:rsidRPr="00CB4082" w:rsidRDefault="00B56CB1" w:rsidP="00B56CB1">
            <w:pPr>
              <w:spacing w:after="0" w:line="240" w:lineRule="auto"/>
              <w:jc w:val="right"/>
              <w:rPr>
                <w:rFonts w:ascii="Times New Roman" w:eastAsia="Times New Roman" w:hAnsi="Times New Roman" w:cs="Times New Roman"/>
                <w:b/>
                <w:bCs/>
                <w:sz w:val="20"/>
                <w:szCs w:val="20"/>
                <w:lang w:eastAsia="hu-HU"/>
              </w:rPr>
            </w:pPr>
            <w:r w:rsidRPr="00077224">
              <w:rPr>
                <w:rFonts w:ascii="Garamond" w:hAnsi="Garamond"/>
                <w:b/>
                <w:bCs/>
                <w:sz w:val="20"/>
                <w:szCs w:val="20"/>
              </w:rPr>
              <w:t>-2 699,7</w:t>
            </w:r>
          </w:p>
        </w:tc>
        <w:tc>
          <w:tcPr>
            <w:tcW w:w="1224" w:type="dxa"/>
            <w:tcBorders>
              <w:top w:val="single" w:sz="4" w:space="0" w:color="auto"/>
              <w:left w:val="nil"/>
              <w:bottom w:val="single" w:sz="4" w:space="0" w:color="auto"/>
              <w:right w:val="single" w:sz="4" w:space="0" w:color="auto"/>
            </w:tcBorders>
            <w:shd w:val="clear" w:color="auto" w:fill="auto"/>
            <w:noWrap/>
            <w:vAlign w:val="center"/>
          </w:tcPr>
          <w:p w14:paraId="2122C629" w14:textId="3893DCC8" w:rsidR="00B56CB1" w:rsidRPr="00CB4082" w:rsidRDefault="00B56CB1" w:rsidP="00B56CB1">
            <w:pPr>
              <w:spacing w:after="0" w:line="240" w:lineRule="auto"/>
              <w:jc w:val="right"/>
              <w:rPr>
                <w:rFonts w:ascii="Times New Roman" w:eastAsia="Times New Roman" w:hAnsi="Times New Roman" w:cs="Times New Roman"/>
                <w:b/>
                <w:bCs/>
                <w:sz w:val="20"/>
                <w:szCs w:val="20"/>
                <w:lang w:eastAsia="hu-HU"/>
              </w:rPr>
            </w:pPr>
            <w:r w:rsidRPr="00077224">
              <w:rPr>
                <w:rFonts w:ascii="Garamond" w:hAnsi="Garamond"/>
                <w:b/>
                <w:bCs/>
                <w:sz w:val="20"/>
                <w:szCs w:val="20"/>
              </w:rPr>
              <w:t>-3 257,5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E18CE63" w14:textId="0FAE30AE"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120,7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B28E59" w14:textId="753ED3CD"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85,2</w:t>
            </w:r>
          </w:p>
        </w:tc>
      </w:tr>
      <w:tr w:rsidR="00B56CB1" w:rsidRPr="00377D59" w14:paraId="1EEE9F50" w14:textId="77777777" w:rsidTr="24CA6B4B">
        <w:trPr>
          <w:trHeight w:val="30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0CD5D928" w14:textId="6C5535F6" w:rsidR="00B56CB1" w:rsidRPr="00CB4082" w:rsidRDefault="00B56CB1" w:rsidP="00B56CB1">
            <w:pPr>
              <w:keepNext/>
              <w:keepLines/>
              <w:spacing w:after="0" w:line="240" w:lineRule="auto"/>
              <w:jc w:val="right"/>
              <w:rPr>
                <w:rFonts w:ascii="Times New Roman" w:eastAsia="Times New Roman" w:hAnsi="Times New Roman" w:cs="Times New Roman"/>
                <w:sz w:val="20"/>
                <w:szCs w:val="20"/>
                <w:lang w:eastAsia="hu-HU"/>
              </w:rPr>
            </w:pPr>
            <w:r w:rsidRPr="22B2E273">
              <w:rPr>
                <w:rFonts w:ascii="Times New Roman" w:hAnsi="Times New Roman" w:cs="Times New Roman"/>
                <w:sz w:val="20"/>
                <w:szCs w:val="20"/>
              </w:rPr>
              <w:t>bevétel:</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02F87FBE" w14:textId="53D528A2"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26 588,9</w:t>
            </w:r>
          </w:p>
        </w:tc>
        <w:tc>
          <w:tcPr>
            <w:tcW w:w="1233" w:type="dxa"/>
            <w:tcBorders>
              <w:top w:val="nil"/>
              <w:left w:val="nil"/>
              <w:bottom w:val="single" w:sz="4" w:space="0" w:color="auto"/>
              <w:right w:val="single" w:sz="4" w:space="0" w:color="auto"/>
            </w:tcBorders>
            <w:shd w:val="clear" w:color="auto" w:fill="auto"/>
            <w:noWrap/>
            <w:vAlign w:val="center"/>
          </w:tcPr>
          <w:p w14:paraId="124955F2" w14:textId="02B006D5"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22 298,</w:t>
            </w:r>
            <w:r>
              <w:rPr>
                <w:rFonts w:ascii="Garamond" w:hAnsi="Garamond"/>
                <w:sz w:val="20"/>
                <w:szCs w:val="20"/>
              </w:rPr>
              <w:t>0</w:t>
            </w:r>
          </w:p>
        </w:tc>
        <w:tc>
          <w:tcPr>
            <w:tcW w:w="1118" w:type="dxa"/>
            <w:tcBorders>
              <w:top w:val="nil"/>
              <w:left w:val="nil"/>
              <w:bottom w:val="single" w:sz="4" w:space="0" w:color="auto"/>
              <w:right w:val="single" w:sz="4" w:space="0" w:color="auto"/>
            </w:tcBorders>
            <w:shd w:val="clear" w:color="auto" w:fill="auto"/>
            <w:noWrap/>
            <w:vAlign w:val="center"/>
          </w:tcPr>
          <w:p w14:paraId="2272E80E" w14:textId="22A53451"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83,9</w:t>
            </w:r>
          </w:p>
        </w:tc>
        <w:tc>
          <w:tcPr>
            <w:tcW w:w="1103" w:type="dxa"/>
            <w:tcBorders>
              <w:top w:val="nil"/>
              <w:left w:val="nil"/>
              <w:bottom w:val="single" w:sz="4" w:space="0" w:color="auto"/>
              <w:right w:val="single" w:sz="4" w:space="0" w:color="auto"/>
            </w:tcBorders>
            <w:shd w:val="clear" w:color="auto" w:fill="auto"/>
            <w:noWrap/>
            <w:vAlign w:val="center"/>
          </w:tcPr>
          <w:p w14:paraId="2D3D21FA" w14:textId="1AA2BB20"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26</w:t>
            </w:r>
            <w:r>
              <w:rPr>
                <w:rFonts w:ascii="Garamond" w:hAnsi="Garamond"/>
                <w:sz w:val="20"/>
                <w:szCs w:val="20"/>
              </w:rPr>
              <w:t> </w:t>
            </w:r>
            <w:r w:rsidRPr="00077224">
              <w:rPr>
                <w:rFonts w:ascii="Garamond" w:hAnsi="Garamond"/>
                <w:sz w:val="20"/>
                <w:szCs w:val="20"/>
              </w:rPr>
              <w:t>949,6</w:t>
            </w:r>
          </w:p>
        </w:tc>
        <w:tc>
          <w:tcPr>
            <w:tcW w:w="1224" w:type="dxa"/>
            <w:tcBorders>
              <w:top w:val="nil"/>
              <w:left w:val="nil"/>
              <w:bottom w:val="single" w:sz="4" w:space="0" w:color="auto"/>
              <w:right w:val="single" w:sz="4" w:space="0" w:color="auto"/>
            </w:tcBorders>
            <w:shd w:val="clear" w:color="auto" w:fill="auto"/>
            <w:noWrap/>
            <w:vAlign w:val="center"/>
          </w:tcPr>
          <w:p w14:paraId="1D4D32D6" w14:textId="1FA60441"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23 200,5</w:t>
            </w:r>
          </w:p>
        </w:tc>
        <w:tc>
          <w:tcPr>
            <w:tcW w:w="1275" w:type="dxa"/>
            <w:tcBorders>
              <w:top w:val="nil"/>
              <w:left w:val="nil"/>
              <w:bottom w:val="single" w:sz="4" w:space="0" w:color="auto"/>
              <w:right w:val="single" w:sz="4" w:space="0" w:color="auto"/>
            </w:tcBorders>
            <w:shd w:val="clear" w:color="auto" w:fill="auto"/>
            <w:noWrap/>
            <w:vAlign w:val="center"/>
          </w:tcPr>
          <w:p w14:paraId="35A40C5E" w14:textId="2D8F71ED"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86,1</w:t>
            </w:r>
          </w:p>
        </w:tc>
        <w:tc>
          <w:tcPr>
            <w:tcW w:w="1134" w:type="dxa"/>
            <w:tcBorders>
              <w:top w:val="nil"/>
              <w:left w:val="nil"/>
              <w:bottom w:val="single" w:sz="4" w:space="0" w:color="auto"/>
              <w:right w:val="single" w:sz="4" w:space="0" w:color="auto"/>
            </w:tcBorders>
            <w:shd w:val="clear" w:color="auto" w:fill="auto"/>
            <w:noWrap/>
            <w:vAlign w:val="center"/>
          </w:tcPr>
          <w:p w14:paraId="717B36B5" w14:textId="213931EB"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104,0</w:t>
            </w:r>
          </w:p>
        </w:tc>
      </w:tr>
      <w:tr w:rsidR="00B56CB1" w:rsidRPr="00377D59" w14:paraId="1E51AA76" w14:textId="77777777" w:rsidTr="24CA6B4B">
        <w:trPr>
          <w:trHeight w:val="30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36286B8" w14:textId="5B791758" w:rsidR="00B56CB1" w:rsidRPr="00CB4082" w:rsidRDefault="00B56CB1" w:rsidP="00B56CB1">
            <w:pPr>
              <w:keepNext/>
              <w:keepLines/>
              <w:spacing w:after="0" w:line="240" w:lineRule="auto"/>
              <w:jc w:val="right"/>
              <w:rPr>
                <w:rFonts w:ascii="Times New Roman" w:eastAsia="Times New Roman" w:hAnsi="Times New Roman" w:cs="Times New Roman"/>
                <w:sz w:val="20"/>
                <w:szCs w:val="20"/>
                <w:lang w:eastAsia="hu-HU"/>
              </w:rPr>
            </w:pPr>
            <w:r w:rsidRPr="22B2E273">
              <w:rPr>
                <w:rFonts w:ascii="Times New Roman" w:hAnsi="Times New Roman" w:cs="Times New Roman"/>
                <w:sz w:val="20"/>
                <w:szCs w:val="20"/>
              </w:rPr>
              <w:t>kiadás:</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35D725B3" w14:textId="78DE350D"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30 721,0</w:t>
            </w:r>
          </w:p>
        </w:tc>
        <w:tc>
          <w:tcPr>
            <w:tcW w:w="1233" w:type="dxa"/>
            <w:tcBorders>
              <w:top w:val="nil"/>
              <w:left w:val="nil"/>
              <w:bottom w:val="single" w:sz="4" w:space="0" w:color="auto"/>
              <w:right w:val="single" w:sz="4" w:space="0" w:color="auto"/>
            </w:tcBorders>
            <w:shd w:val="clear" w:color="auto" w:fill="auto"/>
            <w:noWrap/>
            <w:vAlign w:val="center"/>
          </w:tcPr>
          <w:p w14:paraId="19CE0A3D" w14:textId="226E4786"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26</w:t>
            </w:r>
            <w:r>
              <w:rPr>
                <w:rFonts w:ascii="Garamond" w:hAnsi="Garamond"/>
                <w:sz w:val="20"/>
                <w:szCs w:val="20"/>
              </w:rPr>
              <w:t> </w:t>
            </w:r>
            <w:r w:rsidRPr="00077224">
              <w:rPr>
                <w:rFonts w:ascii="Garamond" w:hAnsi="Garamond"/>
                <w:sz w:val="20"/>
                <w:szCs w:val="20"/>
              </w:rPr>
              <w:t>12</w:t>
            </w:r>
            <w:r>
              <w:rPr>
                <w:rFonts w:ascii="Garamond" w:hAnsi="Garamond"/>
                <w:sz w:val="20"/>
                <w:szCs w:val="20"/>
              </w:rPr>
              <w:t>2,9</w:t>
            </w:r>
          </w:p>
        </w:tc>
        <w:tc>
          <w:tcPr>
            <w:tcW w:w="1118" w:type="dxa"/>
            <w:tcBorders>
              <w:top w:val="nil"/>
              <w:left w:val="nil"/>
              <w:bottom w:val="single" w:sz="4" w:space="0" w:color="auto"/>
              <w:right w:val="single" w:sz="4" w:space="0" w:color="auto"/>
            </w:tcBorders>
            <w:shd w:val="clear" w:color="auto" w:fill="auto"/>
            <w:noWrap/>
            <w:vAlign w:val="center"/>
          </w:tcPr>
          <w:p w14:paraId="106B8135" w14:textId="433E4E14"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85,0</w:t>
            </w:r>
          </w:p>
        </w:tc>
        <w:tc>
          <w:tcPr>
            <w:tcW w:w="1103" w:type="dxa"/>
            <w:tcBorders>
              <w:top w:val="nil"/>
              <w:left w:val="nil"/>
              <w:bottom w:val="single" w:sz="4" w:space="0" w:color="auto"/>
              <w:right w:val="single" w:sz="4" w:space="0" w:color="auto"/>
            </w:tcBorders>
            <w:shd w:val="clear" w:color="auto" w:fill="auto"/>
            <w:noWrap/>
            <w:vAlign w:val="center"/>
          </w:tcPr>
          <w:p w14:paraId="074886D4" w14:textId="468CFBDC"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29</w:t>
            </w:r>
            <w:r>
              <w:rPr>
                <w:rFonts w:ascii="Garamond" w:hAnsi="Garamond"/>
                <w:sz w:val="20"/>
                <w:szCs w:val="20"/>
              </w:rPr>
              <w:t> </w:t>
            </w:r>
            <w:r w:rsidRPr="00077224">
              <w:rPr>
                <w:rFonts w:ascii="Garamond" w:hAnsi="Garamond"/>
                <w:sz w:val="20"/>
                <w:szCs w:val="20"/>
              </w:rPr>
              <w:t>649,3</w:t>
            </w:r>
          </w:p>
        </w:tc>
        <w:tc>
          <w:tcPr>
            <w:tcW w:w="1224" w:type="dxa"/>
            <w:tcBorders>
              <w:top w:val="nil"/>
              <w:left w:val="nil"/>
              <w:bottom w:val="single" w:sz="4" w:space="0" w:color="auto"/>
              <w:right w:val="single" w:sz="4" w:space="0" w:color="auto"/>
            </w:tcBorders>
            <w:shd w:val="clear" w:color="auto" w:fill="auto"/>
            <w:noWrap/>
            <w:vAlign w:val="center"/>
          </w:tcPr>
          <w:p w14:paraId="04692BD1" w14:textId="095EAD4A"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26 458,0</w:t>
            </w:r>
          </w:p>
        </w:tc>
        <w:tc>
          <w:tcPr>
            <w:tcW w:w="1275" w:type="dxa"/>
            <w:tcBorders>
              <w:top w:val="nil"/>
              <w:left w:val="nil"/>
              <w:bottom w:val="single" w:sz="4" w:space="0" w:color="auto"/>
              <w:right w:val="single" w:sz="4" w:space="0" w:color="auto"/>
            </w:tcBorders>
            <w:shd w:val="clear" w:color="auto" w:fill="auto"/>
            <w:noWrap/>
            <w:vAlign w:val="center"/>
          </w:tcPr>
          <w:p w14:paraId="51C29843" w14:textId="4D20653C"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89,2</w:t>
            </w:r>
          </w:p>
        </w:tc>
        <w:tc>
          <w:tcPr>
            <w:tcW w:w="1134" w:type="dxa"/>
            <w:tcBorders>
              <w:top w:val="nil"/>
              <w:left w:val="nil"/>
              <w:bottom w:val="single" w:sz="4" w:space="0" w:color="auto"/>
              <w:right w:val="single" w:sz="4" w:space="0" w:color="auto"/>
            </w:tcBorders>
            <w:shd w:val="clear" w:color="auto" w:fill="auto"/>
            <w:noWrap/>
            <w:vAlign w:val="center"/>
          </w:tcPr>
          <w:p w14:paraId="31582A0B" w14:textId="0357EE64"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101,3</w:t>
            </w:r>
          </w:p>
        </w:tc>
      </w:tr>
      <w:tr w:rsidR="00B56CB1" w:rsidRPr="00377D59" w14:paraId="2DF1D5D7" w14:textId="77777777" w:rsidTr="24CA6B4B">
        <w:trPr>
          <w:trHeight w:val="68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3E0528C4" w14:textId="74DAF082" w:rsidR="00B56CB1" w:rsidRPr="00CB4082" w:rsidRDefault="00B56CB1" w:rsidP="00B56CB1">
            <w:pPr>
              <w:keepNext/>
              <w:keepLines/>
              <w:spacing w:after="0" w:line="240" w:lineRule="auto"/>
              <w:rPr>
                <w:rFonts w:ascii="Times New Roman" w:eastAsia="Times New Roman" w:hAnsi="Times New Roman" w:cs="Times New Roman"/>
                <w:b/>
                <w:bCs/>
                <w:sz w:val="20"/>
                <w:szCs w:val="20"/>
                <w:lang w:eastAsia="hu-HU"/>
              </w:rPr>
            </w:pPr>
            <w:r w:rsidRPr="22B2E273">
              <w:rPr>
                <w:rFonts w:ascii="Times New Roman" w:hAnsi="Times New Roman" w:cs="Times New Roman"/>
                <w:b/>
                <w:bCs/>
                <w:sz w:val="20"/>
                <w:szCs w:val="20"/>
              </w:rPr>
              <w:t>Elkülönített állami pénzalapok egyenlege</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66F9AE02" w14:textId="2E361306" w:rsidR="00B56CB1" w:rsidRPr="00CB4082" w:rsidRDefault="00B56CB1" w:rsidP="00B56CB1">
            <w:pPr>
              <w:spacing w:after="0" w:line="240" w:lineRule="auto"/>
              <w:jc w:val="right"/>
              <w:rPr>
                <w:rFonts w:ascii="Times New Roman" w:eastAsia="Times New Roman" w:hAnsi="Times New Roman" w:cs="Times New Roman"/>
                <w:b/>
                <w:bCs/>
                <w:sz w:val="20"/>
                <w:szCs w:val="20"/>
                <w:lang w:eastAsia="hu-HU"/>
              </w:rPr>
            </w:pPr>
            <w:r w:rsidRPr="00077224">
              <w:rPr>
                <w:rFonts w:ascii="Garamond" w:hAnsi="Garamond"/>
                <w:b/>
                <w:bCs/>
                <w:sz w:val="20"/>
                <w:szCs w:val="20"/>
              </w:rPr>
              <w:t>112,4</w:t>
            </w:r>
          </w:p>
        </w:tc>
        <w:tc>
          <w:tcPr>
            <w:tcW w:w="1233" w:type="dxa"/>
            <w:tcBorders>
              <w:top w:val="nil"/>
              <w:left w:val="nil"/>
              <w:bottom w:val="single" w:sz="4" w:space="0" w:color="auto"/>
              <w:right w:val="single" w:sz="4" w:space="0" w:color="auto"/>
            </w:tcBorders>
            <w:shd w:val="clear" w:color="auto" w:fill="auto"/>
            <w:noWrap/>
            <w:vAlign w:val="center"/>
          </w:tcPr>
          <w:p w14:paraId="13957585" w14:textId="5AC8FF55" w:rsidR="00B56CB1" w:rsidRPr="00CB4082" w:rsidRDefault="00B56CB1" w:rsidP="00B56CB1">
            <w:pPr>
              <w:spacing w:after="0" w:line="240" w:lineRule="auto"/>
              <w:jc w:val="right"/>
              <w:rPr>
                <w:rFonts w:ascii="Times New Roman" w:eastAsia="Times New Roman" w:hAnsi="Times New Roman" w:cs="Times New Roman"/>
                <w:b/>
                <w:bCs/>
                <w:sz w:val="20"/>
                <w:szCs w:val="20"/>
                <w:lang w:eastAsia="hu-HU"/>
              </w:rPr>
            </w:pPr>
            <w:r w:rsidRPr="00077224">
              <w:rPr>
                <w:rFonts w:ascii="Garamond" w:hAnsi="Garamond"/>
                <w:b/>
                <w:bCs/>
                <w:sz w:val="20"/>
                <w:szCs w:val="20"/>
              </w:rPr>
              <w:t>171,9</w:t>
            </w:r>
          </w:p>
        </w:tc>
        <w:tc>
          <w:tcPr>
            <w:tcW w:w="1118" w:type="dxa"/>
            <w:tcBorders>
              <w:top w:val="nil"/>
              <w:left w:val="nil"/>
              <w:bottom w:val="single" w:sz="4" w:space="0" w:color="auto"/>
              <w:right w:val="single" w:sz="4" w:space="0" w:color="auto"/>
            </w:tcBorders>
            <w:shd w:val="clear" w:color="auto" w:fill="auto"/>
            <w:noWrap/>
            <w:vAlign w:val="center"/>
          </w:tcPr>
          <w:p w14:paraId="67CA2D48" w14:textId="2ED0823D"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152,9</w:t>
            </w:r>
          </w:p>
        </w:tc>
        <w:tc>
          <w:tcPr>
            <w:tcW w:w="1103" w:type="dxa"/>
            <w:tcBorders>
              <w:top w:val="nil"/>
              <w:left w:val="nil"/>
              <w:bottom w:val="single" w:sz="4" w:space="0" w:color="auto"/>
              <w:right w:val="single" w:sz="4" w:space="0" w:color="auto"/>
            </w:tcBorders>
            <w:shd w:val="clear" w:color="auto" w:fill="auto"/>
            <w:noWrap/>
            <w:vAlign w:val="center"/>
          </w:tcPr>
          <w:p w14:paraId="52380550" w14:textId="6374406E" w:rsidR="00B56CB1" w:rsidRPr="00CB4082" w:rsidRDefault="00B56CB1" w:rsidP="00B56CB1">
            <w:pPr>
              <w:spacing w:after="0" w:line="240" w:lineRule="auto"/>
              <w:jc w:val="right"/>
              <w:rPr>
                <w:rFonts w:ascii="Times New Roman" w:eastAsia="Times New Roman" w:hAnsi="Times New Roman" w:cs="Times New Roman"/>
                <w:b/>
                <w:bCs/>
                <w:sz w:val="20"/>
                <w:szCs w:val="20"/>
                <w:lang w:eastAsia="hu-HU"/>
              </w:rPr>
            </w:pPr>
            <w:r w:rsidRPr="00077224">
              <w:rPr>
                <w:rFonts w:ascii="Garamond" w:hAnsi="Garamond"/>
                <w:b/>
                <w:bCs/>
                <w:sz w:val="20"/>
                <w:szCs w:val="20"/>
              </w:rPr>
              <w:t>184,9</w:t>
            </w:r>
          </w:p>
        </w:tc>
        <w:tc>
          <w:tcPr>
            <w:tcW w:w="1224" w:type="dxa"/>
            <w:tcBorders>
              <w:top w:val="nil"/>
              <w:left w:val="nil"/>
              <w:bottom w:val="single" w:sz="4" w:space="0" w:color="auto"/>
              <w:right w:val="single" w:sz="4" w:space="0" w:color="auto"/>
            </w:tcBorders>
            <w:shd w:val="clear" w:color="auto" w:fill="auto"/>
            <w:noWrap/>
            <w:vAlign w:val="center"/>
          </w:tcPr>
          <w:p w14:paraId="4A30A5F4" w14:textId="7E1C2FE9" w:rsidR="00B56CB1" w:rsidRPr="00CB4082" w:rsidRDefault="00B56CB1" w:rsidP="00B56CB1">
            <w:pPr>
              <w:spacing w:after="0" w:line="240" w:lineRule="auto"/>
              <w:jc w:val="right"/>
              <w:rPr>
                <w:rFonts w:ascii="Times New Roman" w:eastAsia="Times New Roman" w:hAnsi="Times New Roman" w:cs="Times New Roman"/>
                <w:b/>
                <w:bCs/>
                <w:sz w:val="20"/>
                <w:szCs w:val="20"/>
                <w:lang w:eastAsia="hu-HU"/>
              </w:rPr>
            </w:pPr>
            <w:r w:rsidRPr="00077224">
              <w:rPr>
                <w:rFonts w:ascii="Garamond" w:hAnsi="Garamond"/>
                <w:b/>
                <w:bCs/>
                <w:sz w:val="20"/>
                <w:szCs w:val="20"/>
              </w:rPr>
              <w:t>200,0</w:t>
            </w:r>
          </w:p>
        </w:tc>
        <w:tc>
          <w:tcPr>
            <w:tcW w:w="1275" w:type="dxa"/>
            <w:tcBorders>
              <w:top w:val="nil"/>
              <w:left w:val="nil"/>
              <w:bottom w:val="single" w:sz="4" w:space="0" w:color="auto"/>
              <w:right w:val="single" w:sz="4" w:space="0" w:color="auto"/>
            </w:tcBorders>
            <w:shd w:val="clear" w:color="auto" w:fill="auto"/>
            <w:noWrap/>
            <w:vAlign w:val="center"/>
          </w:tcPr>
          <w:p w14:paraId="475B5DF4" w14:textId="7AEECD8B"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108,2</w:t>
            </w:r>
          </w:p>
        </w:tc>
        <w:tc>
          <w:tcPr>
            <w:tcW w:w="1134" w:type="dxa"/>
            <w:tcBorders>
              <w:top w:val="nil"/>
              <w:left w:val="nil"/>
              <w:bottom w:val="single" w:sz="4" w:space="0" w:color="auto"/>
              <w:right w:val="single" w:sz="4" w:space="0" w:color="auto"/>
            </w:tcBorders>
            <w:shd w:val="clear" w:color="auto" w:fill="auto"/>
            <w:noWrap/>
            <w:vAlign w:val="center"/>
          </w:tcPr>
          <w:p w14:paraId="17302B17" w14:textId="40714CFB"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116,3</w:t>
            </w:r>
          </w:p>
        </w:tc>
      </w:tr>
      <w:tr w:rsidR="00B56CB1" w:rsidRPr="00377D59" w14:paraId="7B49B0E4" w14:textId="77777777" w:rsidTr="24CA6B4B">
        <w:trPr>
          <w:trHeight w:val="30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31A573B2" w14:textId="58782B03" w:rsidR="00B56CB1" w:rsidRPr="00CB4082" w:rsidRDefault="00B56CB1" w:rsidP="00B56CB1">
            <w:pPr>
              <w:keepNext/>
              <w:keepLines/>
              <w:spacing w:after="0" w:line="240" w:lineRule="auto"/>
              <w:jc w:val="right"/>
              <w:rPr>
                <w:rFonts w:ascii="Times New Roman" w:eastAsia="Times New Roman" w:hAnsi="Times New Roman" w:cs="Times New Roman"/>
                <w:sz w:val="20"/>
                <w:szCs w:val="20"/>
                <w:lang w:eastAsia="hu-HU"/>
              </w:rPr>
            </w:pPr>
            <w:r w:rsidRPr="22B2E273">
              <w:rPr>
                <w:rFonts w:ascii="Times New Roman" w:hAnsi="Times New Roman" w:cs="Times New Roman"/>
                <w:sz w:val="20"/>
                <w:szCs w:val="20"/>
              </w:rPr>
              <w:t>bevétel:</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33543E4B" w14:textId="6BA7C427"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777,9</w:t>
            </w:r>
          </w:p>
        </w:tc>
        <w:tc>
          <w:tcPr>
            <w:tcW w:w="1233" w:type="dxa"/>
            <w:tcBorders>
              <w:top w:val="nil"/>
              <w:left w:val="nil"/>
              <w:bottom w:val="single" w:sz="4" w:space="0" w:color="auto"/>
              <w:right w:val="single" w:sz="4" w:space="0" w:color="auto"/>
            </w:tcBorders>
            <w:shd w:val="clear" w:color="auto" w:fill="auto"/>
            <w:noWrap/>
            <w:vAlign w:val="center"/>
          </w:tcPr>
          <w:p w14:paraId="41E699CA" w14:textId="57F27267"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723,4</w:t>
            </w:r>
          </w:p>
        </w:tc>
        <w:tc>
          <w:tcPr>
            <w:tcW w:w="1118" w:type="dxa"/>
            <w:tcBorders>
              <w:top w:val="nil"/>
              <w:left w:val="nil"/>
              <w:bottom w:val="single" w:sz="4" w:space="0" w:color="auto"/>
              <w:right w:val="single" w:sz="4" w:space="0" w:color="auto"/>
            </w:tcBorders>
            <w:shd w:val="clear" w:color="auto" w:fill="auto"/>
            <w:noWrap/>
            <w:vAlign w:val="center"/>
          </w:tcPr>
          <w:p w14:paraId="46A6AC5B" w14:textId="43004265"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93,0</w:t>
            </w:r>
          </w:p>
        </w:tc>
        <w:tc>
          <w:tcPr>
            <w:tcW w:w="1103" w:type="dxa"/>
            <w:tcBorders>
              <w:top w:val="nil"/>
              <w:left w:val="nil"/>
              <w:bottom w:val="single" w:sz="4" w:space="0" w:color="auto"/>
              <w:right w:val="single" w:sz="4" w:space="0" w:color="auto"/>
            </w:tcBorders>
            <w:shd w:val="clear" w:color="auto" w:fill="auto"/>
            <w:noWrap/>
            <w:vAlign w:val="center"/>
          </w:tcPr>
          <w:p w14:paraId="032EEDF6" w14:textId="26ACE50D"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846,</w:t>
            </w:r>
            <w:r>
              <w:rPr>
                <w:rFonts w:ascii="Garamond" w:hAnsi="Garamond"/>
                <w:sz w:val="20"/>
                <w:szCs w:val="20"/>
              </w:rPr>
              <w:t>9</w:t>
            </w:r>
          </w:p>
        </w:tc>
        <w:tc>
          <w:tcPr>
            <w:tcW w:w="1224" w:type="dxa"/>
            <w:tcBorders>
              <w:top w:val="nil"/>
              <w:left w:val="nil"/>
              <w:bottom w:val="single" w:sz="4" w:space="0" w:color="auto"/>
              <w:right w:val="single" w:sz="4" w:space="0" w:color="auto"/>
            </w:tcBorders>
            <w:shd w:val="clear" w:color="auto" w:fill="auto"/>
            <w:noWrap/>
            <w:vAlign w:val="center"/>
          </w:tcPr>
          <w:p w14:paraId="3A6BB41C" w14:textId="7F9B4EFB"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783,5</w:t>
            </w:r>
          </w:p>
        </w:tc>
        <w:tc>
          <w:tcPr>
            <w:tcW w:w="1275" w:type="dxa"/>
            <w:tcBorders>
              <w:top w:val="nil"/>
              <w:left w:val="nil"/>
              <w:bottom w:val="single" w:sz="4" w:space="0" w:color="auto"/>
              <w:right w:val="single" w:sz="4" w:space="0" w:color="auto"/>
            </w:tcBorders>
            <w:shd w:val="clear" w:color="auto" w:fill="auto"/>
            <w:noWrap/>
            <w:vAlign w:val="center"/>
          </w:tcPr>
          <w:p w14:paraId="50E9636D" w14:textId="0B41AF7E"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92,5</w:t>
            </w:r>
          </w:p>
        </w:tc>
        <w:tc>
          <w:tcPr>
            <w:tcW w:w="1134" w:type="dxa"/>
            <w:tcBorders>
              <w:top w:val="nil"/>
              <w:left w:val="nil"/>
              <w:bottom w:val="single" w:sz="4" w:space="0" w:color="auto"/>
              <w:right w:val="single" w:sz="4" w:space="0" w:color="auto"/>
            </w:tcBorders>
            <w:shd w:val="clear" w:color="auto" w:fill="auto"/>
            <w:noWrap/>
            <w:vAlign w:val="center"/>
          </w:tcPr>
          <w:p w14:paraId="2498217E" w14:textId="0A61DD36"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108,3</w:t>
            </w:r>
          </w:p>
        </w:tc>
      </w:tr>
      <w:tr w:rsidR="00B56CB1" w:rsidRPr="00377D59" w14:paraId="6EA69F1A" w14:textId="77777777" w:rsidTr="24CA6B4B">
        <w:trPr>
          <w:trHeight w:val="30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55141E07" w14:textId="2557D2E9" w:rsidR="00B56CB1" w:rsidRPr="00CB4082" w:rsidRDefault="00B56CB1" w:rsidP="00B56CB1">
            <w:pPr>
              <w:keepNext/>
              <w:keepLines/>
              <w:spacing w:after="0" w:line="240" w:lineRule="auto"/>
              <w:jc w:val="right"/>
              <w:rPr>
                <w:rFonts w:ascii="Times New Roman" w:eastAsia="Times New Roman" w:hAnsi="Times New Roman" w:cs="Times New Roman"/>
                <w:sz w:val="20"/>
                <w:szCs w:val="20"/>
                <w:lang w:eastAsia="hu-HU"/>
              </w:rPr>
            </w:pPr>
            <w:r w:rsidRPr="22B2E273">
              <w:rPr>
                <w:rFonts w:ascii="Times New Roman" w:hAnsi="Times New Roman" w:cs="Times New Roman"/>
                <w:sz w:val="20"/>
                <w:szCs w:val="20"/>
              </w:rPr>
              <w:t>kiadás:</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7FD0CE7A" w14:textId="52DF2175"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665,5</w:t>
            </w:r>
          </w:p>
        </w:tc>
        <w:tc>
          <w:tcPr>
            <w:tcW w:w="1233" w:type="dxa"/>
            <w:tcBorders>
              <w:top w:val="nil"/>
              <w:left w:val="nil"/>
              <w:bottom w:val="single" w:sz="4" w:space="0" w:color="auto"/>
              <w:right w:val="single" w:sz="4" w:space="0" w:color="auto"/>
            </w:tcBorders>
            <w:shd w:val="clear" w:color="auto" w:fill="auto"/>
            <w:noWrap/>
            <w:vAlign w:val="center"/>
          </w:tcPr>
          <w:p w14:paraId="088E19A8" w14:textId="64A7B458"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551,5</w:t>
            </w:r>
          </w:p>
        </w:tc>
        <w:tc>
          <w:tcPr>
            <w:tcW w:w="1118" w:type="dxa"/>
            <w:tcBorders>
              <w:top w:val="nil"/>
              <w:left w:val="nil"/>
              <w:bottom w:val="single" w:sz="4" w:space="0" w:color="auto"/>
              <w:right w:val="single" w:sz="4" w:space="0" w:color="auto"/>
            </w:tcBorders>
            <w:shd w:val="clear" w:color="auto" w:fill="auto"/>
            <w:noWrap/>
            <w:vAlign w:val="center"/>
          </w:tcPr>
          <w:p w14:paraId="4E7AF4E8" w14:textId="772251DD"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82,9</w:t>
            </w:r>
          </w:p>
        </w:tc>
        <w:tc>
          <w:tcPr>
            <w:tcW w:w="1103" w:type="dxa"/>
            <w:tcBorders>
              <w:top w:val="nil"/>
              <w:left w:val="nil"/>
              <w:bottom w:val="single" w:sz="4" w:space="0" w:color="auto"/>
              <w:right w:val="single" w:sz="4" w:space="0" w:color="auto"/>
            </w:tcBorders>
            <w:shd w:val="clear" w:color="auto" w:fill="auto"/>
            <w:noWrap/>
            <w:vAlign w:val="center"/>
          </w:tcPr>
          <w:p w14:paraId="5E124EEE" w14:textId="2274C7C3"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66</w:t>
            </w:r>
            <w:r>
              <w:rPr>
                <w:rFonts w:ascii="Garamond" w:hAnsi="Garamond"/>
                <w:sz w:val="20"/>
                <w:szCs w:val="20"/>
              </w:rPr>
              <w:t>2,0</w:t>
            </w:r>
          </w:p>
        </w:tc>
        <w:tc>
          <w:tcPr>
            <w:tcW w:w="1224" w:type="dxa"/>
            <w:tcBorders>
              <w:top w:val="nil"/>
              <w:left w:val="nil"/>
              <w:bottom w:val="single" w:sz="4" w:space="0" w:color="auto"/>
              <w:right w:val="single" w:sz="4" w:space="0" w:color="auto"/>
            </w:tcBorders>
            <w:shd w:val="clear" w:color="auto" w:fill="auto"/>
            <w:noWrap/>
            <w:vAlign w:val="center"/>
          </w:tcPr>
          <w:p w14:paraId="7F6AFAD1" w14:textId="72F38DB2"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583,5</w:t>
            </w:r>
          </w:p>
        </w:tc>
        <w:tc>
          <w:tcPr>
            <w:tcW w:w="1275" w:type="dxa"/>
            <w:tcBorders>
              <w:top w:val="nil"/>
              <w:left w:val="nil"/>
              <w:bottom w:val="single" w:sz="4" w:space="0" w:color="auto"/>
              <w:right w:val="single" w:sz="4" w:space="0" w:color="auto"/>
            </w:tcBorders>
            <w:shd w:val="clear" w:color="auto" w:fill="auto"/>
            <w:noWrap/>
            <w:vAlign w:val="center"/>
          </w:tcPr>
          <w:p w14:paraId="46251584" w14:textId="1C13EE32"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88,2</w:t>
            </w:r>
          </w:p>
        </w:tc>
        <w:tc>
          <w:tcPr>
            <w:tcW w:w="1134" w:type="dxa"/>
            <w:tcBorders>
              <w:top w:val="nil"/>
              <w:left w:val="nil"/>
              <w:bottom w:val="single" w:sz="4" w:space="0" w:color="auto"/>
              <w:right w:val="single" w:sz="4" w:space="0" w:color="auto"/>
            </w:tcBorders>
            <w:shd w:val="clear" w:color="auto" w:fill="auto"/>
            <w:noWrap/>
            <w:vAlign w:val="center"/>
          </w:tcPr>
          <w:p w14:paraId="17B750E2" w14:textId="476495FF"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105,8</w:t>
            </w:r>
          </w:p>
        </w:tc>
      </w:tr>
      <w:tr w:rsidR="00B56CB1" w:rsidRPr="00377D59" w14:paraId="6C1A0BA7" w14:textId="77777777" w:rsidTr="24CA6B4B">
        <w:trPr>
          <w:trHeight w:val="68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0932A0B5" w14:textId="138D82B9" w:rsidR="00B56CB1" w:rsidRPr="00CB4082" w:rsidRDefault="00B56CB1" w:rsidP="00B56CB1">
            <w:pPr>
              <w:keepNext/>
              <w:keepLines/>
              <w:spacing w:after="0" w:line="240" w:lineRule="auto"/>
              <w:rPr>
                <w:rFonts w:ascii="Times New Roman" w:eastAsia="Times New Roman" w:hAnsi="Times New Roman" w:cs="Times New Roman"/>
                <w:b/>
                <w:bCs/>
                <w:sz w:val="20"/>
                <w:szCs w:val="20"/>
                <w:lang w:eastAsia="hu-HU"/>
              </w:rPr>
            </w:pPr>
            <w:r w:rsidRPr="22B2E273">
              <w:rPr>
                <w:rFonts w:ascii="Times New Roman" w:hAnsi="Times New Roman" w:cs="Times New Roman"/>
                <w:b/>
                <w:bCs/>
                <w:sz w:val="20"/>
                <w:szCs w:val="20"/>
              </w:rPr>
              <w:t>Társadalombiztosítás pénzügyi alapjainak egyenlege</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764C07C2" w14:textId="0D113AF8" w:rsidR="00B56CB1" w:rsidRPr="00CB4082" w:rsidRDefault="00B56CB1" w:rsidP="00B56CB1">
            <w:pPr>
              <w:spacing w:after="0" w:line="240" w:lineRule="auto"/>
              <w:jc w:val="right"/>
              <w:rPr>
                <w:rFonts w:ascii="Times New Roman" w:eastAsia="Times New Roman" w:hAnsi="Times New Roman" w:cs="Times New Roman"/>
                <w:b/>
                <w:bCs/>
                <w:sz w:val="20"/>
                <w:szCs w:val="20"/>
                <w:lang w:eastAsia="hu-HU"/>
              </w:rPr>
            </w:pPr>
            <w:r w:rsidRPr="00077224">
              <w:rPr>
                <w:rFonts w:ascii="Garamond" w:hAnsi="Garamond"/>
                <w:b/>
                <w:bCs/>
                <w:sz w:val="20"/>
                <w:szCs w:val="20"/>
              </w:rPr>
              <w:t>-415,8</w:t>
            </w:r>
          </w:p>
        </w:tc>
        <w:tc>
          <w:tcPr>
            <w:tcW w:w="1233" w:type="dxa"/>
            <w:tcBorders>
              <w:top w:val="nil"/>
              <w:left w:val="nil"/>
              <w:bottom w:val="single" w:sz="4" w:space="0" w:color="auto"/>
              <w:right w:val="single" w:sz="4" w:space="0" w:color="auto"/>
            </w:tcBorders>
            <w:shd w:val="clear" w:color="auto" w:fill="auto"/>
            <w:noWrap/>
            <w:vAlign w:val="center"/>
          </w:tcPr>
          <w:p w14:paraId="5DD28CAB" w14:textId="236685B7" w:rsidR="00B56CB1" w:rsidRPr="00CB4082" w:rsidRDefault="00B56CB1" w:rsidP="00B56CB1">
            <w:pPr>
              <w:spacing w:after="0" w:line="240" w:lineRule="auto"/>
              <w:jc w:val="right"/>
              <w:rPr>
                <w:rFonts w:ascii="Times New Roman" w:eastAsia="Times New Roman" w:hAnsi="Times New Roman" w:cs="Times New Roman"/>
                <w:b/>
                <w:bCs/>
                <w:sz w:val="20"/>
                <w:szCs w:val="20"/>
                <w:lang w:eastAsia="hu-HU"/>
              </w:rPr>
            </w:pPr>
            <w:r w:rsidRPr="00077224">
              <w:rPr>
                <w:rFonts w:ascii="Garamond" w:hAnsi="Garamond"/>
                <w:b/>
                <w:bCs/>
                <w:sz w:val="20"/>
                <w:szCs w:val="20"/>
              </w:rPr>
              <w:t>-421,3</w:t>
            </w:r>
          </w:p>
        </w:tc>
        <w:tc>
          <w:tcPr>
            <w:tcW w:w="1118" w:type="dxa"/>
            <w:tcBorders>
              <w:top w:val="nil"/>
              <w:left w:val="nil"/>
              <w:bottom w:val="single" w:sz="4" w:space="0" w:color="auto"/>
              <w:right w:val="single" w:sz="4" w:space="0" w:color="auto"/>
            </w:tcBorders>
            <w:shd w:val="clear" w:color="auto" w:fill="auto"/>
            <w:noWrap/>
            <w:vAlign w:val="center"/>
          </w:tcPr>
          <w:p w14:paraId="716B6B3D" w14:textId="23FCF974"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101,3</w:t>
            </w:r>
          </w:p>
        </w:tc>
        <w:tc>
          <w:tcPr>
            <w:tcW w:w="1103" w:type="dxa"/>
            <w:tcBorders>
              <w:top w:val="nil"/>
              <w:left w:val="nil"/>
              <w:bottom w:val="single" w:sz="4" w:space="0" w:color="auto"/>
              <w:right w:val="single" w:sz="4" w:space="0" w:color="auto"/>
            </w:tcBorders>
            <w:shd w:val="clear" w:color="auto" w:fill="auto"/>
            <w:noWrap/>
            <w:vAlign w:val="center"/>
          </w:tcPr>
          <w:p w14:paraId="40FDEB50" w14:textId="3C47F72B" w:rsidR="00B56CB1" w:rsidRPr="00CB4082" w:rsidRDefault="00B56CB1" w:rsidP="00B56CB1">
            <w:pPr>
              <w:spacing w:after="0" w:line="240" w:lineRule="auto"/>
              <w:jc w:val="right"/>
              <w:rPr>
                <w:rFonts w:ascii="Times New Roman" w:eastAsia="Times New Roman" w:hAnsi="Times New Roman" w:cs="Times New Roman"/>
                <w:b/>
                <w:bCs/>
                <w:sz w:val="20"/>
                <w:szCs w:val="20"/>
                <w:lang w:eastAsia="hu-HU"/>
              </w:rPr>
            </w:pPr>
            <w:r w:rsidRPr="00077224">
              <w:rPr>
                <w:rFonts w:ascii="Garamond" w:hAnsi="Garamond"/>
                <w:b/>
                <w:bCs/>
                <w:sz w:val="20"/>
                <w:szCs w:val="20"/>
              </w:rPr>
              <w:t>0,</w:t>
            </w:r>
            <w:proofErr w:type="spellStart"/>
            <w:r w:rsidRPr="00077224">
              <w:rPr>
                <w:rFonts w:ascii="Garamond" w:hAnsi="Garamond"/>
                <w:b/>
                <w:bCs/>
                <w:sz w:val="20"/>
                <w:szCs w:val="20"/>
              </w:rPr>
              <w:t>0</w:t>
            </w:r>
            <w:proofErr w:type="spellEnd"/>
          </w:p>
        </w:tc>
        <w:tc>
          <w:tcPr>
            <w:tcW w:w="1224" w:type="dxa"/>
            <w:tcBorders>
              <w:top w:val="nil"/>
              <w:left w:val="nil"/>
              <w:bottom w:val="single" w:sz="4" w:space="0" w:color="auto"/>
              <w:right w:val="single" w:sz="4" w:space="0" w:color="auto"/>
            </w:tcBorders>
            <w:shd w:val="clear" w:color="auto" w:fill="auto"/>
            <w:noWrap/>
            <w:vAlign w:val="center"/>
          </w:tcPr>
          <w:p w14:paraId="6839221E" w14:textId="0E2CE263" w:rsidR="00B56CB1" w:rsidRPr="00CB4082" w:rsidRDefault="00B56CB1" w:rsidP="00B56CB1">
            <w:pPr>
              <w:spacing w:after="0" w:line="240" w:lineRule="auto"/>
              <w:jc w:val="right"/>
              <w:rPr>
                <w:rFonts w:ascii="Times New Roman" w:eastAsia="Times New Roman" w:hAnsi="Times New Roman" w:cs="Times New Roman"/>
                <w:b/>
                <w:bCs/>
                <w:sz w:val="20"/>
                <w:szCs w:val="20"/>
                <w:lang w:eastAsia="hu-HU"/>
              </w:rPr>
            </w:pPr>
            <w:r w:rsidRPr="00077224">
              <w:rPr>
                <w:rFonts w:ascii="Garamond" w:hAnsi="Garamond"/>
                <w:b/>
                <w:bCs/>
                <w:sz w:val="20"/>
                <w:szCs w:val="20"/>
              </w:rPr>
              <w:t>-226,8</w:t>
            </w:r>
          </w:p>
        </w:tc>
        <w:tc>
          <w:tcPr>
            <w:tcW w:w="1275" w:type="dxa"/>
            <w:tcBorders>
              <w:top w:val="nil"/>
              <w:left w:val="nil"/>
              <w:bottom w:val="single" w:sz="4" w:space="0" w:color="auto"/>
              <w:right w:val="single" w:sz="4" w:space="0" w:color="auto"/>
            </w:tcBorders>
            <w:shd w:val="clear" w:color="auto" w:fill="auto"/>
            <w:noWrap/>
            <w:vAlign w:val="center"/>
          </w:tcPr>
          <w:p w14:paraId="72DED2BB" w14:textId="6BEAFEF6"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14:paraId="6947371C" w14:textId="1E20E945"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53,8</w:t>
            </w:r>
          </w:p>
        </w:tc>
      </w:tr>
      <w:tr w:rsidR="00B56CB1" w:rsidRPr="00377D59" w14:paraId="5EA2BB6F" w14:textId="77777777" w:rsidTr="24CA6B4B">
        <w:trPr>
          <w:trHeight w:val="30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3E3E07BE" w14:textId="5714C198" w:rsidR="00B56CB1" w:rsidRPr="00CB4082" w:rsidRDefault="00B56CB1" w:rsidP="00B56CB1">
            <w:pPr>
              <w:keepNext/>
              <w:keepLines/>
              <w:spacing w:after="0" w:line="240" w:lineRule="auto"/>
              <w:jc w:val="right"/>
              <w:rPr>
                <w:rFonts w:ascii="Times New Roman" w:eastAsia="Times New Roman" w:hAnsi="Times New Roman" w:cs="Times New Roman"/>
                <w:sz w:val="20"/>
                <w:szCs w:val="20"/>
                <w:lang w:eastAsia="hu-HU"/>
              </w:rPr>
            </w:pPr>
            <w:r w:rsidRPr="22B2E273">
              <w:rPr>
                <w:rFonts w:ascii="Times New Roman" w:hAnsi="Times New Roman" w:cs="Times New Roman"/>
                <w:sz w:val="20"/>
                <w:szCs w:val="20"/>
              </w:rPr>
              <w:t>bevétel:</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6CBBEA73" w14:textId="2D19A828"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9</w:t>
            </w:r>
            <w:r>
              <w:rPr>
                <w:rFonts w:ascii="Garamond" w:hAnsi="Garamond"/>
                <w:sz w:val="20"/>
                <w:szCs w:val="20"/>
              </w:rPr>
              <w:t> </w:t>
            </w:r>
            <w:r w:rsidRPr="00077224">
              <w:rPr>
                <w:rFonts w:ascii="Garamond" w:hAnsi="Garamond"/>
                <w:sz w:val="20"/>
                <w:szCs w:val="20"/>
              </w:rPr>
              <w:t>465,1</w:t>
            </w:r>
          </w:p>
        </w:tc>
        <w:tc>
          <w:tcPr>
            <w:tcW w:w="1233" w:type="dxa"/>
            <w:tcBorders>
              <w:top w:val="nil"/>
              <w:left w:val="nil"/>
              <w:bottom w:val="single" w:sz="4" w:space="0" w:color="auto"/>
              <w:right w:val="single" w:sz="4" w:space="0" w:color="auto"/>
            </w:tcBorders>
            <w:shd w:val="clear" w:color="auto" w:fill="auto"/>
            <w:noWrap/>
            <w:vAlign w:val="center"/>
          </w:tcPr>
          <w:p w14:paraId="001E233C" w14:textId="6B08DE08"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8 642,0</w:t>
            </w:r>
          </w:p>
        </w:tc>
        <w:tc>
          <w:tcPr>
            <w:tcW w:w="1118" w:type="dxa"/>
            <w:tcBorders>
              <w:top w:val="nil"/>
              <w:left w:val="nil"/>
              <w:bottom w:val="single" w:sz="4" w:space="0" w:color="auto"/>
              <w:right w:val="single" w:sz="4" w:space="0" w:color="auto"/>
            </w:tcBorders>
            <w:shd w:val="clear" w:color="auto" w:fill="auto"/>
            <w:noWrap/>
            <w:vAlign w:val="center"/>
          </w:tcPr>
          <w:p w14:paraId="1F3A662D" w14:textId="4120EA82"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91,3</w:t>
            </w:r>
          </w:p>
        </w:tc>
        <w:tc>
          <w:tcPr>
            <w:tcW w:w="1103" w:type="dxa"/>
            <w:tcBorders>
              <w:top w:val="nil"/>
              <w:left w:val="nil"/>
              <w:bottom w:val="single" w:sz="4" w:space="0" w:color="auto"/>
              <w:right w:val="single" w:sz="4" w:space="0" w:color="auto"/>
            </w:tcBorders>
            <w:shd w:val="clear" w:color="auto" w:fill="auto"/>
            <w:noWrap/>
            <w:vAlign w:val="center"/>
          </w:tcPr>
          <w:p w14:paraId="1E6E9ABA" w14:textId="46C12776"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10</w:t>
            </w:r>
            <w:r>
              <w:rPr>
                <w:rFonts w:ascii="Garamond" w:hAnsi="Garamond"/>
                <w:sz w:val="20"/>
                <w:szCs w:val="20"/>
              </w:rPr>
              <w:t> </w:t>
            </w:r>
            <w:r w:rsidRPr="00077224">
              <w:rPr>
                <w:rFonts w:ascii="Garamond" w:hAnsi="Garamond"/>
                <w:sz w:val="20"/>
                <w:szCs w:val="20"/>
              </w:rPr>
              <w:t>443,9</w:t>
            </w:r>
          </w:p>
        </w:tc>
        <w:tc>
          <w:tcPr>
            <w:tcW w:w="1224" w:type="dxa"/>
            <w:tcBorders>
              <w:top w:val="nil"/>
              <w:left w:val="nil"/>
              <w:bottom w:val="single" w:sz="4" w:space="0" w:color="auto"/>
              <w:right w:val="single" w:sz="4" w:space="0" w:color="auto"/>
            </w:tcBorders>
            <w:shd w:val="clear" w:color="auto" w:fill="auto"/>
            <w:noWrap/>
            <w:vAlign w:val="center"/>
          </w:tcPr>
          <w:p w14:paraId="14329349" w14:textId="3E9CD005"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9 635,0</w:t>
            </w:r>
          </w:p>
        </w:tc>
        <w:tc>
          <w:tcPr>
            <w:tcW w:w="1275" w:type="dxa"/>
            <w:tcBorders>
              <w:top w:val="nil"/>
              <w:left w:val="nil"/>
              <w:bottom w:val="single" w:sz="4" w:space="0" w:color="auto"/>
              <w:right w:val="single" w:sz="4" w:space="0" w:color="auto"/>
            </w:tcBorders>
            <w:shd w:val="clear" w:color="auto" w:fill="auto"/>
            <w:noWrap/>
            <w:vAlign w:val="center"/>
          </w:tcPr>
          <w:p w14:paraId="73491675" w14:textId="12876330"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92,3</w:t>
            </w:r>
          </w:p>
        </w:tc>
        <w:tc>
          <w:tcPr>
            <w:tcW w:w="1134" w:type="dxa"/>
            <w:tcBorders>
              <w:top w:val="nil"/>
              <w:left w:val="nil"/>
              <w:bottom w:val="single" w:sz="4" w:space="0" w:color="auto"/>
              <w:right w:val="single" w:sz="4" w:space="0" w:color="auto"/>
            </w:tcBorders>
            <w:shd w:val="clear" w:color="auto" w:fill="auto"/>
            <w:noWrap/>
            <w:vAlign w:val="center"/>
          </w:tcPr>
          <w:p w14:paraId="55EF7685" w14:textId="45DB8CB1"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111,5</w:t>
            </w:r>
          </w:p>
        </w:tc>
      </w:tr>
      <w:tr w:rsidR="00B56CB1" w:rsidRPr="00377D59" w14:paraId="67C00D39" w14:textId="77777777" w:rsidTr="24CA6B4B">
        <w:trPr>
          <w:trHeight w:val="30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23FD797A" w14:textId="3D91990C" w:rsidR="00B56CB1" w:rsidRPr="00CB4082" w:rsidRDefault="00B56CB1" w:rsidP="00B56CB1">
            <w:pPr>
              <w:keepNext/>
              <w:keepLines/>
              <w:spacing w:after="0" w:line="240" w:lineRule="auto"/>
              <w:jc w:val="right"/>
              <w:rPr>
                <w:rFonts w:ascii="Times New Roman" w:eastAsia="Times New Roman" w:hAnsi="Times New Roman" w:cs="Times New Roman"/>
                <w:sz w:val="20"/>
                <w:szCs w:val="20"/>
                <w:lang w:eastAsia="hu-HU"/>
              </w:rPr>
            </w:pPr>
            <w:r w:rsidRPr="22B2E273">
              <w:rPr>
                <w:rFonts w:ascii="Times New Roman" w:hAnsi="Times New Roman" w:cs="Times New Roman"/>
                <w:sz w:val="20"/>
                <w:szCs w:val="20"/>
              </w:rPr>
              <w:t>kiadás:</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4E2A033A" w14:textId="35E3F12A"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9</w:t>
            </w:r>
            <w:r>
              <w:rPr>
                <w:rFonts w:ascii="Garamond" w:hAnsi="Garamond"/>
                <w:sz w:val="20"/>
                <w:szCs w:val="20"/>
              </w:rPr>
              <w:t> </w:t>
            </w:r>
            <w:r w:rsidRPr="00077224">
              <w:rPr>
                <w:rFonts w:ascii="Garamond" w:hAnsi="Garamond"/>
                <w:sz w:val="20"/>
                <w:szCs w:val="20"/>
              </w:rPr>
              <w:t>880,9</w:t>
            </w:r>
          </w:p>
        </w:tc>
        <w:tc>
          <w:tcPr>
            <w:tcW w:w="1233" w:type="dxa"/>
            <w:tcBorders>
              <w:top w:val="nil"/>
              <w:left w:val="nil"/>
              <w:bottom w:val="single" w:sz="4" w:space="0" w:color="auto"/>
              <w:right w:val="single" w:sz="4" w:space="0" w:color="auto"/>
            </w:tcBorders>
            <w:shd w:val="clear" w:color="auto" w:fill="auto"/>
            <w:noWrap/>
            <w:vAlign w:val="center"/>
          </w:tcPr>
          <w:p w14:paraId="3CCAB3F8" w14:textId="2CD623E2"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9 063,3</w:t>
            </w:r>
          </w:p>
        </w:tc>
        <w:tc>
          <w:tcPr>
            <w:tcW w:w="1118" w:type="dxa"/>
            <w:tcBorders>
              <w:top w:val="nil"/>
              <w:left w:val="nil"/>
              <w:bottom w:val="single" w:sz="4" w:space="0" w:color="auto"/>
              <w:right w:val="single" w:sz="4" w:space="0" w:color="auto"/>
            </w:tcBorders>
            <w:shd w:val="clear" w:color="auto" w:fill="auto"/>
            <w:noWrap/>
            <w:vAlign w:val="center"/>
          </w:tcPr>
          <w:p w14:paraId="4766FA26" w14:textId="4E669D9C"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91,7</w:t>
            </w:r>
          </w:p>
        </w:tc>
        <w:tc>
          <w:tcPr>
            <w:tcW w:w="1103" w:type="dxa"/>
            <w:tcBorders>
              <w:top w:val="nil"/>
              <w:left w:val="nil"/>
              <w:bottom w:val="single" w:sz="4" w:space="0" w:color="auto"/>
              <w:right w:val="single" w:sz="4" w:space="0" w:color="auto"/>
            </w:tcBorders>
            <w:shd w:val="clear" w:color="auto" w:fill="auto"/>
            <w:noWrap/>
            <w:vAlign w:val="center"/>
          </w:tcPr>
          <w:p w14:paraId="54976177" w14:textId="4A5D15E7"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10</w:t>
            </w:r>
            <w:r>
              <w:rPr>
                <w:rFonts w:ascii="Garamond" w:hAnsi="Garamond"/>
                <w:sz w:val="20"/>
                <w:szCs w:val="20"/>
              </w:rPr>
              <w:t> </w:t>
            </w:r>
            <w:r w:rsidRPr="00077224">
              <w:rPr>
                <w:rFonts w:ascii="Garamond" w:hAnsi="Garamond"/>
                <w:sz w:val="20"/>
                <w:szCs w:val="20"/>
              </w:rPr>
              <w:t>443,9</w:t>
            </w:r>
          </w:p>
        </w:tc>
        <w:tc>
          <w:tcPr>
            <w:tcW w:w="1224" w:type="dxa"/>
            <w:tcBorders>
              <w:top w:val="nil"/>
              <w:left w:val="nil"/>
              <w:bottom w:val="single" w:sz="4" w:space="0" w:color="auto"/>
              <w:right w:val="single" w:sz="4" w:space="0" w:color="auto"/>
            </w:tcBorders>
            <w:shd w:val="clear" w:color="auto" w:fill="auto"/>
            <w:noWrap/>
            <w:vAlign w:val="center"/>
          </w:tcPr>
          <w:p w14:paraId="4E82EE04" w14:textId="4BAEB2E9"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9 861,8</w:t>
            </w:r>
          </w:p>
        </w:tc>
        <w:tc>
          <w:tcPr>
            <w:tcW w:w="1275" w:type="dxa"/>
            <w:tcBorders>
              <w:top w:val="nil"/>
              <w:left w:val="nil"/>
              <w:bottom w:val="single" w:sz="4" w:space="0" w:color="auto"/>
              <w:right w:val="single" w:sz="4" w:space="0" w:color="auto"/>
            </w:tcBorders>
            <w:shd w:val="clear" w:color="auto" w:fill="auto"/>
            <w:noWrap/>
            <w:vAlign w:val="center"/>
          </w:tcPr>
          <w:p w14:paraId="0FF1FCDA" w14:textId="458FE372"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94,4</w:t>
            </w:r>
          </w:p>
        </w:tc>
        <w:tc>
          <w:tcPr>
            <w:tcW w:w="1134" w:type="dxa"/>
            <w:tcBorders>
              <w:top w:val="nil"/>
              <w:left w:val="nil"/>
              <w:bottom w:val="single" w:sz="4" w:space="0" w:color="auto"/>
              <w:right w:val="single" w:sz="4" w:space="0" w:color="auto"/>
            </w:tcBorders>
            <w:shd w:val="clear" w:color="auto" w:fill="auto"/>
            <w:noWrap/>
            <w:vAlign w:val="center"/>
          </w:tcPr>
          <w:p w14:paraId="517DF22A" w14:textId="198DF97B"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108,8</w:t>
            </w:r>
          </w:p>
        </w:tc>
      </w:tr>
      <w:tr w:rsidR="00B56CB1" w:rsidRPr="00377D59" w14:paraId="693893FF" w14:textId="77777777" w:rsidTr="24CA6B4B">
        <w:trPr>
          <w:trHeight w:val="68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DC826FD" w14:textId="55AA159E" w:rsidR="00B56CB1" w:rsidRPr="00CB4082" w:rsidRDefault="00B56CB1" w:rsidP="00B56CB1">
            <w:pPr>
              <w:keepNext/>
              <w:keepLines/>
              <w:spacing w:after="0" w:line="240" w:lineRule="auto"/>
              <w:rPr>
                <w:rFonts w:ascii="Times New Roman" w:eastAsia="Times New Roman" w:hAnsi="Times New Roman" w:cs="Times New Roman"/>
                <w:b/>
                <w:bCs/>
                <w:sz w:val="20"/>
                <w:szCs w:val="20"/>
                <w:lang w:eastAsia="hu-HU"/>
              </w:rPr>
            </w:pPr>
            <w:r w:rsidRPr="22B2E273">
              <w:rPr>
                <w:rFonts w:ascii="Times New Roman" w:hAnsi="Times New Roman" w:cs="Times New Roman"/>
                <w:b/>
                <w:bCs/>
                <w:sz w:val="20"/>
                <w:szCs w:val="20"/>
              </w:rPr>
              <w:t>Egyenleg összesen</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128C853D" w14:textId="3F11B6AB" w:rsidR="00B56CB1" w:rsidRPr="00CB4082" w:rsidRDefault="00B56CB1" w:rsidP="00B56CB1">
            <w:pPr>
              <w:spacing w:after="0" w:line="240" w:lineRule="auto"/>
              <w:jc w:val="right"/>
              <w:rPr>
                <w:rFonts w:ascii="Times New Roman" w:eastAsia="Times New Roman" w:hAnsi="Times New Roman" w:cs="Times New Roman"/>
                <w:b/>
                <w:bCs/>
                <w:sz w:val="20"/>
                <w:szCs w:val="20"/>
                <w:lang w:eastAsia="hu-HU"/>
              </w:rPr>
            </w:pPr>
            <w:r w:rsidRPr="00077224">
              <w:rPr>
                <w:rFonts w:ascii="Garamond" w:hAnsi="Garamond"/>
                <w:b/>
                <w:bCs/>
                <w:sz w:val="20"/>
                <w:szCs w:val="20"/>
              </w:rPr>
              <w:t>-4 435,5</w:t>
            </w:r>
          </w:p>
        </w:tc>
        <w:tc>
          <w:tcPr>
            <w:tcW w:w="1233" w:type="dxa"/>
            <w:tcBorders>
              <w:top w:val="nil"/>
              <w:left w:val="nil"/>
              <w:bottom w:val="single" w:sz="4" w:space="0" w:color="auto"/>
              <w:right w:val="single" w:sz="4" w:space="0" w:color="auto"/>
            </w:tcBorders>
            <w:shd w:val="clear" w:color="auto" w:fill="auto"/>
            <w:noWrap/>
            <w:vAlign w:val="center"/>
          </w:tcPr>
          <w:p w14:paraId="33E03A05" w14:textId="0E622152" w:rsidR="00B56CB1" w:rsidRPr="00CB4082" w:rsidRDefault="00B56CB1" w:rsidP="00B56CB1">
            <w:pPr>
              <w:spacing w:after="0" w:line="240" w:lineRule="auto"/>
              <w:jc w:val="right"/>
              <w:rPr>
                <w:rFonts w:ascii="Times New Roman" w:eastAsia="Times New Roman" w:hAnsi="Times New Roman" w:cs="Times New Roman"/>
                <w:b/>
                <w:bCs/>
                <w:sz w:val="20"/>
                <w:szCs w:val="20"/>
                <w:lang w:eastAsia="hu-HU"/>
              </w:rPr>
            </w:pPr>
            <w:r w:rsidRPr="00077224">
              <w:rPr>
                <w:rFonts w:ascii="Garamond" w:hAnsi="Garamond"/>
                <w:b/>
                <w:bCs/>
                <w:sz w:val="20"/>
                <w:szCs w:val="20"/>
              </w:rPr>
              <w:t>-4 074,3</w:t>
            </w:r>
          </w:p>
        </w:tc>
        <w:tc>
          <w:tcPr>
            <w:tcW w:w="1118" w:type="dxa"/>
            <w:tcBorders>
              <w:top w:val="nil"/>
              <w:left w:val="nil"/>
              <w:bottom w:val="single" w:sz="4" w:space="0" w:color="auto"/>
              <w:right w:val="single" w:sz="4" w:space="0" w:color="auto"/>
            </w:tcBorders>
            <w:shd w:val="clear" w:color="auto" w:fill="auto"/>
            <w:noWrap/>
            <w:vAlign w:val="center"/>
          </w:tcPr>
          <w:p w14:paraId="3C1EA8E2" w14:textId="06FEFEE9"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91,9</w:t>
            </w:r>
          </w:p>
        </w:tc>
        <w:tc>
          <w:tcPr>
            <w:tcW w:w="1103" w:type="dxa"/>
            <w:tcBorders>
              <w:top w:val="nil"/>
              <w:left w:val="nil"/>
              <w:bottom w:val="single" w:sz="4" w:space="0" w:color="auto"/>
              <w:right w:val="single" w:sz="4" w:space="0" w:color="auto"/>
            </w:tcBorders>
            <w:shd w:val="clear" w:color="auto" w:fill="auto"/>
            <w:noWrap/>
            <w:vAlign w:val="center"/>
          </w:tcPr>
          <w:p w14:paraId="7F41C27C" w14:textId="4F734096" w:rsidR="00B56CB1" w:rsidRPr="00CB4082" w:rsidRDefault="00B56CB1" w:rsidP="00B56CB1">
            <w:pPr>
              <w:spacing w:after="0" w:line="240" w:lineRule="auto"/>
              <w:jc w:val="right"/>
              <w:rPr>
                <w:rFonts w:ascii="Times New Roman" w:eastAsia="Times New Roman" w:hAnsi="Times New Roman" w:cs="Times New Roman"/>
                <w:b/>
                <w:bCs/>
                <w:sz w:val="20"/>
                <w:szCs w:val="20"/>
                <w:lang w:eastAsia="hu-HU"/>
              </w:rPr>
            </w:pPr>
            <w:r w:rsidRPr="00077224">
              <w:rPr>
                <w:rFonts w:ascii="Garamond" w:hAnsi="Garamond"/>
                <w:b/>
                <w:bCs/>
                <w:sz w:val="20"/>
                <w:szCs w:val="20"/>
              </w:rPr>
              <w:t>-2 514,8</w:t>
            </w:r>
          </w:p>
        </w:tc>
        <w:tc>
          <w:tcPr>
            <w:tcW w:w="1224" w:type="dxa"/>
            <w:tcBorders>
              <w:top w:val="nil"/>
              <w:left w:val="nil"/>
              <w:bottom w:val="single" w:sz="4" w:space="0" w:color="auto"/>
              <w:right w:val="single" w:sz="4" w:space="0" w:color="auto"/>
            </w:tcBorders>
            <w:shd w:val="clear" w:color="auto" w:fill="auto"/>
            <w:noWrap/>
            <w:vAlign w:val="center"/>
          </w:tcPr>
          <w:p w14:paraId="18CF0DD4" w14:textId="6F6EB82A" w:rsidR="00B56CB1" w:rsidRPr="00CB4082" w:rsidRDefault="00B56CB1" w:rsidP="00B56CB1">
            <w:pPr>
              <w:spacing w:after="0" w:line="240" w:lineRule="auto"/>
              <w:jc w:val="right"/>
              <w:rPr>
                <w:rFonts w:ascii="Times New Roman" w:eastAsia="Times New Roman" w:hAnsi="Times New Roman" w:cs="Times New Roman"/>
                <w:b/>
                <w:bCs/>
                <w:sz w:val="20"/>
                <w:szCs w:val="20"/>
                <w:lang w:eastAsia="hu-HU"/>
              </w:rPr>
            </w:pPr>
            <w:r w:rsidRPr="00077224">
              <w:rPr>
                <w:rFonts w:ascii="Garamond" w:hAnsi="Garamond"/>
                <w:b/>
                <w:bCs/>
                <w:sz w:val="20"/>
                <w:szCs w:val="20"/>
              </w:rPr>
              <w:t>-3 284,3</w:t>
            </w:r>
          </w:p>
        </w:tc>
        <w:tc>
          <w:tcPr>
            <w:tcW w:w="1275" w:type="dxa"/>
            <w:tcBorders>
              <w:top w:val="nil"/>
              <w:left w:val="nil"/>
              <w:bottom w:val="single" w:sz="4" w:space="0" w:color="auto"/>
              <w:right w:val="single" w:sz="4" w:space="0" w:color="auto"/>
            </w:tcBorders>
            <w:shd w:val="clear" w:color="auto" w:fill="auto"/>
            <w:noWrap/>
            <w:vAlign w:val="center"/>
          </w:tcPr>
          <w:p w14:paraId="5A523E61" w14:textId="527672B3"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130,6</w:t>
            </w:r>
          </w:p>
        </w:tc>
        <w:tc>
          <w:tcPr>
            <w:tcW w:w="1134" w:type="dxa"/>
            <w:tcBorders>
              <w:top w:val="nil"/>
              <w:left w:val="nil"/>
              <w:bottom w:val="single" w:sz="4" w:space="0" w:color="auto"/>
              <w:right w:val="single" w:sz="4" w:space="0" w:color="auto"/>
            </w:tcBorders>
            <w:shd w:val="clear" w:color="auto" w:fill="auto"/>
            <w:noWrap/>
            <w:vAlign w:val="center"/>
          </w:tcPr>
          <w:p w14:paraId="202FEA34" w14:textId="1BCA6E81" w:rsidR="00B56CB1" w:rsidRPr="00CB4082" w:rsidRDefault="00B56CB1" w:rsidP="00B56CB1">
            <w:pPr>
              <w:spacing w:after="0" w:line="240" w:lineRule="auto"/>
              <w:jc w:val="right"/>
              <w:rPr>
                <w:rFonts w:ascii="Times New Roman" w:hAnsi="Times New Roman" w:cs="Times New Roman"/>
                <w:sz w:val="20"/>
                <w:szCs w:val="20"/>
              </w:rPr>
            </w:pPr>
            <w:r w:rsidRPr="00077224">
              <w:rPr>
                <w:rFonts w:ascii="Garamond" w:hAnsi="Garamond"/>
                <w:sz w:val="20"/>
                <w:szCs w:val="20"/>
              </w:rPr>
              <w:t>80,6</w:t>
            </w:r>
          </w:p>
        </w:tc>
      </w:tr>
      <w:tr w:rsidR="00B56CB1" w:rsidRPr="00377D59" w14:paraId="74B0812B" w14:textId="77777777" w:rsidTr="24CA6B4B">
        <w:trPr>
          <w:trHeight w:val="30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3A9285F0" w14:textId="57021C31" w:rsidR="00B56CB1" w:rsidRPr="00CB4082" w:rsidRDefault="00B56CB1" w:rsidP="00B56CB1">
            <w:pPr>
              <w:keepNext/>
              <w:keepLines/>
              <w:spacing w:after="0" w:line="240" w:lineRule="auto"/>
              <w:jc w:val="right"/>
              <w:rPr>
                <w:rFonts w:ascii="Times New Roman" w:eastAsia="Times New Roman" w:hAnsi="Times New Roman" w:cs="Times New Roman"/>
                <w:sz w:val="20"/>
                <w:szCs w:val="20"/>
                <w:lang w:eastAsia="hu-HU"/>
              </w:rPr>
            </w:pPr>
            <w:r w:rsidRPr="22B2E273">
              <w:rPr>
                <w:rFonts w:ascii="Times New Roman" w:hAnsi="Times New Roman" w:cs="Times New Roman"/>
                <w:sz w:val="20"/>
                <w:szCs w:val="20"/>
              </w:rPr>
              <w:t>bevétel:</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22291C09" w14:textId="0EF63710"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36 831,9</w:t>
            </w:r>
          </w:p>
        </w:tc>
        <w:tc>
          <w:tcPr>
            <w:tcW w:w="1233" w:type="dxa"/>
            <w:tcBorders>
              <w:top w:val="nil"/>
              <w:left w:val="nil"/>
              <w:bottom w:val="single" w:sz="4" w:space="0" w:color="auto"/>
              <w:right w:val="single" w:sz="4" w:space="0" w:color="auto"/>
            </w:tcBorders>
            <w:shd w:val="clear" w:color="auto" w:fill="auto"/>
            <w:noWrap/>
            <w:vAlign w:val="center"/>
          </w:tcPr>
          <w:p w14:paraId="1E254290" w14:textId="3F18EB51"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31 663,</w:t>
            </w:r>
            <w:r>
              <w:rPr>
                <w:rFonts w:ascii="Garamond" w:hAnsi="Garamond"/>
                <w:sz w:val="20"/>
                <w:szCs w:val="20"/>
              </w:rPr>
              <w:t>4</w:t>
            </w:r>
          </w:p>
        </w:tc>
        <w:tc>
          <w:tcPr>
            <w:tcW w:w="1118" w:type="dxa"/>
            <w:tcBorders>
              <w:top w:val="nil"/>
              <w:left w:val="nil"/>
              <w:bottom w:val="single" w:sz="4" w:space="0" w:color="auto"/>
              <w:right w:val="single" w:sz="4" w:space="0" w:color="auto"/>
            </w:tcBorders>
            <w:shd w:val="clear" w:color="auto" w:fill="auto"/>
            <w:noWrap/>
            <w:vAlign w:val="center"/>
          </w:tcPr>
          <w:p w14:paraId="1677581F" w14:textId="6FF8F527"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86,0</w:t>
            </w:r>
          </w:p>
        </w:tc>
        <w:tc>
          <w:tcPr>
            <w:tcW w:w="1103" w:type="dxa"/>
            <w:tcBorders>
              <w:top w:val="nil"/>
              <w:left w:val="nil"/>
              <w:bottom w:val="single" w:sz="4" w:space="0" w:color="auto"/>
              <w:right w:val="single" w:sz="4" w:space="0" w:color="auto"/>
            </w:tcBorders>
            <w:shd w:val="clear" w:color="auto" w:fill="auto"/>
            <w:noWrap/>
            <w:vAlign w:val="center"/>
          </w:tcPr>
          <w:p w14:paraId="7B7C4D83" w14:textId="3F994078"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38</w:t>
            </w:r>
            <w:r>
              <w:rPr>
                <w:rFonts w:ascii="Garamond" w:hAnsi="Garamond"/>
                <w:sz w:val="20"/>
                <w:szCs w:val="20"/>
              </w:rPr>
              <w:t> </w:t>
            </w:r>
            <w:r w:rsidRPr="00077224">
              <w:rPr>
                <w:rFonts w:ascii="Garamond" w:hAnsi="Garamond"/>
                <w:sz w:val="20"/>
                <w:szCs w:val="20"/>
              </w:rPr>
              <w:t>240,</w:t>
            </w:r>
            <w:r>
              <w:rPr>
                <w:rFonts w:ascii="Garamond" w:hAnsi="Garamond"/>
                <w:sz w:val="20"/>
                <w:szCs w:val="20"/>
              </w:rPr>
              <w:t>4</w:t>
            </w:r>
          </w:p>
        </w:tc>
        <w:tc>
          <w:tcPr>
            <w:tcW w:w="1224" w:type="dxa"/>
            <w:tcBorders>
              <w:top w:val="nil"/>
              <w:left w:val="nil"/>
              <w:bottom w:val="single" w:sz="4" w:space="0" w:color="auto"/>
              <w:right w:val="single" w:sz="4" w:space="0" w:color="auto"/>
            </w:tcBorders>
            <w:shd w:val="clear" w:color="auto" w:fill="auto"/>
            <w:noWrap/>
            <w:vAlign w:val="center"/>
          </w:tcPr>
          <w:p w14:paraId="6AB699E4" w14:textId="5AF846B6"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33 619,0</w:t>
            </w:r>
          </w:p>
        </w:tc>
        <w:tc>
          <w:tcPr>
            <w:tcW w:w="1275" w:type="dxa"/>
            <w:tcBorders>
              <w:top w:val="nil"/>
              <w:left w:val="nil"/>
              <w:bottom w:val="single" w:sz="4" w:space="0" w:color="auto"/>
              <w:right w:val="single" w:sz="4" w:space="0" w:color="auto"/>
            </w:tcBorders>
            <w:shd w:val="clear" w:color="auto" w:fill="auto"/>
            <w:noWrap/>
            <w:vAlign w:val="center"/>
          </w:tcPr>
          <w:p w14:paraId="7A3AB10B" w14:textId="640C52DC"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87,9</w:t>
            </w:r>
          </w:p>
        </w:tc>
        <w:tc>
          <w:tcPr>
            <w:tcW w:w="1134" w:type="dxa"/>
            <w:tcBorders>
              <w:top w:val="nil"/>
              <w:left w:val="nil"/>
              <w:bottom w:val="single" w:sz="4" w:space="0" w:color="auto"/>
              <w:right w:val="single" w:sz="4" w:space="0" w:color="auto"/>
            </w:tcBorders>
            <w:shd w:val="clear" w:color="auto" w:fill="auto"/>
            <w:noWrap/>
            <w:vAlign w:val="center"/>
          </w:tcPr>
          <w:p w14:paraId="38A6DE72" w14:textId="1CA0E9CB"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106,2</w:t>
            </w:r>
          </w:p>
        </w:tc>
      </w:tr>
      <w:tr w:rsidR="00B56CB1" w:rsidRPr="00377D59" w14:paraId="185112E4" w14:textId="77777777" w:rsidTr="24CA6B4B">
        <w:trPr>
          <w:trHeight w:val="30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325852F2" w14:textId="75E1BB08" w:rsidR="00B56CB1" w:rsidRPr="00CB4082" w:rsidRDefault="00B56CB1" w:rsidP="00B56CB1">
            <w:pPr>
              <w:keepNext/>
              <w:keepLines/>
              <w:spacing w:after="0" w:line="240" w:lineRule="auto"/>
              <w:jc w:val="right"/>
              <w:rPr>
                <w:rFonts w:ascii="Times New Roman" w:eastAsia="Times New Roman" w:hAnsi="Times New Roman" w:cs="Times New Roman"/>
                <w:sz w:val="20"/>
                <w:szCs w:val="20"/>
                <w:lang w:eastAsia="hu-HU"/>
              </w:rPr>
            </w:pPr>
            <w:r w:rsidRPr="22B2E273">
              <w:rPr>
                <w:rFonts w:ascii="Times New Roman" w:hAnsi="Times New Roman" w:cs="Times New Roman"/>
                <w:sz w:val="20"/>
                <w:szCs w:val="20"/>
              </w:rPr>
              <w:t>kiadás:</w:t>
            </w:r>
          </w:p>
        </w:tc>
        <w:tc>
          <w:tcPr>
            <w:tcW w:w="1067" w:type="dxa"/>
            <w:tcBorders>
              <w:top w:val="nil"/>
              <w:left w:val="single" w:sz="4" w:space="0" w:color="auto"/>
              <w:bottom w:val="single" w:sz="4" w:space="0" w:color="auto"/>
              <w:right w:val="single" w:sz="4" w:space="0" w:color="auto"/>
            </w:tcBorders>
            <w:shd w:val="clear" w:color="auto" w:fill="auto"/>
            <w:noWrap/>
            <w:vAlign w:val="center"/>
          </w:tcPr>
          <w:p w14:paraId="0172DF5E" w14:textId="7EA9E562"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41 267,4</w:t>
            </w:r>
          </w:p>
        </w:tc>
        <w:tc>
          <w:tcPr>
            <w:tcW w:w="1233" w:type="dxa"/>
            <w:tcBorders>
              <w:top w:val="nil"/>
              <w:left w:val="nil"/>
              <w:bottom w:val="single" w:sz="4" w:space="0" w:color="auto"/>
              <w:right w:val="single" w:sz="4" w:space="0" w:color="auto"/>
            </w:tcBorders>
            <w:shd w:val="clear" w:color="auto" w:fill="auto"/>
            <w:noWrap/>
            <w:vAlign w:val="center"/>
          </w:tcPr>
          <w:p w14:paraId="2EEFB745" w14:textId="4BD83A19"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35 737,</w:t>
            </w:r>
            <w:r>
              <w:rPr>
                <w:rFonts w:ascii="Garamond" w:hAnsi="Garamond"/>
                <w:sz w:val="20"/>
                <w:szCs w:val="20"/>
              </w:rPr>
              <w:t>7</w:t>
            </w:r>
          </w:p>
        </w:tc>
        <w:tc>
          <w:tcPr>
            <w:tcW w:w="1118" w:type="dxa"/>
            <w:tcBorders>
              <w:top w:val="nil"/>
              <w:left w:val="nil"/>
              <w:bottom w:val="single" w:sz="4" w:space="0" w:color="auto"/>
              <w:right w:val="single" w:sz="4" w:space="0" w:color="auto"/>
            </w:tcBorders>
            <w:shd w:val="clear" w:color="auto" w:fill="auto"/>
            <w:noWrap/>
            <w:vAlign w:val="center"/>
          </w:tcPr>
          <w:p w14:paraId="3D56ACA8" w14:textId="5D7B849A"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86,6</w:t>
            </w:r>
          </w:p>
        </w:tc>
        <w:tc>
          <w:tcPr>
            <w:tcW w:w="1103" w:type="dxa"/>
            <w:tcBorders>
              <w:top w:val="nil"/>
              <w:left w:val="nil"/>
              <w:bottom w:val="single" w:sz="4" w:space="0" w:color="auto"/>
              <w:right w:val="single" w:sz="4" w:space="0" w:color="auto"/>
            </w:tcBorders>
            <w:shd w:val="clear" w:color="auto" w:fill="auto"/>
            <w:noWrap/>
            <w:vAlign w:val="center"/>
          </w:tcPr>
          <w:p w14:paraId="412A7F29" w14:textId="60DCF648"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40</w:t>
            </w:r>
            <w:r>
              <w:rPr>
                <w:rFonts w:ascii="Garamond" w:hAnsi="Garamond"/>
                <w:sz w:val="20"/>
                <w:szCs w:val="20"/>
              </w:rPr>
              <w:t> </w:t>
            </w:r>
            <w:r w:rsidRPr="00077224">
              <w:rPr>
                <w:rFonts w:ascii="Garamond" w:hAnsi="Garamond"/>
                <w:sz w:val="20"/>
                <w:szCs w:val="20"/>
              </w:rPr>
              <w:t>755,</w:t>
            </w:r>
            <w:r>
              <w:rPr>
                <w:rFonts w:ascii="Garamond" w:hAnsi="Garamond"/>
                <w:sz w:val="20"/>
                <w:szCs w:val="20"/>
              </w:rPr>
              <w:t>2</w:t>
            </w:r>
          </w:p>
        </w:tc>
        <w:tc>
          <w:tcPr>
            <w:tcW w:w="1224" w:type="dxa"/>
            <w:tcBorders>
              <w:top w:val="nil"/>
              <w:left w:val="nil"/>
              <w:bottom w:val="single" w:sz="4" w:space="0" w:color="auto"/>
              <w:right w:val="single" w:sz="4" w:space="0" w:color="auto"/>
            </w:tcBorders>
            <w:shd w:val="clear" w:color="auto" w:fill="auto"/>
            <w:noWrap/>
            <w:vAlign w:val="center"/>
          </w:tcPr>
          <w:p w14:paraId="165D2D0D" w14:textId="3138613A"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36 903,3</w:t>
            </w:r>
          </w:p>
        </w:tc>
        <w:tc>
          <w:tcPr>
            <w:tcW w:w="1275" w:type="dxa"/>
            <w:tcBorders>
              <w:top w:val="nil"/>
              <w:left w:val="nil"/>
              <w:bottom w:val="single" w:sz="4" w:space="0" w:color="auto"/>
              <w:right w:val="single" w:sz="4" w:space="0" w:color="auto"/>
            </w:tcBorders>
            <w:shd w:val="clear" w:color="auto" w:fill="auto"/>
            <w:noWrap/>
            <w:vAlign w:val="center"/>
          </w:tcPr>
          <w:p w14:paraId="0F960772" w14:textId="4879E627"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90,5</w:t>
            </w:r>
          </w:p>
        </w:tc>
        <w:tc>
          <w:tcPr>
            <w:tcW w:w="1134" w:type="dxa"/>
            <w:tcBorders>
              <w:top w:val="nil"/>
              <w:left w:val="nil"/>
              <w:bottom w:val="single" w:sz="4" w:space="0" w:color="auto"/>
              <w:right w:val="single" w:sz="4" w:space="0" w:color="auto"/>
            </w:tcBorders>
            <w:shd w:val="clear" w:color="auto" w:fill="auto"/>
            <w:noWrap/>
            <w:vAlign w:val="center"/>
          </w:tcPr>
          <w:p w14:paraId="09A84AFA" w14:textId="37E6FCFA" w:rsidR="00B56CB1" w:rsidRPr="00CB4082" w:rsidRDefault="00B56CB1" w:rsidP="00B56CB1">
            <w:pPr>
              <w:spacing w:after="0" w:line="240" w:lineRule="auto"/>
              <w:jc w:val="right"/>
              <w:rPr>
                <w:rFonts w:ascii="Times New Roman" w:eastAsia="Times New Roman" w:hAnsi="Times New Roman" w:cs="Times New Roman"/>
                <w:sz w:val="20"/>
                <w:szCs w:val="20"/>
                <w:lang w:eastAsia="hu-HU"/>
              </w:rPr>
            </w:pPr>
            <w:r w:rsidRPr="00077224">
              <w:rPr>
                <w:rFonts w:ascii="Garamond" w:hAnsi="Garamond"/>
                <w:sz w:val="20"/>
                <w:szCs w:val="20"/>
              </w:rPr>
              <w:t>103,3</w:t>
            </w:r>
          </w:p>
        </w:tc>
      </w:tr>
    </w:tbl>
    <w:p w14:paraId="7B768A91" w14:textId="77777777" w:rsidR="00B155FE" w:rsidRDefault="00B155FE" w:rsidP="00B155FE">
      <w:pPr>
        <w:spacing w:after="120" w:line="240" w:lineRule="auto"/>
        <w:jc w:val="both"/>
        <w:rPr>
          <w:rFonts w:ascii="Times New Roman" w:eastAsia="Times New Roman" w:hAnsi="Times New Roman" w:cs="Times New Roman"/>
          <w:b/>
          <w:bCs/>
          <w:sz w:val="26"/>
          <w:szCs w:val="20"/>
          <w:lang w:eastAsia="hu-HU"/>
        </w:rPr>
      </w:pPr>
    </w:p>
    <w:p w14:paraId="30CB3F52" w14:textId="77777777" w:rsidR="00684D06" w:rsidRPr="00377D59" w:rsidRDefault="00684D06" w:rsidP="00B155FE">
      <w:pPr>
        <w:spacing w:after="120" w:line="240" w:lineRule="auto"/>
        <w:jc w:val="both"/>
        <w:rPr>
          <w:rFonts w:ascii="Times New Roman" w:eastAsia="Times New Roman" w:hAnsi="Times New Roman" w:cs="Times New Roman"/>
          <w:b/>
          <w:bCs/>
          <w:sz w:val="26"/>
          <w:szCs w:val="20"/>
          <w:lang w:eastAsia="hu-HU"/>
        </w:rPr>
      </w:pPr>
    </w:p>
    <w:p w14:paraId="48AF08BC" w14:textId="77777777" w:rsidR="008F511B" w:rsidRPr="00377D59" w:rsidRDefault="22B2E273" w:rsidP="22B2E273">
      <w:pPr>
        <w:keepNext/>
        <w:spacing w:line="240" w:lineRule="auto"/>
        <w:ind w:left="425" w:hanging="425"/>
        <w:jc w:val="center"/>
        <w:outlineLvl w:val="3"/>
        <w:rPr>
          <w:rFonts w:ascii="Times New Roman" w:eastAsia="Times New Roman" w:hAnsi="Times New Roman" w:cs="Times New Roman"/>
          <w:b/>
          <w:bCs/>
          <w:caps/>
          <w:sz w:val="26"/>
          <w:szCs w:val="26"/>
          <w:lang w:eastAsia="hu-HU"/>
        </w:rPr>
      </w:pPr>
      <w:r w:rsidRPr="22B2E273">
        <w:rPr>
          <w:rFonts w:ascii="Times New Roman" w:eastAsia="Times New Roman" w:hAnsi="Times New Roman" w:cs="Times New Roman"/>
          <w:b/>
          <w:bCs/>
          <w:caps/>
          <w:sz w:val="26"/>
          <w:szCs w:val="26"/>
          <w:lang w:eastAsia="hu-HU"/>
        </w:rPr>
        <w:t>Az államháztartás központi alrendszerének HIÁNYA</w:t>
      </w:r>
    </w:p>
    <w:p w14:paraId="52778348" w14:textId="77777777" w:rsidR="008F511B" w:rsidRPr="00384AA3" w:rsidRDefault="22B2E273" w:rsidP="22B2E273">
      <w:pPr>
        <w:jc w:val="both"/>
        <w:rPr>
          <w:rFonts w:ascii="Times New Roman" w:eastAsia="Times New Roman" w:hAnsi="Times New Roman" w:cs="Times New Roman"/>
          <w:color w:val="000000" w:themeColor="text1"/>
          <w:sz w:val="26"/>
          <w:szCs w:val="26"/>
          <w:lang w:eastAsia="hu-HU"/>
        </w:rPr>
      </w:pPr>
      <w:r w:rsidRPr="22B2E273">
        <w:rPr>
          <w:rFonts w:ascii="Times New Roman" w:eastAsia="Times New Roman" w:hAnsi="Times New Roman" w:cs="Times New Roman"/>
          <w:color w:val="000000" w:themeColor="text1"/>
          <w:sz w:val="26"/>
          <w:szCs w:val="26"/>
          <w:lang w:eastAsia="hu-HU"/>
        </w:rPr>
        <w:t>Az államháztartás központi alrendszerének az elfogadott költségvetési törvényben szereplő 2,9%-os ESA-hiányhoz tartozó pénzforgalmi hiánya 2 514,8 milliárd forint.</w:t>
      </w:r>
    </w:p>
    <w:p w14:paraId="4DF44AE1" w14:textId="55BD6ED6" w:rsidR="008F511B" w:rsidRDefault="22B2E273" w:rsidP="22B2E273">
      <w:pPr>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color w:val="000000" w:themeColor="text1"/>
          <w:sz w:val="26"/>
          <w:szCs w:val="26"/>
          <w:lang w:eastAsia="hu-HU"/>
        </w:rPr>
        <w:t xml:space="preserve">A 4,5%-os módosított hiánycélhoz tartozó várható éves pénzforgalmi hiány – a kormányzati szektor egyenlegéről és adósságáról szeptember végén közzétett jelentésben szereplő várható adat szerint – ugyanakkor 4 790,4 milliárd forint. A </w:t>
      </w:r>
      <w:r w:rsidR="008A66DB">
        <w:rPr>
          <w:rFonts w:ascii="Times New Roman" w:eastAsia="Times New Roman" w:hAnsi="Times New Roman" w:cs="Times New Roman"/>
          <w:color w:val="000000" w:themeColor="text1"/>
          <w:sz w:val="26"/>
          <w:szCs w:val="26"/>
          <w:lang w:eastAsia="hu-HU"/>
        </w:rPr>
        <w:t>novemb</w:t>
      </w:r>
      <w:r w:rsidRPr="22B2E273">
        <w:rPr>
          <w:rFonts w:ascii="Times New Roman" w:eastAsia="Times New Roman" w:hAnsi="Times New Roman" w:cs="Times New Roman"/>
          <w:color w:val="000000" w:themeColor="text1"/>
          <w:sz w:val="26"/>
          <w:szCs w:val="26"/>
          <w:lang w:eastAsia="hu-HU"/>
        </w:rPr>
        <w:t>er végi központi alrendszer hiánya (3</w:t>
      </w:r>
      <w:r w:rsidR="008A66DB">
        <w:rPr>
          <w:rFonts w:ascii="Times New Roman" w:eastAsia="Times New Roman" w:hAnsi="Times New Roman" w:cs="Times New Roman"/>
          <w:color w:val="000000" w:themeColor="text1"/>
          <w:sz w:val="26"/>
          <w:szCs w:val="26"/>
          <w:lang w:eastAsia="hu-HU"/>
        </w:rPr>
        <w:t xml:space="preserve"> 284,3 </w:t>
      </w:r>
      <w:r w:rsidRPr="22B2E273">
        <w:rPr>
          <w:rFonts w:ascii="Times New Roman" w:eastAsia="Times New Roman" w:hAnsi="Times New Roman" w:cs="Times New Roman"/>
          <w:color w:val="000000" w:themeColor="text1"/>
          <w:sz w:val="26"/>
          <w:szCs w:val="26"/>
          <w:lang w:eastAsia="hu-HU"/>
        </w:rPr>
        <w:t>milliárd forint) ennek 6</w:t>
      </w:r>
      <w:r w:rsidR="008A66DB">
        <w:rPr>
          <w:rFonts w:ascii="Times New Roman" w:eastAsia="Times New Roman" w:hAnsi="Times New Roman" w:cs="Times New Roman"/>
          <w:color w:val="000000" w:themeColor="text1"/>
          <w:sz w:val="26"/>
          <w:szCs w:val="26"/>
          <w:lang w:eastAsia="hu-HU"/>
        </w:rPr>
        <w:t>8,6</w:t>
      </w:r>
      <w:r w:rsidRPr="22B2E273">
        <w:rPr>
          <w:rFonts w:ascii="Times New Roman" w:eastAsia="Times New Roman" w:hAnsi="Times New Roman" w:cs="Times New Roman"/>
          <w:color w:val="000000" w:themeColor="text1"/>
          <w:sz w:val="26"/>
          <w:szCs w:val="26"/>
          <w:lang w:eastAsia="hu-HU"/>
        </w:rPr>
        <w:t>%-a.</w:t>
      </w:r>
    </w:p>
    <w:p w14:paraId="7B768A92" w14:textId="77777777" w:rsidR="00B155FE" w:rsidRPr="00377D59" w:rsidRDefault="00B155FE" w:rsidP="00B155FE">
      <w:pPr>
        <w:spacing w:after="120" w:line="240" w:lineRule="auto"/>
        <w:jc w:val="both"/>
        <w:rPr>
          <w:rFonts w:ascii="Times New Roman" w:eastAsia="Times New Roman" w:hAnsi="Times New Roman" w:cs="Times New Roman"/>
          <w:b/>
          <w:bCs/>
          <w:sz w:val="26"/>
          <w:szCs w:val="20"/>
          <w:lang w:eastAsia="hu-HU"/>
        </w:rPr>
      </w:pPr>
      <w:r w:rsidRPr="00377D59">
        <w:rPr>
          <w:rFonts w:ascii="Times New Roman" w:eastAsia="Times New Roman" w:hAnsi="Times New Roman" w:cs="Times New Roman"/>
          <w:b/>
          <w:bCs/>
          <w:sz w:val="26"/>
          <w:szCs w:val="20"/>
          <w:lang w:eastAsia="hu-HU"/>
        </w:rPr>
        <w:br w:type="page"/>
      </w:r>
    </w:p>
    <w:p w14:paraId="7B768A93" w14:textId="77777777" w:rsidR="00B155FE" w:rsidRPr="00377D59" w:rsidRDefault="22B2E273" w:rsidP="22B2E273">
      <w:pPr>
        <w:spacing w:after="120" w:line="240" w:lineRule="auto"/>
        <w:jc w:val="center"/>
        <w:rPr>
          <w:rFonts w:ascii="Times New Roman" w:eastAsia="Times New Roman" w:hAnsi="Times New Roman" w:cs="Times New Roman"/>
          <w:b/>
          <w:bCs/>
          <w:sz w:val="26"/>
          <w:szCs w:val="26"/>
          <w:lang w:eastAsia="hu-HU"/>
        </w:rPr>
      </w:pPr>
      <w:r w:rsidRPr="22B2E273">
        <w:rPr>
          <w:rFonts w:ascii="Times New Roman" w:eastAsia="Times New Roman" w:hAnsi="Times New Roman" w:cs="Times New Roman"/>
          <w:b/>
          <w:bCs/>
          <w:sz w:val="26"/>
          <w:szCs w:val="26"/>
          <w:lang w:eastAsia="hu-HU"/>
        </w:rPr>
        <w:t>I.</w:t>
      </w:r>
    </w:p>
    <w:p w14:paraId="7B768A94" w14:textId="77777777" w:rsidR="00B155FE" w:rsidRPr="00377D59" w:rsidRDefault="22B2E273" w:rsidP="22B2E273">
      <w:pPr>
        <w:keepNext/>
        <w:spacing w:after="120" w:line="240" w:lineRule="auto"/>
        <w:jc w:val="center"/>
        <w:outlineLvl w:val="1"/>
        <w:rPr>
          <w:rFonts w:ascii="Times New Roman" w:eastAsia="Times New Roman" w:hAnsi="Times New Roman" w:cs="Times New Roman"/>
          <w:b/>
          <w:bCs/>
          <w:caps/>
          <w:sz w:val="26"/>
          <w:szCs w:val="26"/>
          <w:lang w:eastAsia="hu-HU"/>
        </w:rPr>
      </w:pPr>
      <w:r w:rsidRPr="22B2E273">
        <w:rPr>
          <w:rFonts w:ascii="Times New Roman" w:eastAsia="Times New Roman" w:hAnsi="Times New Roman" w:cs="Times New Roman"/>
          <w:b/>
          <w:bCs/>
          <w:caps/>
          <w:sz w:val="26"/>
          <w:szCs w:val="26"/>
          <w:lang w:eastAsia="hu-HU"/>
        </w:rPr>
        <w:t xml:space="preserve">A központi alrendszer pénzügyi folyamatainak </w:t>
      </w:r>
      <w:r w:rsidR="7929D98B">
        <w:br/>
      </w:r>
      <w:r w:rsidRPr="22B2E273">
        <w:rPr>
          <w:rFonts w:ascii="Times New Roman" w:eastAsia="Times New Roman" w:hAnsi="Times New Roman" w:cs="Times New Roman"/>
          <w:b/>
          <w:bCs/>
          <w:caps/>
          <w:sz w:val="26"/>
          <w:szCs w:val="26"/>
          <w:lang w:eastAsia="hu-HU"/>
        </w:rPr>
        <w:t>alakulása</w:t>
      </w:r>
    </w:p>
    <w:p w14:paraId="6D461365" w14:textId="08DC9FC2" w:rsidR="0004032B" w:rsidRPr="00377D59" w:rsidRDefault="22B2E273" w:rsidP="22B2E273">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22B2E273">
        <w:rPr>
          <w:rFonts w:ascii="Times New Roman" w:eastAsia="Times New Roman" w:hAnsi="Times New Roman" w:cs="Times New Roman"/>
          <w:b/>
          <w:bCs/>
          <w:smallCaps/>
          <w:sz w:val="28"/>
          <w:szCs w:val="28"/>
          <w:lang w:eastAsia="hu-HU"/>
        </w:rPr>
        <w:t>A főbb bevételek</w:t>
      </w:r>
    </w:p>
    <w:p w14:paraId="12E99013" w14:textId="4C8ED692" w:rsidR="0004032B" w:rsidRPr="00377D59" w:rsidRDefault="22B2E273" w:rsidP="22B2E273">
      <w:pPr>
        <w:jc w:val="both"/>
        <w:rPr>
          <w:rFonts w:ascii="Times New Roman" w:eastAsia="Times New Roman" w:hAnsi="Times New Roman" w:cs="Times New Roman"/>
          <w:b/>
          <w:bCs/>
          <w:sz w:val="26"/>
          <w:szCs w:val="26"/>
        </w:rPr>
      </w:pPr>
      <w:r w:rsidRPr="22B2E273">
        <w:rPr>
          <w:rFonts w:ascii="Times New Roman" w:eastAsia="Times New Roman" w:hAnsi="Times New Roman" w:cs="Times New Roman"/>
          <w:b/>
          <w:bCs/>
          <w:sz w:val="26"/>
          <w:szCs w:val="26"/>
        </w:rPr>
        <w:t xml:space="preserve">A </w:t>
      </w:r>
      <w:r w:rsidR="00B56CB1" w:rsidRPr="00B56CB1">
        <w:rPr>
          <w:rFonts w:ascii="Times New Roman" w:eastAsia="Times New Roman" w:hAnsi="Times New Roman" w:cs="Times New Roman"/>
          <w:b/>
          <w:bCs/>
          <w:sz w:val="26"/>
          <w:szCs w:val="26"/>
        </w:rPr>
        <w:t>közpo</w:t>
      </w:r>
      <w:r w:rsidR="00B56CB1">
        <w:rPr>
          <w:rFonts w:ascii="Times New Roman" w:eastAsia="Times New Roman" w:hAnsi="Times New Roman" w:cs="Times New Roman"/>
          <w:b/>
          <w:bCs/>
          <w:sz w:val="26"/>
          <w:szCs w:val="26"/>
        </w:rPr>
        <w:t>nti alrendszer november végi 33 </w:t>
      </w:r>
      <w:r w:rsidR="00B56CB1" w:rsidRPr="00B56CB1">
        <w:rPr>
          <w:rFonts w:ascii="Times New Roman" w:eastAsia="Times New Roman" w:hAnsi="Times New Roman" w:cs="Times New Roman"/>
          <w:b/>
          <w:bCs/>
          <w:sz w:val="26"/>
          <w:szCs w:val="26"/>
        </w:rPr>
        <w:t>619,0 milliárd forint összegű bevételei az előző</w:t>
      </w:r>
      <w:r w:rsidR="00B56CB1">
        <w:rPr>
          <w:rFonts w:ascii="Times New Roman" w:eastAsia="Times New Roman" w:hAnsi="Times New Roman" w:cs="Times New Roman"/>
          <w:b/>
          <w:bCs/>
          <w:sz w:val="26"/>
          <w:szCs w:val="26"/>
        </w:rPr>
        <w:t xml:space="preserve"> év azonos időszakához képest 1 </w:t>
      </w:r>
      <w:r w:rsidR="00B56CB1" w:rsidRPr="00B56CB1">
        <w:rPr>
          <w:rFonts w:ascii="Times New Roman" w:eastAsia="Times New Roman" w:hAnsi="Times New Roman" w:cs="Times New Roman"/>
          <w:b/>
          <w:bCs/>
          <w:sz w:val="26"/>
          <w:szCs w:val="26"/>
        </w:rPr>
        <w:t>955,6 milliárd forinttal, 6,2%-kal magasabb összegben</w:t>
      </w:r>
      <w:r w:rsidRPr="22B2E273">
        <w:rPr>
          <w:rFonts w:ascii="Times New Roman" w:eastAsia="Times New Roman" w:hAnsi="Times New Roman" w:cs="Times New Roman"/>
          <w:b/>
          <w:bCs/>
          <w:sz w:val="26"/>
          <w:szCs w:val="26"/>
        </w:rPr>
        <w:t xml:space="preserve"> alakultak. </w:t>
      </w:r>
    </w:p>
    <w:p w14:paraId="6BBE59DE" w14:textId="71BC4E08" w:rsidR="00CF551C" w:rsidRDefault="00C11940" w:rsidP="00C11940">
      <w:pPr>
        <w:pStyle w:val="NormlWeb"/>
        <w:spacing w:before="0" w:beforeAutospacing="0" w:after="120" w:afterAutospacing="0"/>
        <w:jc w:val="center"/>
      </w:pPr>
      <w:r>
        <w:rPr>
          <w:noProof/>
        </w:rPr>
        <w:drawing>
          <wp:inline distT="0" distB="0" distL="0" distR="0" wp14:anchorId="600A7BC5" wp14:editId="7F0F1313">
            <wp:extent cx="5940425" cy="2391410"/>
            <wp:effectExtent l="0" t="0" r="3175" b="889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2391410"/>
                    </a:xfrm>
                    <a:prstGeom prst="rect">
                      <a:avLst/>
                    </a:prstGeom>
                  </pic:spPr>
                </pic:pic>
              </a:graphicData>
            </a:graphic>
          </wp:inline>
        </w:drawing>
      </w:r>
    </w:p>
    <w:p w14:paraId="25C0B3BF" w14:textId="62333802" w:rsidR="7929D98B" w:rsidRDefault="22B2E273" w:rsidP="7929D98B">
      <w:pPr>
        <w:jc w:val="both"/>
      </w:pPr>
      <w:r w:rsidRPr="22B2E273">
        <w:rPr>
          <w:rFonts w:ascii="Times New Roman" w:eastAsia="Times New Roman" w:hAnsi="Times New Roman" w:cs="Times New Roman"/>
          <w:b/>
          <w:bCs/>
          <w:sz w:val="26"/>
          <w:szCs w:val="26"/>
        </w:rPr>
        <w:t xml:space="preserve">Társasági adó </w:t>
      </w:r>
      <w:r w:rsidRPr="22B2E273">
        <w:rPr>
          <w:rFonts w:ascii="Times New Roman" w:eastAsia="Times New Roman" w:hAnsi="Times New Roman" w:cs="Times New Roman"/>
          <w:sz w:val="26"/>
          <w:szCs w:val="26"/>
        </w:rPr>
        <w:t>jogcímen a 2024. év első tizenegy hónapjában</w:t>
      </w:r>
      <w:r w:rsidR="008A66DB">
        <w:rPr>
          <w:rFonts w:ascii="Times New Roman" w:eastAsia="Times New Roman" w:hAnsi="Times New Roman" w:cs="Times New Roman"/>
          <w:sz w:val="26"/>
          <w:szCs w:val="26"/>
        </w:rPr>
        <w:t xml:space="preserve"> </w:t>
      </w:r>
      <w:r w:rsidRPr="22B2E273">
        <w:rPr>
          <w:rFonts w:ascii="Times New Roman" w:eastAsia="Times New Roman" w:hAnsi="Times New Roman" w:cs="Times New Roman"/>
          <w:sz w:val="26"/>
          <w:szCs w:val="26"/>
        </w:rPr>
        <w:t>947,7</w:t>
      </w:r>
      <w:r w:rsidR="008A66DB">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milliárd</w:t>
      </w:r>
      <w:r w:rsidR="008A66DB">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forint realizálódott, amely az előző év egyenlegét 8,0 milliárd forinttal múlta alul. A bázisévhez viszonyítva az eltérést a kiutalások befizetésekhez képesti jelentősebb növekménye, valamint az egyedi és az eltérő üzleti éves adózók elszámolásához köthető befizetések okozzák.</w:t>
      </w:r>
    </w:p>
    <w:p w14:paraId="5AA7B5AB" w14:textId="197306DC" w:rsidR="7929D98B" w:rsidRDefault="22B2E273" w:rsidP="7929D98B">
      <w:pPr>
        <w:jc w:val="both"/>
      </w:pPr>
      <w:r w:rsidRPr="22B2E273">
        <w:rPr>
          <w:rFonts w:ascii="Times New Roman" w:eastAsia="Times New Roman" w:hAnsi="Times New Roman" w:cs="Times New Roman"/>
          <w:sz w:val="26"/>
          <w:szCs w:val="26"/>
        </w:rPr>
        <w:t>A</w:t>
      </w:r>
      <w:r w:rsidRPr="22B2E273">
        <w:rPr>
          <w:rFonts w:ascii="Times New Roman" w:eastAsia="Times New Roman" w:hAnsi="Times New Roman" w:cs="Times New Roman"/>
          <w:b/>
          <w:bCs/>
          <w:sz w:val="26"/>
          <w:szCs w:val="26"/>
        </w:rPr>
        <w:t xml:space="preserve"> pénzügyi szervezetek befizetései</w:t>
      </w:r>
      <w:r w:rsidRPr="22B2E273">
        <w:rPr>
          <w:rFonts w:ascii="Times New Roman" w:eastAsia="Times New Roman" w:hAnsi="Times New Roman" w:cs="Times New Roman"/>
          <w:sz w:val="26"/>
          <w:szCs w:val="26"/>
        </w:rPr>
        <w:t xml:space="preserve"> mérlegsoron a 2024. év első tizenegy hónapjában 205,5 milliárd forint teljesült, amely az előző év egyenlegénél 45,9 milliárd forinttal múlta alul. Ennek oka, hogy a pénzügyi szervezetek extraprofitadó kötelezettség megfizetésének időpontja eltér az előző évtől és 2024. évtől állampapír-állomány növekedéséhez kötötten kedvezmény érvényesíthető a banki extraprofit-adóból.</w:t>
      </w:r>
    </w:p>
    <w:p w14:paraId="1709D379" w14:textId="190A433C" w:rsidR="7929D98B" w:rsidRDefault="22B2E273" w:rsidP="7929D98B">
      <w:pPr>
        <w:jc w:val="both"/>
      </w:pPr>
      <w:r w:rsidRPr="22B2E273">
        <w:rPr>
          <w:rFonts w:ascii="Times New Roman" w:eastAsia="Times New Roman" w:hAnsi="Times New Roman" w:cs="Times New Roman"/>
          <w:sz w:val="26"/>
          <w:szCs w:val="26"/>
        </w:rPr>
        <w:t>A</w:t>
      </w:r>
      <w:r w:rsidRPr="22B2E273">
        <w:rPr>
          <w:rFonts w:ascii="Times New Roman" w:eastAsia="Times New Roman" w:hAnsi="Times New Roman" w:cs="Times New Roman"/>
          <w:b/>
          <w:bCs/>
          <w:sz w:val="26"/>
          <w:szCs w:val="26"/>
        </w:rPr>
        <w:t xml:space="preserve"> kisadózók tételes adójából</w:t>
      </w:r>
      <w:r w:rsidRPr="22B2E273">
        <w:rPr>
          <w:rFonts w:ascii="Times New Roman" w:eastAsia="Times New Roman" w:hAnsi="Times New Roman" w:cs="Times New Roman"/>
          <w:sz w:val="26"/>
          <w:szCs w:val="26"/>
        </w:rPr>
        <w:t xml:space="preserve"> 2024 első tizenegy hó</w:t>
      </w:r>
      <w:r w:rsidR="008A66DB">
        <w:rPr>
          <w:rFonts w:ascii="Times New Roman" w:eastAsia="Times New Roman" w:hAnsi="Times New Roman" w:cs="Times New Roman"/>
          <w:sz w:val="26"/>
          <w:szCs w:val="26"/>
        </w:rPr>
        <w:t>napjában a költségvetésnek 61,4 </w:t>
      </w:r>
      <w:r w:rsidRPr="22B2E273">
        <w:rPr>
          <w:rFonts w:ascii="Times New Roman" w:eastAsia="Times New Roman" w:hAnsi="Times New Roman" w:cs="Times New Roman"/>
          <w:sz w:val="26"/>
          <w:szCs w:val="26"/>
        </w:rPr>
        <w:t>milliárd forint bevétele keletkezett, amely 3,5</w:t>
      </w:r>
      <w:r w:rsidR="008A66DB">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milliárd</w:t>
      </w:r>
      <w:r w:rsidR="008A66DB">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forinttal kevesebb az egy évvel korábbinál. Ennek oka az adónemet választók alacsonyabb létszáma.</w:t>
      </w:r>
    </w:p>
    <w:p w14:paraId="2A5EC897" w14:textId="26F01D8D" w:rsidR="7929D98B" w:rsidRDefault="22B2E273" w:rsidP="7929D98B">
      <w:pPr>
        <w:jc w:val="both"/>
      </w:pPr>
      <w:r w:rsidRPr="22B2E273">
        <w:rPr>
          <w:rFonts w:ascii="Times New Roman" w:eastAsia="Times New Roman" w:hAnsi="Times New Roman" w:cs="Times New Roman"/>
          <w:sz w:val="26"/>
          <w:szCs w:val="26"/>
        </w:rPr>
        <w:t>A</w:t>
      </w:r>
      <w:r w:rsidRPr="22B2E273">
        <w:rPr>
          <w:rFonts w:ascii="Times New Roman" w:eastAsia="Times New Roman" w:hAnsi="Times New Roman" w:cs="Times New Roman"/>
          <w:b/>
          <w:bCs/>
          <w:sz w:val="26"/>
          <w:szCs w:val="26"/>
        </w:rPr>
        <w:t xml:space="preserve"> kisvállalati adóból</w:t>
      </w:r>
      <w:r w:rsidRPr="22B2E273">
        <w:rPr>
          <w:rFonts w:ascii="Times New Roman" w:eastAsia="Times New Roman" w:hAnsi="Times New Roman" w:cs="Times New Roman"/>
          <w:sz w:val="26"/>
          <w:szCs w:val="26"/>
        </w:rPr>
        <w:t xml:space="preserve"> származó bevétel a 2024. év első tizenegy hónapjában 207,4 milliárd forint volt, amely 31,1 milliárd forinttal magasabb az előző év egyenlegénél. Ennek oka az adóalanyok számának jelentős mértékű bővülése.</w:t>
      </w:r>
      <w:r w:rsidR="0071549A">
        <w:rPr>
          <w:rFonts w:ascii="Times New Roman" w:eastAsia="Times New Roman" w:hAnsi="Times New Roman" w:cs="Times New Roman"/>
          <w:sz w:val="26"/>
          <w:szCs w:val="26"/>
        </w:rPr>
        <w:t xml:space="preserve"> 2024 novemberében a KIVA </w:t>
      </w:r>
      <w:r w:rsidRPr="22B2E273">
        <w:rPr>
          <w:rFonts w:ascii="Times New Roman" w:eastAsia="Times New Roman" w:hAnsi="Times New Roman" w:cs="Times New Roman"/>
          <w:sz w:val="26"/>
          <w:szCs w:val="26"/>
        </w:rPr>
        <w:t>alanyok száma meghaladta a 94,8 ezret.</w:t>
      </w:r>
    </w:p>
    <w:p w14:paraId="05A0FCFD" w14:textId="4E145B87" w:rsidR="00640595" w:rsidRDefault="22B2E273" w:rsidP="22B2E273">
      <w:pPr>
        <w:jc w:val="both"/>
        <w:rPr>
          <w:rFonts w:ascii="Times New Roman" w:eastAsia="Times New Roman" w:hAnsi="Times New Roman" w:cs="Times New Roman"/>
          <w:sz w:val="26"/>
          <w:szCs w:val="26"/>
        </w:rPr>
      </w:pPr>
      <w:r w:rsidRPr="22B2E273">
        <w:rPr>
          <w:rFonts w:ascii="Times New Roman" w:eastAsia="Times New Roman" w:hAnsi="Times New Roman" w:cs="Times New Roman"/>
          <w:sz w:val="26"/>
          <w:szCs w:val="26"/>
        </w:rPr>
        <w:t xml:space="preserve">A </w:t>
      </w:r>
      <w:r w:rsidRPr="22B2E273">
        <w:rPr>
          <w:rFonts w:ascii="Times New Roman" w:eastAsia="Times New Roman" w:hAnsi="Times New Roman" w:cs="Times New Roman"/>
          <w:b/>
          <w:bCs/>
          <w:sz w:val="26"/>
          <w:szCs w:val="26"/>
        </w:rPr>
        <w:t>bányajáradék-bevétel</w:t>
      </w:r>
      <w:r w:rsidRPr="22B2E273">
        <w:rPr>
          <w:rFonts w:ascii="Times New Roman" w:eastAsia="Times New Roman" w:hAnsi="Times New Roman" w:cs="Times New Roman"/>
          <w:sz w:val="26"/>
          <w:szCs w:val="26"/>
        </w:rPr>
        <w:t xml:space="preserve"> az év első tizenegy hónapjában 110,1 milliárd forint volt, amely 121,2 milliárd forinttal teljesült alacsonyabban az egy évvel korábbi azonos időszakénál, amelynek fő oka a bányajáradék számítási módjának 2023. szeptember 1-jétől hatályos módosítása.</w:t>
      </w:r>
    </w:p>
    <w:p w14:paraId="5322C39E" w14:textId="39C226EB" w:rsidR="72AFD5C4" w:rsidRPr="00377D59" w:rsidRDefault="22B2E273" w:rsidP="22B2E273">
      <w:pPr>
        <w:jc w:val="both"/>
        <w:rPr>
          <w:rFonts w:ascii="Times New Roman" w:eastAsia="Times New Roman" w:hAnsi="Times New Roman" w:cs="Times New Roman"/>
          <w:sz w:val="26"/>
          <w:szCs w:val="26"/>
        </w:rPr>
      </w:pPr>
      <w:r w:rsidRPr="22B2E273">
        <w:rPr>
          <w:rFonts w:ascii="Times New Roman" w:eastAsia="Times New Roman" w:hAnsi="Times New Roman" w:cs="Times New Roman"/>
          <w:sz w:val="26"/>
          <w:szCs w:val="26"/>
        </w:rPr>
        <w:t xml:space="preserve">Az </w:t>
      </w:r>
      <w:r w:rsidRPr="22B2E273">
        <w:rPr>
          <w:rFonts w:ascii="Times New Roman" w:eastAsia="Times New Roman" w:hAnsi="Times New Roman" w:cs="Times New Roman"/>
          <w:b/>
          <w:bCs/>
          <w:sz w:val="26"/>
          <w:szCs w:val="26"/>
        </w:rPr>
        <w:t>útdíjakból származó bevétel</w:t>
      </w:r>
      <w:r w:rsidRPr="22B2E273">
        <w:rPr>
          <w:rFonts w:ascii="Times New Roman" w:eastAsia="Times New Roman" w:hAnsi="Times New Roman" w:cs="Times New Roman"/>
          <w:sz w:val="26"/>
          <w:szCs w:val="26"/>
        </w:rPr>
        <w:t xml:space="preserve"> 2024-től külön mérlegsoron jelenik meg, mely az elektronikus útdíj rendszer és az időalapú útdíj rendszer bevételeinek együttes összegét tartalmazza. Az útdíjakból 2024</w:t>
      </w:r>
      <w:r w:rsidR="008A66DB">
        <w:rPr>
          <w:rFonts w:ascii="Times New Roman" w:eastAsia="Times New Roman" w:hAnsi="Times New Roman" w:cs="Times New Roman"/>
          <w:sz w:val="26"/>
          <w:szCs w:val="26"/>
        </w:rPr>
        <w:t>.</w:t>
      </w:r>
      <w:r w:rsidRPr="22B2E273">
        <w:rPr>
          <w:rFonts w:ascii="Times New Roman" w:eastAsia="Times New Roman" w:hAnsi="Times New Roman" w:cs="Times New Roman"/>
          <w:sz w:val="26"/>
          <w:szCs w:val="26"/>
        </w:rPr>
        <w:t xml:space="preserve"> november végéig 544,3 milliárd forint bevétel teljesült, amely 184,0 milliárd forinttal magasabb az előző év azonos időszakához viszonyítva. A magasabb teljesülést alapvetően a forgalmi adatok, valamint a díjrendszereket érintő jogszabályi keretek változása, különösen a külsőköltség-díj bevezetése okozza.</w:t>
      </w:r>
    </w:p>
    <w:p w14:paraId="685BE235" w14:textId="77777777" w:rsidR="008A66DB" w:rsidRDefault="24CA6B4B" w:rsidP="24CA6B4B">
      <w:pPr>
        <w:jc w:val="both"/>
        <w:rPr>
          <w:rFonts w:ascii="Times New Roman" w:eastAsia="Times New Roman" w:hAnsi="Times New Roman" w:cs="Times New Roman"/>
          <w:sz w:val="26"/>
          <w:szCs w:val="26"/>
        </w:rPr>
      </w:pPr>
      <w:r w:rsidRPr="24CA6B4B">
        <w:rPr>
          <w:rFonts w:ascii="Times New Roman" w:eastAsia="Times New Roman" w:hAnsi="Times New Roman" w:cs="Times New Roman"/>
          <w:b/>
          <w:bCs/>
          <w:sz w:val="26"/>
          <w:szCs w:val="26"/>
        </w:rPr>
        <w:t xml:space="preserve">Egyéb központosított bevételekből </w:t>
      </w:r>
      <w:r w:rsidRPr="24CA6B4B">
        <w:rPr>
          <w:rFonts w:ascii="Times New Roman" w:eastAsia="Times New Roman" w:hAnsi="Times New Roman" w:cs="Times New Roman"/>
          <w:sz w:val="26"/>
          <w:szCs w:val="26"/>
        </w:rPr>
        <w:t>november végéig összesen 136,6 milliárd forint bevétel teljesült, amely a törvényi előirányzat 93,9%-ának felel meg. Ezen belül kiemelkedő a bírságbevételekből befolyt 84,0 milliárd forint.</w:t>
      </w:r>
    </w:p>
    <w:p w14:paraId="5D6A038A" w14:textId="3B17E14D" w:rsidR="7929D98B" w:rsidRDefault="24CA6B4B" w:rsidP="24CA6B4B">
      <w:pPr>
        <w:jc w:val="both"/>
        <w:rPr>
          <w:rFonts w:ascii="Times New Roman" w:eastAsia="Times New Roman" w:hAnsi="Times New Roman" w:cs="Times New Roman"/>
          <w:sz w:val="26"/>
          <w:szCs w:val="26"/>
        </w:rPr>
      </w:pPr>
      <w:r w:rsidRPr="24CA6B4B">
        <w:rPr>
          <w:rFonts w:ascii="Times New Roman" w:eastAsia="Times New Roman" w:hAnsi="Times New Roman" w:cs="Times New Roman"/>
          <w:sz w:val="26"/>
          <w:szCs w:val="26"/>
        </w:rPr>
        <w:t>Az</w:t>
      </w:r>
      <w:r w:rsidRPr="24CA6B4B">
        <w:rPr>
          <w:rFonts w:ascii="Times New Roman" w:eastAsia="Times New Roman" w:hAnsi="Times New Roman" w:cs="Times New Roman"/>
          <w:b/>
          <w:bCs/>
          <w:sz w:val="26"/>
          <w:szCs w:val="26"/>
        </w:rPr>
        <w:t xml:space="preserve"> energia ágazat befizetései </w:t>
      </w:r>
      <w:r w:rsidRPr="24CA6B4B">
        <w:rPr>
          <w:rFonts w:ascii="Times New Roman" w:eastAsia="Times New Roman" w:hAnsi="Times New Roman" w:cs="Times New Roman"/>
          <w:sz w:val="26"/>
          <w:szCs w:val="26"/>
        </w:rPr>
        <w:t xml:space="preserve">jogcímen </w:t>
      </w:r>
      <w:r w:rsidR="0071549A">
        <w:rPr>
          <w:rFonts w:ascii="Times New Roman" w:eastAsia="Times New Roman" w:hAnsi="Times New Roman" w:cs="Times New Roman"/>
          <w:sz w:val="26"/>
          <w:szCs w:val="26"/>
        </w:rPr>
        <w:t xml:space="preserve">a </w:t>
      </w:r>
      <w:r w:rsidRPr="24CA6B4B">
        <w:rPr>
          <w:rFonts w:ascii="Times New Roman" w:eastAsia="Times New Roman" w:hAnsi="Times New Roman" w:cs="Times New Roman"/>
          <w:sz w:val="26"/>
          <w:szCs w:val="26"/>
        </w:rPr>
        <w:t>2024. év első tizenegy hóna</w:t>
      </w:r>
      <w:r w:rsidR="0071549A">
        <w:rPr>
          <w:rFonts w:ascii="Times New Roman" w:eastAsia="Times New Roman" w:hAnsi="Times New Roman" w:cs="Times New Roman"/>
          <w:sz w:val="26"/>
          <w:szCs w:val="26"/>
        </w:rPr>
        <w:t>pjában 250,5 </w:t>
      </w:r>
      <w:r w:rsidRPr="24CA6B4B">
        <w:rPr>
          <w:rFonts w:ascii="Times New Roman" w:eastAsia="Times New Roman" w:hAnsi="Times New Roman" w:cs="Times New Roman"/>
          <w:sz w:val="26"/>
          <w:szCs w:val="26"/>
        </w:rPr>
        <w:t>milliárd forint pénzforgalom teljesült, amely az előző év azonos</w:t>
      </w:r>
      <w:r w:rsidR="008A66DB">
        <w:rPr>
          <w:rFonts w:ascii="Times New Roman" w:eastAsia="Times New Roman" w:hAnsi="Times New Roman" w:cs="Times New Roman"/>
          <w:sz w:val="26"/>
          <w:szCs w:val="26"/>
        </w:rPr>
        <w:t xml:space="preserve"> időszakának egyenlegétől 135,1 </w:t>
      </w:r>
      <w:r w:rsidRPr="24CA6B4B">
        <w:rPr>
          <w:rFonts w:ascii="Times New Roman" w:eastAsia="Times New Roman" w:hAnsi="Times New Roman" w:cs="Times New Roman"/>
          <w:sz w:val="26"/>
          <w:szCs w:val="26"/>
        </w:rPr>
        <w:t xml:space="preserve">milliárd forinttal maradt el. Az </w:t>
      </w:r>
      <w:r w:rsidR="008A66DB">
        <w:rPr>
          <w:rFonts w:ascii="Times New Roman" w:eastAsia="Times New Roman" w:hAnsi="Times New Roman" w:cs="Times New Roman"/>
          <w:sz w:val="26"/>
          <w:szCs w:val="26"/>
        </w:rPr>
        <w:t>elmaradás</w:t>
      </w:r>
      <w:r w:rsidRPr="24CA6B4B">
        <w:rPr>
          <w:rFonts w:ascii="Times New Roman" w:eastAsia="Times New Roman" w:hAnsi="Times New Roman" w:cs="Times New Roman"/>
          <w:sz w:val="26"/>
          <w:szCs w:val="26"/>
        </w:rPr>
        <w:t xml:space="preserve"> jelentős részét az Ural-Brent spread különadó elmaradása tette ki.</w:t>
      </w:r>
    </w:p>
    <w:p w14:paraId="0BCF7AEC" w14:textId="737E8B62" w:rsidR="7929D98B" w:rsidRDefault="22B2E273" w:rsidP="7929D98B">
      <w:pPr>
        <w:jc w:val="both"/>
      </w:pPr>
      <w:r w:rsidRPr="22B2E273">
        <w:rPr>
          <w:rFonts w:ascii="Times New Roman" w:eastAsia="Times New Roman" w:hAnsi="Times New Roman" w:cs="Times New Roman"/>
          <w:b/>
          <w:bCs/>
          <w:sz w:val="26"/>
          <w:szCs w:val="26"/>
        </w:rPr>
        <w:t xml:space="preserve">Kiskereskedelmi adó </w:t>
      </w:r>
      <w:r w:rsidRPr="22B2E273">
        <w:rPr>
          <w:rFonts w:ascii="Times New Roman" w:eastAsia="Times New Roman" w:hAnsi="Times New Roman" w:cs="Times New Roman"/>
          <w:sz w:val="26"/>
          <w:szCs w:val="26"/>
        </w:rPr>
        <w:t>jogcímen az év első tizenegy hónapjában 226,9</w:t>
      </w:r>
      <w:r w:rsidR="00CD0671">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milliárd</w:t>
      </w:r>
      <w:r w:rsidR="00CD0671">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forint bevétel teljesült, amely az előző év azonos időszakának egyenlegénél 13,2 milliárd forinttal magasabb. A bevételek alakulásának hátterében az első és második előlegfizetés valamint az elszámolásokhoz és önellenőrzésekhez köthető befizetések állnak.</w:t>
      </w:r>
    </w:p>
    <w:p w14:paraId="5162E53A" w14:textId="46E3483F" w:rsidR="7929D98B" w:rsidRDefault="22B2E273" w:rsidP="7929D98B">
      <w:pPr>
        <w:jc w:val="both"/>
      </w:pPr>
      <w:r w:rsidRPr="22B2E273">
        <w:rPr>
          <w:rFonts w:ascii="Times New Roman" w:eastAsia="Times New Roman" w:hAnsi="Times New Roman" w:cs="Times New Roman"/>
          <w:b/>
          <w:bCs/>
          <w:sz w:val="26"/>
          <w:szCs w:val="26"/>
        </w:rPr>
        <w:t xml:space="preserve">Gyógyszergyártói adó </w:t>
      </w:r>
      <w:r w:rsidRPr="22B2E273">
        <w:rPr>
          <w:rFonts w:ascii="Times New Roman" w:eastAsia="Times New Roman" w:hAnsi="Times New Roman" w:cs="Times New Roman"/>
          <w:sz w:val="26"/>
          <w:szCs w:val="26"/>
        </w:rPr>
        <w:t>jogcímen 2024. év első tizenegy hónapjában 16,7</w:t>
      </w:r>
      <w:r w:rsidR="00CD0671">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milliárd</w:t>
      </w:r>
      <w:r w:rsidR="00CD0671">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forint pénzforgalom teljesült, amely 74,2</w:t>
      </w:r>
      <w:r w:rsidR="00CD0671">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milliárd</w:t>
      </w:r>
      <w:r w:rsidR="00CD0671">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 xml:space="preserve">forinttal marad el az előző év azonos időszakához képest. Ennek oka, hogy a jogszabály évente eltérő előlegfizetési, adóbevallási és elszámolási időpontokat határoz meg. </w:t>
      </w:r>
      <w:r w:rsidR="00CD0671" w:rsidRPr="00CD0671">
        <w:rPr>
          <w:rFonts w:ascii="Times New Roman" w:eastAsia="Times New Roman" w:hAnsi="Times New Roman" w:cs="Times New Roman"/>
          <w:sz w:val="26"/>
          <w:szCs w:val="26"/>
        </w:rPr>
        <w:t>Az első befizetés 2023 májusában történt, ekkor került megfizetésre a teljes 2022. évi adókötelezettség. 2023 novemberében volt a 2023. adóévre vonatkozó előlegfizetés, amelynek elszámolása 2024 májusa. Az idén májusban befolyt bevétel olyan elszámolása a 2023. évi adókötelezettségnek, amelynek jelentős része 2023 novemberében, előlegként már megfizetésre került.</w:t>
      </w:r>
    </w:p>
    <w:p w14:paraId="287E7650" w14:textId="2EA56DE7" w:rsidR="7929D98B" w:rsidRDefault="22B2E273" w:rsidP="7929D98B">
      <w:pPr>
        <w:jc w:val="both"/>
      </w:pPr>
      <w:r w:rsidRPr="22B2E273">
        <w:rPr>
          <w:rFonts w:ascii="Times New Roman" w:eastAsia="Times New Roman" w:hAnsi="Times New Roman" w:cs="Times New Roman"/>
          <w:sz w:val="26"/>
          <w:szCs w:val="26"/>
        </w:rPr>
        <w:t xml:space="preserve">A </w:t>
      </w:r>
      <w:r w:rsidRPr="22B2E273">
        <w:rPr>
          <w:rFonts w:ascii="Times New Roman" w:eastAsia="Times New Roman" w:hAnsi="Times New Roman" w:cs="Times New Roman"/>
          <w:b/>
          <w:bCs/>
          <w:sz w:val="26"/>
          <w:szCs w:val="26"/>
        </w:rPr>
        <w:t xml:space="preserve">rehabilitációs hozzájárulásból </w:t>
      </w:r>
      <w:r w:rsidRPr="22B2E273">
        <w:rPr>
          <w:rFonts w:ascii="Times New Roman" w:eastAsia="Times New Roman" w:hAnsi="Times New Roman" w:cs="Times New Roman"/>
          <w:sz w:val="26"/>
          <w:szCs w:val="26"/>
        </w:rPr>
        <w:t>származó bevétel az év</w:t>
      </w:r>
      <w:r w:rsidR="00CD0671">
        <w:rPr>
          <w:rFonts w:ascii="Times New Roman" w:eastAsia="Times New Roman" w:hAnsi="Times New Roman" w:cs="Times New Roman"/>
          <w:sz w:val="26"/>
          <w:szCs w:val="26"/>
        </w:rPr>
        <w:t xml:space="preserve"> első tizenegy hónapjában 182,3 </w:t>
      </w:r>
      <w:r w:rsidRPr="22B2E273">
        <w:rPr>
          <w:rFonts w:ascii="Times New Roman" w:eastAsia="Times New Roman" w:hAnsi="Times New Roman" w:cs="Times New Roman"/>
          <w:sz w:val="26"/>
          <w:szCs w:val="26"/>
        </w:rPr>
        <w:t>milliárd</w:t>
      </w:r>
      <w:r w:rsidR="00CD0671">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forint volt, amely 21,7</w:t>
      </w:r>
      <w:r w:rsidR="00CD0671">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milliárd</w:t>
      </w:r>
      <w:r w:rsidR="00CD0671">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forinttal magasabb az egy évvel korábbi összegnél. Ennek oka a minimálbérnek, így az adó mértékének az emelkedése.</w:t>
      </w:r>
    </w:p>
    <w:p w14:paraId="29A3E538" w14:textId="0A8D2404" w:rsidR="7929D98B" w:rsidRDefault="22B2E273" w:rsidP="7929D98B">
      <w:pPr>
        <w:jc w:val="both"/>
      </w:pPr>
      <w:r w:rsidRPr="22B2E273">
        <w:rPr>
          <w:rFonts w:ascii="Times New Roman" w:eastAsia="Times New Roman" w:hAnsi="Times New Roman" w:cs="Times New Roman"/>
          <w:sz w:val="26"/>
          <w:szCs w:val="26"/>
        </w:rPr>
        <w:t xml:space="preserve">Az év első tizenegy hónapjában az </w:t>
      </w:r>
      <w:r w:rsidRPr="22B2E273">
        <w:rPr>
          <w:rFonts w:ascii="Times New Roman" w:eastAsia="Times New Roman" w:hAnsi="Times New Roman" w:cs="Times New Roman"/>
          <w:b/>
          <w:bCs/>
          <w:sz w:val="26"/>
          <w:szCs w:val="26"/>
        </w:rPr>
        <w:t>általános forgalmi adóból</w:t>
      </w:r>
      <w:r w:rsidRPr="22B2E273">
        <w:rPr>
          <w:rFonts w:ascii="Times New Roman" w:eastAsia="Times New Roman" w:hAnsi="Times New Roman" w:cs="Times New Roman"/>
          <w:sz w:val="26"/>
          <w:szCs w:val="26"/>
        </w:rPr>
        <w:t xml:space="preserve"> 6</w:t>
      </w:r>
      <w:r w:rsidR="00CD0671">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632,7</w:t>
      </w:r>
      <w:r w:rsidR="00CD0671">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milliárd forint bevétele keletkezett a költségvetésnek, ami az egy évvel korábbi bevételt 460,9</w:t>
      </w:r>
      <w:r w:rsidR="00CD0671">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milliárd forinttal haladja meg</w:t>
      </w:r>
      <w:r w:rsidR="00590630">
        <w:rPr>
          <w:rFonts w:ascii="Times New Roman" w:eastAsia="Times New Roman" w:hAnsi="Times New Roman" w:cs="Times New Roman"/>
          <w:sz w:val="26"/>
          <w:szCs w:val="26"/>
        </w:rPr>
        <w:t>.</w:t>
      </w:r>
    </w:p>
    <w:tbl>
      <w:tblPr>
        <w:tblW w:w="6905" w:type="dxa"/>
        <w:jc w:val="center"/>
        <w:tblCellMar>
          <w:left w:w="70" w:type="dxa"/>
          <w:right w:w="70" w:type="dxa"/>
        </w:tblCellMar>
        <w:tblLook w:val="04A0" w:firstRow="1" w:lastRow="0" w:firstColumn="1" w:lastColumn="0" w:noHBand="0" w:noVBand="1"/>
      </w:tblPr>
      <w:tblGrid>
        <w:gridCol w:w="1537"/>
        <w:gridCol w:w="1724"/>
        <w:gridCol w:w="1700"/>
        <w:gridCol w:w="993"/>
        <w:gridCol w:w="951"/>
      </w:tblGrid>
      <w:tr w:rsidR="00B9670A" w:rsidRPr="00B9670A" w14:paraId="5D52CDED" w14:textId="77777777" w:rsidTr="24CA6B4B">
        <w:trPr>
          <w:trHeight w:val="255"/>
          <w:jc w:val="center"/>
        </w:trPr>
        <w:tc>
          <w:tcPr>
            <w:tcW w:w="6905" w:type="dxa"/>
            <w:gridSpan w:val="5"/>
            <w:tcBorders>
              <w:top w:val="nil"/>
              <w:left w:val="nil"/>
              <w:bottom w:val="nil"/>
              <w:right w:val="nil"/>
            </w:tcBorders>
            <w:shd w:val="clear" w:color="auto" w:fill="auto"/>
            <w:noWrap/>
            <w:vAlign w:val="bottom"/>
            <w:hideMark/>
          </w:tcPr>
          <w:p w14:paraId="3776A2DD" w14:textId="77777777" w:rsidR="00B9670A" w:rsidRPr="00B9670A" w:rsidRDefault="22B2E273" w:rsidP="22B2E273">
            <w:pPr>
              <w:widowControl w:val="0"/>
              <w:spacing w:before="120"/>
              <w:jc w:val="center"/>
              <w:rPr>
                <w:rFonts w:ascii="Times New Roman" w:hAnsi="Times New Roman" w:cs="Times New Roman"/>
                <w:b/>
                <w:bCs/>
              </w:rPr>
            </w:pPr>
            <w:r w:rsidRPr="22B2E273">
              <w:rPr>
                <w:rFonts w:ascii="Times New Roman" w:hAnsi="Times New Roman" w:cs="Times New Roman"/>
                <w:b/>
                <w:bCs/>
              </w:rPr>
              <w:t xml:space="preserve">Általános forgalmi adó bevétel alakulása (milliárd forint) </w:t>
            </w:r>
          </w:p>
        </w:tc>
      </w:tr>
      <w:tr w:rsidR="00B9670A" w:rsidRPr="00B9670A" w14:paraId="55257656" w14:textId="77777777" w:rsidTr="24CA6B4B">
        <w:trPr>
          <w:trHeight w:val="340"/>
          <w:jc w:val="center"/>
        </w:trPr>
        <w:tc>
          <w:tcPr>
            <w:tcW w:w="1537"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CB2EE8A" w14:textId="77777777" w:rsidR="00B9670A" w:rsidRPr="00B9670A" w:rsidRDefault="22B2E273" w:rsidP="22B2E273">
            <w:pPr>
              <w:spacing w:after="0"/>
              <w:jc w:val="center"/>
              <w:rPr>
                <w:rFonts w:ascii="Times New Roman" w:hAnsi="Times New Roman" w:cs="Times New Roman"/>
                <w:b/>
                <w:bCs/>
              </w:rPr>
            </w:pPr>
            <w:r w:rsidRPr="22B2E273">
              <w:rPr>
                <w:rFonts w:ascii="Times New Roman" w:hAnsi="Times New Roman" w:cs="Times New Roman"/>
                <w:b/>
                <w:bCs/>
              </w:rPr>
              <w:t>Megnevezés</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775FE20" w14:textId="77777777" w:rsidR="00B9670A" w:rsidRPr="00B9670A" w:rsidRDefault="24CA6B4B" w:rsidP="24CA6B4B">
            <w:pPr>
              <w:spacing w:after="0"/>
              <w:jc w:val="center"/>
              <w:rPr>
                <w:rFonts w:ascii="Times New Roman" w:hAnsi="Times New Roman" w:cs="Times New Roman"/>
                <w:b/>
                <w:bCs/>
              </w:rPr>
            </w:pPr>
            <w:r w:rsidRPr="24CA6B4B">
              <w:rPr>
                <w:rFonts w:ascii="Times New Roman" w:hAnsi="Times New Roman" w:cs="Times New Roman"/>
                <w:b/>
                <w:bCs/>
              </w:rPr>
              <w:t>2023.</w:t>
            </w:r>
          </w:p>
          <w:p w14:paraId="54A2CADF" w14:textId="77777777" w:rsidR="00B9670A" w:rsidRPr="00B9670A" w:rsidRDefault="22B2E273" w:rsidP="22B2E273">
            <w:pPr>
              <w:spacing w:after="0"/>
              <w:jc w:val="center"/>
              <w:rPr>
                <w:rFonts w:ascii="Times New Roman" w:hAnsi="Times New Roman" w:cs="Times New Roman"/>
                <w:b/>
                <w:bCs/>
              </w:rPr>
            </w:pPr>
            <w:r w:rsidRPr="22B2E273">
              <w:rPr>
                <w:rFonts w:ascii="Times New Roman" w:hAnsi="Times New Roman" w:cs="Times New Roman"/>
                <w:b/>
                <w:bCs/>
              </w:rPr>
              <w:t>I-XI. hó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44D9E2A" w14:textId="77777777" w:rsidR="00B9670A" w:rsidRPr="00B9670A" w:rsidRDefault="24CA6B4B" w:rsidP="24CA6B4B">
            <w:pPr>
              <w:spacing w:after="0"/>
              <w:jc w:val="center"/>
              <w:rPr>
                <w:rFonts w:ascii="Times New Roman" w:hAnsi="Times New Roman" w:cs="Times New Roman"/>
                <w:b/>
                <w:bCs/>
              </w:rPr>
            </w:pPr>
            <w:r w:rsidRPr="24CA6B4B">
              <w:rPr>
                <w:rFonts w:ascii="Times New Roman" w:hAnsi="Times New Roman" w:cs="Times New Roman"/>
                <w:b/>
                <w:bCs/>
              </w:rPr>
              <w:t>2024.</w:t>
            </w:r>
          </w:p>
          <w:p w14:paraId="30B959DF" w14:textId="77777777" w:rsidR="00B9670A" w:rsidRPr="00B9670A" w:rsidRDefault="22B2E273" w:rsidP="22B2E273">
            <w:pPr>
              <w:spacing w:after="0"/>
              <w:jc w:val="center"/>
              <w:rPr>
                <w:rFonts w:ascii="Times New Roman" w:hAnsi="Times New Roman" w:cs="Times New Roman"/>
                <w:b/>
                <w:bCs/>
              </w:rPr>
            </w:pPr>
            <w:r w:rsidRPr="22B2E273">
              <w:rPr>
                <w:rFonts w:ascii="Times New Roman" w:hAnsi="Times New Roman" w:cs="Times New Roman"/>
                <w:b/>
                <w:bCs/>
              </w:rPr>
              <w:t>I-XI. hó</w:t>
            </w:r>
          </w:p>
        </w:tc>
        <w:tc>
          <w:tcPr>
            <w:tcW w:w="194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1B984B8" w14:textId="77777777" w:rsidR="00B9670A" w:rsidRPr="00B9670A" w:rsidRDefault="22B2E273" w:rsidP="22B2E273">
            <w:pPr>
              <w:spacing w:after="0"/>
              <w:jc w:val="center"/>
              <w:rPr>
                <w:rFonts w:ascii="Times New Roman" w:hAnsi="Times New Roman" w:cs="Times New Roman"/>
                <w:b/>
                <w:bCs/>
              </w:rPr>
            </w:pPr>
            <w:r w:rsidRPr="22B2E273">
              <w:rPr>
                <w:rFonts w:ascii="Times New Roman" w:hAnsi="Times New Roman" w:cs="Times New Roman"/>
                <w:b/>
                <w:bCs/>
              </w:rPr>
              <w:t>Eltérés</w:t>
            </w:r>
          </w:p>
        </w:tc>
      </w:tr>
      <w:tr w:rsidR="00B9670A" w:rsidRPr="00B9670A" w14:paraId="7C5F960C" w14:textId="77777777" w:rsidTr="24CA6B4B">
        <w:trPr>
          <w:trHeight w:val="340"/>
          <w:jc w:val="center"/>
        </w:trPr>
        <w:tc>
          <w:tcPr>
            <w:tcW w:w="1537"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39A5E0" w14:textId="77777777" w:rsidR="00B9670A" w:rsidRPr="00B9670A" w:rsidRDefault="00B9670A" w:rsidP="008A66DB">
            <w:pPr>
              <w:spacing w:after="0"/>
              <w:rPr>
                <w:rFonts w:ascii="Times New Roman" w:hAnsi="Times New Roman" w:cs="Times New Roman"/>
                <w:b/>
                <w:bCs/>
              </w:rPr>
            </w:pPr>
          </w:p>
        </w:tc>
        <w:tc>
          <w:tcPr>
            <w:tcW w:w="172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39D33AD" w14:textId="77777777" w:rsidR="00B9670A" w:rsidRPr="00B9670A" w:rsidRDefault="00B9670A" w:rsidP="008A66DB">
            <w:pPr>
              <w:spacing w:after="0"/>
              <w:rPr>
                <w:rFonts w:ascii="Times New Roman" w:hAnsi="Times New Roman" w:cs="Times New Roman"/>
                <w:b/>
                <w:bCs/>
              </w:rPr>
            </w:pPr>
          </w:p>
        </w:tc>
        <w:tc>
          <w:tcPr>
            <w:tcW w:w="170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0D4619E" w14:textId="77777777" w:rsidR="00B9670A" w:rsidRPr="00B9670A" w:rsidRDefault="00B9670A" w:rsidP="008A66DB">
            <w:pPr>
              <w:spacing w:after="0"/>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EB1C835" w14:textId="77777777" w:rsidR="00B9670A" w:rsidRPr="00B9670A" w:rsidRDefault="22B2E273" w:rsidP="22B2E273">
            <w:pPr>
              <w:spacing w:after="0"/>
              <w:jc w:val="center"/>
              <w:rPr>
                <w:rFonts w:ascii="Times New Roman" w:hAnsi="Times New Roman" w:cs="Times New Roman"/>
                <w:b/>
                <w:bCs/>
              </w:rPr>
            </w:pPr>
            <w:r w:rsidRPr="22B2E273">
              <w:rPr>
                <w:rFonts w:ascii="Times New Roman" w:hAnsi="Times New Roman" w:cs="Times New Roman"/>
                <w:b/>
                <w:bCs/>
              </w:rPr>
              <w:t>Mrd Ft</w:t>
            </w:r>
          </w:p>
        </w:tc>
        <w:tc>
          <w:tcPr>
            <w:tcW w:w="95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55A82FB" w14:textId="77777777" w:rsidR="00B9670A" w:rsidRPr="00B9670A" w:rsidRDefault="22B2E273" w:rsidP="22B2E273">
            <w:pPr>
              <w:spacing w:after="0"/>
              <w:jc w:val="center"/>
              <w:rPr>
                <w:rFonts w:ascii="Times New Roman" w:hAnsi="Times New Roman" w:cs="Times New Roman"/>
                <w:b/>
                <w:bCs/>
              </w:rPr>
            </w:pPr>
            <w:r w:rsidRPr="22B2E273">
              <w:rPr>
                <w:rFonts w:ascii="Times New Roman" w:hAnsi="Times New Roman" w:cs="Times New Roman"/>
                <w:b/>
                <w:bCs/>
              </w:rPr>
              <w:t>%</w:t>
            </w:r>
          </w:p>
        </w:tc>
      </w:tr>
      <w:tr w:rsidR="00B9670A" w:rsidRPr="00B9670A" w14:paraId="4C7DF92B" w14:textId="77777777" w:rsidTr="24CA6B4B">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C3368" w14:textId="77777777" w:rsidR="00B9670A" w:rsidRPr="00B9670A" w:rsidRDefault="22B2E273" w:rsidP="22B2E273">
            <w:pPr>
              <w:spacing w:after="0"/>
              <w:rPr>
                <w:rFonts w:ascii="Times New Roman" w:hAnsi="Times New Roman" w:cs="Times New Roman"/>
              </w:rPr>
            </w:pPr>
            <w:r w:rsidRPr="22B2E273">
              <w:rPr>
                <w:rFonts w:ascii="Times New Roman" w:hAnsi="Times New Roman" w:cs="Times New Roman"/>
              </w:rPr>
              <w:t>Befizetés</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D1019" w14:textId="77777777" w:rsidR="00B9670A" w:rsidRPr="00B9670A" w:rsidRDefault="24CA6B4B" w:rsidP="24CA6B4B">
            <w:pPr>
              <w:spacing w:after="0"/>
              <w:jc w:val="right"/>
              <w:rPr>
                <w:rFonts w:ascii="Times New Roman" w:hAnsi="Times New Roman" w:cs="Times New Roman"/>
              </w:rPr>
            </w:pPr>
            <w:r w:rsidRPr="24CA6B4B">
              <w:rPr>
                <w:rFonts w:ascii="Times New Roman" w:hAnsi="Times New Roman" w:cs="Times New Roman"/>
              </w:rPr>
              <w:t>11 648,7</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F578A" w14:textId="77777777" w:rsidR="00B9670A" w:rsidRPr="00B9670A" w:rsidRDefault="24CA6B4B" w:rsidP="24CA6B4B">
            <w:pPr>
              <w:spacing w:after="0"/>
              <w:jc w:val="right"/>
              <w:rPr>
                <w:rFonts w:ascii="Times New Roman" w:hAnsi="Times New Roman" w:cs="Times New Roman"/>
              </w:rPr>
            </w:pPr>
            <w:r w:rsidRPr="24CA6B4B">
              <w:rPr>
                <w:rFonts w:ascii="Times New Roman" w:hAnsi="Times New Roman" w:cs="Times New Roman"/>
              </w:rPr>
              <w:t>11 763,6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E1568" w14:textId="77777777" w:rsidR="00B9670A" w:rsidRPr="00B9670A" w:rsidRDefault="24CA6B4B" w:rsidP="24CA6B4B">
            <w:pPr>
              <w:spacing w:after="0"/>
              <w:jc w:val="right"/>
              <w:rPr>
                <w:rFonts w:ascii="Times New Roman" w:hAnsi="Times New Roman" w:cs="Times New Roman"/>
              </w:rPr>
            </w:pPr>
            <w:r w:rsidRPr="24CA6B4B">
              <w:rPr>
                <w:rFonts w:ascii="Times New Roman" w:hAnsi="Times New Roman" w:cs="Times New Roman"/>
              </w:rPr>
              <w:t>114,9</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83389" w14:textId="77777777" w:rsidR="00B9670A" w:rsidRPr="00B9670A" w:rsidRDefault="24CA6B4B" w:rsidP="24CA6B4B">
            <w:pPr>
              <w:spacing w:after="0"/>
              <w:jc w:val="right"/>
              <w:rPr>
                <w:rFonts w:ascii="Times New Roman" w:hAnsi="Times New Roman" w:cs="Times New Roman"/>
              </w:rPr>
            </w:pPr>
            <w:r w:rsidRPr="24CA6B4B">
              <w:rPr>
                <w:rFonts w:ascii="Times New Roman" w:hAnsi="Times New Roman" w:cs="Times New Roman"/>
              </w:rPr>
              <w:t>101,0</w:t>
            </w:r>
          </w:p>
        </w:tc>
      </w:tr>
      <w:tr w:rsidR="00B9670A" w:rsidRPr="00B9670A" w14:paraId="5B1361B0" w14:textId="77777777" w:rsidTr="24CA6B4B">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CBDC4" w14:textId="77777777" w:rsidR="00B9670A" w:rsidRPr="00B9670A" w:rsidRDefault="22B2E273" w:rsidP="22B2E273">
            <w:pPr>
              <w:spacing w:after="0"/>
              <w:rPr>
                <w:rFonts w:ascii="Times New Roman" w:hAnsi="Times New Roman" w:cs="Times New Roman"/>
              </w:rPr>
            </w:pPr>
            <w:r w:rsidRPr="22B2E273">
              <w:rPr>
                <w:rFonts w:ascii="Times New Roman" w:hAnsi="Times New Roman" w:cs="Times New Roman"/>
              </w:rPr>
              <w:t>Kiutalás</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8C532" w14:textId="77777777" w:rsidR="00B9670A" w:rsidRPr="00B9670A" w:rsidRDefault="24CA6B4B" w:rsidP="24CA6B4B">
            <w:pPr>
              <w:spacing w:after="0"/>
              <w:jc w:val="right"/>
              <w:rPr>
                <w:rFonts w:ascii="Times New Roman" w:hAnsi="Times New Roman" w:cs="Times New Roman"/>
              </w:rPr>
            </w:pPr>
            <w:r w:rsidRPr="24CA6B4B">
              <w:rPr>
                <w:rFonts w:ascii="Times New Roman" w:hAnsi="Times New Roman" w:cs="Times New Roman"/>
              </w:rPr>
              <w:t>5 476,9</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1E376" w14:textId="77777777" w:rsidR="00B9670A" w:rsidRPr="00B9670A" w:rsidRDefault="24CA6B4B" w:rsidP="24CA6B4B">
            <w:pPr>
              <w:spacing w:after="0"/>
              <w:jc w:val="right"/>
              <w:rPr>
                <w:rFonts w:ascii="Times New Roman" w:hAnsi="Times New Roman" w:cs="Times New Roman"/>
              </w:rPr>
            </w:pPr>
            <w:r w:rsidRPr="24CA6B4B">
              <w:rPr>
                <w:rFonts w:ascii="Times New Roman" w:hAnsi="Times New Roman" w:cs="Times New Roman"/>
              </w:rPr>
              <w:t>5 130,9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FE69A" w14:textId="77777777" w:rsidR="00B9670A" w:rsidRPr="00B9670A" w:rsidRDefault="24CA6B4B" w:rsidP="24CA6B4B">
            <w:pPr>
              <w:spacing w:after="0"/>
              <w:jc w:val="right"/>
              <w:rPr>
                <w:rFonts w:ascii="Times New Roman" w:hAnsi="Times New Roman" w:cs="Times New Roman"/>
              </w:rPr>
            </w:pPr>
            <w:r w:rsidRPr="24CA6B4B">
              <w:rPr>
                <w:rFonts w:ascii="Times New Roman" w:hAnsi="Times New Roman" w:cs="Times New Roman"/>
              </w:rPr>
              <w:t>-346,0</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E9FC0" w14:textId="77777777" w:rsidR="00B9670A" w:rsidRPr="00B9670A" w:rsidRDefault="24CA6B4B" w:rsidP="24CA6B4B">
            <w:pPr>
              <w:spacing w:after="0"/>
              <w:jc w:val="right"/>
              <w:rPr>
                <w:rFonts w:ascii="Times New Roman" w:hAnsi="Times New Roman" w:cs="Times New Roman"/>
              </w:rPr>
            </w:pPr>
            <w:r w:rsidRPr="24CA6B4B">
              <w:rPr>
                <w:rFonts w:ascii="Times New Roman" w:hAnsi="Times New Roman" w:cs="Times New Roman"/>
              </w:rPr>
              <w:t>93,7</w:t>
            </w:r>
          </w:p>
        </w:tc>
      </w:tr>
      <w:tr w:rsidR="00B9670A" w:rsidRPr="00B9670A" w14:paraId="184F3703" w14:textId="77777777" w:rsidTr="24CA6B4B">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78E15" w14:textId="77777777" w:rsidR="00B9670A" w:rsidRPr="00B9670A" w:rsidRDefault="22B2E273" w:rsidP="22B2E273">
            <w:pPr>
              <w:spacing w:after="0"/>
              <w:rPr>
                <w:rFonts w:ascii="Times New Roman" w:hAnsi="Times New Roman" w:cs="Times New Roman"/>
                <w:b/>
                <w:bCs/>
              </w:rPr>
            </w:pPr>
            <w:r w:rsidRPr="22B2E273">
              <w:rPr>
                <w:rFonts w:ascii="Times New Roman" w:hAnsi="Times New Roman" w:cs="Times New Roman"/>
                <w:b/>
                <w:bCs/>
              </w:rPr>
              <w:t>Egyenleg</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279BE" w14:textId="77777777" w:rsidR="00B9670A" w:rsidRPr="00B9670A" w:rsidRDefault="24CA6B4B" w:rsidP="24CA6B4B">
            <w:pPr>
              <w:spacing w:after="0"/>
              <w:jc w:val="right"/>
              <w:rPr>
                <w:rFonts w:ascii="Times New Roman" w:hAnsi="Times New Roman" w:cs="Times New Roman"/>
                <w:b/>
                <w:bCs/>
              </w:rPr>
            </w:pPr>
            <w:r w:rsidRPr="24CA6B4B">
              <w:rPr>
                <w:rFonts w:ascii="Times New Roman" w:hAnsi="Times New Roman" w:cs="Times New Roman"/>
                <w:b/>
                <w:bCs/>
              </w:rPr>
              <w:t>6 171,8</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55E1D" w14:textId="77777777" w:rsidR="00B9670A" w:rsidRPr="00B9670A" w:rsidRDefault="24CA6B4B" w:rsidP="24CA6B4B">
            <w:pPr>
              <w:spacing w:after="0"/>
              <w:jc w:val="right"/>
              <w:rPr>
                <w:rFonts w:ascii="Times New Roman" w:hAnsi="Times New Roman" w:cs="Times New Roman"/>
                <w:b/>
                <w:bCs/>
              </w:rPr>
            </w:pPr>
            <w:r w:rsidRPr="24CA6B4B">
              <w:rPr>
                <w:rFonts w:ascii="Times New Roman" w:hAnsi="Times New Roman" w:cs="Times New Roman"/>
                <w:b/>
                <w:bCs/>
              </w:rPr>
              <w:t>6 632,7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8748C" w14:textId="77777777" w:rsidR="00B9670A" w:rsidRPr="00B9670A" w:rsidRDefault="24CA6B4B" w:rsidP="24CA6B4B">
            <w:pPr>
              <w:spacing w:after="0"/>
              <w:jc w:val="right"/>
              <w:rPr>
                <w:rFonts w:ascii="Times New Roman" w:hAnsi="Times New Roman" w:cs="Times New Roman"/>
                <w:b/>
                <w:bCs/>
              </w:rPr>
            </w:pPr>
            <w:r w:rsidRPr="24CA6B4B">
              <w:rPr>
                <w:rFonts w:ascii="Times New Roman" w:hAnsi="Times New Roman" w:cs="Times New Roman"/>
                <w:b/>
                <w:bCs/>
              </w:rPr>
              <w:t>460,9</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BFBFE" w14:textId="77777777" w:rsidR="00B9670A" w:rsidRPr="00B9670A" w:rsidRDefault="24CA6B4B" w:rsidP="24CA6B4B">
            <w:pPr>
              <w:spacing w:after="0"/>
              <w:jc w:val="right"/>
              <w:rPr>
                <w:rFonts w:ascii="Times New Roman" w:hAnsi="Times New Roman" w:cs="Times New Roman"/>
                <w:b/>
                <w:bCs/>
              </w:rPr>
            </w:pPr>
            <w:r w:rsidRPr="24CA6B4B">
              <w:rPr>
                <w:rFonts w:ascii="Times New Roman" w:hAnsi="Times New Roman" w:cs="Times New Roman"/>
                <w:b/>
                <w:bCs/>
              </w:rPr>
              <w:t>107,5</w:t>
            </w:r>
          </w:p>
        </w:tc>
      </w:tr>
    </w:tbl>
    <w:p w14:paraId="7E228722" w14:textId="22013C72" w:rsidR="7929D98B" w:rsidRDefault="7929D98B" w:rsidP="7929D98B">
      <w:pPr>
        <w:jc w:val="both"/>
        <w:rPr>
          <w:rFonts w:ascii="Times New Roman" w:eastAsia="Times New Roman" w:hAnsi="Times New Roman" w:cs="Times New Roman"/>
          <w:sz w:val="26"/>
          <w:szCs w:val="26"/>
        </w:rPr>
      </w:pPr>
    </w:p>
    <w:p w14:paraId="7415EC55" w14:textId="03D274A1" w:rsidR="7929D98B" w:rsidRDefault="22B2E273" w:rsidP="7929D98B">
      <w:pPr>
        <w:spacing w:before="240"/>
        <w:jc w:val="both"/>
      </w:pPr>
      <w:r w:rsidRPr="22B2E273">
        <w:rPr>
          <w:rFonts w:ascii="Times New Roman" w:eastAsia="Times New Roman" w:hAnsi="Times New Roman" w:cs="Times New Roman"/>
          <w:sz w:val="26"/>
          <w:szCs w:val="26"/>
        </w:rPr>
        <w:t>A belföldi befizetések és a dohányterméke</w:t>
      </w:r>
      <w:r w:rsidR="00CD0671">
        <w:rPr>
          <w:rFonts w:ascii="Times New Roman" w:eastAsia="Times New Roman" w:hAnsi="Times New Roman" w:cs="Times New Roman"/>
          <w:sz w:val="26"/>
          <w:szCs w:val="26"/>
        </w:rPr>
        <w:t>k utáni áfa</w:t>
      </w:r>
      <w:r w:rsidRPr="22B2E273">
        <w:rPr>
          <w:rFonts w:ascii="Times New Roman" w:eastAsia="Times New Roman" w:hAnsi="Times New Roman" w:cs="Times New Roman"/>
          <w:sz w:val="26"/>
          <w:szCs w:val="26"/>
        </w:rPr>
        <w:t>bevétel egyaránt növekedett,</w:t>
      </w:r>
      <w:r w:rsidR="00CD0671">
        <w:rPr>
          <w:rFonts w:ascii="Times New Roman" w:eastAsia="Times New Roman" w:hAnsi="Times New Roman" w:cs="Times New Roman"/>
          <w:sz w:val="26"/>
          <w:szCs w:val="26"/>
        </w:rPr>
        <w:t xml:space="preserve"> ugyanakkor az import utáni áfa</w:t>
      </w:r>
      <w:r w:rsidRPr="22B2E273">
        <w:rPr>
          <w:rFonts w:ascii="Times New Roman" w:eastAsia="Times New Roman" w:hAnsi="Times New Roman" w:cs="Times New Roman"/>
          <w:sz w:val="26"/>
          <w:szCs w:val="26"/>
        </w:rPr>
        <w:t xml:space="preserve">bevétel csökkent. A belföldi </w:t>
      </w:r>
      <w:proofErr w:type="spellStart"/>
      <w:r w:rsidR="00CD0671">
        <w:rPr>
          <w:rFonts w:ascii="Times New Roman" w:eastAsia="Times New Roman" w:hAnsi="Times New Roman" w:cs="Times New Roman"/>
          <w:sz w:val="26"/>
          <w:szCs w:val="26"/>
        </w:rPr>
        <w:t>áfa</w:t>
      </w:r>
      <w:r w:rsidRPr="22B2E273">
        <w:rPr>
          <w:rFonts w:ascii="Times New Roman" w:eastAsia="Times New Roman" w:hAnsi="Times New Roman" w:cs="Times New Roman"/>
          <w:sz w:val="26"/>
          <w:szCs w:val="26"/>
        </w:rPr>
        <w:t>befizetések</w:t>
      </w:r>
      <w:proofErr w:type="spellEnd"/>
      <w:r w:rsidRPr="22B2E273">
        <w:rPr>
          <w:rFonts w:ascii="Times New Roman" w:eastAsia="Times New Roman" w:hAnsi="Times New Roman" w:cs="Times New Roman"/>
          <w:sz w:val="26"/>
          <w:szCs w:val="26"/>
        </w:rPr>
        <w:t xml:space="preserve"> növekedése – 2023 azonos időszakához képest – elsősorban a vízellátás, szennyvíz gyűjtése és kezelése, hulladékgazdálkodás, szennyeződésmentesítés ágazat </w:t>
      </w:r>
      <w:proofErr w:type="spellStart"/>
      <w:r w:rsidR="00CD0671">
        <w:rPr>
          <w:rFonts w:ascii="Times New Roman" w:eastAsia="Times New Roman" w:hAnsi="Times New Roman" w:cs="Times New Roman"/>
          <w:sz w:val="26"/>
          <w:szCs w:val="26"/>
        </w:rPr>
        <w:t>áfa</w:t>
      </w:r>
      <w:r w:rsidRPr="22B2E273">
        <w:rPr>
          <w:rFonts w:ascii="Times New Roman" w:eastAsia="Times New Roman" w:hAnsi="Times New Roman" w:cs="Times New Roman"/>
          <w:sz w:val="26"/>
          <w:szCs w:val="26"/>
        </w:rPr>
        <w:t>befizetéseinek</w:t>
      </w:r>
      <w:proofErr w:type="spellEnd"/>
      <w:r w:rsidRPr="22B2E273">
        <w:rPr>
          <w:rFonts w:ascii="Times New Roman" w:eastAsia="Times New Roman" w:hAnsi="Times New Roman" w:cs="Times New Roman"/>
          <w:sz w:val="26"/>
          <w:szCs w:val="26"/>
        </w:rPr>
        <w:t xml:space="preserve"> növekedésével magyarázható. Az import utáni befizetések csökkenésének hátterében a forgalom alakulása áll. A dohánytermékek utáni bevételek magasabb teljesülését a 2023 januárjában életbe lépett, és a 2025 januárjától várható jövedéki adómérték-emelésre adott készletezési hatások magyarázzák. Továbbá az ízesített, hevített dohánytermékeket érintő jogszabályváltozás miatti 2024.</w:t>
      </w:r>
      <w:r w:rsidR="00CD0671">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júliusi nagymértékű készletezés is magyarázza. A kiutalások alakulását a köztes ágazatok befizetése befolyásolja.</w:t>
      </w:r>
    </w:p>
    <w:p w14:paraId="6A4419C7" w14:textId="0595CA9A" w:rsidR="00CF551C" w:rsidRDefault="00C11940" w:rsidP="00CF551C">
      <w:pPr>
        <w:pStyle w:val="NormlWeb"/>
        <w:jc w:val="center"/>
      </w:pPr>
      <w:r>
        <w:rPr>
          <w:noProof/>
        </w:rPr>
        <w:drawing>
          <wp:inline distT="0" distB="0" distL="0" distR="0" wp14:anchorId="5E8A2A78" wp14:editId="0E84626D">
            <wp:extent cx="4030676" cy="2645010"/>
            <wp:effectExtent l="0" t="0" r="8255" b="317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5409"/>
                    <a:stretch/>
                  </pic:blipFill>
                  <pic:spPr bwMode="auto">
                    <a:xfrm>
                      <a:off x="0" y="0"/>
                      <a:ext cx="4075182" cy="2674216"/>
                    </a:xfrm>
                    <a:prstGeom prst="rect">
                      <a:avLst/>
                    </a:prstGeom>
                    <a:ln>
                      <a:noFill/>
                    </a:ln>
                    <a:extLst>
                      <a:ext uri="{53640926-AAD7-44D8-BBD7-CCE9431645EC}">
                        <a14:shadowObscured xmlns:a14="http://schemas.microsoft.com/office/drawing/2010/main"/>
                      </a:ext>
                    </a:extLst>
                  </pic:spPr>
                </pic:pic>
              </a:graphicData>
            </a:graphic>
          </wp:inline>
        </w:drawing>
      </w:r>
    </w:p>
    <w:p w14:paraId="5270244D" w14:textId="3BD0E502" w:rsidR="00B9670A" w:rsidRPr="00B9670A" w:rsidRDefault="22B2E273" w:rsidP="22B2E273">
      <w:pPr>
        <w:spacing w:before="120"/>
        <w:jc w:val="both"/>
        <w:rPr>
          <w:rFonts w:ascii="Times New Roman" w:eastAsia="Times New Roman" w:hAnsi="Times New Roman" w:cs="Times New Roman"/>
          <w:sz w:val="26"/>
          <w:szCs w:val="26"/>
          <w:highlight w:val="yellow"/>
          <w:lang w:eastAsia="hu-HU"/>
        </w:rPr>
      </w:pPr>
      <w:r w:rsidRPr="22B2E273">
        <w:rPr>
          <w:rFonts w:ascii="Times New Roman" w:eastAsia="Times New Roman" w:hAnsi="Times New Roman" w:cs="Times New Roman"/>
          <w:sz w:val="26"/>
          <w:szCs w:val="26"/>
          <w:lang w:eastAsia="hu-HU"/>
        </w:rPr>
        <w:t xml:space="preserve">A </w:t>
      </w:r>
      <w:r w:rsidRPr="22B2E273">
        <w:rPr>
          <w:rFonts w:ascii="Times New Roman" w:eastAsia="Times New Roman" w:hAnsi="Times New Roman" w:cs="Times New Roman"/>
          <w:b/>
          <w:bCs/>
          <w:sz w:val="26"/>
          <w:szCs w:val="26"/>
          <w:lang w:eastAsia="hu-HU"/>
        </w:rPr>
        <w:t>jövedéki adóból</w:t>
      </w:r>
      <w:r w:rsidRPr="22B2E273">
        <w:rPr>
          <w:rFonts w:ascii="Times New Roman" w:eastAsia="Times New Roman" w:hAnsi="Times New Roman" w:cs="Times New Roman"/>
          <w:sz w:val="26"/>
          <w:szCs w:val="26"/>
          <w:lang w:eastAsia="hu-HU"/>
        </w:rPr>
        <w:t xml:space="preserve"> származó bevétel az év első tizenegy hónapjában 1</w:t>
      </w:r>
      <w:r w:rsidR="00CD0671">
        <w:rPr>
          <w:rFonts w:ascii="Times New Roman" w:eastAsia="Times New Roman" w:hAnsi="Times New Roman" w:cs="Times New Roman"/>
          <w:sz w:val="26"/>
          <w:szCs w:val="26"/>
          <w:lang w:eastAsia="hu-HU"/>
        </w:rPr>
        <w:t> </w:t>
      </w:r>
      <w:r w:rsidRPr="22B2E273">
        <w:rPr>
          <w:rFonts w:ascii="Times New Roman" w:eastAsia="Times New Roman" w:hAnsi="Times New Roman" w:cs="Times New Roman"/>
          <w:sz w:val="26"/>
          <w:szCs w:val="26"/>
          <w:lang w:eastAsia="hu-HU"/>
        </w:rPr>
        <w:t>481,3</w:t>
      </w:r>
      <w:r w:rsidRPr="22B2E273">
        <w:rPr>
          <w:rFonts w:ascii="Times New Roman" w:eastAsia="Times New Roman" w:hAnsi="Times New Roman" w:cs="Times New Roman"/>
          <w:color w:val="000000" w:themeColor="text1"/>
          <w:sz w:val="26"/>
          <w:szCs w:val="26"/>
          <w:lang w:eastAsia="hu-HU"/>
        </w:rPr>
        <w:t> </w:t>
      </w:r>
      <w:r w:rsidRPr="22B2E273">
        <w:rPr>
          <w:rFonts w:ascii="Times New Roman" w:eastAsia="Times New Roman" w:hAnsi="Times New Roman" w:cs="Times New Roman"/>
          <w:sz w:val="26"/>
          <w:szCs w:val="26"/>
          <w:lang w:eastAsia="hu-HU"/>
        </w:rPr>
        <w:t>milliárd forintot tett ki, amely 234,8 milliárd forinttal magasabb az egy évvel korábbi bevételnél. Az üzemanyagok utáni bevételek növekedését a 2024. január 1-től hatályos megemelt adómértékek magyarázzák. A dohánytermékek utáni bevételek alakulásának hátterében a 2023. januári és a 2025. januártól várható adómérték-emelésből fakadó bázisévi készletezési hatás; valamint az ízesített, hevített dohánytermékekre vonatkozó jogszabályváltozásra adott piaci reakció, a 2024. júliusi készletezés együttes hatása áll. A szeszesitalok és egyéb termékek esetében a bevételek növekedését a forgalom alakulása indokolja. Az energiaadó bevételek növekedése adónem-elszámoláshoz köthető.</w:t>
      </w:r>
    </w:p>
    <w:tbl>
      <w:tblPr>
        <w:tblpPr w:leftFromText="141" w:rightFromText="141" w:vertAnchor="text" w:horzAnchor="margin" w:tblpY="16"/>
        <w:tblW w:w="9356" w:type="dxa"/>
        <w:tblCellMar>
          <w:left w:w="70" w:type="dxa"/>
          <w:right w:w="70" w:type="dxa"/>
        </w:tblCellMar>
        <w:tblLook w:val="04A0" w:firstRow="1" w:lastRow="0" w:firstColumn="1" w:lastColumn="0" w:noHBand="0" w:noVBand="1"/>
      </w:tblPr>
      <w:tblGrid>
        <w:gridCol w:w="3402"/>
        <w:gridCol w:w="1560"/>
        <w:gridCol w:w="1594"/>
        <w:gridCol w:w="1382"/>
        <w:gridCol w:w="1418"/>
      </w:tblGrid>
      <w:tr w:rsidR="002223AF" w:rsidRPr="00B9670A" w14:paraId="3B792969" w14:textId="77777777" w:rsidTr="002223AF">
        <w:trPr>
          <w:trHeight w:val="255"/>
        </w:trPr>
        <w:tc>
          <w:tcPr>
            <w:tcW w:w="9356" w:type="dxa"/>
            <w:gridSpan w:val="5"/>
            <w:tcBorders>
              <w:top w:val="nil"/>
              <w:left w:val="nil"/>
              <w:bottom w:val="single" w:sz="4" w:space="0" w:color="auto"/>
              <w:right w:val="nil"/>
            </w:tcBorders>
            <w:shd w:val="clear" w:color="auto" w:fill="auto"/>
            <w:noWrap/>
            <w:vAlign w:val="bottom"/>
            <w:hideMark/>
          </w:tcPr>
          <w:p w14:paraId="39C7A7B2" w14:textId="77777777" w:rsidR="002223AF" w:rsidRPr="00B9670A" w:rsidRDefault="002223AF" w:rsidP="002223AF">
            <w:pPr>
              <w:spacing w:before="120"/>
              <w:jc w:val="center"/>
              <w:rPr>
                <w:rFonts w:ascii="Times New Roman" w:hAnsi="Times New Roman" w:cs="Times New Roman"/>
                <w:b/>
                <w:bCs/>
              </w:rPr>
            </w:pPr>
            <w:r w:rsidRPr="22B2E273">
              <w:rPr>
                <w:rFonts w:ascii="Times New Roman" w:hAnsi="Times New Roman" w:cs="Times New Roman"/>
                <w:b/>
                <w:bCs/>
              </w:rPr>
              <w:t>Jövedéki adó bevétel alakulása (milliárd forint)</w:t>
            </w:r>
          </w:p>
        </w:tc>
      </w:tr>
      <w:tr w:rsidR="002223AF" w:rsidRPr="00B9670A" w14:paraId="600B184B" w14:textId="77777777" w:rsidTr="002223AF">
        <w:trPr>
          <w:trHeight w:val="340"/>
        </w:trPr>
        <w:tc>
          <w:tcPr>
            <w:tcW w:w="340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2368181" w14:textId="77777777" w:rsidR="002223AF" w:rsidRPr="00B9670A" w:rsidRDefault="002223AF" w:rsidP="002223AF">
            <w:pPr>
              <w:spacing w:after="0"/>
              <w:jc w:val="center"/>
              <w:rPr>
                <w:rFonts w:ascii="Times New Roman" w:hAnsi="Times New Roman" w:cs="Times New Roman"/>
                <w:b/>
                <w:bCs/>
              </w:rPr>
            </w:pPr>
            <w:r w:rsidRPr="22B2E273">
              <w:rPr>
                <w:rFonts w:ascii="Times New Roman" w:hAnsi="Times New Roman" w:cs="Times New Roman"/>
                <w:b/>
                <w:bCs/>
              </w:rPr>
              <w:t>Megnevezés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12FBF7" w14:textId="77777777" w:rsidR="002223AF" w:rsidRPr="00B9670A" w:rsidRDefault="002223AF" w:rsidP="002223AF">
            <w:pPr>
              <w:spacing w:after="0"/>
              <w:jc w:val="center"/>
              <w:rPr>
                <w:rFonts w:ascii="Times New Roman" w:hAnsi="Times New Roman" w:cs="Times New Roman"/>
                <w:b/>
                <w:bCs/>
              </w:rPr>
            </w:pPr>
            <w:r w:rsidRPr="24CA6B4B">
              <w:rPr>
                <w:rFonts w:ascii="Times New Roman" w:hAnsi="Times New Roman" w:cs="Times New Roman"/>
                <w:b/>
                <w:bCs/>
              </w:rPr>
              <w:t>2023.</w:t>
            </w:r>
          </w:p>
          <w:p w14:paraId="23592539" w14:textId="77777777" w:rsidR="002223AF" w:rsidRPr="00B9670A" w:rsidRDefault="002223AF" w:rsidP="002223AF">
            <w:pPr>
              <w:spacing w:after="0"/>
              <w:jc w:val="center"/>
              <w:rPr>
                <w:rFonts w:ascii="Times New Roman" w:hAnsi="Times New Roman" w:cs="Times New Roman"/>
                <w:b/>
                <w:bCs/>
              </w:rPr>
            </w:pPr>
            <w:r w:rsidRPr="22B2E273">
              <w:rPr>
                <w:rFonts w:ascii="Times New Roman" w:hAnsi="Times New Roman" w:cs="Times New Roman"/>
                <w:b/>
                <w:bCs/>
              </w:rPr>
              <w:t>I-XI. hó</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F5C42A" w14:textId="77777777" w:rsidR="002223AF" w:rsidRPr="00B9670A" w:rsidRDefault="002223AF" w:rsidP="002223AF">
            <w:pPr>
              <w:spacing w:after="0"/>
              <w:jc w:val="center"/>
              <w:rPr>
                <w:rFonts w:ascii="Times New Roman" w:hAnsi="Times New Roman" w:cs="Times New Roman"/>
                <w:b/>
                <w:bCs/>
              </w:rPr>
            </w:pPr>
            <w:r w:rsidRPr="24CA6B4B">
              <w:rPr>
                <w:rFonts w:ascii="Times New Roman" w:hAnsi="Times New Roman" w:cs="Times New Roman"/>
                <w:b/>
                <w:bCs/>
              </w:rPr>
              <w:t>2024.</w:t>
            </w:r>
          </w:p>
          <w:p w14:paraId="48734B89" w14:textId="77777777" w:rsidR="002223AF" w:rsidRPr="00B9670A" w:rsidRDefault="002223AF" w:rsidP="002223AF">
            <w:pPr>
              <w:spacing w:after="0"/>
              <w:jc w:val="center"/>
              <w:rPr>
                <w:rFonts w:ascii="Times New Roman" w:hAnsi="Times New Roman" w:cs="Times New Roman"/>
                <w:b/>
                <w:bCs/>
              </w:rPr>
            </w:pPr>
            <w:r w:rsidRPr="22B2E273">
              <w:rPr>
                <w:rFonts w:ascii="Times New Roman" w:hAnsi="Times New Roman" w:cs="Times New Roman"/>
                <w:b/>
                <w:bCs/>
              </w:rPr>
              <w:t>I-XI. hó</w:t>
            </w:r>
          </w:p>
        </w:tc>
        <w:tc>
          <w:tcPr>
            <w:tcW w:w="280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A259D2A" w14:textId="77777777" w:rsidR="002223AF" w:rsidRPr="00B9670A" w:rsidRDefault="002223AF" w:rsidP="002223AF">
            <w:pPr>
              <w:spacing w:after="0"/>
              <w:jc w:val="center"/>
              <w:rPr>
                <w:rFonts w:ascii="Times New Roman" w:hAnsi="Times New Roman" w:cs="Times New Roman"/>
                <w:b/>
                <w:bCs/>
              </w:rPr>
            </w:pPr>
            <w:r w:rsidRPr="22B2E273">
              <w:rPr>
                <w:rFonts w:ascii="Times New Roman" w:hAnsi="Times New Roman" w:cs="Times New Roman"/>
                <w:b/>
                <w:bCs/>
              </w:rPr>
              <w:t>Eltérés</w:t>
            </w:r>
          </w:p>
        </w:tc>
      </w:tr>
      <w:tr w:rsidR="002223AF" w:rsidRPr="00B9670A" w14:paraId="18C56BBE" w14:textId="77777777" w:rsidTr="002223AF">
        <w:trPr>
          <w:trHeight w:val="340"/>
        </w:trPr>
        <w:tc>
          <w:tcPr>
            <w:tcW w:w="340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4AFCC64" w14:textId="77777777" w:rsidR="002223AF" w:rsidRPr="00B9670A" w:rsidRDefault="002223AF" w:rsidP="002223AF">
            <w:pPr>
              <w:spacing w:after="0"/>
              <w:rPr>
                <w:rFonts w:ascii="Times New Roman" w:hAnsi="Times New Roman" w:cs="Times New Roman"/>
                <w:b/>
                <w:bCs/>
              </w:rPr>
            </w:pPr>
          </w:p>
        </w:tc>
        <w:tc>
          <w:tcPr>
            <w:tcW w:w="156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740D553" w14:textId="77777777" w:rsidR="002223AF" w:rsidRPr="00B9670A" w:rsidRDefault="002223AF" w:rsidP="002223AF">
            <w:pPr>
              <w:spacing w:after="0"/>
              <w:jc w:val="center"/>
              <w:rPr>
                <w:rFonts w:ascii="Times New Roman" w:hAnsi="Times New Roman" w:cs="Times New Roman"/>
                <w:b/>
                <w:bCs/>
              </w:rPr>
            </w:pPr>
          </w:p>
        </w:tc>
        <w:tc>
          <w:tcPr>
            <w:tcW w:w="159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447F15" w14:textId="77777777" w:rsidR="002223AF" w:rsidRPr="00B9670A" w:rsidRDefault="002223AF" w:rsidP="002223AF">
            <w:pPr>
              <w:spacing w:after="0"/>
              <w:jc w:val="center"/>
              <w:rPr>
                <w:rFonts w:ascii="Times New Roman" w:hAnsi="Times New Roman" w:cs="Times New Roman"/>
                <w:b/>
                <w:bCs/>
              </w:rPr>
            </w:pPr>
          </w:p>
        </w:tc>
        <w:tc>
          <w:tcPr>
            <w:tcW w:w="138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7CC2FBB" w14:textId="77777777" w:rsidR="002223AF" w:rsidRPr="00B9670A" w:rsidRDefault="002223AF" w:rsidP="002223AF">
            <w:pPr>
              <w:spacing w:after="0"/>
              <w:jc w:val="center"/>
              <w:rPr>
                <w:rFonts w:ascii="Times New Roman" w:hAnsi="Times New Roman" w:cs="Times New Roman"/>
                <w:b/>
                <w:bCs/>
              </w:rPr>
            </w:pPr>
            <w:r w:rsidRPr="22B2E273">
              <w:rPr>
                <w:rFonts w:ascii="Times New Roman" w:hAnsi="Times New Roman" w:cs="Times New Roman"/>
                <w:b/>
                <w:bCs/>
              </w:rPr>
              <w:t>Mrd Ft</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4FF060" w14:textId="77777777" w:rsidR="002223AF" w:rsidRPr="00B9670A" w:rsidRDefault="002223AF" w:rsidP="002223AF">
            <w:pPr>
              <w:spacing w:after="0"/>
              <w:jc w:val="center"/>
              <w:rPr>
                <w:rFonts w:ascii="Times New Roman" w:hAnsi="Times New Roman" w:cs="Times New Roman"/>
                <w:b/>
                <w:bCs/>
              </w:rPr>
            </w:pPr>
            <w:r w:rsidRPr="22B2E273">
              <w:rPr>
                <w:rFonts w:ascii="Times New Roman" w:hAnsi="Times New Roman" w:cs="Times New Roman"/>
                <w:b/>
                <w:bCs/>
              </w:rPr>
              <w:t>%</w:t>
            </w:r>
          </w:p>
        </w:tc>
      </w:tr>
      <w:tr w:rsidR="002223AF" w:rsidRPr="00B9670A" w14:paraId="0E74941D" w14:textId="77777777" w:rsidTr="002223AF">
        <w:trPr>
          <w:trHeight w:val="34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31BD5" w14:textId="77777777" w:rsidR="002223AF" w:rsidRPr="00B9670A" w:rsidRDefault="002223AF" w:rsidP="002223AF">
            <w:pPr>
              <w:spacing w:after="0"/>
              <w:rPr>
                <w:rFonts w:ascii="Times New Roman" w:hAnsi="Times New Roman" w:cs="Times New Roman"/>
              </w:rPr>
            </w:pPr>
            <w:r w:rsidRPr="22B2E273">
              <w:rPr>
                <w:rFonts w:ascii="Times New Roman" w:hAnsi="Times New Roman" w:cs="Times New Roman"/>
              </w:rPr>
              <w:t>Üzemanyag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FA2FB" w14:textId="77777777" w:rsidR="002223AF" w:rsidRPr="00B9670A" w:rsidRDefault="002223AF" w:rsidP="002223AF">
            <w:pPr>
              <w:spacing w:after="0"/>
              <w:jc w:val="right"/>
              <w:rPr>
                <w:rFonts w:ascii="Times New Roman" w:hAnsi="Times New Roman" w:cs="Times New Roman"/>
              </w:rPr>
            </w:pPr>
            <w:r w:rsidRPr="24CA6B4B">
              <w:rPr>
                <w:rFonts w:ascii="Times New Roman" w:hAnsi="Times New Roman" w:cs="Times New Roman"/>
              </w:rPr>
              <w:t>645,9</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C408B" w14:textId="77777777" w:rsidR="002223AF" w:rsidRPr="00B9670A" w:rsidRDefault="002223AF" w:rsidP="002223AF">
            <w:pPr>
              <w:spacing w:after="0"/>
              <w:jc w:val="right"/>
              <w:rPr>
                <w:rFonts w:ascii="Times New Roman" w:hAnsi="Times New Roman" w:cs="Times New Roman"/>
              </w:rPr>
            </w:pPr>
            <w:r w:rsidRPr="24CA6B4B">
              <w:rPr>
                <w:rFonts w:ascii="Times New Roman" w:hAnsi="Times New Roman" w:cs="Times New Roman"/>
              </w:rPr>
              <w:t>829,0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4C14F" w14:textId="77777777" w:rsidR="002223AF" w:rsidRPr="00B9670A" w:rsidRDefault="002223AF" w:rsidP="002223AF">
            <w:pPr>
              <w:spacing w:after="0"/>
              <w:jc w:val="right"/>
              <w:rPr>
                <w:rFonts w:ascii="Times New Roman" w:hAnsi="Times New Roman" w:cs="Times New Roman"/>
              </w:rPr>
            </w:pPr>
            <w:r w:rsidRPr="24CA6B4B">
              <w:rPr>
                <w:rFonts w:ascii="Times New Roman" w:hAnsi="Times New Roman" w:cs="Times New Roman"/>
              </w:rPr>
              <w:t>183,1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898A3" w14:textId="77777777" w:rsidR="002223AF" w:rsidRPr="00B9670A" w:rsidRDefault="002223AF" w:rsidP="002223AF">
            <w:pPr>
              <w:spacing w:after="0"/>
              <w:jc w:val="right"/>
              <w:rPr>
                <w:rFonts w:ascii="Times New Roman" w:hAnsi="Times New Roman" w:cs="Times New Roman"/>
              </w:rPr>
            </w:pPr>
            <w:r w:rsidRPr="24CA6B4B">
              <w:rPr>
                <w:rFonts w:ascii="Times New Roman" w:hAnsi="Times New Roman" w:cs="Times New Roman"/>
              </w:rPr>
              <w:t>128,3</w:t>
            </w:r>
          </w:p>
        </w:tc>
      </w:tr>
      <w:tr w:rsidR="002223AF" w:rsidRPr="00B9670A" w14:paraId="007BBC05" w14:textId="77777777" w:rsidTr="002223AF">
        <w:trPr>
          <w:trHeight w:val="34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2C96B" w14:textId="77777777" w:rsidR="002223AF" w:rsidRPr="00B9670A" w:rsidRDefault="002223AF" w:rsidP="002223AF">
            <w:pPr>
              <w:spacing w:after="0"/>
              <w:rPr>
                <w:rFonts w:ascii="Times New Roman" w:hAnsi="Times New Roman" w:cs="Times New Roman"/>
              </w:rPr>
            </w:pPr>
            <w:r w:rsidRPr="22B2E273">
              <w:rPr>
                <w:rFonts w:ascii="Times New Roman" w:hAnsi="Times New Roman" w:cs="Times New Roman"/>
              </w:rPr>
              <w:t>Dohánygyártmány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5E024" w14:textId="77777777" w:rsidR="002223AF" w:rsidRPr="00B9670A" w:rsidRDefault="002223AF" w:rsidP="002223AF">
            <w:pPr>
              <w:spacing w:after="0"/>
              <w:jc w:val="right"/>
              <w:rPr>
                <w:rFonts w:ascii="Times New Roman" w:hAnsi="Times New Roman" w:cs="Times New Roman"/>
              </w:rPr>
            </w:pPr>
            <w:r w:rsidRPr="24CA6B4B">
              <w:rPr>
                <w:rFonts w:ascii="Times New Roman" w:hAnsi="Times New Roman" w:cs="Times New Roman"/>
              </w:rPr>
              <w:t>465,4</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4AFDA" w14:textId="77777777" w:rsidR="002223AF" w:rsidRPr="00B9670A" w:rsidRDefault="002223AF" w:rsidP="002223AF">
            <w:pPr>
              <w:spacing w:after="0"/>
              <w:jc w:val="right"/>
              <w:rPr>
                <w:rFonts w:ascii="Times New Roman" w:hAnsi="Times New Roman" w:cs="Times New Roman"/>
              </w:rPr>
            </w:pPr>
            <w:r w:rsidRPr="24CA6B4B">
              <w:rPr>
                <w:rFonts w:ascii="Times New Roman" w:hAnsi="Times New Roman" w:cs="Times New Roman"/>
              </w:rPr>
              <w:t>513,1</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B11D1" w14:textId="77777777" w:rsidR="002223AF" w:rsidRPr="00B9670A" w:rsidRDefault="002223AF" w:rsidP="002223AF">
            <w:pPr>
              <w:spacing w:after="0"/>
              <w:jc w:val="right"/>
              <w:rPr>
                <w:rFonts w:ascii="Times New Roman" w:hAnsi="Times New Roman" w:cs="Times New Roman"/>
              </w:rPr>
            </w:pPr>
            <w:r w:rsidRPr="24CA6B4B">
              <w:rPr>
                <w:rFonts w:ascii="Times New Roman" w:hAnsi="Times New Roman" w:cs="Times New Roman"/>
              </w:rPr>
              <w:t>47,7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74DAD" w14:textId="77777777" w:rsidR="002223AF" w:rsidRPr="00B9670A" w:rsidRDefault="002223AF" w:rsidP="002223AF">
            <w:pPr>
              <w:spacing w:after="0"/>
              <w:jc w:val="right"/>
              <w:rPr>
                <w:rFonts w:ascii="Times New Roman" w:hAnsi="Times New Roman" w:cs="Times New Roman"/>
              </w:rPr>
            </w:pPr>
            <w:r w:rsidRPr="24CA6B4B">
              <w:rPr>
                <w:rFonts w:ascii="Times New Roman" w:hAnsi="Times New Roman" w:cs="Times New Roman"/>
              </w:rPr>
              <w:t>110,2</w:t>
            </w:r>
          </w:p>
        </w:tc>
      </w:tr>
      <w:tr w:rsidR="002223AF" w:rsidRPr="00B9670A" w14:paraId="6ACAAED3" w14:textId="77777777" w:rsidTr="002223AF">
        <w:trPr>
          <w:trHeight w:val="34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8BAF3" w14:textId="77777777" w:rsidR="002223AF" w:rsidRPr="00B9670A" w:rsidRDefault="002223AF" w:rsidP="002223AF">
            <w:pPr>
              <w:spacing w:after="0"/>
              <w:rPr>
                <w:rFonts w:ascii="Times New Roman" w:hAnsi="Times New Roman" w:cs="Times New Roman"/>
              </w:rPr>
            </w:pPr>
            <w:r w:rsidRPr="22B2E273">
              <w:rPr>
                <w:rFonts w:ascii="Times New Roman" w:hAnsi="Times New Roman" w:cs="Times New Roman"/>
              </w:rPr>
              <w:t>Egyéb termék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8B96B" w14:textId="77777777" w:rsidR="002223AF" w:rsidRPr="00B9670A" w:rsidRDefault="002223AF" w:rsidP="002223AF">
            <w:pPr>
              <w:spacing w:after="0"/>
              <w:jc w:val="right"/>
              <w:rPr>
                <w:rFonts w:ascii="Times New Roman" w:hAnsi="Times New Roman" w:cs="Times New Roman"/>
              </w:rPr>
            </w:pPr>
            <w:r w:rsidRPr="24CA6B4B">
              <w:rPr>
                <w:rFonts w:ascii="Times New Roman" w:hAnsi="Times New Roman" w:cs="Times New Roman"/>
              </w:rPr>
              <w:t>118,1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E2B9B" w14:textId="1A12EB91" w:rsidR="002223AF" w:rsidRPr="00B9670A" w:rsidRDefault="002223AF" w:rsidP="002E401D">
            <w:pPr>
              <w:spacing w:after="0"/>
              <w:jc w:val="right"/>
              <w:rPr>
                <w:rFonts w:ascii="Times New Roman" w:hAnsi="Times New Roman" w:cs="Times New Roman"/>
              </w:rPr>
            </w:pPr>
            <w:r w:rsidRPr="24CA6B4B">
              <w:rPr>
                <w:rFonts w:ascii="Times New Roman" w:hAnsi="Times New Roman" w:cs="Times New Roman"/>
              </w:rPr>
              <w:t>120,</w:t>
            </w:r>
            <w:r w:rsidR="002E401D">
              <w:rPr>
                <w:rFonts w:ascii="Times New Roman" w:hAnsi="Times New Roman" w:cs="Times New Roman"/>
              </w:rPr>
              <w:t>7</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BA090" w14:textId="29EC5D16" w:rsidR="002223AF" w:rsidRPr="00B9670A" w:rsidRDefault="002223AF" w:rsidP="002E401D">
            <w:pPr>
              <w:spacing w:after="0"/>
              <w:jc w:val="right"/>
              <w:rPr>
                <w:rFonts w:ascii="Times New Roman" w:hAnsi="Times New Roman" w:cs="Times New Roman"/>
              </w:rPr>
            </w:pPr>
            <w:r w:rsidRPr="24CA6B4B">
              <w:rPr>
                <w:rFonts w:ascii="Times New Roman" w:hAnsi="Times New Roman" w:cs="Times New Roman"/>
              </w:rPr>
              <w:t>2,</w:t>
            </w:r>
            <w:r w:rsidR="002E401D">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BAA8C" w14:textId="639BF27A" w:rsidR="002223AF" w:rsidRPr="00B9670A" w:rsidRDefault="002223AF" w:rsidP="002E401D">
            <w:pPr>
              <w:spacing w:after="0"/>
              <w:jc w:val="right"/>
              <w:rPr>
                <w:rFonts w:ascii="Times New Roman" w:hAnsi="Times New Roman" w:cs="Times New Roman"/>
              </w:rPr>
            </w:pPr>
            <w:r w:rsidRPr="24CA6B4B">
              <w:rPr>
                <w:rFonts w:ascii="Times New Roman" w:hAnsi="Times New Roman" w:cs="Times New Roman"/>
              </w:rPr>
              <w:t>102,</w:t>
            </w:r>
            <w:r w:rsidR="002E401D">
              <w:rPr>
                <w:rFonts w:ascii="Times New Roman" w:hAnsi="Times New Roman" w:cs="Times New Roman"/>
              </w:rPr>
              <w:t>2</w:t>
            </w:r>
          </w:p>
        </w:tc>
      </w:tr>
      <w:tr w:rsidR="002223AF" w:rsidRPr="00B9670A" w14:paraId="45794BF0" w14:textId="77777777" w:rsidTr="002223AF">
        <w:trPr>
          <w:trHeight w:val="34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1B921" w14:textId="77777777" w:rsidR="002223AF" w:rsidRPr="00B9670A" w:rsidRDefault="002223AF" w:rsidP="002223AF">
            <w:pPr>
              <w:spacing w:after="0"/>
              <w:rPr>
                <w:rFonts w:ascii="Times New Roman" w:hAnsi="Times New Roman" w:cs="Times New Roman"/>
              </w:rPr>
            </w:pPr>
            <w:r w:rsidRPr="22B2E273">
              <w:rPr>
                <w:rFonts w:ascii="Times New Roman" w:hAnsi="Times New Roman" w:cs="Times New Roman"/>
              </w:rPr>
              <w:t>Import jövedéki adó és energiaadó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81727" w14:textId="77777777" w:rsidR="002223AF" w:rsidRPr="00B9670A" w:rsidRDefault="002223AF" w:rsidP="002223AF">
            <w:pPr>
              <w:spacing w:after="0"/>
              <w:jc w:val="right"/>
              <w:rPr>
                <w:rFonts w:ascii="Times New Roman" w:hAnsi="Times New Roman" w:cs="Times New Roman"/>
              </w:rPr>
            </w:pPr>
            <w:r w:rsidRPr="24CA6B4B">
              <w:rPr>
                <w:rFonts w:ascii="Times New Roman" w:hAnsi="Times New Roman" w:cs="Times New Roman"/>
              </w:rPr>
              <w:t>17,1</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D3039" w14:textId="599273B5" w:rsidR="002223AF" w:rsidRPr="00B9670A" w:rsidRDefault="002223AF" w:rsidP="002E401D">
            <w:pPr>
              <w:spacing w:after="0"/>
              <w:jc w:val="right"/>
              <w:rPr>
                <w:rFonts w:ascii="Times New Roman" w:hAnsi="Times New Roman" w:cs="Times New Roman"/>
              </w:rPr>
            </w:pPr>
            <w:r w:rsidRPr="24CA6B4B">
              <w:rPr>
                <w:rFonts w:ascii="Times New Roman" w:hAnsi="Times New Roman" w:cs="Times New Roman"/>
              </w:rPr>
              <w:t>18,</w:t>
            </w:r>
            <w:r w:rsidR="002E401D">
              <w:rPr>
                <w:rFonts w:ascii="Times New Roman" w:hAnsi="Times New Roman" w:cs="Times New Roman"/>
              </w:rPr>
              <w:t>5</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FDA9E" w14:textId="23281A2A" w:rsidR="002223AF" w:rsidRPr="00B9670A" w:rsidRDefault="002223AF" w:rsidP="002E401D">
            <w:pPr>
              <w:spacing w:after="0"/>
              <w:jc w:val="right"/>
              <w:rPr>
                <w:rFonts w:ascii="Times New Roman" w:hAnsi="Times New Roman" w:cs="Times New Roman"/>
              </w:rPr>
            </w:pPr>
            <w:r w:rsidRPr="24CA6B4B">
              <w:rPr>
                <w:rFonts w:ascii="Times New Roman" w:hAnsi="Times New Roman" w:cs="Times New Roman"/>
              </w:rPr>
              <w:t>1,</w:t>
            </w:r>
            <w:r w:rsidR="002E401D">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2A60E" w14:textId="7CD66C8B" w:rsidR="002223AF" w:rsidRPr="00B9670A" w:rsidRDefault="002E401D" w:rsidP="002223AF">
            <w:pPr>
              <w:spacing w:after="0"/>
              <w:jc w:val="right"/>
              <w:rPr>
                <w:rFonts w:ascii="Times New Roman" w:hAnsi="Times New Roman" w:cs="Times New Roman"/>
              </w:rPr>
            </w:pPr>
            <w:r>
              <w:rPr>
                <w:rFonts w:ascii="Times New Roman" w:hAnsi="Times New Roman" w:cs="Times New Roman"/>
              </w:rPr>
              <w:t>108,2</w:t>
            </w:r>
          </w:p>
        </w:tc>
      </w:tr>
      <w:tr w:rsidR="002223AF" w:rsidRPr="00B9670A" w14:paraId="4E42CBE8" w14:textId="77777777" w:rsidTr="002223AF">
        <w:trPr>
          <w:trHeight w:val="34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322E8" w14:textId="77777777" w:rsidR="002223AF" w:rsidRPr="00B9670A" w:rsidRDefault="002223AF" w:rsidP="002223AF">
            <w:pPr>
              <w:spacing w:after="0"/>
              <w:rPr>
                <w:rFonts w:ascii="Times New Roman" w:hAnsi="Times New Roman" w:cs="Times New Roman"/>
                <w:b/>
                <w:bCs/>
              </w:rPr>
            </w:pPr>
            <w:r w:rsidRPr="22B2E273">
              <w:rPr>
                <w:rFonts w:ascii="Times New Roman" w:hAnsi="Times New Roman" w:cs="Times New Roman"/>
                <w:b/>
                <w:bCs/>
              </w:rPr>
              <w:t>Jövedéki adók összesen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F0DA0" w14:textId="77777777" w:rsidR="002223AF" w:rsidRPr="00B9670A" w:rsidRDefault="002223AF" w:rsidP="002223AF">
            <w:pPr>
              <w:spacing w:after="0"/>
              <w:jc w:val="right"/>
              <w:rPr>
                <w:rFonts w:ascii="Times New Roman" w:hAnsi="Times New Roman" w:cs="Times New Roman"/>
                <w:b/>
                <w:bCs/>
              </w:rPr>
            </w:pPr>
            <w:r w:rsidRPr="24CA6B4B">
              <w:rPr>
                <w:rFonts w:ascii="Times New Roman" w:hAnsi="Times New Roman" w:cs="Times New Roman"/>
                <w:b/>
                <w:bCs/>
              </w:rPr>
              <w:t>1 246,5</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A89D1" w14:textId="77777777" w:rsidR="002223AF" w:rsidRPr="00B9670A" w:rsidRDefault="002223AF" w:rsidP="002223AF">
            <w:pPr>
              <w:spacing w:after="0"/>
              <w:jc w:val="right"/>
              <w:rPr>
                <w:rFonts w:ascii="Times New Roman" w:hAnsi="Times New Roman" w:cs="Times New Roman"/>
                <w:b/>
                <w:bCs/>
              </w:rPr>
            </w:pPr>
            <w:r w:rsidRPr="24CA6B4B">
              <w:rPr>
                <w:rFonts w:ascii="Times New Roman" w:hAnsi="Times New Roman" w:cs="Times New Roman"/>
                <w:b/>
                <w:bCs/>
              </w:rPr>
              <w:t>1 481,3</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5F6D6" w14:textId="77777777" w:rsidR="002223AF" w:rsidRPr="00B9670A" w:rsidRDefault="002223AF" w:rsidP="002223AF">
            <w:pPr>
              <w:spacing w:after="0"/>
              <w:jc w:val="right"/>
              <w:rPr>
                <w:rFonts w:ascii="Times New Roman" w:hAnsi="Times New Roman" w:cs="Times New Roman"/>
                <w:b/>
                <w:bCs/>
              </w:rPr>
            </w:pPr>
            <w:r w:rsidRPr="24CA6B4B">
              <w:rPr>
                <w:rFonts w:ascii="Times New Roman" w:hAnsi="Times New Roman" w:cs="Times New Roman"/>
                <w:b/>
                <w:bCs/>
              </w:rPr>
              <w:t>234,8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B3667" w14:textId="77777777" w:rsidR="002223AF" w:rsidRPr="00B9670A" w:rsidRDefault="002223AF" w:rsidP="002223AF">
            <w:pPr>
              <w:spacing w:after="0"/>
              <w:jc w:val="right"/>
              <w:rPr>
                <w:rFonts w:ascii="Times New Roman" w:hAnsi="Times New Roman" w:cs="Times New Roman"/>
                <w:b/>
                <w:bCs/>
              </w:rPr>
            </w:pPr>
            <w:r w:rsidRPr="24CA6B4B">
              <w:rPr>
                <w:rFonts w:ascii="Times New Roman" w:hAnsi="Times New Roman" w:cs="Times New Roman"/>
                <w:b/>
                <w:bCs/>
              </w:rPr>
              <w:t>118,8</w:t>
            </w:r>
          </w:p>
        </w:tc>
      </w:tr>
    </w:tbl>
    <w:p w14:paraId="081E8FE0" w14:textId="77777777" w:rsidR="00B9670A" w:rsidRPr="00B9670A" w:rsidRDefault="22B2E273" w:rsidP="002223AF">
      <w:pPr>
        <w:keepLines/>
        <w:spacing w:before="120"/>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b/>
          <w:bCs/>
          <w:sz w:val="26"/>
          <w:szCs w:val="26"/>
          <w:lang w:eastAsia="hu-HU"/>
        </w:rPr>
        <w:t>Pénzügyi tranzakciós illetékből</w:t>
      </w:r>
      <w:r w:rsidRPr="22B2E273">
        <w:rPr>
          <w:rFonts w:ascii="Times New Roman" w:eastAsia="Times New Roman" w:hAnsi="Times New Roman" w:cs="Times New Roman"/>
          <w:sz w:val="26"/>
          <w:szCs w:val="26"/>
          <w:lang w:eastAsia="hu-HU"/>
        </w:rPr>
        <w:t xml:space="preserve"> 2024 első tizenegy hónapjában 366,6 milliárd forint bevétele keletkezett a költségvetésnek, ami 61,1 milliárd forinttal haladta meg az egy évvel korábbi összeget. A bevétel alakulásának hátterében a 2024. augusztus 1-től hatályos megemelt adómértékek állnak, illetve az hogy 2024. október elsejétől az adó hatálya kiterjed a konverziót tartalmazó műveletekre is.</w:t>
      </w:r>
    </w:p>
    <w:p w14:paraId="17822BDD" w14:textId="01DC3EC7" w:rsidR="00B9670A" w:rsidRPr="00B9670A" w:rsidRDefault="22B2E273" w:rsidP="00590630">
      <w:pPr>
        <w:spacing w:before="120"/>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sz w:val="26"/>
          <w:szCs w:val="26"/>
          <w:lang w:eastAsia="hu-HU"/>
        </w:rPr>
        <w:t xml:space="preserve">A </w:t>
      </w:r>
      <w:r w:rsidRPr="22B2E273">
        <w:rPr>
          <w:rFonts w:ascii="Times New Roman" w:eastAsia="Times New Roman" w:hAnsi="Times New Roman" w:cs="Times New Roman"/>
          <w:b/>
          <w:bCs/>
          <w:sz w:val="26"/>
          <w:szCs w:val="26"/>
          <w:lang w:eastAsia="hu-HU"/>
        </w:rPr>
        <w:t xml:space="preserve">biztosítási adóból </w:t>
      </w:r>
      <w:r w:rsidRPr="22B2E273">
        <w:rPr>
          <w:rFonts w:ascii="Times New Roman" w:eastAsia="Times New Roman" w:hAnsi="Times New Roman" w:cs="Times New Roman"/>
          <w:sz w:val="26"/>
          <w:szCs w:val="26"/>
          <w:lang w:eastAsia="hu-HU"/>
        </w:rPr>
        <w:t>származó bevétel az év</w:t>
      </w:r>
      <w:r w:rsidR="00590630">
        <w:rPr>
          <w:rFonts w:ascii="Times New Roman" w:eastAsia="Times New Roman" w:hAnsi="Times New Roman" w:cs="Times New Roman"/>
          <w:sz w:val="26"/>
          <w:szCs w:val="26"/>
          <w:lang w:eastAsia="hu-HU"/>
        </w:rPr>
        <w:t xml:space="preserve"> első tizenegy hónapjában 270,6 </w:t>
      </w:r>
      <w:r w:rsidRPr="22B2E273">
        <w:rPr>
          <w:rFonts w:ascii="Times New Roman" w:eastAsia="Times New Roman" w:hAnsi="Times New Roman" w:cs="Times New Roman"/>
          <w:sz w:val="26"/>
          <w:szCs w:val="26"/>
          <w:lang w:eastAsia="hu-HU"/>
        </w:rPr>
        <w:t>milliárd forintot tett ki, amely 97,3 milliárd forinttal magasabb az egy évvel korábbi bevételnél. A bevételek előző évhez viszonyított alakulását a 2023. évi biztosítási pótadó-kötelezettség 2024. január és július havi elszámolása</w:t>
      </w:r>
      <w:r w:rsidR="00590630">
        <w:rPr>
          <w:rFonts w:ascii="Times New Roman" w:eastAsia="Times New Roman" w:hAnsi="Times New Roman" w:cs="Times New Roman"/>
          <w:sz w:val="26"/>
          <w:szCs w:val="26"/>
          <w:lang w:eastAsia="hu-HU"/>
        </w:rPr>
        <w:t>,</w:t>
      </w:r>
      <w:r w:rsidRPr="22B2E273">
        <w:rPr>
          <w:rFonts w:ascii="Times New Roman" w:eastAsia="Times New Roman" w:hAnsi="Times New Roman" w:cs="Times New Roman"/>
          <w:sz w:val="26"/>
          <w:szCs w:val="26"/>
          <w:lang w:eastAsia="hu-HU"/>
        </w:rPr>
        <w:t xml:space="preserve"> valamint a 2024. évi pótadóelőleg május és november havi befizetése befolyásolja.</w:t>
      </w:r>
    </w:p>
    <w:p w14:paraId="77D98C8E" w14:textId="18E84EF2" w:rsidR="00B9670A" w:rsidRPr="00B9670A" w:rsidRDefault="22B2E273" w:rsidP="00590630">
      <w:pPr>
        <w:spacing w:before="120"/>
        <w:jc w:val="both"/>
        <w:rPr>
          <w:rFonts w:ascii="Times New Roman" w:eastAsia="Times New Roman" w:hAnsi="Times New Roman" w:cs="Times New Roman"/>
          <w:color w:val="000000" w:themeColor="text1"/>
          <w:sz w:val="26"/>
          <w:szCs w:val="26"/>
          <w:lang w:eastAsia="hu-HU"/>
        </w:rPr>
      </w:pPr>
      <w:r w:rsidRPr="22B2E273">
        <w:rPr>
          <w:rFonts w:ascii="Times New Roman" w:eastAsia="Times New Roman" w:hAnsi="Times New Roman" w:cs="Times New Roman"/>
          <w:color w:val="000000" w:themeColor="text1"/>
          <w:sz w:val="26"/>
          <w:szCs w:val="26"/>
          <w:lang w:eastAsia="hu-HU"/>
        </w:rPr>
        <w:t xml:space="preserve">A </w:t>
      </w:r>
      <w:r w:rsidRPr="22B2E273">
        <w:rPr>
          <w:rFonts w:ascii="Times New Roman" w:eastAsia="Times New Roman" w:hAnsi="Times New Roman" w:cs="Times New Roman"/>
          <w:b/>
          <w:bCs/>
          <w:color w:val="000000" w:themeColor="text1"/>
          <w:sz w:val="26"/>
          <w:szCs w:val="26"/>
          <w:lang w:eastAsia="hu-HU"/>
        </w:rPr>
        <w:t>személyi jövedelemadó</w:t>
      </w:r>
      <w:r w:rsidRPr="22B2E273">
        <w:rPr>
          <w:rFonts w:ascii="Times New Roman" w:eastAsia="Times New Roman" w:hAnsi="Times New Roman" w:cs="Times New Roman"/>
          <w:color w:val="000000" w:themeColor="text1"/>
          <w:sz w:val="26"/>
          <w:szCs w:val="26"/>
          <w:lang w:eastAsia="hu-HU"/>
        </w:rPr>
        <w:t xml:space="preserve"> bevétele az év első tizenegy hónapjában 4</w:t>
      </w:r>
      <w:r w:rsidR="00590630">
        <w:rPr>
          <w:rFonts w:ascii="Times New Roman" w:eastAsia="Times New Roman" w:hAnsi="Times New Roman" w:cs="Times New Roman"/>
          <w:color w:val="000000" w:themeColor="text1"/>
          <w:sz w:val="26"/>
          <w:szCs w:val="26"/>
          <w:lang w:eastAsia="hu-HU"/>
        </w:rPr>
        <w:t> </w:t>
      </w:r>
      <w:r w:rsidRPr="22B2E273">
        <w:rPr>
          <w:rFonts w:ascii="Times New Roman" w:eastAsia="Times New Roman" w:hAnsi="Times New Roman" w:cs="Times New Roman"/>
          <w:color w:val="000000" w:themeColor="text1"/>
          <w:sz w:val="26"/>
          <w:szCs w:val="26"/>
          <w:lang w:eastAsia="hu-HU"/>
        </w:rPr>
        <w:t>094,9</w:t>
      </w:r>
      <w:r w:rsidRPr="22B2E273">
        <w:rPr>
          <w:rFonts w:ascii="Times New Roman" w:eastAsia="Times New Roman" w:hAnsi="Times New Roman" w:cs="Times New Roman"/>
          <w:sz w:val="26"/>
          <w:szCs w:val="26"/>
          <w:lang w:eastAsia="hu-HU"/>
        </w:rPr>
        <w:t> </w:t>
      </w:r>
      <w:r w:rsidRPr="22B2E273">
        <w:rPr>
          <w:rFonts w:ascii="Times New Roman" w:eastAsia="Times New Roman" w:hAnsi="Times New Roman" w:cs="Times New Roman"/>
          <w:color w:val="000000" w:themeColor="text1"/>
          <w:sz w:val="26"/>
          <w:szCs w:val="26"/>
          <w:lang w:eastAsia="hu-HU"/>
        </w:rPr>
        <w:t>milliárd</w:t>
      </w:r>
      <w:r w:rsidRPr="22B2E273">
        <w:rPr>
          <w:rFonts w:ascii="Times New Roman" w:eastAsia="Times New Roman" w:hAnsi="Times New Roman" w:cs="Times New Roman"/>
          <w:sz w:val="26"/>
          <w:szCs w:val="26"/>
          <w:lang w:eastAsia="hu-HU"/>
        </w:rPr>
        <w:t> </w:t>
      </w:r>
      <w:r w:rsidRPr="22B2E273">
        <w:rPr>
          <w:rFonts w:ascii="Times New Roman" w:eastAsia="Times New Roman" w:hAnsi="Times New Roman" w:cs="Times New Roman"/>
          <w:color w:val="000000" w:themeColor="text1"/>
          <w:sz w:val="26"/>
          <w:szCs w:val="26"/>
          <w:lang w:eastAsia="hu-HU"/>
        </w:rPr>
        <w:t>forint volt, amely 482,5</w:t>
      </w:r>
      <w:r w:rsidRPr="22B2E273">
        <w:rPr>
          <w:rFonts w:ascii="Times New Roman" w:eastAsia="Times New Roman" w:hAnsi="Times New Roman" w:cs="Times New Roman"/>
          <w:sz w:val="26"/>
          <w:szCs w:val="26"/>
          <w:lang w:eastAsia="hu-HU"/>
        </w:rPr>
        <w:t> </w:t>
      </w:r>
      <w:r w:rsidRPr="22B2E273">
        <w:rPr>
          <w:rFonts w:ascii="Times New Roman" w:eastAsia="Times New Roman" w:hAnsi="Times New Roman" w:cs="Times New Roman"/>
          <w:color w:val="000000" w:themeColor="text1"/>
          <w:sz w:val="26"/>
          <w:szCs w:val="26"/>
          <w:lang w:eastAsia="hu-HU"/>
        </w:rPr>
        <w:t>milliárd</w:t>
      </w:r>
      <w:r w:rsidRPr="22B2E273">
        <w:rPr>
          <w:rFonts w:ascii="Times New Roman" w:eastAsia="Times New Roman" w:hAnsi="Times New Roman" w:cs="Times New Roman"/>
          <w:sz w:val="26"/>
          <w:szCs w:val="26"/>
          <w:lang w:eastAsia="hu-HU"/>
        </w:rPr>
        <w:t> </w:t>
      </w:r>
      <w:r w:rsidRPr="22B2E273">
        <w:rPr>
          <w:rFonts w:ascii="Times New Roman" w:eastAsia="Times New Roman" w:hAnsi="Times New Roman" w:cs="Times New Roman"/>
          <w:color w:val="000000" w:themeColor="text1"/>
          <w:sz w:val="26"/>
          <w:szCs w:val="26"/>
          <w:lang w:eastAsia="hu-HU"/>
        </w:rPr>
        <w:t>forinttal magasabb az egy évvel korábbi összegnél. Ennek oka a bértömeg növekedése.</w:t>
      </w:r>
    </w:p>
    <w:p w14:paraId="4AD2F5D6" w14:textId="21575A88" w:rsidR="00085C37" w:rsidRPr="00F7556A" w:rsidRDefault="22B2E273" w:rsidP="22B2E273">
      <w:pPr>
        <w:jc w:val="center"/>
        <w:rPr>
          <w:rFonts w:ascii="Times New Roman" w:eastAsia="Times New Roman" w:hAnsi="Times New Roman" w:cs="Times New Roman"/>
          <w:sz w:val="26"/>
          <w:szCs w:val="26"/>
        </w:rPr>
      </w:pPr>
      <w:r w:rsidRPr="00F7556A">
        <w:rPr>
          <w:rFonts w:ascii="Times New Roman" w:hAnsi="Times New Roman" w:cs="Times New Roman"/>
          <w:b/>
          <w:bCs/>
        </w:rPr>
        <w:t>Személyi jövedelemadó bevétel alakulása (milliárd forint)</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9"/>
        <w:gridCol w:w="1645"/>
        <w:gridCol w:w="1701"/>
        <w:gridCol w:w="992"/>
        <w:gridCol w:w="992"/>
      </w:tblGrid>
      <w:tr w:rsidR="00B9670A" w:rsidRPr="00F7556A" w14:paraId="7017B7AC" w14:textId="77777777" w:rsidTr="24CA6B4B">
        <w:trPr>
          <w:trHeight w:val="283"/>
          <w:jc w:val="center"/>
        </w:trPr>
        <w:tc>
          <w:tcPr>
            <w:tcW w:w="1469" w:type="dxa"/>
            <w:vMerge w:val="restart"/>
            <w:shd w:val="clear" w:color="auto" w:fill="DEEAF6" w:themeFill="accent1" w:themeFillTint="33"/>
            <w:noWrap/>
            <w:vAlign w:val="center"/>
            <w:hideMark/>
          </w:tcPr>
          <w:p w14:paraId="0DB6AD7C" w14:textId="77777777" w:rsidR="00B9670A" w:rsidRPr="00F7556A" w:rsidRDefault="22B2E273" w:rsidP="22B2E273">
            <w:pPr>
              <w:keepNext/>
              <w:keepLines/>
              <w:spacing w:after="0"/>
              <w:jc w:val="center"/>
              <w:rPr>
                <w:rFonts w:ascii="Times New Roman" w:hAnsi="Times New Roman" w:cs="Times New Roman"/>
                <w:b/>
                <w:bCs/>
              </w:rPr>
            </w:pPr>
            <w:r w:rsidRPr="00F7556A">
              <w:rPr>
                <w:rFonts w:ascii="Times New Roman" w:hAnsi="Times New Roman" w:cs="Times New Roman"/>
                <w:b/>
                <w:bCs/>
              </w:rPr>
              <w:t>Megnevezés</w:t>
            </w:r>
          </w:p>
        </w:tc>
        <w:tc>
          <w:tcPr>
            <w:tcW w:w="1645" w:type="dxa"/>
            <w:vMerge w:val="restart"/>
            <w:shd w:val="clear" w:color="auto" w:fill="DEEAF6" w:themeFill="accent1" w:themeFillTint="33"/>
            <w:vAlign w:val="center"/>
            <w:hideMark/>
          </w:tcPr>
          <w:p w14:paraId="342A1D07" w14:textId="77777777" w:rsidR="00B9670A" w:rsidRPr="00F7556A" w:rsidRDefault="24CA6B4B" w:rsidP="24CA6B4B">
            <w:pPr>
              <w:spacing w:after="0"/>
              <w:jc w:val="center"/>
              <w:rPr>
                <w:rFonts w:ascii="Times New Roman" w:hAnsi="Times New Roman" w:cs="Times New Roman"/>
                <w:b/>
                <w:bCs/>
              </w:rPr>
            </w:pPr>
            <w:r w:rsidRPr="00F7556A">
              <w:rPr>
                <w:rFonts w:ascii="Times New Roman" w:hAnsi="Times New Roman" w:cs="Times New Roman"/>
                <w:b/>
                <w:bCs/>
              </w:rPr>
              <w:t>2023.</w:t>
            </w:r>
          </w:p>
          <w:p w14:paraId="4EA86B1C" w14:textId="77777777" w:rsidR="00B9670A" w:rsidRPr="00F7556A" w:rsidRDefault="22B2E273" w:rsidP="22B2E273">
            <w:pPr>
              <w:keepNext/>
              <w:keepLines/>
              <w:spacing w:after="0"/>
              <w:jc w:val="center"/>
              <w:rPr>
                <w:rFonts w:ascii="Times New Roman" w:hAnsi="Times New Roman" w:cs="Times New Roman"/>
                <w:b/>
                <w:bCs/>
              </w:rPr>
            </w:pPr>
            <w:r w:rsidRPr="00F7556A">
              <w:rPr>
                <w:rFonts w:ascii="Times New Roman" w:hAnsi="Times New Roman" w:cs="Times New Roman"/>
                <w:b/>
                <w:bCs/>
              </w:rPr>
              <w:t>I-XI. hó</w:t>
            </w:r>
          </w:p>
        </w:tc>
        <w:tc>
          <w:tcPr>
            <w:tcW w:w="1701" w:type="dxa"/>
            <w:vMerge w:val="restart"/>
            <w:shd w:val="clear" w:color="auto" w:fill="DEEAF6" w:themeFill="accent1" w:themeFillTint="33"/>
            <w:vAlign w:val="center"/>
            <w:hideMark/>
          </w:tcPr>
          <w:p w14:paraId="2E21FBA5" w14:textId="77777777" w:rsidR="00B9670A" w:rsidRPr="00F7556A" w:rsidRDefault="24CA6B4B" w:rsidP="24CA6B4B">
            <w:pPr>
              <w:spacing w:after="0"/>
              <w:jc w:val="center"/>
              <w:rPr>
                <w:rFonts w:ascii="Times New Roman" w:hAnsi="Times New Roman" w:cs="Times New Roman"/>
                <w:b/>
                <w:bCs/>
              </w:rPr>
            </w:pPr>
            <w:r w:rsidRPr="00F7556A">
              <w:rPr>
                <w:rFonts w:ascii="Times New Roman" w:hAnsi="Times New Roman" w:cs="Times New Roman"/>
                <w:b/>
                <w:bCs/>
              </w:rPr>
              <w:t>2024.</w:t>
            </w:r>
          </w:p>
          <w:p w14:paraId="68BFC70D" w14:textId="77777777" w:rsidR="00B9670A" w:rsidRPr="00F7556A" w:rsidRDefault="22B2E273" w:rsidP="22B2E273">
            <w:pPr>
              <w:keepNext/>
              <w:keepLines/>
              <w:spacing w:after="0"/>
              <w:jc w:val="center"/>
              <w:rPr>
                <w:rFonts w:ascii="Times New Roman" w:hAnsi="Times New Roman" w:cs="Times New Roman"/>
                <w:b/>
                <w:bCs/>
              </w:rPr>
            </w:pPr>
            <w:r w:rsidRPr="00F7556A">
              <w:rPr>
                <w:rFonts w:ascii="Times New Roman" w:hAnsi="Times New Roman" w:cs="Times New Roman"/>
                <w:b/>
                <w:bCs/>
              </w:rPr>
              <w:t>I-XI. hó</w:t>
            </w:r>
          </w:p>
        </w:tc>
        <w:tc>
          <w:tcPr>
            <w:tcW w:w="1984" w:type="dxa"/>
            <w:gridSpan w:val="2"/>
            <w:shd w:val="clear" w:color="auto" w:fill="DEEAF6" w:themeFill="accent1" w:themeFillTint="33"/>
            <w:vAlign w:val="center"/>
            <w:hideMark/>
          </w:tcPr>
          <w:p w14:paraId="20441CF5" w14:textId="77777777" w:rsidR="00B9670A" w:rsidRPr="00F7556A" w:rsidRDefault="22B2E273" w:rsidP="22B2E273">
            <w:pPr>
              <w:keepNext/>
              <w:keepLines/>
              <w:spacing w:after="0"/>
              <w:jc w:val="center"/>
              <w:rPr>
                <w:rFonts w:ascii="Times New Roman" w:hAnsi="Times New Roman" w:cs="Times New Roman"/>
                <w:b/>
                <w:bCs/>
              </w:rPr>
            </w:pPr>
            <w:r w:rsidRPr="00F7556A">
              <w:rPr>
                <w:rFonts w:ascii="Times New Roman" w:hAnsi="Times New Roman" w:cs="Times New Roman"/>
                <w:b/>
                <w:bCs/>
              </w:rPr>
              <w:t>Eltérés</w:t>
            </w:r>
          </w:p>
        </w:tc>
      </w:tr>
      <w:tr w:rsidR="00B9670A" w:rsidRPr="00F7556A" w14:paraId="7DD7E5EB" w14:textId="77777777" w:rsidTr="24CA6B4B">
        <w:trPr>
          <w:trHeight w:val="283"/>
          <w:jc w:val="center"/>
        </w:trPr>
        <w:tc>
          <w:tcPr>
            <w:tcW w:w="1469" w:type="dxa"/>
            <w:vMerge/>
            <w:shd w:val="clear" w:color="auto" w:fill="DEEAF6" w:themeFill="accent1" w:themeFillTint="33"/>
            <w:noWrap/>
            <w:vAlign w:val="center"/>
          </w:tcPr>
          <w:p w14:paraId="58EE2510" w14:textId="77777777" w:rsidR="00B9670A" w:rsidRPr="00F7556A" w:rsidRDefault="00B9670A" w:rsidP="008A66DB">
            <w:pPr>
              <w:keepNext/>
              <w:keepLines/>
              <w:spacing w:after="0"/>
              <w:jc w:val="center"/>
              <w:rPr>
                <w:rFonts w:ascii="Times New Roman" w:hAnsi="Times New Roman" w:cs="Times New Roman"/>
                <w:b/>
                <w:bCs/>
              </w:rPr>
            </w:pPr>
          </w:p>
        </w:tc>
        <w:tc>
          <w:tcPr>
            <w:tcW w:w="1645" w:type="dxa"/>
            <w:vMerge/>
            <w:shd w:val="clear" w:color="auto" w:fill="DEEAF6" w:themeFill="accent1" w:themeFillTint="33"/>
            <w:vAlign w:val="center"/>
          </w:tcPr>
          <w:p w14:paraId="4310C016" w14:textId="77777777" w:rsidR="00B9670A" w:rsidRPr="00F7556A" w:rsidRDefault="00B9670A" w:rsidP="008A66DB">
            <w:pPr>
              <w:spacing w:after="0"/>
              <w:jc w:val="center"/>
              <w:rPr>
                <w:rFonts w:ascii="Times New Roman" w:hAnsi="Times New Roman" w:cs="Times New Roman"/>
                <w:b/>
                <w:bCs/>
              </w:rPr>
            </w:pPr>
          </w:p>
        </w:tc>
        <w:tc>
          <w:tcPr>
            <w:tcW w:w="1701" w:type="dxa"/>
            <w:vMerge/>
            <w:shd w:val="clear" w:color="auto" w:fill="DEEAF6" w:themeFill="accent1" w:themeFillTint="33"/>
            <w:vAlign w:val="center"/>
          </w:tcPr>
          <w:p w14:paraId="74A5EDB2" w14:textId="77777777" w:rsidR="00B9670A" w:rsidRPr="00F7556A" w:rsidRDefault="00B9670A" w:rsidP="008A66DB">
            <w:pPr>
              <w:spacing w:after="0"/>
              <w:jc w:val="center"/>
              <w:rPr>
                <w:rFonts w:ascii="Times New Roman" w:hAnsi="Times New Roman" w:cs="Times New Roman"/>
                <w:b/>
                <w:bCs/>
              </w:rPr>
            </w:pPr>
          </w:p>
        </w:tc>
        <w:tc>
          <w:tcPr>
            <w:tcW w:w="992" w:type="dxa"/>
            <w:shd w:val="clear" w:color="auto" w:fill="DEEAF6" w:themeFill="accent1" w:themeFillTint="33"/>
            <w:vAlign w:val="center"/>
          </w:tcPr>
          <w:p w14:paraId="1C9CC079" w14:textId="77777777" w:rsidR="00B9670A" w:rsidRPr="00F7556A" w:rsidRDefault="22B2E273" w:rsidP="22B2E273">
            <w:pPr>
              <w:keepNext/>
              <w:keepLines/>
              <w:spacing w:after="0"/>
              <w:jc w:val="center"/>
              <w:rPr>
                <w:rFonts w:ascii="Times New Roman" w:hAnsi="Times New Roman" w:cs="Times New Roman"/>
                <w:b/>
                <w:bCs/>
              </w:rPr>
            </w:pPr>
            <w:r w:rsidRPr="00F7556A">
              <w:rPr>
                <w:rFonts w:ascii="Times New Roman" w:hAnsi="Times New Roman" w:cs="Times New Roman"/>
                <w:b/>
                <w:bCs/>
              </w:rPr>
              <w:t>Mrd Ft</w:t>
            </w:r>
          </w:p>
        </w:tc>
        <w:tc>
          <w:tcPr>
            <w:tcW w:w="992" w:type="dxa"/>
            <w:shd w:val="clear" w:color="auto" w:fill="DEEAF6" w:themeFill="accent1" w:themeFillTint="33"/>
          </w:tcPr>
          <w:p w14:paraId="4490B0B5" w14:textId="77777777" w:rsidR="00B9670A" w:rsidRPr="00F7556A" w:rsidRDefault="22B2E273" w:rsidP="22B2E273">
            <w:pPr>
              <w:keepNext/>
              <w:keepLines/>
              <w:spacing w:after="0"/>
              <w:jc w:val="center"/>
              <w:rPr>
                <w:rFonts w:ascii="Times New Roman" w:hAnsi="Times New Roman" w:cs="Times New Roman"/>
                <w:b/>
                <w:bCs/>
              </w:rPr>
            </w:pPr>
            <w:r w:rsidRPr="00F7556A">
              <w:rPr>
                <w:rFonts w:ascii="Times New Roman" w:hAnsi="Times New Roman" w:cs="Times New Roman"/>
                <w:b/>
                <w:bCs/>
              </w:rPr>
              <w:t>%</w:t>
            </w:r>
          </w:p>
        </w:tc>
      </w:tr>
      <w:tr w:rsidR="00B9670A" w:rsidRPr="00F7556A" w14:paraId="57547364" w14:textId="77777777" w:rsidTr="24CA6B4B">
        <w:trPr>
          <w:trHeight w:val="340"/>
          <w:jc w:val="center"/>
        </w:trPr>
        <w:tc>
          <w:tcPr>
            <w:tcW w:w="1469" w:type="dxa"/>
            <w:shd w:val="clear" w:color="auto" w:fill="auto"/>
            <w:noWrap/>
            <w:vAlign w:val="center"/>
            <w:hideMark/>
          </w:tcPr>
          <w:p w14:paraId="5E9C643A" w14:textId="77777777" w:rsidR="00B9670A" w:rsidRPr="00F7556A" w:rsidRDefault="22B2E273" w:rsidP="22B2E273">
            <w:pPr>
              <w:keepNext/>
              <w:keepLines/>
              <w:spacing w:after="0"/>
              <w:rPr>
                <w:rFonts w:ascii="Times New Roman" w:hAnsi="Times New Roman" w:cs="Times New Roman"/>
              </w:rPr>
            </w:pPr>
            <w:r w:rsidRPr="00F7556A">
              <w:rPr>
                <w:rFonts w:ascii="Times New Roman" w:hAnsi="Times New Roman" w:cs="Times New Roman"/>
              </w:rPr>
              <w:t>Befizetés</w:t>
            </w:r>
          </w:p>
        </w:tc>
        <w:tc>
          <w:tcPr>
            <w:tcW w:w="1645" w:type="dxa"/>
            <w:shd w:val="clear" w:color="auto" w:fill="auto"/>
            <w:noWrap/>
            <w:vAlign w:val="center"/>
          </w:tcPr>
          <w:p w14:paraId="30BDE8A7" w14:textId="77777777" w:rsidR="00B9670A" w:rsidRPr="00F7556A" w:rsidRDefault="24CA6B4B" w:rsidP="24CA6B4B">
            <w:pPr>
              <w:keepNext/>
              <w:keepLines/>
              <w:spacing w:after="0"/>
              <w:jc w:val="right"/>
              <w:rPr>
                <w:rFonts w:ascii="Times New Roman" w:hAnsi="Times New Roman" w:cs="Times New Roman"/>
              </w:rPr>
            </w:pPr>
            <w:r w:rsidRPr="00F7556A">
              <w:rPr>
                <w:rFonts w:ascii="Times New Roman" w:hAnsi="Times New Roman" w:cs="Times New Roman"/>
              </w:rPr>
              <w:t>3 821,3</w:t>
            </w:r>
          </w:p>
        </w:tc>
        <w:tc>
          <w:tcPr>
            <w:tcW w:w="1701" w:type="dxa"/>
            <w:shd w:val="clear" w:color="auto" w:fill="auto"/>
            <w:noWrap/>
            <w:vAlign w:val="center"/>
          </w:tcPr>
          <w:p w14:paraId="00931182" w14:textId="77777777" w:rsidR="00B9670A" w:rsidRPr="00F7556A" w:rsidRDefault="24CA6B4B" w:rsidP="24CA6B4B">
            <w:pPr>
              <w:keepNext/>
              <w:keepLines/>
              <w:spacing w:after="0"/>
              <w:jc w:val="right"/>
              <w:rPr>
                <w:rFonts w:ascii="Times New Roman" w:hAnsi="Times New Roman" w:cs="Times New Roman"/>
              </w:rPr>
            </w:pPr>
            <w:r w:rsidRPr="00F7556A">
              <w:rPr>
                <w:rFonts w:ascii="Times New Roman" w:hAnsi="Times New Roman" w:cs="Times New Roman"/>
              </w:rPr>
              <w:t>4 333,5</w:t>
            </w:r>
          </w:p>
        </w:tc>
        <w:tc>
          <w:tcPr>
            <w:tcW w:w="992" w:type="dxa"/>
            <w:shd w:val="clear" w:color="auto" w:fill="auto"/>
            <w:noWrap/>
            <w:vAlign w:val="center"/>
          </w:tcPr>
          <w:p w14:paraId="25135C9A" w14:textId="77777777" w:rsidR="00B9670A" w:rsidRPr="00F7556A" w:rsidRDefault="24CA6B4B" w:rsidP="24CA6B4B">
            <w:pPr>
              <w:keepNext/>
              <w:keepLines/>
              <w:spacing w:after="0"/>
              <w:jc w:val="right"/>
              <w:rPr>
                <w:rFonts w:ascii="Times New Roman" w:hAnsi="Times New Roman" w:cs="Times New Roman"/>
              </w:rPr>
            </w:pPr>
            <w:r w:rsidRPr="00F7556A">
              <w:rPr>
                <w:rFonts w:ascii="Times New Roman" w:hAnsi="Times New Roman" w:cs="Times New Roman"/>
              </w:rPr>
              <w:t>512,2</w:t>
            </w:r>
          </w:p>
        </w:tc>
        <w:tc>
          <w:tcPr>
            <w:tcW w:w="992" w:type="dxa"/>
            <w:shd w:val="clear" w:color="auto" w:fill="auto"/>
            <w:vAlign w:val="center"/>
          </w:tcPr>
          <w:p w14:paraId="72D45882" w14:textId="77777777" w:rsidR="00B9670A" w:rsidRPr="00F7556A" w:rsidRDefault="24CA6B4B" w:rsidP="24CA6B4B">
            <w:pPr>
              <w:keepNext/>
              <w:keepLines/>
              <w:spacing w:after="0"/>
              <w:jc w:val="right"/>
              <w:rPr>
                <w:rFonts w:ascii="Times New Roman" w:hAnsi="Times New Roman" w:cs="Times New Roman"/>
              </w:rPr>
            </w:pPr>
            <w:r w:rsidRPr="00F7556A">
              <w:rPr>
                <w:rFonts w:ascii="Times New Roman" w:hAnsi="Times New Roman" w:cs="Times New Roman"/>
              </w:rPr>
              <w:t>113,4</w:t>
            </w:r>
          </w:p>
        </w:tc>
      </w:tr>
      <w:tr w:rsidR="00B9670A" w:rsidRPr="00F7556A" w14:paraId="2010B246" w14:textId="77777777" w:rsidTr="24CA6B4B">
        <w:trPr>
          <w:trHeight w:val="340"/>
          <w:jc w:val="center"/>
        </w:trPr>
        <w:tc>
          <w:tcPr>
            <w:tcW w:w="1469" w:type="dxa"/>
            <w:shd w:val="clear" w:color="auto" w:fill="auto"/>
            <w:noWrap/>
            <w:vAlign w:val="center"/>
            <w:hideMark/>
          </w:tcPr>
          <w:p w14:paraId="5DDBA4CF" w14:textId="77777777" w:rsidR="00B9670A" w:rsidRPr="00F7556A" w:rsidRDefault="22B2E273" w:rsidP="22B2E273">
            <w:pPr>
              <w:keepNext/>
              <w:keepLines/>
              <w:spacing w:after="0"/>
              <w:rPr>
                <w:rFonts w:ascii="Times New Roman" w:hAnsi="Times New Roman" w:cs="Times New Roman"/>
              </w:rPr>
            </w:pPr>
            <w:r w:rsidRPr="00F7556A">
              <w:rPr>
                <w:rFonts w:ascii="Times New Roman" w:hAnsi="Times New Roman" w:cs="Times New Roman"/>
              </w:rPr>
              <w:t>Kiutalás</w:t>
            </w:r>
          </w:p>
        </w:tc>
        <w:tc>
          <w:tcPr>
            <w:tcW w:w="1645" w:type="dxa"/>
            <w:shd w:val="clear" w:color="auto" w:fill="auto"/>
            <w:noWrap/>
            <w:vAlign w:val="center"/>
          </w:tcPr>
          <w:p w14:paraId="4E4E7F1A" w14:textId="77777777" w:rsidR="00B9670A" w:rsidRPr="00F7556A" w:rsidRDefault="24CA6B4B" w:rsidP="24CA6B4B">
            <w:pPr>
              <w:keepNext/>
              <w:keepLines/>
              <w:spacing w:after="0"/>
              <w:jc w:val="right"/>
              <w:rPr>
                <w:rFonts w:ascii="Times New Roman" w:hAnsi="Times New Roman" w:cs="Times New Roman"/>
              </w:rPr>
            </w:pPr>
            <w:r w:rsidRPr="00F7556A">
              <w:rPr>
                <w:rFonts w:ascii="Times New Roman" w:hAnsi="Times New Roman" w:cs="Times New Roman"/>
              </w:rPr>
              <w:t>208,9</w:t>
            </w:r>
          </w:p>
        </w:tc>
        <w:tc>
          <w:tcPr>
            <w:tcW w:w="1701" w:type="dxa"/>
            <w:shd w:val="clear" w:color="auto" w:fill="auto"/>
            <w:noWrap/>
            <w:vAlign w:val="center"/>
          </w:tcPr>
          <w:p w14:paraId="346EE37C" w14:textId="77777777" w:rsidR="00B9670A" w:rsidRPr="00F7556A" w:rsidRDefault="24CA6B4B" w:rsidP="24CA6B4B">
            <w:pPr>
              <w:keepNext/>
              <w:keepLines/>
              <w:spacing w:after="0"/>
              <w:jc w:val="right"/>
              <w:rPr>
                <w:rFonts w:ascii="Times New Roman" w:hAnsi="Times New Roman" w:cs="Times New Roman"/>
              </w:rPr>
            </w:pPr>
            <w:r w:rsidRPr="00F7556A">
              <w:rPr>
                <w:rFonts w:ascii="Times New Roman" w:hAnsi="Times New Roman" w:cs="Times New Roman"/>
              </w:rPr>
              <w:t>238,6</w:t>
            </w:r>
          </w:p>
        </w:tc>
        <w:tc>
          <w:tcPr>
            <w:tcW w:w="992" w:type="dxa"/>
            <w:shd w:val="clear" w:color="auto" w:fill="auto"/>
            <w:noWrap/>
            <w:vAlign w:val="center"/>
          </w:tcPr>
          <w:p w14:paraId="1D19DA20" w14:textId="77777777" w:rsidR="00B9670A" w:rsidRPr="00F7556A" w:rsidRDefault="24CA6B4B" w:rsidP="24CA6B4B">
            <w:pPr>
              <w:keepNext/>
              <w:keepLines/>
              <w:spacing w:after="0"/>
              <w:jc w:val="right"/>
              <w:rPr>
                <w:rFonts w:ascii="Times New Roman" w:hAnsi="Times New Roman" w:cs="Times New Roman"/>
              </w:rPr>
            </w:pPr>
            <w:r w:rsidRPr="00F7556A">
              <w:rPr>
                <w:rFonts w:ascii="Times New Roman" w:hAnsi="Times New Roman" w:cs="Times New Roman"/>
              </w:rPr>
              <w:t>29,7</w:t>
            </w:r>
          </w:p>
        </w:tc>
        <w:tc>
          <w:tcPr>
            <w:tcW w:w="992" w:type="dxa"/>
            <w:shd w:val="clear" w:color="auto" w:fill="auto"/>
            <w:vAlign w:val="center"/>
          </w:tcPr>
          <w:p w14:paraId="03D1BB72" w14:textId="77777777" w:rsidR="00B9670A" w:rsidRPr="00F7556A" w:rsidRDefault="24CA6B4B" w:rsidP="24CA6B4B">
            <w:pPr>
              <w:keepNext/>
              <w:keepLines/>
              <w:spacing w:after="0"/>
              <w:jc w:val="right"/>
              <w:rPr>
                <w:rFonts w:ascii="Times New Roman" w:hAnsi="Times New Roman" w:cs="Times New Roman"/>
              </w:rPr>
            </w:pPr>
            <w:r w:rsidRPr="00F7556A">
              <w:rPr>
                <w:rFonts w:ascii="Times New Roman" w:hAnsi="Times New Roman" w:cs="Times New Roman"/>
              </w:rPr>
              <w:t>114,2</w:t>
            </w:r>
          </w:p>
        </w:tc>
      </w:tr>
      <w:tr w:rsidR="00B9670A" w:rsidRPr="00F7556A" w14:paraId="0D3DF1EE" w14:textId="77777777" w:rsidTr="24CA6B4B">
        <w:trPr>
          <w:trHeight w:val="340"/>
          <w:jc w:val="center"/>
        </w:trPr>
        <w:tc>
          <w:tcPr>
            <w:tcW w:w="1469" w:type="dxa"/>
            <w:shd w:val="clear" w:color="auto" w:fill="auto"/>
            <w:noWrap/>
            <w:vAlign w:val="center"/>
            <w:hideMark/>
          </w:tcPr>
          <w:p w14:paraId="3B93E133" w14:textId="77777777" w:rsidR="00B9670A" w:rsidRPr="00F7556A" w:rsidRDefault="22B2E273" w:rsidP="22B2E273">
            <w:pPr>
              <w:widowControl w:val="0"/>
              <w:spacing w:after="0"/>
              <w:rPr>
                <w:rFonts w:ascii="Times New Roman" w:hAnsi="Times New Roman" w:cs="Times New Roman"/>
                <w:b/>
                <w:bCs/>
              </w:rPr>
            </w:pPr>
            <w:r w:rsidRPr="00F7556A">
              <w:rPr>
                <w:rFonts w:ascii="Times New Roman" w:hAnsi="Times New Roman" w:cs="Times New Roman"/>
                <w:b/>
                <w:bCs/>
              </w:rPr>
              <w:t>Egyenleg</w:t>
            </w:r>
          </w:p>
        </w:tc>
        <w:tc>
          <w:tcPr>
            <w:tcW w:w="1645" w:type="dxa"/>
            <w:shd w:val="clear" w:color="auto" w:fill="auto"/>
            <w:noWrap/>
            <w:vAlign w:val="center"/>
          </w:tcPr>
          <w:p w14:paraId="33333D17" w14:textId="77777777" w:rsidR="00B9670A" w:rsidRPr="00F7556A" w:rsidRDefault="24CA6B4B" w:rsidP="24CA6B4B">
            <w:pPr>
              <w:widowControl w:val="0"/>
              <w:spacing w:after="0"/>
              <w:jc w:val="right"/>
              <w:rPr>
                <w:rFonts w:ascii="Times New Roman" w:hAnsi="Times New Roman" w:cs="Times New Roman"/>
                <w:b/>
                <w:bCs/>
              </w:rPr>
            </w:pPr>
            <w:r w:rsidRPr="00F7556A">
              <w:rPr>
                <w:rFonts w:ascii="Times New Roman" w:hAnsi="Times New Roman" w:cs="Times New Roman"/>
                <w:b/>
                <w:bCs/>
              </w:rPr>
              <w:t>3</w:t>
            </w:r>
            <w:r w:rsidRPr="00F7556A">
              <w:rPr>
                <w:rFonts w:ascii="Times New Roman" w:hAnsi="Times New Roman" w:cs="Times New Roman"/>
              </w:rPr>
              <w:t> </w:t>
            </w:r>
            <w:r w:rsidRPr="00F7556A">
              <w:rPr>
                <w:rFonts w:ascii="Times New Roman" w:hAnsi="Times New Roman" w:cs="Times New Roman"/>
                <w:b/>
                <w:bCs/>
              </w:rPr>
              <w:t>612,4</w:t>
            </w:r>
          </w:p>
        </w:tc>
        <w:tc>
          <w:tcPr>
            <w:tcW w:w="1701" w:type="dxa"/>
            <w:shd w:val="clear" w:color="auto" w:fill="auto"/>
            <w:noWrap/>
            <w:vAlign w:val="center"/>
          </w:tcPr>
          <w:p w14:paraId="4FBB73D8" w14:textId="77777777" w:rsidR="00B9670A" w:rsidRPr="00F7556A" w:rsidRDefault="24CA6B4B" w:rsidP="24CA6B4B">
            <w:pPr>
              <w:widowControl w:val="0"/>
              <w:spacing w:after="0"/>
              <w:jc w:val="right"/>
              <w:rPr>
                <w:rFonts w:ascii="Times New Roman" w:hAnsi="Times New Roman" w:cs="Times New Roman"/>
                <w:b/>
                <w:bCs/>
              </w:rPr>
            </w:pPr>
            <w:r w:rsidRPr="00F7556A">
              <w:rPr>
                <w:rFonts w:ascii="Times New Roman" w:hAnsi="Times New Roman" w:cs="Times New Roman"/>
                <w:b/>
                <w:bCs/>
              </w:rPr>
              <w:t>4 094,9</w:t>
            </w:r>
          </w:p>
        </w:tc>
        <w:tc>
          <w:tcPr>
            <w:tcW w:w="992" w:type="dxa"/>
            <w:shd w:val="clear" w:color="auto" w:fill="auto"/>
            <w:noWrap/>
            <w:vAlign w:val="center"/>
          </w:tcPr>
          <w:p w14:paraId="65581329" w14:textId="77777777" w:rsidR="00B9670A" w:rsidRPr="00F7556A" w:rsidRDefault="24CA6B4B" w:rsidP="24CA6B4B">
            <w:pPr>
              <w:widowControl w:val="0"/>
              <w:spacing w:after="0"/>
              <w:jc w:val="right"/>
              <w:rPr>
                <w:rFonts w:ascii="Times New Roman" w:hAnsi="Times New Roman" w:cs="Times New Roman"/>
                <w:b/>
                <w:bCs/>
              </w:rPr>
            </w:pPr>
            <w:r w:rsidRPr="00F7556A">
              <w:rPr>
                <w:rFonts w:ascii="Times New Roman" w:hAnsi="Times New Roman" w:cs="Times New Roman"/>
                <w:b/>
                <w:bCs/>
              </w:rPr>
              <w:t>482,5</w:t>
            </w:r>
          </w:p>
        </w:tc>
        <w:tc>
          <w:tcPr>
            <w:tcW w:w="992" w:type="dxa"/>
            <w:shd w:val="clear" w:color="auto" w:fill="auto"/>
            <w:vAlign w:val="center"/>
          </w:tcPr>
          <w:p w14:paraId="7EE40919" w14:textId="77777777" w:rsidR="00B9670A" w:rsidRPr="00F7556A" w:rsidRDefault="24CA6B4B" w:rsidP="24CA6B4B">
            <w:pPr>
              <w:widowControl w:val="0"/>
              <w:spacing w:after="0"/>
              <w:jc w:val="right"/>
              <w:rPr>
                <w:rFonts w:ascii="Times New Roman" w:hAnsi="Times New Roman" w:cs="Times New Roman"/>
                <w:b/>
                <w:bCs/>
              </w:rPr>
            </w:pPr>
            <w:r w:rsidRPr="00F7556A">
              <w:rPr>
                <w:rFonts w:ascii="Times New Roman" w:hAnsi="Times New Roman" w:cs="Times New Roman"/>
                <w:b/>
                <w:bCs/>
              </w:rPr>
              <w:t>113,4</w:t>
            </w:r>
          </w:p>
        </w:tc>
      </w:tr>
    </w:tbl>
    <w:p w14:paraId="54234F12" w14:textId="50D2C309" w:rsidR="123EFD2F" w:rsidRPr="00377D59" w:rsidRDefault="22B2E273" w:rsidP="22B2E273">
      <w:pPr>
        <w:spacing w:before="160"/>
        <w:jc w:val="both"/>
        <w:rPr>
          <w:rFonts w:ascii="Times New Roman" w:eastAsia="Times New Roman" w:hAnsi="Times New Roman" w:cs="Times New Roman"/>
          <w:sz w:val="26"/>
          <w:szCs w:val="26"/>
        </w:rPr>
      </w:pPr>
      <w:r w:rsidRPr="22B2E273">
        <w:rPr>
          <w:rFonts w:ascii="Times New Roman" w:eastAsia="Times New Roman" w:hAnsi="Times New Roman" w:cs="Times New Roman"/>
          <w:sz w:val="26"/>
          <w:szCs w:val="26"/>
        </w:rPr>
        <w:t xml:space="preserve">A </w:t>
      </w:r>
      <w:r w:rsidRPr="22B2E273">
        <w:rPr>
          <w:rFonts w:ascii="Times New Roman" w:eastAsia="Times New Roman" w:hAnsi="Times New Roman" w:cs="Times New Roman"/>
          <w:b/>
          <w:bCs/>
          <w:sz w:val="26"/>
          <w:szCs w:val="26"/>
        </w:rPr>
        <w:t>Központi Maradványelszámolási Alapba</w:t>
      </w:r>
      <w:r w:rsidRPr="22B2E273">
        <w:rPr>
          <w:rFonts w:ascii="Times New Roman" w:eastAsia="Times New Roman" w:hAnsi="Times New Roman" w:cs="Times New Roman"/>
          <w:sz w:val="26"/>
          <w:szCs w:val="26"/>
        </w:rPr>
        <w:t xml:space="preserve"> </w:t>
      </w:r>
      <w:r w:rsidRPr="22B2E273">
        <w:rPr>
          <w:rFonts w:ascii="Times New Roman" w:eastAsia="Times New Roman" w:hAnsi="Times New Roman" w:cs="Times New Roman"/>
          <w:b/>
          <w:bCs/>
          <w:sz w:val="26"/>
          <w:szCs w:val="26"/>
        </w:rPr>
        <w:t>történő befizetések</w:t>
      </w:r>
      <w:r w:rsidRPr="22B2E273">
        <w:rPr>
          <w:rFonts w:ascii="Times New Roman" w:eastAsia="Times New Roman" w:hAnsi="Times New Roman" w:cs="Times New Roman"/>
          <w:sz w:val="26"/>
          <w:szCs w:val="26"/>
        </w:rPr>
        <w:t xml:space="preserve"> mérlegsorra az év első tizenegy hónapjában 167,8 milliárd forint maradvány került befizetésre, szemben az előző év azonos időszakában befolyt 98,9 milliárd forintos összeggel.</w:t>
      </w:r>
    </w:p>
    <w:p w14:paraId="25C427CE" w14:textId="68A013E1" w:rsidR="029C2633" w:rsidRPr="00026266" w:rsidRDefault="22B2E273" w:rsidP="22B2E273">
      <w:pPr>
        <w:spacing w:before="160"/>
        <w:jc w:val="both"/>
        <w:rPr>
          <w:rFonts w:ascii="Times New Roman" w:eastAsia="Times New Roman" w:hAnsi="Times New Roman" w:cs="Times New Roman"/>
          <w:sz w:val="26"/>
          <w:szCs w:val="26"/>
        </w:rPr>
      </w:pPr>
      <w:r w:rsidRPr="22B2E273">
        <w:rPr>
          <w:rFonts w:ascii="Times New Roman" w:eastAsia="Times New Roman" w:hAnsi="Times New Roman" w:cs="Times New Roman"/>
          <w:sz w:val="26"/>
          <w:szCs w:val="26"/>
        </w:rPr>
        <w:t xml:space="preserve">Az </w:t>
      </w:r>
      <w:r w:rsidRPr="22B2E273">
        <w:rPr>
          <w:rFonts w:ascii="Times New Roman" w:eastAsia="Times New Roman" w:hAnsi="Times New Roman" w:cs="Times New Roman"/>
          <w:b/>
          <w:bCs/>
          <w:sz w:val="26"/>
          <w:szCs w:val="26"/>
        </w:rPr>
        <w:t>állami vagyonnal kapcsolatos befizetések</w:t>
      </w:r>
      <w:r w:rsidR="004206D8">
        <w:rPr>
          <w:rFonts w:ascii="Times New Roman" w:eastAsia="Times New Roman" w:hAnsi="Times New Roman" w:cs="Times New Roman"/>
          <w:sz w:val="26"/>
          <w:szCs w:val="26"/>
        </w:rPr>
        <w:t xml:space="preserve"> első ti</w:t>
      </w:r>
      <w:r w:rsidRPr="22B2E273">
        <w:rPr>
          <w:rFonts w:ascii="Times New Roman" w:eastAsia="Times New Roman" w:hAnsi="Times New Roman" w:cs="Times New Roman"/>
          <w:sz w:val="26"/>
          <w:szCs w:val="26"/>
        </w:rPr>
        <w:t>z</w:t>
      </w:r>
      <w:r w:rsidR="004206D8">
        <w:rPr>
          <w:rFonts w:ascii="Times New Roman" w:eastAsia="Times New Roman" w:hAnsi="Times New Roman" w:cs="Times New Roman"/>
          <w:sz w:val="26"/>
          <w:szCs w:val="26"/>
        </w:rPr>
        <w:t>enegy</w:t>
      </w:r>
      <w:r w:rsidR="0071549A">
        <w:rPr>
          <w:rFonts w:ascii="Times New Roman" w:eastAsia="Times New Roman" w:hAnsi="Times New Roman" w:cs="Times New Roman"/>
          <w:sz w:val="26"/>
          <w:szCs w:val="26"/>
        </w:rPr>
        <w:t xml:space="preserve"> </w:t>
      </w:r>
      <w:r w:rsidRPr="22B2E273">
        <w:rPr>
          <w:rFonts w:ascii="Times New Roman" w:eastAsia="Times New Roman" w:hAnsi="Times New Roman" w:cs="Times New Roman"/>
          <w:sz w:val="26"/>
          <w:szCs w:val="26"/>
        </w:rPr>
        <w:t xml:space="preserve">havi összege </w:t>
      </w:r>
      <w:r w:rsidR="004206D8">
        <w:rPr>
          <w:rFonts w:ascii="Times New Roman" w:eastAsia="Times New Roman" w:hAnsi="Times New Roman" w:cs="Times New Roman"/>
          <w:sz w:val="26"/>
          <w:szCs w:val="26"/>
        </w:rPr>
        <w:t>49</w:t>
      </w:r>
      <w:r w:rsidR="002E401D">
        <w:rPr>
          <w:rFonts w:ascii="Times New Roman" w:eastAsia="Times New Roman" w:hAnsi="Times New Roman" w:cs="Times New Roman"/>
          <w:sz w:val="26"/>
          <w:szCs w:val="26"/>
        </w:rPr>
        <w:t>4</w:t>
      </w:r>
      <w:r w:rsidR="004206D8">
        <w:rPr>
          <w:rFonts w:ascii="Times New Roman" w:eastAsia="Times New Roman" w:hAnsi="Times New Roman" w:cs="Times New Roman"/>
          <w:sz w:val="26"/>
          <w:szCs w:val="26"/>
        </w:rPr>
        <w:t>,0</w:t>
      </w:r>
      <w:r w:rsidRPr="22B2E273">
        <w:rPr>
          <w:rFonts w:ascii="Times New Roman" w:eastAsia="Times New Roman" w:hAnsi="Times New Roman" w:cs="Times New Roman"/>
          <w:sz w:val="26"/>
          <w:szCs w:val="26"/>
        </w:rPr>
        <w:t xml:space="preserve"> milliárd forint, amelynek</w:t>
      </w:r>
      <w:r w:rsidRPr="22B2E273">
        <w:rPr>
          <w:rFonts w:ascii="Times New Roman" w:hAnsi="Times New Roman" w:cs="Times New Roman"/>
          <w:color w:val="1F497D"/>
        </w:rPr>
        <w:t xml:space="preserve"> </w:t>
      </w:r>
      <w:r w:rsidRPr="22B2E273">
        <w:rPr>
          <w:rFonts w:ascii="Times New Roman" w:eastAsia="Times New Roman" w:hAnsi="Times New Roman" w:cs="Times New Roman"/>
          <w:sz w:val="26"/>
          <w:szCs w:val="26"/>
        </w:rPr>
        <w:t>meghatározó tételei a kvótaértékesítés, a koncesszió és az osztalék befizetések voltak. E mérlegsor 2024-től nem tartalmazza a kiemelt állami beruházásokkal kapcsolatos bevételeket.</w:t>
      </w:r>
    </w:p>
    <w:p w14:paraId="0D0F2783" w14:textId="220984E1" w:rsidR="009D55B4" w:rsidRPr="00377D59" w:rsidRDefault="00054358" w:rsidP="009D55B4">
      <w:pPr>
        <w:jc w:val="center"/>
        <w:rPr>
          <w:rFonts w:ascii="Times New Roman" w:eastAsia="Times New Roman" w:hAnsi="Times New Roman" w:cs="Times New Roman"/>
          <w:sz w:val="26"/>
          <w:szCs w:val="26"/>
        </w:rPr>
      </w:pPr>
      <w:r>
        <w:rPr>
          <w:noProof/>
          <w:lang w:eastAsia="hu-HU"/>
        </w:rPr>
        <w:drawing>
          <wp:inline distT="0" distB="0" distL="0" distR="0" wp14:anchorId="623B7A90" wp14:editId="469BEB38">
            <wp:extent cx="5195063" cy="3005289"/>
            <wp:effectExtent l="0" t="0" r="5715" b="508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05412" cy="3069125"/>
                    </a:xfrm>
                    <a:prstGeom prst="rect">
                      <a:avLst/>
                    </a:prstGeom>
                  </pic:spPr>
                </pic:pic>
              </a:graphicData>
            </a:graphic>
          </wp:inline>
        </w:drawing>
      </w:r>
    </w:p>
    <w:p w14:paraId="23623F4E" w14:textId="1B426CB4" w:rsidR="5B67C7D7" w:rsidRPr="00920F4D" w:rsidRDefault="22B2E273" w:rsidP="00401229">
      <w:pPr>
        <w:jc w:val="both"/>
        <w:rPr>
          <w:rFonts w:ascii="Times New Roman" w:eastAsia="Times New Roman" w:hAnsi="Times New Roman" w:cs="Times New Roman"/>
          <w:sz w:val="26"/>
          <w:szCs w:val="26"/>
        </w:rPr>
      </w:pPr>
      <w:r w:rsidRPr="22B2E273">
        <w:rPr>
          <w:rFonts w:ascii="Times New Roman" w:eastAsia="Times New Roman" w:hAnsi="Times New Roman" w:cs="Times New Roman"/>
          <w:sz w:val="26"/>
          <w:szCs w:val="26"/>
        </w:rPr>
        <w:t xml:space="preserve">A költségvetés XLV. </w:t>
      </w:r>
      <w:r w:rsidRPr="22B2E273">
        <w:rPr>
          <w:rFonts w:ascii="Times New Roman" w:eastAsia="Times New Roman" w:hAnsi="Times New Roman" w:cs="Times New Roman"/>
          <w:b/>
          <w:bCs/>
          <w:sz w:val="26"/>
          <w:szCs w:val="26"/>
        </w:rPr>
        <w:t>Állami beruházások</w:t>
      </w:r>
      <w:r w:rsidRPr="22B2E273">
        <w:rPr>
          <w:rFonts w:ascii="Times New Roman" w:eastAsia="Times New Roman" w:hAnsi="Times New Roman" w:cs="Times New Roman"/>
          <w:sz w:val="26"/>
          <w:szCs w:val="26"/>
        </w:rPr>
        <w:t xml:space="preserve"> fejezetének bevételei 2024-től új mérlegsoron szerepelnek. A fejezet bevételei 2024 november végéig 63,4 milliárd forintot tettek ki.</w:t>
      </w:r>
    </w:p>
    <w:p w14:paraId="4BE4CA6A" w14:textId="5E86A1AC" w:rsidR="39728167" w:rsidRPr="00377D59" w:rsidRDefault="24CA6B4B" w:rsidP="00401229">
      <w:pPr>
        <w:jc w:val="both"/>
        <w:rPr>
          <w:rFonts w:ascii="Times New Roman" w:hAnsi="Times New Roman" w:cs="Times New Roman"/>
        </w:rPr>
      </w:pPr>
      <w:r w:rsidRPr="24CA6B4B">
        <w:rPr>
          <w:rFonts w:ascii="Times New Roman" w:eastAsia="Times New Roman" w:hAnsi="Times New Roman" w:cs="Times New Roman"/>
          <w:sz w:val="26"/>
          <w:szCs w:val="26"/>
        </w:rPr>
        <w:t xml:space="preserve">Az uniós bevételek főszabály szerint a XLII. A költségvetés közvetlen bevételei és kiadásai fejezetbe érkeznek, ezek kimutatására szolgálnak az </w:t>
      </w:r>
      <w:r w:rsidRPr="24CA6B4B">
        <w:rPr>
          <w:rFonts w:ascii="Times New Roman" w:eastAsia="Times New Roman" w:hAnsi="Times New Roman" w:cs="Times New Roman"/>
          <w:b/>
          <w:bCs/>
          <w:sz w:val="26"/>
          <w:szCs w:val="26"/>
        </w:rPr>
        <w:t>Uniós programok bevételei</w:t>
      </w:r>
      <w:r w:rsidRPr="24CA6B4B">
        <w:rPr>
          <w:rFonts w:ascii="Times New Roman" w:eastAsia="Times New Roman" w:hAnsi="Times New Roman" w:cs="Times New Roman"/>
          <w:sz w:val="26"/>
          <w:szCs w:val="26"/>
        </w:rPr>
        <w:t xml:space="preserve">, valamint az </w:t>
      </w:r>
      <w:r w:rsidRPr="24CA6B4B">
        <w:rPr>
          <w:rFonts w:ascii="Times New Roman" w:eastAsia="Times New Roman" w:hAnsi="Times New Roman" w:cs="Times New Roman"/>
          <w:b/>
          <w:bCs/>
          <w:sz w:val="26"/>
          <w:szCs w:val="26"/>
        </w:rPr>
        <w:t>Egyéb uniós bevételek</w:t>
      </w:r>
      <w:r w:rsidRPr="24CA6B4B">
        <w:rPr>
          <w:rFonts w:ascii="Times New Roman" w:eastAsia="Times New Roman" w:hAnsi="Times New Roman" w:cs="Times New Roman"/>
          <w:sz w:val="26"/>
          <w:szCs w:val="26"/>
        </w:rPr>
        <w:t xml:space="preserve"> mérlegsorok.</w:t>
      </w:r>
    </w:p>
    <w:p w14:paraId="1E44DCF7" w14:textId="200193B2" w:rsidR="39728167" w:rsidRPr="00377D59" w:rsidRDefault="22B2E273" w:rsidP="00401229">
      <w:pPr>
        <w:jc w:val="both"/>
        <w:rPr>
          <w:rFonts w:ascii="Times New Roman" w:eastAsia="Times New Roman" w:hAnsi="Times New Roman" w:cs="Times New Roman"/>
          <w:sz w:val="26"/>
          <w:szCs w:val="26"/>
        </w:rPr>
      </w:pPr>
      <w:r w:rsidRPr="22B2E273">
        <w:rPr>
          <w:rFonts w:ascii="Times New Roman" w:eastAsia="Times New Roman" w:hAnsi="Times New Roman" w:cs="Times New Roman"/>
          <w:sz w:val="26"/>
          <w:szCs w:val="26"/>
        </w:rPr>
        <w:t xml:space="preserve">Az </w:t>
      </w:r>
      <w:r w:rsidRPr="22B2E273">
        <w:rPr>
          <w:rFonts w:ascii="Times New Roman" w:eastAsia="Times New Roman" w:hAnsi="Times New Roman" w:cs="Times New Roman"/>
          <w:b/>
          <w:bCs/>
          <w:sz w:val="26"/>
          <w:szCs w:val="26"/>
        </w:rPr>
        <w:t>Uniós programok bevételei</w:t>
      </w:r>
      <w:r w:rsidRPr="22B2E273">
        <w:rPr>
          <w:rFonts w:ascii="Times New Roman" w:eastAsia="Times New Roman" w:hAnsi="Times New Roman" w:cs="Times New Roman"/>
          <w:sz w:val="26"/>
          <w:szCs w:val="26"/>
        </w:rPr>
        <w:t xml:space="preserve"> mérlegsoron 2024. november végéig 1</w:t>
      </w:r>
      <w:r w:rsidR="00401229">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037,4 milliárd forint bevétel keletkezett. Ez az összeg a törvényi előirányzat (2</w:t>
      </w:r>
      <w:r w:rsidR="00401229">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479,8 milliárd forint) 41,8%-át teszi ki. A teljesült bevételből 622,6 milliárd forint az uniós és 414,8 milliárd forint az egyéb bevétel.</w:t>
      </w:r>
    </w:p>
    <w:p w14:paraId="040E2327" w14:textId="092C0317" w:rsidR="74B9DF17" w:rsidRDefault="22B2E273" w:rsidP="00401229">
      <w:pPr>
        <w:jc w:val="both"/>
      </w:pPr>
      <w:r w:rsidRPr="22B2E273">
        <w:rPr>
          <w:rFonts w:ascii="Times New Roman" w:eastAsia="Times New Roman" w:hAnsi="Times New Roman" w:cs="Times New Roman"/>
          <w:sz w:val="26"/>
          <w:szCs w:val="26"/>
        </w:rPr>
        <w:t xml:space="preserve">Az </w:t>
      </w:r>
      <w:r w:rsidRPr="22B2E273">
        <w:rPr>
          <w:rFonts w:ascii="Times New Roman" w:eastAsia="Times New Roman" w:hAnsi="Times New Roman" w:cs="Times New Roman"/>
          <w:b/>
          <w:bCs/>
          <w:sz w:val="26"/>
          <w:szCs w:val="26"/>
        </w:rPr>
        <w:t xml:space="preserve">Egyéb uniós bevételek </w:t>
      </w:r>
      <w:r w:rsidRPr="22B2E273">
        <w:rPr>
          <w:rFonts w:ascii="Times New Roman" w:eastAsia="Times New Roman" w:hAnsi="Times New Roman" w:cs="Times New Roman"/>
          <w:sz w:val="26"/>
          <w:szCs w:val="26"/>
        </w:rPr>
        <w:t>soron a vámbeszedési költség megtérítése jelenik meg, mely 28,0</w:t>
      </w:r>
      <w:r w:rsidR="0070016B">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milliárd forintot tett ki 2024</w:t>
      </w:r>
      <w:r w:rsidR="0070016B">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 xml:space="preserve">novemberéig. Ez az összeg a törvényi előirányzat </w:t>
      </w:r>
      <w:r w:rsidR="00401229">
        <w:rPr>
          <w:rFonts w:ascii="Times New Roman" w:eastAsia="Times New Roman" w:hAnsi="Times New Roman" w:cs="Times New Roman"/>
          <w:sz w:val="26"/>
          <w:szCs w:val="26"/>
        </w:rPr>
        <w:br/>
      </w:r>
      <w:r w:rsidRPr="22B2E273">
        <w:rPr>
          <w:rFonts w:ascii="Times New Roman" w:eastAsia="Times New Roman" w:hAnsi="Times New Roman" w:cs="Times New Roman"/>
          <w:sz w:val="26"/>
          <w:szCs w:val="26"/>
        </w:rPr>
        <w:t>72,4%-</w:t>
      </w:r>
      <w:proofErr w:type="gramStart"/>
      <w:r w:rsidRPr="22B2E273">
        <w:rPr>
          <w:rFonts w:ascii="Times New Roman" w:eastAsia="Times New Roman" w:hAnsi="Times New Roman" w:cs="Times New Roman"/>
          <w:sz w:val="26"/>
          <w:szCs w:val="26"/>
        </w:rPr>
        <w:t>a</w:t>
      </w:r>
      <w:proofErr w:type="gramEnd"/>
      <w:r w:rsidR="00401229">
        <w:rPr>
          <w:rFonts w:ascii="Times New Roman" w:eastAsia="Times New Roman" w:hAnsi="Times New Roman" w:cs="Times New Roman"/>
          <w:sz w:val="26"/>
          <w:szCs w:val="26"/>
        </w:rPr>
        <w:t>,</w:t>
      </w:r>
      <w:r w:rsidRPr="22B2E273">
        <w:rPr>
          <w:rFonts w:ascii="Times New Roman" w:eastAsia="Times New Roman" w:hAnsi="Times New Roman" w:cs="Times New Roman"/>
          <w:sz w:val="26"/>
          <w:szCs w:val="26"/>
        </w:rPr>
        <w:t xml:space="preserve"> és 3,</w:t>
      </w:r>
      <w:proofErr w:type="spellStart"/>
      <w:r w:rsidR="003D61A8">
        <w:rPr>
          <w:rFonts w:ascii="Times New Roman" w:eastAsia="Times New Roman" w:hAnsi="Times New Roman" w:cs="Times New Roman"/>
          <w:sz w:val="26"/>
          <w:szCs w:val="26"/>
        </w:rPr>
        <w:t>3</w:t>
      </w:r>
      <w:proofErr w:type="spellEnd"/>
      <w:r w:rsidR="0070016B">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milliárd forinttal marad el a 2023.</w:t>
      </w:r>
      <w:r w:rsidR="0070016B">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 xml:space="preserve">év azonos időszakában keletkezett bevételtől. </w:t>
      </w:r>
    </w:p>
    <w:p w14:paraId="1BB1EB56" w14:textId="77777777" w:rsidR="00B9670A" w:rsidRPr="00B9670A" w:rsidRDefault="22B2E273" w:rsidP="00401229">
      <w:pPr>
        <w:jc w:val="both"/>
        <w:rPr>
          <w:rFonts w:ascii="Times New Roman" w:eastAsia="Calibri" w:hAnsi="Times New Roman" w:cs="Times New Roman"/>
          <w:sz w:val="26"/>
          <w:szCs w:val="26"/>
          <w:lang w:eastAsia="hu-HU"/>
        </w:rPr>
      </w:pPr>
      <w:r w:rsidRPr="22B2E273">
        <w:rPr>
          <w:rFonts w:ascii="Times New Roman" w:eastAsia="Calibri" w:hAnsi="Times New Roman" w:cs="Times New Roman"/>
          <w:sz w:val="26"/>
          <w:szCs w:val="26"/>
          <w:lang w:eastAsia="hu-HU"/>
        </w:rPr>
        <w:t xml:space="preserve">A befizetett társadalombiztosítási járulék 8,1%-át az állami adóhatóság a foglalkoztatási programokkal kapcsolatos elkülönített állami pénzalapnak utalja át. 2024. november végéig a </w:t>
      </w:r>
      <w:r w:rsidRPr="22B2E273">
        <w:rPr>
          <w:rFonts w:ascii="Times New Roman" w:eastAsia="Calibri" w:hAnsi="Times New Roman" w:cs="Times New Roman"/>
          <w:b/>
          <w:bCs/>
          <w:sz w:val="26"/>
          <w:szCs w:val="26"/>
          <w:lang w:eastAsia="hu-HU"/>
        </w:rPr>
        <w:t xml:space="preserve">társadalombiztosítási járulék </w:t>
      </w:r>
      <w:r w:rsidRPr="22B2E273">
        <w:rPr>
          <w:rFonts w:ascii="Times New Roman" w:eastAsia="Times New Roman" w:hAnsi="Times New Roman" w:cs="Times New Roman"/>
          <w:b/>
          <w:bCs/>
          <w:sz w:val="26"/>
          <w:szCs w:val="26"/>
          <w:lang w:eastAsia="hu-HU"/>
        </w:rPr>
        <w:t xml:space="preserve">Nemzeti Foglalkoztatási </w:t>
      </w:r>
      <w:r w:rsidRPr="22B2E273">
        <w:rPr>
          <w:rFonts w:ascii="Times New Roman" w:eastAsia="Calibri" w:hAnsi="Times New Roman" w:cs="Times New Roman"/>
          <w:b/>
          <w:bCs/>
          <w:sz w:val="26"/>
          <w:szCs w:val="26"/>
          <w:lang w:eastAsia="hu-HU"/>
        </w:rPr>
        <w:t xml:space="preserve">Alapot megillető része </w:t>
      </w:r>
      <w:r w:rsidRPr="22B2E273">
        <w:rPr>
          <w:rFonts w:ascii="Times New Roman" w:eastAsia="Calibri" w:hAnsi="Times New Roman" w:cs="Times New Roman"/>
          <w:sz w:val="26"/>
          <w:szCs w:val="26"/>
          <w:lang w:eastAsia="hu-HU"/>
        </w:rPr>
        <w:t>364,4 milliárd</w:t>
      </w:r>
      <w:r w:rsidRPr="22B2E273">
        <w:rPr>
          <w:rFonts w:ascii="Times New Roman" w:eastAsia="Times New Roman" w:hAnsi="Times New Roman" w:cs="Times New Roman"/>
          <w:sz w:val="26"/>
          <w:szCs w:val="26"/>
          <w:lang w:eastAsia="hu-HU"/>
        </w:rPr>
        <w:t> </w:t>
      </w:r>
      <w:r w:rsidRPr="22B2E273">
        <w:rPr>
          <w:rFonts w:ascii="Times New Roman" w:eastAsia="Calibri" w:hAnsi="Times New Roman" w:cs="Times New Roman"/>
          <w:sz w:val="26"/>
          <w:szCs w:val="26"/>
          <w:lang w:eastAsia="hu-HU"/>
        </w:rPr>
        <w:t>forintban teljesült, amely az előző év azonos időszakában befolyt bevételt 44,5</w:t>
      </w:r>
      <w:r w:rsidRPr="22B2E273">
        <w:rPr>
          <w:rFonts w:ascii="Times New Roman" w:eastAsia="Times New Roman" w:hAnsi="Times New Roman" w:cs="Times New Roman"/>
          <w:sz w:val="26"/>
          <w:szCs w:val="26"/>
          <w:lang w:eastAsia="hu-HU"/>
        </w:rPr>
        <w:t> </w:t>
      </w:r>
      <w:r w:rsidRPr="22B2E273">
        <w:rPr>
          <w:rFonts w:ascii="Times New Roman" w:eastAsia="Calibri" w:hAnsi="Times New Roman" w:cs="Times New Roman"/>
          <w:sz w:val="26"/>
          <w:szCs w:val="26"/>
          <w:lang w:eastAsia="hu-HU"/>
        </w:rPr>
        <w:t>milliárd</w:t>
      </w:r>
      <w:r w:rsidRPr="22B2E273">
        <w:rPr>
          <w:rFonts w:ascii="Times New Roman" w:eastAsia="Times New Roman" w:hAnsi="Times New Roman" w:cs="Times New Roman"/>
          <w:sz w:val="26"/>
          <w:szCs w:val="26"/>
          <w:lang w:eastAsia="hu-HU"/>
        </w:rPr>
        <w:t> </w:t>
      </w:r>
      <w:r w:rsidRPr="22B2E273">
        <w:rPr>
          <w:rFonts w:ascii="Times New Roman" w:eastAsia="Calibri" w:hAnsi="Times New Roman" w:cs="Times New Roman"/>
          <w:sz w:val="26"/>
          <w:szCs w:val="26"/>
          <w:lang w:eastAsia="hu-HU"/>
        </w:rPr>
        <w:t>forinttal, 13,9%-kal haladta meg. A bevételnövekedés oka a járulékköteles jövedelmek növekedése.</w:t>
      </w:r>
    </w:p>
    <w:p w14:paraId="139DEFE0" w14:textId="33433633" w:rsidR="00B9670A" w:rsidRPr="00B9670A" w:rsidRDefault="22B2E273" w:rsidP="00401229">
      <w:pPr>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sz w:val="26"/>
          <w:szCs w:val="26"/>
          <w:lang w:eastAsia="hu-HU"/>
        </w:rPr>
        <w:t xml:space="preserve">2024 első tizenegy hónapjában a </w:t>
      </w:r>
      <w:r w:rsidRPr="22B2E273">
        <w:rPr>
          <w:rFonts w:ascii="Times New Roman" w:eastAsia="Times New Roman" w:hAnsi="Times New Roman" w:cs="Times New Roman"/>
          <w:b/>
          <w:bCs/>
          <w:sz w:val="26"/>
          <w:szCs w:val="26"/>
          <w:lang w:eastAsia="hu-HU"/>
        </w:rPr>
        <w:t>szociális hozzájárulási adó Nyugdíjbiztosítási Alapot megillető része</w:t>
      </w:r>
      <w:r w:rsidRPr="22B2E273">
        <w:rPr>
          <w:rFonts w:ascii="Times New Roman" w:eastAsia="Times New Roman" w:hAnsi="Times New Roman" w:cs="Times New Roman"/>
          <w:sz w:val="26"/>
          <w:szCs w:val="26"/>
          <w:lang w:eastAsia="hu-HU"/>
        </w:rPr>
        <w:t xml:space="preserve"> (2</w:t>
      </w:r>
      <w:r w:rsidR="00401229">
        <w:rPr>
          <w:rFonts w:ascii="Times New Roman" w:eastAsia="Times New Roman" w:hAnsi="Times New Roman" w:cs="Times New Roman"/>
          <w:sz w:val="26"/>
          <w:szCs w:val="26"/>
          <w:lang w:eastAsia="hu-HU"/>
        </w:rPr>
        <w:t> </w:t>
      </w:r>
      <w:r w:rsidRPr="22B2E273">
        <w:rPr>
          <w:rFonts w:ascii="Times New Roman" w:eastAsia="Times New Roman" w:hAnsi="Times New Roman" w:cs="Times New Roman"/>
          <w:sz w:val="26"/>
          <w:szCs w:val="26"/>
          <w:lang w:eastAsia="hu-HU"/>
        </w:rPr>
        <w:t>460,7 milliárd forint) 736,7 milliárd forinttal haladta meg az előző évi azonos időszakában befolyt bevételeket. A bevétel változása az adóköteles jövedelmek növekedésével és az alapok közötti megoszlási arány változásával magyarázható.</w:t>
      </w:r>
    </w:p>
    <w:p w14:paraId="076AA057" w14:textId="73471733" w:rsidR="00B9670A" w:rsidRDefault="22B2E273" w:rsidP="00401229">
      <w:pPr>
        <w:jc w:val="both"/>
        <w:rPr>
          <w:rFonts w:ascii="Times New Roman" w:eastAsia="Calibri" w:hAnsi="Times New Roman" w:cs="Times New Roman"/>
          <w:sz w:val="26"/>
          <w:szCs w:val="26"/>
          <w:lang w:eastAsia="hu-HU"/>
        </w:rPr>
      </w:pPr>
      <w:r w:rsidRPr="22B2E273">
        <w:rPr>
          <w:rFonts w:ascii="Times New Roman" w:eastAsia="Times New Roman" w:hAnsi="Times New Roman" w:cs="Times New Roman"/>
          <w:sz w:val="26"/>
          <w:szCs w:val="26"/>
          <w:lang w:eastAsia="hu-HU"/>
        </w:rPr>
        <w:t xml:space="preserve">A befizetett társadalombiztosítási járulék 54%-át az állami adóhatóság a Nyugdíjbiztosítási Alapnak utalja át. 2024. november végéig a </w:t>
      </w:r>
      <w:r w:rsidRPr="22B2E273">
        <w:rPr>
          <w:rFonts w:ascii="Times New Roman" w:eastAsia="Times New Roman" w:hAnsi="Times New Roman" w:cs="Times New Roman"/>
          <w:b/>
          <w:bCs/>
          <w:sz w:val="26"/>
          <w:szCs w:val="26"/>
          <w:lang w:eastAsia="hu-HU"/>
        </w:rPr>
        <w:t>társadalombiztosítási járulék Nyugdíjbiztosítási Alapot megillető része és nyugdíjjárulék</w:t>
      </w:r>
      <w:r w:rsidRPr="22B2E273">
        <w:rPr>
          <w:rFonts w:ascii="Times New Roman" w:eastAsia="Times New Roman" w:hAnsi="Times New Roman" w:cs="Times New Roman"/>
          <w:sz w:val="26"/>
          <w:szCs w:val="26"/>
          <w:lang w:eastAsia="hu-HU"/>
        </w:rPr>
        <w:t xml:space="preserve"> 2</w:t>
      </w:r>
      <w:r w:rsidR="00401229">
        <w:rPr>
          <w:rFonts w:ascii="Times New Roman" w:eastAsia="Times New Roman" w:hAnsi="Times New Roman" w:cs="Times New Roman"/>
          <w:sz w:val="26"/>
          <w:szCs w:val="26"/>
          <w:lang w:eastAsia="hu-HU"/>
        </w:rPr>
        <w:t> </w:t>
      </w:r>
      <w:r w:rsidRPr="22B2E273">
        <w:rPr>
          <w:rFonts w:ascii="Times New Roman" w:eastAsia="Times New Roman" w:hAnsi="Times New Roman" w:cs="Times New Roman"/>
          <w:sz w:val="26"/>
          <w:szCs w:val="26"/>
          <w:lang w:eastAsia="hu-HU"/>
        </w:rPr>
        <w:t>481,9 milliárd forintban teljesült, amely az előző év azonos időszakában befolyt bevételt 303,9 milliá</w:t>
      </w:r>
      <w:r w:rsidR="00F7556A">
        <w:rPr>
          <w:rFonts w:ascii="Times New Roman" w:eastAsia="Times New Roman" w:hAnsi="Times New Roman" w:cs="Times New Roman"/>
          <w:sz w:val="26"/>
          <w:szCs w:val="26"/>
          <w:lang w:eastAsia="hu-HU"/>
        </w:rPr>
        <w:t xml:space="preserve">rd forinttal </w:t>
      </w:r>
      <w:r w:rsidRPr="22B2E273">
        <w:rPr>
          <w:rFonts w:ascii="Times New Roman" w:eastAsia="Times New Roman" w:hAnsi="Times New Roman" w:cs="Times New Roman"/>
          <w:sz w:val="26"/>
          <w:szCs w:val="26"/>
          <w:lang w:eastAsia="hu-HU"/>
        </w:rPr>
        <w:t xml:space="preserve">haladta meg. </w:t>
      </w:r>
      <w:r w:rsidRPr="22B2E273">
        <w:rPr>
          <w:rFonts w:ascii="Times New Roman" w:eastAsia="Calibri" w:hAnsi="Times New Roman" w:cs="Times New Roman"/>
          <w:sz w:val="26"/>
          <w:szCs w:val="26"/>
          <w:lang w:eastAsia="hu-HU"/>
        </w:rPr>
        <w:t>A bevételnövekedés oka a járulékköteles jövedelmek növekedése.</w:t>
      </w:r>
    </w:p>
    <w:p w14:paraId="6CB67DE9" w14:textId="4E34B7F6" w:rsidR="19667954" w:rsidRDefault="22B2E273" w:rsidP="00401229">
      <w:pPr>
        <w:jc w:val="both"/>
      </w:pPr>
      <w:r w:rsidRPr="22B2E273">
        <w:rPr>
          <w:rFonts w:ascii="Times New Roman" w:eastAsia="Times New Roman" w:hAnsi="Times New Roman" w:cs="Times New Roman"/>
          <w:sz w:val="26"/>
          <w:szCs w:val="26"/>
        </w:rPr>
        <w:t xml:space="preserve">A </w:t>
      </w:r>
      <w:r w:rsidRPr="22B2E273">
        <w:rPr>
          <w:rFonts w:ascii="Times New Roman" w:eastAsia="Times New Roman" w:hAnsi="Times New Roman" w:cs="Times New Roman"/>
          <w:b/>
          <w:bCs/>
          <w:sz w:val="26"/>
          <w:szCs w:val="26"/>
        </w:rPr>
        <w:t>Nyugdíjbiztosítási Alap</w:t>
      </w:r>
      <w:r w:rsidRPr="22B2E273">
        <w:rPr>
          <w:rFonts w:ascii="Times New Roman" w:eastAsia="Times New Roman" w:hAnsi="Times New Roman" w:cs="Times New Roman"/>
          <w:sz w:val="26"/>
          <w:szCs w:val="26"/>
        </w:rPr>
        <w:t xml:space="preserve"> 2024. évi költségvetése az ellátási kiadások támogatására 531,4 milliárd forint központi </w:t>
      </w:r>
      <w:r w:rsidRPr="22B2E273">
        <w:rPr>
          <w:rFonts w:ascii="Times New Roman" w:eastAsia="Times New Roman" w:hAnsi="Times New Roman" w:cs="Times New Roman"/>
          <w:b/>
          <w:bCs/>
          <w:sz w:val="26"/>
          <w:szCs w:val="26"/>
        </w:rPr>
        <w:t>költségvetési hozzájárulást</w:t>
      </w:r>
      <w:r w:rsidRPr="22B2E273">
        <w:rPr>
          <w:rFonts w:ascii="Times New Roman" w:eastAsia="Times New Roman" w:hAnsi="Times New Roman" w:cs="Times New Roman"/>
          <w:sz w:val="26"/>
          <w:szCs w:val="26"/>
        </w:rPr>
        <w:t xml:space="preserve"> tartalmaz.</w:t>
      </w:r>
    </w:p>
    <w:p w14:paraId="7D0E33AD" w14:textId="5B5D4563" w:rsidR="19667954" w:rsidRDefault="22B2E273" w:rsidP="00401229">
      <w:pPr>
        <w:jc w:val="both"/>
      </w:pPr>
      <w:r w:rsidRPr="22B2E273">
        <w:rPr>
          <w:rFonts w:ascii="Times New Roman" w:eastAsia="Times New Roman" w:hAnsi="Times New Roman" w:cs="Times New Roman"/>
          <w:sz w:val="26"/>
          <w:szCs w:val="26"/>
        </w:rPr>
        <w:t xml:space="preserve">A költségvetési hozzájárulás előirányzatából a XLII. A költségvetés közvetlen bevételei és kiadásai fejezet 61,9 milliárd forintot pénzeszköz-átadás útján biztosít az alap részére, míg további 469,5 milliárd forintot – a 13. havi nyugdíj, illetve a nyugdíjprémium fedezeteként – címzett támogatás formájában. A 13. havi nyugdíj és a nyugdíjprémium támogatásának előirányzatai év közben előirányzat-módosítás nélkül túlléphetők. </w:t>
      </w:r>
    </w:p>
    <w:p w14:paraId="2CBF9A93" w14:textId="594CD241" w:rsidR="19667954" w:rsidRDefault="22B2E273" w:rsidP="00401229">
      <w:pPr>
        <w:jc w:val="both"/>
      </w:pPr>
      <w:r w:rsidRPr="22B2E273">
        <w:rPr>
          <w:rFonts w:ascii="Times New Roman" w:eastAsia="Times New Roman" w:hAnsi="Times New Roman" w:cs="Times New Roman"/>
          <w:sz w:val="26"/>
          <w:szCs w:val="26"/>
        </w:rPr>
        <w:t xml:space="preserve">A Magyar Államkincstár a Nyugdíjbiztosítási Alap részére 2024. november végéig 56,7 milliárd forint központi támogatást utalt át </w:t>
      </w:r>
      <w:r w:rsidRPr="22B2E273">
        <w:rPr>
          <w:rFonts w:ascii="Times New Roman" w:eastAsia="Times New Roman" w:hAnsi="Times New Roman" w:cs="Times New Roman"/>
          <w:b/>
          <w:bCs/>
          <w:sz w:val="26"/>
          <w:szCs w:val="26"/>
        </w:rPr>
        <w:t>pénzeszköz-átadás</w:t>
      </w:r>
      <w:r w:rsidRPr="22B2E273">
        <w:rPr>
          <w:rFonts w:ascii="Times New Roman" w:eastAsia="Times New Roman" w:hAnsi="Times New Roman" w:cs="Times New Roman"/>
          <w:sz w:val="26"/>
          <w:szCs w:val="26"/>
        </w:rPr>
        <w:t xml:space="preserve"> jogcímen, ami 541,5 milliárd forinttal alacsonyabb az előző év azonos időszakában nyújtott támogatás összegénél. A pénzeszköz-átadás a Nyugdíjbiztosítási Alap költségvetési egyensúlyának biztosítását szolgálja.</w:t>
      </w:r>
    </w:p>
    <w:p w14:paraId="16B79A52" w14:textId="348D02AE" w:rsidR="19667954" w:rsidRDefault="22B2E273" w:rsidP="00401229">
      <w:pPr>
        <w:jc w:val="both"/>
      </w:pPr>
      <w:r w:rsidRPr="22B2E273">
        <w:rPr>
          <w:rFonts w:ascii="Times New Roman" w:eastAsia="Times New Roman" w:hAnsi="Times New Roman" w:cs="Times New Roman"/>
          <w:sz w:val="26"/>
          <w:szCs w:val="26"/>
        </w:rPr>
        <w:t>A 13. havi nyugdíj kifizetésének támogatására február hónapban 449,0 milliárd forint került átutalásra a Nyugdíjbiztosítási Alap részére, ami 31,0 milliárd forinttal haladja meg az előző év azonos időszakában ugyanezen a jogcímen nyújtott támogatás összegét. A céltámogatás 7,4%-os növekedésének oka a januári 6%-os nyugdíjemelés, és az előző évről áthúzódó cserélődési és létszámhatás tervezett mértékének beépülése a juttatás összegébe.</w:t>
      </w:r>
    </w:p>
    <w:p w14:paraId="3AEEF6FB" w14:textId="57865D0F" w:rsidR="00C35E13" w:rsidRDefault="00C11940" w:rsidP="00C35E13">
      <w:pPr>
        <w:pStyle w:val="NormlWeb"/>
        <w:jc w:val="center"/>
      </w:pPr>
      <w:r>
        <w:rPr>
          <w:noProof/>
        </w:rPr>
        <w:drawing>
          <wp:inline distT="0" distB="0" distL="0" distR="0" wp14:anchorId="58ACDA58" wp14:editId="342E85DF">
            <wp:extent cx="5940425" cy="2491740"/>
            <wp:effectExtent l="0" t="0" r="3175" b="381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2491740"/>
                    </a:xfrm>
                    <a:prstGeom prst="rect">
                      <a:avLst/>
                    </a:prstGeom>
                  </pic:spPr>
                </pic:pic>
              </a:graphicData>
            </a:graphic>
          </wp:inline>
        </w:drawing>
      </w:r>
    </w:p>
    <w:p w14:paraId="12C866CC" w14:textId="0952007C" w:rsidR="00B9670A" w:rsidRPr="00B9670A" w:rsidRDefault="22B2E273" w:rsidP="00F7556A">
      <w:pPr>
        <w:jc w:val="both"/>
        <w:rPr>
          <w:rFonts w:ascii="Times New Roman" w:eastAsia="Times New Roman" w:hAnsi="Times New Roman" w:cs="Times New Roman"/>
          <w:sz w:val="26"/>
          <w:szCs w:val="26"/>
          <w:lang w:eastAsia="hu-HU"/>
        </w:rPr>
      </w:pPr>
      <w:r w:rsidRPr="22B2E273">
        <w:rPr>
          <w:rFonts w:ascii="Times New Roman" w:eastAsia="Calibri" w:hAnsi="Times New Roman" w:cs="Times New Roman"/>
          <w:sz w:val="26"/>
          <w:szCs w:val="26"/>
          <w:lang w:eastAsia="hu-HU"/>
        </w:rPr>
        <w:t xml:space="preserve">2024. november végéig a </w:t>
      </w:r>
      <w:r w:rsidRPr="22B2E273">
        <w:rPr>
          <w:rFonts w:ascii="Times New Roman" w:eastAsia="Calibri" w:hAnsi="Times New Roman" w:cs="Times New Roman"/>
          <w:b/>
          <w:bCs/>
          <w:sz w:val="26"/>
          <w:szCs w:val="26"/>
          <w:lang w:eastAsia="hu-HU"/>
        </w:rPr>
        <w:t>szociális hozzájárulási adó Egészségbiztosítási Alapot megillető része</w:t>
      </w:r>
      <w:r w:rsidRPr="22B2E273">
        <w:rPr>
          <w:rFonts w:ascii="Times New Roman" w:eastAsia="Calibri" w:hAnsi="Times New Roman" w:cs="Times New Roman"/>
          <w:sz w:val="26"/>
          <w:szCs w:val="26"/>
          <w:lang w:eastAsia="hu-HU"/>
        </w:rPr>
        <w:t xml:space="preserve"> (299,8</w:t>
      </w:r>
      <w:r w:rsidRPr="22B2E273">
        <w:rPr>
          <w:rFonts w:ascii="Times New Roman" w:eastAsia="Times New Roman" w:hAnsi="Times New Roman" w:cs="Times New Roman"/>
          <w:sz w:val="26"/>
          <w:szCs w:val="26"/>
          <w:lang w:eastAsia="hu-HU"/>
        </w:rPr>
        <w:t> </w:t>
      </w:r>
      <w:r w:rsidRPr="22B2E273">
        <w:rPr>
          <w:rFonts w:ascii="Times New Roman" w:eastAsia="Calibri" w:hAnsi="Times New Roman" w:cs="Times New Roman"/>
          <w:sz w:val="26"/>
          <w:szCs w:val="26"/>
          <w:lang w:eastAsia="hu-HU"/>
        </w:rPr>
        <w:t>milliárd</w:t>
      </w:r>
      <w:r w:rsidRPr="22B2E273">
        <w:rPr>
          <w:rFonts w:ascii="Times New Roman" w:eastAsia="Times New Roman" w:hAnsi="Times New Roman" w:cs="Times New Roman"/>
          <w:sz w:val="26"/>
          <w:szCs w:val="26"/>
          <w:lang w:eastAsia="hu-HU"/>
        </w:rPr>
        <w:t> </w:t>
      </w:r>
      <w:r w:rsidRPr="22B2E273">
        <w:rPr>
          <w:rFonts w:ascii="Times New Roman" w:eastAsia="Calibri" w:hAnsi="Times New Roman" w:cs="Times New Roman"/>
          <w:sz w:val="26"/>
          <w:szCs w:val="26"/>
          <w:lang w:eastAsia="hu-HU"/>
        </w:rPr>
        <w:t>forint) 383,0</w:t>
      </w:r>
      <w:r w:rsidRPr="22B2E273">
        <w:rPr>
          <w:rFonts w:ascii="Times New Roman" w:eastAsia="Times New Roman" w:hAnsi="Times New Roman" w:cs="Times New Roman"/>
          <w:sz w:val="26"/>
          <w:szCs w:val="26"/>
          <w:lang w:eastAsia="hu-HU"/>
        </w:rPr>
        <w:t> </w:t>
      </w:r>
      <w:r w:rsidRPr="22B2E273">
        <w:rPr>
          <w:rFonts w:ascii="Times New Roman" w:eastAsia="Calibri" w:hAnsi="Times New Roman" w:cs="Times New Roman"/>
          <w:sz w:val="26"/>
          <w:szCs w:val="26"/>
          <w:lang w:eastAsia="hu-HU"/>
        </w:rPr>
        <w:t>milliárd</w:t>
      </w:r>
      <w:r w:rsidRPr="22B2E273">
        <w:rPr>
          <w:rFonts w:ascii="Times New Roman" w:eastAsia="Times New Roman" w:hAnsi="Times New Roman" w:cs="Times New Roman"/>
          <w:sz w:val="26"/>
          <w:szCs w:val="26"/>
          <w:lang w:eastAsia="hu-HU"/>
        </w:rPr>
        <w:t> </w:t>
      </w:r>
      <w:r w:rsidRPr="22B2E273">
        <w:rPr>
          <w:rFonts w:ascii="Times New Roman" w:eastAsia="Calibri" w:hAnsi="Times New Roman" w:cs="Times New Roman"/>
          <w:sz w:val="26"/>
          <w:szCs w:val="26"/>
          <w:lang w:eastAsia="hu-HU"/>
        </w:rPr>
        <w:t xml:space="preserve">forinttal kevesebb az előző év azonos időszakában befolyt bevételnél. </w:t>
      </w:r>
      <w:r w:rsidRPr="22B2E273">
        <w:rPr>
          <w:rFonts w:ascii="Times New Roman" w:eastAsia="Times New Roman" w:hAnsi="Times New Roman" w:cs="Times New Roman"/>
          <w:sz w:val="26"/>
          <w:szCs w:val="26"/>
          <w:lang w:eastAsia="hu-HU"/>
        </w:rPr>
        <w:t>A bevétel változása az adóköteles jövedelmek növekedésével és az alapok közötti megoszlási arány változásának együttes hatásával magyarázható.</w:t>
      </w:r>
    </w:p>
    <w:p w14:paraId="5690F378" w14:textId="5CCF5D6E" w:rsidR="00B9670A" w:rsidRDefault="22B2E273" w:rsidP="00F7556A">
      <w:pPr>
        <w:jc w:val="both"/>
        <w:rPr>
          <w:rFonts w:ascii="Times New Roman" w:eastAsia="Calibri" w:hAnsi="Times New Roman" w:cs="Times New Roman"/>
          <w:sz w:val="26"/>
          <w:szCs w:val="26"/>
          <w:lang w:eastAsia="hu-HU"/>
        </w:rPr>
      </w:pPr>
      <w:r w:rsidRPr="22B2E273">
        <w:rPr>
          <w:rFonts w:ascii="Times New Roman" w:eastAsia="Calibri" w:hAnsi="Times New Roman" w:cs="Times New Roman"/>
          <w:sz w:val="26"/>
          <w:szCs w:val="26"/>
          <w:lang w:eastAsia="hu-HU"/>
        </w:rPr>
        <w:t xml:space="preserve">A befizetett társadalombiztosítási járulék 37,9%-át az állami adóhatóság az Egészségbiztosítási Alapnak utalja át. 2024. november végéig a </w:t>
      </w:r>
      <w:r w:rsidRPr="22B2E273">
        <w:rPr>
          <w:rFonts w:ascii="Times New Roman" w:eastAsia="Calibri" w:hAnsi="Times New Roman" w:cs="Times New Roman"/>
          <w:b/>
          <w:bCs/>
          <w:sz w:val="26"/>
          <w:szCs w:val="26"/>
          <w:lang w:eastAsia="hu-HU"/>
        </w:rPr>
        <w:t>társadalombiztosítási járulék Egészségbiztosítási Alapot megillető része és egészségbiztosítási járulék</w:t>
      </w:r>
      <w:r w:rsidRPr="22B2E273">
        <w:rPr>
          <w:rFonts w:ascii="Times New Roman" w:eastAsia="Calibri" w:hAnsi="Times New Roman" w:cs="Times New Roman"/>
          <w:sz w:val="26"/>
          <w:szCs w:val="26"/>
          <w:lang w:eastAsia="hu-HU"/>
        </w:rPr>
        <w:t xml:space="preserve"> 1</w:t>
      </w:r>
      <w:r w:rsidR="00F7556A">
        <w:rPr>
          <w:rFonts w:ascii="Times New Roman" w:eastAsia="Calibri" w:hAnsi="Times New Roman" w:cs="Times New Roman"/>
          <w:sz w:val="26"/>
          <w:szCs w:val="26"/>
          <w:lang w:eastAsia="hu-HU"/>
        </w:rPr>
        <w:t> </w:t>
      </w:r>
      <w:r w:rsidRPr="22B2E273">
        <w:rPr>
          <w:rFonts w:ascii="Times New Roman" w:eastAsia="Calibri" w:hAnsi="Times New Roman" w:cs="Times New Roman"/>
          <w:sz w:val="26"/>
          <w:szCs w:val="26"/>
          <w:lang w:eastAsia="hu-HU"/>
        </w:rPr>
        <w:t>691,8</w:t>
      </w:r>
      <w:r w:rsidRPr="22B2E273">
        <w:rPr>
          <w:rFonts w:ascii="Times New Roman" w:eastAsia="Times New Roman" w:hAnsi="Times New Roman" w:cs="Times New Roman"/>
          <w:sz w:val="26"/>
          <w:szCs w:val="26"/>
          <w:lang w:eastAsia="hu-HU"/>
        </w:rPr>
        <w:t> </w:t>
      </w:r>
      <w:r w:rsidRPr="22B2E273">
        <w:rPr>
          <w:rFonts w:ascii="Times New Roman" w:eastAsia="Calibri" w:hAnsi="Times New Roman" w:cs="Times New Roman"/>
          <w:sz w:val="26"/>
          <w:szCs w:val="26"/>
          <w:lang w:eastAsia="hu-HU"/>
        </w:rPr>
        <w:t>milliárd</w:t>
      </w:r>
      <w:r w:rsidRPr="22B2E273">
        <w:rPr>
          <w:rFonts w:ascii="Times New Roman" w:eastAsia="Times New Roman" w:hAnsi="Times New Roman" w:cs="Times New Roman"/>
          <w:sz w:val="26"/>
          <w:szCs w:val="26"/>
          <w:lang w:eastAsia="hu-HU"/>
        </w:rPr>
        <w:t> </w:t>
      </w:r>
      <w:r w:rsidRPr="22B2E273">
        <w:rPr>
          <w:rFonts w:ascii="Times New Roman" w:eastAsia="Calibri" w:hAnsi="Times New Roman" w:cs="Times New Roman"/>
          <w:sz w:val="26"/>
          <w:szCs w:val="26"/>
          <w:lang w:eastAsia="hu-HU"/>
        </w:rPr>
        <w:t>forintban teljesült, amely az előző év azonos időszakában befolyt bevételt 206,0 milliárd</w:t>
      </w:r>
      <w:r w:rsidRPr="22B2E273">
        <w:rPr>
          <w:rFonts w:ascii="Times New Roman" w:eastAsia="Times New Roman" w:hAnsi="Times New Roman" w:cs="Times New Roman"/>
          <w:sz w:val="26"/>
          <w:szCs w:val="26"/>
          <w:lang w:eastAsia="hu-HU"/>
        </w:rPr>
        <w:t> </w:t>
      </w:r>
      <w:r w:rsidRPr="22B2E273">
        <w:rPr>
          <w:rFonts w:ascii="Times New Roman" w:eastAsia="Calibri" w:hAnsi="Times New Roman" w:cs="Times New Roman"/>
          <w:sz w:val="26"/>
          <w:szCs w:val="26"/>
          <w:lang w:eastAsia="hu-HU"/>
        </w:rPr>
        <w:t>forinttal, 13,9%-kal haladta meg. A bevételnövekedés oka a járulékköteles jövedelmek növekedése.</w:t>
      </w:r>
    </w:p>
    <w:p w14:paraId="1E047965" w14:textId="13502555" w:rsidR="005961B9" w:rsidRDefault="24CA6B4B" w:rsidP="00F7556A">
      <w:pPr>
        <w:jc w:val="both"/>
        <w:rPr>
          <w:rFonts w:ascii="Times New Roman" w:hAnsi="Times New Roman" w:cs="Times New Roman"/>
          <w:sz w:val="26"/>
          <w:szCs w:val="26"/>
        </w:rPr>
      </w:pPr>
      <w:r w:rsidRPr="24CA6B4B">
        <w:rPr>
          <w:rFonts w:ascii="Times New Roman" w:hAnsi="Times New Roman" w:cs="Times New Roman"/>
          <w:sz w:val="26"/>
          <w:szCs w:val="26"/>
        </w:rPr>
        <w:t xml:space="preserve">Az </w:t>
      </w:r>
      <w:r w:rsidRPr="24CA6B4B">
        <w:rPr>
          <w:rFonts w:ascii="Times New Roman" w:hAnsi="Times New Roman" w:cs="Times New Roman"/>
          <w:b/>
          <w:bCs/>
          <w:sz w:val="26"/>
          <w:szCs w:val="26"/>
        </w:rPr>
        <w:t>Egészségbiztosítási Alap költségvetési hozzájárulásai</w:t>
      </w:r>
      <w:r w:rsidRPr="24CA6B4B">
        <w:rPr>
          <w:rFonts w:ascii="Times New Roman" w:hAnsi="Times New Roman" w:cs="Times New Roman"/>
          <w:sz w:val="26"/>
          <w:szCs w:val="26"/>
        </w:rPr>
        <w:t xml:space="preserve"> 2024 első tizenegy hónapjában összesen 1 733,4 milliárd forintot tettek ki, amely 575,6 milliárd forinttal magasabb, mint az előző év november végéig átutalt összeg. 2024 első tizenegy hónapjában az Egészségbiztosítási Alap járulék címen átvett pénzeszközként 598,5 milliárd forint támogatást kapott, szemben a tavalyi év november végéig átutalt 520,3 milliárd forintos összeggel. Az Alap kiadásainak támogatására szolgáló tervezett pénzeszköz-átvétel és az egészségügyi feladatok ellátásával kapcsolatos hozzájárulás együttes összege 2024 első tizenegy hónapjában 1 134,9 milliárd forintot tett ki, amely 497,5 milliárd forinttal haladta meg a tavalyi év ezen időszakában átutalt összeget.</w:t>
      </w:r>
    </w:p>
    <w:p w14:paraId="754C440E" w14:textId="77777777" w:rsidR="005961B9" w:rsidRDefault="005961B9">
      <w:pPr>
        <w:rPr>
          <w:rFonts w:ascii="Times New Roman" w:hAnsi="Times New Roman" w:cs="Times New Roman"/>
          <w:sz w:val="26"/>
          <w:szCs w:val="26"/>
        </w:rPr>
      </w:pPr>
      <w:r>
        <w:rPr>
          <w:rFonts w:ascii="Times New Roman" w:hAnsi="Times New Roman" w:cs="Times New Roman"/>
          <w:sz w:val="26"/>
          <w:szCs w:val="26"/>
        </w:rPr>
        <w:br w:type="page"/>
      </w:r>
    </w:p>
    <w:p w14:paraId="51F08DF7" w14:textId="36E87ACD" w:rsidR="009E34AE" w:rsidRPr="00377D59" w:rsidRDefault="22B2E273" w:rsidP="22B2E273">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22B2E273">
        <w:rPr>
          <w:rFonts w:ascii="Times New Roman" w:eastAsia="Times New Roman" w:hAnsi="Times New Roman" w:cs="Times New Roman"/>
          <w:b/>
          <w:bCs/>
          <w:smallCaps/>
          <w:sz w:val="28"/>
          <w:szCs w:val="28"/>
          <w:lang w:eastAsia="hu-HU"/>
        </w:rPr>
        <w:t xml:space="preserve">A főbb kiadások </w:t>
      </w:r>
    </w:p>
    <w:p w14:paraId="42D2CBC3" w14:textId="3DF7FD9F" w:rsidR="00B56CB1" w:rsidRPr="00B56CB1" w:rsidRDefault="00B56CB1" w:rsidP="00B56CB1">
      <w:pPr>
        <w:spacing w:after="120"/>
        <w:jc w:val="both"/>
        <w:rPr>
          <w:rFonts w:ascii="Times New Roman" w:eastAsia="Times New Roman" w:hAnsi="Times New Roman" w:cs="Times New Roman"/>
          <w:b/>
          <w:bCs/>
          <w:sz w:val="26"/>
          <w:szCs w:val="26"/>
          <w:lang w:eastAsia="hu-HU"/>
        </w:rPr>
      </w:pPr>
      <w:r w:rsidRPr="00B56CB1">
        <w:rPr>
          <w:rFonts w:ascii="Times New Roman" w:eastAsia="Times New Roman" w:hAnsi="Times New Roman" w:cs="Times New Roman"/>
          <w:b/>
          <w:bCs/>
          <w:sz w:val="26"/>
          <w:szCs w:val="26"/>
          <w:lang w:eastAsia="hu-HU"/>
        </w:rPr>
        <w:t>A központi alrendszer november végi 36</w:t>
      </w:r>
      <w:r w:rsidR="0045694E">
        <w:rPr>
          <w:rFonts w:ascii="Times New Roman" w:eastAsia="Times New Roman" w:hAnsi="Times New Roman" w:cs="Times New Roman"/>
          <w:b/>
          <w:bCs/>
          <w:sz w:val="26"/>
          <w:szCs w:val="26"/>
          <w:lang w:eastAsia="hu-HU"/>
        </w:rPr>
        <w:t> </w:t>
      </w:r>
      <w:r w:rsidRPr="00B56CB1">
        <w:rPr>
          <w:rFonts w:ascii="Times New Roman" w:eastAsia="Times New Roman" w:hAnsi="Times New Roman" w:cs="Times New Roman"/>
          <w:b/>
          <w:bCs/>
          <w:sz w:val="26"/>
          <w:szCs w:val="26"/>
          <w:lang w:eastAsia="hu-HU"/>
        </w:rPr>
        <w:t xml:space="preserve">903,3 milliárd </w:t>
      </w:r>
      <w:r>
        <w:rPr>
          <w:rFonts w:ascii="Times New Roman" w:eastAsia="Times New Roman" w:hAnsi="Times New Roman" w:cs="Times New Roman"/>
          <w:b/>
          <w:bCs/>
          <w:sz w:val="26"/>
          <w:szCs w:val="26"/>
          <w:lang w:eastAsia="hu-HU"/>
        </w:rPr>
        <w:t>forint összegű kiadásai 1 165,6 </w:t>
      </w:r>
      <w:r w:rsidRPr="00B56CB1">
        <w:rPr>
          <w:rFonts w:ascii="Times New Roman" w:eastAsia="Times New Roman" w:hAnsi="Times New Roman" w:cs="Times New Roman"/>
          <w:b/>
          <w:bCs/>
          <w:sz w:val="26"/>
          <w:szCs w:val="26"/>
          <w:lang w:eastAsia="hu-HU"/>
        </w:rPr>
        <w:t>milliárd forinttal, 3,3%-kal haladták meg az e</w:t>
      </w:r>
      <w:r>
        <w:rPr>
          <w:rFonts w:ascii="Times New Roman" w:eastAsia="Times New Roman" w:hAnsi="Times New Roman" w:cs="Times New Roman"/>
          <w:b/>
          <w:bCs/>
          <w:sz w:val="26"/>
          <w:szCs w:val="26"/>
          <w:lang w:eastAsia="hu-HU"/>
        </w:rPr>
        <w:t>lőző év azonos időszaki adatát.</w:t>
      </w:r>
    </w:p>
    <w:p w14:paraId="2BDFBD4D" w14:textId="779C9483" w:rsidR="00B56CB1" w:rsidRPr="00B56CB1" w:rsidRDefault="00B56CB1" w:rsidP="00B56CB1">
      <w:pPr>
        <w:spacing w:after="120"/>
        <w:jc w:val="both"/>
        <w:rPr>
          <w:rFonts w:ascii="Times New Roman" w:eastAsia="Times New Roman" w:hAnsi="Times New Roman" w:cs="Times New Roman"/>
          <w:b/>
          <w:bCs/>
          <w:sz w:val="26"/>
          <w:szCs w:val="26"/>
          <w:lang w:eastAsia="hu-HU"/>
        </w:rPr>
      </w:pPr>
      <w:r w:rsidRPr="00B56CB1">
        <w:rPr>
          <w:rFonts w:ascii="Times New Roman" w:eastAsia="Times New Roman" w:hAnsi="Times New Roman" w:cs="Times New Roman"/>
          <w:b/>
          <w:bCs/>
          <w:sz w:val="26"/>
          <w:szCs w:val="26"/>
          <w:lang w:eastAsia="hu-HU"/>
        </w:rPr>
        <w:t>Magasabban teljesültek az egy évvel korábbihoz képest többek között az állami vagyonnal kapcsolatos kiadások, a költségveté</w:t>
      </w:r>
      <w:r>
        <w:rPr>
          <w:rFonts w:ascii="Times New Roman" w:eastAsia="Times New Roman" w:hAnsi="Times New Roman" w:cs="Times New Roman"/>
          <w:b/>
          <w:bCs/>
          <w:sz w:val="26"/>
          <w:szCs w:val="26"/>
          <w:lang w:eastAsia="hu-HU"/>
        </w:rPr>
        <w:t>si szervek kiadásai, valamint a </w:t>
      </w:r>
      <w:r w:rsidRPr="00B56CB1">
        <w:rPr>
          <w:rFonts w:ascii="Times New Roman" w:eastAsia="Times New Roman" w:hAnsi="Times New Roman" w:cs="Times New Roman"/>
          <w:b/>
          <w:bCs/>
          <w:sz w:val="26"/>
          <w:szCs w:val="26"/>
          <w:lang w:eastAsia="hu-HU"/>
        </w:rPr>
        <w:t>kamatkiadások.</w:t>
      </w:r>
    </w:p>
    <w:p w14:paraId="447C5EFC" w14:textId="2A8D9787" w:rsidR="005C15F7" w:rsidRPr="00377D59" w:rsidRDefault="00B56CB1" w:rsidP="00B56CB1">
      <w:pPr>
        <w:spacing w:after="120"/>
        <w:jc w:val="both"/>
        <w:rPr>
          <w:rFonts w:ascii="Times New Roman" w:eastAsia="Times New Roman" w:hAnsi="Times New Roman" w:cs="Times New Roman"/>
          <w:b/>
          <w:bCs/>
          <w:sz w:val="26"/>
          <w:szCs w:val="26"/>
          <w:lang w:eastAsia="hu-HU"/>
        </w:rPr>
      </w:pPr>
      <w:r w:rsidRPr="00B56CB1">
        <w:rPr>
          <w:rFonts w:ascii="Times New Roman" w:eastAsia="Times New Roman" w:hAnsi="Times New Roman" w:cs="Times New Roman"/>
          <w:b/>
          <w:bCs/>
          <w:sz w:val="26"/>
          <w:szCs w:val="26"/>
          <w:lang w:eastAsia="hu-HU"/>
        </w:rPr>
        <w:t>Meghaladták az egy évvel korábbi kifizetést a nyugellátásokra és a gyógyító-megelőző ellátásra fordított</w:t>
      </w:r>
      <w:r>
        <w:rPr>
          <w:rFonts w:ascii="Times New Roman" w:eastAsia="Times New Roman" w:hAnsi="Times New Roman" w:cs="Times New Roman"/>
          <w:b/>
          <w:bCs/>
          <w:sz w:val="26"/>
          <w:szCs w:val="26"/>
          <w:lang w:eastAsia="hu-HU"/>
        </w:rPr>
        <w:t xml:space="preserve"> összegek is. Nyugellátásokra 5 </w:t>
      </w:r>
      <w:r w:rsidRPr="00B56CB1">
        <w:rPr>
          <w:rFonts w:ascii="Times New Roman" w:eastAsia="Times New Roman" w:hAnsi="Times New Roman" w:cs="Times New Roman"/>
          <w:b/>
          <w:bCs/>
          <w:sz w:val="26"/>
          <w:szCs w:val="26"/>
          <w:lang w:eastAsia="hu-HU"/>
        </w:rPr>
        <w:t>727,7 milliárd forint, míg a gyógyító-meg</w:t>
      </w:r>
      <w:r>
        <w:rPr>
          <w:rFonts w:ascii="Times New Roman" w:eastAsia="Times New Roman" w:hAnsi="Times New Roman" w:cs="Times New Roman"/>
          <w:b/>
          <w:bCs/>
          <w:sz w:val="26"/>
          <w:szCs w:val="26"/>
          <w:lang w:eastAsia="hu-HU"/>
        </w:rPr>
        <w:t>előző ellátásra 2 </w:t>
      </w:r>
      <w:r w:rsidRPr="00B56CB1">
        <w:rPr>
          <w:rFonts w:ascii="Times New Roman" w:eastAsia="Times New Roman" w:hAnsi="Times New Roman" w:cs="Times New Roman"/>
          <w:b/>
          <w:bCs/>
          <w:sz w:val="26"/>
          <w:szCs w:val="26"/>
          <w:lang w:eastAsia="hu-HU"/>
        </w:rPr>
        <w:t>434,3 milliárd forint került kifizetésre november végéig</w:t>
      </w:r>
      <w:r w:rsidR="22B2E273" w:rsidRPr="22B2E273">
        <w:rPr>
          <w:rFonts w:ascii="Times New Roman" w:eastAsia="Times New Roman" w:hAnsi="Times New Roman" w:cs="Times New Roman"/>
          <w:b/>
          <w:bCs/>
          <w:sz w:val="26"/>
          <w:szCs w:val="26"/>
          <w:lang w:eastAsia="hu-HU"/>
        </w:rPr>
        <w:t>.</w:t>
      </w:r>
    </w:p>
    <w:p w14:paraId="71AFDEF8" w14:textId="46549BAC" w:rsidR="00C35E13" w:rsidRDefault="00C11940" w:rsidP="00C11940">
      <w:pPr>
        <w:pStyle w:val="NormlWeb"/>
        <w:jc w:val="center"/>
      </w:pPr>
      <w:r>
        <w:rPr>
          <w:noProof/>
        </w:rPr>
        <w:drawing>
          <wp:inline distT="0" distB="0" distL="0" distR="0" wp14:anchorId="36E4EC07" wp14:editId="45C11239">
            <wp:extent cx="5940425" cy="2018030"/>
            <wp:effectExtent l="0" t="0" r="3175" b="127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0425" cy="2018030"/>
                    </a:xfrm>
                    <a:prstGeom prst="rect">
                      <a:avLst/>
                    </a:prstGeom>
                  </pic:spPr>
                </pic:pic>
              </a:graphicData>
            </a:graphic>
          </wp:inline>
        </w:drawing>
      </w:r>
    </w:p>
    <w:p w14:paraId="68A8B775" w14:textId="5ACFF2E1" w:rsidR="1F152BF5" w:rsidRDefault="22B2E273" w:rsidP="22B2E273">
      <w:pPr>
        <w:jc w:val="both"/>
        <w:rPr>
          <w:rFonts w:ascii="Times New Roman" w:eastAsia="Times New Roman" w:hAnsi="Times New Roman" w:cs="Times New Roman"/>
          <w:sz w:val="26"/>
          <w:szCs w:val="26"/>
        </w:rPr>
      </w:pPr>
      <w:r w:rsidRPr="22B2E273">
        <w:rPr>
          <w:rFonts w:ascii="Times New Roman" w:eastAsia="Times New Roman" w:hAnsi="Times New Roman" w:cs="Times New Roman"/>
          <w:sz w:val="26"/>
          <w:szCs w:val="26"/>
        </w:rPr>
        <w:t xml:space="preserve">Az </w:t>
      </w:r>
      <w:r w:rsidRPr="22B2E273">
        <w:rPr>
          <w:rFonts w:ascii="Times New Roman" w:eastAsia="Times New Roman" w:hAnsi="Times New Roman" w:cs="Times New Roman"/>
          <w:b/>
          <w:bCs/>
          <w:sz w:val="26"/>
          <w:szCs w:val="26"/>
        </w:rPr>
        <w:t>úthálózat rendelkezésre állási díjak</w:t>
      </w:r>
      <w:r w:rsidRPr="22B2E273">
        <w:rPr>
          <w:rFonts w:ascii="Times New Roman" w:eastAsia="Times New Roman" w:hAnsi="Times New Roman" w:cs="Times New Roman"/>
          <w:sz w:val="26"/>
          <w:szCs w:val="26"/>
        </w:rPr>
        <w:t xml:space="preserve"> mérlegsor tartalmazza az M5, M6 autópálya rendelkezésre állási díjak, valamint a gyorsforgalmi úthálózat rendelkezésre állási díj előirányzatok kiadásait, amelynek összege 2024. n</w:t>
      </w:r>
      <w:r w:rsidR="0045694E">
        <w:rPr>
          <w:rFonts w:ascii="Times New Roman" w:eastAsia="Times New Roman" w:hAnsi="Times New Roman" w:cs="Times New Roman"/>
          <w:sz w:val="26"/>
          <w:szCs w:val="26"/>
        </w:rPr>
        <w:t>ovember végéig együttesen 354,6 </w:t>
      </w:r>
      <w:r w:rsidRPr="22B2E273">
        <w:rPr>
          <w:rFonts w:ascii="Times New Roman" w:eastAsia="Times New Roman" w:hAnsi="Times New Roman" w:cs="Times New Roman"/>
          <w:sz w:val="26"/>
          <w:szCs w:val="26"/>
        </w:rPr>
        <w:t xml:space="preserve">milliárd forint volt, ami 35,6 milliárd forinttal magasabban alakult a múlt év azonos időszakához képest. </w:t>
      </w:r>
      <w:r w:rsidR="0045694E" w:rsidRPr="0045694E">
        <w:rPr>
          <w:rFonts w:ascii="Times New Roman" w:eastAsia="Times New Roman" w:hAnsi="Times New Roman" w:cs="Times New Roman"/>
          <w:sz w:val="26"/>
          <w:szCs w:val="26"/>
        </w:rPr>
        <w:t>Az eltérést alapvetően a gyorsforgalmi úthálózat rendelkezésre állási díjának szerződésből fakadó változása magyarázza.</w:t>
      </w:r>
    </w:p>
    <w:p w14:paraId="6FBBC40E" w14:textId="71D17614" w:rsidR="1E25FE9E" w:rsidRPr="00377D59" w:rsidRDefault="22B2E273" w:rsidP="22B2E273">
      <w:pPr>
        <w:spacing w:before="160"/>
        <w:jc w:val="both"/>
        <w:rPr>
          <w:rFonts w:ascii="Times New Roman" w:eastAsia="Times New Roman" w:hAnsi="Times New Roman" w:cs="Times New Roman"/>
          <w:sz w:val="26"/>
          <w:szCs w:val="26"/>
        </w:rPr>
      </w:pPr>
      <w:r w:rsidRPr="22B2E273">
        <w:rPr>
          <w:rFonts w:ascii="Times New Roman" w:eastAsia="Times New Roman" w:hAnsi="Times New Roman" w:cs="Times New Roman"/>
          <w:sz w:val="26"/>
          <w:szCs w:val="26"/>
        </w:rPr>
        <w:t xml:space="preserve">A </w:t>
      </w:r>
      <w:r w:rsidRPr="22B2E273">
        <w:rPr>
          <w:rFonts w:ascii="Times New Roman" w:eastAsia="Times New Roman" w:hAnsi="Times New Roman" w:cs="Times New Roman"/>
          <w:b/>
          <w:bCs/>
          <w:sz w:val="26"/>
          <w:szCs w:val="26"/>
        </w:rPr>
        <w:t>közösségi közlekedés költségtérítés és támogatás</w:t>
      </w:r>
      <w:r w:rsidRPr="22B2E273">
        <w:rPr>
          <w:rFonts w:ascii="Times New Roman" w:eastAsia="Times New Roman" w:hAnsi="Times New Roman" w:cs="Times New Roman"/>
          <w:sz w:val="26"/>
          <w:szCs w:val="26"/>
        </w:rPr>
        <w:t xml:space="preserve"> mérlegsor kiadásai november végéig 742,9 milliárd forintot tettek ki, amelyből a szociálpolitikai menetdíj támogatás 139,7 milliárd forint.</w:t>
      </w:r>
    </w:p>
    <w:p w14:paraId="3B52873E" w14:textId="1E86D643" w:rsidR="008D3E76" w:rsidRDefault="22B2E273" w:rsidP="22B2E273">
      <w:pPr>
        <w:spacing w:before="160"/>
        <w:jc w:val="both"/>
        <w:rPr>
          <w:rFonts w:ascii="Times New Roman" w:eastAsia="Times New Roman" w:hAnsi="Times New Roman" w:cs="Times New Roman"/>
          <w:sz w:val="26"/>
          <w:szCs w:val="26"/>
        </w:rPr>
      </w:pPr>
      <w:r w:rsidRPr="22B2E273">
        <w:rPr>
          <w:rFonts w:ascii="Times New Roman" w:eastAsia="Times New Roman" w:hAnsi="Times New Roman" w:cs="Times New Roman"/>
          <w:sz w:val="26"/>
          <w:szCs w:val="26"/>
        </w:rPr>
        <w:t xml:space="preserve">A </w:t>
      </w:r>
      <w:r w:rsidRPr="22B2E273">
        <w:rPr>
          <w:rFonts w:ascii="Times New Roman" w:eastAsia="Times New Roman" w:hAnsi="Times New Roman" w:cs="Times New Roman"/>
          <w:b/>
          <w:bCs/>
          <w:sz w:val="26"/>
          <w:szCs w:val="26"/>
        </w:rPr>
        <w:t>közüzemi szolgáltatások támogatása</w:t>
      </w:r>
      <w:r w:rsidRPr="22B2E273">
        <w:rPr>
          <w:rFonts w:ascii="Times New Roman" w:eastAsia="Times New Roman" w:hAnsi="Times New Roman" w:cs="Times New Roman"/>
          <w:sz w:val="26"/>
          <w:szCs w:val="26"/>
        </w:rPr>
        <w:t xml:space="preserve"> mérlegsor tartalmazza a lakossági energia rezsivédelmi szolgáltatás, a lakossági villamos energia rendszerhasználati díj támogatás, a rezsivédelmi készletezési szolgáltatás és a távhőszolgáltatók kompenzációjával kapcsolatos kiadásokat, valamint a Víziközmű-fejlesztési és Ellentételezési Alap kiadásait is. A közüzemi szolgáltatások támogatására fordított kiadások 2024. november végéig 716,8 milliárd forintot tettek ki, amelyből a mérlegsoron új elemként megjelenő Víziközmű-fejlesztési és Ellentételezési Alap kiadása 74,3 milliárd forintot jelent. </w:t>
      </w:r>
      <w:r w:rsidR="7929D98B">
        <w:br/>
      </w:r>
      <w:r w:rsidRPr="22B2E273">
        <w:rPr>
          <w:rFonts w:ascii="Times New Roman" w:eastAsia="Times New Roman" w:hAnsi="Times New Roman" w:cs="Times New Roman"/>
          <w:sz w:val="26"/>
          <w:szCs w:val="26"/>
        </w:rPr>
        <w:t>A jelenlegi teljesítés 595,2 milliárd forinttal alacsonyabb, mint a tavalyi év azonos időszakában a közüzemi szolgáltatások teljesítésére fordított 1 312,0 milliárd forint, ami részben az alacsonyabb éves várható támogatási igényből, részben az eltérő havi kifizetési ütemezésből fakad.</w:t>
      </w:r>
    </w:p>
    <w:p w14:paraId="183C6341" w14:textId="7E3594F2" w:rsidR="76B67B90" w:rsidRPr="00377D59" w:rsidRDefault="22B2E273" w:rsidP="22B2E273">
      <w:pPr>
        <w:spacing w:before="160"/>
        <w:jc w:val="both"/>
        <w:rPr>
          <w:rFonts w:ascii="Times New Roman" w:eastAsia="Times New Roman" w:hAnsi="Times New Roman" w:cs="Times New Roman"/>
          <w:sz w:val="26"/>
          <w:szCs w:val="26"/>
        </w:rPr>
      </w:pPr>
      <w:r w:rsidRPr="22B2E273">
        <w:rPr>
          <w:rFonts w:ascii="Times New Roman" w:eastAsia="Times New Roman" w:hAnsi="Times New Roman" w:cs="Times New Roman"/>
          <w:b/>
          <w:bCs/>
          <w:sz w:val="26"/>
          <w:szCs w:val="26"/>
          <w:lang w:eastAsia="hu-HU"/>
        </w:rPr>
        <w:t xml:space="preserve">Lakástámogatásokra </w:t>
      </w:r>
      <w:r w:rsidRPr="22B2E273">
        <w:rPr>
          <w:rFonts w:ascii="Times New Roman" w:eastAsia="Times New Roman" w:hAnsi="Times New Roman" w:cs="Times New Roman"/>
          <w:sz w:val="26"/>
          <w:szCs w:val="26"/>
        </w:rPr>
        <w:t xml:space="preserve">fordított kiadások összege november végéig 154,8 milliárd forint volt, mely 2023 azonos időszakához viszonyítva 273,3 milliárd forinttal teljesült alacsonyabban. Az eltérésben szerepet játszik az otthonfelújítási támogatás és az ehhez kapcsolódó kölcsön 2022. év végi megszüntetésének áthúzódó hatása, mely a tavalyi év első hónapjaiban került kifizetésre. Az idei évet mozgatja továbbá, hogy a Családi Otthonteremtési Kedvezményt (CSOK), 2024. január </w:t>
      </w:r>
      <w:r w:rsidR="0071549A">
        <w:rPr>
          <w:rFonts w:ascii="Times New Roman" w:eastAsia="Times New Roman" w:hAnsi="Times New Roman" w:cs="Times New Roman"/>
          <w:sz w:val="26"/>
          <w:szCs w:val="26"/>
        </w:rPr>
        <w:t>1-jével új feltételekkel a CSOK </w:t>
      </w:r>
      <w:r w:rsidRPr="22B2E273">
        <w:rPr>
          <w:rFonts w:ascii="Times New Roman" w:eastAsia="Times New Roman" w:hAnsi="Times New Roman" w:cs="Times New Roman"/>
          <w:sz w:val="26"/>
          <w:szCs w:val="26"/>
        </w:rPr>
        <w:t>Plusz váltotta fel. Emellett az árfolyam- és a referenciahozamok, valamint a további konstrukciókat igénybe vevők létszámának alakulása is befolyásolta a kifizetéseket.</w:t>
      </w:r>
    </w:p>
    <w:p w14:paraId="33223970" w14:textId="1A2C644A" w:rsidR="0F03D9E1" w:rsidRDefault="22B2E273" w:rsidP="22B2E273">
      <w:pPr>
        <w:spacing w:before="160"/>
        <w:jc w:val="both"/>
        <w:rPr>
          <w:rFonts w:ascii="Times New Roman" w:eastAsia="Times New Roman" w:hAnsi="Times New Roman" w:cs="Times New Roman"/>
          <w:sz w:val="26"/>
          <w:szCs w:val="26"/>
        </w:rPr>
      </w:pPr>
      <w:r w:rsidRPr="22B2E273">
        <w:rPr>
          <w:rFonts w:ascii="Times New Roman" w:eastAsia="Times New Roman" w:hAnsi="Times New Roman" w:cs="Times New Roman"/>
          <w:sz w:val="26"/>
          <w:szCs w:val="26"/>
        </w:rPr>
        <w:t xml:space="preserve">A </w:t>
      </w:r>
      <w:r w:rsidRPr="22B2E273">
        <w:rPr>
          <w:rFonts w:ascii="Times New Roman" w:eastAsia="Times New Roman" w:hAnsi="Times New Roman" w:cs="Times New Roman"/>
          <w:b/>
          <w:bCs/>
          <w:sz w:val="26"/>
          <w:szCs w:val="26"/>
        </w:rPr>
        <w:t>Nemzeti Család- és Szociálpolitikai Alap</w:t>
      </w:r>
      <w:r w:rsidRPr="22B2E273">
        <w:rPr>
          <w:rFonts w:ascii="Times New Roman" w:eastAsia="Times New Roman" w:hAnsi="Times New Roman" w:cs="Times New Roman"/>
          <w:sz w:val="26"/>
          <w:szCs w:val="26"/>
        </w:rPr>
        <w:t xml:space="preserve"> a családi támogatásokat, a korhatár alatti ellátásokat, a jövedelempótló és jövedelemkiegészítő szociális támogatásokat, valamint a különféle jogcímen adott térítéseket tartalmazza. A főbb támogatásokat a következő táblázat részletezi:</w:t>
      </w:r>
    </w:p>
    <w:p w14:paraId="409A380E" w14:textId="77777777" w:rsidR="00CF15E7" w:rsidRDefault="00CF15E7" w:rsidP="2D99E544">
      <w:pPr>
        <w:spacing w:before="160"/>
        <w:jc w:val="both"/>
        <w:rPr>
          <w:rFonts w:ascii="Times New Roman" w:eastAsia="Times New Roman" w:hAnsi="Times New Roman" w:cs="Times New Roman"/>
          <w:sz w:val="26"/>
          <w:szCs w:val="26"/>
        </w:rPr>
      </w:pPr>
    </w:p>
    <w:p w14:paraId="46398944" w14:textId="3D98AFAD" w:rsidR="00621840" w:rsidRDefault="22B2E273" w:rsidP="22B2E273">
      <w:pPr>
        <w:spacing w:after="0"/>
        <w:jc w:val="center"/>
        <w:rPr>
          <w:rFonts w:ascii="Times New Roman" w:eastAsia="Times New Roman" w:hAnsi="Times New Roman" w:cs="Times New Roman"/>
          <w:sz w:val="26"/>
          <w:szCs w:val="26"/>
        </w:rPr>
      </w:pPr>
      <w:r w:rsidRPr="22B2E273">
        <w:rPr>
          <w:rFonts w:ascii="Times New Roman" w:hAnsi="Times New Roman" w:cs="Times New Roman"/>
          <w:b/>
          <w:bCs/>
          <w:color w:val="000000" w:themeColor="text1"/>
          <w:sz w:val="24"/>
          <w:szCs w:val="24"/>
        </w:rPr>
        <w:t>A Nemzeti Család-és Szociálpolitikai Alap kiadásainak alakulása (milliárd forint)</w:t>
      </w:r>
    </w:p>
    <w:tbl>
      <w:tblPr>
        <w:tblW w:w="9464" w:type="dxa"/>
        <w:tblCellMar>
          <w:left w:w="70" w:type="dxa"/>
          <w:right w:w="70" w:type="dxa"/>
        </w:tblCellMar>
        <w:tblLook w:val="04A0" w:firstRow="1" w:lastRow="0" w:firstColumn="1" w:lastColumn="0" w:noHBand="0" w:noVBand="1"/>
      </w:tblPr>
      <w:tblGrid>
        <w:gridCol w:w="5670"/>
        <w:gridCol w:w="1134"/>
        <w:gridCol w:w="1134"/>
        <w:gridCol w:w="851"/>
        <w:gridCol w:w="675"/>
      </w:tblGrid>
      <w:tr w:rsidR="006068B4" w:rsidRPr="006068B4" w14:paraId="2A7C74BD" w14:textId="77777777" w:rsidTr="24CA6B4B">
        <w:trPr>
          <w:trHeight w:hRule="exact" w:val="284"/>
        </w:trPr>
        <w:tc>
          <w:tcPr>
            <w:tcW w:w="9464" w:type="dxa"/>
            <w:gridSpan w:val="5"/>
            <w:tcBorders>
              <w:top w:val="nil"/>
              <w:left w:val="nil"/>
              <w:bottom w:val="single" w:sz="4" w:space="0" w:color="auto"/>
              <w:right w:val="nil"/>
            </w:tcBorders>
            <w:shd w:val="clear" w:color="auto" w:fill="auto"/>
            <w:noWrap/>
            <w:vAlign w:val="center"/>
            <w:hideMark/>
          </w:tcPr>
          <w:p w14:paraId="003FCBDC" w14:textId="77777777" w:rsidR="006068B4" w:rsidRPr="00C35E13" w:rsidRDefault="006068B4" w:rsidP="000C1105">
            <w:pPr>
              <w:spacing w:after="0"/>
              <w:jc w:val="center"/>
              <w:rPr>
                <w:rFonts w:ascii="Times New Roman" w:hAnsi="Times New Roman" w:cs="Times New Roman"/>
                <w:b/>
                <w:bCs/>
                <w:color w:val="000000"/>
                <w:sz w:val="16"/>
                <w:szCs w:val="16"/>
              </w:rPr>
            </w:pPr>
          </w:p>
        </w:tc>
      </w:tr>
      <w:tr w:rsidR="006068B4" w:rsidRPr="006068B4" w14:paraId="485D9574" w14:textId="77777777" w:rsidTr="24CA6B4B">
        <w:trPr>
          <w:trHeight w:hRule="exact" w:val="284"/>
        </w:trPr>
        <w:tc>
          <w:tcPr>
            <w:tcW w:w="5670" w:type="dxa"/>
            <w:vMerge w:val="restart"/>
            <w:tcBorders>
              <w:top w:val="nil"/>
              <w:left w:val="single" w:sz="4" w:space="0" w:color="auto"/>
              <w:bottom w:val="single" w:sz="4" w:space="0" w:color="000000" w:themeColor="text1"/>
              <w:right w:val="single" w:sz="4" w:space="0" w:color="auto"/>
            </w:tcBorders>
            <w:shd w:val="clear" w:color="auto" w:fill="DEEAF6" w:themeFill="accent1" w:themeFillTint="33"/>
            <w:noWrap/>
            <w:vAlign w:val="center"/>
            <w:hideMark/>
          </w:tcPr>
          <w:p w14:paraId="03974AE3" w14:textId="77777777" w:rsidR="006068B4" w:rsidRPr="006068B4" w:rsidRDefault="22B2E273" w:rsidP="22B2E273">
            <w:pPr>
              <w:jc w:val="center"/>
              <w:rPr>
                <w:rFonts w:ascii="Times New Roman" w:hAnsi="Times New Roman" w:cs="Times New Roman"/>
                <w:color w:val="000000" w:themeColor="text1"/>
              </w:rPr>
            </w:pPr>
            <w:r w:rsidRPr="22B2E273">
              <w:rPr>
                <w:rFonts w:ascii="Times New Roman" w:hAnsi="Times New Roman" w:cs="Times New Roman"/>
                <w:color w:val="000000" w:themeColor="text1"/>
              </w:rPr>
              <w:t>Megnevezés</w:t>
            </w:r>
          </w:p>
        </w:tc>
        <w:tc>
          <w:tcPr>
            <w:tcW w:w="1134" w:type="dxa"/>
            <w:vMerge w:val="restart"/>
            <w:tcBorders>
              <w:top w:val="nil"/>
              <w:left w:val="single" w:sz="4" w:space="0" w:color="auto"/>
              <w:bottom w:val="single" w:sz="4" w:space="0" w:color="000000" w:themeColor="text1"/>
              <w:right w:val="single" w:sz="4" w:space="0" w:color="auto"/>
            </w:tcBorders>
            <w:shd w:val="clear" w:color="auto" w:fill="DEEAF6" w:themeFill="accent1" w:themeFillTint="33"/>
            <w:vAlign w:val="center"/>
            <w:hideMark/>
          </w:tcPr>
          <w:p w14:paraId="5E208842" w14:textId="5F2C0122" w:rsidR="006068B4" w:rsidRPr="006068B4" w:rsidRDefault="22B2E273" w:rsidP="22B2E273">
            <w:pPr>
              <w:jc w:val="center"/>
              <w:rPr>
                <w:rFonts w:ascii="Times New Roman" w:hAnsi="Times New Roman" w:cs="Times New Roman"/>
                <w:b/>
                <w:bCs/>
                <w:color w:val="000000" w:themeColor="text1"/>
              </w:rPr>
            </w:pPr>
            <w:r w:rsidRPr="22B2E273">
              <w:rPr>
                <w:rFonts w:ascii="Times New Roman" w:hAnsi="Times New Roman" w:cs="Times New Roman"/>
                <w:b/>
                <w:bCs/>
                <w:color w:val="000000" w:themeColor="text1"/>
              </w:rPr>
              <w:t>2023.</w:t>
            </w:r>
            <w:r w:rsidR="7929D98B">
              <w:br/>
            </w:r>
            <w:r w:rsidRPr="22B2E273">
              <w:rPr>
                <w:rFonts w:ascii="Times New Roman" w:hAnsi="Times New Roman" w:cs="Times New Roman"/>
                <w:b/>
                <w:bCs/>
                <w:color w:val="000000" w:themeColor="text1"/>
              </w:rPr>
              <w:t>I-XI. hó</w:t>
            </w:r>
          </w:p>
        </w:tc>
        <w:tc>
          <w:tcPr>
            <w:tcW w:w="1134" w:type="dxa"/>
            <w:vMerge w:val="restart"/>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211822BF" w14:textId="00908DC0" w:rsidR="006068B4" w:rsidRPr="006068B4" w:rsidRDefault="22B2E273" w:rsidP="22B2E273">
            <w:pPr>
              <w:jc w:val="center"/>
              <w:rPr>
                <w:rFonts w:ascii="Times New Roman" w:hAnsi="Times New Roman" w:cs="Times New Roman"/>
                <w:b/>
                <w:bCs/>
                <w:color w:val="000000" w:themeColor="text1"/>
              </w:rPr>
            </w:pPr>
            <w:r w:rsidRPr="22B2E273">
              <w:rPr>
                <w:rFonts w:ascii="Times New Roman" w:hAnsi="Times New Roman" w:cs="Times New Roman"/>
                <w:b/>
                <w:bCs/>
                <w:color w:val="000000" w:themeColor="text1"/>
              </w:rPr>
              <w:t>2024.</w:t>
            </w:r>
            <w:r w:rsidR="7929D98B">
              <w:br/>
            </w:r>
            <w:r w:rsidRPr="22B2E273">
              <w:rPr>
                <w:rFonts w:ascii="Times New Roman" w:hAnsi="Times New Roman" w:cs="Times New Roman"/>
                <w:b/>
                <w:bCs/>
                <w:color w:val="000000" w:themeColor="text1"/>
              </w:rPr>
              <w:t>I-XI. hó</w:t>
            </w:r>
          </w:p>
        </w:tc>
        <w:tc>
          <w:tcPr>
            <w:tcW w:w="1526"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35F9B9E7" w14:textId="77777777" w:rsidR="006068B4" w:rsidRPr="006068B4" w:rsidRDefault="22B2E273" w:rsidP="22B2E273">
            <w:pPr>
              <w:jc w:val="center"/>
              <w:rPr>
                <w:rFonts w:ascii="Times New Roman" w:hAnsi="Times New Roman" w:cs="Times New Roman"/>
                <w:b/>
                <w:bCs/>
                <w:color w:val="000000" w:themeColor="text1"/>
              </w:rPr>
            </w:pPr>
            <w:r w:rsidRPr="22B2E273">
              <w:rPr>
                <w:rFonts w:ascii="Times New Roman" w:hAnsi="Times New Roman" w:cs="Times New Roman"/>
                <w:b/>
                <w:bCs/>
                <w:color w:val="000000" w:themeColor="text1"/>
              </w:rPr>
              <w:t>Eltérés</w:t>
            </w:r>
          </w:p>
        </w:tc>
      </w:tr>
      <w:tr w:rsidR="006068B4" w:rsidRPr="006068B4" w14:paraId="2BEB1728" w14:textId="77777777" w:rsidTr="24CA6B4B">
        <w:trPr>
          <w:trHeight w:hRule="exact" w:val="284"/>
        </w:trPr>
        <w:tc>
          <w:tcPr>
            <w:tcW w:w="5670" w:type="dxa"/>
            <w:vMerge/>
            <w:tcBorders>
              <w:top w:val="nil"/>
              <w:left w:val="single" w:sz="4" w:space="0" w:color="auto"/>
              <w:bottom w:val="single" w:sz="4" w:space="0" w:color="000000"/>
              <w:right w:val="single" w:sz="4" w:space="0" w:color="auto"/>
            </w:tcBorders>
            <w:shd w:val="clear" w:color="auto" w:fill="DEEAF6" w:themeFill="accent1" w:themeFillTint="33"/>
            <w:vAlign w:val="center"/>
            <w:hideMark/>
          </w:tcPr>
          <w:p w14:paraId="493B685E" w14:textId="77777777" w:rsidR="006068B4" w:rsidRPr="006068B4" w:rsidRDefault="006068B4" w:rsidP="000C1105">
            <w:pPr>
              <w:rPr>
                <w:rFonts w:ascii="Times New Roman" w:hAnsi="Times New Roman" w:cs="Times New Roman"/>
                <w:b/>
                <w:bCs/>
                <w:color w:val="000000"/>
              </w:rPr>
            </w:pPr>
          </w:p>
        </w:tc>
        <w:tc>
          <w:tcPr>
            <w:tcW w:w="1134" w:type="dxa"/>
            <w:vMerge/>
            <w:tcBorders>
              <w:top w:val="nil"/>
              <w:left w:val="single" w:sz="4" w:space="0" w:color="auto"/>
              <w:bottom w:val="single" w:sz="4" w:space="0" w:color="000000"/>
              <w:right w:val="single" w:sz="4" w:space="0" w:color="auto"/>
            </w:tcBorders>
            <w:shd w:val="clear" w:color="auto" w:fill="DEEAF6" w:themeFill="accent1" w:themeFillTint="33"/>
            <w:vAlign w:val="center"/>
            <w:hideMark/>
          </w:tcPr>
          <w:p w14:paraId="071FC734" w14:textId="77777777" w:rsidR="006068B4" w:rsidRPr="006068B4" w:rsidRDefault="006068B4" w:rsidP="000C1105">
            <w:pPr>
              <w:rPr>
                <w:rFonts w:ascii="Times New Roman" w:hAnsi="Times New Roman" w:cs="Times New Roman"/>
                <w:b/>
                <w:bCs/>
                <w:color w:val="000000"/>
              </w:rPr>
            </w:pPr>
          </w:p>
        </w:tc>
        <w:tc>
          <w:tcPr>
            <w:tcW w:w="1134" w:type="dxa"/>
            <w:vMerge/>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929BC54" w14:textId="77777777" w:rsidR="006068B4" w:rsidRPr="006068B4" w:rsidRDefault="006068B4" w:rsidP="000C1105">
            <w:pPr>
              <w:rPr>
                <w:rFonts w:ascii="Times New Roman" w:hAnsi="Times New Roman" w:cs="Times New Roman"/>
                <w:b/>
                <w:bCs/>
                <w:color w:val="000000"/>
              </w:rPr>
            </w:pPr>
          </w:p>
        </w:tc>
        <w:tc>
          <w:tcPr>
            <w:tcW w:w="851" w:type="dxa"/>
            <w:tcBorders>
              <w:top w:val="nil"/>
              <w:left w:val="nil"/>
              <w:bottom w:val="single" w:sz="4" w:space="0" w:color="auto"/>
              <w:right w:val="single" w:sz="4" w:space="0" w:color="auto"/>
            </w:tcBorders>
            <w:shd w:val="clear" w:color="auto" w:fill="DEEAF6" w:themeFill="accent1" w:themeFillTint="33"/>
            <w:noWrap/>
            <w:vAlign w:val="bottom"/>
            <w:hideMark/>
          </w:tcPr>
          <w:p w14:paraId="012AC354" w14:textId="77777777" w:rsidR="006068B4" w:rsidRPr="006068B4" w:rsidRDefault="22B2E273" w:rsidP="22B2E273">
            <w:pPr>
              <w:jc w:val="center"/>
              <w:rPr>
                <w:rFonts w:ascii="Times New Roman" w:hAnsi="Times New Roman" w:cs="Times New Roman"/>
                <w:b/>
                <w:bCs/>
                <w:color w:val="000000" w:themeColor="text1"/>
              </w:rPr>
            </w:pPr>
            <w:r w:rsidRPr="22B2E273">
              <w:rPr>
                <w:rFonts w:ascii="Times New Roman" w:hAnsi="Times New Roman" w:cs="Times New Roman"/>
                <w:b/>
                <w:bCs/>
                <w:color w:val="000000" w:themeColor="text1"/>
              </w:rPr>
              <w:t>Mrd Ft</w:t>
            </w:r>
          </w:p>
        </w:tc>
        <w:tc>
          <w:tcPr>
            <w:tcW w:w="675" w:type="dxa"/>
            <w:tcBorders>
              <w:top w:val="nil"/>
              <w:left w:val="nil"/>
              <w:bottom w:val="single" w:sz="4" w:space="0" w:color="auto"/>
              <w:right w:val="single" w:sz="4" w:space="0" w:color="auto"/>
            </w:tcBorders>
            <w:shd w:val="clear" w:color="auto" w:fill="DEEAF6" w:themeFill="accent1" w:themeFillTint="33"/>
            <w:noWrap/>
            <w:vAlign w:val="bottom"/>
            <w:hideMark/>
          </w:tcPr>
          <w:p w14:paraId="609414B4" w14:textId="77777777" w:rsidR="006068B4" w:rsidRPr="006068B4" w:rsidRDefault="22B2E273" w:rsidP="22B2E273">
            <w:pPr>
              <w:jc w:val="center"/>
              <w:rPr>
                <w:rFonts w:ascii="Times New Roman" w:hAnsi="Times New Roman" w:cs="Times New Roman"/>
                <w:b/>
                <w:bCs/>
                <w:color w:val="000000" w:themeColor="text1"/>
              </w:rPr>
            </w:pPr>
            <w:r w:rsidRPr="22B2E273">
              <w:rPr>
                <w:rFonts w:ascii="Times New Roman" w:hAnsi="Times New Roman" w:cs="Times New Roman"/>
                <w:b/>
                <w:bCs/>
                <w:color w:val="000000" w:themeColor="text1"/>
              </w:rPr>
              <w:t>%</w:t>
            </w:r>
          </w:p>
        </w:tc>
      </w:tr>
      <w:tr w:rsidR="006068B4" w:rsidRPr="006068B4" w14:paraId="49EB33A2" w14:textId="77777777" w:rsidTr="24CA6B4B">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4E42FB2" w14:textId="77777777" w:rsidR="006068B4" w:rsidRPr="006068B4" w:rsidRDefault="22B2E273" w:rsidP="22B2E273">
            <w:pPr>
              <w:spacing w:line="240" w:lineRule="auto"/>
              <w:rPr>
                <w:rFonts w:ascii="Times New Roman" w:hAnsi="Times New Roman" w:cs="Times New Roman"/>
                <w:b/>
                <w:bCs/>
                <w:color w:val="000000" w:themeColor="text1"/>
                <w:sz w:val="20"/>
                <w:szCs w:val="20"/>
              </w:rPr>
            </w:pPr>
            <w:r w:rsidRPr="22B2E273">
              <w:rPr>
                <w:rFonts w:ascii="Times New Roman" w:hAnsi="Times New Roman" w:cs="Times New Roman"/>
                <w:b/>
                <w:bCs/>
                <w:color w:val="000000" w:themeColor="text1"/>
                <w:sz w:val="20"/>
                <w:szCs w:val="20"/>
              </w:rPr>
              <w:t>Családi támogatások</w:t>
            </w:r>
          </w:p>
        </w:tc>
        <w:tc>
          <w:tcPr>
            <w:tcW w:w="1134" w:type="dxa"/>
            <w:tcBorders>
              <w:top w:val="nil"/>
              <w:left w:val="nil"/>
              <w:bottom w:val="single" w:sz="4" w:space="0" w:color="auto"/>
              <w:right w:val="single" w:sz="4" w:space="0" w:color="auto"/>
            </w:tcBorders>
            <w:shd w:val="clear" w:color="auto" w:fill="auto"/>
            <w:noWrap/>
            <w:vAlign w:val="bottom"/>
            <w:hideMark/>
          </w:tcPr>
          <w:p w14:paraId="7106BB85" w14:textId="1DB38CDF" w:rsidR="006068B4" w:rsidRPr="006068B4" w:rsidRDefault="24CA6B4B" w:rsidP="24CA6B4B">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373,3</w:t>
            </w:r>
          </w:p>
        </w:tc>
        <w:tc>
          <w:tcPr>
            <w:tcW w:w="1134" w:type="dxa"/>
            <w:tcBorders>
              <w:top w:val="nil"/>
              <w:left w:val="nil"/>
              <w:bottom w:val="single" w:sz="4" w:space="0" w:color="auto"/>
              <w:right w:val="single" w:sz="4" w:space="0" w:color="auto"/>
            </w:tcBorders>
            <w:shd w:val="clear" w:color="auto" w:fill="auto"/>
            <w:noWrap/>
            <w:vAlign w:val="bottom"/>
            <w:hideMark/>
          </w:tcPr>
          <w:p w14:paraId="2A54C0E6" w14:textId="38091F3D" w:rsidR="006068B4" w:rsidRPr="006068B4" w:rsidRDefault="24CA6B4B" w:rsidP="24CA6B4B">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374,7</w:t>
            </w:r>
          </w:p>
        </w:tc>
        <w:tc>
          <w:tcPr>
            <w:tcW w:w="851" w:type="dxa"/>
            <w:tcBorders>
              <w:top w:val="nil"/>
              <w:left w:val="nil"/>
              <w:bottom w:val="single" w:sz="4" w:space="0" w:color="auto"/>
              <w:right w:val="single" w:sz="4" w:space="0" w:color="auto"/>
            </w:tcBorders>
            <w:shd w:val="clear" w:color="auto" w:fill="auto"/>
            <w:noWrap/>
            <w:vAlign w:val="bottom"/>
            <w:hideMark/>
          </w:tcPr>
          <w:p w14:paraId="1078FA78" w14:textId="1BACA5AD" w:rsidR="006068B4" w:rsidRPr="006068B4" w:rsidRDefault="24CA6B4B" w:rsidP="24CA6B4B">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1,4</w:t>
            </w:r>
          </w:p>
        </w:tc>
        <w:tc>
          <w:tcPr>
            <w:tcW w:w="675" w:type="dxa"/>
            <w:tcBorders>
              <w:top w:val="nil"/>
              <w:left w:val="nil"/>
              <w:bottom w:val="single" w:sz="4" w:space="0" w:color="auto"/>
              <w:right w:val="single" w:sz="4" w:space="0" w:color="auto"/>
            </w:tcBorders>
            <w:shd w:val="clear" w:color="auto" w:fill="auto"/>
            <w:noWrap/>
            <w:vAlign w:val="bottom"/>
            <w:hideMark/>
          </w:tcPr>
          <w:p w14:paraId="0C2D88F1" w14:textId="6199886B" w:rsidR="006068B4" w:rsidRPr="006068B4" w:rsidRDefault="24CA6B4B" w:rsidP="24CA6B4B">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100,4</w:t>
            </w:r>
          </w:p>
        </w:tc>
      </w:tr>
      <w:tr w:rsidR="006068B4" w:rsidRPr="006068B4" w14:paraId="18F11EAE" w14:textId="77777777" w:rsidTr="24CA6B4B">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5F289C86" w14:textId="77777777" w:rsidR="006068B4" w:rsidRPr="006068B4" w:rsidRDefault="22B2E273" w:rsidP="22B2E273">
            <w:pPr>
              <w:spacing w:line="240" w:lineRule="auto"/>
              <w:ind w:firstLineChars="100" w:firstLine="200"/>
              <w:rPr>
                <w:rFonts w:ascii="Times New Roman" w:hAnsi="Times New Roman" w:cs="Times New Roman"/>
                <w:i/>
                <w:iCs/>
                <w:color w:val="000000" w:themeColor="text1"/>
                <w:sz w:val="20"/>
                <w:szCs w:val="20"/>
              </w:rPr>
            </w:pPr>
            <w:r w:rsidRPr="22B2E273">
              <w:rPr>
                <w:rFonts w:ascii="Times New Roman" w:hAnsi="Times New Roman" w:cs="Times New Roman"/>
                <w:i/>
                <w:iCs/>
                <w:color w:val="000000" w:themeColor="text1"/>
                <w:sz w:val="20"/>
                <w:szCs w:val="20"/>
              </w:rPr>
              <w:t>Ebből:</w:t>
            </w:r>
          </w:p>
        </w:tc>
        <w:tc>
          <w:tcPr>
            <w:tcW w:w="1134" w:type="dxa"/>
            <w:tcBorders>
              <w:top w:val="nil"/>
              <w:left w:val="nil"/>
              <w:bottom w:val="single" w:sz="4" w:space="0" w:color="auto"/>
              <w:right w:val="single" w:sz="4" w:space="0" w:color="auto"/>
            </w:tcBorders>
            <w:shd w:val="clear" w:color="auto" w:fill="auto"/>
            <w:noWrap/>
            <w:vAlign w:val="bottom"/>
            <w:hideMark/>
          </w:tcPr>
          <w:p w14:paraId="3409B63E" w14:textId="77777777"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A14223" w14:textId="77777777"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C731BD9" w14:textId="77777777"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3700134C" w14:textId="77777777"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 </w:t>
            </w:r>
          </w:p>
        </w:tc>
      </w:tr>
      <w:tr w:rsidR="006068B4" w:rsidRPr="006068B4" w14:paraId="177E3B96" w14:textId="77777777" w:rsidTr="24CA6B4B">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532CB68" w14:textId="77777777" w:rsidR="006068B4" w:rsidRPr="006068B4" w:rsidRDefault="22B2E273" w:rsidP="22B2E273">
            <w:pPr>
              <w:spacing w:line="240" w:lineRule="auto"/>
              <w:ind w:firstLineChars="400" w:firstLine="800"/>
              <w:rPr>
                <w:rFonts w:ascii="Times New Roman" w:hAnsi="Times New Roman" w:cs="Times New Roman"/>
                <w:i/>
                <w:iCs/>
                <w:color w:val="000000" w:themeColor="text1"/>
                <w:sz w:val="20"/>
                <w:szCs w:val="20"/>
              </w:rPr>
            </w:pPr>
            <w:r w:rsidRPr="22B2E273">
              <w:rPr>
                <w:rFonts w:ascii="Times New Roman" w:hAnsi="Times New Roman" w:cs="Times New Roman"/>
                <w:i/>
                <w:iCs/>
                <w:color w:val="000000" w:themeColor="text1"/>
                <w:sz w:val="20"/>
                <w:szCs w:val="20"/>
              </w:rPr>
              <w:t>családi pótlék</w:t>
            </w:r>
          </w:p>
        </w:tc>
        <w:tc>
          <w:tcPr>
            <w:tcW w:w="1134" w:type="dxa"/>
            <w:tcBorders>
              <w:top w:val="nil"/>
              <w:left w:val="nil"/>
              <w:bottom w:val="single" w:sz="4" w:space="0" w:color="auto"/>
              <w:right w:val="single" w:sz="4" w:space="0" w:color="auto"/>
            </w:tcBorders>
            <w:shd w:val="clear" w:color="auto" w:fill="auto"/>
            <w:noWrap/>
            <w:vAlign w:val="bottom"/>
            <w:hideMark/>
          </w:tcPr>
          <w:p w14:paraId="38B23896" w14:textId="307B1776"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281,3</w:t>
            </w:r>
          </w:p>
        </w:tc>
        <w:tc>
          <w:tcPr>
            <w:tcW w:w="1134" w:type="dxa"/>
            <w:tcBorders>
              <w:top w:val="nil"/>
              <w:left w:val="nil"/>
              <w:bottom w:val="single" w:sz="4" w:space="0" w:color="auto"/>
              <w:right w:val="single" w:sz="4" w:space="0" w:color="auto"/>
            </w:tcBorders>
            <w:shd w:val="clear" w:color="auto" w:fill="auto"/>
            <w:noWrap/>
            <w:vAlign w:val="bottom"/>
            <w:hideMark/>
          </w:tcPr>
          <w:p w14:paraId="2831AA3C" w14:textId="551A9B02"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279,1</w:t>
            </w:r>
          </w:p>
        </w:tc>
        <w:tc>
          <w:tcPr>
            <w:tcW w:w="851" w:type="dxa"/>
            <w:tcBorders>
              <w:top w:val="nil"/>
              <w:left w:val="nil"/>
              <w:bottom w:val="single" w:sz="4" w:space="0" w:color="auto"/>
              <w:right w:val="single" w:sz="4" w:space="0" w:color="auto"/>
            </w:tcBorders>
            <w:shd w:val="clear" w:color="auto" w:fill="auto"/>
            <w:noWrap/>
            <w:vAlign w:val="bottom"/>
            <w:hideMark/>
          </w:tcPr>
          <w:p w14:paraId="145C8E2D" w14:textId="74DB99A6"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-2,2</w:t>
            </w:r>
          </w:p>
        </w:tc>
        <w:tc>
          <w:tcPr>
            <w:tcW w:w="675" w:type="dxa"/>
            <w:tcBorders>
              <w:top w:val="nil"/>
              <w:left w:val="nil"/>
              <w:bottom w:val="single" w:sz="4" w:space="0" w:color="auto"/>
              <w:right w:val="single" w:sz="4" w:space="0" w:color="auto"/>
            </w:tcBorders>
            <w:shd w:val="clear" w:color="auto" w:fill="auto"/>
            <w:noWrap/>
            <w:vAlign w:val="bottom"/>
            <w:hideMark/>
          </w:tcPr>
          <w:p w14:paraId="3DC707AD" w14:textId="4A845C14"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99,2</w:t>
            </w:r>
          </w:p>
        </w:tc>
      </w:tr>
      <w:tr w:rsidR="006068B4" w:rsidRPr="006068B4" w14:paraId="750E94DE" w14:textId="77777777" w:rsidTr="24CA6B4B">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0C0A4C2" w14:textId="77777777" w:rsidR="006068B4" w:rsidRPr="006068B4" w:rsidRDefault="22B2E273" w:rsidP="22B2E273">
            <w:pPr>
              <w:spacing w:line="240" w:lineRule="auto"/>
              <w:ind w:firstLineChars="400" w:firstLine="800"/>
              <w:rPr>
                <w:rFonts w:ascii="Times New Roman" w:hAnsi="Times New Roman" w:cs="Times New Roman"/>
                <w:i/>
                <w:iCs/>
                <w:color w:val="000000" w:themeColor="text1"/>
                <w:sz w:val="20"/>
                <w:szCs w:val="20"/>
              </w:rPr>
            </w:pPr>
            <w:r w:rsidRPr="22B2E273">
              <w:rPr>
                <w:rFonts w:ascii="Times New Roman" w:hAnsi="Times New Roman" w:cs="Times New Roman"/>
                <w:i/>
                <w:iCs/>
                <w:color w:val="000000" w:themeColor="text1"/>
                <w:sz w:val="20"/>
                <w:szCs w:val="20"/>
              </w:rPr>
              <w:t>anyasági támogatás</w:t>
            </w:r>
          </w:p>
        </w:tc>
        <w:tc>
          <w:tcPr>
            <w:tcW w:w="1134" w:type="dxa"/>
            <w:tcBorders>
              <w:top w:val="nil"/>
              <w:left w:val="nil"/>
              <w:bottom w:val="single" w:sz="4" w:space="0" w:color="auto"/>
              <w:right w:val="single" w:sz="4" w:space="0" w:color="auto"/>
            </w:tcBorders>
            <w:shd w:val="clear" w:color="auto" w:fill="auto"/>
            <w:noWrap/>
            <w:vAlign w:val="bottom"/>
            <w:hideMark/>
          </w:tcPr>
          <w:p w14:paraId="597D9A51" w14:textId="733124AC"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5,6</w:t>
            </w:r>
          </w:p>
        </w:tc>
        <w:tc>
          <w:tcPr>
            <w:tcW w:w="1134" w:type="dxa"/>
            <w:tcBorders>
              <w:top w:val="nil"/>
              <w:left w:val="nil"/>
              <w:bottom w:val="single" w:sz="4" w:space="0" w:color="auto"/>
              <w:right w:val="single" w:sz="4" w:space="0" w:color="auto"/>
            </w:tcBorders>
            <w:shd w:val="clear" w:color="auto" w:fill="auto"/>
            <w:noWrap/>
            <w:vAlign w:val="bottom"/>
            <w:hideMark/>
          </w:tcPr>
          <w:p w14:paraId="4295E839" w14:textId="74D4563C"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4,9</w:t>
            </w:r>
          </w:p>
        </w:tc>
        <w:tc>
          <w:tcPr>
            <w:tcW w:w="851" w:type="dxa"/>
            <w:tcBorders>
              <w:top w:val="nil"/>
              <w:left w:val="nil"/>
              <w:bottom w:val="single" w:sz="4" w:space="0" w:color="auto"/>
              <w:right w:val="single" w:sz="4" w:space="0" w:color="auto"/>
            </w:tcBorders>
            <w:shd w:val="clear" w:color="auto" w:fill="auto"/>
            <w:noWrap/>
            <w:vAlign w:val="bottom"/>
            <w:hideMark/>
          </w:tcPr>
          <w:p w14:paraId="0BFAA189" w14:textId="7BD479A7"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-0,7</w:t>
            </w:r>
          </w:p>
        </w:tc>
        <w:tc>
          <w:tcPr>
            <w:tcW w:w="675" w:type="dxa"/>
            <w:tcBorders>
              <w:top w:val="nil"/>
              <w:left w:val="nil"/>
              <w:bottom w:val="single" w:sz="4" w:space="0" w:color="auto"/>
              <w:right w:val="single" w:sz="4" w:space="0" w:color="auto"/>
            </w:tcBorders>
            <w:shd w:val="clear" w:color="auto" w:fill="auto"/>
            <w:noWrap/>
            <w:vAlign w:val="bottom"/>
            <w:hideMark/>
          </w:tcPr>
          <w:p w14:paraId="2913BB8B" w14:textId="0285BACC"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87,5</w:t>
            </w:r>
          </w:p>
        </w:tc>
      </w:tr>
      <w:tr w:rsidR="006068B4" w:rsidRPr="006068B4" w14:paraId="723C4BB5" w14:textId="77777777" w:rsidTr="24CA6B4B">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B71EC87" w14:textId="77777777" w:rsidR="006068B4" w:rsidRPr="006068B4" w:rsidRDefault="22B2E273" w:rsidP="22B2E273">
            <w:pPr>
              <w:spacing w:line="240" w:lineRule="auto"/>
              <w:ind w:firstLineChars="400" w:firstLine="800"/>
              <w:rPr>
                <w:rFonts w:ascii="Times New Roman" w:hAnsi="Times New Roman" w:cs="Times New Roman"/>
                <w:i/>
                <w:iCs/>
                <w:color w:val="000000" w:themeColor="text1"/>
                <w:sz w:val="20"/>
                <w:szCs w:val="20"/>
              </w:rPr>
            </w:pPr>
            <w:r w:rsidRPr="22B2E273">
              <w:rPr>
                <w:rFonts w:ascii="Times New Roman" w:hAnsi="Times New Roman" w:cs="Times New Roman"/>
                <w:i/>
                <w:iCs/>
                <w:color w:val="000000" w:themeColor="text1"/>
                <w:sz w:val="20"/>
                <w:szCs w:val="20"/>
              </w:rPr>
              <w:t>gyermekgondozást segítő ellátás</w:t>
            </w:r>
          </w:p>
        </w:tc>
        <w:tc>
          <w:tcPr>
            <w:tcW w:w="1134" w:type="dxa"/>
            <w:tcBorders>
              <w:top w:val="nil"/>
              <w:left w:val="nil"/>
              <w:bottom w:val="single" w:sz="4" w:space="0" w:color="auto"/>
              <w:right w:val="single" w:sz="4" w:space="0" w:color="auto"/>
            </w:tcBorders>
            <w:shd w:val="clear" w:color="auto" w:fill="auto"/>
            <w:noWrap/>
            <w:vAlign w:val="bottom"/>
            <w:hideMark/>
          </w:tcPr>
          <w:p w14:paraId="6C8BD5D3" w14:textId="45772EF4" w:rsidR="006068B4" w:rsidRPr="006068B4" w:rsidRDefault="24CA6B4B" w:rsidP="0045694E">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50,</w:t>
            </w:r>
            <w:r w:rsidR="0045694E">
              <w:rPr>
                <w:rFonts w:ascii="Times New Roman" w:hAnsi="Times New Roman" w:cs="Times New Roman"/>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14:paraId="4B96F73D" w14:textId="7B910796"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48,9</w:t>
            </w:r>
          </w:p>
        </w:tc>
        <w:tc>
          <w:tcPr>
            <w:tcW w:w="851" w:type="dxa"/>
            <w:tcBorders>
              <w:top w:val="nil"/>
              <w:left w:val="nil"/>
              <w:bottom w:val="single" w:sz="4" w:space="0" w:color="auto"/>
              <w:right w:val="single" w:sz="4" w:space="0" w:color="auto"/>
            </w:tcBorders>
            <w:shd w:val="clear" w:color="auto" w:fill="auto"/>
            <w:noWrap/>
            <w:vAlign w:val="bottom"/>
            <w:hideMark/>
          </w:tcPr>
          <w:p w14:paraId="7997B51A" w14:textId="2DC4C46C" w:rsidR="006068B4" w:rsidRPr="006068B4" w:rsidRDefault="24CA6B4B" w:rsidP="0045694E">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-1,</w:t>
            </w:r>
            <w:r w:rsidR="0045694E">
              <w:rPr>
                <w:rFonts w:ascii="Times New Roman" w:hAnsi="Times New Roman" w:cs="Times New Roman"/>
                <w:sz w:val="20"/>
                <w:szCs w:val="20"/>
              </w:rPr>
              <w:t>4</w:t>
            </w:r>
          </w:p>
        </w:tc>
        <w:tc>
          <w:tcPr>
            <w:tcW w:w="675" w:type="dxa"/>
            <w:tcBorders>
              <w:top w:val="nil"/>
              <w:left w:val="nil"/>
              <w:bottom w:val="single" w:sz="4" w:space="0" w:color="auto"/>
              <w:right w:val="single" w:sz="4" w:space="0" w:color="auto"/>
            </w:tcBorders>
            <w:shd w:val="clear" w:color="auto" w:fill="auto"/>
            <w:noWrap/>
            <w:vAlign w:val="bottom"/>
            <w:hideMark/>
          </w:tcPr>
          <w:p w14:paraId="4C0B8D65" w14:textId="515CB6FC" w:rsidR="006068B4" w:rsidRPr="006068B4" w:rsidRDefault="24CA6B4B" w:rsidP="002B2B83">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97,</w:t>
            </w:r>
            <w:r w:rsidR="002B2B83">
              <w:rPr>
                <w:rFonts w:ascii="Times New Roman" w:hAnsi="Times New Roman" w:cs="Times New Roman"/>
                <w:sz w:val="20"/>
                <w:szCs w:val="20"/>
              </w:rPr>
              <w:t>2</w:t>
            </w:r>
          </w:p>
        </w:tc>
      </w:tr>
      <w:tr w:rsidR="006068B4" w:rsidRPr="006068B4" w14:paraId="4C1A9EFC" w14:textId="77777777" w:rsidTr="24CA6B4B">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0E314DCD" w14:textId="77777777" w:rsidR="006068B4" w:rsidRPr="006068B4" w:rsidRDefault="22B2E273" w:rsidP="22B2E273">
            <w:pPr>
              <w:spacing w:line="240" w:lineRule="auto"/>
              <w:ind w:firstLineChars="400" w:firstLine="800"/>
              <w:rPr>
                <w:rFonts w:ascii="Times New Roman" w:hAnsi="Times New Roman" w:cs="Times New Roman"/>
                <w:i/>
                <w:iCs/>
                <w:color w:val="000000" w:themeColor="text1"/>
                <w:sz w:val="20"/>
                <w:szCs w:val="20"/>
              </w:rPr>
            </w:pPr>
            <w:r w:rsidRPr="22B2E273">
              <w:rPr>
                <w:rFonts w:ascii="Times New Roman" w:hAnsi="Times New Roman" w:cs="Times New Roman"/>
                <w:i/>
                <w:iCs/>
                <w:color w:val="000000" w:themeColor="text1"/>
                <w:sz w:val="20"/>
                <w:szCs w:val="20"/>
              </w:rPr>
              <w:t>gyermeknevelési támogatás</w:t>
            </w:r>
          </w:p>
        </w:tc>
        <w:tc>
          <w:tcPr>
            <w:tcW w:w="1134" w:type="dxa"/>
            <w:tcBorders>
              <w:top w:val="nil"/>
              <w:left w:val="nil"/>
              <w:bottom w:val="single" w:sz="4" w:space="0" w:color="auto"/>
              <w:right w:val="single" w:sz="4" w:space="0" w:color="auto"/>
            </w:tcBorders>
            <w:shd w:val="clear" w:color="auto" w:fill="auto"/>
            <w:noWrap/>
            <w:vAlign w:val="bottom"/>
            <w:hideMark/>
          </w:tcPr>
          <w:p w14:paraId="14826C72" w14:textId="360075EC"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9,0</w:t>
            </w:r>
          </w:p>
        </w:tc>
        <w:tc>
          <w:tcPr>
            <w:tcW w:w="1134" w:type="dxa"/>
            <w:tcBorders>
              <w:top w:val="nil"/>
              <w:left w:val="nil"/>
              <w:bottom w:val="single" w:sz="4" w:space="0" w:color="auto"/>
              <w:right w:val="single" w:sz="4" w:space="0" w:color="auto"/>
            </w:tcBorders>
            <w:shd w:val="clear" w:color="auto" w:fill="auto"/>
            <w:noWrap/>
            <w:vAlign w:val="bottom"/>
            <w:hideMark/>
          </w:tcPr>
          <w:p w14:paraId="6A870304" w14:textId="30F68871"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8,6</w:t>
            </w:r>
          </w:p>
        </w:tc>
        <w:tc>
          <w:tcPr>
            <w:tcW w:w="851" w:type="dxa"/>
            <w:tcBorders>
              <w:top w:val="nil"/>
              <w:left w:val="nil"/>
              <w:bottom w:val="single" w:sz="4" w:space="0" w:color="auto"/>
              <w:right w:val="single" w:sz="4" w:space="0" w:color="auto"/>
            </w:tcBorders>
            <w:shd w:val="clear" w:color="auto" w:fill="auto"/>
            <w:noWrap/>
            <w:vAlign w:val="bottom"/>
            <w:hideMark/>
          </w:tcPr>
          <w:p w14:paraId="588B93BB" w14:textId="31166996"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-0,4</w:t>
            </w:r>
          </w:p>
        </w:tc>
        <w:tc>
          <w:tcPr>
            <w:tcW w:w="675" w:type="dxa"/>
            <w:tcBorders>
              <w:top w:val="nil"/>
              <w:left w:val="nil"/>
              <w:bottom w:val="single" w:sz="4" w:space="0" w:color="auto"/>
              <w:right w:val="single" w:sz="4" w:space="0" w:color="auto"/>
            </w:tcBorders>
            <w:shd w:val="clear" w:color="auto" w:fill="auto"/>
            <w:noWrap/>
            <w:vAlign w:val="bottom"/>
            <w:hideMark/>
          </w:tcPr>
          <w:p w14:paraId="7DAF609F" w14:textId="28E7C2F5"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95,6</w:t>
            </w:r>
          </w:p>
        </w:tc>
      </w:tr>
      <w:tr w:rsidR="006068B4" w:rsidRPr="006068B4" w14:paraId="49AE6306" w14:textId="77777777" w:rsidTr="24CA6B4B">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345200B1" w14:textId="77777777" w:rsidR="006068B4" w:rsidRPr="006068B4" w:rsidRDefault="22B2E273" w:rsidP="22B2E273">
            <w:pPr>
              <w:spacing w:line="240" w:lineRule="auto"/>
              <w:ind w:firstLineChars="400" w:firstLine="800"/>
              <w:rPr>
                <w:rFonts w:ascii="Times New Roman" w:hAnsi="Times New Roman" w:cs="Times New Roman"/>
                <w:i/>
                <w:iCs/>
                <w:color w:val="000000" w:themeColor="text1"/>
                <w:sz w:val="20"/>
                <w:szCs w:val="20"/>
              </w:rPr>
            </w:pPr>
            <w:r w:rsidRPr="22B2E273">
              <w:rPr>
                <w:rFonts w:ascii="Times New Roman" w:hAnsi="Times New Roman" w:cs="Times New Roman"/>
                <w:i/>
                <w:iCs/>
                <w:color w:val="000000" w:themeColor="text1"/>
                <w:sz w:val="20"/>
                <w:szCs w:val="20"/>
              </w:rPr>
              <w:t>gyermekek születésével kapcsolatos szabadság megtérítése</w:t>
            </w:r>
          </w:p>
        </w:tc>
        <w:tc>
          <w:tcPr>
            <w:tcW w:w="1134" w:type="dxa"/>
            <w:tcBorders>
              <w:top w:val="nil"/>
              <w:left w:val="nil"/>
              <w:bottom w:val="single" w:sz="4" w:space="0" w:color="auto"/>
              <w:right w:val="single" w:sz="4" w:space="0" w:color="auto"/>
            </w:tcBorders>
            <w:shd w:val="clear" w:color="auto" w:fill="auto"/>
            <w:noWrap/>
            <w:vAlign w:val="bottom"/>
            <w:hideMark/>
          </w:tcPr>
          <w:p w14:paraId="48F1434B" w14:textId="0E54CFC9"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4,7</w:t>
            </w:r>
          </w:p>
        </w:tc>
        <w:tc>
          <w:tcPr>
            <w:tcW w:w="1134" w:type="dxa"/>
            <w:tcBorders>
              <w:top w:val="nil"/>
              <w:left w:val="nil"/>
              <w:bottom w:val="single" w:sz="4" w:space="0" w:color="auto"/>
              <w:right w:val="single" w:sz="4" w:space="0" w:color="auto"/>
            </w:tcBorders>
            <w:shd w:val="clear" w:color="auto" w:fill="auto"/>
            <w:noWrap/>
            <w:vAlign w:val="bottom"/>
            <w:hideMark/>
          </w:tcPr>
          <w:p w14:paraId="6AAF688A" w14:textId="260F9D3B"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4,9</w:t>
            </w:r>
          </w:p>
        </w:tc>
        <w:tc>
          <w:tcPr>
            <w:tcW w:w="851" w:type="dxa"/>
            <w:tcBorders>
              <w:top w:val="nil"/>
              <w:left w:val="nil"/>
              <w:bottom w:val="single" w:sz="4" w:space="0" w:color="auto"/>
              <w:right w:val="single" w:sz="4" w:space="0" w:color="auto"/>
            </w:tcBorders>
            <w:shd w:val="clear" w:color="auto" w:fill="auto"/>
            <w:noWrap/>
            <w:vAlign w:val="bottom"/>
            <w:hideMark/>
          </w:tcPr>
          <w:p w14:paraId="664A5D3B" w14:textId="45CE9807"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0,2</w:t>
            </w:r>
          </w:p>
        </w:tc>
        <w:tc>
          <w:tcPr>
            <w:tcW w:w="675" w:type="dxa"/>
            <w:tcBorders>
              <w:top w:val="nil"/>
              <w:left w:val="nil"/>
              <w:bottom w:val="single" w:sz="4" w:space="0" w:color="auto"/>
              <w:right w:val="single" w:sz="4" w:space="0" w:color="auto"/>
            </w:tcBorders>
            <w:shd w:val="clear" w:color="auto" w:fill="auto"/>
            <w:noWrap/>
            <w:vAlign w:val="bottom"/>
            <w:hideMark/>
          </w:tcPr>
          <w:p w14:paraId="4DE79E3D" w14:textId="7D016118"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104,3</w:t>
            </w:r>
          </w:p>
        </w:tc>
      </w:tr>
      <w:tr w:rsidR="006068B4" w:rsidRPr="006068B4" w14:paraId="31537421" w14:textId="77777777" w:rsidTr="24CA6B4B">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219C75A" w14:textId="77777777" w:rsidR="006068B4" w:rsidRPr="006068B4" w:rsidRDefault="22B2E273" w:rsidP="22B2E273">
            <w:pPr>
              <w:spacing w:line="240" w:lineRule="auto"/>
              <w:ind w:firstLineChars="400" w:firstLine="800"/>
              <w:rPr>
                <w:rFonts w:ascii="Times New Roman" w:hAnsi="Times New Roman" w:cs="Times New Roman"/>
                <w:i/>
                <w:iCs/>
                <w:color w:val="000000" w:themeColor="text1"/>
                <w:sz w:val="20"/>
                <w:szCs w:val="20"/>
              </w:rPr>
            </w:pPr>
            <w:r w:rsidRPr="22B2E273">
              <w:rPr>
                <w:rFonts w:ascii="Times New Roman" w:hAnsi="Times New Roman" w:cs="Times New Roman"/>
                <w:i/>
                <w:iCs/>
                <w:color w:val="000000" w:themeColor="text1"/>
                <w:sz w:val="20"/>
                <w:szCs w:val="20"/>
              </w:rPr>
              <w:t>életkezdési támogatás</w:t>
            </w:r>
          </w:p>
        </w:tc>
        <w:tc>
          <w:tcPr>
            <w:tcW w:w="1134" w:type="dxa"/>
            <w:tcBorders>
              <w:top w:val="nil"/>
              <w:left w:val="nil"/>
              <w:bottom w:val="single" w:sz="4" w:space="0" w:color="auto"/>
              <w:right w:val="single" w:sz="4" w:space="0" w:color="auto"/>
            </w:tcBorders>
            <w:shd w:val="clear" w:color="auto" w:fill="auto"/>
            <w:noWrap/>
            <w:vAlign w:val="bottom"/>
            <w:hideMark/>
          </w:tcPr>
          <w:p w14:paraId="7201B04B" w14:textId="3BE7BD58"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18,7</w:t>
            </w:r>
          </w:p>
        </w:tc>
        <w:tc>
          <w:tcPr>
            <w:tcW w:w="1134" w:type="dxa"/>
            <w:tcBorders>
              <w:top w:val="nil"/>
              <w:left w:val="nil"/>
              <w:bottom w:val="single" w:sz="4" w:space="0" w:color="auto"/>
              <w:right w:val="single" w:sz="4" w:space="0" w:color="auto"/>
            </w:tcBorders>
            <w:shd w:val="clear" w:color="auto" w:fill="auto"/>
            <w:noWrap/>
            <w:vAlign w:val="bottom"/>
            <w:hideMark/>
          </w:tcPr>
          <w:p w14:paraId="45D51CF7" w14:textId="7BE494F9" w:rsidR="006068B4" w:rsidRPr="006068B4" w:rsidRDefault="24CA6B4B" w:rsidP="002B2B83">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24,</w:t>
            </w:r>
            <w:r w:rsidR="002B2B83">
              <w:rPr>
                <w:rFonts w:ascii="Times New Roman" w:hAnsi="Times New Roman" w:cs="Times New Roman"/>
                <w:sz w:val="20"/>
                <w:szCs w:val="20"/>
              </w:rPr>
              <w:t>3</w:t>
            </w:r>
          </w:p>
        </w:tc>
        <w:tc>
          <w:tcPr>
            <w:tcW w:w="851" w:type="dxa"/>
            <w:tcBorders>
              <w:top w:val="nil"/>
              <w:left w:val="nil"/>
              <w:bottom w:val="single" w:sz="4" w:space="0" w:color="auto"/>
              <w:right w:val="single" w:sz="4" w:space="0" w:color="auto"/>
            </w:tcBorders>
            <w:shd w:val="clear" w:color="auto" w:fill="auto"/>
            <w:noWrap/>
            <w:vAlign w:val="bottom"/>
            <w:hideMark/>
          </w:tcPr>
          <w:p w14:paraId="1BC502FA" w14:textId="080572CE" w:rsidR="006068B4" w:rsidRPr="006068B4" w:rsidRDefault="24CA6B4B" w:rsidP="002B2B83">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5,</w:t>
            </w:r>
            <w:r w:rsidR="002B2B83">
              <w:rPr>
                <w:rFonts w:ascii="Times New Roman" w:hAnsi="Times New Roman" w:cs="Times New Roman"/>
                <w:sz w:val="20"/>
                <w:szCs w:val="20"/>
              </w:rPr>
              <w:t>6</w:t>
            </w:r>
          </w:p>
        </w:tc>
        <w:tc>
          <w:tcPr>
            <w:tcW w:w="675" w:type="dxa"/>
            <w:tcBorders>
              <w:top w:val="nil"/>
              <w:left w:val="nil"/>
              <w:bottom w:val="single" w:sz="4" w:space="0" w:color="auto"/>
              <w:right w:val="single" w:sz="4" w:space="0" w:color="auto"/>
            </w:tcBorders>
            <w:shd w:val="clear" w:color="auto" w:fill="auto"/>
            <w:noWrap/>
            <w:vAlign w:val="bottom"/>
            <w:hideMark/>
          </w:tcPr>
          <w:p w14:paraId="70100317" w14:textId="69B2D600" w:rsidR="006068B4" w:rsidRPr="006068B4" w:rsidRDefault="24CA6B4B" w:rsidP="002B2B83">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130,</w:t>
            </w:r>
            <w:r w:rsidR="002B2B83">
              <w:rPr>
                <w:rFonts w:ascii="Times New Roman" w:hAnsi="Times New Roman" w:cs="Times New Roman"/>
                <w:sz w:val="20"/>
                <w:szCs w:val="20"/>
              </w:rPr>
              <w:t>0</w:t>
            </w:r>
          </w:p>
        </w:tc>
      </w:tr>
      <w:tr w:rsidR="006068B4" w:rsidRPr="006068B4" w14:paraId="7D88A7FB" w14:textId="77777777" w:rsidTr="24CA6B4B">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99AE9AE" w14:textId="77777777" w:rsidR="006068B4" w:rsidRPr="006068B4" w:rsidRDefault="22B2E273" w:rsidP="22B2E273">
            <w:pPr>
              <w:spacing w:line="240" w:lineRule="auto"/>
              <w:rPr>
                <w:rFonts w:ascii="Times New Roman" w:hAnsi="Times New Roman" w:cs="Times New Roman"/>
                <w:b/>
                <w:bCs/>
                <w:color w:val="000000" w:themeColor="text1"/>
                <w:sz w:val="20"/>
                <w:szCs w:val="20"/>
              </w:rPr>
            </w:pPr>
            <w:r w:rsidRPr="22B2E273">
              <w:rPr>
                <w:rFonts w:ascii="Times New Roman" w:hAnsi="Times New Roman" w:cs="Times New Roman"/>
                <w:b/>
                <w:bCs/>
                <w:color w:val="000000" w:themeColor="text1"/>
                <w:sz w:val="20"/>
                <w:szCs w:val="20"/>
              </w:rPr>
              <w:t>Korhatár alatti ellátások</w:t>
            </w:r>
          </w:p>
        </w:tc>
        <w:tc>
          <w:tcPr>
            <w:tcW w:w="1134" w:type="dxa"/>
            <w:tcBorders>
              <w:top w:val="nil"/>
              <w:left w:val="nil"/>
              <w:bottom w:val="single" w:sz="4" w:space="0" w:color="auto"/>
              <w:right w:val="single" w:sz="4" w:space="0" w:color="auto"/>
            </w:tcBorders>
            <w:shd w:val="clear" w:color="auto" w:fill="auto"/>
            <w:noWrap/>
            <w:vAlign w:val="bottom"/>
            <w:hideMark/>
          </w:tcPr>
          <w:p w14:paraId="7703B44A" w14:textId="46A10AA0" w:rsidR="006068B4" w:rsidRPr="006068B4" w:rsidRDefault="24CA6B4B" w:rsidP="24CA6B4B">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116,6</w:t>
            </w:r>
          </w:p>
        </w:tc>
        <w:tc>
          <w:tcPr>
            <w:tcW w:w="1134" w:type="dxa"/>
            <w:tcBorders>
              <w:top w:val="nil"/>
              <w:left w:val="nil"/>
              <w:bottom w:val="single" w:sz="4" w:space="0" w:color="auto"/>
              <w:right w:val="single" w:sz="4" w:space="0" w:color="auto"/>
            </w:tcBorders>
            <w:shd w:val="clear" w:color="auto" w:fill="auto"/>
            <w:noWrap/>
            <w:vAlign w:val="bottom"/>
            <w:hideMark/>
          </w:tcPr>
          <w:p w14:paraId="6428734A" w14:textId="4C2DA12A" w:rsidR="006068B4" w:rsidRPr="006068B4" w:rsidRDefault="24CA6B4B" w:rsidP="24CA6B4B">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114,9</w:t>
            </w:r>
          </w:p>
        </w:tc>
        <w:tc>
          <w:tcPr>
            <w:tcW w:w="851" w:type="dxa"/>
            <w:tcBorders>
              <w:top w:val="nil"/>
              <w:left w:val="nil"/>
              <w:bottom w:val="single" w:sz="4" w:space="0" w:color="auto"/>
              <w:right w:val="single" w:sz="4" w:space="0" w:color="auto"/>
            </w:tcBorders>
            <w:shd w:val="clear" w:color="auto" w:fill="auto"/>
            <w:noWrap/>
            <w:vAlign w:val="bottom"/>
            <w:hideMark/>
          </w:tcPr>
          <w:p w14:paraId="7EDBDA2F" w14:textId="6A9E52C9" w:rsidR="006068B4" w:rsidRPr="006068B4" w:rsidRDefault="24CA6B4B" w:rsidP="24CA6B4B">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-1,7</w:t>
            </w:r>
          </w:p>
        </w:tc>
        <w:tc>
          <w:tcPr>
            <w:tcW w:w="675" w:type="dxa"/>
            <w:tcBorders>
              <w:top w:val="nil"/>
              <w:left w:val="nil"/>
              <w:bottom w:val="single" w:sz="4" w:space="0" w:color="auto"/>
              <w:right w:val="single" w:sz="4" w:space="0" w:color="auto"/>
            </w:tcBorders>
            <w:shd w:val="clear" w:color="auto" w:fill="auto"/>
            <w:noWrap/>
            <w:vAlign w:val="bottom"/>
            <w:hideMark/>
          </w:tcPr>
          <w:p w14:paraId="534E4A63" w14:textId="0DE9AC9B" w:rsidR="006068B4" w:rsidRPr="006068B4" w:rsidRDefault="24CA6B4B" w:rsidP="24CA6B4B">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98,5</w:t>
            </w:r>
          </w:p>
        </w:tc>
      </w:tr>
      <w:tr w:rsidR="006068B4" w:rsidRPr="006068B4" w14:paraId="2D32D206" w14:textId="77777777" w:rsidTr="24CA6B4B">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EA13739" w14:textId="77777777" w:rsidR="006068B4" w:rsidRPr="006068B4" w:rsidRDefault="22B2E273" w:rsidP="22B2E273">
            <w:pPr>
              <w:spacing w:line="240" w:lineRule="auto"/>
              <w:rPr>
                <w:rFonts w:ascii="Times New Roman" w:hAnsi="Times New Roman" w:cs="Times New Roman"/>
                <w:b/>
                <w:bCs/>
                <w:color w:val="000000" w:themeColor="text1"/>
                <w:sz w:val="20"/>
                <w:szCs w:val="20"/>
              </w:rPr>
            </w:pPr>
            <w:r w:rsidRPr="22B2E273">
              <w:rPr>
                <w:rFonts w:ascii="Times New Roman" w:hAnsi="Times New Roman" w:cs="Times New Roman"/>
                <w:b/>
                <w:bCs/>
                <w:color w:val="000000" w:themeColor="text1"/>
                <w:sz w:val="20"/>
                <w:szCs w:val="20"/>
              </w:rPr>
              <w:t>Jövedelempótló és jövedelemkiegészítő szociális támogatások</w:t>
            </w:r>
          </w:p>
        </w:tc>
        <w:tc>
          <w:tcPr>
            <w:tcW w:w="1134" w:type="dxa"/>
            <w:tcBorders>
              <w:top w:val="nil"/>
              <w:left w:val="nil"/>
              <w:bottom w:val="single" w:sz="4" w:space="0" w:color="auto"/>
              <w:right w:val="single" w:sz="4" w:space="0" w:color="auto"/>
            </w:tcBorders>
            <w:shd w:val="clear" w:color="auto" w:fill="auto"/>
            <w:noWrap/>
            <w:vAlign w:val="bottom"/>
            <w:hideMark/>
          </w:tcPr>
          <w:p w14:paraId="09D08D68" w14:textId="5C48BD58" w:rsidR="006068B4" w:rsidRPr="006068B4" w:rsidRDefault="24CA6B4B" w:rsidP="00856A6C">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175,</w:t>
            </w:r>
            <w:r w:rsidR="00856A6C">
              <w:rPr>
                <w:rFonts w:ascii="Times New Roman" w:hAnsi="Times New Roman" w:cs="Times New Roman"/>
                <w:b/>
                <w:bCs/>
                <w:sz w:val="20"/>
                <w:szCs w:val="20"/>
              </w:rPr>
              <w:t>7</w:t>
            </w:r>
          </w:p>
        </w:tc>
        <w:tc>
          <w:tcPr>
            <w:tcW w:w="1134" w:type="dxa"/>
            <w:tcBorders>
              <w:top w:val="nil"/>
              <w:left w:val="nil"/>
              <w:bottom w:val="single" w:sz="4" w:space="0" w:color="auto"/>
              <w:right w:val="single" w:sz="4" w:space="0" w:color="auto"/>
            </w:tcBorders>
            <w:shd w:val="clear" w:color="auto" w:fill="auto"/>
            <w:noWrap/>
            <w:vAlign w:val="bottom"/>
            <w:hideMark/>
          </w:tcPr>
          <w:p w14:paraId="20CD8076" w14:textId="7D37B9E2" w:rsidR="006068B4" w:rsidRPr="006068B4" w:rsidRDefault="24CA6B4B" w:rsidP="00856A6C">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197,</w:t>
            </w:r>
            <w:r w:rsidR="00856A6C">
              <w:rPr>
                <w:rFonts w:ascii="Times New Roman" w:hAnsi="Times New Roman" w:cs="Times New Roman"/>
                <w:b/>
                <w:bCs/>
                <w:sz w:val="20"/>
                <w:szCs w:val="20"/>
              </w:rPr>
              <w:t>7</w:t>
            </w:r>
          </w:p>
        </w:tc>
        <w:tc>
          <w:tcPr>
            <w:tcW w:w="851" w:type="dxa"/>
            <w:tcBorders>
              <w:top w:val="nil"/>
              <w:left w:val="nil"/>
              <w:bottom w:val="single" w:sz="4" w:space="0" w:color="auto"/>
              <w:right w:val="single" w:sz="4" w:space="0" w:color="auto"/>
            </w:tcBorders>
            <w:shd w:val="clear" w:color="auto" w:fill="auto"/>
            <w:noWrap/>
            <w:vAlign w:val="bottom"/>
            <w:hideMark/>
          </w:tcPr>
          <w:p w14:paraId="06C5F2C2" w14:textId="6C7C5CAA" w:rsidR="006068B4" w:rsidRPr="006068B4" w:rsidRDefault="00856A6C" w:rsidP="24CA6B4B">
            <w:pPr>
              <w:spacing w:line="240" w:lineRule="auto"/>
              <w:jc w:val="right"/>
              <w:rPr>
                <w:rFonts w:ascii="Times New Roman" w:hAnsi="Times New Roman" w:cs="Times New Roman"/>
                <w:b/>
                <w:bCs/>
                <w:sz w:val="20"/>
                <w:szCs w:val="20"/>
              </w:rPr>
            </w:pPr>
            <w:r>
              <w:rPr>
                <w:rFonts w:ascii="Times New Roman" w:hAnsi="Times New Roman" w:cs="Times New Roman"/>
                <w:b/>
                <w:bCs/>
                <w:sz w:val="20"/>
                <w:szCs w:val="20"/>
              </w:rPr>
              <w:t>22,0</w:t>
            </w:r>
          </w:p>
        </w:tc>
        <w:tc>
          <w:tcPr>
            <w:tcW w:w="675" w:type="dxa"/>
            <w:tcBorders>
              <w:top w:val="nil"/>
              <w:left w:val="nil"/>
              <w:bottom w:val="single" w:sz="4" w:space="0" w:color="auto"/>
              <w:right w:val="single" w:sz="4" w:space="0" w:color="auto"/>
            </w:tcBorders>
            <w:shd w:val="clear" w:color="auto" w:fill="auto"/>
            <w:noWrap/>
            <w:vAlign w:val="bottom"/>
            <w:hideMark/>
          </w:tcPr>
          <w:p w14:paraId="72FE9F51" w14:textId="4EE009A1" w:rsidR="006068B4" w:rsidRPr="006068B4" w:rsidRDefault="24CA6B4B" w:rsidP="00856A6C">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112,</w:t>
            </w:r>
            <w:r w:rsidR="00856A6C">
              <w:rPr>
                <w:rFonts w:ascii="Times New Roman" w:hAnsi="Times New Roman" w:cs="Times New Roman"/>
                <w:b/>
                <w:bCs/>
                <w:sz w:val="20"/>
                <w:szCs w:val="20"/>
              </w:rPr>
              <w:t>5</w:t>
            </w:r>
          </w:p>
        </w:tc>
      </w:tr>
      <w:tr w:rsidR="006068B4" w:rsidRPr="006068B4" w14:paraId="5788F37E" w14:textId="77777777" w:rsidTr="24CA6B4B">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1B003BA" w14:textId="77777777" w:rsidR="006068B4" w:rsidRPr="006068B4" w:rsidRDefault="22B2E273" w:rsidP="22B2E273">
            <w:pPr>
              <w:spacing w:line="240" w:lineRule="auto"/>
              <w:ind w:firstLineChars="100" w:firstLine="200"/>
              <w:rPr>
                <w:rFonts w:ascii="Times New Roman" w:hAnsi="Times New Roman" w:cs="Times New Roman"/>
                <w:i/>
                <w:iCs/>
                <w:color w:val="000000" w:themeColor="text1"/>
                <w:sz w:val="20"/>
                <w:szCs w:val="20"/>
              </w:rPr>
            </w:pPr>
            <w:r w:rsidRPr="22B2E273">
              <w:rPr>
                <w:rFonts w:ascii="Times New Roman" w:hAnsi="Times New Roman" w:cs="Times New Roman"/>
                <w:i/>
                <w:iCs/>
                <w:color w:val="000000" w:themeColor="text1"/>
                <w:sz w:val="20"/>
                <w:szCs w:val="20"/>
              </w:rPr>
              <w:t>Ebből:</w:t>
            </w:r>
          </w:p>
        </w:tc>
        <w:tc>
          <w:tcPr>
            <w:tcW w:w="1134" w:type="dxa"/>
            <w:tcBorders>
              <w:top w:val="nil"/>
              <w:left w:val="nil"/>
              <w:bottom w:val="single" w:sz="4" w:space="0" w:color="auto"/>
              <w:right w:val="single" w:sz="4" w:space="0" w:color="auto"/>
            </w:tcBorders>
            <w:shd w:val="clear" w:color="auto" w:fill="auto"/>
            <w:noWrap/>
            <w:vAlign w:val="bottom"/>
            <w:hideMark/>
          </w:tcPr>
          <w:p w14:paraId="288BBE5A" w14:textId="77777777"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125CFD" w14:textId="77777777"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1F8604AB" w14:textId="77777777"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736DD4C8" w14:textId="77777777" w:rsidR="006068B4" w:rsidRPr="006068B4" w:rsidRDefault="24CA6B4B" w:rsidP="24CA6B4B">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 </w:t>
            </w:r>
          </w:p>
        </w:tc>
      </w:tr>
      <w:tr w:rsidR="006068B4" w:rsidRPr="006068B4" w14:paraId="2B9D2C3D" w14:textId="77777777" w:rsidTr="24CA6B4B">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3BF205E9" w14:textId="77777777" w:rsidR="006068B4" w:rsidRPr="006068B4" w:rsidRDefault="22B2E273" w:rsidP="22B2E273">
            <w:pPr>
              <w:spacing w:line="240" w:lineRule="auto"/>
              <w:ind w:firstLineChars="400" w:firstLine="800"/>
              <w:rPr>
                <w:rFonts w:ascii="Times New Roman" w:hAnsi="Times New Roman" w:cs="Times New Roman"/>
                <w:i/>
                <w:iCs/>
                <w:color w:val="000000" w:themeColor="text1"/>
                <w:sz w:val="20"/>
                <w:szCs w:val="20"/>
              </w:rPr>
            </w:pPr>
            <w:r w:rsidRPr="22B2E273">
              <w:rPr>
                <w:rFonts w:ascii="Times New Roman" w:hAnsi="Times New Roman" w:cs="Times New Roman"/>
                <w:i/>
                <w:iCs/>
                <w:color w:val="000000" w:themeColor="text1"/>
                <w:sz w:val="20"/>
                <w:szCs w:val="20"/>
              </w:rPr>
              <w:t>Jövedelempótló és jövedelemkiegészítő ellátások</w:t>
            </w:r>
          </w:p>
        </w:tc>
        <w:tc>
          <w:tcPr>
            <w:tcW w:w="1134" w:type="dxa"/>
            <w:tcBorders>
              <w:top w:val="nil"/>
              <w:left w:val="nil"/>
              <w:bottom w:val="single" w:sz="4" w:space="0" w:color="auto"/>
              <w:right w:val="single" w:sz="4" w:space="0" w:color="auto"/>
            </w:tcBorders>
            <w:shd w:val="clear" w:color="auto" w:fill="auto"/>
            <w:noWrap/>
            <w:vAlign w:val="bottom"/>
            <w:hideMark/>
          </w:tcPr>
          <w:p w14:paraId="4ED98D04" w14:textId="3610D5BA"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68,8</w:t>
            </w:r>
          </w:p>
        </w:tc>
        <w:tc>
          <w:tcPr>
            <w:tcW w:w="1134" w:type="dxa"/>
            <w:tcBorders>
              <w:top w:val="nil"/>
              <w:left w:val="nil"/>
              <w:bottom w:val="single" w:sz="4" w:space="0" w:color="auto"/>
              <w:right w:val="single" w:sz="4" w:space="0" w:color="auto"/>
            </w:tcBorders>
            <w:shd w:val="clear" w:color="auto" w:fill="auto"/>
            <w:noWrap/>
            <w:vAlign w:val="bottom"/>
            <w:hideMark/>
          </w:tcPr>
          <w:p w14:paraId="0B03B656" w14:textId="43C8E9A4"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71,9</w:t>
            </w:r>
          </w:p>
        </w:tc>
        <w:tc>
          <w:tcPr>
            <w:tcW w:w="851" w:type="dxa"/>
            <w:tcBorders>
              <w:top w:val="nil"/>
              <w:left w:val="nil"/>
              <w:bottom w:val="single" w:sz="4" w:space="0" w:color="auto"/>
              <w:right w:val="single" w:sz="4" w:space="0" w:color="auto"/>
            </w:tcBorders>
            <w:shd w:val="clear" w:color="auto" w:fill="auto"/>
            <w:noWrap/>
            <w:vAlign w:val="bottom"/>
            <w:hideMark/>
          </w:tcPr>
          <w:p w14:paraId="2876B997" w14:textId="714E75B9"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3,1</w:t>
            </w:r>
          </w:p>
        </w:tc>
        <w:tc>
          <w:tcPr>
            <w:tcW w:w="675" w:type="dxa"/>
            <w:tcBorders>
              <w:top w:val="nil"/>
              <w:left w:val="nil"/>
              <w:bottom w:val="single" w:sz="4" w:space="0" w:color="auto"/>
              <w:right w:val="single" w:sz="4" w:space="0" w:color="auto"/>
            </w:tcBorders>
            <w:shd w:val="clear" w:color="auto" w:fill="auto"/>
            <w:noWrap/>
            <w:vAlign w:val="bottom"/>
            <w:hideMark/>
          </w:tcPr>
          <w:p w14:paraId="6DBAA01B" w14:textId="71408DAA"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104,5</w:t>
            </w:r>
          </w:p>
        </w:tc>
      </w:tr>
      <w:tr w:rsidR="006068B4" w:rsidRPr="006068B4" w14:paraId="65888AD0" w14:textId="77777777" w:rsidTr="24CA6B4B">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47B6E086" w14:textId="77777777" w:rsidR="006068B4" w:rsidRPr="006068B4" w:rsidRDefault="22B2E273" w:rsidP="22B2E273">
            <w:pPr>
              <w:spacing w:line="240" w:lineRule="auto"/>
              <w:ind w:firstLineChars="400" w:firstLine="800"/>
              <w:rPr>
                <w:rFonts w:ascii="Times New Roman" w:hAnsi="Times New Roman" w:cs="Times New Roman"/>
                <w:i/>
                <w:iCs/>
                <w:color w:val="000000" w:themeColor="text1"/>
                <w:sz w:val="20"/>
                <w:szCs w:val="20"/>
              </w:rPr>
            </w:pPr>
            <w:r w:rsidRPr="22B2E273">
              <w:rPr>
                <w:rFonts w:ascii="Times New Roman" w:hAnsi="Times New Roman" w:cs="Times New Roman"/>
                <w:i/>
                <w:iCs/>
                <w:color w:val="000000" w:themeColor="text1"/>
                <w:sz w:val="20"/>
                <w:szCs w:val="20"/>
              </w:rPr>
              <w:t>Járási szociális feladatok ellátása</w:t>
            </w:r>
          </w:p>
        </w:tc>
        <w:tc>
          <w:tcPr>
            <w:tcW w:w="1134" w:type="dxa"/>
            <w:tcBorders>
              <w:top w:val="nil"/>
              <w:left w:val="nil"/>
              <w:bottom w:val="single" w:sz="4" w:space="0" w:color="auto"/>
              <w:right w:val="single" w:sz="4" w:space="0" w:color="auto"/>
            </w:tcBorders>
            <w:shd w:val="clear" w:color="auto" w:fill="auto"/>
            <w:noWrap/>
            <w:vAlign w:val="bottom"/>
            <w:hideMark/>
          </w:tcPr>
          <w:p w14:paraId="4DD04FA4" w14:textId="3955B67E"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107,0</w:t>
            </w:r>
          </w:p>
        </w:tc>
        <w:tc>
          <w:tcPr>
            <w:tcW w:w="1134" w:type="dxa"/>
            <w:tcBorders>
              <w:top w:val="nil"/>
              <w:left w:val="nil"/>
              <w:bottom w:val="single" w:sz="4" w:space="0" w:color="auto"/>
              <w:right w:val="single" w:sz="4" w:space="0" w:color="auto"/>
            </w:tcBorders>
            <w:shd w:val="clear" w:color="auto" w:fill="auto"/>
            <w:noWrap/>
            <w:vAlign w:val="bottom"/>
            <w:hideMark/>
          </w:tcPr>
          <w:p w14:paraId="4B8C340C" w14:textId="35B33309"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127,2</w:t>
            </w:r>
          </w:p>
        </w:tc>
        <w:tc>
          <w:tcPr>
            <w:tcW w:w="851" w:type="dxa"/>
            <w:tcBorders>
              <w:top w:val="nil"/>
              <w:left w:val="nil"/>
              <w:bottom w:val="single" w:sz="4" w:space="0" w:color="auto"/>
              <w:right w:val="single" w:sz="4" w:space="0" w:color="auto"/>
            </w:tcBorders>
            <w:shd w:val="clear" w:color="auto" w:fill="auto"/>
            <w:noWrap/>
            <w:vAlign w:val="bottom"/>
            <w:hideMark/>
          </w:tcPr>
          <w:p w14:paraId="5CB598A8" w14:textId="0CF93AEB"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20,2</w:t>
            </w:r>
          </w:p>
        </w:tc>
        <w:tc>
          <w:tcPr>
            <w:tcW w:w="675" w:type="dxa"/>
            <w:tcBorders>
              <w:top w:val="nil"/>
              <w:left w:val="nil"/>
              <w:bottom w:val="single" w:sz="4" w:space="0" w:color="auto"/>
              <w:right w:val="single" w:sz="4" w:space="0" w:color="auto"/>
            </w:tcBorders>
            <w:shd w:val="clear" w:color="auto" w:fill="auto"/>
            <w:noWrap/>
            <w:vAlign w:val="bottom"/>
            <w:hideMark/>
          </w:tcPr>
          <w:p w14:paraId="3DAE5F3D" w14:textId="2D6B2328"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118,9</w:t>
            </w:r>
          </w:p>
        </w:tc>
      </w:tr>
      <w:tr w:rsidR="006068B4" w:rsidRPr="006068B4" w14:paraId="030B4DBA" w14:textId="77777777" w:rsidTr="24CA6B4B">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2423DBB" w14:textId="77777777" w:rsidR="006068B4" w:rsidRPr="006068B4" w:rsidRDefault="22B2E273" w:rsidP="22B2E273">
            <w:pPr>
              <w:spacing w:line="240" w:lineRule="auto"/>
              <w:rPr>
                <w:rFonts w:ascii="Times New Roman" w:hAnsi="Times New Roman" w:cs="Times New Roman"/>
                <w:b/>
                <w:bCs/>
                <w:color w:val="000000" w:themeColor="text1"/>
                <w:sz w:val="20"/>
                <w:szCs w:val="20"/>
              </w:rPr>
            </w:pPr>
            <w:r w:rsidRPr="22B2E273">
              <w:rPr>
                <w:rFonts w:ascii="Times New Roman" w:hAnsi="Times New Roman" w:cs="Times New Roman"/>
                <w:b/>
                <w:bCs/>
                <w:color w:val="000000" w:themeColor="text1"/>
                <w:sz w:val="20"/>
                <w:szCs w:val="20"/>
              </w:rPr>
              <w:t>Különféle jogcímen adott térítések</w:t>
            </w:r>
          </w:p>
        </w:tc>
        <w:tc>
          <w:tcPr>
            <w:tcW w:w="1134" w:type="dxa"/>
            <w:tcBorders>
              <w:top w:val="nil"/>
              <w:left w:val="nil"/>
              <w:bottom w:val="single" w:sz="4" w:space="0" w:color="auto"/>
              <w:right w:val="single" w:sz="4" w:space="0" w:color="auto"/>
            </w:tcBorders>
            <w:shd w:val="clear" w:color="auto" w:fill="auto"/>
            <w:noWrap/>
            <w:vAlign w:val="bottom"/>
            <w:hideMark/>
          </w:tcPr>
          <w:p w14:paraId="0247058E" w14:textId="6F1F4C64" w:rsidR="006068B4" w:rsidRPr="006068B4" w:rsidRDefault="24CA6B4B" w:rsidP="24CA6B4B">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21,4</w:t>
            </w:r>
          </w:p>
        </w:tc>
        <w:tc>
          <w:tcPr>
            <w:tcW w:w="1134" w:type="dxa"/>
            <w:tcBorders>
              <w:top w:val="nil"/>
              <w:left w:val="nil"/>
              <w:bottom w:val="single" w:sz="4" w:space="0" w:color="auto"/>
              <w:right w:val="single" w:sz="4" w:space="0" w:color="auto"/>
            </w:tcBorders>
            <w:shd w:val="clear" w:color="auto" w:fill="auto"/>
            <w:noWrap/>
            <w:vAlign w:val="bottom"/>
            <w:hideMark/>
          </w:tcPr>
          <w:p w14:paraId="79ACCB29" w14:textId="26386F2E" w:rsidR="006068B4" w:rsidRPr="006068B4" w:rsidRDefault="24CA6B4B" w:rsidP="24CA6B4B">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21,7</w:t>
            </w:r>
          </w:p>
        </w:tc>
        <w:tc>
          <w:tcPr>
            <w:tcW w:w="851" w:type="dxa"/>
            <w:tcBorders>
              <w:top w:val="nil"/>
              <w:left w:val="nil"/>
              <w:bottom w:val="single" w:sz="4" w:space="0" w:color="auto"/>
              <w:right w:val="single" w:sz="4" w:space="0" w:color="auto"/>
            </w:tcBorders>
            <w:shd w:val="clear" w:color="auto" w:fill="auto"/>
            <w:noWrap/>
            <w:vAlign w:val="bottom"/>
            <w:hideMark/>
          </w:tcPr>
          <w:p w14:paraId="74FAD509" w14:textId="4B58D29E" w:rsidR="006068B4" w:rsidRPr="006068B4" w:rsidRDefault="24CA6B4B" w:rsidP="24CA6B4B">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0,3</w:t>
            </w:r>
          </w:p>
        </w:tc>
        <w:tc>
          <w:tcPr>
            <w:tcW w:w="675" w:type="dxa"/>
            <w:tcBorders>
              <w:top w:val="nil"/>
              <w:left w:val="nil"/>
              <w:bottom w:val="single" w:sz="4" w:space="0" w:color="auto"/>
              <w:right w:val="single" w:sz="4" w:space="0" w:color="auto"/>
            </w:tcBorders>
            <w:shd w:val="clear" w:color="auto" w:fill="auto"/>
            <w:noWrap/>
            <w:vAlign w:val="bottom"/>
            <w:hideMark/>
          </w:tcPr>
          <w:p w14:paraId="55CBB5D3" w14:textId="62A1D8A7" w:rsidR="006068B4" w:rsidRPr="006068B4" w:rsidRDefault="24CA6B4B" w:rsidP="24CA6B4B">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101,4</w:t>
            </w:r>
          </w:p>
        </w:tc>
      </w:tr>
      <w:tr w:rsidR="006068B4" w:rsidRPr="006068B4" w14:paraId="217EDD81" w14:textId="77777777" w:rsidTr="24CA6B4B">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3B18587" w14:textId="77777777" w:rsidR="006068B4" w:rsidRPr="006068B4" w:rsidRDefault="22B2E273" w:rsidP="22B2E273">
            <w:pPr>
              <w:spacing w:line="240" w:lineRule="auto"/>
              <w:ind w:firstLineChars="100" w:firstLine="200"/>
              <w:rPr>
                <w:rFonts w:ascii="Times New Roman" w:hAnsi="Times New Roman" w:cs="Times New Roman"/>
                <w:i/>
                <w:iCs/>
                <w:color w:val="000000" w:themeColor="text1"/>
                <w:sz w:val="20"/>
                <w:szCs w:val="20"/>
              </w:rPr>
            </w:pPr>
            <w:r w:rsidRPr="22B2E273">
              <w:rPr>
                <w:rFonts w:ascii="Times New Roman" w:hAnsi="Times New Roman" w:cs="Times New Roman"/>
                <w:i/>
                <w:iCs/>
                <w:color w:val="000000" w:themeColor="text1"/>
                <w:sz w:val="20"/>
                <w:szCs w:val="20"/>
              </w:rPr>
              <w:t>Ebből:</w:t>
            </w:r>
          </w:p>
        </w:tc>
        <w:tc>
          <w:tcPr>
            <w:tcW w:w="1134" w:type="dxa"/>
            <w:tcBorders>
              <w:top w:val="nil"/>
              <w:left w:val="nil"/>
              <w:bottom w:val="single" w:sz="4" w:space="0" w:color="auto"/>
              <w:right w:val="single" w:sz="4" w:space="0" w:color="auto"/>
            </w:tcBorders>
            <w:shd w:val="clear" w:color="auto" w:fill="auto"/>
            <w:noWrap/>
            <w:vAlign w:val="bottom"/>
            <w:hideMark/>
          </w:tcPr>
          <w:p w14:paraId="2C5C6549" w14:textId="77777777"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A678CF" w14:textId="77777777"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60758E7D" w14:textId="77777777"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14:paraId="18E843D4" w14:textId="77777777"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 </w:t>
            </w:r>
          </w:p>
        </w:tc>
      </w:tr>
      <w:tr w:rsidR="006068B4" w:rsidRPr="006068B4" w14:paraId="166A0870" w14:textId="77777777" w:rsidTr="24CA6B4B">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B046E44" w14:textId="77777777" w:rsidR="006068B4" w:rsidRPr="006068B4" w:rsidRDefault="22B2E273" w:rsidP="22B2E273">
            <w:pPr>
              <w:spacing w:line="240" w:lineRule="auto"/>
              <w:ind w:firstLineChars="400" w:firstLine="800"/>
              <w:rPr>
                <w:rFonts w:ascii="Times New Roman" w:hAnsi="Times New Roman" w:cs="Times New Roman"/>
                <w:i/>
                <w:iCs/>
                <w:color w:val="000000" w:themeColor="text1"/>
                <w:sz w:val="20"/>
                <w:szCs w:val="20"/>
              </w:rPr>
            </w:pPr>
            <w:r w:rsidRPr="22B2E273">
              <w:rPr>
                <w:rFonts w:ascii="Times New Roman" w:hAnsi="Times New Roman" w:cs="Times New Roman"/>
                <w:i/>
                <w:iCs/>
                <w:color w:val="000000" w:themeColor="text1"/>
                <w:sz w:val="20"/>
                <w:szCs w:val="20"/>
              </w:rPr>
              <w:t>közgyógyellátás</w:t>
            </w:r>
          </w:p>
        </w:tc>
        <w:tc>
          <w:tcPr>
            <w:tcW w:w="1134" w:type="dxa"/>
            <w:tcBorders>
              <w:top w:val="nil"/>
              <w:left w:val="nil"/>
              <w:bottom w:val="single" w:sz="4" w:space="0" w:color="auto"/>
              <w:right w:val="single" w:sz="4" w:space="0" w:color="auto"/>
            </w:tcBorders>
            <w:shd w:val="clear" w:color="auto" w:fill="auto"/>
            <w:noWrap/>
            <w:vAlign w:val="bottom"/>
            <w:hideMark/>
          </w:tcPr>
          <w:p w14:paraId="1406D65C" w14:textId="56C1DD28"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14,3</w:t>
            </w:r>
          </w:p>
        </w:tc>
        <w:tc>
          <w:tcPr>
            <w:tcW w:w="1134" w:type="dxa"/>
            <w:tcBorders>
              <w:top w:val="nil"/>
              <w:left w:val="nil"/>
              <w:bottom w:val="single" w:sz="4" w:space="0" w:color="auto"/>
              <w:right w:val="single" w:sz="4" w:space="0" w:color="auto"/>
            </w:tcBorders>
            <w:shd w:val="clear" w:color="auto" w:fill="auto"/>
            <w:noWrap/>
            <w:vAlign w:val="bottom"/>
            <w:hideMark/>
          </w:tcPr>
          <w:p w14:paraId="655A4EFA" w14:textId="10199D3F"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14,5</w:t>
            </w:r>
          </w:p>
        </w:tc>
        <w:tc>
          <w:tcPr>
            <w:tcW w:w="851" w:type="dxa"/>
            <w:tcBorders>
              <w:top w:val="nil"/>
              <w:left w:val="nil"/>
              <w:bottom w:val="single" w:sz="4" w:space="0" w:color="auto"/>
              <w:right w:val="single" w:sz="4" w:space="0" w:color="auto"/>
            </w:tcBorders>
            <w:shd w:val="clear" w:color="auto" w:fill="auto"/>
            <w:noWrap/>
            <w:vAlign w:val="bottom"/>
            <w:hideMark/>
          </w:tcPr>
          <w:p w14:paraId="5494B891" w14:textId="0B283285"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0,2</w:t>
            </w:r>
          </w:p>
        </w:tc>
        <w:tc>
          <w:tcPr>
            <w:tcW w:w="675" w:type="dxa"/>
            <w:tcBorders>
              <w:top w:val="nil"/>
              <w:left w:val="nil"/>
              <w:bottom w:val="single" w:sz="4" w:space="0" w:color="auto"/>
              <w:right w:val="single" w:sz="4" w:space="0" w:color="auto"/>
            </w:tcBorders>
            <w:shd w:val="clear" w:color="auto" w:fill="auto"/>
            <w:noWrap/>
            <w:vAlign w:val="bottom"/>
            <w:hideMark/>
          </w:tcPr>
          <w:p w14:paraId="68797428" w14:textId="4A54CF3C" w:rsidR="006068B4" w:rsidRPr="006068B4" w:rsidRDefault="24CA6B4B" w:rsidP="24CA6B4B">
            <w:pPr>
              <w:spacing w:line="240" w:lineRule="auto"/>
              <w:jc w:val="right"/>
              <w:rPr>
                <w:rFonts w:ascii="Times New Roman" w:hAnsi="Times New Roman" w:cs="Times New Roman"/>
                <w:sz w:val="20"/>
                <w:szCs w:val="20"/>
              </w:rPr>
            </w:pPr>
            <w:r w:rsidRPr="24CA6B4B">
              <w:rPr>
                <w:rFonts w:ascii="Times New Roman" w:hAnsi="Times New Roman" w:cs="Times New Roman"/>
                <w:sz w:val="20"/>
                <w:szCs w:val="20"/>
              </w:rPr>
              <w:t>101,4</w:t>
            </w:r>
          </w:p>
        </w:tc>
      </w:tr>
      <w:tr w:rsidR="006068B4" w:rsidRPr="006068B4" w14:paraId="393A56CC" w14:textId="77777777" w:rsidTr="24CA6B4B">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CD2655C" w14:textId="77777777" w:rsidR="006068B4" w:rsidRPr="006068B4" w:rsidRDefault="22B2E273" w:rsidP="22B2E273">
            <w:pPr>
              <w:spacing w:line="240" w:lineRule="auto"/>
              <w:rPr>
                <w:rFonts w:ascii="Times New Roman" w:hAnsi="Times New Roman" w:cs="Times New Roman"/>
                <w:b/>
                <w:bCs/>
                <w:color w:val="000000" w:themeColor="text1"/>
                <w:sz w:val="20"/>
                <w:szCs w:val="20"/>
              </w:rPr>
            </w:pPr>
            <w:r w:rsidRPr="22B2E273">
              <w:rPr>
                <w:rFonts w:ascii="Times New Roman" w:hAnsi="Times New Roman" w:cs="Times New Roman"/>
                <w:b/>
                <w:bCs/>
                <w:color w:val="000000" w:themeColor="text1"/>
                <w:sz w:val="20"/>
                <w:szCs w:val="20"/>
              </w:rPr>
              <w:t>Összesen</w:t>
            </w:r>
          </w:p>
        </w:tc>
        <w:tc>
          <w:tcPr>
            <w:tcW w:w="1134" w:type="dxa"/>
            <w:tcBorders>
              <w:top w:val="nil"/>
              <w:left w:val="nil"/>
              <w:bottom w:val="single" w:sz="4" w:space="0" w:color="auto"/>
              <w:right w:val="single" w:sz="4" w:space="0" w:color="auto"/>
            </w:tcBorders>
            <w:shd w:val="clear" w:color="auto" w:fill="auto"/>
            <w:noWrap/>
            <w:vAlign w:val="bottom"/>
            <w:hideMark/>
          </w:tcPr>
          <w:p w14:paraId="2E876EDD" w14:textId="6559D32A" w:rsidR="006068B4" w:rsidRPr="006068B4" w:rsidRDefault="24CA6B4B" w:rsidP="24CA6B4B">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687,0</w:t>
            </w:r>
          </w:p>
        </w:tc>
        <w:tc>
          <w:tcPr>
            <w:tcW w:w="1134" w:type="dxa"/>
            <w:tcBorders>
              <w:top w:val="nil"/>
              <w:left w:val="nil"/>
              <w:bottom w:val="single" w:sz="4" w:space="0" w:color="auto"/>
              <w:right w:val="single" w:sz="4" w:space="0" w:color="auto"/>
            </w:tcBorders>
            <w:shd w:val="clear" w:color="auto" w:fill="auto"/>
            <w:noWrap/>
            <w:vAlign w:val="bottom"/>
            <w:hideMark/>
          </w:tcPr>
          <w:p w14:paraId="1CB4D241" w14:textId="2BBE240D" w:rsidR="006068B4" w:rsidRPr="006068B4" w:rsidRDefault="24CA6B4B" w:rsidP="24CA6B4B">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709,0</w:t>
            </w:r>
          </w:p>
        </w:tc>
        <w:tc>
          <w:tcPr>
            <w:tcW w:w="851" w:type="dxa"/>
            <w:tcBorders>
              <w:top w:val="nil"/>
              <w:left w:val="nil"/>
              <w:bottom w:val="single" w:sz="4" w:space="0" w:color="auto"/>
              <w:right w:val="single" w:sz="4" w:space="0" w:color="auto"/>
            </w:tcBorders>
            <w:shd w:val="clear" w:color="auto" w:fill="auto"/>
            <w:noWrap/>
            <w:vAlign w:val="bottom"/>
            <w:hideMark/>
          </w:tcPr>
          <w:p w14:paraId="5FF2C368" w14:textId="548D6DA2" w:rsidR="006068B4" w:rsidRPr="006068B4" w:rsidRDefault="24CA6B4B" w:rsidP="24CA6B4B">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22,0</w:t>
            </w:r>
          </w:p>
        </w:tc>
        <w:tc>
          <w:tcPr>
            <w:tcW w:w="675" w:type="dxa"/>
            <w:tcBorders>
              <w:top w:val="nil"/>
              <w:left w:val="nil"/>
              <w:bottom w:val="single" w:sz="4" w:space="0" w:color="auto"/>
              <w:right w:val="single" w:sz="4" w:space="0" w:color="auto"/>
            </w:tcBorders>
            <w:shd w:val="clear" w:color="auto" w:fill="auto"/>
            <w:noWrap/>
            <w:vAlign w:val="bottom"/>
            <w:hideMark/>
          </w:tcPr>
          <w:p w14:paraId="7F3F44AB" w14:textId="01327F7A" w:rsidR="006068B4" w:rsidRPr="006068B4" w:rsidRDefault="24CA6B4B" w:rsidP="24CA6B4B">
            <w:pPr>
              <w:spacing w:line="240" w:lineRule="auto"/>
              <w:jc w:val="right"/>
              <w:rPr>
                <w:rFonts w:ascii="Times New Roman" w:hAnsi="Times New Roman" w:cs="Times New Roman"/>
                <w:b/>
                <w:bCs/>
                <w:sz w:val="20"/>
                <w:szCs w:val="20"/>
              </w:rPr>
            </w:pPr>
            <w:r w:rsidRPr="24CA6B4B">
              <w:rPr>
                <w:rFonts w:ascii="Times New Roman" w:hAnsi="Times New Roman" w:cs="Times New Roman"/>
                <w:b/>
                <w:bCs/>
                <w:sz w:val="20"/>
                <w:szCs w:val="20"/>
              </w:rPr>
              <w:t>103,2</w:t>
            </w:r>
          </w:p>
        </w:tc>
      </w:tr>
    </w:tbl>
    <w:p w14:paraId="5E06D26B" w14:textId="65FCA686" w:rsidR="22B2E273" w:rsidRPr="002E502E" w:rsidRDefault="22B2E273" w:rsidP="00C11940">
      <w:pPr>
        <w:spacing w:before="240"/>
        <w:jc w:val="both"/>
        <w:rPr>
          <w:rFonts w:ascii="Times New Roman" w:eastAsia="Times New Roman" w:hAnsi="Times New Roman" w:cs="Times New Roman"/>
          <w:sz w:val="26"/>
          <w:szCs w:val="26"/>
        </w:rPr>
      </w:pPr>
      <w:r w:rsidRPr="22B2E273">
        <w:rPr>
          <w:rFonts w:ascii="Times New Roman" w:eastAsia="Times New Roman" w:hAnsi="Times New Roman" w:cs="Times New Roman"/>
          <w:sz w:val="26"/>
          <w:szCs w:val="26"/>
        </w:rPr>
        <w:t xml:space="preserve">A </w:t>
      </w:r>
      <w:r w:rsidRPr="22B2E273">
        <w:rPr>
          <w:rFonts w:ascii="Times New Roman" w:eastAsia="Times New Roman" w:hAnsi="Times New Roman" w:cs="Times New Roman"/>
          <w:b/>
          <w:bCs/>
          <w:sz w:val="26"/>
          <w:szCs w:val="26"/>
        </w:rPr>
        <w:t>családi támogatásokra</w:t>
      </w:r>
      <w:r w:rsidRPr="22B2E273">
        <w:rPr>
          <w:rFonts w:ascii="Times New Roman" w:eastAsia="Times New Roman" w:hAnsi="Times New Roman" w:cs="Times New Roman"/>
          <w:sz w:val="26"/>
          <w:szCs w:val="26"/>
        </w:rPr>
        <w:t xml:space="preserve"> november végéig összesen 374,7 milliárd forintot fizettek ki, amely 1,4 milliárd forinttal haladta meg az előző év teljesítését. Az eltérés elsősorban a családi támogatások jogcímcsoporthoz tartozó Életkezdési támogatás előirányzat kiadásai növekedésének következménye, ami 5,</w:t>
      </w:r>
      <w:r w:rsidR="002B2B83">
        <w:rPr>
          <w:rFonts w:ascii="Times New Roman" w:eastAsia="Times New Roman" w:hAnsi="Times New Roman" w:cs="Times New Roman"/>
          <w:sz w:val="26"/>
          <w:szCs w:val="26"/>
        </w:rPr>
        <w:t>6</w:t>
      </w:r>
      <w:r w:rsidRPr="22B2E273">
        <w:rPr>
          <w:rFonts w:ascii="Times New Roman" w:eastAsia="Times New Roman" w:hAnsi="Times New Roman" w:cs="Times New Roman"/>
          <w:sz w:val="26"/>
          <w:szCs w:val="26"/>
        </w:rPr>
        <w:t xml:space="preserve"> milliárd forinttal haladta meg az előző évi teljesítést. Ennek oka, hogy 2024-ben az életkezdési letéti számlákon nyilvántartott követelés összegére tekintettel fizetett kamat mértéke 17,6% volt (a 2023. évi infláció mértékének megfelelően), ami meghaladta a 2023-ben fizetett kamat mértékét (14,5%-ot), ezen kívül az életkezdési letéti számlákon nyilvántartott összeg is nőtt a tavalyihoz képest.</w:t>
      </w:r>
    </w:p>
    <w:p w14:paraId="45E38A92" w14:textId="028109B1" w:rsidR="22B2E273" w:rsidRDefault="22B2E273" w:rsidP="22B2E273">
      <w:pPr>
        <w:jc w:val="both"/>
      </w:pPr>
      <w:r w:rsidRPr="22B2E273">
        <w:rPr>
          <w:rFonts w:ascii="Times New Roman" w:eastAsia="Times New Roman" w:hAnsi="Times New Roman" w:cs="Times New Roman"/>
          <w:sz w:val="26"/>
          <w:szCs w:val="26"/>
        </w:rPr>
        <w:t xml:space="preserve">A </w:t>
      </w:r>
      <w:r w:rsidRPr="22B2E273">
        <w:rPr>
          <w:rFonts w:ascii="Times New Roman" w:eastAsia="Times New Roman" w:hAnsi="Times New Roman" w:cs="Times New Roman"/>
          <w:b/>
          <w:bCs/>
          <w:sz w:val="26"/>
          <w:szCs w:val="26"/>
        </w:rPr>
        <w:t>korhatár alatti ellátások</w:t>
      </w:r>
      <w:r w:rsidRPr="22B2E273">
        <w:rPr>
          <w:rFonts w:ascii="Times New Roman" w:eastAsia="Times New Roman" w:hAnsi="Times New Roman" w:cs="Times New Roman"/>
          <w:sz w:val="26"/>
          <w:szCs w:val="26"/>
        </w:rPr>
        <w:t xml:space="preserve"> esetében </w:t>
      </w:r>
      <w:r w:rsidR="003D61A8">
        <w:rPr>
          <w:rFonts w:ascii="Times New Roman" w:eastAsia="Times New Roman" w:hAnsi="Times New Roman" w:cs="Times New Roman"/>
          <w:sz w:val="26"/>
          <w:szCs w:val="26"/>
        </w:rPr>
        <w:t>megjegyzendő</w:t>
      </w:r>
      <w:r w:rsidRPr="22B2E273">
        <w:rPr>
          <w:rFonts w:ascii="Times New Roman" w:eastAsia="Times New Roman" w:hAnsi="Times New Roman" w:cs="Times New Roman"/>
          <w:sz w:val="26"/>
          <w:szCs w:val="26"/>
        </w:rPr>
        <w:t>, hogy a 13. havi nyugdíjhoz hasonlóan februárban a korhatár előtti ellátásban részesü</w:t>
      </w:r>
      <w:r w:rsidR="0068706A">
        <w:rPr>
          <w:rFonts w:ascii="Times New Roman" w:eastAsia="Times New Roman" w:hAnsi="Times New Roman" w:cs="Times New Roman"/>
          <w:sz w:val="26"/>
          <w:szCs w:val="26"/>
        </w:rPr>
        <w:t>lő személyek is részesültek 13. </w:t>
      </w:r>
      <w:r w:rsidRPr="22B2E273">
        <w:rPr>
          <w:rFonts w:ascii="Times New Roman" w:eastAsia="Times New Roman" w:hAnsi="Times New Roman" w:cs="Times New Roman"/>
          <w:sz w:val="26"/>
          <w:szCs w:val="26"/>
        </w:rPr>
        <w:t>havi ellátásban. Ezen túlmenően januárban sor került az ellátások 6,0%-os emelésére.</w:t>
      </w:r>
    </w:p>
    <w:p w14:paraId="2FC77197" w14:textId="64AA81F6" w:rsidR="22B2E273" w:rsidRDefault="22B2E273" w:rsidP="22B2E273">
      <w:pPr>
        <w:jc w:val="both"/>
      </w:pPr>
      <w:r w:rsidRPr="22B2E273">
        <w:rPr>
          <w:rFonts w:ascii="Times New Roman" w:eastAsia="Times New Roman" w:hAnsi="Times New Roman" w:cs="Times New Roman"/>
          <w:sz w:val="26"/>
          <w:szCs w:val="26"/>
        </w:rPr>
        <w:t xml:space="preserve">2024 </w:t>
      </w:r>
      <w:r w:rsidR="0071549A">
        <w:rPr>
          <w:rFonts w:ascii="Times New Roman" w:eastAsia="Times New Roman" w:hAnsi="Times New Roman" w:cs="Times New Roman"/>
          <w:sz w:val="26"/>
          <w:szCs w:val="26"/>
        </w:rPr>
        <w:t xml:space="preserve">első </w:t>
      </w:r>
      <w:r w:rsidRPr="22B2E273">
        <w:rPr>
          <w:rFonts w:ascii="Times New Roman" w:eastAsia="Times New Roman" w:hAnsi="Times New Roman" w:cs="Times New Roman"/>
          <w:sz w:val="26"/>
          <w:szCs w:val="26"/>
        </w:rPr>
        <w:t xml:space="preserve">tizenegy hónapjában </w:t>
      </w:r>
      <w:r w:rsidRPr="22B2E273">
        <w:rPr>
          <w:rFonts w:ascii="Times New Roman" w:eastAsia="Times New Roman" w:hAnsi="Times New Roman" w:cs="Times New Roman"/>
          <w:b/>
          <w:bCs/>
          <w:sz w:val="26"/>
          <w:szCs w:val="26"/>
        </w:rPr>
        <w:t>a jövedelempótló és jövedelemkiegészítő szociális támogatásokra</w:t>
      </w:r>
      <w:r w:rsidRPr="22B2E273">
        <w:rPr>
          <w:rFonts w:ascii="Times New Roman" w:eastAsia="Times New Roman" w:hAnsi="Times New Roman" w:cs="Times New Roman"/>
          <w:sz w:val="26"/>
          <w:szCs w:val="26"/>
        </w:rPr>
        <w:t xml:space="preserve"> biztosított kiadásokon belül a járási szociális feladatok ellátására (gyermekek otthongondozási díja, ápolási díj, időskorúak járadéka, foglalkoztatást helyettesítő támogatás, egészségkárosodási és gyer</w:t>
      </w:r>
      <w:r w:rsidR="0022447A">
        <w:rPr>
          <w:rFonts w:ascii="Times New Roman" w:eastAsia="Times New Roman" w:hAnsi="Times New Roman" w:cs="Times New Roman"/>
          <w:sz w:val="26"/>
          <w:szCs w:val="26"/>
        </w:rPr>
        <w:t>mekfelügyeleti támogatás) 127,2 </w:t>
      </w:r>
      <w:r w:rsidRPr="22B2E273">
        <w:rPr>
          <w:rFonts w:ascii="Times New Roman" w:eastAsia="Times New Roman" w:hAnsi="Times New Roman" w:cs="Times New Roman"/>
          <w:sz w:val="26"/>
          <w:szCs w:val="26"/>
        </w:rPr>
        <w:t>milliárd forintot fordítottak, mely 20,2</w:t>
      </w:r>
      <w:r w:rsidR="0022447A">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milliárd forinttal magasabb az előző évi adatnál. Ennek oka, hogy 2024. januártól a gyermekek otthongondozási díjának összege a minimálbér emelkedése (232</w:t>
      </w:r>
      <w:r w:rsidR="0022447A">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000 forintról 266</w:t>
      </w:r>
      <w:r w:rsidR="0022447A">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 xml:space="preserve">800 forintra) miatt emelkedett, és a jogosultak száma is emelkedő tendenciát mutat, az ápolási díj összege pedig 6,0%-kal nőtt. </w:t>
      </w:r>
    </w:p>
    <w:p w14:paraId="3887A373" w14:textId="08CB6DCE" w:rsidR="22B2E273" w:rsidRDefault="22B2E273" w:rsidP="22B2E273">
      <w:pPr>
        <w:jc w:val="both"/>
      </w:pPr>
      <w:r w:rsidRPr="22B2E273">
        <w:rPr>
          <w:rFonts w:ascii="Times New Roman" w:eastAsia="Times New Roman" w:hAnsi="Times New Roman" w:cs="Times New Roman"/>
          <w:sz w:val="26"/>
          <w:szCs w:val="26"/>
        </w:rPr>
        <w:t xml:space="preserve">A </w:t>
      </w:r>
      <w:r w:rsidRPr="003D61A8">
        <w:rPr>
          <w:rFonts w:ascii="Times New Roman" w:eastAsia="Times New Roman" w:hAnsi="Times New Roman" w:cs="Times New Roman"/>
          <w:bCs/>
          <w:sz w:val="26"/>
          <w:szCs w:val="26"/>
        </w:rPr>
        <w:t>jövedelempótló és jövedelemkiegészítő ellátások</w:t>
      </w:r>
      <w:r w:rsidRPr="22B2E273">
        <w:rPr>
          <w:rFonts w:ascii="Times New Roman" w:eastAsia="Times New Roman" w:hAnsi="Times New Roman" w:cs="Times New Roman"/>
          <w:sz w:val="26"/>
          <w:szCs w:val="26"/>
        </w:rPr>
        <w:t xml:space="preserve"> előirányzat tartalmazza </w:t>
      </w:r>
      <w:r w:rsidR="003D61A8">
        <w:rPr>
          <w:rFonts w:ascii="Times New Roman" w:eastAsia="Times New Roman" w:hAnsi="Times New Roman" w:cs="Times New Roman"/>
          <w:sz w:val="26"/>
          <w:szCs w:val="26"/>
        </w:rPr>
        <w:t xml:space="preserve">továbbá </w:t>
      </w:r>
      <w:r w:rsidRPr="22B2E273">
        <w:rPr>
          <w:rFonts w:ascii="Times New Roman" w:eastAsia="Times New Roman" w:hAnsi="Times New Roman" w:cs="Times New Roman"/>
          <w:sz w:val="26"/>
          <w:szCs w:val="26"/>
        </w:rPr>
        <w:t>a fogyatékossági támogatás, a vakok személyi járadéka, az átmeneti bányászjáradék és számos további, jellemzően kifutó jellegű ellátás (pl. mezőgazdasági járadék, politikai rehabilitációs és más nyugdíj-kiegészítések, házastársi pótlék) forrását. A jövedelempótló és jövedelemkiegészítő ellátásokra 71,9</w:t>
      </w:r>
      <w:r w:rsidR="0022447A">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milliárd forintot fizettek ki, mely az előző évi kifizetésénél 3,1</w:t>
      </w:r>
      <w:r w:rsidR="0022447A">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milliárd forinttal magasabb. A kiadások növekedését egyes ellát</w:t>
      </w:r>
      <w:r w:rsidR="0022447A">
        <w:rPr>
          <w:rFonts w:ascii="Times New Roman" w:eastAsia="Times New Roman" w:hAnsi="Times New Roman" w:cs="Times New Roman"/>
          <w:sz w:val="26"/>
          <w:szCs w:val="26"/>
        </w:rPr>
        <w:t>ások januárban végrehajtott 6,0</w:t>
      </w:r>
      <w:r w:rsidRPr="22B2E273">
        <w:rPr>
          <w:rFonts w:ascii="Times New Roman" w:eastAsia="Times New Roman" w:hAnsi="Times New Roman" w:cs="Times New Roman"/>
          <w:sz w:val="26"/>
          <w:szCs w:val="26"/>
        </w:rPr>
        <w:t>%-os emelésének, valamint a 2</w:t>
      </w:r>
      <w:r w:rsidR="0022447A">
        <w:rPr>
          <w:rFonts w:ascii="Times New Roman" w:eastAsia="Times New Roman" w:hAnsi="Times New Roman" w:cs="Times New Roman"/>
          <w:sz w:val="26"/>
          <w:szCs w:val="26"/>
        </w:rPr>
        <w:t>024 februárjában kifizetett 13. </w:t>
      </w:r>
      <w:r w:rsidRPr="22B2E273">
        <w:rPr>
          <w:rFonts w:ascii="Times New Roman" w:eastAsia="Times New Roman" w:hAnsi="Times New Roman" w:cs="Times New Roman"/>
          <w:sz w:val="26"/>
          <w:szCs w:val="26"/>
        </w:rPr>
        <w:t>havi ellátásnak a hatása okozza.</w:t>
      </w:r>
    </w:p>
    <w:p w14:paraId="29A4D572" w14:textId="25E81B9E" w:rsidR="22B2E273" w:rsidRDefault="22B2E273" w:rsidP="22B2E273">
      <w:pPr>
        <w:jc w:val="both"/>
      </w:pPr>
      <w:r w:rsidRPr="22B2E273">
        <w:rPr>
          <w:rFonts w:ascii="Times New Roman" w:eastAsia="Times New Roman" w:hAnsi="Times New Roman" w:cs="Times New Roman"/>
          <w:sz w:val="26"/>
          <w:szCs w:val="26"/>
        </w:rPr>
        <w:t xml:space="preserve">A </w:t>
      </w:r>
      <w:r w:rsidRPr="22B2E273">
        <w:rPr>
          <w:rFonts w:ascii="Times New Roman" w:eastAsia="Times New Roman" w:hAnsi="Times New Roman" w:cs="Times New Roman"/>
          <w:b/>
          <w:bCs/>
          <w:sz w:val="26"/>
          <w:szCs w:val="26"/>
        </w:rPr>
        <w:t>különféle jogcímen adott térítések</w:t>
      </w:r>
      <w:r w:rsidRPr="22B2E273">
        <w:rPr>
          <w:rFonts w:ascii="Times New Roman" w:eastAsia="Times New Roman" w:hAnsi="Times New Roman" w:cs="Times New Roman"/>
          <w:sz w:val="26"/>
          <w:szCs w:val="26"/>
        </w:rPr>
        <w:t xml:space="preserve"> 2024. november végéig kifizetett összege 21,7</w:t>
      </w:r>
      <w:r w:rsidR="0022447A">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milliárd</w:t>
      </w:r>
      <w:r w:rsidR="0022447A">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forint volt, ami 0,3</w:t>
      </w:r>
      <w:r w:rsidR="0022447A">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milliárd forinttal magasabb az előző év azonos időszakához képest. Ennek oka, hogy a közgyógyellátásra fordított összeg (14,5</w:t>
      </w:r>
      <w:r w:rsidR="0022447A">
        <w:rPr>
          <w:rFonts w:ascii="Times New Roman" w:eastAsia="Times New Roman" w:hAnsi="Times New Roman" w:cs="Times New Roman"/>
          <w:sz w:val="26"/>
          <w:szCs w:val="26"/>
        </w:rPr>
        <w:t> milliárd </w:t>
      </w:r>
      <w:r w:rsidRPr="22B2E273">
        <w:rPr>
          <w:rFonts w:ascii="Times New Roman" w:eastAsia="Times New Roman" w:hAnsi="Times New Roman" w:cs="Times New Roman"/>
          <w:sz w:val="26"/>
          <w:szCs w:val="26"/>
        </w:rPr>
        <w:t>forint) 0,2</w:t>
      </w:r>
      <w:r w:rsidR="0022447A">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milliárd forinttal több volt, mint az előző év tizenegy hónapjában.</w:t>
      </w:r>
    </w:p>
    <w:p w14:paraId="2BBDBEB3" w14:textId="025868CA" w:rsidR="0032261D" w:rsidRPr="005C3ECD" w:rsidRDefault="24CA6B4B" w:rsidP="24CA6B4B">
      <w:pPr>
        <w:pStyle w:val="NormlWeb"/>
        <w:spacing w:before="0" w:beforeAutospacing="0" w:after="160" w:afterAutospacing="0" w:line="259" w:lineRule="auto"/>
        <w:jc w:val="both"/>
        <w:rPr>
          <w:sz w:val="26"/>
          <w:szCs w:val="26"/>
        </w:rPr>
      </w:pPr>
      <w:r w:rsidRPr="24CA6B4B">
        <w:rPr>
          <w:sz w:val="26"/>
          <w:szCs w:val="26"/>
        </w:rPr>
        <w:t xml:space="preserve">A </w:t>
      </w:r>
      <w:r w:rsidRPr="24CA6B4B">
        <w:rPr>
          <w:b/>
          <w:bCs/>
          <w:sz w:val="26"/>
          <w:szCs w:val="26"/>
        </w:rPr>
        <w:t>babaváró támogatásokra</w:t>
      </w:r>
      <w:r w:rsidRPr="24CA6B4B">
        <w:rPr>
          <w:sz w:val="26"/>
          <w:szCs w:val="26"/>
        </w:rPr>
        <w:t xml:space="preserve"> fordított kiadások összege november végéig 189,8 milliárd forint volt, amely a törvényi előirányzat 83,6%-ának felel meg, és az előző év azonos időszakához viszonyítva 28,0 milliárd forinttal teljesült magasabban.</w:t>
      </w:r>
    </w:p>
    <w:p w14:paraId="1A25D4E0" w14:textId="5F8CE2C4" w:rsidR="000C2BFE" w:rsidRPr="005C3ECD" w:rsidRDefault="22B2E273" w:rsidP="22B2E273">
      <w:pPr>
        <w:pStyle w:val="NormlWeb"/>
        <w:spacing w:before="0" w:beforeAutospacing="0" w:after="160" w:afterAutospacing="0" w:line="259" w:lineRule="auto"/>
        <w:jc w:val="both"/>
        <w:rPr>
          <w:sz w:val="26"/>
          <w:szCs w:val="26"/>
        </w:rPr>
      </w:pPr>
      <w:r w:rsidRPr="22B2E273">
        <w:rPr>
          <w:sz w:val="26"/>
          <w:szCs w:val="26"/>
        </w:rPr>
        <w:t xml:space="preserve">A </w:t>
      </w:r>
      <w:r w:rsidRPr="22B2E273">
        <w:rPr>
          <w:b/>
          <w:bCs/>
          <w:sz w:val="26"/>
          <w:szCs w:val="26"/>
        </w:rPr>
        <w:t>helyi önkormányzatok</w:t>
      </w:r>
      <w:r w:rsidRPr="22B2E273">
        <w:rPr>
          <w:sz w:val="26"/>
          <w:szCs w:val="26"/>
        </w:rPr>
        <w:t xml:space="preserve"> 2024. évi feladataihoz a hatályos jogszabályok alapján </w:t>
      </w:r>
      <w:r w:rsidR="7929D98B">
        <w:br/>
      </w:r>
      <w:r w:rsidRPr="22B2E273">
        <w:rPr>
          <w:sz w:val="26"/>
          <w:szCs w:val="26"/>
        </w:rPr>
        <w:t>1 132,7 milliárd forint állami támogatás került megállapításra, ezt a november végi tényadat 5,6 milliárd forinttal haladta meg. Az előző év azonos időszakához viszonyítva 56,9 milliárd forint (5,3%-os) növekedés történt. A jelentősebb tételek alakulását a következő táblázat mutatja november végéig:</w:t>
      </w:r>
    </w:p>
    <w:p w14:paraId="3A64F068" w14:textId="77777777" w:rsidR="000C2BFE" w:rsidRDefault="000C2BFE">
      <w:pPr>
        <w:rPr>
          <w:rFonts w:ascii="Times New Roman" w:eastAsia="Times New Roman" w:hAnsi="Times New Roman" w:cs="Times New Roman"/>
          <w:sz w:val="26"/>
          <w:szCs w:val="26"/>
          <w:lang w:eastAsia="hu-HU"/>
        </w:rPr>
      </w:pPr>
      <w:r>
        <w:rPr>
          <w:sz w:val="26"/>
          <w:szCs w:val="26"/>
        </w:rPr>
        <w:br w:type="page"/>
      </w:r>
    </w:p>
    <w:p w14:paraId="2723D8B3" w14:textId="722DE9C1" w:rsidR="00C24948" w:rsidRDefault="22B2E273" w:rsidP="22B2E273">
      <w:pPr>
        <w:spacing w:before="120" w:after="120" w:line="240" w:lineRule="auto"/>
        <w:jc w:val="center"/>
        <w:rPr>
          <w:rFonts w:ascii="Times New Roman" w:eastAsia="Times New Roman" w:hAnsi="Times New Roman" w:cs="Times New Roman"/>
          <w:b/>
          <w:bCs/>
          <w:sz w:val="26"/>
          <w:szCs w:val="26"/>
        </w:rPr>
      </w:pPr>
      <w:r w:rsidRPr="22B2E273">
        <w:rPr>
          <w:rFonts w:ascii="Times New Roman" w:eastAsia="Times New Roman" w:hAnsi="Times New Roman" w:cs="Times New Roman"/>
          <w:b/>
          <w:bCs/>
          <w:sz w:val="26"/>
          <w:szCs w:val="26"/>
        </w:rPr>
        <w:t>A helyi önkormányzatok támogatásának alakulása (milliárd forint)</w:t>
      </w:r>
    </w:p>
    <w:tbl>
      <w:tblPr>
        <w:tblpPr w:leftFromText="141" w:rightFromText="141" w:vertAnchor="text" w:horzAnchor="margin" w:tblpY="20"/>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1196"/>
        <w:gridCol w:w="992"/>
        <w:gridCol w:w="850"/>
        <w:gridCol w:w="851"/>
      </w:tblGrid>
      <w:tr w:rsidR="00C24948" w:rsidRPr="00377D59" w14:paraId="6741B982" w14:textId="77777777" w:rsidTr="24CA6B4B">
        <w:trPr>
          <w:trHeight w:val="340"/>
        </w:trPr>
        <w:tc>
          <w:tcPr>
            <w:tcW w:w="5382" w:type="dxa"/>
            <w:vMerge w:val="restart"/>
            <w:shd w:val="clear" w:color="auto" w:fill="DEEAF6" w:themeFill="accent1" w:themeFillTint="33"/>
            <w:noWrap/>
            <w:vAlign w:val="center"/>
            <w:hideMark/>
          </w:tcPr>
          <w:p w14:paraId="07514BAA" w14:textId="77777777" w:rsidR="00C24948" w:rsidRPr="00976E1E" w:rsidRDefault="22B2E273" w:rsidP="22B2E273">
            <w:pPr>
              <w:keepNext/>
              <w:keepLines/>
              <w:spacing w:after="0" w:line="240" w:lineRule="auto"/>
              <w:jc w:val="center"/>
              <w:rPr>
                <w:rFonts w:ascii="Times New Roman" w:eastAsia="Times New Roman" w:hAnsi="Times New Roman" w:cs="Times New Roman"/>
                <w:b/>
                <w:bCs/>
                <w:sz w:val="20"/>
                <w:szCs w:val="20"/>
                <w:lang w:eastAsia="hu-HU"/>
              </w:rPr>
            </w:pPr>
            <w:r w:rsidRPr="22B2E273">
              <w:rPr>
                <w:rFonts w:ascii="Times New Roman" w:eastAsia="Times New Roman" w:hAnsi="Times New Roman" w:cs="Times New Roman"/>
                <w:b/>
                <w:bCs/>
                <w:sz w:val="20"/>
                <w:szCs w:val="20"/>
                <w:lang w:eastAsia="hu-HU"/>
              </w:rPr>
              <w:t>Megnevezés</w:t>
            </w:r>
          </w:p>
        </w:tc>
        <w:tc>
          <w:tcPr>
            <w:tcW w:w="1196" w:type="dxa"/>
            <w:vMerge w:val="restart"/>
            <w:shd w:val="clear" w:color="auto" w:fill="DEEAF6" w:themeFill="accent1" w:themeFillTint="33"/>
            <w:vAlign w:val="center"/>
            <w:hideMark/>
          </w:tcPr>
          <w:p w14:paraId="54D07FB7" w14:textId="19286FED" w:rsidR="00C24948" w:rsidRPr="00976E1E" w:rsidRDefault="22B2E273" w:rsidP="22B2E273">
            <w:pPr>
              <w:keepNext/>
              <w:keepLines/>
              <w:spacing w:after="0" w:line="240" w:lineRule="auto"/>
              <w:jc w:val="center"/>
              <w:rPr>
                <w:rFonts w:ascii="Times New Roman" w:eastAsia="Times New Roman" w:hAnsi="Times New Roman" w:cs="Times New Roman"/>
                <w:b/>
                <w:bCs/>
                <w:sz w:val="20"/>
                <w:szCs w:val="20"/>
                <w:lang w:eastAsia="hu-HU"/>
              </w:rPr>
            </w:pPr>
            <w:r w:rsidRPr="22B2E273">
              <w:rPr>
                <w:rFonts w:ascii="Times New Roman" w:eastAsia="Times New Roman" w:hAnsi="Times New Roman" w:cs="Times New Roman"/>
                <w:b/>
                <w:bCs/>
                <w:sz w:val="20"/>
                <w:szCs w:val="20"/>
                <w:lang w:eastAsia="hu-HU"/>
              </w:rPr>
              <w:t>2023. évi</w:t>
            </w:r>
          </w:p>
          <w:p w14:paraId="5DC080D6" w14:textId="552EC077" w:rsidR="00C24948" w:rsidRPr="00976E1E" w:rsidRDefault="22B2E273" w:rsidP="22B2E273">
            <w:pPr>
              <w:keepNext/>
              <w:keepLines/>
              <w:spacing w:after="0" w:line="240" w:lineRule="auto"/>
              <w:jc w:val="center"/>
              <w:rPr>
                <w:rFonts w:ascii="Times New Roman" w:eastAsia="Times New Roman" w:hAnsi="Times New Roman" w:cs="Times New Roman"/>
                <w:b/>
                <w:bCs/>
                <w:sz w:val="20"/>
                <w:szCs w:val="20"/>
                <w:lang w:eastAsia="hu-HU"/>
              </w:rPr>
            </w:pPr>
            <w:r w:rsidRPr="22B2E273">
              <w:rPr>
                <w:rFonts w:ascii="Times New Roman" w:eastAsia="Times New Roman" w:hAnsi="Times New Roman" w:cs="Times New Roman"/>
                <w:b/>
                <w:bCs/>
                <w:sz w:val="20"/>
                <w:szCs w:val="20"/>
                <w:lang w:eastAsia="hu-HU"/>
              </w:rPr>
              <w:t>I-XI. hó</w:t>
            </w:r>
          </w:p>
        </w:tc>
        <w:tc>
          <w:tcPr>
            <w:tcW w:w="992" w:type="dxa"/>
            <w:vMerge w:val="restart"/>
            <w:shd w:val="clear" w:color="auto" w:fill="DEEAF6" w:themeFill="accent1" w:themeFillTint="33"/>
            <w:vAlign w:val="center"/>
            <w:hideMark/>
          </w:tcPr>
          <w:p w14:paraId="3D1B7BD7" w14:textId="40BF9482" w:rsidR="00C24948" w:rsidRPr="00976E1E" w:rsidRDefault="22B2E273" w:rsidP="22B2E273">
            <w:pPr>
              <w:keepNext/>
              <w:keepLines/>
              <w:spacing w:after="0" w:line="240" w:lineRule="auto"/>
              <w:jc w:val="center"/>
              <w:rPr>
                <w:rFonts w:ascii="Times New Roman" w:eastAsia="Times New Roman" w:hAnsi="Times New Roman" w:cs="Times New Roman"/>
                <w:b/>
                <w:bCs/>
                <w:sz w:val="20"/>
                <w:szCs w:val="20"/>
                <w:lang w:eastAsia="hu-HU"/>
              </w:rPr>
            </w:pPr>
            <w:r w:rsidRPr="22B2E273">
              <w:rPr>
                <w:rFonts w:ascii="Times New Roman" w:eastAsia="Times New Roman" w:hAnsi="Times New Roman" w:cs="Times New Roman"/>
                <w:b/>
                <w:bCs/>
                <w:sz w:val="20"/>
                <w:szCs w:val="20"/>
                <w:lang w:eastAsia="hu-HU"/>
              </w:rPr>
              <w:t xml:space="preserve">2024. évi </w:t>
            </w:r>
          </w:p>
          <w:p w14:paraId="626AC8BC" w14:textId="740F86DB" w:rsidR="00C24948" w:rsidRPr="00976E1E" w:rsidRDefault="22B2E273" w:rsidP="22B2E273">
            <w:pPr>
              <w:keepNext/>
              <w:keepLines/>
              <w:spacing w:after="0" w:line="240" w:lineRule="auto"/>
              <w:jc w:val="center"/>
              <w:rPr>
                <w:rFonts w:ascii="Times New Roman" w:eastAsia="Times New Roman" w:hAnsi="Times New Roman" w:cs="Times New Roman"/>
                <w:b/>
                <w:bCs/>
                <w:sz w:val="20"/>
                <w:szCs w:val="20"/>
                <w:lang w:eastAsia="hu-HU"/>
              </w:rPr>
            </w:pPr>
            <w:r w:rsidRPr="22B2E273">
              <w:rPr>
                <w:rFonts w:ascii="Times New Roman" w:eastAsia="Times New Roman" w:hAnsi="Times New Roman" w:cs="Times New Roman"/>
                <w:b/>
                <w:bCs/>
                <w:sz w:val="20"/>
                <w:szCs w:val="20"/>
                <w:lang w:eastAsia="hu-HU"/>
              </w:rPr>
              <w:t>I-XI. hó</w:t>
            </w:r>
          </w:p>
        </w:tc>
        <w:tc>
          <w:tcPr>
            <w:tcW w:w="1701" w:type="dxa"/>
            <w:gridSpan w:val="2"/>
            <w:shd w:val="clear" w:color="auto" w:fill="DEEAF6" w:themeFill="accent1" w:themeFillTint="33"/>
            <w:noWrap/>
            <w:vAlign w:val="center"/>
            <w:hideMark/>
          </w:tcPr>
          <w:p w14:paraId="35A3C823" w14:textId="77777777" w:rsidR="00C24948" w:rsidRPr="00976E1E" w:rsidRDefault="22B2E273" w:rsidP="22B2E273">
            <w:pPr>
              <w:keepNext/>
              <w:keepLines/>
              <w:spacing w:after="0" w:line="240" w:lineRule="auto"/>
              <w:jc w:val="center"/>
              <w:rPr>
                <w:rFonts w:ascii="Times New Roman" w:eastAsia="Times New Roman" w:hAnsi="Times New Roman" w:cs="Times New Roman"/>
                <w:b/>
                <w:bCs/>
                <w:sz w:val="20"/>
                <w:szCs w:val="20"/>
                <w:lang w:eastAsia="hu-HU"/>
              </w:rPr>
            </w:pPr>
            <w:r w:rsidRPr="22B2E273">
              <w:rPr>
                <w:rFonts w:ascii="Times New Roman" w:eastAsia="Times New Roman" w:hAnsi="Times New Roman" w:cs="Times New Roman"/>
                <w:b/>
                <w:bCs/>
                <w:sz w:val="20"/>
                <w:szCs w:val="20"/>
                <w:lang w:eastAsia="hu-HU"/>
              </w:rPr>
              <w:t>Eltérés</w:t>
            </w:r>
          </w:p>
        </w:tc>
      </w:tr>
      <w:tr w:rsidR="00C24948" w:rsidRPr="00377D59" w14:paraId="2DD9A798" w14:textId="77777777" w:rsidTr="24CA6B4B">
        <w:trPr>
          <w:trHeight w:val="340"/>
        </w:trPr>
        <w:tc>
          <w:tcPr>
            <w:tcW w:w="5382" w:type="dxa"/>
            <w:vMerge/>
            <w:shd w:val="clear" w:color="auto" w:fill="DEEAF6" w:themeFill="accent1" w:themeFillTint="33"/>
            <w:vAlign w:val="center"/>
            <w:hideMark/>
          </w:tcPr>
          <w:p w14:paraId="5F76A56A" w14:textId="77777777" w:rsidR="00C24948" w:rsidRPr="00976E1E" w:rsidRDefault="00C24948" w:rsidP="00C24948">
            <w:pPr>
              <w:keepNext/>
              <w:keepLines/>
              <w:spacing w:after="0" w:line="240" w:lineRule="auto"/>
              <w:rPr>
                <w:rFonts w:ascii="Times New Roman" w:eastAsia="Times New Roman" w:hAnsi="Times New Roman" w:cs="Times New Roman"/>
                <w:b/>
                <w:bCs/>
                <w:sz w:val="20"/>
                <w:szCs w:val="20"/>
                <w:lang w:eastAsia="hu-HU"/>
              </w:rPr>
            </w:pPr>
          </w:p>
        </w:tc>
        <w:tc>
          <w:tcPr>
            <w:tcW w:w="1196" w:type="dxa"/>
            <w:vMerge/>
            <w:shd w:val="clear" w:color="auto" w:fill="DEEAF6" w:themeFill="accent1" w:themeFillTint="33"/>
            <w:vAlign w:val="center"/>
            <w:hideMark/>
          </w:tcPr>
          <w:p w14:paraId="65B4B0A4" w14:textId="77777777" w:rsidR="00C24948" w:rsidRPr="00976E1E" w:rsidRDefault="00C24948" w:rsidP="00C24948">
            <w:pPr>
              <w:keepNext/>
              <w:keepLines/>
              <w:spacing w:after="0" w:line="240" w:lineRule="auto"/>
              <w:jc w:val="center"/>
              <w:rPr>
                <w:rFonts w:ascii="Times New Roman" w:eastAsia="Times New Roman" w:hAnsi="Times New Roman" w:cs="Times New Roman"/>
                <w:b/>
                <w:bCs/>
                <w:sz w:val="20"/>
                <w:szCs w:val="20"/>
                <w:lang w:eastAsia="hu-HU"/>
              </w:rPr>
            </w:pPr>
          </w:p>
        </w:tc>
        <w:tc>
          <w:tcPr>
            <w:tcW w:w="992" w:type="dxa"/>
            <w:vMerge/>
            <w:shd w:val="clear" w:color="auto" w:fill="DEEAF6" w:themeFill="accent1" w:themeFillTint="33"/>
            <w:vAlign w:val="center"/>
            <w:hideMark/>
          </w:tcPr>
          <w:p w14:paraId="5FE97B50" w14:textId="77777777" w:rsidR="00C24948" w:rsidRPr="00976E1E" w:rsidRDefault="00C24948" w:rsidP="00C24948">
            <w:pPr>
              <w:keepNext/>
              <w:keepLines/>
              <w:spacing w:after="0" w:line="240" w:lineRule="auto"/>
              <w:jc w:val="center"/>
              <w:rPr>
                <w:rFonts w:ascii="Times New Roman" w:eastAsia="Times New Roman" w:hAnsi="Times New Roman" w:cs="Times New Roman"/>
                <w:b/>
                <w:bCs/>
                <w:sz w:val="20"/>
                <w:szCs w:val="20"/>
                <w:lang w:eastAsia="hu-HU"/>
              </w:rPr>
            </w:pPr>
          </w:p>
        </w:tc>
        <w:tc>
          <w:tcPr>
            <w:tcW w:w="850" w:type="dxa"/>
            <w:shd w:val="clear" w:color="auto" w:fill="DEEAF6" w:themeFill="accent1" w:themeFillTint="33"/>
            <w:noWrap/>
            <w:vAlign w:val="center"/>
            <w:hideMark/>
          </w:tcPr>
          <w:p w14:paraId="1B2C8FF2" w14:textId="77777777" w:rsidR="00C24948" w:rsidRPr="00976E1E" w:rsidRDefault="22B2E273" w:rsidP="22B2E273">
            <w:pPr>
              <w:keepNext/>
              <w:keepLines/>
              <w:spacing w:after="0" w:line="240" w:lineRule="auto"/>
              <w:jc w:val="center"/>
              <w:rPr>
                <w:rFonts w:ascii="Times New Roman" w:eastAsia="Times New Roman" w:hAnsi="Times New Roman" w:cs="Times New Roman"/>
                <w:b/>
                <w:bCs/>
                <w:sz w:val="20"/>
                <w:szCs w:val="20"/>
                <w:lang w:eastAsia="hu-HU"/>
              </w:rPr>
            </w:pPr>
            <w:r w:rsidRPr="22B2E273">
              <w:rPr>
                <w:rFonts w:ascii="Times New Roman" w:eastAsia="Times New Roman" w:hAnsi="Times New Roman" w:cs="Times New Roman"/>
                <w:b/>
                <w:bCs/>
                <w:sz w:val="20"/>
                <w:szCs w:val="20"/>
                <w:lang w:eastAsia="hu-HU"/>
              </w:rPr>
              <w:t>Mrd Ft</w:t>
            </w:r>
          </w:p>
        </w:tc>
        <w:tc>
          <w:tcPr>
            <w:tcW w:w="851" w:type="dxa"/>
            <w:shd w:val="clear" w:color="auto" w:fill="DEEAF6" w:themeFill="accent1" w:themeFillTint="33"/>
            <w:noWrap/>
            <w:vAlign w:val="center"/>
            <w:hideMark/>
          </w:tcPr>
          <w:p w14:paraId="179AEF43" w14:textId="77777777" w:rsidR="00C24948" w:rsidRPr="00976E1E" w:rsidRDefault="22B2E273" w:rsidP="22B2E273">
            <w:pPr>
              <w:keepNext/>
              <w:keepLines/>
              <w:spacing w:after="0" w:line="240" w:lineRule="auto"/>
              <w:jc w:val="center"/>
              <w:rPr>
                <w:rFonts w:ascii="Times New Roman" w:eastAsia="Times New Roman" w:hAnsi="Times New Roman" w:cs="Times New Roman"/>
                <w:b/>
                <w:bCs/>
                <w:sz w:val="20"/>
                <w:szCs w:val="20"/>
                <w:lang w:eastAsia="hu-HU"/>
              </w:rPr>
            </w:pPr>
            <w:r w:rsidRPr="22B2E273">
              <w:rPr>
                <w:rFonts w:ascii="Times New Roman" w:eastAsia="Times New Roman" w:hAnsi="Times New Roman" w:cs="Times New Roman"/>
                <w:b/>
                <w:bCs/>
                <w:sz w:val="20"/>
                <w:szCs w:val="20"/>
                <w:lang w:eastAsia="hu-HU"/>
              </w:rPr>
              <w:t>%</w:t>
            </w:r>
          </w:p>
        </w:tc>
      </w:tr>
      <w:tr w:rsidR="00427F34" w:rsidRPr="00377D59" w14:paraId="5CF52B9C" w14:textId="77777777" w:rsidTr="24CA6B4B">
        <w:trPr>
          <w:trHeight w:val="510"/>
        </w:trPr>
        <w:tc>
          <w:tcPr>
            <w:tcW w:w="5382" w:type="dxa"/>
            <w:shd w:val="clear" w:color="auto" w:fill="auto"/>
            <w:vAlign w:val="center"/>
            <w:hideMark/>
          </w:tcPr>
          <w:p w14:paraId="11FF4C49" w14:textId="77777777" w:rsidR="00427F34" w:rsidRPr="00976E1E" w:rsidRDefault="22B2E273" w:rsidP="22B2E273">
            <w:pPr>
              <w:keepNext/>
              <w:keepLines/>
              <w:spacing w:after="0" w:line="240" w:lineRule="auto"/>
              <w:rPr>
                <w:rFonts w:ascii="Times New Roman" w:eastAsia="Times New Roman" w:hAnsi="Times New Roman" w:cs="Times New Roman"/>
                <w:b/>
                <w:bCs/>
                <w:sz w:val="20"/>
                <w:szCs w:val="20"/>
                <w:lang w:eastAsia="hu-HU"/>
              </w:rPr>
            </w:pPr>
            <w:r w:rsidRPr="22B2E273">
              <w:rPr>
                <w:rFonts w:ascii="Times New Roman" w:eastAsia="Times New Roman" w:hAnsi="Times New Roman" w:cs="Times New Roman"/>
                <w:b/>
                <w:bCs/>
                <w:sz w:val="20"/>
                <w:szCs w:val="20"/>
                <w:lang w:eastAsia="hu-HU"/>
              </w:rPr>
              <w:t>A helyi önkormányzatok általános működésének és ágazati feladatainak támogatása</w:t>
            </w:r>
          </w:p>
        </w:tc>
        <w:tc>
          <w:tcPr>
            <w:tcW w:w="1196" w:type="dxa"/>
            <w:shd w:val="clear" w:color="auto" w:fill="auto"/>
            <w:noWrap/>
            <w:vAlign w:val="center"/>
          </w:tcPr>
          <w:p w14:paraId="0A1E4CBD" w14:textId="61D5D122" w:rsidR="00427F34" w:rsidRPr="00427F34" w:rsidRDefault="24CA6B4B" w:rsidP="24CA6B4B">
            <w:pPr>
              <w:keepNext/>
              <w:keepLines/>
              <w:spacing w:after="0" w:line="240" w:lineRule="auto"/>
              <w:jc w:val="right"/>
              <w:rPr>
                <w:rFonts w:ascii="Times New Roman" w:eastAsia="Times New Roman" w:hAnsi="Times New Roman" w:cs="Times New Roman"/>
                <w:b/>
                <w:bCs/>
                <w:sz w:val="20"/>
                <w:szCs w:val="20"/>
                <w:lang w:eastAsia="hu-HU"/>
              </w:rPr>
            </w:pPr>
            <w:r w:rsidRPr="24CA6B4B">
              <w:rPr>
                <w:rFonts w:ascii="Times New Roman" w:hAnsi="Times New Roman" w:cs="Times New Roman"/>
                <w:b/>
                <w:bCs/>
                <w:sz w:val="20"/>
                <w:szCs w:val="20"/>
              </w:rPr>
              <w:t>827,9</w:t>
            </w:r>
          </w:p>
        </w:tc>
        <w:tc>
          <w:tcPr>
            <w:tcW w:w="992" w:type="dxa"/>
            <w:shd w:val="clear" w:color="auto" w:fill="auto"/>
            <w:noWrap/>
            <w:vAlign w:val="center"/>
          </w:tcPr>
          <w:p w14:paraId="47729553" w14:textId="54783FC2" w:rsidR="00427F34" w:rsidRPr="00427F34" w:rsidRDefault="24CA6B4B" w:rsidP="24CA6B4B">
            <w:pPr>
              <w:keepNext/>
              <w:keepLines/>
              <w:spacing w:after="0" w:line="240" w:lineRule="auto"/>
              <w:jc w:val="right"/>
              <w:rPr>
                <w:rFonts w:ascii="Times New Roman" w:eastAsia="Times New Roman" w:hAnsi="Times New Roman" w:cs="Times New Roman"/>
                <w:b/>
                <w:bCs/>
                <w:sz w:val="20"/>
                <w:szCs w:val="20"/>
                <w:lang w:eastAsia="hu-HU"/>
              </w:rPr>
            </w:pPr>
            <w:r w:rsidRPr="24CA6B4B">
              <w:rPr>
                <w:rFonts w:ascii="Times New Roman" w:hAnsi="Times New Roman" w:cs="Times New Roman"/>
                <w:b/>
                <w:bCs/>
                <w:sz w:val="20"/>
                <w:szCs w:val="20"/>
              </w:rPr>
              <w:t>1</w:t>
            </w:r>
            <w:r w:rsidR="0022447A">
              <w:rPr>
                <w:rFonts w:ascii="Times New Roman" w:hAnsi="Times New Roman" w:cs="Times New Roman"/>
                <w:b/>
                <w:bCs/>
                <w:sz w:val="20"/>
                <w:szCs w:val="20"/>
              </w:rPr>
              <w:t> </w:t>
            </w:r>
            <w:r w:rsidRPr="24CA6B4B">
              <w:rPr>
                <w:rFonts w:ascii="Times New Roman" w:hAnsi="Times New Roman" w:cs="Times New Roman"/>
                <w:b/>
                <w:bCs/>
                <w:sz w:val="20"/>
                <w:szCs w:val="20"/>
              </w:rPr>
              <w:t>028,5</w:t>
            </w:r>
          </w:p>
        </w:tc>
        <w:tc>
          <w:tcPr>
            <w:tcW w:w="850" w:type="dxa"/>
            <w:shd w:val="clear" w:color="auto" w:fill="auto"/>
            <w:noWrap/>
            <w:vAlign w:val="center"/>
          </w:tcPr>
          <w:p w14:paraId="11D76081" w14:textId="57B367AB" w:rsidR="00427F34" w:rsidRPr="00427F34" w:rsidRDefault="24CA6B4B" w:rsidP="24CA6B4B">
            <w:pPr>
              <w:keepNext/>
              <w:keepLines/>
              <w:spacing w:after="0" w:line="240" w:lineRule="auto"/>
              <w:jc w:val="right"/>
              <w:rPr>
                <w:rFonts w:ascii="Times New Roman" w:eastAsia="Times New Roman" w:hAnsi="Times New Roman" w:cs="Times New Roman"/>
                <w:b/>
                <w:bCs/>
                <w:sz w:val="20"/>
                <w:szCs w:val="20"/>
                <w:lang w:eastAsia="hu-HU"/>
              </w:rPr>
            </w:pPr>
            <w:r w:rsidRPr="24CA6B4B">
              <w:rPr>
                <w:rFonts w:ascii="Times New Roman" w:hAnsi="Times New Roman" w:cs="Times New Roman"/>
                <w:b/>
                <w:bCs/>
                <w:sz w:val="20"/>
                <w:szCs w:val="20"/>
              </w:rPr>
              <w:t>200,6</w:t>
            </w:r>
          </w:p>
        </w:tc>
        <w:tc>
          <w:tcPr>
            <w:tcW w:w="851" w:type="dxa"/>
            <w:shd w:val="clear" w:color="auto" w:fill="auto"/>
            <w:noWrap/>
            <w:vAlign w:val="center"/>
          </w:tcPr>
          <w:p w14:paraId="0E9DF60E" w14:textId="55CF05A0" w:rsidR="00427F34" w:rsidRPr="00427F34" w:rsidRDefault="24CA6B4B" w:rsidP="24CA6B4B">
            <w:pPr>
              <w:keepNext/>
              <w:keepLines/>
              <w:spacing w:after="0" w:line="240" w:lineRule="auto"/>
              <w:jc w:val="right"/>
              <w:rPr>
                <w:rFonts w:ascii="Times New Roman" w:eastAsia="Times New Roman" w:hAnsi="Times New Roman" w:cs="Times New Roman"/>
                <w:b/>
                <w:bCs/>
                <w:sz w:val="20"/>
                <w:szCs w:val="20"/>
                <w:lang w:eastAsia="hu-HU"/>
              </w:rPr>
            </w:pPr>
            <w:r w:rsidRPr="24CA6B4B">
              <w:rPr>
                <w:rFonts w:ascii="Times New Roman" w:hAnsi="Times New Roman" w:cs="Times New Roman"/>
                <w:b/>
                <w:bCs/>
                <w:sz w:val="20"/>
                <w:szCs w:val="20"/>
              </w:rPr>
              <w:t>124,2</w:t>
            </w:r>
          </w:p>
        </w:tc>
      </w:tr>
      <w:tr w:rsidR="00427F34" w:rsidRPr="00377D59" w14:paraId="66D88640" w14:textId="77777777" w:rsidTr="24CA6B4B">
        <w:trPr>
          <w:trHeight w:val="340"/>
        </w:trPr>
        <w:tc>
          <w:tcPr>
            <w:tcW w:w="5382" w:type="dxa"/>
            <w:shd w:val="clear" w:color="auto" w:fill="auto"/>
            <w:vAlign w:val="center"/>
            <w:hideMark/>
          </w:tcPr>
          <w:p w14:paraId="4496E62C" w14:textId="77777777" w:rsidR="00427F34" w:rsidRPr="00976E1E" w:rsidRDefault="22B2E273" w:rsidP="22B2E273">
            <w:pPr>
              <w:keepNext/>
              <w:keepLines/>
              <w:spacing w:after="0" w:line="240" w:lineRule="auto"/>
              <w:rPr>
                <w:rFonts w:ascii="Times New Roman" w:eastAsia="Times New Roman" w:hAnsi="Times New Roman" w:cs="Times New Roman"/>
                <w:i/>
                <w:iCs/>
                <w:sz w:val="20"/>
                <w:szCs w:val="20"/>
                <w:lang w:eastAsia="hu-HU"/>
              </w:rPr>
            </w:pPr>
            <w:r w:rsidRPr="22B2E273">
              <w:rPr>
                <w:rFonts w:ascii="Times New Roman" w:eastAsia="Times New Roman" w:hAnsi="Times New Roman" w:cs="Times New Roman"/>
                <w:i/>
                <w:iCs/>
                <w:sz w:val="20"/>
                <w:szCs w:val="20"/>
                <w:lang w:eastAsia="hu-HU"/>
              </w:rPr>
              <w:t>A helyi önkormányzatok működésének általános támogatása</w:t>
            </w:r>
          </w:p>
        </w:tc>
        <w:tc>
          <w:tcPr>
            <w:tcW w:w="1196" w:type="dxa"/>
            <w:shd w:val="clear" w:color="auto" w:fill="auto"/>
            <w:noWrap/>
            <w:vAlign w:val="center"/>
          </w:tcPr>
          <w:p w14:paraId="6C091267" w14:textId="60E9A059" w:rsidR="00427F34" w:rsidRPr="00427F34" w:rsidRDefault="24CA6B4B" w:rsidP="24CA6B4B">
            <w:pPr>
              <w:keepNext/>
              <w:keepLines/>
              <w:spacing w:after="0" w:line="240" w:lineRule="auto"/>
              <w:jc w:val="right"/>
              <w:rPr>
                <w:rFonts w:ascii="Times New Roman" w:eastAsia="Times New Roman" w:hAnsi="Times New Roman" w:cs="Times New Roman"/>
                <w:i/>
                <w:iCs/>
                <w:sz w:val="20"/>
                <w:szCs w:val="20"/>
                <w:lang w:eastAsia="hu-HU"/>
              </w:rPr>
            </w:pPr>
            <w:r w:rsidRPr="24CA6B4B">
              <w:rPr>
                <w:rFonts w:ascii="Times New Roman" w:hAnsi="Times New Roman" w:cs="Times New Roman"/>
                <w:i/>
                <w:iCs/>
                <w:sz w:val="20"/>
                <w:szCs w:val="20"/>
              </w:rPr>
              <w:t>263,5</w:t>
            </w:r>
          </w:p>
        </w:tc>
        <w:tc>
          <w:tcPr>
            <w:tcW w:w="992" w:type="dxa"/>
            <w:shd w:val="clear" w:color="auto" w:fill="auto"/>
            <w:noWrap/>
            <w:vAlign w:val="center"/>
          </w:tcPr>
          <w:p w14:paraId="3313F341" w14:textId="4BF7719F" w:rsidR="00427F34" w:rsidRPr="00427F34" w:rsidRDefault="24CA6B4B" w:rsidP="24CA6B4B">
            <w:pPr>
              <w:keepNext/>
              <w:keepLines/>
              <w:spacing w:after="0" w:line="240" w:lineRule="auto"/>
              <w:jc w:val="right"/>
              <w:rPr>
                <w:rFonts w:ascii="Times New Roman" w:eastAsia="Times New Roman" w:hAnsi="Times New Roman" w:cs="Times New Roman"/>
                <w:i/>
                <w:iCs/>
                <w:sz w:val="20"/>
                <w:szCs w:val="20"/>
                <w:lang w:eastAsia="hu-HU"/>
              </w:rPr>
            </w:pPr>
            <w:r w:rsidRPr="24CA6B4B">
              <w:rPr>
                <w:rFonts w:ascii="Times New Roman" w:hAnsi="Times New Roman" w:cs="Times New Roman"/>
                <w:i/>
                <w:iCs/>
                <w:sz w:val="20"/>
                <w:szCs w:val="20"/>
              </w:rPr>
              <w:t>287,9</w:t>
            </w:r>
          </w:p>
        </w:tc>
        <w:tc>
          <w:tcPr>
            <w:tcW w:w="850" w:type="dxa"/>
            <w:shd w:val="clear" w:color="auto" w:fill="auto"/>
            <w:noWrap/>
            <w:vAlign w:val="center"/>
          </w:tcPr>
          <w:p w14:paraId="1F67C594" w14:textId="0BB1396E" w:rsidR="00427F34" w:rsidRPr="00427F34" w:rsidRDefault="24CA6B4B" w:rsidP="24CA6B4B">
            <w:pPr>
              <w:keepNext/>
              <w:keepLines/>
              <w:spacing w:after="0" w:line="240" w:lineRule="auto"/>
              <w:jc w:val="right"/>
              <w:rPr>
                <w:rFonts w:ascii="Times New Roman" w:eastAsia="Times New Roman" w:hAnsi="Times New Roman" w:cs="Times New Roman"/>
                <w:i/>
                <w:iCs/>
                <w:sz w:val="20"/>
                <w:szCs w:val="20"/>
                <w:lang w:eastAsia="hu-HU"/>
              </w:rPr>
            </w:pPr>
            <w:r w:rsidRPr="24CA6B4B">
              <w:rPr>
                <w:rFonts w:ascii="Times New Roman" w:hAnsi="Times New Roman" w:cs="Times New Roman"/>
                <w:i/>
                <w:iCs/>
                <w:sz w:val="20"/>
                <w:szCs w:val="20"/>
              </w:rPr>
              <w:t>24,4</w:t>
            </w:r>
          </w:p>
        </w:tc>
        <w:tc>
          <w:tcPr>
            <w:tcW w:w="851" w:type="dxa"/>
            <w:shd w:val="clear" w:color="auto" w:fill="auto"/>
            <w:noWrap/>
            <w:vAlign w:val="center"/>
          </w:tcPr>
          <w:p w14:paraId="6B1384BF" w14:textId="58C0CDC5" w:rsidR="00427F34" w:rsidRPr="00427F34" w:rsidRDefault="24CA6B4B" w:rsidP="24CA6B4B">
            <w:pPr>
              <w:keepNext/>
              <w:keepLines/>
              <w:spacing w:after="0" w:line="240" w:lineRule="auto"/>
              <w:jc w:val="right"/>
              <w:rPr>
                <w:rFonts w:ascii="Times New Roman" w:eastAsia="Times New Roman" w:hAnsi="Times New Roman" w:cs="Times New Roman"/>
                <w:i/>
                <w:iCs/>
                <w:sz w:val="20"/>
                <w:szCs w:val="20"/>
                <w:lang w:eastAsia="hu-HU"/>
              </w:rPr>
            </w:pPr>
            <w:r w:rsidRPr="24CA6B4B">
              <w:rPr>
                <w:rFonts w:ascii="Times New Roman" w:hAnsi="Times New Roman" w:cs="Times New Roman"/>
                <w:i/>
                <w:iCs/>
                <w:sz w:val="20"/>
                <w:szCs w:val="20"/>
              </w:rPr>
              <w:t>109,3</w:t>
            </w:r>
          </w:p>
        </w:tc>
      </w:tr>
      <w:tr w:rsidR="00427F34" w:rsidRPr="00377D59" w14:paraId="644FC967" w14:textId="77777777" w:rsidTr="24CA6B4B">
        <w:trPr>
          <w:trHeight w:val="510"/>
        </w:trPr>
        <w:tc>
          <w:tcPr>
            <w:tcW w:w="5382" w:type="dxa"/>
            <w:shd w:val="clear" w:color="auto" w:fill="auto"/>
            <w:vAlign w:val="center"/>
            <w:hideMark/>
          </w:tcPr>
          <w:p w14:paraId="1BA330A0" w14:textId="77777777" w:rsidR="00427F34" w:rsidRPr="00976E1E" w:rsidRDefault="22B2E273" w:rsidP="22B2E273">
            <w:pPr>
              <w:keepNext/>
              <w:keepLines/>
              <w:spacing w:after="0" w:line="240" w:lineRule="auto"/>
              <w:rPr>
                <w:rFonts w:ascii="Times New Roman" w:eastAsia="Times New Roman" w:hAnsi="Times New Roman" w:cs="Times New Roman"/>
                <w:i/>
                <w:iCs/>
                <w:sz w:val="20"/>
                <w:szCs w:val="20"/>
                <w:lang w:eastAsia="hu-HU"/>
              </w:rPr>
            </w:pPr>
            <w:r w:rsidRPr="22B2E273">
              <w:rPr>
                <w:rFonts w:ascii="Times New Roman" w:eastAsia="Times New Roman" w:hAnsi="Times New Roman" w:cs="Times New Roman"/>
                <w:i/>
                <w:iCs/>
                <w:sz w:val="20"/>
                <w:szCs w:val="20"/>
                <w:lang w:eastAsia="hu-HU"/>
              </w:rPr>
              <w:t>A települési önkormányzatok egyes köznevelési feladatainak támogatása</w:t>
            </w:r>
          </w:p>
        </w:tc>
        <w:tc>
          <w:tcPr>
            <w:tcW w:w="1196" w:type="dxa"/>
            <w:shd w:val="clear" w:color="auto" w:fill="auto"/>
            <w:noWrap/>
            <w:vAlign w:val="center"/>
          </w:tcPr>
          <w:p w14:paraId="5E8D28C3" w14:textId="3CDC24E3" w:rsidR="00427F34" w:rsidRPr="00427F34" w:rsidRDefault="24CA6B4B" w:rsidP="24CA6B4B">
            <w:pPr>
              <w:keepNext/>
              <w:keepLines/>
              <w:spacing w:after="0" w:line="240" w:lineRule="auto"/>
              <w:jc w:val="right"/>
              <w:rPr>
                <w:rFonts w:ascii="Times New Roman" w:eastAsia="Times New Roman" w:hAnsi="Times New Roman" w:cs="Times New Roman"/>
                <w:i/>
                <w:iCs/>
                <w:sz w:val="20"/>
                <w:szCs w:val="20"/>
                <w:lang w:eastAsia="hu-HU"/>
              </w:rPr>
            </w:pPr>
            <w:r w:rsidRPr="24CA6B4B">
              <w:rPr>
                <w:rFonts w:ascii="Times New Roman" w:hAnsi="Times New Roman" w:cs="Times New Roman"/>
                <w:i/>
                <w:iCs/>
                <w:sz w:val="20"/>
                <w:szCs w:val="20"/>
              </w:rPr>
              <w:t>223,0</w:t>
            </w:r>
          </w:p>
        </w:tc>
        <w:tc>
          <w:tcPr>
            <w:tcW w:w="992" w:type="dxa"/>
            <w:shd w:val="clear" w:color="auto" w:fill="auto"/>
            <w:noWrap/>
            <w:vAlign w:val="center"/>
          </w:tcPr>
          <w:p w14:paraId="6861BB58" w14:textId="189F8D1E" w:rsidR="00427F34" w:rsidRPr="00427F34" w:rsidRDefault="24CA6B4B" w:rsidP="24CA6B4B">
            <w:pPr>
              <w:keepNext/>
              <w:keepLines/>
              <w:spacing w:after="0" w:line="240" w:lineRule="auto"/>
              <w:jc w:val="right"/>
              <w:rPr>
                <w:rFonts w:ascii="Times New Roman" w:eastAsia="Times New Roman" w:hAnsi="Times New Roman" w:cs="Times New Roman"/>
                <w:i/>
                <w:iCs/>
                <w:sz w:val="20"/>
                <w:szCs w:val="20"/>
                <w:lang w:eastAsia="hu-HU"/>
              </w:rPr>
            </w:pPr>
            <w:r w:rsidRPr="24CA6B4B">
              <w:rPr>
                <w:rFonts w:ascii="Times New Roman" w:hAnsi="Times New Roman" w:cs="Times New Roman"/>
                <w:i/>
                <w:iCs/>
                <w:sz w:val="20"/>
                <w:szCs w:val="20"/>
              </w:rPr>
              <w:t>326,5</w:t>
            </w:r>
          </w:p>
        </w:tc>
        <w:tc>
          <w:tcPr>
            <w:tcW w:w="850" w:type="dxa"/>
            <w:shd w:val="clear" w:color="auto" w:fill="auto"/>
            <w:noWrap/>
            <w:vAlign w:val="center"/>
          </w:tcPr>
          <w:p w14:paraId="085D1E80" w14:textId="53F3B337" w:rsidR="00427F34" w:rsidRPr="00427F34" w:rsidRDefault="24CA6B4B" w:rsidP="24CA6B4B">
            <w:pPr>
              <w:keepNext/>
              <w:keepLines/>
              <w:spacing w:after="0" w:line="240" w:lineRule="auto"/>
              <w:jc w:val="right"/>
              <w:rPr>
                <w:rFonts w:ascii="Times New Roman" w:eastAsia="Times New Roman" w:hAnsi="Times New Roman" w:cs="Times New Roman"/>
                <w:i/>
                <w:iCs/>
                <w:sz w:val="20"/>
                <w:szCs w:val="20"/>
                <w:lang w:eastAsia="hu-HU"/>
              </w:rPr>
            </w:pPr>
            <w:r w:rsidRPr="24CA6B4B">
              <w:rPr>
                <w:rFonts w:ascii="Times New Roman" w:hAnsi="Times New Roman" w:cs="Times New Roman"/>
                <w:i/>
                <w:iCs/>
                <w:sz w:val="20"/>
                <w:szCs w:val="20"/>
              </w:rPr>
              <w:t>103,5</w:t>
            </w:r>
          </w:p>
        </w:tc>
        <w:tc>
          <w:tcPr>
            <w:tcW w:w="851" w:type="dxa"/>
            <w:shd w:val="clear" w:color="auto" w:fill="auto"/>
            <w:noWrap/>
            <w:vAlign w:val="center"/>
          </w:tcPr>
          <w:p w14:paraId="7767CDD1" w14:textId="7681A72A" w:rsidR="00427F34" w:rsidRPr="00427F34" w:rsidRDefault="24CA6B4B" w:rsidP="24CA6B4B">
            <w:pPr>
              <w:keepNext/>
              <w:keepLines/>
              <w:spacing w:after="0" w:line="240" w:lineRule="auto"/>
              <w:jc w:val="right"/>
              <w:rPr>
                <w:rFonts w:ascii="Times New Roman" w:eastAsia="Times New Roman" w:hAnsi="Times New Roman" w:cs="Times New Roman"/>
                <w:i/>
                <w:iCs/>
                <w:sz w:val="20"/>
                <w:szCs w:val="20"/>
                <w:lang w:eastAsia="hu-HU"/>
              </w:rPr>
            </w:pPr>
            <w:r w:rsidRPr="24CA6B4B">
              <w:rPr>
                <w:rFonts w:ascii="Times New Roman" w:hAnsi="Times New Roman" w:cs="Times New Roman"/>
                <w:i/>
                <w:iCs/>
                <w:sz w:val="20"/>
                <w:szCs w:val="20"/>
              </w:rPr>
              <w:t>146,4</w:t>
            </w:r>
          </w:p>
        </w:tc>
      </w:tr>
      <w:tr w:rsidR="00427F34" w:rsidRPr="00377D59" w14:paraId="11F06AEB" w14:textId="77777777" w:rsidTr="24CA6B4B">
        <w:trPr>
          <w:trHeight w:val="510"/>
        </w:trPr>
        <w:tc>
          <w:tcPr>
            <w:tcW w:w="5382" w:type="dxa"/>
            <w:shd w:val="clear" w:color="auto" w:fill="auto"/>
            <w:vAlign w:val="center"/>
            <w:hideMark/>
          </w:tcPr>
          <w:p w14:paraId="63EE65A2" w14:textId="77777777" w:rsidR="00427F34" w:rsidRPr="00976E1E" w:rsidRDefault="22B2E273" w:rsidP="22B2E273">
            <w:pPr>
              <w:keepNext/>
              <w:keepLines/>
              <w:spacing w:after="0" w:line="240" w:lineRule="auto"/>
              <w:rPr>
                <w:rFonts w:ascii="Times New Roman" w:eastAsia="Times New Roman" w:hAnsi="Times New Roman" w:cs="Times New Roman"/>
                <w:i/>
                <w:iCs/>
                <w:sz w:val="20"/>
                <w:szCs w:val="20"/>
                <w:lang w:eastAsia="hu-HU"/>
              </w:rPr>
            </w:pPr>
            <w:r w:rsidRPr="22B2E273">
              <w:rPr>
                <w:rFonts w:ascii="Times New Roman" w:eastAsia="Times New Roman" w:hAnsi="Times New Roman" w:cs="Times New Roman"/>
                <w:i/>
                <w:iCs/>
                <w:sz w:val="20"/>
                <w:szCs w:val="20"/>
                <w:lang w:eastAsia="hu-HU"/>
              </w:rPr>
              <w:t>A települési önkormányzatok egyes szociális, gyermekjóléti és gyermekétkeztetési feladatainak támogatása</w:t>
            </w:r>
          </w:p>
        </w:tc>
        <w:tc>
          <w:tcPr>
            <w:tcW w:w="1196" w:type="dxa"/>
            <w:shd w:val="clear" w:color="auto" w:fill="auto"/>
            <w:noWrap/>
            <w:vAlign w:val="center"/>
          </w:tcPr>
          <w:p w14:paraId="4BBDE34C" w14:textId="29883391" w:rsidR="00427F34" w:rsidRPr="00427F34" w:rsidRDefault="24CA6B4B" w:rsidP="24CA6B4B">
            <w:pPr>
              <w:keepNext/>
              <w:keepLines/>
              <w:spacing w:after="0" w:line="240" w:lineRule="auto"/>
              <w:jc w:val="right"/>
              <w:rPr>
                <w:rFonts w:ascii="Times New Roman" w:eastAsia="Times New Roman" w:hAnsi="Times New Roman" w:cs="Times New Roman"/>
                <w:i/>
                <w:iCs/>
                <w:sz w:val="20"/>
                <w:szCs w:val="20"/>
                <w:lang w:eastAsia="hu-HU"/>
              </w:rPr>
            </w:pPr>
            <w:r w:rsidRPr="24CA6B4B">
              <w:rPr>
                <w:rFonts w:ascii="Times New Roman" w:hAnsi="Times New Roman" w:cs="Times New Roman"/>
                <w:i/>
                <w:iCs/>
                <w:sz w:val="20"/>
                <w:szCs w:val="20"/>
              </w:rPr>
              <w:t>320,6</w:t>
            </w:r>
          </w:p>
        </w:tc>
        <w:tc>
          <w:tcPr>
            <w:tcW w:w="992" w:type="dxa"/>
            <w:shd w:val="clear" w:color="auto" w:fill="auto"/>
            <w:noWrap/>
            <w:vAlign w:val="center"/>
          </w:tcPr>
          <w:p w14:paraId="4EC5C695" w14:textId="4CC9E4F2" w:rsidR="00427F34" w:rsidRPr="00427F34" w:rsidRDefault="24CA6B4B" w:rsidP="24CA6B4B">
            <w:pPr>
              <w:keepNext/>
              <w:keepLines/>
              <w:spacing w:after="0" w:line="240" w:lineRule="auto"/>
              <w:jc w:val="right"/>
              <w:rPr>
                <w:rFonts w:ascii="Times New Roman" w:eastAsia="Times New Roman" w:hAnsi="Times New Roman" w:cs="Times New Roman"/>
                <w:i/>
                <w:iCs/>
                <w:sz w:val="20"/>
                <w:szCs w:val="20"/>
                <w:lang w:eastAsia="hu-HU"/>
              </w:rPr>
            </w:pPr>
            <w:r w:rsidRPr="24CA6B4B">
              <w:rPr>
                <w:rFonts w:ascii="Times New Roman" w:hAnsi="Times New Roman" w:cs="Times New Roman"/>
                <w:i/>
                <w:iCs/>
                <w:sz w:val="20"/>
                <w:szCs w:val="20"/>
              </w:rPr>
              <w:t>393,3</w:t>
            </w:r>
          </w:p>
        </w:tc>
        <w:tc>
          <w:tcPr>
            <w:tcW w:w="850" w:type="dxa"/>
            <w:shd w:val="clear" w:color="auto" w:fill="auto"/>
            <w:noWrap/>
            <w:vAlign w:val="center"/>
          </w:tcPr>
          <w:p w14:paraId="14601228" w14:textId="3D1B48C6" w:rsidR="00427F34" w:rsidRPr="00427F34" w:rsidRDefault="24CA6B4B" w:rsidP="24CA6B4B">
            <w:pPr>
              <w:keepNext/>
              <w:keepLines/>
              <w:spacing w:after="0" w:line="240" w:lineRule="auto"/>
              <w:jc w:val="right"/>
              <w:rPr>
                <w:rFonts w:ascii="Times New Roman" w:eastAsia="Times New Roman" w:hAnsi="Times New Roman" w:cs="Times New Roman"/>
                <w:i/>
                <w:iCs/>
                <w:sz w:val="20"/>
                <w:szCs w:val="20"/>
                <w:lang w:eastAsia="hu-HU"/>
              </w:rPr>
            </w:pPr>
            <w:r w:rsidRPr="24CA6B4B">
              <w:rPr>
                <w:rFonts w:ascii="Times New Roman" w:hAnsi="Times New Roman" w:cs="Times New Roman"/>
                <w:i/>
                <w:iCs/>
                <w:sz w:val="20"/>
                <w:szCs w:val="20"/>
              </w:rPr>
              <w:t>72,7</w:t>
            </w:r>
          </w:p>
        </w:tc>
        <w:tc>
          <w:tcPr>
            <w:tcW w:w="851" w:type="dxa"/>
            <w:shd w:val="clear" w:color="auto" w:fill="auto"/>
            <w:noWrap/>
            <w:vAlign w:val="center"/>
          </w:tcPr>
          <w:p w14:paraId="44A53BB5" w14:textId="1E6D0192" w:rsidR="00427F34" w:rsidRPr="00427F34" w:rsidRDefault="24CA6B4B" w:rsidP="24CA6B4B">
            <w:pPr>
              <w:keepNext/>
              <w:keepLines/>
              <w:spacing w:after="0" w:line="240" w:lineRule="auto"/>
              <w:jc w:val="right"/>
              <w:rPr>
                <w:rFonts w:ascii="Times New Roman" w:eastAsia="Times New Roman" w:hAnsi="Times New Roman" w:cs="Times New Roman"/>
                <w:i/>
                <w:iCs/>
                <w:sz w:val="20"/>
                <w:szCs w:val="20"/>
                <w:lang w:eastAsia="hu-HU"/>
              </w:rPr>
            </w:pPr>
            <w:r w:rsidRPr="24CA6B4B">
              <w:rPr>
                <w:rFonts w:ascii="Times New Roman" w:hAnsi="Times New Roman" w:cs="Times New Roman"/>
                <w:i/>
                <w:iCs/>
                <w:sz w:val="20"/>
                <w:szCs w:val="20"/>
              </w:rPr>
              <w:t>122,7</w:t>
            </w:r>
          </w:p>
        </w:tc>
      </w:tr>
      <w:tr w:rsidR="00427F34" w:rsidRPr="00377D59" w14:paraId="1FC403F4" w14:textId="77777777" w:rsidTr="24CA6B4B">
        <w:trPr>
          <w:trHeight w:val="340"/>
        </w:trPr>
        <w:tc>
          <w:tcPr>
            <w:tcW w:w="5382" w:type="dxa"/>
            <w:shd w:val="clear" w:color="auto" w:fill="auto"/>
            <w:vAlign w:val="center"/>
            <w:hideMark/>
          </w:tcPr>
          <w:p w14:paraId="4F427CE2" w14:textId="77777777" w:rsidR="00427F34" w:rsidRPr="00976E1E" w:rsidRDefault="22B2E273" w:rsidP="22B2E273">
            <w:pPr>
              <w:keepNext/>
              <w:keepLines/>
              <w:spacing w:after="0" w:line="240" w:lineRule="auto"/>
              <w:rPr>
                <w:rFonts w:ascii="Times New Roman" w:eastAsia="Times New Roman" w:hAnsi="Times New Roman" w:cs="Times New Roman"/>
                <w:i/>
                <w:iCs/>
                <w:sz w:val="20"/>
                <w:szCs w:val="20"/>
                <w:lang w:eastAsia="hu-HU"/>
              </w:rPr>
            </w:pPr>
            <w:r w:rsidRPr="22B2E273">
              <w:rPr>
                <w:rFonts w:ascii="Times New Roman" w:eastAsia="Times New Roman" w:hAnsi="Times New Roman" w:cs="Times New Roman"/>
                <w:i/>
                <w:iCs/>
                <w:sz w:val="20"/>
                <w:szCs w:val="20"/>
                <w:lang w:eastAsia="hu-HU"/>
              </w:rPr>
              <w:t>A települési önkormányzatok kulturális feladatainak támogatása</w:t>
            </w:r>
          </w:p>
        </w:tc>
        <w:tc>
          <w:tcPr>
            <w:tcW w:w="1196" w:type="dxa"/>
            <w:shd w:val="clear" w:color="auto" w:fill="auto"/>
            <w:noWrap/>
            <w:vAlign w:val="center"/>
          </w:tcPr>
          <w:p w14:paraId="44BDB6D4" w14:textId="372E8D47" w:rsidR="00427F34" w:rsidRPr="00427F34" w:rsidRDefault="24CA6B4B" w:rsidP="24CA6B4B">
            <w:pPr>
              <w:keepNext/>
              <w:keepLines/>
              <w:spacing w:after="0" w:line="240" w:lineRule="auto"/>
              <w:jc w:val="right"/>
              <w:rPr>
                <w:rFonts w:ascii="Times New Roman" w:eastAsia="Times New Roman" w:hAnsi="Times New Roman" w:cs="Times New Roman"/>
                <w:i/>
                <w:iCs/>
                <w:sz w:val="20"/>
                <w:szCs w:val="20"/>
                <w:lang w:eastAsia="hu-HU"/>
              </w:rPr>
            </w:pPr>
            <w:r w:rsidRPr="24CA6B4B">
              <w:rPr>
                <w:rFonts w:ascii="Times New Roman" w:hAnsi="Times New Roman" w:cs="Times New Roman"/>
                <w:i/>
                <w:iCs/>
                <w:sz w:val="20"/>
                <w:szCs w:val="20"/>
              </w:rPr>
              <w:t>20,8</w:t>
            </w:r>
          </w:p>
        </w:tc>
        <w:tc>
          <w:tcPr>
            <w:tcW w:w="992" w:type="dxa"/>
            <w:shd w:val="clear" w:color="auto" w:fill="auto"/>
            <w:noWrap/>
            <w:vAlign w:val="center"/>
          </w:tcPr>
          <w:p w14:paraId="3D1BBCDB" w14:textId="537F7AEB" w:rsidR="00427F34" w:rsidRPr="00427F34" w:rsidRDefault="24CA6B4B" w:rsidP="24CA6B4B">
            <w:pPr>
              <w:keepNext/>
              <w:keepLines/>
              <w:spacing w:after="0" w:line="240" w:lineRule="auto"/>
              <w:jc w:val="right"/>
              <w:rPr>
                <w:rFonts w:ascii="Times New Roman" w:eastAsia="Times New Roman" w:hAnsi="Times New Roman" w:cs="Times New Roman"/>
                <w:i/>
                <w:iCs/>
                <w:sz w:val="20"/>
                <w:szCs w:val="20"/>
                <w:lang w:eastAsia="hu-HU"/>
              </w:rPr>
            </w:pPr>
            <w:r w:rsidRPr="24CA6B4B">
              <w:rPr>
                <w:rFonts w:ascii="Times New Roman" w:hAnsi="Times New Roman" w:cs="Times New Roman"/>
                <w:i/>
                <w:iCs/>
                <w:sz w:val="20"/>
                <w:szCs w:val="20"/>
              </w:rPr>
              <w:t>20,8</w:t>
            </w:r>
          </w:p>
        </w:tc>
        <w:tc>
          <w:tcPr>
            <w:tcW w:w="850" w:type="dxa"/>
            <w:shd w:val="clear" w:color="auto" w:fill="auto"/>
            <w:noWrap/>
            <w:vAlign w:val="center"/>
          </w:tcPr>
          <w:p w14:paraId="6C28EF3A" w14:textId="12BF95F7" w:rsidR="00427F34" w:rsidRPr="00427F34" w:rsidRDefault="24CA6B4B" w:rsidP="24CA6B4B">
            <w:pPr>
              <w:keepNext/>
              <w:keepLines/>
              <w:spacing w:after="0" w:line="240" w:lineRule="auto"/>
              <w:jc w:val="right"/>
              <w:rPr>
                <w:rFonts w:ascii="Times New Roman" w:eastAsia="Times New Roman" w:hAnsi="Times New Roman" w:cs="Times New Roman"/>
                <w:i/>
                <w:iCs/>
                <w:sz w:val="20"/>
                <w:szCs w:val="20"/>
                <w:lang w:eastAsia="hu-HU"/>
              </w:rPr>
            </w:pPr>
            <w:r w:rsidRPr="24CA6B4B">
              <w:rPr>
                <w:rFonts w:ascii="Times New Roman" w:hAnsi="Times New Roman" w:cs="Times New Roman"/>
                <w:i/>
                <w:iCs/>
                <w:sz w:val="20"/>
                <w:szCs w:val="20"/>
              </w:rPr>
              <w:t>0</w:t>
            </w:r>
            <w:r w:rsidR="0022447A">
              <w:rPr>
                <w:rFonts w:ascii="Times New Roman" w:hAnsi="Times New Roman" w:cs="Times New Roman"/>
                <w:i/>
                <w:iCs/>
                <w:sz w:val="20"/>
                <w:szCs w:val="20"/>
              </w:rPr>
              <w:t>,</w:t>
            </w:r>
            <w:proofErr w:type="spellStart"/>
            <w:r w:rsidR="0022447A">
              <w:rPr>
                <w:rFonts w:ascii="Times New Roman" w:hAnsi="Times New Roman" w:cs="Times New Roman"/>
                <w:i/>
                <w:iCs/>
                <w:sz w:val="20"/>
                <w:szCs w:val="20"/>
              </w:rPr>
              <w:t>0</w:t>
            </w:r>
            <w:proofErr w:type="spellEnd"/>
          </w:p>
        </w:tc>
        <w:tc>
          <w:tcPr>
            <w:tcW w:w="851" w:type="dxa"/>
            <w:shd w:val="clear" w:color="auto" w:fill="auto"/>
            <w:noWrap/>
            <w:vAlign w:val="center"/>
          </w:tcPr>
          <w:p w14:paraId="796E83D2" w14:textId="12011E2A" w:rsidR="00427F34" w:rsidRPr="00427F34" w:rsidRDefault="24CA6B4B" w:rsidP="24CA6B4B">
            <w:pPr>
              <w:keepNext/>
              <w:keepLines/>
              <w:spacing w:after="0" w:line="240" w:lineRule="auto"/>
              <w:jc w:val="right"/>
              <w:rPr>
                <w:rFonts w:ascii="Times New Roman" w:eastAsia="Times New Roman" w:hAnsi="Times New Roman" w:cs="Times New Roman"/>
                <w:i/>
                <w:iCs/>
                <w:sz w:val="20"/>
                <w:szCs w:val="20"/>
                <w:lang w:eastAsia="hu-HU"/>
              </w:rPr>
            </w:pPr>
            <w:r w:rsidRPr="24CA6B4B">
              <w:rPr>
                <w:rFonts w:ascii="Times New Roman" w:hAnsi="Times New Roman" w:cs="Times New Roman"/>
                <w:i/>
                <w:iCs/>
                <w:sz w:val="20"/>
                <w:szCs w:val="20"/>
              </w:rPr>
              <w:t>100,0</w:t>
            </w:r>
          </w:p>
        </w:tc>
      </w:tr>
      <w:tr w:rsidR="00427F34" w:rsidRPr="00377D59" w14:paraId="44EF96BF" w14:textId="77777777" w:rsidTr="24CA6B4B">
        <w:trPr>
          <w:trHeight w:val="340"/>
        </w:trPr>
        <w:tc>
          <w:tcPr>
            <w:tcW w:w="5382" w:type="dxa"/>
            <w:shd w:val="clear" w:color="auto" w:fill="auto"/>
            <w:vAlign w:val="center"/>
            <w:hideMark/>
          </w:tcPr>
          <w:p w14:paraId="3DD87A70" w14:textId="766307B5" w:rsidR="00427F34" w:rsidRPr="00976E1E" w:rsidRDefault="22B2E273" w:rsidP="22B2E273">
            <w:pPr>
              <w:keepNext/>
              <w:keepLines/>
              <w:spacing w:after="0" w:line="240" w:lineRule="auto"/>
              <w:rPr>
                <w:rFonts w:ascii="Times New Roman" w:eastAsia="Times New Roman" w:hAnsi="Times New Roman" w:cs="Times New Roman"/>
                <w:b/>
                <w:bCs/>
                <w:sz w:val="20"/>
                <w:szCs w:val="20"/>
                <w:lang w:eastAsia="hu-HU"/>
              </w:rPr>
            </w:pPr>
            <w:r w:rsidRPr="22B2E273">
              <w:rPr>
                <w:rFonts w:ascii="Times New Roman" w:eastAsia="Times New Roman" w:hAnsi="Times New Roman" w:cs="Times New Roman"/>
                <w:b/>
                <w:bCs/>
                <w:sz w:val="20"/>
                <w:szCs w:val="20"/>
                <w:lang w:eastAsia="hu-HU"/>
              </w:rPr>
              <w:t>Helyi önkormányzatok kiegészítő támogatása</w:t>
            </w:r>
          </w:p>
        </w:tc>
        <w:tc>
          <w:tcPr>
            <w:tcW w:w="1196" w:type="dxa"/>
            <w:shd w:val="clear" w:color="auto" w:fill="auto"/>
            <w:noWrap/>
            <w:vAlign w:val="center"/>
          </w:tcPr>
          <w:p w14:paraId="34DDE983" w14:textId="1DCC2F50" w:rsidR="00427F34" w:rsidRPr="00427F34" w:rsidRDefault="24CA6B4B" w:rsidP="24CA6B4B">
            <w:pPr>
              <w:keepNext/>
              <w:keepLines/>
              <w:spacing w:after="0" w:line="240" w:lineRule="auto"/>
              <w:jc w:val="right"/>
              <w:rPr>
                <w:rFonts w:ascii="Times New Roman" w:eastAsia="Times New Roman" w:hAnsi="Times New Roman" w:cs="Times New Roman"/>
                <w:b/>
                <w:bCs/>
                <w:sz w:val="20"/>
                <w:szCs w:val="20"/>
                <w:lang w:eastAsia="hu-HU"/>
              </w:rPr>
            </w:pPr>
            <w:r w:rsidRPr="24CA6B4B">
              <w:rPr>
                <w:rFonts w:ascii="Times New Roman" w:hAnsi="Times New Roman" w:cs="Times New Roman"/>
                <w:b/>
                <w:bCs/>
                <w:sz w:val="20"/>
                <w:szCs w:val="20"/>
              </w:rPr>
              <w:t>159,2</w:t>
            </w:r>
          </w:p>
        </w:tc>
        <w:tc>
          <w:tcPr>
            <w:tcW w:w="992" w:type="dxa"/>
            <w:shd w:val="clear" w:color="auto" w:fill="auto"/>
            <w:noWrap/>
            <w:vAlign w:val="center"/>
          </w:tcPr>
          <w:p w14:paraId="405423BA" w14:textId="5362899D" w:rsidR="00427F34" w:rsidRPr="00427F34" w:rsidRDefault="24CA6B4B" w:rsidP="24CA6B4B">
            <w:pPr>
              <w:keepNext/>
              <w:keepLines/>
              <w:spacing w:after="0" w:line="240" w:lineRule="auto"/>
              <w:jc w:val="right"/>
              <w:rPr>
                <w:rFonts w:ascii="Times New Roman" w:eastAsia="Times New Roman" w:hAnsi="Times New Roman" w:cs="Times New Roman"/>
                <w:b/>
                <w:bCs/>
                <w:sz w:val="20"/>
                <w:szCs w:val="20"/>
                <w:lang w:eastAsia="hu-HU"/>
              </w:rPr>
            </w:pPr>
            <w:r w:rsidRPr="24CA6B4B">
              <w:rPr>
                <w:rFonts w:ascii="Times New Roman" w:hAnsi="Times New Roman" w:cs="Times New Roman"/>
                <w:b/>
                <w:bCs/>
                <w:sz w:val="20"/>
                <w:szCs w:val="20"/>
              </w:rPr>
              <w:t>97,1</w:t>
            </w:r>
          </w:p>
        </w:tc>
        <w:tc>
          <w:tcPr>
            <w:tcW w:w="850" w:type="dxa"/>
            <w:shd w:val="clear" w:color="auto" w:fill="auto"/>
            <w:noWrap/>
            <w:vAlign w:val="center"/>
          </w:tcPr>
          <w:p w14:paraId="76EB67F0" w14:textId="4C55D1FA" w:rsidR="00427F34" w:rsidRPr="00427F34" w:rsidRDefault="24CA6B4B" w:rsidP="24CA6B4B">
            <w:pPr>
              <w:keepNext/>
              <w:keepLines/>
              <w:spacing w:after="0" w:line="240" w:lineRule="auto"/>
              <w:jc w:val="right"/>
              <w:rPr>
                <w:rFonts w:ascii="Times New Roman" w:eastAsia="Times New Roman" w:hAnsi="Times New Roman" w:cs="Times New Roman"/>
                <w:b/>
                <w:bCs/>
                <w:sz w:val="20"/>
                <w:szCs w:val="20"/>
                <w:lang w:eastAsia="hu-HU"/>
              </w:rPr>
            </w:pPr>
            <w:r w:rsidRPr="24CA6B4B">
              <w:rPr>
                <w:rFonts w:ascii="Times New Roman" w:hAnsi="Times New Roman" w:cs="Times New Roman"/>
                <w:b/>
                <w:bCs/>
                <w:sz w:val="20"/>
                <w:szCs w:val="20"/>
              </w:rPr>
              <w:t>-62,1</w:t>
            </w:r>
          </w:p>
        </w:tc>
        <w:tc>
          <w:tcPr>
            <w:tcW w:w="851" w:type="dxa"/>
            <w:shd w:val="clear" w:color="auto" w:fill="auto"/>
            <w:noWrap/>
            <w:vAlign w:val="center"/>
          </w:tcPr>
          <w:p w14:paraId="3FFF6C6E" w14:textId="2F87FC39" w:rsidR="00427F34" w:rsidRPr="00427F34" w:rsidRDefault="24CA6B4B" w:rsidP="24CA6B4B">
            <w:pPr>
              <w:keepNext/>
              <w:keepLines/>
              <w:spacing w:after="0" w:line="240" w:lineRule="auto"/>
              <w:jc w:val="right"/>
              <w:rPr>
                <w:rFonts w:ascii="Times New Roman" w:eastAsia="Times New Roman" w:hAnsi="Times New Roman" w:cs="Times New Roman"/>
                <w:b/>
                <w:bCs/>
                <w:sz w:val="20"/>
                <w:szCs w:val="20"/>
                <w:lang w:eastAsia="hu-HU"/>
              </w:rPr>
            </w:pPr>
            <w:r w:rsidRPr="24CA6B4B">
              <w:rPr>
                <w:rFonts w:ascii="Times New Roman" w:hAnsi="Times New Roman" w:cs="Times New Roman"/>
                <w:b/>
                <w:bCs/>
                <w:sz w:val="20"/>
                <w:szCs w:val="20"/>
              </w:rPr>
              <w:t>61,0</w:t>
            </w:r>
          </w:p>
        </w:tc>
      </w:tr>
      <w:tr w:rsidR="00427F34" w:rsidRPr="00377D59" w14:paraId="648C3F54" w14:textId="77777777" w:rsidTr="24CA6B4B">
        <w:trPr>
          <w:trHeight w:val="340"/>
        </w:trPr>
        <w:tc>
          <w:tcPr>
            <w:tcW w:w="5382" w:type="dxa"/>
            <w:shd w:val="clear" w:color="auto" w:fill="auto"/>
            <w:vAlign w:val="center"/>
            <w:hideMark/>
          </w:tcPr>
          <w:p w14:paraId="3676EE9C" w14:textId="4925EF27" w:rsidR="00427F34" w:rsidRPr="00976E1E" w:rsidRDefault="22B2E273" w:rsidP="22B2E273">
            <w:pPr>
              <w:keepNext/>
              <w:keepLines/>
              <w:spacing w:after="0" w:line="240" w:lineRule="auto"/>
              <w:rPr>
                <w:rFonts w:ascii="Times New Roman" w:eastAsia="Times New Roman" w:hAnsi="Times New Roman" w:cs="Times New Roman"/>
                <w:b/>
                <w:bCs/>
                <w:sz w:val="20"/>
                <w:szCs w:val="20"/>
                <w:lang w:eastAsia="hu-HU"/>
              </w:rPr>
            </w:pPr>
            <w:r w:rsidRPr="22B2E273">
              <w:rPr>
                <w:rFonts w:ascii="Times New Roman" w:eastAsia="Times New Roman" w:hAnsi="Times New Roman" w:cs="Times New Roman"/>
                <w:b/>
                <w:bCs/>
                <w:sz w:val="20"/>
                <w:szCs w:val="20"/>
                <w:lang w:eastAsia="hu-HU"/>
              </w:rPr>
              <w:t>Év közben létrejött új jogcímek kiadásai</w:t>
            </w:r>
          </w:p>
        </w:tc>
        <w:tc>
          <w:tcPr>
            <w:tcW w:w="1196" w:type="dxa"/>
            <w:shd w:val="clear" w:color="auto" w:fill="auto"/>
            <w:noWrap/>
            <w:vAlign w:val="center"/>
          </w:tcPr>
          <w:p w14:paraId="0BACAC9E" w14:textId="54C1B3E2" w:rsidR="00427F34" w:rsidRPr="00427F34" w:rsidRDefault="24CA6B4B" w:rsidP="24CA6B4B">
            <w:pPr>
              <w:keepNext/>
              <w:keepLines/>
              <w:spacing w:after="0" w:line="240" w:lineRule="auto"/>
              <w:jc w:val="right"/>
              <w:rPr>
                <w:rFonts w:ascii="Times New Roman" w:eastAsia="Times New Roman" w:hAnsi="Times New Roman" w:cs="Times New Roman"/>
                <w:b/>
                <w:bCs/>
                <w:sz w:val="20"/>
                <w:szCs w:val="20"/>
                <w:lang w:eastAsia="hu-HU"/>
              </w:rPr>
            </w:pPr>
            <w:r w:rsidRPr="24CA6B4B">
              <w:rPr>
                <w:rFonts w:ascii="Times New Roman" w:hAnsi="Times New Roman" w:cs="Times New Roman"/>
                <w:b/>
                <w:bCs/>
                <w:sz w:val="20"/>
                <w:szCs w:val="20"/>
              </w:rPr>
              <w:t>94,3</w:t>
            </w:r>
          </w:p>
        </w:tc>
        <w:tc>
          <w:tcPr>
            <w:tcW w:w="992" w:type="dxa"/>
            <w:shd w:val="clear" w:color="auto" w:fill="auto"/>
            <w:noWrap/>
            <w:vAlign w:val="center"/>
          </w:tcPr>
          <w:p w14:paraId="7A66E9FC" w14:textId="045C378E" w:rsidR="00427F34" w:rsidRPr="00427F34" w:rsidRDefault="24CA6B4B" w:rsidP="24CA6B4B">
            <w:pPr>
              <w:keepNext/>
              <w:keepLines/>
              <w:spacing w:after="0" w:line="240" w:lineRule="auto"/>
              <w:jc w:val="right"/>
              <w:rPr>
                <w:rFonts w:ascii="Times New Roman" w:eastAsia="Times New Roman" w:hAnsi="Times New Roman" w:cs="Times New Roman"/>
                <w:b/>
                <w:bCs/>
                <w:sz w:val="20"/>
                <w:szCs w:val="20"/>
                <w:lang w:eastAsia="hu-HU"/>
              </w:rPr>
            </w:pPr>
            <w:r w:rsidRPr="24CA6B4B">
              <w:rPr>
                <w:rFonts w:ascii="Times New Roman" w:hAnsi="Times New Roman" w:cs="Times New Roman"/>
                <w:b/>
                <w:bCs/>
                <w:sz w:val="20"/>
                <w:szCs w:val="20"/>
              </w:rPr>
              <w:t>12,7</w:t>
            </w:r>
          </w:p>
        </w:tc>
        <w:tc>
          <w:tcPr>
            <w:tcW w:w="850" w:type="dxa"/>
            <w:shd w:val="clear" w:color="auto" w:fill="auto"/>
            <w:noWrap/>
            <w:vAlign w:val="center"/>
          </w:tcPr>
          <w:p w14:paraId="592B586A" w14:textId="0B389AA9" w:rsidR="00427F34" w:rsidRPr="00427F34" w:rsidRDefault="24CA6B4B" w:rsidP="24CA6B4B">
            <w:pPr>
              <w:keepNext/>
              <w:keepLines/>
              <w:spacing w:after="0" w:line="240" w:lineRule="auto"/>
              <w:jc w:val="right"/>
              <w:rPr>
                <w:rFonts w:ascii="Times New Roman" w:eastAsia="Times New Roman" w:hAnsi="Times New Roman" w:cs="Times New Roman"/>
                <w:b/>
                <w:bCs/>
                <w:sz w:val="20"/>
                <w:szCs w:val="20"/>
                <w:lang w:eastAsia="hu-HU"/>
              </w:rPr>
            </w:pPr>
            <w:r w:rsidRPr="24CA6B4B">
              <w:rPr>
                <w:rFonts w:ascii="Times New Roman" w:hAnsi="Times New Roman" w:cs="Times New Roman"/>
                <w:b/>
                <w:bCs/>
                <w:sz w:val="20"/>
                <w:szCs w:val="20"/>
              </w:rPr>
              <w:t>-81,6</w:t>
            </w:r>
          </w:p>
        </w:tc>
        <w:tc>
          <w:tcPr>
            <w:tcW w:w="851" w:type="dxa"/>
            <w:shd w:val="clear" w:color="auto" w:fill="auto"/>
            <w:noWrap/>
            <w:vAlign w:val="center"/>
          </w:tcPr>
          <w:p w14:paraId="6EEBBBB0" w14:textId="1DA901CE" w:rsidR="00427F34" w:rsidRPr="00427F34" w:rsidRDefault="24CA6B4B" w:rsidP="24CA6B4B">
            <w:pPr>
              <w:keepNext/>
              <w:keepLines/>
              <w:spacing w:after="0" w:line="240" w:lineRule="auto"/>
              <w:jc w:val="right"/>
              <w:rPr>
                <w:rFonts w:ascii="Times New Roman" w:eastAsia="Times New Roman" w:hAnsi="Times New Roman" w:cs="Times New Roman"/>
                <w:b/>
                <w:bCs/>
                <w:sz w:val="20"/>
                <w:szCs w:val="20"/>
                <w:lang w:eastAsia="hu-HU"/>
              </w:rPr>
            </w:pPr>
            <w:r w:rsidRPr="24CA6B4B">
              <w:rPr>
                <w:rFonts w:ascii="Times New Roman" w:hAnsi="Times New Roman" w:cs="Times New Roman"/>
                <w:b/>
                <w:bCs/>
                <w:sz w:val="20"/>
                <w:szCs w:val="20"/>
              </w:rPr>
              <w:t>13,5</w:t>
            </w:r>
          </w:p>
        </w:tc>
      </w:tr>
      <w:tr w:rsidR="00427F34" w:rsidRPr="00377D59" w14:paraId="60064293" w14:textId="77777777" w:rsidTr="24CA6B4B">
        <w:trPr>
          <w:trHeight w:val="340"/>
        </w:trPr>
        <w:tc>
          <w:tcPr>
            <w:tcW w:w="5382" w:type="dxa"/>
            <w:shd w:val="clear" w:color="auto" w:fill="auto"/>
            <w:noWrap/>
            <w:vAlign w:val="center"/>
            <w:hideMark/>
          </w:tcPr>
          <w:p w14:paraId="73666509" w14:textId="770E1DDA" w:rsidR="00427F34" w:rsidRPr="00976E1E" w:rsidRDefault="22B2E273" w:rsidP="22B2E273">
            <w:pPr>
              <w:widowControl w:val="0"/>
              <w:spacing w:after="0" w:line="240" w:lineRule="auto"/>
              <w:rPr>
                <w:rFonts w:ascii="Times New Roman" w:eastAsia="Times New Roman" w:hAnsi="Times New Roman" w:cs="Times New Roman"/>
                <w:b/>
                <w:bCs/>
                <w:sz w:val="20"/>
                <w:szCs w:val="20"/>
                <w:lang w:eastAsia="hu-HU"/>
              </w:rPr>
            </w:pPr>
            <w:r w:rsidRPr="22B2E273">
              <w:rPr>
                <w:rFonts w:ascii="Times New Roman" w:eastAsia="Times New Roman" w:hAnsi="Times New Roman" w:cs="Times New Roman"/>
                <w:b/>
                <w:bCs/>
                <w:sz w:val="20"/>
                <w:szCs w:val="20"/>
                <w:lang w:eastAsia="hu-HU"/>
              </w:rPr>
              <w:t>Összesen</w:t>
            </w:r>
          </w:p>
        </w:tc>
        <w:tc>
          <w:tcPr>
            <w:tcW w:w="1196" w:type="dxa"/>
            <w:shd w:val="clear" w:color="auto" w:fill="auto"/>
            <w:noWrap/>
            <w:vAlign w:val="center"/>
          </w:tcPr>
          <w:p w14:paraId="3A3EFD36" w14:textId="4DFA3492" w:rsidR="00427F34" w:rsidRPr="00427F34" w:rsidRDefault="24CA6B4B" w:rsidP="24CA6B4B">
            <w:pPr>
              <w:keepNext/>
              <w:keepLines/>
              <w:spacing w:after="0" w:line="240" w:lineRule="auto"/>
              <w:jc w:val="right"/>
              <w:rPr>
                <w:rFonts w:ascii="Times New Roman" w:eastAsia="Times New Roman" w:hAnsi="Times New Roman" w:cs="Times New Roman"/>
                <w:b/>
                <w:bCs/>
                <w:sz w:val="20"/>
                <w:szCs w:val="20"/>
                <w:lang w:eastAsia="hu-HU"/>
              </w:rPr>
            </w:pPr>
            <w:r w:rsidRPr="24CA6B4B">
              <w:rPr>
                <w:rFonts w:ascii="Times New Roman" w:hAnsi="Times New Roman" w:cs="Times New Roman"/>
                <w:b/>
                <w:bCs/>
                <w:sz w:val="20"/>
                <w:szCs w:val="20"/>
              </w:rPr>
              <w:t>1</w:t>
            </w:r>
            <w:r w:rsidR="0022447A">
              <w:rPr>
                <w:rFonts w:ascii="Times New Roman" w:hAnsi="Times New Roman" w:cs="Times New Roman"/>
                <w:b/>
                <w:bCs/>
                <w:sz w:val="20"/>
                <w:szCs w:val="20"/>
              </w:rPr>
              <w:t> </w:t>
            </w:r>
            <w:r w:rsidRPr="24CA6B4B">
              <w:rPr>
                <w:rFonts w:ascii="Times New Roman" w:hAnsi="Times New Roman" w:cs="Times New Roman"/>
                <w:b/>
                <w:bCs/>
                <w:sz w:val="20"/>
                <w:szCs w:val="20"/>
              </w:rPr>
              <w:t>081,4</w:t>
            </w:r>
          </w:p>
        </w:tc>
        <w:tc>
          <w:tcPr>
            <w:tcW w:w="992" w:type="dxa"/>
            <w:shd w:val="clear" w:color="auto" w:fill="auto"/>
            <w:noWrap/>
            <w:vAlign w:val="center"/>
          </w:tcPr>
          <w:p w14:paraId="1D84CCAC" w14:textId="2432DAA2" w:rsidR="00427F34" w:rsidRPr="00427F34" w:rsidRDefault="24CA6B4B" w:rsidP="24CA6B4B">
            <w:pPr>
              <w:keepNext/>
              <w:keepLines/>
              <w:spacing w:after="0" w:line="240" w:lineRule="auto"/>
              <w:jc w:val="right"/>
              <w:rPr>
                <w:rFonts w:ascii="Times New Roman" w:eastAsia="Times New Roman" w:hAnsi="Times New Roman" w:cs="Times New Roman"/>
                <w:b/>
                <w:bCs/>
                <w:sz w:val="20"/>
                <w:szCs w:val="20"/>
                <w:lang w:eastAsia="hu-HU"/>
              </w:rPr>
            </w:pPr>
            <w:r w:rsidRPr="24CA6B4B">
              <w:rPr>
                <w:rFonts w:ascii="Times New Roman" w:hAnsi="Times New Roman" w:cs="Times New Roman"/>
                <w:b/>
                <w:bCs/>
                <w:sz w:val="20"/>
                <w:szCs w:val="20"/>
              </w:rPr>
              <w:t>1</w:t>
            </w:r>
            <w:r w:rsidR="0022447A">
              <w:rPr>
                <w:rFonts w:ascii="Times New Roman" w:hAnsi="Times New Roman" w:cs="Times New Roman"/>
                <w:b/>
                <w:bCs/>
                <w:sz w:val="20"/>
                <w:szCs w:val="20"/>
              </w:rPr>
              <w:t> </w:t>
            </w:r>
            <w:r w:rsidRPr="24CA6B4B">
              <w:rPr>
                <w:rFonts w:ascii="Times New Roman" w:hAnsi="Times New Roman" w:cs="Times New Roman"/>
                <w:b/>
                <w:bCs/>
                <w:sz w:val="20"/>
                <w:szCs w:val="20"/>
              </w:rPr>
              <w:t>138,3</w:t>
            </w:r>
          </w:p>
        </w:tc>
        <w:tc>
          <w:tcPr>
            <w:tcW w:w="850" w:type="dxa"/>
            <w:shd w:val="clear" w:color="auto" w:fill="auto"/>
            <w:noWrap/>
            <w:vAlign w:val="center"/>
          </w:tcPr>
          <w:p w14:paraId="0AACA3FA" w14:textId="26BFA7E1" w:rsidR="00427F34" w:rsidRPr="00427F34" w:rsidRDefault="24CA6B4B" w:rsidP="24CA6B4B">
            <w:pPr>
              <w:keepNext/>
              <w:keepLines/>
              <w:spacing w:after="0" w:line="240" w:lineRule="auto"/>
              <w:jc w:val="right"/>
              <w:rPr>
                <w:rFonts w:ascii="Times New Roman" w:eastAsia="Times New Roman" w:hAnsi="Times New Roman" w:cs="Times New Roman"/>
                <w:b/>
                <w:bCs/>
                <w:sz w:val="20"/>
                <w:szCs w:val="20"/>
                <w:lang w:eastAsia="hu-HU"/>
              </w:rPr>
            </w:pPr>
            <w:r w:rsidRPr="24CA6B4B">
              <w:rPr>
                <w:rFonts w:ascii="Times New Roman" w:hAnsi="Times New Roman" w:cs="Times New Roman"/>
                <w:b/>
                <w:bCs/>
                <w:sz w:val="20"/>
                <w:szCs w:val="20"/>
              </w:rPr>
              <w:t>56,9</w:t>
            </w:r>
          </w:p>
        </w:tc>
        <w:tc>
          <w:tcPr>
            <w:tcW w:w="851" w:type="dxa"/>
            <w:shd w:val="clear" w:color="auto" w:fill="auto"/>
            <w:noWrap/>
            <w:vAlign w:val="center"/>
          </w:tcPr>
          <w:p w14:paraId="1C1B57DC" w14:textId="662564C9" w:rsidR="00427F34" w:rsidRPr="00427F34" w:rsidRDefault="24CA6B4B" w:rsidP="24CA6B4B">
            <w:pPr>
              <w:keepNext/>
              <w:keepLines/>
              <w:spacing w:after="0" w:line="240" w:lineRule="auto"/>
              <w:jc w:val="right"/>
              <w:rPr>
                <w:rFonts w:ascii="Times New Roman" w:eastAsia="Times New Roman" w:hAnsi="Times New Roman" w:cs="Times New Roman"/>
                <w:b/>
                <w:bCs/>
                <w:sz w:val="20"/>
                <w:szCs w:val="20"/>
                <w:lang w:eastAsia="hu-HU"/>
              </w:rPr>
            </w:pPr>
            <w:r w:rsidRPr="24CA6B4B">
              <w:rPr>
                <w:rFonts w:ascii="Times New Roman" w:hAnsi="Times New Roman" w:cs="Times New Roman"/>
                <w:b/>
                <w:bCs/>
                <w:sz w:val="20"/>
                <w:szCs w:val="20"/>
              </w:rPr>
              <w:t>105,3</w:t>
            </w:r>
          </w:p>
        </w:tc>
      </w:tr>
    </w:tbl>
    <w:p w14:paraId="5DF2D658" w14:textId="6A673D1C" w:rsidR="74B9DF17" w:rsidRDefault="22B2E273" w:rsidP="003C57BB">
      <w:pPr>
        <w:spacing w:before="240"/>
        <w:jc w:val="both"/>
      </w:pPr>
      <w:r w:rsidRPr="22B2E273">
        <w:rPr>
          <w:rFonts w:ascii="Times New Roman" w:eastAsia="Times New Roman" w:hAnsi="Times New Roman" w:cs="Times New Roman"/>
          <w:sz w:val="26"/>
          <w:szCs w:val="26"/>
        </w:rPr>
        <w:t xml:space="preserve">Az </w:t>
      </w:r>
      <w:r w:rsidRPr="22B2E273">
        <w:rPr>
          <w:rFonts w:ascii="Times New Roman" w:eastAsia="Times New Roman" w:hAnsi="Times New Roman" w:cs="Times New Roman"/>
          <w:b/>
          <w:bCs/>
          <w:sz w:val="26"/>
          <w:szCs w:val="26"/>
        </w:rPr>
        <w:t>Uniós programok kiadásai</w:t>
      </w:r>
      <w:r w:rsidRPr="22B2E273">
        <w:rPr>
          <w:rFonts w:ascii="Times New Roman" w:eastAsia="Times New Roman" w:hAnsi="Times New Roman" w:cs="Times New Roman"/>
          <w:i/>
          <w:iCs/>
          <w:sz w:val="26"/>
          <w:szCs w:val="26"/>
        </w:rPr>
        <w:t xml:space="preserve"> </w:t>
      </w:r>
      <w:r w:rsidRPr="22B2E273">
        <w:rPr>
          <w:rFonts w:ascii="Times New Roman" w:eastAsia="Times New Roman" w:hAnsi="Times New Roman" w:cs="Times New Roman"/>
          <w:sz w:val="26"/>
          <w:szCs w:val="26"/>
        </w:rPr>
        <w:t>mérlegsoron 2024. november végéig 1</w:t>
      </w:r>
      <w:r w:rsidR="00D44A68">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445,6 milliárd forint összegű kifizetés történt, amely a törvényi előirányzat (3</w:t>
      </w:r>
      <w:r w:rsidR="00D44A68">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605,8 milliárd forint) 40,1%-os teljesítését jelenti. A felmerült kiadások túlnyomó részét a 2021-2027-es Széchenyi Plusz programjai adták.</w:t>
      </w:r>
    </w:p>
    <w:p w14:paraId="6ABC464B" w14:textId="1DE79AFA" w:rsidR="74B9DF17" w:rsidRDefault="22B2E273" w:rsidP="777ECC86">
      <w:pPr>
        <w:spacing w:before="160"/>
        <w:jc w:val="both"/>
      </w:pPr>
      <w:r w:rsidRPr="22B2E273">
        <w:rPr>
          <w:rFonts w:ascii="Times New Roman" w:eastAsia="Times New Roman" w:hAnsi="Times New Roman" w:cs="Times New Roman"/>
          <w:sz w:val="26"/>
          <w:szCs w:val="26"/>
        </w:rPr>
        <w:t>A legnagyobb összegű kifizetéseket ezen időszakban a Széchenyi Terv Plusz operatív programok közül az Emberi Erőforrás Fejlesztési OP Plusz (EFOP Plusz) és a Gazdaságfejlesztés és Innovációs OP (GINOP Plusz) teljesítette. Kiemelkedők továbbá a Vidékfejlesztési Program és a KAP Stratégiai Terv Vidékfejlesztési Intézkedéseinek kifizetése.</w:t>
      </w:r>
    </w:p>
    <w:p w14:paraId="0EE0B389" w14:textId="60278444" w:rsidR="029C2633" w:rsidRPr="00026266" w:rsidRDefault="22B2E273" w:rsidP="22B2E273">
      <w:pPr>
        <w:jc w:val="both"/>
        <w:rPr>
          <w:rFonts w:ascii="Times New Roman" w:eastAsia="Times New Roman" w:hAnsi="Times New Roman" w:cs="Times New Roman"/>
          <w:sz w:val="26"/>
          <w:szCs w:val="26"/>
        </w:rPr>
      </w:pPr>
      <w:r w:rsidRPr="22B2E273">
        <w:rPr>
          <w:rFonts w:ascii="Times New Roman" w:eastAsia="Times New Roman" w:hAnsi="Times New Roman" w:cs="Times New Roman"/>
          <w:sz w:val="26"/>
          <w:szCs w:val="26"/>
        </w:rPr>
        <w:t xml:space="preserve">Az </w:t>
      </w:r>
      <w:r w:rsidRPr="22B2E273">
        <w:rPr>
          <w:rFonts w:ascii="Times New Roman" w:eastAsia="Times New Roman" w:hAnsi="Times New Roman" w:cs="Times New Roman"/>
          <w:b/>
          <w:bCs/>
          <w:sz w:val="26"/>
          <w:szCs w:val="26"/>
        </w:rPr>
        <w:t>állami vagyonnal kapcsolatos kiadások</w:t>
      </w:r>
      <w:r w:rsidR="004206D8">
        <w:rPr>
          <w:rFonts w:ascii="Times New Roman" w:eastAsia="Times New Roman" w:hAnsi="Times New Roman" w:cs="Times New Roman"/>
          <w:sz w:val="26"/>
          <w:szCs w:val="26"/>
        </w:rPr>
        <w:t xml:space="preserve"> első ti</w:t>
      </w:r>
      <w:r w:rsidRPr="22B2E273">
        <w:rPr>
          <w:rFonts w:ascii="Times New Roman" w:eastAsia="Times New Roman" w:hAnsi="Times New Roman" w:cs="Times New Roman"/>
          <w:sz w:val="26"/>
          <w:szCs w:val="26"/>
        </w:rPr>
        <w:t>z</w:t>
      </w:r>
      <w:r w:rsidR="004206D8">
        <w:rPr>
          <w:rFonts w:ascii="Times New Roman" w:eastAsia="Times New Roman" w:hAnsi="Times New Roman" w:cs="Times New Roman"/>
          <w:sz w:val="26"/>
          <w:szCs w:val="26"/>
        </w:rPr>
        <w:t>enegy</w:t>
      </w:r>
      <w:r w:rsidR="0071549A">
        <w:rPr>
          <w:rFonts w:ascii="Times New Roman" w:eastAsia="Times New Roman" w:hAnsi="Times New Roman" w:cs="Times New Roman"/>
          <w:sz w:val="26"/>
          <w:szCs w:val="26"/>
        </w:rPr>
        <w:t xml:space="preserve"> </w:t>
      </w:r>
      <w:r w:rsidRPr="22B2E273">
        <w:rPr>
          <w:rFonts w:ascii="Times New Roman" w:eastAsia="Times New Roman" w:hAnsi="Times New Roman" w:cs="Times New Roman"/>
          <w:sz w:val="26"/>
          <w:szCs w:val="26"/>
        </w:rPr>
        <w:t>havi összege 8</w:t>
      </w:r>
      <w:r w:rsidR="004206D8">
        <w:rPr>
          <w:rFonts w:ascii="Times New Roman" w:eastAsia="Times New Roman" w:hAnsi="Times New Roman" w:cs="Times New Roman"/>
          <w:sz w:val="26"/>
          <w:szCs w:val="26"/>
        </w:rPr>
        <w:t>59,3</w:t>
      </w:r>
      <w:r w:rsidR="00D44A68">
        <w:rPr>
          <w:rFonts w:ascii="Times New Roman" w:eastAsia="Times New Roman" w:hAnsi="Times New Roman" w:cs="Times New Roman"/>
          <w:sz w:val="26"/>
          <w:szCs w:val="26"/>
        </w:rPr>
        <w:t> milliárd </w:t>
      </w:r>
      <w:r w:rsidRPr="22B2E273">
        <w:rPr>
          <w:rFonts w:ascii="Times New Roman" w:eastAsia="Times New Roman" w:hAnsi="Times New Roman" w:cs="Times New Roman"/>
          <w:sz w:val="26"/>
          <w:szCs w:val="26"/>
        </w:rPr>
        <w:t xml:space="preserve">forint volt, amelynek meghatározó része tőkeemelésként került kifizetésre. </w:t>
      </w:r>
    </w:p>
    <w:p w14:paraId="4D36018A" w14:textId="367F430F" w:rsidR="000B49AE" w:rsidRPr="00377D59" w:rsidRDefault="00054358" w:rsidP="000B49AE">
      <w:pPr>
        <w:spacing w:before="240" w:after="120" w:line="240" w:lineRule="auto"/>
        <w:jc w:val="center"/>
        <w:rPr>
          <w:rFonts w:ascii="Times New Roman" w:eastAsia="Times New Roman" w:hAnsi="Times New Roman" w:cs="Times New Roman"/>
          <w:b/>
          <w:bCs/>
          <w:sz w:val="26"/>
          <w:szCs w:val="26"/>
        </w:rPr>
      </w:pPr>
      <w:r>
        <w:rPr>
          <w:noProof/>
          <w:lang w:eastAsia="hu-HU"/>
        </w:rPr>
        <w:drawing>
          <wp:inline distT="0" distB="0" distL="0" distR="0" wp14:anchorId="4B3C56E3" wp14:editId="6F7D0629">
            <wp:extent cx="5226240" cy="3202935"/>
            <wp:effectExtent l="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3303"/>
                    <a:stretch/>
                  </pic:blipFill>
                  <pic:spPr bwMode="auto">
                    <a:xfrm>
                      <a:off x="0" y="0"/>
                      <a:ext cx="5277929" cy="3234613"/>
                    </a:xfrm>
                    <a:prstGeom prst="rect">
                      <a:avLst/>
                    </a:prstGeom>
                    <a:ln>
                      <a:noFill/>
                    </a:ln>
                    <a:extLst>
                      <a:ext uri="{53640926-AAD7-44D8-BBD7-CCE9431645EC}">
                        <a14:shadowObscured xmlns:a14="http://schemas.microsoft.com/office/drawing/2010/main"/>
                      </a:ext>
                    </a:extLst>
                  </pic:spPr>
                </pic:pic>
              </a:graphicData>
            </a:graphic>
          </wp:inline>
        </w:drawing>
      </w:r>
    </w:p>
    <w:p w14:paraId="030326D3" w14:textId="0F1F8043" w:rsidR="5B67C7D7" w:rsidRPr="00377D59" w:rsidRDefault="22B2E273" w:rsidP="22B2E273">
      <w:pPr>
        <w:jc w:val="both"/>
        <w:rPr>
          <w:rFonts w:ascii="Times New Roman" w:eastAsia="Times New Roman" w:hAnsi="Times New Roman" w:cs="Times New Roman"/>
          <w:sz w:val="26"/>
          <w:szCs w:val="26"/>
        </w:rPr>
      </w:pPr>
      <w:r w:rsidRPr="22B2E273">
        <w:rPr>
          <w:rFonts w:ascii="Times New Roman" w:eastAsia="Times New Roman" w:hAnsi="Times New Roman" w:cs="Times New Roman"/>
          <w:sz w:val="26"/>
          <w:szCs w:val="26"/>
        </w:rPr>
        <w:t xml:space="preserve">Az </w:t>
      </w:r>
      <w:r w:rsidRPr="22B2E273">
        <w:rPr>
          <w:rFonts w:ascii="Times New Roman" w:eastAsia="Times New Roman" w:hAnsi="Times New Roman" w:cs="Times New Roman"/>
          <w:b/>
          <w:bCs/>
          <w:sz w:val="26"/>
          <w:szCs w:val="26"/>
        </w:rPr>
        <w:t xml:space="preserve">állami beruházási fejezet kiadásait </w:t>
      </w:r>
      <w:r w:rsidRPr="22B2E273">
        <w:rPr>
          <w:rFonts w:ascii="Times New Roman" w:eastAsia="Times New Roman" w:hAnsi="Times New Roman" w:cs="Times New Roman"/>
          <w:sz w:val="26"/>
          <w:szCs w:val="26"/>
        </w:rPr>
        <w:t>az egyes projektek előrehaladása határozza meg. 2024 első tizenegy hónapjában 471,2</w:t>
      </w:r>
      <w:r w:rsidR="00D44A68">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milliárd forint kiadás teljesült, amely jelentősen elmarad 2023 azonos időszakában teljesültekhez képest. A kifizetések nagy része az állami közútfejlesztési beruházásokhoz (303,7 milliárd forint), az európai uniós forrásokból megvalósuló beruházásokhoz (65,3 milliárd forint) és az egyedi magasépítési beruházásokhoz (90,4 milliárd forint) kapcsolódtak</w:t>
      </w:r>
      <w:r w:rsidRPr="22B2E273">
        <w:rPr>
          <w:rFonts w:ascii="Times New Roman" w:eastAsia="Times New Roman" w:hAnsi="Times New Roman" w:cs="Times New Roman"/>
          <w:sz w:val="24"/>
          <w:szCs w:val="24"/>
        </w:rPr>
        <w:t>.</w:t>
      </w:r>
    </w:p>
    <w:p w14:paraId="215633DE" w14:textId="5015998B" w:rsidR="464F45A7" w:rsidRDefault="22B2E273" w:rsidP="22B2E273">
      <w:pPr>
        <w:jc w:val="both"/>
        <w:rPr>
          <w:rFonts w:ascii="Times New Roman" w:eastAsia="Times New Roman" w:hAnsi="Times New Roman" w:cs="Times New Roman"/>
          <w:sz w:val="26"/>
          <w:szCs w:val="26"/>
        </w:rPr>
      </w:pPr>
      <w:r w:rsidRPr="22B2E273">
        <w:rPr>
          <w:rFonts w:ascii="Times New Roman" w:eastAsia="Times New Roman" w:hAnsi="Times New Roman" w:cs="Times New Roman"/>
          <w:b/>
          <w:bCs/>
          <w:sz w:val="26"/>
          <w:szCs w:val="26"/>
        </w:rPr>
        <w:t>Az egyéb kiadások</w:t>
      </w:r>
      <w:r w:rsidRPr="22B2E273">
        <w:rPr>
          <w:rFonts w:ascii="Times New Roman" w:eastAsia="Times New Roman" w:hAnsi="Times New Roman" w:cs="Times New Roman"/>
          <w:sz w:val="26"/>
          <w:szCs w:val="26"/>
        </w:rPr>
        <w:t xml:space="preserve"> 2024. évi I-XI. </w:t>
      </w:r>
      <w:proofErr w:type="gramStart"/>
      <w:r w:rsidRPr="22B2E273">
        <w:rPr>
          <w:rFonts w:ascii="Times New Roman" w:eastAsia="Times New Roman" w:hAnsi="Times New Roman" w:cs="Times New Roman"/>
          <w:sz w:val="26"/>
          <w:szCs w:val="26"/>
        </w:rPr>
        <w:t>havi</w:t>
      </w:r>
      <w:proofErr w:type="gramEnd"/>
      <w:r w:rsidRPr="22B2E273">
        <w:rPr>
          <w:rFonts w:ascii="Times New Roman" w:eastAsia="Times New Roman" w:hAnsi="Times New Roman" w:cs="Times New Roman"/>
          <w:sz w:val="26"/>
          <w:szCs w:val="26"/>
        </w:rPr>
        <w:t xml:space="preserve"> teljesítése 532,3</w:t>
      </w:r>
      <w:r w:rsidR="00D44A68">
        <w:rPr>
          <w:rFonts w:ascii="Times New Roman" w:eastAsia="Times New Roman" w:hAnsi="Times New Roman" w:cs="Times New Roman"/>
          <w:sz w:val="26"/>
          <w:szCs w:val="26"/>
        </w:rPr>
        <w:t> milliárd forint lett, ami 128,0 </w:t>
      </w:r>
      <w:r w:rsidRPr="22B2E273">
        <w:rPr>
          <w:rFonts w:ascii="Times New Roman" w:eastAsia="Times New Roman" w:hAnsi="Times New Roman" w:cs="Times New Roman"/>
          <w:sz w:val="26"/>
          <w:szCs w:val="26"/>
        </w:rPr>
        <w:t>milliárd forinttal magasabban alakult az elmúlt év azonos időszakának az értékétől. E mérlegsor tételeinek összetétele jelentősen változott a 2023. évihez képest. A mérlegsor pl. új elemként tartalmazza a villamosenergia-termelés, mint rendszerbiztonsági szolgáltatás ellentételezését (tizenegy hónap alatt 51,9 milliárd forint), valamint az ipari fogyasztók veszélyhelyzeti rezsitámogatását (tizenegy hónap alatt 8,4 milliárd forint).</w:t>
      </w:r>
    </w:p>
    <w:p w14:paraId="15F013A7" w14:textId="221BE95F" w:rsidR="74B9DF17" w:rsidRDefault="22B2E273" w:rsidP="22B2E273">
      <w:pPr>
        <w:jc w:val="both"/>
        <w:rPr>
          <w:rFonts w:ascii="Times New Roman" w:eastAsia="Times New Roman" w:hAnsi="Times New Roman" w:cs="Times New Roman"/>
          <w:sz w:val="26"/>
          <w:szCs w:val="26"/>
        </w:rPr>
      </w:pPr>
      <w:r w:rsidRPr="22B2E273">
        <w:rPr>
          <w:rFonts w:ascii="Times New Roman" w:eastAsia="Times New Roman" w:hAnsi="Times New Roman" w:cs="Times New Roman"/>
          <w:sz w:val="26"/>
          <w:szCs w:val="26"/>
        </w:rPr>
        <w:t xml:space="preserve">A </w:t>
      </w:r>
      <w:r w:rsidRPr="22B2E273">
        <w:rPr>
          <w:rFonts w:ascii="Times New Roman" w:eastAsia="Times New Roman" w:hAnsi="Times New Roman" w:cs="Times New Roman"/>
          <w:b/>
          <w:bCs/>
          <w:sz w:val="26"/>
          <w:szCs w:val="26"/>
        </w:rPr>
        <w:t>Hozzájárulás az EU költségvetéséhez</w:t>
      </w:r>
      <w:r w:rsidRPr="22B2E273">
        <w:rPr>
          <w:rFonts w:ascii="Times New Roman" w:eastAsia="Times New Roman" w:hAnsi="Times New Roman" w:cs="Times New Roman"/>
          <w:sz w:val="26"/>
          <w:szCs w:val="26"/>
        </w:rPr>
        <w:t xml:space="preserve"> mérlegso</w:t>
      </w:r>
      <w:r w:rsidR="00F22077">
        <w:rPr>
          <w:rFonts w:ascii="Times New Roman" w:eastAsia="Times New Roman" w:hAnsi="Times New Roman" w:cs="Times New Roman"/>
          <w:sz w:val="26"/>
          <w:szCs w:val="26"/>
        </w:rPr>
        <w:t>ron 2024. november végéig 594,0 </w:t>
      </w:r>
      <w:r w:rsidRPr="22B2E273">
        <w:rPr>
          <w:rFonts w:ascii="Times New Roman" w:eastAsia="Times New Roman" w:hAnsi="Times New Roman" w:cs="Times New Roman"/>
          <w:sz w:val="26"/>
          <w:szCs w:val="26"/>
        </w:rPr>
        <w:t>milliárd forint kiadás teljesült, ami a törvényi előirányzat 85,8%-a. E hozzájárulás 12,2</w:t>
      </w:r>
      <w:r w:rsidR="00F22077">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milliárd forinttal haladja meg a 2023. év azonos időszakában teljesített kiadásokat.</w:t>
      </w:r>
    </w:p>
    <w:p w14:paraId="74BFA59F" w14:textId="087A03C4" w:rsidR="004F2496" w:rsidRPr="00D92214" w:rsidRDefault="22B2E273" w:rsidP="22B2E273">
      <w:pPr>
        <w:jc w:val="both"/>
        <w:rPr>
          <w:rFonts w:ascii="Times New Roman" w:eastAsia="Times New Roman" w:hAnsi="Times New Roman" w:cs="Times New Roman"/>
          <w:sz w:val="26"/>
          <w:szCs w:val="26"/>
        </w:rPr>
      </w:pPr>
      <w:r w:rsidRPr="22B2E273">
        <w:rPr>
          <w:rFonts w:ascii="Times New Roman" w:eastAsia="Times New Roman" w:hAnsi="Times New Roman" w:cs="Times New Roman"/>
          <w:sz w:val="26"/>
          <w:szCs w:val="26"/>
        </w:rPr>
        <w:t xml:space="preserve">A </w:t>
      </w:r>
      <w:r w:rsidRPr="22B2E273">
        <w:rPr>
          <w:rFonts w:ascii="Times New Roman" w:eastAsia="Times New Roman" w:hAnsi="Times New Roman" w:cs="Times New Roman"/>
          <w:b/>
          <w:bCs/>
          <w:sz w:val="26"/>
          <w:szCs w:val="26"/>
        </w:rPr>
        <w:t>Nemzeti Kutatási, Fejlesztési és Innovációs Alapból</w:t>
      </w:r>
      <w:r w:rsidRPr="22B2E273">
        <w:rPr>
          <w:rFonts w:ascii="Times New Roman" w:eastAsia="Times New Roman" w:hAnsi="Times New Roman" w:cs="Times New Roman"/>
          <w:sz w:val="26"/>
          <w:szCs w:val="26"/>
        </w:rPr>
        <w:t xml:space="preserve"> (NKFI Alap) 2024. november végéig 118,5 milliárd forint kiadás teljesült, ami 5,4 milliárd forinttal több kifizetést jelent a 2023. év azonos időszakának teljesítéséhez képest. A különbség a kifizetések eltérő ütemezéséből, valamint a 2024. évi magasabb keretösszegből adódik.</w:t>
      </w:r>
    </w:p>
    <w:p w14:paraId="17605E21" w14:textId="1361413C" w:rsidR="6462B5A6" w:rsidRPr="00920F4D" w:rsidRDefault="22B2E273" w:rsidP="22B2E273">
      <w:pPr>
        <w:jc w:val="both"/>
        <w:rPr>
          <w:rFonts w:ascii="Times New Roman" w:eastAsia="Times New Roman" w:hAnsi="Times New Roman" w:cs="Times New Roman"/>
          <w:sz w:val="26"/>
          <w:szCs w:val="26"/>
        </w:rPr>
      </w:pPr>
      <w:r w:rsidRPr="22B2E273">
        <w:rPr>
          <w:rFonts w:ascii="Times New Roman" w:eastAsia="Times New Roman" w:hAnsi="Times New Roman" w:cs="Times New Roman"/>
          <w:sz w:val="26"/>
          <w:szCs w:val="26"/>
        </w:rPr>
        <w:t xml:space="preserve">A </w:t>
      </w:r>
      <w:r w:rsidRPr="22B2E273">
        <w:rPr>
          <w:rFonts w:ascii="Times New Roman" w:eastAsia="Times New Roman" w:hAnsi="Times New Roman" w:cs="Times New Roman"/>
          <w:b/>
          <w:bCs/>
          <w:sz w:val="26"/>
          <w:szCs w:val="26"/>
        </w:rPr>
        <w:t>Nemzeti Foglalkoztatási Alap</w:t>
      </w:r>
      <w:r w:rsidRPr="22B2E273">
        <w:rPr>
          <w:rFonts w:ascii="Times New Roman" w:eastAsia="Times New Roman" w:hAnsi="Times New Roman" w:cs="Times New Roman"/>
          <w:sz w:val="26"/>
          <w:szCs w:val="26"/>
        </w:rPr>
        <w:t xml:space="preserve"> (NFA) kiadásai estében a Start-munkaprogramra összesen 112,5 milliárd forint teljesült. Az uniós elő- és társfinanszírozásra 29,8 milliárd forintot fordítottak.</w:t>
      </w:r>
    </w:p>
    <w:p w14:paraId="76B18BB1" w14:textId="7AEC62D5" w:rsidR="123EFD2F" w:rsidRPr="00377D59" w:rsidRDefault="22B2E273" w:rsidP="22B2E273">
      <w:pPr>
        <w:jc w:val="both"/>
        <w:rPr>
          <w:rFonts w:ascii="Times New Roman" w:hAnsi="Times New Roman" w:cs="Times New Roman"/>
        </w:rPr>
      </w:pPr>
      <w:r w:rsidRPr="22B2E273">
        <w:rPr>
          <w:rFonts w:ascii="Times New Roman" w:eastAsia="Times New Roman" w:hAnsi="Times New Roman" w:cs="Times New Roman"/>
          <w:sz w:val="26"/>
          <w:szCs w:val="26"/>
        </w:rPr>
        <w:t>A</w:t>
      </w:r>
      <w:r w:rsidRPr="22B2E273">
        <w:rPr>
          <w:rFonts w:ascii="Times New Roman" w:eastAsia="Times New Roman" w:hAnsi="Times New Roman" w:cs="Times New Roman"/>
          <w:b/>
          <w:bCs/>
          <w:sz w:val="26"/>
          <w:szCs w:val="26"/>
        </w:rPr>
        <w:t xml:space="preserve"> Bethlen Gábor Alapból</w:t>
      </w:r>
      <w:r w:rsidRPr="22B2E273">
        <w:rPr>
          <w:rFonts w:ascii="Times New Roman" w:eastAsia="Times New Roman" w:hAnsi="Times New Roman" w:cs="Times New Roman"/>
          <w:sz w:val="26"/>
          <w:szCs w:val="26"/>
        </w:rPr>
        <w:t xml:space="preserve"> (BGA) összesen 77,0 milliárd forint kiadás teljesült. Az alapból nyújtott támogatások a BGA irányítását ellátó Bizottság döntései alapján, ütemezetten kerültek kifizetésre.</w:t>
      </w:r>
    </w:p>
    <w:p w14:paraId="338763C1" w14:textId="328A744A" w:rsidR="19667954" w:rsidRDefault="22B2E273" w:rsidP="22B2E273">
      <w:pPr>
        <w:jc w:val="both"/>
        <w:rPr>
          <w:rFonts w:ascii="Times New Roman" w:hAnsi="Times New Roman" w:cs="Times New Roman"/>
        </w:rPr>
      </w:pPr>
      <w:r w:rsidRPr="22B2E273">
        <w:rPr>
          <w:rFonts w:ascii="Times New Roman" w:eastAsia="Times New Roman" w:hAnsi="Times New Roman" w:cs="Times New Roman"/>
          <w:sz w:val="26"/>
          <w:szCs w:val="26"/>
        </w:rPr>
        <w:t xml:space="preserve">A </w:t>
      </w:r>
      <w:r w:rsidRPr="22B2E273">
        <w:rPr>
          <w:rFonts w:ascii="Times New Roman" w:eastAsia="Times New Roman" w:hAnsi="Times New Roman" w:cs="Times New Roman"/>
          <w:b/>
          <w:bCs/>
          <w:sz w:val="26"/>
          <w:szCs w:val="26"/>
        </w:rPr>
        <w:t>Nyugdíjbiztosítási Alap</w:t>
      </w:r>
      <w:r w:rsidRPr="22B2E273">
        <w:rPr>
          <w:rFonts w:ascii="Times New Roman" w:eastAsia="Times New Roman" w:hAnsi="Times New Roman" w:cs="Times New Roman"/>
          <w:sz w:val="26"/>
          <w:szCs w:val="26"/>
        </w:rPr>
        <w:t xml:space="preserve"> nyugellátási kiadásai november végéig 5 727,7 milliárd forintban teljesültek, ami 414,</w:t>
      </w:r>
      <w:r w:rsidR="00F22077">
        <w:rPr>
          <w:rFonts w:ascii="Times New Roman" w:eastAsia="Times New Roman" w:hAnsi="Times New Roman" w:cs="Times New Roman"/>
          <w:sz w:val="26"/>
          <w:szCs w:val="26"/>
        </w:rPr>
        <w:t>3</w:t>
      </w:r>
      <w:r w:rsidRPr="22B2E273">
        <w:rPr>
          <w:rFonts w:ascii="Times New Roman" w:eastAsia="Times New Roman" w:hAnsi="Times New Roman" w:cs="Times New Roman"/>
          <w:sz w:val="26"/>
          <w:szCs w:val="26"/>
        </w:rPr>
        <w:t> milliárd forinttal haladta meg az előző év azonos időszakának teljesítési adatait. A 7,8%-os kiadásnövekedést a tavaly novemberi kiegészítő nyugdíjemelés tárgyévre áthúzódó hatása, a tárgyév január hónapban végrehajtott inflációkövető nyugdíjemelés hatása, valamint az eltelt időszakban bekövetkezett létszámváltozás és cserélődés együttes hatása eredményezte.</w:t>
      </w:r>
    </w:p>
    <w:p w14:paraId="7163F43A" w14:textId="52B083DE" w:rsidR="19667954" w:rsidRDefault="22B2E273" w:rsidP="22B2E273">
      <w:pPr>
        <w:jc w:val="both"/>
        <w:rPr>
          <w:rFonts w:ascii="Times New Roman" w:eastAsia="Times New Roman" w:hAnsi="Times New Roman" w:cs="Times New Roman"/>
          <w:sz w:val="26"/>
          <w:szCs w:val="26"/>
        </w:rPr>
      </w:pPr>
      <w:r w:rsidRPr="22B2E273">
        <w:rPr>
          <w:rFonts w:ascii="Times New Roman" w:eastAsia="Times New Roman" w:hAnsi="Times New Roman" w:cs="Times New Roman"/>
          <w:sz w:val="26"/>
          <w:szCs w:val="26"/>
        </w:rPr>
        <w:t>Az öregségi nyugdíjban részesülők 2024. november havi</w:t>
      </w:r>
      <w:r w:rsidRPr="22B2E273">
        <w:rPr>
          <w:rFonts w:ascii="Times New Roman" w:eastAsia="Times New Roman" w:hAnsi="Times New Roman" w:cs="Times New Roman"/>
          <w:b/>
          <w:bCs/>
          <w:sz w:val="26"/>
          <w:szCs w:val="26"/>
        </w:rPr>
        <w:t xml:space="preserve"> átlagos statisztikai állományi létszáma</w:t>
      </w:r>
      <w:r w:rsidRPr="22B2E273">
        <w:rPr>
          <w:rFonts w:ascii="Times New Roman" w:eastAsia="Times New Roman" w:hAnsi="Times New Roman" w:cs="Times New Roman"/>
          <w:sz w:val="26"/>
          <w:szCs w:val="26"/>
        </w:rPr>
        <w:t xml:space="preserve"> kis mértékben növekedett, 2</w:t>
      </w:r>
      <w:r w:rsidR="00F22077">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765</w:t>
      </w:r>
      <w:r w:rsidR="00F22077">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fővel haladta meg az előző év azonos időszakának létszámát. Az öregségi nyugdíjban részesülők létszámán belül a nők kedvezményes nyugdíjában részesülők (korhatár alattiak) létszáma a korhatárbetöltés és az elhalálozás együttes hatásaként 6 143 fővel csökkent a 2023. novemberi adathoz képest.</w:t>
      </w:r>
    </w:p>
    <w:p w14:paraId="0F073B32" w14:textId="1BCDF2F0" w:rsidR="00C35E13" w:rsidRDefault="00C11940" w:rsidP="00C35E13">
      <w:pPr>
        <w:pStyle w:val="NormlWeb"/>
        <w:jc w:val="center"/>
      </w:pPr>
      <w:r>
        <w:rPr>
          <w:noProof/>
        </w:rPr>
        <w:drawing>
          <wp:inline distT="0" distB="0" distL="0" distR="0" wp14:anchorId="46ED9E7B" wp14:editId="03CD1162">
            <wp:extent cx="5940425" cy="2288912"/>
            <wp:effectExtent l="0" t="0" r="3175"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8111" cy="2291873"/>
                    </a:xfrm>
                    <a:prstGeom prst="rect">
                      <a:avLst/>
                    </a:prstGeom>
                  </pic:spPr>
                </pic:pic>
              </a:graphicData>
            </a:graphic>
          </wp:inline>
        </w:drawing>
      </w:r>
    </w:p>
    <w:p w14:paraId="13D00DDC" w14:textId="3058D847" w:rsidR="593AC637" w:rsidRDefault="22B2E273" w:rsidP="593AC637">
      <w:pPr>
        <w:jc w:val="both"/>
      </w:pPr>
      <w:r w:rsidRPr="22B2E273">
        <w:rPr>
          <w:rFonts w:ascii="Times New Roman" w:eastAsia="Times New Roman" w:hAnsi="Times New Roman" w:cs="Times New Roman"/>
          <w:sz w:val="26"/>
          <w:szCs w:val="26"/>
        </w:rPr>
        <w:t>Idén is 2,1 millió öregségi nyugdíjban és hozzátartozói nyugellátásban részesülő személy részére folyósítottak 13. havi nyugdíjat. A 13. havi nyugdíjkifizetés Nyugdíjbiztosítási Alapot terhelő kiadása november végéig 471,9 milliárd forint volt, ami 33,7 milliárd forinttal haladta meg az előző évben ezen a jogcímen teljesített kiadások összegét. A kiadásnövekedést az ellátások tavaly novemberi és idén januári emelése, valamint a jogosultak létszám- és cserélődési hatásának változása eredményezte.</w:t>
      </w:r>
    </w:p>
    <w:p w14:paraId="35EF778C" w14:textId="3A227B4A" w:rsidR="593AC637" w:rsidRDefault="22B2E273" w:rsidP="593AC637">
      <w:pPr>
        <w:jc w:val="both"/>
      </w:pPr>
      <w:r w:rsidRPr="22B2E273">
        <w:rPr>
          <w:rFonts w:ascii="Times New Roman" w:eastAsia="Times New Roman" w:hAnsi="Times New Roman" w:cs="Times New Roman"/>
          <w:sz w:val="26"/>
          <w:szCs w:val="26"/>
        </w:rPr>
        <w:t>Az öregségi nyugdíjak átlagos havi összege egy év alatt 16</w:t>
      </w:r>
      <w:r w:rsidR="006777EF">
        <w:rPr>
          <w:rFonts w:ascii="Times New Roman" w:eastAsia="Times New Roman" w:hAnsi="Times New Roman" w:cs="Times New Roman"/>
          <w:sz w:val="26"/>
          <w:szCs w:val="26"/>
        </w:rPr>
        <w:t> </w:t>
      </w:r>
      <w:r w:rsidRPr="22B2E273">
        <w:rPr>
          <w:rFonts w:ascii="Times New Roman" w:eastAsia="Times New Roman" w:hAnsi="Times New Roman" w:cs="Times New Roman"/>
          <w:sz w:val="26"/>
          <w:szCs w:val="26"/>
        </w:rPr>
        <w:t>671 forinttal emelkedett, 2024 novemberében 234 165 forint volt.</w:t>
      </w:r>
    </w:p>
    <w:p w14:paraId="33821262" w14:textId="52B0DEFD" w:rsidR="593AC637" w:rsidRDefault="22B2E273" w:rsidP="22B2E273">
      <w:pPr>
        <w:jc w:val="both"/>
        <w:rPr>
          <w:rFonts w:ascii="Times New Roman" w:eastAsia="Times New Roman" w:hAnsi="Times New Roman" w:cs="Times New Roman"/>
          <w:sz w:val="26"/>
          <w:szCs w:val="26"/>
        </w:rPr>
      </w:pPr>
      <w:r w:rsidRPr="22B2E273">
        <w:rPr>
          <w:rFonts w:ascii="Times New Roman" w:eastAsia="Times New Roman" w:hAnsi="Times New Roman" w:cs="Times New Roman"/>
          <w:sz w:val="26"/>
          <w:szCs w:val="26"/>
        </w:rPr>
        <w:t>Az ellátások egy főre jutó havi átlagos összege az egyes ellátotti jogcímeken belül az előző év azonos időszakával összehasonlítva az alábbiak szerint növekedett.</w:t>
      </w:r>
    </w:p>
    <w:p w14:paraId="503DFEB7" w14:textId="496113ED" w:rsidR="00EF1F5B" w:rsidRDefault="00C11940" w:rsidP="00EF1F5B">
      <w:pPr>
        <w:pStyle w:val="NormlWeb"/>
        <w:jc w:val="center"/>
      </w:pPr>
      <w:r>
        <w:rPr>
          <w:noProof/>
        </w:rPr>
        <w:drawing>
          <wp:inline distT="0" distB="0" distL="0" distR="0" wp14:anchorId="2C464670" wp14:editId="20760F14">
            <wp:extent cx="5224048" cy="3453847"/>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40687" cy="3464848"/>
                    </a:xfrm>
                    <a:prstGeom prst="rect">
                      <a:avLst/>
                    </a:prstGeom>
                  </pic:spPr>
                </pic:pic>
              </a:graphicData>
            </a:graphic>
          </wp:inline>
        </w:drawing>
      </w:r>
    </w:p>
    <w:p w14:paraId="12787823" w14:textId="77777777" w:rsidR="00C11940" w:rsidRDefault="00C11940">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3779DB9C" w14:textId="6D207D6C" w:rsidR="0022104D" w:rsidRDefault="22B2E273" w:rsidP="593AC637">
      <w:pPr>
        <w:jc w:val="both"/>
      </w:pPr>
      <w:r w:rsidRPr="22B2E273">
        <w:rPr>
          <w:rFonts w:ascii="Times New Roman" w:eastAsia="Times New Roman" w:hAnsi="Times New Roman" w:cs="Times New Roman"/>
          <w:sz w:val="26"/>
          <w:szCs w:val="26"/>
        </w:rPr>
        <w:t xml:space="preserve">Az öregségi nyugdíjban, hozzátartozói nyugellátásban részesülők jogcím szerinti megoszlásának összehasonlítását az előző évi adatokkal az alábbi ábrák mutatják. </w:t>
      </w:r>
    </w:p>
    <w:p w14:paraId="6E229341" w14:textId="04FEBCBD" w:rsidR="00EF1F5B" w:rsidRDefault="00C11940" w:rsidP="00EF1F5B">
      <w:pPr>
        <w:pStyle w:val="NormlWeb"/>
        <w:jc w:val="center"/>
      </w:pPr>
      <w:r>
        <w:rPr>
          <w:noProof/>
        </w:rPr>
        <w:drawing>
          <wp:inline distT="0" distB="0" distL="0" distR="0" wp14:anchorId="3B9B4540" wp14:editId="71FDBECD">
            <wp:extent cx="5940425" cy="2280285"/>
            <wp:effectExtent l="0" t="0" r="3175" b="5715"/>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0425" cy="2280285"/>
                    </a:xfrm>
                    <a:prstGeom prst="rect">
                      <a:avLst/>
                    </a:prstGeom>
                  </pic:spPr>
                </pic:pic>
              </a:graphicData>
            </a:graphic>
          </wp:inline>
        </w:drawing>
      </w:r>
    </w:p>
    <w:p w14:paraId="2A4F88FB" w14:textId="77777777" w:rsidR="00D4148C" w:rsidRPr="002B492B" w:rsidRDefault="22B2E273" w:rsidP="22B2E273">
      <w:pPr>
        <w:keepLines/>
        <w:widowControl w:val="0"/>
        <w:jc w:val="center"/>
        <w:rPr>
          <w:rFonts w:ascii="Times New Roman" w:eastAsia="Times New Roman" w:hAnsi="Times New Roman" w:cs="Times New Roman"/>
          <w:b/>
          <w:bCs/>
          <w:sz w:val="26"/>
          <w:szCs w:val="26"/>
        </w:rPr>
      </w:pPr>
      <w:r w:rsidRPr="22B2E273">
        <w:rPr>
          <w:rFonts w:ascii="Times New Roman" w:eastAsia="Times New Roman" w:hAnsi="Times New Roman" w:cs="Times New Roman"/>
          <w:sz w:val="26"/>
          <w:szCs w:val="26"/>
        </w:rPr>
        <w:t xml:space="preserve">Az </w:t>
      </w:r>
      <w:r w:rsidRPr="22B2E273">
        <w:rPr>
          <w:rFonts w:ascii="Times New Roman" w:eastAsia="Times New Roman" w:hAnsi="Times New Roman" w:cs="Times New Roman"/>
          <w:b/>
          <w:bCs/>
          <w:sz w:val="26"/>
          <w:szCs w:val="26"/>
        </w:rPr>
        <w:t>Egészségbiztosítási Alap kiadásainak</w:t>
      </w:r>
      <w:r w:rsidRPr="22B2E273">
        <w:rPr>
          <w:rFonts w:ascii="Times New Roman" w:eastAsia="Times New Roman" w:hAnsi="Times New Roman" w:cs="Times New Roman"/>
          <w:sz w:val="26"/>
          <w:szCs w:val="26"/>
        </w:rPr>
        <w:t xml:space="preserve"> összetételét a következő ábra mutatja be:</w:t>
      </w:r>
      <w:r w:rsidRPr="22B2E273">
        <w:rPr>
          <w:rFonts w:ascii="Times New Roman" w:eastAsia="Times New Roman" w:hAnsi="Times New Roman" w:cs="Times New Roman"/>
          <w:b/>
          <w:bCs/>
          <w:sz w:val="26"/>
          <w:szCs w:val="26"/>
        </w:rPr>
        <w:t xml:space="preserve"> </w:t>
      </w:r>
    </w:p>
    <w:p w14:paraId="57C38B59" w14:textId="131C6EF1" w:rsidR="00D4148C" w:rsidRDefault="00C11940" w:rsidP="00D4148C">
      <w:pPr>
        <w:widowControl w:val="0"/>
        <w:spacing w:after="240"/>
        <w:jc w:val="center"/>
        <w:rPr>
          <w:rFonts w:ascii="Times New Roman" w:eastAsia="Times New Roman" w:hAnsi="Times New Roman" w:cs="Times New Roman"/>
          <w:sz w:val="26"/>
          <w:szCs w:val="26"/>
        </w:rPr>
      </w:pPr>
      <w:r>
        <w:rPr>
          <w:noProof/>
          <w:lang w:eastAsia="hu-HU"/>
        </w:rPr>
        <w:drawing>
          <wp:inline distT="0" distB="0" distL="0" distR="0" wp14:anchorId="44D8D88F" wp14:editId="28C778C2">
            <wp:extent cx="5940425" cy="2416810"/>
            <wp:effectExtent l="0" t="0" r="3175" b="254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0425" cy="2416810"/>
                    </a:xfrm>
                    <a:prstGeom prst="rect">
                      <a:avLst/>
                    </a:prstGeom>
                  </pic:spPr>
                </pic:pic>
              </a:graphicData>
            </a:graphic>
          </wp:inline>
        </w:drawing>
      </w:r>
    </w:p>
    <w:p w14:paraId="19FDF989" w14:textId="7678784C" w:rsidR="00CA3468" w:rsidRDefault="22B2E273" w:rsidP="22B2E273">
      <w:pPr>
        <w:spacing w:before="240" w:after="240"/>
        <w:jc w:val="both"/>
        <w:rPr>
          <w:rFonts w:ascii="Times New Roman" w:eastAsia="Times New Roman" w:hAnsi="Times New Roman" w:cs="Times New Roman"/>
          <w:sz w:val="26"/>
          <w:szCs w:val="26"/>
        </w:rPr>
      </w:pPr>
      <w:r w:rsidRPr="22B2E273">
        <w:rPr>
          <w:rFonts w:ascii="Times New Roman" w:eastAsia="Times New Roman" w:hAnsi="Times New Roman" w:cs="Times New Roman"/>
          <w:sz w:val="26"/>
          <w:szCs w:val="26"/>
        </w:rPr>
        <w:t xml:space="preserve">Az </w:t>
      </w:r>
      <w:r w:rsidRPr="22B2E273">
        <w:rPr>
          <w:rFonts w:ascii="Times New Roman" w:eastAsia="Times New Roman" w:hAnsi="Times New Roman" w:cs="Times New Roman"/>
          <w:b/>
          <w:bCs/>
          <w:sz w:val="26"/>
          <w:szCs w:val="26"/>
        </w:rPr>
        <w:t>Egészségbiztosítási Alap</w:t>
      </w:r>
      <w:r w:rsidRPr="22B2E273">
        <w:rPr>
          <w:rFonts w:ascii="Times New Roman" w:eastAsia="Times New Roman" w:hAnsi="Times New Roman" w:cs="Times New Roman"/>
          <w:sz w:val="26"/>
          <w:szCs w:val="26"/>
        </w:rPr>
        <w:t xml:space="preserve"> összes kiadásának 25,9%-át a </w:t>
      </w:r>
      <w:r w:rsidRPr="22B2E273">
        <w:rPr>
          <w:rFonts w:ascii="Times New Roman" w:eastAsia="Times New Roman" w:hAnsi="Times New Roman" w:cs="Times New Roman"/>
          <w:b/>
          <w:bCs/>
          <w:sz w:val="26"/>
          <w:szCs w:val="26"/>
        </w:rPr>
        <w:t>pénzbeli ellátásokra</w:t>
      </w:r>
      <w:r w:rsidRPr="22B2E273">
        <w:rPr>
          <w:rFonts w:ascii="Times New Roman" w:eastAsia="Times New Roman" w:hAnsi="Times New Roman" w:cs="Times New Roman"/>
          <w:sz w:val="26"/>
          <w:szCs w:val="26"/>
        </w:rPr>
        <w:t xml:space="preserve"> fordított összeg adta. Az ellátások részletes bemutatását a következő táblázat tartalmazza:</w:t>
      </w:r>
    </w:p>
    <w:p w14:paraId="1D31F2C8" w14:textId="3F5AAC59" w:rsidR="00DA4FBC" w:rsidRDefault="22B2E273" w:rsidP="22B2E273">
      <w:pPr>
        <w:spacing w:after="120"/>
        <w:jc w:val="center"/>
        <w:rPr>
          <w:rFonts w:ascii="Times New Roman" w:eastAsia="Times New Roman" w:hAnsi="Times New Roman" w:cs="Times New Roman"/>
          <w:b/>
          <w:bCs/>
          <w:sz w:val="26"/>
          <w:szCs w:val="26"/>
        </w:rPr>
      </w:pPr>
      <w:r w:rsidRPr="22B2E273">
        <w:rPr>
          <w:rFonts w:ascii="Times New Roman" w:eastAsia="Times New Roman" w:hAnsi="Times New Roman" w:cs="Times New Roman"/>
          <w:b/>
          <w:bCs/>
          <w:sz w:val="26"/>
          <w:szCs w:val="26"/>
        </w:rPr>
        <w:t>Az Egészségbiztosítási Alap pénzbeli ellátásokra fordított kiadásainak alakulása (milliárd forint)</w:t>
      </w:r>
    </w:p>
    <w:tbl>
      <w:tblPr>
        <w:tblpPr w:leftFromText="141" w:rightFromText="141" w:vertAnchor="text" w:tblpXSpec="center" w:tblpY="1"/>
        <w:tblOverlap w:val="never"/>
        <w:tblW w:w="8718" w:type="dxa"/>
        <w:tblLayout w:type="fixed"/>
        <w:tblCellMar>
          <w:left w:w="70" w:type="dxa"/>
          <w:right w:w="70" w:type="dxa"/>
        </w:tblCellMar>
        <w:tblLook w:val="04A0" w:firstRow="1" w:lastRow="0" w:firstColumn="1" w:lastColumn="0" w:noHBand="0" w:noVBand="1"/>
      </w:tblPr>
      <w:tblGrid>
        <w:gridCol w:w="4179"/>
        <w:gridCol w:w="1134"/>
        <w:gridCol w:w="1420"/>
        <w:gridCol w:w="992"/>
        <w:gridCol w:w="993"/>
      </w:tblGrid>
      <w:tr w:rsidR="00E601EF" w:rsidRPr="00377D59" w14:paraId="06E6BC15" w14:textId="77777777" w:rsidTr="24CA6B4B">
        <w:trPr>
          <w:trHeight w:val="340"/>
        </w:trPr>
        <w:tc>
          <w:tcPr>
            <w:tcW w:w="4179" w:type="dxa"/>
            <w:vMerge w:val="restart"/>
            <w:tcBorders>
              <w:top w:val="single" w:sz="4" w:space="0" w:color="auto"/>
              <w:left w:val="single" w:sz="4" w:space="0" w:color="auto"/>
              <w:bottom w:val="single" w:sz="4" w:space="0" w:color="000000" w:themeColor="text1"/>
              <w:right w:val="single" w:sz="4" w:space="0" w:color="auto"/>
            </w:tcBorders>
            <w:shd w:val="clear" w:color="auto" w:fill="DEEAF6" w:themeFill="accent1" w:themeFillTint="33"/>
            <w:noWrap/>
            <w:vAlign w:val="center"/>
            <w:hideMark/>
          </w:tcPr>
          <w:p w14:paraId="510863DA" w14:textId="77777777" w:rsidR="00E601EF" w:rsidRPr="00377D59" w:rsidRDefault="22B2E273" w:rsidP="22B2E273">
            <w:pPr>
              <w:keepNext/>
              <w:keepLines/>
              <w:spacing w:after="0" w:line="240" w:lineRule="auto"/>
              <w:jc w:val="center"/>
              <w:rPr>
                <w:rFonts w:ascii="Times New Roman" w:eastAsia="Times New Roman" w:hAnsi="Times New Roman" w:cs="Times New Roman"/>
                <w:b/>
                <w:bCs/>
              </w:rPr>
            </w:pPr>
            <w:r w:rsidRPr="22B2E273">
              <w:rPr>
                <w:rFonts w:ascii="Times New Roman" w:eastAsia="Times New Roman" w:hAnsi="Times New Roman" w:cs="Times New Roman"/>
                <w:b/>
                <w:bCs/>
              </w:rPr>
              <w:t>Megnevezés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EB8759" w14:textId="77777777" w:rsidR="00E601EF" w:rsidRPr="00377D59" w:rsidRDefault="24CA6B4B" w:rsidP="24CA6B4B">
            <w:pPr>
              <w:keepNext/>
              <w:keepLines/>
              <w:spacing w:after="0" w:line="240" w:lineRule="auto"/>
              <w:jc w:val="center"/>
              <w:rPr>
                <w:rFonts w:ascii="Times New Roman" w:eastAsia="Times New Roman" w:hAnsi="Times New Roman" w:cs="Times New Roman"/>
                <w:b/>
                <w:bCs/>
              </w:rPr>
            </w:pPr>
            <w:r w:rsidRPr="24CA6B4B">
              <w:rPr>
                <w:rFonts w:ascii="Times New Roman" w:eastAsia="Times New Roman" w:hAnsi="Times New Roman" w:cs="Times New Roman"/>
                <w:b/>
                <w:bCs/>
              </w:rPr>
              <w:t xml:space="preserve">2023. </w:t>
            </w:r>
          </w:p>
          <w:p w14:paraId="6BB44369" w14:textId="6722593D" w:rsidR="00E601EF" w:rsidRPr="00377D59" w:rsidRDefault="24CA6B4B" w:rsidP="24CA6B4B">
            <w:pPr>
              <w:keepNext/>
              <w:keepLines/>
              <w:spacing w:after="0" w:line="240" w:lineRule="auto"/>
              <w:jc w:val="center"/>
              <w:rPr>
                <w:rFonts w:ascii="Times New Roman" w:eastAsia="Times New Roman" w:hAnsi="Times New Roman" w:cs="Times New Roman"/>
                <w:b/>
                <w:bCs/>
              </w:rPr>
            </w:pPr>
            <w:r w:rsidRPr="24CA6B4B">
              <w:rPr>
                <w:rFonts w:ascii="Times New Roman" w:eastAsia="Times New Roman" w:hAnsi="Times New Roman" w:cs="Times New Roman"/>
                <w:b/>
                <w:bCs/>
              </w:rPr>
              <w:t>I-XI. hó</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D8B0A6D" w14:textId="77777777" w:rsidR="00E601EF" w:rsidRPr="00377D59" w:rsidRDefault="24CA6B4B" w:rsidP="24CA6B4B">
            <w:pPr>
              <w:keepNext/>
              <w:keepLines/>
              <w:spacing w:after="0" w:line="240" w:lineRule="auto"/>
              <w:jc w:val="center"/>
              <w:rPr>
                <w:rFonts w:ascii="Times New Roman" w:eastAsia="Times New Roman" w:hAnsi="Times New Roman" w:cs="Times New Roman"/>
                <w:b/>
                <w:bCs/>
              </w:rPr>
            </w:pPr>
            <w:r w:rsidRPr="24CA6B4B">
              <w:rPr>
                <w:rFonts w:ascii="Times New Roman" w:eastAsia="Times New Roman" w:hAnsi="Times New Roman" w:cs="Times New Roman"/>
                <w:b/>
                <w:bCs/>
              </w:rPr>
              <w:t xml:space="preserve">2024. </w:t>
            </w:r>
          </w:p>
          <w:p w14:paraId="5A1BFE64" w14:textId="2DB0662A" w:rsidR="00E601EF" w:rsidRPr="00377D59" w:rsidRDefault="24CA6B4B" w:rsidP="24CA6B4B">
            <w:pPr>
              <w:keepNext/>
              <w:keepLines/>
              <w:spacing w:after="0" w:line="240" w:lineRule="auto"/>
              <w:jc w:val="center"/>
              <w:rPr>
                <w:rFonts w:ascii="Times New Roman" w:eastAsia="Times New Roman" w:hAnsi="Times New Roman" w:cs="Times New Roman"/>
                <w:b/>
                <w:bCs/>
              </w:rPr>
            </w:pPr>
            <w:r w:rsidRPr="24CA6B4B">
              <w:rPr>
                <w:rFonts w:ascii="Times New Roman" w:eastAsia="Times New Roman" w:hAnsi="Times New Roman" w:cs="Times New Roman"/>
                <w:b/>
                <w:bCs/>
              </w:rPr>
              <w:t>I-XI. hó</w:t>
            </w:r>
          </w:p>
        </w:tc>
        <w:tc>
          <w:tcPr>
            <w:tcW w:w="1985"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7EFB39D6" w14:textId="77777777" w:rsidR="00E601EF" w:rsidRPr="00377D59" w:rsidRDefault="22B2E273" w:rsidP="22B2E273">
            <w:pPr>
              <w:keepNext/>
              <w:keepLines/>
              <w:spacing w:after="0" w:line="240" w:lineRule="auto"/>
              <w:jc w:val="center"/>
              <w:rPr>
                <w:rFonts w:ascii="Times New Roman" w:eastAsia="Times New Roman" w:hAnsi="Times New Roman" w:cs="Times New Roman"/>
                <w:b/>
                <w:bCs/>
              </w:rPr>
            </w:pPr>
            <w:r w:rsidRPr="22B2E273">
              <w:rPr>
                <w:rFonts w:ascii="Times New Roman" w:eastAsia="Times New Roman" w:hAnsi="Times New Roman" w:cs="Times New Roman"/>
                <w:b/>
                <w:bCs/>
              </w:rPr>
              <w:t>Eltérés</w:t>
            </w:r>
          </w:p>
        </w:tc>
      </w:tr>
      <w:tr w:rsidR="00E601EF" w:rsidRPr="00377D59" w14:paraId="67C6C54B" w14:textId="77777777" w:rsidTr="24CA6B4B">
        <w:trPr>
          <w:trHeight w:val="340"/>
        </w:trPr>
        <w:tc>
          <w:tcPr>
            <w:tcW w:w="4179"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5CCA367D" w14:textId="77777777" w:rsidR="00E601EF" w:rsidRPr="00377D59" w:rsidRDefault="00E601EF" w:rsidP="002678FB">
            <w:pPr>
              <w:keepNext/>
              <w:keepLines/>
              <w:spacing w:after="0" w:line="240" w:lineRule="auto"/>
              <w:rPr>
                <w:rFonts w:ascii="Times New Roman" w:eastAsia="Times New Roman" w:hAnsi="Times New Roman" w:cs="Times New Roman"/>
                <w:b/>
                <w:bCs/>
                <w:lang w:eastAsia="hu-HU"/>
              </w:rPr>
            </w:pPr>
          </w:p>
        </w:tc>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99307A" w14:textId="77777777" w:rsidR="00E601EF" w:rsidRPr="00377D59" w:rsidRDefault="00E601EF" w:rsidP="002678FB">
            <w:pPr>
              <w:keepNext/>
              <w:keepLines/>
              <w:spacing w:after="0" w:line="240" w:lineRule="auto"/>
              <w:jc w:val="center"/>
              <w:rPr>
                <w:rFonts w:ascii="Times New Roman" w:eastAsia="Times New Roman" w:hAnsi="Times New Roman" w:cs="Times New Roman"/>
                <w:b/>
                <w:bCs/>
                <w:lang w:eastAsia="hu-HU"/>
              </w:rPr>
            </w:pPr>
          </w:p>
        </w:tc>
        <w:tc>
          <w:tcPr>
            <w:tcW w:w="142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3E594B6" w14:textId="77777777" w:rsidR="00E601EF" w:rsidRPr="00377D59" w:rsidRDefault="00E601EF" w:rsidP="002678FB">
            <w:pPr>
              <w:keepNext/>
              <w:keepLines/>
              <w:spacing w:after="0" w:line="240" w:lineRule="auto"/>
              <w:jc w:val="center"/>
              <w:rPr>
                <w:rFonts w:ascii="Times New Roman" w:eastAsia="Times New Roman" w:hAnsi="Times New Roman" w:cs="Times New Roman"/>
                <w:b/>
                <w:bCs/>
                <w:lang w:eastAsia="hu-HU"/>
              </w:rPr>
            </w:pPr>
          </w:p>
        </w:tc>
        <w:tc>
          <w:tcPr>
            <w:tcW w:w="99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6986BC2B" w14:textId="77777777" w:rsidR="00E601EF" w:rsidRPr="00377D59" w:rsidRDefault="22B2E273" w:rsidP="22B2E273">
            <w:pPr>
              <w:keepNext/>
              <w:keepLines/>
              <w:spacing w:after="0" w:line="240" w:lineRule="auto"/>
              <w:jc w:val="center"/>
              <w:rPr>
                <w:rFonts w:ascii="Times New Roman" w:eastAsia="Times New Roman" w:hAnsi="Times New Roman" w:cs="Times New Roman"/>
                <w:b/>
                <w:bCs/>
                <w:lang w:eastAsia="hu-HU"/>
              </w:rPr>
            </w:pPr>
            <w:r w:rsidRPr="22B2E273">
              <w:rPr>
                <w:rFonts w:ascii="Times New Roman" w:eastAsia="Times New Roman" w:hAnsi="Times New Roman" w:cs="Times New Roman"/>
                <w:b/>
                <w:bCs/>
                <w:lang w:eastAsia="hu-HU"/>
              </w:rPr>
              <w:t>Mrd Ft</w:t>
            </w:r>
          </w:p>
        </w:tc>
        <w:tc>
          <w:tcPr>
            <w:tcW w:w="993"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70EDA458" w14:textId="77777777" w:rsidR="00E601EF" w:rsidRPr="00377D59" w:rsidRDefault="22B2E273" w:rsidP="22B2E273">
            <w:pPr>
              <w:keepNext/>
              <w:keepLines/>
              <w:spacing w:after="0" w:line="240" w:lineRule="auto"/>
              <w:jc w:val="center"/>
              <w:rPr>
                <w:rFonts w:ascii="Times New Roman" w:eastAsia="Times New Roman" w:hAnsi="Times New Roman" w:cs="Times New Roman"/>
                <w:b/>
                <w:bCs/>
                <w:lang w:eastAsia="hu-HU"/>
              </w:rPr>
            </w:pPr>
            <w:r w:rsidRPr="22B2E273">
              <w:rPr>
                <w:rFonts w:ascii="Times New Roman" w:eastAsia="Times New Roman" w:hAnsi="Times New Roman" w:cs="Times New Roman"/>
                <w:b/>
                <w:bCs/>
                <w:lang w:eastAsia="hu-HU"/>
              </w:rPr>
              <w:t>%</w:t>
            </w:r>
          </w:p>
        </w:tc>
      </w:tr>
      <w:tr w:rsidR="00E601EF" w:rsidRPr="00377D59" w14:paraId="0F7FB8C0" w14:textId="77777777" w:rsidTr="24CA6B4B">
        <w:trPr>
          <w:trHeight w:val="340"/>
        </w:trPr>
        <w:tc>
          <w:tcPr>
            <w:tcW w:w="4179" w:type="dxa"/>
            <w:tcBorders>
              <w:top w:val="nil"/>
              <w:left w:val="single" w:sz="4" w:space="0" w:color="auto"/>
              <w:bottom w:val="single" w:sz="4" w:space="0" w:color="auto"/>
              <w:right w:val="single" w:sz="4" w:space="0" w:color="auto"/>
            </w:tcBorders>
            <w:shd w:val="clear" w:color="auto" w:fill="auto"/>
            <w:noWrap/>
            <w:vAlign w:val="center"/>
            <w:hideMark/>
          </w:tcPr>
          <w:p w14:paraId="4F8BBBDE" w14:textId="77777777" w:rsidR="00E601EF" w:rsidRPr="00377D59" w:rsidRDefault="22B2E273" w:rsidP="22B2E273">
            <w:pPr>
              <w:keepNext/>
              <w:keepLines/>
              <w:spacing w:after="0" w:line="240" w:lineRule="auto"/>
              <w:rPr>
                <w:rFonts w:ascii="Times New Roman" w:eastAsia="Times New Roman" w:hAnsi="Times New Roman" w:cs="Times New Roman"/>
                <w:b/>
                <w:bCs/>
                <w:lang w:eastAsia="hu-HU"/>
              </w:rPr>
            </w:pPr>
            <w:r w:rsidRPr="22B2E273">
              <w:rPr>
                <w:rFonts w:ascii="Times New Roman" w:eastAsia="Times New Roman" w:hAnsi="Times New Roman" w:cs="Times New Roman"/>
                <w:b/>
                <w:bCs/>
                <w:lang w:eastAsia="hu-HU"/>
              </w:rPr>
              <w:t>Pénzbeli ellátások</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B30386" w14:textId="41DC6969" w:rsidR="00E601EF" w:rsidRPr="00377D59" w:rsidRDefault="24CA6B4B" w:rsidP="24CA6B4B">
            <w:pPr>
              <w:keepNext/>
              <w:keepLines/>
              <w:spacing w:after="0"/>
              <w:jc w:val="right"/>
              <w:rPr>
                <w:rFonts w:ascii="Times New Roman" w:eastAsia="Times New Roman" w:hAnsi="Times New Roman" w:cs="Times New Roman"/>
                <w:b/>
                <w:bCs/>
                <w:lang w:eastAsia="hu-HU"/>
              </w:rPr>
            </w:pPr>
            <w:r w:rsidRPr="24CA6B4B">
              <w:rPr>
                <w:rFonts w:ascii="Times New Roman" w:eastAsia="Times New Roman" w:hAnsi="Times New Roman" w:cs="Times New Roman"/>
                <w:b/>
                <w:bCs/>
                <w:lang w:eastAsia="hu-HU"/>
              </w:rPr>
              <w:t>977,0</w:t>
            </w:r>
          </w:p>
        </w:tc>
        <w:tc>
          <w:tcPr>
            <w:tcW w:w="1420" w:type="dxa"/>
            <w:tcBorders>
              <w:top w:val="single" w:sz="4" w:space="0" w:color="auto"/>
              <w:left w:val="nil"/>
              <w:bottom w:val="single" w:sz="4" w:space="0" w:color="auto"/>
              <w:right w:val="single" w:sz="4" w:space="0" w:color="auto"/>
            </w:tcBorders>
            <w:shd w:val="clear" w:color="auto" w:fill="auto"/>
            <w:vAlign w:val="center"/>
          </w:tcPr>
          <w:p w14:paraId="749AF748" w14:textId="57E0A8B6" w:rsidR="00E601EF" w:rsidRPr="00377D59" w:rsidRDefault="24CA6B4B" w:rsidP="24CA6B4B">
            <w:pPr>
              <w:keepNext/>
              <w:keepLines/>
              <w:spacing w:after="0"/>
              <w:jc w:val="right"/>
              <w:rPr>
                <w:rFonts w:ascii="Times New Roman" w:eastAsia="Times New Roman" w:hAnsi="Times New Roman" w:cs="Times New Roman"/>
                <w:b/>
                <w:bCs/>
                <w:lang w:eastAsia="hu-HU"/>
              </w:rPr>
            </w:pPr>
            <w:r w:rsidRPr="24CA6B4B">
              <w:rPr>
                <w:rFonts w:ascii="Times New Roman" w:eastAsia="Times New Roman" w:hAnsi="Times New Roman" w:cs="Times New Roman"/>
                <w:b/>
                <w:bCs/>
                <w:lang w:eastAsia="hu-HU"/>
              </w:rPr>
              <w:t>1</w:t>
            </w:r>
            <w:r w:rsidR="006777EF">
              <w:rPr>
                <w:rFonts w:ascii="Times New Roman" w:eastAsia="Times New Roman" w:hAnsi="Times New Roman" w:cs="Times New Roman"/>
                <w:b/>
                <w:bCs/>
                <w:lang w:eastAsia="hu-HU"/>
              </w:rPr>
              <w:t> </w:t>
            </w:r>
            <w:r w:rsidRPr="24CA6B4B">
              <w:rPr>
                <w:rFonts w:ascii="Times New Roman" w:eastAsia="Times New Roman" w:hAnsi="Times New Roman" w:cs="Times New Roman"/>
                <w:b/>
                <w:bCs/>
                <w:lang w:eastAsia="hu-HU"/>
              </w:rPr>
              <w:t>067,0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0D698F" w14:textId="0E23F6A2" w:rsidR="00E601EF" w:rsidRPr="00377D59" w:rsidRDefault="24CA6B4B" w:rsidP="24CA6B4B">
            <w:pPr>
              <w:keepNext/>
              <w:keepLines/>
              <w:spacing w:after="0"/>
              <w:jc w:val="right"/>
              <w:rPr>
                <w:rFonts w:ascii="Times New Roman" w:eastAsia="Times New Roman" w:hAnsi="Times New Roman" w:cs="Times New Roman"/>
                <w:b/>
                <w:bCs/>
                <w:lang w:eastAsia="hu-HU"/>
              </w:rPr>
            </w:pPr>
            <w:r w:rsidRPr="24CA6B4B">
              <w:rPr>
                <w:rFonts w:ascii="Times New Roman" w:eastAsia="Times New Roman" w:hAnsi="Times New Roman" w:cs="Times New Roman"/>
                <w:b/>
                <w:bCs/>
                <w:lang w:eastAsia="hu-HU"/>
              </w:rPr>
              <w:t>90,0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5977C13" w14:textId="5A257841" w:rsidR="00E601EF" w:rsidRPr="00377D59" w:rsidRDefault="24CA6B4B" w:rsidP="24CA6B4B">
            <w:pPr>
              <w:keepNext/>
              <w:keepLines/>
              <w:spacing w:after="0"/>
              <w:jc w:val="right"/>
              <w:rPr>
                <w:rFonts w:ascii="Times New Roman" w:eastAsia="Times New Roman" w:hAnsi="Times New Roman" w:cs="Times New Roman"/>
                <w:b/>
                <w:bCs/>
                <w:lang w:eastAsia="hu-HU"/>
              </w:rPr>
            </w:pPr>
            <w:r w:rsidRPr="24CA6B4B">
              <w:rPr>
                <w:rFonts w:ascii="Times New Roman" w:eastAsia="Times New Roman" w:hAnsi="Times New Roman" w:cs="Times New Roman"/>
                <w:b/>
                <w:bCs/>
                <w:lang w:eastAsia="hu-HU"/>
              </w:rPr>
              <w:t>109,2</w:t>
            </w:r>
          </w:p>
        </w:tc>
      </w:tr>
      <w:tr w:rsidR="00E601EF" w:rsidRPr="00377D59" w14:paraId="07715518" w14:textId="77777777" w:rsidTr="24CA6B4B">
        <w:trPr>
          <w:trHeight w:val="284"/>
        </w:trPr>
        <w:tc>
          <w:tcPr>
            <w:tcW w:w="4179" w:type="dxa"/>
            <w:tcBorders>
              <w:top w:val="nil"/>
              <w:left w:val="single" w:sz="4" w:space="0" w:color="auto"/>
              <w:bottom w:val="single" w:sz="4" w:space="0" w:color="auto"/>
              <w:right w:val="single" w:sz="4" w:space="0" w:color="auto"/>
            </w:tcBorders>
            <w:shd w:val="clear" w:color="auto" w:fill="auto"/>
            <w:noWrap/>
            <w:vAlign w:val="center"/>
            <w:hideMark/>
          </w:tcPr>
          <w:p w14:paraId="31DF5B0B" w14:textId="77777777" w:rsidR="00E601EF" w:rsidRPr="00377D59" w:rsidRDefault="22B2E273" w:rsidP="22B2E273">
            <w:pPr>
              <w:keepNext/>
              <w:keepLines/>
              <w:spacing w:after="0" w:line="240" w:lineRule="auto"/>
              <w:ind w:firstLine="285"/>
              <w:rPr>
                <w:rFonts w:ascii="Times New Roman" w:eastAsia="Times New Roman" w:hAnsi="Times New Roman" w:cs="Times New Roman"/>
                <w:i/>
                <w:iCs/>
                <w:lang w:eastAsia="hu-HU"/>
              </w:rPr>
            </w:pPr>
            <w:r w:rsidRPr="22B2E273">
              <w:rPr>
                <w:rFonts w:ascii="Times New Roman" w:eastAsia="Times New Roman" w:hAnsi="Times New Roman" w:cs="Times New Roman"/>
                <w:i/>
                <w:iCs/>
                <w:lang w:eastAsia="hu-HU"/>
              </w:rPr>
              <w:t>Ebből:</w:t>
            </w:r>
          </w:p>
        </w:tc>
        <w:tc>
          <w:tcPr>
            <w:tcW w:w="4539" w:type="dxa"/>
            <w:gridSpan w:val="4"/>
            <w:tcBorders>
              <w:top w:val="single" w:sz="4" w:space="0" w:color="auto"/>
              <w:left w:val="nil"/>
              <w:bottom w:val="single" w:sz="4" w:space="0" w:color="auto"/>
              <w:right w:val="single" w:sz="4" w:space="0" w:color="auto"/>
            </w:tcBorders>
            <w:shd w:val="clear" w:color="auto" w:fill="auto"/>
            <w:vAlign w:val="center"/>
          </w:tcPr>
          <w:p w14:paraId="60B47ECC" w14:textId="77777777" w:rsidR="00E601EF" w:rsidRPr="00377D59" w:rsidRDefault="00E601EF" w:rsidP="002678FB">
            <w:pPr>
              <w:keepNext/>
              <w:keepLines/>
              <w:spacing w:after="0" w:line="240" w:lineRule="auto"/>
              <w:jc w:val="right"/>
              <w:rPr>
                <w:rFonts w:ascii="Times New Roman" w:eastAsia="Times New Roman" w:hAnsi="Times New Roman" w:cs="Times New Roman"/>
                <w:lang w:eastAsia="hu-HU"/>
              </w:rPr>
            </w:pPr>
          </w:p>
        </w:tc>
      </w:tr>
      <w:tr w:rsidR="00E601EF" w:rsidRPr="00377D59" w14:paraId="72B9616A" w14:textId="77777777" w:rsidTr="24CA6B4B">
        <w:trPr>
          <w:trHeight w:val="340"/>
        </w:trPr>
        <w:tc>
          <w:tcPr>
            <w:tcW w:w="4179" w:type="dxa"/>
            <w:tcBorders>
              <w:top w:val="nil"/>
              <w:left w:val="single" w:sz="4" w:space="0" w:color="auto"/>
              <w:bottom w:val="single" w:sz="4" w:space="0" w:color="auto"/>
              <w:right w:val="single" w:sz="4" w:space="0" w:color="auto"/>
            </w:tcBorders>
            <w:shd w:val="clear" w:color="auto" w:fill="auto"/>
            <w:noWrap/>
            <w:vAlign w:val="center"/>
            <w:hideMark/>
          </w:tcPr>
          <w:p w14:paraId="21DA2C4C" w14:textId="77777777" w:rsidR="00E601EF" w:rsidRPr="00377D59" w:rsidRDefault="22B2E273" w:rsidP="22B2E273">
            <w:pPr>
              <w:keepNext/>
              <w:keepLines/>
              <w:spacing w:after="0" w:line="240" w:lineRule="auto"/>
              <w:ind w:firstLineChars="284" w:firstLine="625"/>
              <w:rPr>
                <w:rFonts w:ascii="Times New Roman" w:eastAsia="Times New Roman" w:hAnsi="Times New Roman" w:cs="Times New Roman"/>
                <w:lang w:eastAsia="hu-HU"/>
              </w:rPr>
            </w:pPr>
            <w:r w:rsidRPr="22B2E273">
              <w:rPr>
                <w:rFonts w:ascii="Times New Roman" w:eastAsia="Times New Roman" w:hAnsi="Times New Roman" w:cs="Times New Roman"/>
                <w:lang w:eastAsia="hu-HU"/>
              </w:rPr>
              <w:t>Rokkantsági, rehabilitációs ellátások</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E22A63" w14:textId="5864AB8C" w:rsidR="00E601EF" w:rsidRPr="00377D59" w:rsidRDefault="24CA6B4B" w:rsidP="24CA6B4B">
            <w:pPr>
              <w:keepNext/>
              <w:keepLines/>
              <w:spacing w:after="0"/>
              <w:jc w:val="right"/>
              <w:rPr>
                <w:rFonts w:ascii="Times New Roman" w:eastAsia="Times New Roman" w:hAnsi="Times New Roman" w:cs="Times New Roman"/>
                <w:lang w:eastAsia="hu-HU"/>
              </w:rPr>
            </w:pPr>
            <w:r w:rsidRPr="24CA6B4B">
              <w:rPr>
                <w:rFonts w:ascii="Times New Roman" w:eastAsia="Times New Roman" w:hAnsi="Times New Roman" w:cs="Times New Roman"/>
                <w:lang w:eastAsia="hu-HU"/>
              </w:rPr>
              <w:t>350,0</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480FC73" w14:textId="25F6BE66" w:rsidR="00E601EF" w:rsidRPr="00377D59" w:rsidRDefault="24CA6B4B" w:rsidP="24CA6B4B">
            <w:pPr>
              <w:keepNext/>
              <w:keepLines/>
              <w:spacing w:after="0"/>
              <w:jc w:val="right"/>
              <w:rPr>
                <w:rFonts w:ascii="Times New Roman" w:eastAsia="Times New Roman" w:hAnsi="Times New Roman" w:cs="Times New Roman"/>
                <w:lang w:eastAsia="hu-HU"/>
              </w:rPr>
            </w:pPr>
            <w:r w:rsidRPr="24CA6B4B">
              <w:rPr>
                <w:rFonts w:ascii="Times New Roman" w:eastAsia="Times New Roman" w:hAnsi="Times New Roman" w:cs="Times New Roman"/>
                <w:lang w:eastAsia="hu-HU"/>
              </w:rPr>
              <w:t>369,0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616B24" w14:textId="2DB0F540" w:rsidR="00E601EF" w:rsidRPr="00377D59" w:rsidRDefault="24CA6B4B" w:rsidP="24CA6B4B">
            <w:pPr>
              <w:keepNext/>
              <w:keepLines/>
              <w:spacing w:after="0"/>
              <w:jc w:val="right"/>
              <w:rPr>
                <w:rFonts w:ascii="Times New Roman" w:eastAsia="Times New Roman" w:hAnsi="Times New Roman" w:cs="Times New Roman"/>
                <w:lang w:eastAsia="hu-HU"/>
              </w:rPr>
            </w:pPr>
            <w:r w:rsidRPr="24CA6B4B">
              <w:rPr>
                <w:rFonts w:ascii="Times New Roman" w:eastAsia="Times New Roman" w:hAnsi="Times New Roman" w:cs="Times New Roman"/>
                <w:lang w:eastAsia="hu-HU"/>
              </w:rPr>
              <w:t>19,0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B583A17" w14:textId="6FA17DEA" w:rsidR="00E601EF" w:rsidRPr="00377D59" w:rsidRDefault="24CA6B4B" w:rsidP="24CA6B4B">
            <w:pPr>
              <w:keepNext/>
              <w:keepLines/>
              <w:spacing w:after="0"/>
              <w:jc w:val="right"/>
              <w:rPr>
                <w:rFonts w:ascii="Times New Roman" w:eastAsia="Times New Roman" w:hAnsi="Times New Roman" w:cs="Times New Roman"/>
                <w:lang w:eastAsia="hu-HU"/>
              </w:rPr>
            </w:pPr>
            <w:r w:rsidRPr="24CA6B4B">
              <w:rPr>
                <w:rFonts w:ascii="Times New Roman" w:eastAsia="Times New Roman" w:hAnsi="Times New Roman" w:cs="Times New Roman"/>
                <w:lang w:eastAsia="hu-HU"/>
              </w:rPr>
              <w:t>105,4</w:t>
            </w:r>
          </w:p>
        </w:tc>
      </w:tr>
      <w:tr w:rsidR="00E601EF" w:rsidRPr="00377D59" w14:paraId="778FD915" w14:textId="77777777" w:rsidTr="24CA6B4B">
        <w:trPr>
          <w:trHeight w:val="340"/>
        </w:trPr>
        <w:tc>
          <w:tcPr>
            <w:tcW w:w="4179" w:type="dxa"/>
            <w:tcBorders>
              <w:top w:val="nil"/>
              <w:left w:val="single" w:sz="4" w:space="0" w:color="auto"/>
              <w:bottom w:val="single" w:sz="4" w:space="0" w:color="auto"/>
              <w:right w:val="single" w:sz="4" w:space="0" w:color="auto"/>
            </w:tcBorders>
            <w:shd w:val="clear" w:color="auto" w:fill="auto"/>
            <w:noWrap/>
            <w:vAlign w:val="center"/>
            <w:hideMark/>
          </w:tcPr>
          <w:p w14:paraId="4CDB1046" w14:textId="77777777" w:rsidR="00E601EF" w:rsidRPr="00377D59" w:rsidRDefault="22B2E273" w:rsidP="22B2E273">
            <w:pPr>
              <w:keepNext/>
              <w:keepLines/>
              <w:spacing w:after="0" w:line="240" w:lineRule="auto"/>
              <w:ind w:firstLineChars="284" w:firstLine="625"/>
              <w:rPr>
                <w:rFonts w:ascii="Times New Roman" w:eastAsia="Times New Roman" w:hAnsi="Times New Roman" w:cs="Times New Roman"/>
                <w:lang w:eastAsia="hu-HU"/>
              </w:rPr>
            </w:pPr>
            <w:r w:rsidRPr="22B2E273">
              <w:rPr>
                <w:rFonts w:ascii="Times New Roman" w:eastAsia="Times New Roman" w:hAnsi="Times New Roman" w:cs="Times New Roman"/>
                <w:lang w:eastAsia="hu-HU"/>
              </w:rPr>
              <w:t>Gyermekgondozási díj</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0C3582" w14:textId="3BBD3CB7" w:rsidR="00E601EF" w:rsidRPr="00377D59" w:rsidRDefault="24CA6B4B" w:rsidP="24CA6B4B">
            <w:pPr>
              <w:keepNext/>
              <w:keepLines/>
              <w:spacing w:after="0"/>
              <w:jc w:val="right"/>
              <w:rPr>
                <w:rFonts w:ascii="Times New Roman" w:eastAsia="Times New Roman" w:hAnsi="Times New Roman" w:cs="Times New Roman"/>
                <w:lang w:eastAsia="hu-HU"/>
              </w:rPr>
            </w:pPr>
            <w:r w:rsidRPr="24CA6B4B">
              <w:rPr>
                <w:rFonts w:ascii="Times New Roman" w:eastAsia="Times New Roman" w:hAnsi="Times New Roman" w:cs="Times New Roman"/>
                <w:lang w:eastAsia="hu-HU"/>
              </w:rPr>
              <w:t>303,2</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6E6D7B2A" w14:textId="11915C09" w:rsidR="00E601EF" w:rsidRPr="00377D59" w:rsidRDefault="24CA6B4B" w:rsidP="24CA6B4B">
            <w:pPr>
              <w:keepNext/>
              <w:keepLines/>
              <w:spacing w:after="0"/>
              <w:jc w:val="right"/>
              <w:rPr>
                <w:rFonts w:ascii="Times New Roman" w:eastAsia="Times New Roman" w:hAnsi="Times New Roman" w:cs="Times New Roman"/>
                <w:lang w:eastAsia="hu-HU"/>
              </w:rPr>
            </w:pPr>
            <w:r w:rsidRPr="24CA6B4B">
              <w:rPr>
                <w:rFonts w:ascii="Times New Roman" w:eastAsia="Times New Roman" w:hAnsi="Times New Roman" w:cs="Times New Roman"/>
                <w:lang w:eastAsia="hu-HU"/>
              </w:rPr>
              <w:t>346,2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1AEA46" w14:textId="28BC7CCF" w:rsidR="00E601EF" w:rsidRPr="00377D59" w:rsidRDefault="24CA6B4B" w:rsidP="24CA6B4B">
            <w:pPr>
              <w:keepNext/>
              <w:keepLines/>
              <w:spacing w:after="0"/>
              <w:jc w:val="right"/>
              <w:rPr>
                <w:rFonts w:ascii="Times New Roman" w:eastAsia="Times New Roman" w:hAnsi="Times New Roman" w:cs="Times New Roman"/>
                <w:lang w:eastAsia="hu-HU"/>
              </w:rPr>
            </w:pPr>
            <w:r w:rsidRPr="24CA6B4B">
              <w:rPr>
                <w:rFonts w:ascii="Times New Roman" w:eastAsia="Times New Roman" w:hAnsi="Times New Roman" w:cs="Times New Roman"/>
                <w:lang w:eastAsia="hu-HU"/>
              </w:rPr>
              <w:t>43,0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89A6E8D" w14:textId="5CEC8701" w:rsidR="00E601EF" w:rsidRPr="00377D59" w:rsidRDefault="24CA6B4B" w:rsidP="24CA6B4B">
            <w:pPr>
              <w:keepNext/>
              <w:keepLines/>
              <w:spacing w:after="0"/>
              <w:jc w:val="right"/>
              <w:rPr>
                <w:rFonts w:ascii="Times New Roman" w:eastAsia="Times New Roman" w:hAnsi="Times New Roman" w:cs="Times New Roman"/>
                <w:lang w:eastAsia="hu-HU"/>
              </w:rPr>
            </w:pPr>
            <w:r w:rsidRPr="24CA6B4B">
              <w:rPr>
                <w:rFonts w:ascii="Times New Roman" w:eastAsia="Times New Roman" w:hAnsi="Times New Roman" w:cs="Times New Roman"/>
                <w:lang w:eastAsia="hu-HU"/>
              </w:rPr>
              <w:t>114,2</w:t>
            </w:r>
          </w:p>
        </w:tc>
      </w:tr>
      <w:tr w:rsidR="00E601EF" w:rsidRPr="00377D59" w14:paraId="7D62EFFD" w14:textId="77777777" w:rsidTr="24CA6B4B">
        <w:trPr>
          <w:trHeight w:val="340"/>
        </w:trPr>
        <w:tc>
          <w:tcPr>
            <w:tcW w:w="4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7EDDE" w14:textId="77777777" w:rsidR="00E601EF" w:rsidRPr="00377D59" w:rsidRDefault="22B2E273" w:rsidP="22B2E273">
            <w:pPr>
              <w:keepNext/>
              <w:keepLines/>
              <w:spacing w:after="0" w:line="240" w:lineRule="auto"/>
              <w:ind w:firstLineChars="284" w:firstLine="625"/>
              <w:rPr>
                <w:rFonts w:ascii="Times New Roman" w:eastAsia="Times New Roman" w:hAnsi="Times New Roman" w:cs="Times New Roman"/>
                <w:lang w:eastAsia="hu-HU"/>
              </w:rPr>
            </w:pPr>
            <w:r w:rsidRPr="22B2E273">
              <w:rPr>
                <w:rFonts w:ascii="Times New Roman" w:eastAsia="Times New Roman" w:hAnsi="Times New Roman" w:cs="Times New Roman"/>
                <w:lang w:eastAsia="hu-HU"/>
              </w:rPr>
              <w:t>Táppénz</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BD4593" w14:textId="38482F64" w:rsidR="00E601EF" w:rsidRPr="00377D59" w:rsidRDefault="24CA6B4B" w:rsidP="24CA6B4B">
            <w:pPr>
              <w:keepNext/>
              <w:keepLines/>
              <w:spacing w:after="0"/>
              <w:jc w:val="right"/>
              <w:rPr>
                <w:rFonts w:ascii="Times New Roman" w:eastAsia="Times New Roman" w:hAnsi="Times New Roman" w:cs="Times New Roman"/>
                <w:lang w:eastAsia="hu-HU"/>
              </w:rPr>
            </w:pPr>
            <w:r w:rsidRPr="24CA6B4B">
              <w:rPr>
                <w:rFonts w:ascii="Times New Roman" w:eastAsia="Times New Roman" w:hAnsi="Times New Roman" w:cs="Times New Roman"/>
                <w:lang w:eastAsia="hu-HU"/>
              </w:rPr>
              <w:t>174,8</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7122EFC4" w14:textId="05602504" w:rsidR="00E601EF" w:rsidRPr="00377D59" w:rsidRDefault="24CA6B4B" w:rsidP="24CA6B4B">
            <w:pPr>
              <w:keepNext/>
              <w:keepLines/>
              <w:spacing w:after="0"/>
              <w:jc w:val="right"/>
              <w:rPr>
                <w:rFonts w:ascii="Times New Roman" w:eastAsia="Times New Roman" w:hAnsi="Times New Roman" w:cs="Times New Roman"/>
                <w:lang w:eastAsia="hu-HU"/>
              </w:rPr>
            </w:pPr>
            <w:r w:rsidRPr="24CA6B4B">
              <w:rPr>
                <w:rFonts w:ascii="Times New Roman" w:eastAsia="Times New Roman" w:hAnsi="Times New Roman" w:cs="Times New Roman"/>
                <w:lang w:eastAsia="hu-HU"/>
              </w:rPr>
              <w:t>196,1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552A76" w14:textId="489319DD" w:rsidR="00E601EF" w:rsidRPr="00377D59" w:rsidRDefault="24CA6B4B" w:rsidP="24CA6B4B">
            <w:pPr>
              <w:keepNext/>
              <w:keepLines/>
              <w:spacing w:after="0"/>
              <w:jc w:val="right"/>
              <w:rPr>
                <w:rFonts w:ascii="Times New Roman" w:eastAsia="Times New Roman" w:hAnsi="Times New Roman" w:cs="Times New Roman"/>
                <w:lang w:eastAsia="hu-HU"/>
              </w:rPr>
            </w:pPr>
            <w:r w:rsidRPr="24CA6B4B">
              <w:rPr>
                <w:rFonts w:ascii="Times New Roman" w:eastAsia="Times New Roman" w:hAnsi="Times New Roman" w:cs="Times New Roman"/>
                <w:lang w:eastAsia="hu-HU"/>
              </w:rPr>
              <w:t>21,3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24ADF3D" w14:textId="02BADF94" w:rsidR="00E601EF" w:rsidRPr="00377D59" w:rsidRDefault="24CA6B4B" w:rsidP="24CA6B4B">
            <w:pPr>
              <w:keepNext/>
              <w:keepLines/>
              <w:spacing w:after="0"/>
              <w:jc w:val="right"/>
              <w:rPr>
                <w:rFonts w:ascii="Times New Roman" w:eastAsia="Times New Roman" w:hAnsi="Times New Roman" w:cs="Times New Roman"/>
                <w:lang w:eastAsia="hu-HU"/>
              </w:rPr>
            </w:pPr>
            <w:r w:rsidRPr="24CA6B4B">
              <w:rPr>
                <w:rFonts w:ascii="Times New Roman" w:eastAsia="Times New Roman" w:hAnsi="Times New Roman" w:cs="Times New Roman"/>
                <w:lang w:eastAsia="hu-HU"/>
              </w:rPr>
              <w:t>112,2</w:t>
            </w:r>
          </w:p>
        </w:tc>
      </w:tr>
    </w:tbl>
    <w:p w14:paraId="12645E46" w14:textId="77777777" w:rsidR="00C11940" w:rsidRDefault="00C11940" w:rsidP="24CA6B4B">
      <w:pPr>
        <w:spacing w:before="240"/>
        <w:jc w:val="both"/>
        <w:rPr>
          <w:rFonts w:ascii="Times New Roman" w:eastAsia="Times New Roman" w:hAnsi="Times New Roman" w:cs="Times New Roman"/>
          <w:sz w:val="26"/>
          <w:szCs w:val="26"/>
        </w:rPr>
      </w:pPr>
    </w:p>
    <w:p w14:paraId="0018CD50" w14:textId="2F815209" w:rsidR="000A1F24" w:rsidRDefault="00C11940" w:rsidP="24CA6B4B">
      <w:pPr>
        <w:spacing w:before="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br w:type="column"/>
      </w:r>
      <w:r w:rsidR="24CA6B4B" w:rsidRPr="24CA6B4B">
        <w:rPr>
          <w:rFonts w:ascii="Times New Roman" w:eastAsia="Times New Roman" w:hAnsi="Times New Roman" w:cs="Times New Roman"/>
          <w:sz w:val="26"/>
          <w:szCs w:val="26"/>
        </w:rPr>
        <w:t xml:space="preserve">A </w:t>
      </w:r>
      <w:r w:rsidR="24CA6B4B" w:rsidRPr="24CA6B4B">
        <w:rPr>
          <w:rFonts w:ascii="Times New Roman" w:eastAsia="Times New Roman" w:hAnsi="Times New Roman" w:cs="Times New Roman"/>
          <w:b/>
          <w:bCs/>
          <w:sz w:val="26"/>
          <w:szCs w:val="26"/>
        </w:rPr>
        <w:t>gyógyító-megelőző ellátásokra</w:t>
      </w:r>
      <w:r w:rsidR="24CA6B4B" w:rsidRPr="24CA6B4B">
        <w:rPr>
          <w:rFonts w:ascii="Times New Roman" w:eastAsia="Times New Roman" w:hAnsi="Times New Roman" w:cs="Times New Roman"/>
          <w:sz w:val="26"/>
          <w:szCs w:val="26"/>
        </w:rPr>
        <w:t xml:space="preserve"> fordított kiadás 2024 első tizenegy hónapjában 2 434,3 milliárd forintot tett ki a 2023 azonos időszakában felmerülő 2 189,1 milliárd forint összegű kiadással szemben. Az előző évhez viszonyított magasabb összegű kiadás elsődlegesen az egészségügyi ágazati előmeneteli szabályok hatálya alá tartozó egészségügyi szakdolgozókat és egészségügyben dolgozókat 2024. március 1-jétől megillető, átlagosan 20%-os, valamint az alapellátásban dolgozó egészségügyi dolgozók azonos mértékű béremelésével kapcsolatosan jelentkezik.</w:t>
      </w:r>
    </w:p>
    <w:p w14:paraId="232C3763" w14:textId="2748A8EB" w:rsidR="24CA6B4B" w:rsidRDefault="24CA6B4B" w:rsidP="24CA6B4B">
      <w:pPr>
        <w:spacing w:before="240"/>
        <w:jc w:val="both"/>
        <w:rPr>
          <w:rFonts w:ascii="Times New Roman" w:eastAsia="Times New Roman" w:hAnsi="Times New Roman" w:cs="Times New Roman"/>
          <w:sz w:val="26"/>
          <w:szCs w:val="26"/>
        </w:rPr>
      </w:pPr>
      <w:r w:rsidRPr="24CA6B4B">
        <w:rPr>
          <w:rFonts w:ascii="Times New Roman" w:eastAsia="Times New Roman" w:hAnsi="Times New Roman" w:cs="Times New Roman"/>
          <w:sz w:val="26"/>
          <w:szCs w:val="26"/>
        </w:rPr>
        <w:t>További kiadás-növelő tényezőt jelent még az, hogy a járóbeteg- és fekvőbeteg-szakellátást nyújtó közfinanszírozott szolgáltatók gazdálkodását segítő intézkedésekről szóló 83/2024. (IV. 17.) Korm. rendelet alapján az említett ellátásokat nyújtó állami, önkormányzati, egyházi tulajdonban álló egészségügyi szolgáltatók, továbbá az orvostudományi egyetemek klinikai központjai a lejárt tartozásállományuk alapján működési támogatásban részesültek első ütemben 2024. április végéig 63,4 milliárd forint összegben, majd második ütemben, az Egészségbiztosítási Alap Gyógyító-megelőző ellátás alcím Célelőirányzatok jogcímcsoport 2024. évi előirányzatának megemeléséről és egyéb intézkedésről szóló 1171/2024. (VI. 17.) Korm. határozat alapján, 2024. június végéig 41,0 milliárd forint összegben. Harmadik ütemben is sor került működési támogatásra, az Egészségbiztosítási Alap Gyógyító-megelőző ellátás alcím Célelőirányzatok jogcímcsoport 2024. évi előirányzatának megemeléséről szóló 1363/2024. (XI. 25.) Korm. határozat alapján november végéig 39,5 milliárd forint összegben.</w:t>
      </w:r>
    </w:p>
    <w:p w14:paraId="185DEFBA" w14:textId="1CBB4AC9" w:rsidR="00E601EF" w:rsidRPr="00E601EF" w:rsidRDefault="24CA6B4B" w:rsidP="24CA6B4B">
      <w:pPr>
        <w:spacing w:before="160"/>
        <w:jc w:val="both"/>
        <w:rPr>
          <w:rFonts w:ascii="Times New Roman" w:eastAsia="Times New Roman" w:hAnsi="Times New Roman" w:cs="Times New Roman"/>
          <w:sz w:val="26"/>
          <w:szCs w:val="26"/>
        </w:rPr>
      </w:pPr>
      <w:r w:rsidRPr="24CA6B4B">
        <w:rPr>
          <w:rFonts w:ascii="Times New Roman" w:eastAsia="Times New Roman" w:hAnsi="Times New Roman" w:cs="Times New Roman"/>
          <w:b/>
          <w:bCs/>
          <w:sz w:val="26"/>
          <w:szCs w:val="26"/>
        </w:rPr>
        <w:t>Gyógyszertámogatásra</w:t>
      </w:r>
      <w:r w:rsidRPr="24CA6B4B">
        <w:rPr>
          <w:rFonts w:ascii="Times New Roman" w:eastAsia="Times New Roman" w:hAnsi="Times New Roman" w:cs="Times New Roman"/>
          <w:sz w:val="26"/>
          <w:szCs w:val="26"/>
        </w:rPr>
        <w:t xml:space="preserve"> 2024 első tizenegy hónapjában 500,2 milliárd forint került kifizetésre, amely 42,9 milliárd forinttal több az előző évben kifizetett összegnél.</w:t>
      </w:r>
    </w:p>
    <w:p w14:paraId="7B768C24" w14:textId="77777777" w:rsidR="00B155FE" w:rsidRPr="00FB35A4" w:rsidRDefault="22B2E273" w:rsidP="22B2E273">
      <w:pPr>
        <w:keepNext/>
        <w:pageBreakBefore/>
        <w:numPr>
          <w:ilvl w:val="0"/>
          <w:numId w:val="3"/>
        </w:numPr>
        <w:spacing w:after="120" w:line="240" w:lineRule="auto"/>
        <w:ind w:left="714" w:hanging="357"/>
        <w:jc w:val="both"/>
        <w:outlineLvl w:val="2"/>
        <w:rPr>
          <w:rFonts w:ascii="Times New Roman" w:eastAsia="Times New Roman" w:hAnsi="Times New Roman" w:cs="Times New Roman"/>
          <w:b/>
          <w:bCs/>
          <w:smallCaps/>
          <w:sz w:val="28"/>
          <w:szCs w:val="28"/>
          <w:lang w:eastAsia="hu-HU"/>
        </w:rPr>
      </w:pPr>
      <w:r w:rsidRPr="22B2E273">
        <w:rPr>
          <w:rFonts w:ascii="Times New Roman" w:eastAsia="Times New Roman" w:hAnsi="Times New Roman" w:cs="Times New Roman"/>
          <w:b/>
          <w:bCs/>
          <w:smallCaps/>
          <w:sz w:val="28"/>
          <w:szCs w:val="28"/>
          <w:lang w:eastAsia="hu-HU"/>
        </w:rPr>
        <w:t xml:space="preserve">A költségvetési szervek és fejezeti kezelésű előirányzatok alakulása </w:t>
      </w:r>
    </w:p>
    <w:p w14:paraId="33892978" w14:textId="6182A5B9" w:rsidR="00B63DA3" w:rsidRPr="00BD3CEA" w:rsidRDefault="22B2E273" w:rsidP="22B2E273">
      <w:pPr>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sz w:val="26"/>
          <w:szCs w:val="26"/>
          <w:lang w:eastAsia="hu-HU"/>
        </w:rPr>
        <w:t xml:space="preserve">A </w:t>
      </w:r>
      <w:r w:rsidRPr="22B2E273">
        <w:rPr>
          <w:rFonts w:ascii="Times New Roman" w:eastAsia="Times New Roman" w:hAnsi="Times New Roman" w:cs="Times New Roman"/>
          <w:b/>
          <w:bCs/>
          <w:sz w:val="26"/>
          <w:szCs w:val="26"/>
          <w:lang w:eastAsia="hu-HU"/>
        </w:rPr>
        <w:t>költségvetési szervek bevételei</w:t>
      </w:r>
      <w:r w:rsidRPr="22B2E273">
        <w:rPr>
          <w:rFonts w:ascii="Times New Roman" w:eastAsia="Times New Roman" w:hAnsi="Times New Roman" w:cs="Times New Roman"/>
          <w:sz w:val="26"/>
          <w:szCs w:val="26"/>
          <w:lang w:eastAsia="hu-HU"/>
        </w:rPr>
        <w:t xml:space="preserve"> 2024 első tizenegy hónapjában 2 368,8 milliárd forintot tettek ki, amely 9,7%-kal magasabb az előző év azonos időszakának bevételeihez képest. Az intézmények bevételei közül 1 326,6 milliárd forintot tett ki a Nemzeti Egészségbiztosítási Alapkezelő által az egészségügyi intézményeknek utalt támogatás.</w:t>
      </w:r>
    </w:p>
    <w:p w14:paraId="3008A395" w14:textId="26240C6B" w:rsidR="00B63DA3" w:rsidRPr="00CC24D0" w:rsidRDefault="22B2E273" w:rsidP="22B2E273">
      <w:pPr>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sz w:val="26"/>
          <w:szCs w:val="26"/>
          <w:lang w:eastAsia="hu-HU"/>
        </w:rPr>
        <w:t xml:space="preserve">A </w:t>
      </w:r>
      <w:r w:rsidRPr="22B2E273">
        <w:rPr>
          <w:rFonts w:ascii="Times New Roman" w:eastAsia="Times New Roman" w:hAnsi="Times New Roman" w:cs="Times New Roman"/>
          <w:b/>
          <w:bCs/>
          <w:sz w:val="26"/>
          <w:szCs w:val="26"/>
          <w:lang w:eastAsia="hu-HU"/>
        </w:rPr>
        <w:t>szakmai fejezeti kezelésű előirányzatok bevételei</w:t>
      </w:r>
      <w:r w:rsidRPr="22B2E273">
        <w:rPr>
          <w:rFonts w:ascii="Times New Roman" w:eastAsia="Times New Roman" w:hAnsi="Times New Roman" w:cs="Times New Roman"/>
          <w:sz w:val="26"/>
          <w:szCs w:val="26"/>
          <w:lang w:eastAsia="hu-HU"/>
        </w:rPr>
        <w:t xml:space="preserve"> 2024 első tizenegy hónapjában 681,0 milliárd forintot tettek ki, mely 25,8%-kal magasabb az előző év azonos időszakának bevételéhez képest. A bevételek jelentős részét az „Alapok alapja GINOP pénzügyi eszközök”, illetve az „Alapok alapja GINOP Plusz pénzügyi eszközök” törvényi sorokra befolyt összegek teszik ki, melyek nem uniós bevételként jóváírt tételek.</w:t>
      </w:r>
    </w:p>
    <w:p w14:paraId="56786471" w14:textId="7DE71BDE" w:rsidR="00B63DA3" w:rsidRPr="00F90893" w:rsidRDefault="22B2E273" w:rsidP="22B2E273">
      <w:pPr>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sz w:val="26"/>
          <w:szCs w:val="26"/>
          <w:lang w:eastAsia="hu-HU"/>
        </w:rPr>
        <w:t xml:space="preserve">A </w:t>
      </w:r>
      <w:r w:rsidRPr="22B2E273">
        <w:rPr>
          <w:rFonts w:ascii="Times New Roman" w:hAnsi="Times New Roman" w:cs="Times New Roman"/>
          <w:sz w:val="26"/>
          <w:szCs w:val="26"/>
          <w:lang w:eastAsia="hu-HU"/>
        </w:rPr>
        <w:t>2024. év első tizenegy havi, 3 049,8 milliárd forint összegű bevételek megoszlását a következő grafikon szemlélteti</w:t>
      </w:r>
      <w:r w:rsidRPr="22B2E273">
        <w:rPr>
          <w:rFonts w:ascii="Times New Roman" w:eastAsia="Times New Roman" w:hAnsi="Times New Roman" w:cs="Times New Roman"/>
          <w:sz w:val="26"/>
          <w:szCs w:val="26"/>
          <w:lang w:eastAsia="hu-HU"/>
        </w:rPr>
        <w:t>:</w:t>
      </w:r>
    </w:p>
    <w:p w14:paraId="576D18BB" w14:textId="65F8320F" w:rsidR="00B056CC" w:rsidRPr="00377D59" w:rsidRDefault="00C11940" w:rsidP="00C2238F">
      <w:pPr>
        <w:spacing w:before="240" w:after="120"/>
        <w:jc w:val="center"/>
        <w:rPr>
          <w:rFonts w:ascii="Times New Roman" w:eastAsia="Times New Roman" w:hAnsi="Times New Roman" w:cs="Times New Roman"/>
          <w:b/>
          <w:sz w:val="26"/>
          <w:szCs w:val="26"/>
        </w:rPr>
      </w:pPr>
      <w:r>
        <w:rPr>
          <w:noProof/>
          <w:lang w:eastAsia="hu-HU"/>
        </w:rPr>
        <w:drawing>
          <wp:inline distT="0" distB="0" distL="0" distR="0" wp14:anchorId="7DA55112" wp14:editId="50BAA3CA">
            <wp:extent cx="5940425" cy="3296285"/>
            <wp:effectExtent l="0" t="0" r="3175"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0425" cy="3296285"/>
                    </a:xfrm>
                    <a:prstGeom prst="rect">
                      <a:avLst/>
                    </a:prstGeom>
                  </pic:spPr>
                </pic:pic>
              </a:graphicData>
            </a:graphic>
          </wp:inline>
        </w:drawing>
      </w:r>
    </w:p>
    <w:p w14:paraId="26E52363" w14:textId="67286DC0" w:rsidR="00B63DA3" w:rsidRPr="00803666" w:rsidRDefault="22B2E273" w:rsidP="22B2E273">
      <w:pPr>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sz w:val="26"/>
          <w:szCs w:val="26"/>
          <w:lang w:eastAsia="hu-HU"/>
        </w:rPr>
        <w:t xml:space="preserve">A </w:t>
      </w:r>
      <w:r w:rsidRPr="22B2E273">
        <w:rPr>
          <w:rFonts w:ascii="Times New Roman" w:eastAsia="Times New Roman" w:hAnsi="Times New Roman" w:cs="Times New Roman"/>
          <w:b/>
          <w:bCs/>
          <w:sz w:val="26"/>
          <w:szCs w:val="26"/>
          <w:lang w:eastAsia="hu-HU"/>
        </w:rPr>
        <w:t>Költségvetési szervek kiadásai</w:t>
      </w:r>
      <w:r w:rsidRPr="22B2E273">
        <w:rPr>
          <w:rFonts w:ascii="Times New Roman" w:eastAsia="Times New Roman" w:hAnsi="Times New Roman" w:cs="Times New Roman"/>
          <w:sz w:val="26"/>
          <w:szCs w:val="26"/>
          <w:lang w:eastAsia="hu-HU"/>
        </w:rPr>
        <w:t xml:space="preserve"> mérlegsoron 2024 első tizenegy hónapjában 7 741,8 milliárd forint kiadás teljesült, mely 16,4%-kal magasabb az előző azonos időszakának kiadásaihoz képest. A kiadásból 4 422,0 milliárd forint a személyi juttatásokra és munkaadókat terhelő járulékokra kifizetett összeg.</w:t>
      </w:r>
    </w:p>
    <w:p w14:paraId="1F07A5C3" w14:textId="65F2FA1F" w:rsidR="000E4F73" w:rsidRPr="00CC24D0" w:rsidRDefault="22B2E273" w:rsidP="22B2E273">
      <w:pPr>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sz w:val="26"/>
          <w:szCs w:val="26"/>
          <w:lang w:eastAsia="hu-HU"/>
        </w:rPr>
        <w:t xml:space="preserve">A </w:t>
      </w:r>
      <w:r w:rsidRPr="22B2E273">
        <w:rPr>
          <w:rFonts w:ascii="Times New Roman" w:eastAsia="Times New Roman" w:hAnsi="Times New Roman" w:cs="Times New Roman"/>
          <w:b/>
          <w:bCs/>
          <w:sz w:val="26"/>
          <w:szCs w:val="26"/>
          <w:lang w:eastAsia="hu-HU"/>
        </w:rPr>
        <w:t>Szakmai fejezeti kezelésű előirányzatok kiadásai</w:t>
      </w:r>
      <w:r w:rsidRPr="22B2E273">
        <w:rPr>
          <w:rFonts w:ascii="Times New Roman" w:eastAsia="Times New Roman" w:hAnsi="Times New Roman" w:cs="Times New Roman"/>
          <w:sz w:val="26"/>
          <w:szCs w:val="26"/>
          <w:lang w:eastAsia="hu-HU"/>
        </w:rPr>
        <w:t xml:space="preserve"> mérlegsoron 2024 első tizenegy hónapjában 4 195,7 milliárd forint kiadás teljesült, mely 2,2%-kal alacsonyabb, mint az előző év azonos időszakának kiadása. Ezen időszak teljesítéséből az alábbi kiadások emelhetők ki:</w:t>
      </w:r>
      <w:r w:rsidR="7929D98B" w:rsidRPr="22B2E273">
        <w:rPr>
          <w:rFonts w:ascii="Times New Roman" w:eastAsia="Times New Roman" w:hAnsi="Times New Roman" w:cs="Times New Roman"/>
          <w:sz w:val="26"/>
          <w:szCs w:val="26"/>
          <w:lang w:eastAsia="hu-HU"/>
        </w:rPr>
        <w:br w:type="page"/>
      </w:r>
    </w:p>
    <w:p w14:paraId="036EE87C" w14:textId="77777777" w:rsidR="000E4F73" w:rsidRPr="00803666" w:rsidRDefault="22B2E273" w:rsidP="22B2E273">
      <w:pPr>
        <w:spacing w:after="120" w:line="240" w:lineRule="auto"/>
        <w:jc w:val="right"/>
        <w:rPr>
          <w:rFonts w:ascii="Times New Roman" w:eastAsia="Times New Roman" w:hAnsi="Times New Roman" w:cs="Times New Roman"/>
          <w:i/>
          <w:iCs/>
          <w:sz w:val="20"/>
          <w:szCs w:val="20"/>
          <w:lang w:eastAsia="hu-HU"/>
        </w:rPr>
      </w:pPr>
      <w:proofErr w:type="gramStart"/>
      <w:r w:rsidRPr="22B2E273">
        <w:rPr>
          <w:rFonts w:ascii="Times New Roman" w:eastAsia="Times New Roman" w:hAnsi="Times New Roman" w:cs="Times New Roman"/>
          <w:i/>
          <w:iCs/>
          <w:sz w:val="20"/>
          <w:szCs w:val="20"/>
          <w:lang w:eastAsia="hu-HU"/>
        </w:rPr>
        <w:t>milliárd</w:t>
      </w:r>
      <w:proofErr w:type="gramEnd"/>
      <w:r w:rsidRPr="22B2E273">
        <w:rPr>
          <w:rFonts w:ascii="Times New Roman" w:eastAsia="Times New Roman" w:hAnsi="Times New Roman" w:cs="Times New Roman"/>
          <w:i/>
          <w:iCs/>
          <w:sz w:val="20"/>
          <w:szCs w:val="20"/>
          <w:lang w:eastAsia="hu-HU"/>
        </w:rPr>
        <w:t xml:space="preserve"> forint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51"/>
        <w:gridCol w:w="992"/>
      </w:tblGrid>
      <w:tr w:rsidR="007308FE" w:rsidRPr="00803666" w14:paraId="6D9D36DE" w14:textId="77777777" w:rsidTr="24CA6B4B">
        <w:trPr>
          <w:trHeight w:val="340"/>
        </w:trPr>
        <w:tc>
          <w:tcPr>
            <w:tcW w:w="8251" w:type="dxa"/>
            <w:tcMar>
              <w:top w:w="0" w:type="dxa"/>
              <w:left w:w="108" w:type="dxa"/>
              <w:bottom w:w="0" w:type="dxa"/>
              <w:right w:w="108" w:type="dxa"/>
            </w:tcMar>
            <w:vAlign w:val="center"/>
            <w:hideMark/>
          </w:tcPr>
          <w:p w14:paraId="75B0580E" w14:textId="77777777" w:rsidR="00B63DA3" w:rsidRPr="00803666" w:rsidRDefault="22B2E273" w:rsidP="22B2E273">
            <w:pPr>
              <w:spacing w:after="0" w:line="240" w:lineRule="auto"/>
              <w:jc w:val="both"/>
              <w:rPr>
                <w:rFonts w:ascii="Times New Roman" w:hAnsi="Times New Roman" w:cs="Times New Roman"/>
                <w:lang w:eastAsia="hu-HU"/>
              </w:rPr>
            </w:pPr>
            <w:r w:rsidRPr="22B2E273">
              <w:rPr>
                <w:rFonts w:ascii="Times New Roman" w:hAnsi="Times New Roman" w:cs="Times New Roman"/>
                <w:lang w:eastAsia="hu-HU"/>
              </w:rPr>
              <w:t>Normatív finanszírozás (köznevelési célú humánszolgáltatás és működési támogatás, hit- és erkölcstanoktatás és tankönyvtámogatás, illetve szociális, gyermekvédelmi, gyermekjóléti és fogyatékos személyek esélyegyenlőségét elősegítő célelőirányzatok)</w:t>
            </w:r>
          </w:p>
        </w:tc>
        <w:tc>
          <w:tcPr>
            <w:tcW w:w="992" w:type="dxa"/>
            <w:noWrap/>
            <w:tcMar>
              <w:top w:w="0" w:type="dxa"/>
              <w:left w:w="108" w:type="dxa"/>
              <w:bottom w:w="0" w:type="dxa"/>
              <w:right w:w="108" w:type="dxa"/>
            </w:tcMar>
            <w:vAlign w:val="center"/>
          </w:tcPr>
          <w:p w14:paraId="092F109E" w14:textId="622DAB1C" w:rsidR="00B63DA3" w:rsidRPr="00803666" w:rsidRDefault="24CA6B4B" w:rsidP="24CA6B4B">
            <w:pPr>
              <w:spacing w:after="0" w:line="240" w:lineRule="auto"/>
              <w:jc w:val="right"/>
              <w:rPr>
                <w:rFonts w:ascii="Times New Roman" w:hAnsi="Times New Roman" w:cs="Times New Roman"/>
                <w:lang w:eastAsia="hu-HU"/>
              </w:rPr>
            </w:pPr>
            <w:r w:rsidRPr="24CA6B4B">
              <w:rPr>
                <w:rFonts w:ascii="Times New Roman" w:hAnsi="Times New Roman" w:cs="Times New Roman"/>
                <w:lang w:eastAsia="hu-HU"/>
              </w:rPr>
              <w:t>806,7</w:t>
            </w:r>
          </w:p>
        </w:tc>
      </w:tr>
      <w:tr w:rsidR="007308FE" w:rsidRPr="007308FE" w14:paraId="18ECFFF1" w14:textId="77777777" w:rsidTr="24CA6B4B">
        <w:trPr>
          <w:trHeight w:val="283"/>
        </w:trPr>
        <w:tc>
          <w:tcPr>
            <w:tcW w:w="8251" w:type="dxa"/>
            <w:tcMar>
              <w:top w:w="0" w:type="dxa"/>
              <w:left w:w="108" w:type="dxa"/>
              <w:bottom w:w="0" w:type="dxa"/>
              <w:right w:w="108" w:type="dxa"/>
            </w:tcMar>
            <w:vAlign w:val="center"/>
            <w:hideMark/>
          </w:tcPr>
          <w:p w14:paraId="434EC8B3" w14:textId="77777777" w:rsidR="00B63DA3" w:rsidRPr="007308FE" w:rsidRDefault="22B2E273" w:rsidP="22B2E273">
            <w:pPr>
              <w:spacing w:after="0" w:line="240" w:lineRule="auto"/>
              <w:jc w:val="both"/>
              <w:rPr>
                <w:rFonts w:ascii="Times New Roman" w:hAnsi="Times New Roman" w:cs="Times New Roman"/>
                <w:lang w:eastAsia="hu-HU"/>
              </w:rPr>
            </w:pPr>
            <w:r w:rsidRPr="22B2E273">
              <w:rPr>
                <w:rFonts w:ascii="Times New Roman" w:hAnsi="Times New Roman" w:cs="Times New Roman"/>
                <w:lang w:eastAsia="hu-HU"/>
              </w:rPr>
              <w:t>Nem állami felsőoktatási intézmények támogatása</w:t>
            </w:r>
          </w:p>
        </w:tc>
        <w:tc>
          <w:tcPr>
            <w:tcW w:w="992" w:type="dxa"/>
            <w:noWrap/>
            <w:tcMar>
              <w:top w:w="0" w:type="dxa"/>
              <w:left w:w="108" w:type="dxa"/>
              <w:bottom w:w="0" w:type="dxa"/>
              <w:right w:w="108" w:type="dxa"/>
            </w:tcMar>
            <w:vAlign w:val="center"/>
          </w:tcPr>
          <w:p w14:paraId="40766427" w14:textId="0D0A4A56" w:rsidR="00B63DA3" w:rsidRPr="007308FE" w:rsidRDefault="24CA6B4B" w:rsidP="24CA6B4B">
            <w:pPr>
              <w:spacing w:after="0" w:line="240" w:lineRule="auto"/>
              <w:jc w:val="right"/>
              <w:rPr>
                <w:rFonts w:ascii="Times New Roman" w:hAnsi="Times New Roman" w:cs="Times New Roman"/>
                <w:lang w:eastAsia="hu-HU"/>
              </w:rPr>
            </w:pPr>
            <w:r w:rsidRPr="24CA6B4B">
              <w:rPr>
                <w:rFonts w:ascii="Times New Roman" w:hAnsi="Times New Roman" w:cs="Times New Roman"/>
                <w:lang w:eastAsia="hu-HU"/>
              </w:rPr>
              <w:t>449,2</w:t>
            </w:r>
          </w:p>
        </w:tc>
      </w:tr>
      <w:tr w:rsidR="007308FE" w:rsidRPr="007308FE" w14:paraId="4BDF7C43" w14:textId="77777777" w:rsidTr="24CA6B4B">
        <w:trPr>
          <w:trHeight w:val="283"/>
        </w:trPr>
        <w:tc>
          <w:tcPr>
            <w:tcW w:w="8251" w:type="dxa"/>
            <w:tcMar>
              <w:top w:w="0" w:type="dxa"/>
              <w:left w:w="108" w:type="dxa"/>
              <w:bottom w:w="0" w:type="dxa"/>
              <w:right w:w="108" w:type="dxa"/>
            </w:tcMar>
            <w:vAlign w:val="center"/>
          </w:tcPr>
          <w:p w14:paraId="0D847C87" w14:textId="77777777" w:rsidR="00C75D5A" w:rsidRPr="007308FE" w:rsidRDefault="22B2E273" w:rsidP="22B2E273">
            <w:pPr>
              <w:spacing w:after="0" w:line="240" w:lineRule="auto"/>
              <w:jc w:val="both"/>
              <w:rPr>
                <w:rFonts w:ascii="Times New Roman" w:hAnsi="Times New Roman" w:cs="Times New Roman"/>
                <w:lang w:eastAsia="hu-HU"/>
              </w:rPr>
            </w:pPr>
            <w:r w:rsidRPr="22B2E273">
              <w:rPr>
                <w:rFonts w:ascii="Times New Roman" w:hAnsi="Times New Roman" w:cs="Times New Roman"/>
                <w:lang w:eastAsia="hu-HU"/>
              </w:rPr>
              <w:t>Gazdaságfejlesztési programok</w:t>
            </w:r>
          </w:p>
        </w:tc>
        <w:tc>
          <w:tcPr>
            <w:tcW w:w="992" w:type="dxa"/>
            <w:noWrap/>
            <w:tcMar>
              <w:top w:w="0" w:type="dxa"/>
              <w:left w:w="108" w:type="dxa"/>
              <w:bottom w:w="0" w:type="dxa"/>
              <w:right w:w="108" w:type="dxa"/>
            </w:tcMar>
            <w:vAlign w:val="center"/>
          </w:tcPr>
          <w:p w14:paraId="2EAA071C" w14:textId="5ED26DB4" w:rsidR="00C75D5A" w:rsidRPr="007308FE" w:rsidRDefault="24CA6B4B" w:rsidP="24CA6B4B">
            <w:pPr>
              <w:spacing w:after="0" w:line="240" w:lineRule="auto"/>
              <w:jc w:val="right"/>
              <w:rPr>
                <w:rFonts w:ascii="Times New Roman" w:hAnsi="Times New Roman" w:cs="Times New Roman"/>
                <w:lang w:eastAsia="hu-HU"/>
              </w:rPr>
            </w:pPr>
            <w:r w:rsidRPr="24CA6B4B">
              <w:rPr>
                <w:rFonts w:ascii="Times New Roman" w:hAnsi="Times New Roman" w:cs="Times New Roman"/>
                <w:lang w:eastAsia="hu-HU"/>
              </w:rPr>
              <w:t>297,2</w:t>
            </w:r>
          </w:p>
        </w:tc>
      </w:tr>
      <w:tr w:rsidR="00EA1037" w:rsidRPr="007308FE" w14:paraId="5BC53E90" w14:textId="77777777" w:rsidTr="24CA6B4B">
        <w:trPr>
          <w:trHeight w:val="283"/>
        </w:trPr>
        <w:tc>
          <w:tcPr>
            <w:tcW w:w="8251" w:type="dxa"/>
            <w:tcMar>
              <w:top w:w="0" w:type="dxa"/>
              <w:left w:w="108" w:type="dxa"/>
              <w:bottom w:w="0" w:type="dxa"/>
              <w:right w:w="108" w:type="dxa"/>
            </w:tcMar>
            <w:vAlign w:val="center"/>
            <w:hideMark/>
          </w:tcPr>
          <w:p w14:paraId="231C02BF" w14:textId="77777777" w:rsidR="00EA1037" w:rsidRPr="007308FE" w:rsidRDefault="22B2E273" w:rsidP="22B2E273">
            <w:pPr>
              <w:spacing w:after="0" w:line="240" w:lineRule="auto"/>
              <w:jc w:val="both"/>
              <w:rPr>
                <w:rFonts w:ascii="Times New Roman" w:hAnsi="Times New Roman" w:cs="Times New Roman"/>
                <w:lang w:eastAsia="hu-HU"/>
              </w:rPr>
            </w:pPr>
            <w:r w:rsidRPr="22B2E273">
              <w:rPr>
                <w:rFonts w:ascii="Times New Roman" w:hAnsi="Times New Roman" w:cs="Times New Roman"/>
                <w:lang w:eastAsia="hu-HU"/>
              </w:rPr>
              <w:t>Beruházás ösztönzési célelőirányzatok</w:t>
            </w:r>
          </w:p>
        </w:tc>
        <w:tc>
          <w:tcPr>
            <w:tcW w:w="992" w:type="dxa"/>
            <w:noWrap/>
            <w:tcMar>
              <w:top w:w="0" w:type="dxa"/>
              <w:left w:w="108" w:type="dxa"/>
              <w:bottom w:w="0" w:type="dxa"/>
              <w:right w:w="108" w:type="dxa"/>
            </w:tcMar>
            <w:vAlign w:val="center"/>
          </w:tcPr>
          <w:p w14:paraId="04A2272B" w14:textId="77777777" w:rsidR="00EA1037" w:rsidRPr="007308FE" w:rsidRDefault="24CA6B4B" w:rsidP="24CA6B4B">
            <w:pPr>
              <w:spacing w:after="0" w:line="240" w:lineRule="auto"/>
              <w:jc w:val="right"/>
              <w:rPr>
                <w:rFonts w:ascii="Times New Roman" w:hAnsi="Times New Roman" w:cs="Times New Roman"/>
                <w:lang w:eastAsia="hu-HU"/>
              </w:rPr>
            </w:pPr>
            <w:r w:rsidRPr="24CA6B4B">
              <w:rPr>
                <w:rFonts w:ascii="Times New Roman" w:hAnsi="Times New Roman" w:cs="Times New Roman"/>
                <w:lang w:eastAsia="hu-HU"/>
              </w:rPr>
              <w:t>131,8</w:t>
            </w:r>
          </w:p>
        </w:tc>
      </w:tr>
      <w:tr w:rsidR="007308FE" w:rsidRPr="007308FE" w14:paraId="7F9C36E4" w14:textId="77777777" w:rsidTr="24CA6B4B">
        <w:trPr>
          <w:trHeight w:val="283"/>
        </w:trPr>
        <w:tc>
          <w:tcPr>
            <w:tcW w:w="8251" w:type="dxa"/>
            <w:tcMar>
              <w:top w:w="0" w:type="dxa"/>
              <w:left w:w="108" w:type="dxa"/>
              <w:bottom w:w="0" w:type="dxa"/>
              <w:right w:w="108" w:type="dxa"/>
            </w:tcMar>
            <w:vAlign w:val="center"/>
          </w:tcPr>
          <w:p w14:paraId="3401BC92" w14:textId="77777777" w:rsidR="006817A6" w:rsidRPr="007308FE" w:rsidRDefault="22B2E273" w:rsidP="22B2E273">
            <w:pPr>
              <w:spacing w:after="0" w:line="240" w:lineRule="auto"/>
              <w:jc w:val="both"/>
              <w:rPr>
                <w:rFonts w:ascii="Times New Roman" w:hAnsi="Times New Roman" w:cs="Times New Roman"/>
                <w:lang w:eastAsia="hu-HU"/>
              </w:rPr>
            </w:pPr>
            <w:r w:rsidRPr="22B2E273">
              <w:rPr>
                <w:rFonts w:ascii="Times New Roman" w:hAnsi="Times New Roman" w:cs="Times New Roman"/>
                <w:lang w:eastAsia="hu-HU"/>
              </w:rPr>
              <w:t>Közlekedési ágazati programok</w:t>
            </w:r>
          </w:p>
        </w:tc>
        <w:tc>
          <w:tcPr>
            <w:tcW w:w="992" w:type="dxa"/>
            <w:noWrap/>
            <w:tcMar>
              <w:top w:w="0" w:type="dxa"/>
              <w:left w:w="108" w:type="dxa"/>
              <w:bottom w:w="0" w:type="dxa"/>
              <w:right w:w="108" w:type="dxa"/>
            </w:tcMar>
            <w:vAlign w:val="center"/>
          </w:tcPr>
          <w:p w14:paraId="41AC072E" w14:textId="030E5F6B" w:rsidR="006817A6" w:rsidRPr="007308FE" w:rsidRDefault="24CA6B4B" w:rsidP="24CA6B4B">
            <w:pPr>
              <w:spacing w:after="0" w:line="240" w:lineRule="auto"/>
              <w:jc w:val="right"/>
              <w:rPr>
                <w:rFonts w:ascii="Times New Roman" w:hAnsi="Times New Roman" w:cs="Times New Roman"/>
                <w:lang w:eastAsia="hu-HU"/>
              </w:rPr>
            </w:pPr>
            <w:r w:rsidRPr="24CA6B4B">
              <w:rPr>
                <w:rFonts w:ascii="Times New Roman" w:hAnsi="Times New Roman" w:cs="Times New Roman"/>
                <w:lang w:eastAsia="hu-HU"/>
              </w:rPr>
              <w:t>116,4</w:t>
            </w:r>
          </w:p>
        </w:tc>
      </w:tr>
      <w:tr w:rsidR="007308FE" w:rsidRPr="007308FE" w14:paraId="05B27790" w14:textId="77777777" w:rsidTr="24CA6B4B">
        <w:trPr>
          <w:trHeight w:val="283"/>
        </w:trPr>
        <w:tc>
          <w:tcPr>
            <w:tcW w:w="8251" w:type="dxa"/>
            <w:tcMar>
              <w:top w:w="0" w:type="dxa"/>
              <w:left w:w="108" w:type="dxa"/>
              <w:bottom w:w="0" w:type="dxa"/>
              <w:right w:w="108" w:type="dxa"/>
            </w:tcMar>
            <w:vAlign w:val="center"/>
          </w:tcPr>
          <w:p w14:paraId="1867129C" w14:textId="77777777" w:rsidR="00C75D5A" w:rsidRPr="007308FE" w:rsidRDefault="22B2E273" w:rsidP="22B2E273">
            <w:pPr>
              <w:spacing w:after="0" w:line="240" w:lineRule="auto"/>
              <w:jc w:val="both"/>
              <w:rPr>
                <w:rFonts w:ascii="Times New Roman" w:hAnsi="Times New Roman" w:cs="Times New Roman"/>
                <w:lang w:eastAsia="hu-HU"/>
              </w:rPr>
            </w:pPr>
            <w:r w:rsidRPr="22B2E273">
              <w:rPr>
                <w:rFonts w:ascii="Times New Roman" w:hAnsi="Times New Roman" w:cs="Times New Roman"/>
                <w:lang w:eastAsia="hu-HU"/>
              </w:rPr>
              <w:t>Térségi fejlesztési feladatok</w:t>
            </w:r>
          </w:p>
        </w:tc>
        <w:tc>
          <w:tcPr>
            <w:tcW w:w="992" w:type="dxa"/>
            <w:noWrap/>
            <w:tcMar>
              <w:top w:w="0" w:type="dxa"/>
              <w:left w:w="108" w:type="dxa"/>
              <w:bottom w:w="0" w:type="dxa"/>
              <w:right w:w="108" w:type="dxa"/>
            </w:tcMar>
            <w:vAlign w:val="center"/>
          </w:tcPr>
          <w:p w14:paraId="4541BB12" w14:textId="747504A3" w:rsidR="00C75D5A" w:rsidRPr="007308FE" w:rsidRDefault="24CA6B4B" w:rsidP="24CA6B4B">
            <w:pPr>
              <w:spacing w:after="0" w:line="240" w:lineRule="auto"/>
              <w:jc w:val="right"/>
              <w:rPr>
                <w:rFonts w:ascii="Times New Roman" w:hAnsi="Times New Roman" w:cs="Times New Roman"/>
                <w:lang w:eastAsia="hu-HU"/>
              </w:rPr>
            </w:pPr>
            <w:r w:rsidRPr="24CA6B4B">
              <w:rPr>
                <w:rFonts w:ascii="Times New Roman" w:hAnsi="Times New Roman" w:cs="Times New Roman"/>
                <w:lang w:eastAsia="hu-HU"/>
              </w:rPr>
              <w:t>103,3</w:t>
            </w:r>
          </w:p>
        </w:tc>
      </w:tr>
      <w:tr w:rsidR="007308FE" w:rsidRPr="007308FE" w14:paraId="00008938" w14:textId="77777777" w:rsidTr="24CA6B4B">
        <w:trPr>
          <w:trHeight w:val="283"/>
        </w:trPr>
        <w:tc>
          <w:tcPr>
            <w:tcW w:w="8251" w:type="dxa"/>
            <w:tcMar>
              <w:top w:w="0" w:type="dxa"/>
              <w:left w:w="108" w:type="dxa"/>
              <w:bottom w:w="0" w:type="dxa"/>
              <w:right w:w="108" w:type="dxa"/>
            </w:tcMar>
            <w:vAlign w:val="center"/>
            <w:hideMark/>
          </w:tcPr>
          <w:p w14:paraId="572376DF" w14:textId="77777777" w:rsidR="00B63DA3" w:rsidRPr="007308FE" w:rsidRDefault="22B2E273" w:rsidP="22B2E273">
            <w:pPr>
              <w:spacing w:after="0" w:line="240" w:lineRule="auto"/>
              <w:jc w:val="both"/>
              <w:rPr>
                <w:rFonts w:ascii="Times New Roman" w:hAnsi="Times New Roman" w:cs="Times New Roman"/>
                <w:lang w:eastAsia="hu-HU"/>
              </w:rPr>
            </w:pPr>
            <w:r w:rsidRPr="22B2E273">
              <w:rPr>
                <w:rFonts w:ascii="Times New Roman" w:hAnsi="Times New Roman" w:cs="Times New Roman"/>
                <w:lang w:eastAsia="hu-HU"/>
              </w:rPr>
              <w:t>Turisztikai fejlesztési célelőirányzat</w:t>
            </w:r>
          </w:p>
        </w:tc>
        <w:tc>
          <w:tcPr>
            <w:tcW w:w="992" w:type="dxa"/>
            <w:noWrap/>
            <w:tcMar>
              <w:top w:w="0" w:type="dxa"/>
              <w:left w:w="108" w:type="dxa"/>
              <w:bottom w:w="0" w:type="dxa"/>
              <w:right w:w="108" w:type="dxa"/>
            </w:tcMar>
            <w:vAlign w:val="center"/>
          </w:tcPr>
          <w:p w14:paraId="06943D4E" w14:textId="483FE5C4" w:rsidR="00B63DA3" w:rsidRPr="007308FE" w:rsidRDefault="24CA6B4B" w:rsidP="24CA6B4B">
            <w:pPr>
              <w:spacing w:after="0" w:line="240" w:lineRule="auto"/>
              <w:jc w:val="right"/>
              <w:rPr>
                <w:rFonts w:ascii="Times New Roman" w:hAnsi="Times New Roman" w:cs="Times New Roman"/>
                <w:lang w:eastAsia="hu-HU"/>
              </w:rPr>
            </w:pPr>
            <w:r w:rsidRPr="24CA6B4B">
              <w:rPr>
                <w:rFonts w:ascii="Times New Roman" w:hAnsi="Times New Roman" w:cs="Times New Roman"/>
                <w:lang w:eastAsia="hu-HU"/>
              </w:rPr>
              <w:t>95,3</w:t>
            </w:r>
          </w:p>
        </w:tc>
      </w:tr>
      <w:tr w:rsidR="007308FE" w:rsidRPr="007308FE" w14:paraId="75537FB7" w14:textId="77777777" w:rsidTr="24CA6B4B">
        <w:trPr>
          <w:trHeight w:val="283"/>
        </w:trPr>
        <w:tc>
          <w:tcPr>
            <w:tcW w:w="8251" w:type="dxa"/>
            <w:tcMar>
              <w:top w:w="0" w:type="dxa"/>
              <w:left w:w="108" w:type="dxa"/>
              <w:bottom w:w="0" w:type="dxa"/>
              <w:right w:w="108" w:type="dxa"/>
            </w:tcMar>
            <w:vAlign w:val="center"/>
            <w:hideMark/>
          </w:tcPr>
          <w:p w14:paraId="2F9CDF71" w14:textId="0B43D50F" w:rsidR="00B63DA3" w:rsidRPr="007308FE" w:rsidRDefault="22B2E273" w:rsidP="22B2E273">
            <w:pPr>
              <w:spacing w:after="0" w:line="240" w:lineRule="auto"/>
              <w:jc w:val="both"/>
              <w:rPr>
                <w:rFonts w:ascii="Times New Roman" w:hAnsi="Times New Roman" w:cs="Times New Roman"/>
                <w:lang w:eastAsia="hu-HU"/>
              </w:rPr>
            </w:pPr>
            <w:r w:rsidRPr="22B2E273">
              <w:rPr>
                <w:rFonts w:ascii="Times New Roman" w:hAnsi="Times New Roman" w:cs="Times New Roman"/>
                <w:lang w:eastAsia="hu-HU"/>
              </w:rPr>
              <w:t>Kulturális értékmegőrző beruházások</w:t>
            </w:r>
          </w:p>
        </w:tc>
        <w:tc>
          <w:tcPr>
            <w:tcW w:w="992" w:type="dxa"/>
            <w:noWrap/>
            <w:tcMar>
              <w:top w:w="0" w:type="dxa"/>
              <w:left w:w="108" w:type="dxa"/>
              <w:bottom w:w="0" w:type="dxa"/>
              <w:right w:w="108" w:type="dxa"/>
            </w:tcMar>
            <w:vAlign w:val="center"/>
          </w:tcPr>
          <w:p w14:paraId="3034D170" w14:textId="565E670B" w:rsidR="00B63DA3" w:rsidRPr="007308FE" w:rsidRDefault="24CA6B4B" w:rsidP="24CA6B4B">
            <w:pPr>
              <w:spacing w:after="0" w:line="240" w:lineRule="auto"/>
              <w:jc w:val="right"/>
              <w:rPr>
                <w:rFonts w:ascii="Times New Roman" w:hAnsi="Times New Roman" w:cs="Times New Roman"/>
                <w:lang w:eastAsia="hu-HU"/>
              </w:rPr>
            </w:pPr>
            <w:r w:rsidRPr="24CA6B4B">
              <w:rPr>
                <w:rFonts w:ascii="Times New Roman" w:hAnsi="Times New Roman" w:cs="Times New Roman"/>
                <w:lang w:eastAsia="hu-HU"/>
              </w:rPr>
              <w:t>84,1</w:t>
            </w:r>
          </w:p>
        </w:tc>
      </w:tr>
    </w:tbl>
    <w:p w14:paraId="130E1B4D" w14:textId="344F3F53" w:rsidR="0033462C" w:rsidRPr="00A41272" w:rsidRDefault="22B2E273" w:rsidP="22B2E273">
      <w:pPr>
        <w:spacing w:before="160" w:after="0"/>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sz w:val="26"/>
          <w:szCs w:val="26"/>
          <w:lang w:eastAsia="hu-HU"/>
        </w:rPr>
        <w:t>A 2024. év első tizenegy havi, 11 937,5 milliárd forint összegű kiadásai megoszlását a következő grafikon szemlélteti:</w:t>
      </w:r>
    </w:p>
    <w:p w14:paraId="3599A16D" w14:textId="32C6F697" w:rsidR="00B056CC" w:rsidRDefault="00C11940" w:rsidP="009C33A4">
      <w:pPr>
        <w:spacing w:before="240"/>
        <w:jc w:val="center"/>
        <w:rPr>
          <w:rFonts w:ascii="Times New Roman" w:eastAsia="Times New Roman" w:hAnsi="Times New Roman" w:cs="Times New Roman"/>
          <w:b/>
          <w:sz w:val="26"/>
          <w:szCs w:val="26"/>
        </w:rPr>
      </w:pPr>
      <w:r>
        <w:rPr>
          <w:noProof/>
          <w:lang w:eastAsia="hu-HU"/>
        </w:rPr>
        <w:drawing>
          <wp:inline distT="0" distB="0" distL="0" distR="0" wp14:anchorId="15EECC42" wp14:editId="74772EC3">
            <wp:extent cx="5940425" cy="3503930"/>
            <wp:effectExtent l="0" t="0" r="3175" b="127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0425" cy="3503930"/>
                    </a:xfrm>
                    <a:prstGeom prst="rect">
                      <a:avLst/>
                    </a:prstGeom>
                  </pic:spPr>
                </pic:pic>
              </a:graphicData>
            </a:graphic>
          </wp:inline>
        </w:drawing>
      </w:r>
    </w:p>
    <w:p w14:paraId="7B768C4E" w14:textId="3E063542" w:rsidR="00B155FE" w:rsidRPr="00377D59" w:rsidRDefault="22B2E273" w:rsidP="22B2E273">
      <w:pPr>
        <w:keepNext/>
        <w:numPr>
          <w:ilvl w:val="0"/>
          <w:numId w:val="3"/>
        </w:numPr>
        <w:ind w:left="714" w:hanging="357"/>
        <w:jc w:val="both"/>
        <w:outlineLvl w:val="2"/>
        <w:rPr>
          <w:rFonts w:ascii="Times New Roman" w:eastAsia="Times New Roman" w:hAnsi="Times New Roman" w:cs="Times New Roman"/>
          <w:b/>
          <w:bCs/>
          <w:smallCaps/>
          <w:sz w:val="28"/>
          <w:szCs w:val="28"/>
          <w:lang w:eastAsia="hu-HU"/>
        </w:rPr>
      </w:pPr>
      <w:r w:rsidRPr="22B2E273">
        <w:rPr>
          <w:rFonts w:ascii="Times New Roman" w:eastAsia="Times New Roman" w:hAnsi="Times New Roman" w:cs="Times New Roman"/>
          <w:b/>
          <w:bCs/>
          <w:smallCaps/>
          <w:sz w:val="28"/>
          <w:szCs w:val="28"/>
          <w:lang w:eastAsia="hu-HU"/>
        </w:rPr>
        <w:t>Kamategyenleg</w:t>
      </w:r>
    </w:p>
    <w:p w14:paraId="0047F521" w14:textId="3C51CDB8" w:rsidR="003F3151" w:rsidRPr="00377D59" w:rsidRDefault="22B2E273" w:rsidP="22B2E273">
      <w:pPr>
        <w:jc w:val="both"/>
        <w:rPr>
          <w:rFonts w:ascii="Times New Roman" w:hAnsi="Times New Roman" w:cs="Times New Roman"/>
          <w:sz w:val="26"/>
          <w:szCs w:val="26"/>
        </w:rPr>
      </w:pPr>
      <w:r w:rsidRPr="22B2E273">
        <w:rPr>
          <w:rFonts w:ascii="Times New Roman" w:hAnsi="Times New Roman" w:cs="Times New Roman"/>
          <w:sz w:val="26"/>
          <w:szCs w:val="26"/>
          <w:lang w:eastAsia="hu-HU"/>
        </w:rPr>
        <w:t xml:space="preserve">A bevételek és kiadások egyenlegeként adódó 3 027,3 milliárd forint összegű </w:t>
      </w:r>
      <w:r w:rsidRPr="22B2E273">
        <w:rPr>
          <w:rFonts w:ascii="Times New Roman" w:hAnsi="Times New Roman" w:cs="Times New Roman"/>
          <w:b/>
          <w:bCs/>
          <w:sz w:val="26"/>
          <w:szCs w:val="26"/>
          <w:lang w:eastAsia="hu-HU"/>
        </w:rPr>
        <w:t>nettó</w:t>
      </w:r>
      <w:r w:rsidRPr="22B2E273">
        <w:rPr>
          <w:rFonts w:ascii="Times New Roman" w:hAnsi="Times New Roman" w:cs="Times New Roman"/>
          <w:b/>
          <w:bCs/>
          <w:sz w:val="26"/>
          <w:szCs w:val="26"/>
        </w:rPr>
        <w:t xml:space="preserve"> kamatkiadás</w:t>
      </w:r>
      <w:r w:rsidRPr="22B2E273">
        <w:rPr>
          <w:rFonts w:ascii="Times New Roman" w:hAnsi="Times New Roman" w:cs="Times New Roman"/>
          <w:sz w:val="26"/>
          <w:szCs w:val="26"/>
        </w:rPr>
        <w:t xml:space="preserve"> november végéig 830,0 milliárd forinttal lett magasabb az előző évhez képest, mely az előző évitől különböző hozamokkal és finanszírozási szerkezettel magyarázható.</w:t>
      </w:r>
    </w:p>
    <w:p w14:paraId="7B768C50" w14:textId="77777777" w:rsidR="00B155FE" w:rsidRPr="00377D59" w:rsidRDefault="00B155FE" w:rsidP="00B155FE">
      <w:pPr>
        <w:tabs>
          <w:tab w:val="left" w:pos="550"/>
        </w:tabs>
        <w:spacing w:before="120" w:after="120" w:line="240" w:lineRule="auto"/>
        <w:jc w:val="both"/>
        <w:rPr>
          <w:rFonts w:ascii="Times New Roman" w:eastAsia="Times New Roman" w:hAnsi="Times New Roman" w:cs="Times New Roman"/>
          <w:caps/>
          <w:sz w:val="26"/>
          <w:szCs w:val="20"/>
          <w:lang w:eastAsia="hu-HU"/>
        </w:rPr>
      </w:pPr>
      <w:r w:rsidRPr="00377D59">
        <w:rPr>
          <w:rFonts w:ascii="Times New Roman" w:eastAsia="Times New Roman" w:hAnsi="Times New Roman" w:cs="Times New Roman"/>
          <w:caps/>
          <w:sz w:val="26"/>
          <w:szCs w:val="20"/>
          <w:lang w:eastAsia="hu-HU"/>
        </w:rPr>
        <w:br w:type="page"/>
      </w:r>
    </w:p>
    <w:p w14:paraId="688B9DA7" w14:textId="77777777" w:rsidR="00C9408B" w:rsidRDefault="22B2E273" w:rsidP="22B2E273">
      <w:pPr>
        <w:keepNext/>
        <w:spacing w:after="120" w:line="240" w:lineRule="auto"/>
        <w:jc w:val="center"/>
        <w:outlineLvl w:val="3"/>
        <w:rPr>
          <w:rFonts w:ascii="Times New Roman" w:eastAsia="Times New Roman" w:hAnsi="Times New Roman" w:cs="Times New Roman"/>
          <w:b/>
          <w:bCs/>
          <w:caps/>
          <w:sz w:val="26"/>
          <w:szCs w:val="26"/>
          <w:lang w:eastAsia="hu-HU"/>
        </w:rPr>
      </w:pPr>
      <w:r w:rsidRPr="22B2E273">
        <w:rPr>
          <w:rFonts w:ascii="Times New Roman" w:eastAsia="Times New Roman" w:hAnsi="Times New Roman" w:cs="Times New Roman"/>
          <w:b/>
          <w:bCs/>
          <w:caps/>
          <w:sz w:val="26"/>
          <w:szCs w:val="26"/>
          <w:lang w:eastAsia="hu-HU"/>
        </w:rPr>
        <w:t>II.</w:t>
      </w:r>
    </w:p>
    <w:p w14:paraId="7B768C51" w14:textId="63BB059C" w:rsidR="00B155FE" w:rsidRPr="00377D59" w:rsidRDefault="22B2E273" w:rsidP="22B2E273">
      <w:pPr>
        <w:keepNext/>
        <w:spacing w:after="240" w:line="240" w:lineRule="auto"/>
        <w:jc w:val="center"/>
        <w:outlineLvl w:val="3"/>
        <w:rPr>
          <w:rFonts w:ascii="Times New Roman" w:eastAsia="Times New Roman" w:hAnsi="Times New Roman" w:cs="Times New Roman"/>
          <w:b/>
          <w:bCs/>
          <w:caps/>
          <w:sz w:val="26"/>
          <w:szCs w:val="26"/>
          <w:lang w:eastAsia="hu-HU"/>
        </w:rPr>
      </w:pPr>
      <w:r w:rsidRPr="22B2E273">
        <w:rPr>
          <w:rFonts w:ascii="Times New Roman" w:eastAsia="Times New Roman" w:hAnsi="Times New Roman" w:cs="Times New Roman"/>
          <w:b/>
          <w:bCs/>
          <w:caps/>
          <w:sz w:val="26"/>
          <w:szCs w:val="26"/>
          <w:lang w:eastAsia="hu-HU"/>
        </w:rPr>
        <w:t>Az államháztartás központi alrendszerének finanszírozása</w:t>
      </w:r>
    </w:p>
    <w:p w14:paraId="06C778E7" w14:textId="1674BFA3" w:rsidR="00710A26" w:rsidRPr="008E6DF0" w:rsidRDefault="22B2E273" w:rsidP="22B2E273">
      <w:pPr>
        <w:ind w:right="23"/>
        <w:jc w:val="both"/>
        <w:rPr>
          <w:rFonts w:ascii="Times New Roman" w:eastAsia="Times New Roman" w:hAnsi="Times New Roman" w:cs="Times New Roman"/>
          <w:b/>
          <w:bCs/>
          <w:sz w:val="26"/>
          <w:szCs w:val="26"/>
          <w:lang w:eastAsia="hu-HU"/>
        </w:rPr>
      </w:pPr>
      <w:r w:rsidRPr="22B2E273">
        <w:rPr>
          <w:rFonts w:ascii="Times New Roman" w:eastAsia="Times New Roman" w:hAnsi="Times New Roman" w:cs="Times New Roman"/>
          <w:b/>
          <w:bCs/>
          <w:sz w:val="26"/>
          <w:szCs w:val="26"/>
          <w:lang w:eastAsia="hu-HU"/>
        </w:rPr>
        <w:t xml:space="preserve">A központi költségvetés adóssága 2024. november végéig </w:t>
      </w:r>
      <w:r w:rsidRPr="22B2E273">
        <w:rPr>
          <w:rFonts w:ascii="Times New Roman" w:eastAsia="Times New Roman" w:hAnsi="Times New Roman" w:cs="Times New Roman"/>
          <w:sz w:val="26"/>
          <w:szCs w:val="26"/>
          <w:lang w:eastAsia="hu-HU"/>
        </w:rPr>
        <w:t>5 318,2 milliárd forinttal növekedett a következő négy tényező eredményeképpen:</w:t>
      </w:r>
    </w:p>
    <w:p w14:paraId="1C9C0533" w14:textId="601CC130" w:rsidR="00464B6D" w:rsidRPr="00464B6D" w:rsidRDefault="22B2E273" w:rsidP="22B2E273">
      <w:pPr>
        <w:pStyle w:val="Listaszerbekezds"/>
        <w:numPr>
          <w:ilvl w:val="0"/>
          <w:numId w:val="2"/>
        </w:numPr>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b/>
          <w:bCs/>
          <w:sz w:val="26"/>
          <w:szCs w:val="26"/>
          <w:lang w:eastAsia="hu-HU"/>
        </w:rPr>
        <w:t>Az első tényező, amely növelte az adósságot</w:t>
      </w:r>
      <w:r w:rsidRPr="22B2E273">
        <w:rPr>
          <w:rFonts w:ascii="Times New Roman" w:eastAsia="Times New Roman" w:hAnsi="Times New Roman" w:cs="Times New Roman"/>
          <w:sz w:val="26"/>
          <w:szCs w:val="26"/>
          <w:lang w:eastAsia="hu-HU"/>
        </w:rPr>
        <w:t xml:space="preserve"> a nettó forintkibocsátás 2 446,1 milliárd forint összegben, ami a költségvetés hiányát finanszírozza és részben a KESZ állományát növeli.</w:t>
      </w:r>
    </w:p>
    <w:p w14:paraId="5A4247D4" w14:textId="547648D9" w:rsidR="00617ED1" w:rsidRDefault="22B2E273" w:rsidP="22B2E273">
      <w:pPr>
        <w:pStyle w:val="Listaszerbekezds"/>
        <w:numPr>
          <w:ilvl w:val="0"/>
          <w:numId w:val="2"/>
        </w:numPr>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b/>
          <w:bCs/>
          <w:sz w:val="26"/>
          <w:szCs w:val="26"/>
          <w:lang w:eastAsia="hu-HU"/>
        </w:rPr>
        <w:t>A második – szintén növelő hatású – tényező</w:t>
      </w:r>
      <w:r w:rsidRPr="22B2E273">
        <w:rPr>
          <w:rFonts w:ascii="Times New Roman" w:eastAsia="Times New Roman" w:hAnsi="Times New Roman" w:cs="Times New Roman"/>
          <w:sz w:val="26"/>
          <w:szCs w:val="26"/>
          <w:lang w:eastAsia="hu-HU"/>
        </w:rPr>
        <w:t xml:space="preserve"> a nettó </w:t>
      </w:r>
      <w:proofErr w:type="spellStart"/>
      <w:r w:rsidRPr="22B2E273">
        <w:rPr>
          <w:rFonts w:ascii="Times New Roman" w:eastAsia="Times New Roman" w:hAnsi="Times New Roman" w:cs="Times New Roman"/>
          <w:sz w:val="26"/>
          <w:szCs w:val="26"/>
          <w:lang w:eastAsia="hu-HU"/>
        </w:rPr>
        <w:t>devizakibocsátás</w:t>
      </w:r>
      <w:proofErr w:type="spellEnd"/>
      <w:r w:rsidRPr="22B2E273">
        <w:rPr>
          <w:rFonts w:ascii="Times New Roman" w:eastAsia="Times New Roman" w:hAnsi="Times New Roman" w:cs="Times New Roman"/>
          <w:sz w:val="26"/>
          <w:szCs w:val="26"/>
          <w:lang w:eastAsia="hu-HU"/>
        </w:rPr>
        <w:t xml:space="preserve">, amely 1 810,3 milliárd forint összegben hozzájárul a hiány finanszírozásához és a </w:t>
      </w:r>
      <w:proofErr w:type="spellStart"/>
      <w:r w:rsidRPr="22B2E273">
        <w:rPr>
          <w:rFonts w:ascii="Times New Roman" w:eastAsia="Times New Roman" w:hAnsi="Times New Roman" w:cs="Times New Roman"/>
          <w:sz w:val="26"/>
          <w:szCs w:val="26"/>
          <w:lang w:eastAsia="hu-HU"/>
        </w:rPr>
        <w:t>devizabetétállomány</w:t>
      </w:r>
      <w:proofErr w:type="spellEnd"/>
      <w:r w:rsidRPr="22B2E273">
        <w:rPr>
          <w:rFonts w:ascii="Times New Roman" w:eastAsia="Times New Roman" w:hAnsi="Times New Roman" w:cs="Times New Roman"/>
          <w:sz w:val="26"/>
          <w:szCs w:val="26"/>
          <w:lang w:eastAsia="hu-HU"/>
        </w:rPr>
        <w:t xml:space="preserve"> növekedéséhez.</w:t>
      </w:r>
    </w:p>
    <w:p w14:paraId="2476E515" w14:textId="4A3C5CC7" w:rsidR="00464B6D" w:rsidRDefault="22B2E273" w:rsidP="22B2E273">
      <w:pPr>
        <w:pStyle w:val="Listaszerbekezds"/>
        <w:numPr>
          <w:ilvl w:val="0"/>
          <w:numId w:val="2"/>
        </w:numPr>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b/>
          <w:bCs/>
          <w:sz w:val="26"/>
          <w:szCs w:val="26"/>
          <w:lang w:eastAsia="hu-HU"/>
        </w:rPr>
        <w:t>A harmadik – további növelő hatású – tényező</w:t>
      </w:r>
      <w:r w:rsidRPr="22B2E273">
        <w:rPr>
          <w:rFonts w:ascii="Times New Roman" w:eastAsia="Times New Roman" w:hAnsi="Times New Roman" w:cs="Times New Roman"/>
          <w:sz w:val="26"/>
          <w:szCs w:val="26"/>
          <w:lang w:eastAsia="hu-HU"/>
        </w:rPr>
        <w:t xml:space="preserve"> a forint árfolyamának az elmúlt év végéhez képest bekövetkezett gyengülése, amely az adósság devizában fennálló részének forintban számított nyilvántartási értékét 1 235,3 milliárd forinttal növelte.</w:t>
      </w:r>
    </w:p>
    <w:p w14:paraId="5DC271BB" w14:textId="0EAAE78C" w:rsidR="00377D59" w:rsidRPr="00464B6D" w:rsidRDefault="24CA6B4B" w:rsidP="24CA6B4B">
      <w:pPr>
        <w:pStyle w:val="Listaszerbekezds"/>
        <w:numPr>
          <w:ilvl w:val="0"/>
          <w:numId w:val="2"/>
        </w:numPr>
        <w:spacing w:after="120"/>
        <w:ind w:right="23"/>
        <w:jc w:val="both"/>
        <w:rPr>
          <w:rFonts w:ascii="Times New Roman" w:eastAsia="Times New Roman" w:hAnsi="Times New Roman" w:cs="Times New Roman"/>
          <w:sz w:val="26"/>
          <w:szCs w:val="26"/>
          <w:lang w:eastAsia="hu-HU"/>
        </w:rPr>
      </w:pPr>
      <w:r w:rsidRPr="24CA6B4B">
        <w:rPr>
          <w:rFonts w:ascii="Times New Roman" w:eastAsia="Times New Roman" w:hAnsi="Times New Roman" w:cs="Times New Roman"/>
          <w:b/>
          <w:bCs/>
          <w:sz w:val="26"/>
          <w:szCs w:val="26"/>
          <w:lang w:eastAsia="hu-HU"/>
        </w:rPr>
        <w:t>A negyedik – fentiekkel ellentétes, csökkentő hatású – tényező</w:t>
      </w:r>
      <w:r w:rsidRPr="24CA6B4B">
        <w:rPr>
          <w:rFonts w:ascii="Times New Roman" w:eastAsia="Times New Roman" w:hAnsi="Times New Roman" w:cs="Times New Roman"/>
          <w:sz w:val="26"/>
          <w:szCs w:val="26"/>
          <w:lang w:eastAsia="hu-HU"/>
        </w:rPr>
        <w:t xml:space="preserve"> a deviza-keresztárfolyamok változása és egyéb tényezők miatt bekövetkezett mark-to-market betétállományok csökkenése 173,6 milliárd forint összegben.</w:t>
      </w:r>
    </w:p>
    <w:p w14:paraId="157CBCF7" w14:textId="16BBD789" w:rsidR="00E5484A" w:rsidRPr="00377D59" w:rsidRDefault="00E5484A" w:rsidP="00377D59">
      <w:pPr>
        <w:rPr>
          <w:rFonts w:ascii="Times New Roman" w:eastAsia="Times New Roman" w:hAnsi="Times New Roman" w:cs="Times New Roman"/>
          <w:sz w:val="26"/>
          <w:szCs w:val="26"/>
          <w:lang w:eastAsia="hu-HU"/>
        </w:rPr>
        <w:sectPr w:rsidR="00E5484A" w:rsidRPr="00377D59" w:rsidSect="00556984">
          <w:headerReference w:type="default" r:id="rId26"/>
          <w:footerReference w:type="default" r:id="rId27"/>
          <w:footnotePr>
            <w:numRestart w:val="eachPage"/>
          </w:footnotePr>
          <w:pgSz w:w="11907" w:h="16840" w:code="9"/>
          <w:pgMar w:top="1134" w:right="1134" w:bottom="1418" w:left="1418" w:header="709" w:footer="709" w:gutter="0"/>
          <w:cols w:space="708"/>
          <w:docGrid w:linePitch="354"/>
        </w:sectPr>
      </w:pPr>
    </w:p>
    <w:p w14:paraId="7B768C5C" w14:textId="364A0DB8" w:rsidR="00B155FE" w:rsidRPr="00377D59" w:rsidRDefault="22B2E273" w:rsidP="22B2E273">
      <w:pPr>
        <w:spacing w:after="120" w:line="240" w:lineRule="auto"/>
        <w:ind w:right="23"/>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sz w:val="26"/>
          <w:szCs w:val="26"/>
          <w:lang w:eastAsia="hu-HU"/>
        </w:rPr>
        <w:t xml:space="preserve">Az előzetes adatok szerint november végén a </w:t>
      </w:r>
      <w:r w:rsidRPr="22B2E273">
        <w:rPr>
          <w:rFonts w:ascii="Times New Roman" w:eastAsia="Times New Roman" w:hAnsi="Times New Roman" w:cs="Times New Roman"/>
          <w:b/>
          <w:bCs/>
          <w:sz w:val="26"/>
          <w:szCs w:val="26"/>
          <w:lang w:eastAsia="hu-HU"/>
        </w:rPr>
        <w:t xml:space="preserve">központi költségvetés forint- és devizaadóssága </w:t>
      </w:r>
      <w:r w:rsidRPr="22B2E273">
        <w:rPr>
          <w:rFonts w:ascii="Times New Roman" w:eastAsia="Times New Roman" w:hAnsi="Times New Roman" w:cs="Times New Roman"/>
          <w:sz w:val="26"/>
          <w:szCs w:val="26"/>
          <w:lang w:eastAsia="hu-HU"/>
        </w:rPr>
        <w:t>az alábbiak szerint alakult:</w:t>
      </w:r>
    </w:p>
    <w:p w14:paraId="7B768C5D" w14:textId="053E8C67" w:rsidR="00B155FE" w:rsidRDefault="22B2E273" w:rsidP="22B2E273">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sidRPr="22B2E273">
        <w:rPr>
          <w:rFonts w:ascii="Times New Roman" w:eastAsia="Times New Roman" w:hAnsi="Times New Roman" w:cs="Times New Roman"/>
          <w:sz w:val="26"/>
          <w:szCs w:val="26"/>
          <w:lang w:eastAsia="hu-HU"/>
        </w:rPr>
        <w:t>A központi költségvetés adósságának alakulása 2024-ben, milliárd forint</w:t>
      </w:r>
    </w:p>
    <w:p w14:paraId="0E54CB6B" w14:textId="596FB382" w:rsidR="00CE5744" w:rsidRDefault="00464B6D" w:rsidP="558BDF90">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sidRPr="00464B6D">
        <w:rPr>
          <w:noProof/>
          <w:lang w:eastAsia="hu-HU"/>
        </w:rPr>
        <w:drawing>
          <wp:inline distT="0" distB="0" distL="0" distR="0" wp14:anchorId="04F5A1B4" wp14:editId="78B88267">
            <wp:extent cx="8935720" cy="4227195"/>
            <wp:effectExtent l="0" t="0" r="0" b="190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35720" cy="4227195"/>
                    </a:xfrm>
                    <a:prstGeom prst="rect">
                      <a:avLst/>
                    </a:prstGeom>
                    <a:noFill/>
                    <a:ln>
                      <a:noFill/>
                    </a:ln>
                  </pic:spPr>
                </pic:pic>
              </a:graphicData>
            </a:graphic>
          </wp:inline>
        </w:drawing>
      </w:r>
    </w:p>
    <w:p w14:paraId="7B768C5F" w14:textId="77777777" w:rsidR="00B155FE" w:rsidRPr="00377D59" w:rsidRDefault="22B2E273" w:rsidP="22B2E273">
      <w:pPr>
        <w:spacing w:after="120" w:line="240" w:lineRule="auto"/>
        <w:jc w:val="both"/>
        <w:rPr>
          <w:rFonts w:ascii="Times New Roman" w:eastAsia="Times New Roman" w:hAnsi="Times New Roman" w:cs="Times New Roman"/>
          <w:sz w:val="24"/>
          <w:szCs w:val="24"/>
          <w:lang w:eastAsia="hu-HU"/>
        </w:rPr>
      </w:pPr>
      <w:r w:rsidRPr="22B2E273">
        <w:rPr>
          <w:rFonts w:ascii="Times New Roman" w:eastAsia="Times New Roman" w:hAnsi="Times New Roman" w:cs="Times New Roman"/>
          <w:i/>
          <w:iCs/>
          <w:sz w:val="24"/>
          <w:szCs w:val="24"/>
          <w:lang w:eastAsia="hu-HU"/>
        </w:rPr>
        <w:t>Megjegyzés: a táblában szereplő tizedes eltérések kerekítésből adódnak.</w:t>
      </w:r>
    </w:p>
    <w:p w14:paraId="67FEF71B" w14:textId="4352F928" w:rsidR="00617877" w:rsidRPr="00377D59" w:rsidRDefault="00617877" w:rsidP="00617877">
      <w:pPr>
        <w:jc w:val="center"/>
        <w:rPr>
          <w:rFonts w:ascii="Times New Roman" w:eastAsia="Times New Roman" w:hAnsi="Times New Roman" w:cs="Times New Roman"/>
          <w:sz w:val="26"/>
          <w:szCs w:val="26"/>
          <w:lang w:eastAsia="hu-HU"/>
        </w:rPr>
      </w:pPr>
    </w:p>
    <w:p w14:paraId="612D5E01" w14:textId="247C2A7A" w:rsidR="00617877" w:rsidRPr="00377D59" w:rsidRDefault="00617877" w:rsidP="00617877">
      <w:pPr>
        <w:rPr>
          <w:rFonts w:ascii="Times New Roman" w:eastAsia="Times New Roman" w:hAnsi="Times New Roman" w:cs="Times New Roman"/>
          <w:sz w:val="26"/>
          <w:szCs w:val="26"/>
          <w:lang w:eastAsia="hu-HU"/>
        </w:rPr>
      </w:pPr>
    </w:p>
    <w:p w14:paraId="4A764331" w14:textId="77777777" w:rsidR="00EA1F58" w:rsidRPr="00377D59" w:rsidRDefault="00EA1F58" w:rsidP="00617877">
      <w:pPr>
        <w:rPr>
          <w:rFonts w:ascii="Times New Roman" w:eastAsia="Times New Roman" w:hAnsi="Times New Roman" w:cs="Times New Roman"/>
          <w:sz w:val="26"/>
          <w:szCs w:val="26"/>
          <w:lang w:eastAsia="hu-HU"/>
        </w:rPr>
        <w:sectPr w:rsidR="00EA1F58" w:rsidRPr="00377D59" w:rsidSect="00947C6B">
          <w:headerReference w:type="default" r:id="rId29"/>
          <w:headerReference w:type="first" r:id="rId30"/>
          <w:footnotePr>
            <w:numRestart w:val="eachPage"/>
          </w:footnotePr>
          <w:pgSz w:w="16840" w:h="11907" w:orient="landscape" w:code="9"/>
          <w:pgMar w:top="993" w:right="1134" w:bottom="1134" w:left="1418" w:header="709" w:footer="709" w:gutter="0"/>
          <w:pgNumType w:start="19"/>
          <w:cols w:space="708"/>
          <w:titlePg/>
          <w:docGrid w:linePitch="299"/>
        </w:sectPr>
      </w:pPr>
    </w:p>
    <w:p w14:paraId="1279954B" w14:textId="02E852B2" w:rsidR="004603AD" w:rsidRPr="004603AD" w:rsidRDefault="22B2E273" w:rsidP="22B2E273">
      <w:pPr>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b/>
          <w:bCs/>
          <w:sz w:val="26"/>
          <w:szCs w:val="26"/>
          <w:lang w:eastAsia="hu-HU"/>
        </w:rPr>
        <w:t>A központi költségvetés devizaadóssága</w:t>
      </w:r>
      <w:r w:rsidRPr="22B2E273">
        <w:rPr>
          <w:rFonts w:ascii="Times New Roman" w:eastAsia="Times New Roman" w:hAnsi="Times New Roman" w:cs="Times New Roman"/>
          <w:sz w:val="26"/>
          <w:szCs w:val="26"/>
          <w:lang w:eastAsia="hu-HU"/>
        </w:rPr>
        <w:t xml:space="preserve"> 2024-ben 3 045,6 milliárd forinttal 16 723,9 milliárd forintra növekedett az elmúlt év végéhez képest. A devizaadósság részaránya a 2023. év végi 26,9%-os szintről 29,8%-os szintre emelkedett a teljes adósságon belül. </w:t>
      </w:r>
    </w:p>
    <w:p w14:paraId="5D61111F" w14:textId="2DD392B8" w:rsidR="004603AD" w:rsidRPr="004603AD" w:rsidRDefault="22B2E273" w:rsidP="22B2E273">
      <w:pPr>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sz w:val="26"/>
          <w:szCs w:val="26"/>
          <w:lang w:eastAsia="hu-HU"/>
        </w:rPr>
        <w:t>A növekedés hátterében döntően a januárban végrehajtott devizakötvény-kibocsátások állnak. 2024</w:t>
      </w:r>
      <w:r w:rsidR="00863CDD">
        <w:rPr>
          <w:rFonts w:ascii="Times New Roman" w:eastAsia="Times New Roman" w:hAnsi="Times New Roman" w:cs="Times New Roman"/>
          <w:sz w:val="26"/>
          <w:szCs w:val="26"/>
          <w:lang w:eastAsia="hu-HU"/>
        </w:rPr>
        <w:t>.</w:t>
      </w:r>
      <w:r w:rsidRPr="22B2E273">
        <w:rPr>
          <w:rFonts w:ascii="Times New Roman" w:eastAsia="Times New Roman" w:hAnsi="Times New Roman" w:cs="Times New Roman"/>
          <w:sz w:val="26"/>
          <w:szCs w:val="26"/>
          <w:lang w:eastAsia="hu-HU"/>
        </w:rPr>
        <w:t xml:space="preserve"> január 3-án került sor az idei év első nemzetközi kötvénykibocsátására 863,6 milliárd forint (2,5 milliárd USD) összegben 12 éves futamidővel, majd január 18-án Magyarország harmadik EUR Zöld Kötvényének kibocsátására 5,</w:t>
      </w:r>
      <w:proofErr w:type="spellStart"/>
      <w:r w:rsidRPr="22B2E273">
        <w:rPr>
          <w:rFonts w:ascii="Times New Roman" w:eastAsia="Times New Roman" w:hAnsi="Times New Roman" w:cs="Times New Roman"/>
          <w:sz w:val="26"/>
          <w:szCs w:val="26"/>
          <w:lang w:eastAsia="hu-HU"/>
        </w:rPr>
        <w:t>5</w:t>
      </w:r>
      <w:proofErr w:type="spellEnd"/>
      <w:r w:rsidRPr="22B2E273">
        <w:rPr>
          <w:rFonts w:ascii="Times New Roman" w:eastAsia="Times New Roman" w:hAnsi="Times New Roman" w:cs="Times New Roman"/>
          <w:sz w:val="26"/>
          <w:szCs w:val="26"/>
          <w:lang w:eastAsia="hu-HU"/>
        </w:rPr>
        <w:t xml:space="preserve"> éves futamidővel 577,6 milliárd forint (1,5 milliárd EUR) összegben. 2024. szeptember 5-én japán jenben denominált Szamuráj kötvények kibocsátására került sor összesen 99,3 milliárd forint (39,6 milliárd JPY) összegben. Két sorozat piacra vitele történt meg, egy 3 éves futamidejű hagyományos sorozat 96,0 milliárd forint (38,3 milliárd JPY) összegben és egy 10 éves futamidejű zöld sorozat 3,</w:t>
      </w:r>
      <w:proofErr w:type="spellStart"/>
      <w:r w:rsidRPr="22B2E273">
        <w:rPr>
          <w:rFonts w:ascii="Times New Roman" w:eastAsia="Times New Roman" w:hAnsi="Times New Roman" w:cs="Times New Roman"/>
          <w:sz w:val="26"/>
          <w:szCs w:val="26"/>
          <w:lang w:eastAsia="hu-HU"/>
        </w:rPr>
        <w:t>3</w:t>
      </w:r>
      <w:proofErr w:type="spellEnd"/>
      <w:r w:rsidRPr="22B2E273">
        <w:rPr>
          <w:rFonts w:ascii="Times New Roman" w:eastAsia="Times New Roman" w:hAnsi="Times New Roman" w:cs="Times New Roman"/>
          <w:sz w:val="26"/>
          <w:szCs w:val="26"/>
          <w:lang w:eastAsia="hu-HU"/>
        </w:rPr>
        <w:t> milliárd forint (1,3 milliárd JPY) összegben.</w:t>
      </w:r>
    </w:p>
    <w:p w14:paraId="6FDAB8E9" w14:textId="07D8C282" w:rsidR="004603AD" w:rsidRPr="004603AD" w:rsidRDefault="24CA6B4B" w:rsidP="24CA6B4B">
      <w:pPr>
        <w:jc w:val="both"/>
        <w:rPr>
          <w:rFonts w:ascii="Times New Roman" w:eastAsia="Times New Roman" w:hAnsi="Times New Roman" w:cs="Times New Roman"/>
          <w:sz w:val="26"/>
          <w:szCs w:val="26"/>
          <w:lang w:eastAsia="hu-HU"/>
        </w:rPr>
      </w:pPr>
      <w:r w:rsidRPr="24CA6B4B">
        <w:rPr>
          <w:rFonts w:ascii="Times New Roman" w:eastAsia="Times New Roman" w:hAnsi="Times New Roman" w:cs="Times New Roman"/>
          <w:sz w:val="26"/>
          <w:szCs w:val="26"/>
          <w:lang w:eastAsia="hu-HU"/>
        </w:rPr>
        <w:t xml:space="preserve">Áprilisban 393,8 milliárd forint (1,0 milliárd EUR) összegű projektfinanszírozó devizahitel lehívása növelte a devizaadósságot. Az ECP (Euro </w:t>
      </w:r>
      <w:proofErr w:type="spellStart"/>
      <w:r w:rsidRPr="24CA6B4B">
        <w:rPr>
          <w:rFonts w:ascii="Times New Roman" w:eastAsia="Times New Roman" w:hAnsi="Times New Roman" w:cs="Times New Roman"/>
          <w:sz w:val="26"/>
          <w:szCs w:val="26"/>
          <w:lang w:eastAsia="hu-HU"/>
        </w:rPr>
        <w:t>Commercial</w:t>
      </w:r>
      <w:proofErr w:type="spellEnd"/>
      <w:r w:rsidRPr="24CA6B4B">
        <w:rPr>
          <w:rFonts w:ascii="Times New Roman" w:eastAsia="Times New Roman" w:hAnsi="Times New Roman" w:cs="Times New Roman"/>
          <w:sz w:val="26"/>
          <w:szCs w:val="26"/>
          <w:lang w:eastAsia="hu-HU"/>
        </w:rPr>
        <w:t xml:space="preserve"> </w:t>
      </w:r>
      <w:proofErr w:type="spellStart"/>
      <w:r w:rsidRPr="24CA6B4B">
        <w:rPr>
          <w:rFonts w:ascii="Times New Roman" w:eastAsia="Times New Roman" w:hAnsi="Times New Roman" w:cs="Times New Roman"/>
          <w:sz w:val="26"/>
          <w:szCs w:val="26"/>
          <w:lang w:eastAsia="hu-HU"/>
        </w:rPr>
        <w:t>Paper</w:t>
      </w:r>
      <w:proofErr w:type="spellEnd"/>
      <w:r w:rsidRPr="24CA6B4B">
        <w:rPr>
          <w:rFonts w:ascii="Times New Roman" w:eastAsia="Times New Roman" w:hAnsi="Times New Roman" w:cs="Times New Roman"/>
          <w:sz w:val="26"/>
          <w:szCs w:val="26"/>
          <w:lang w:eastAsia="hu-HU"/>
        </w:rPr>
        <w:t xml:space="preserve">) program keretében 2024-ben kibocsátott </w:t>
      </w:r>
      <w:proofErr w:type="spellStart"/>
      <w:r w:rsidRPr="24CA6B4B">
        <w:rPr>
          <w:rFonts w:ascii="Times New Roman" w:eastAsia="Times New Roman" w:hAnsi="Times New Roman" w:cs="Times New Roman"/>
          <w:sz w:val="26"/>
          <w:szCs w:val="26"/>
          <w:lang w:eastAsia="hu-HU"/>
        </w:rPr>
        <w:t>devizaértékpapírok</w:t>
      </w:r>
      <w:proofErr w:type="spellEnd"/>
      <w:r w:rsidRPr="24CA6B4B">
        <w:rPr>
          <w:rFonts w:ascii="Times New Roman" w:eastAsia="Times New Roman" w:hAnsi="Times New Roman" w:cs="Times New Roman"/>
          <w:sz w:val="26"/>
          <w:szCs w:val="26"/>
          <w:lang w:eastAsia="hu-HU"/>
        </w:rPr>
        <w:t xml:space="preserve"> összege 180,4 milliárd forint (500 millió USD) volt. A további devizahitel lehívások és az árfolyamgyengülés szintén emelte a devizaadósság részarányát.</w:t>
      </w:r>
    </w:p>
    <w:p w14:paraId="34F4BD01" w14:textId="56AF7000" w:rsidR="004603AD" w:rsidRPr="004603AD" w:rsidRDefault="22B2E273" w:rsidP="22B2E273">
      <w:pPr>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b/>
          <w:bCs/>
          <w:sz w:val="26"/>
          <w:szCs w:val="26"/>
          <w:lang w:eastAsia="hu-HU"/>
        </w:rPr>
        <w:t>A költségvetés forintadóssága</w:t>
      </w:r>
      <w:r w:rsidRPr="22B2E273">
        <w:rPr>
          <w:rFonts w:ascii="Times New Roman" w:eastAsia="Times New Roman" w:hAnsi="Times New Roman" w:cs="Times New Roman"/>
          <w:sz w:val="26"/>
          <w:szCs w:val="26"/>
          <w:lang w:eastAsia="hu-HU"/>
        </w:rPr>
        <w:t xml:space="preserve"> november végéig 2 446,1 milliárd forinttal növekedett és 39 334,2 milliárd forintot ért el, a forint adósság a teljes államadósság 70,0%-át teszi ki. 2023 decemberében ez az arány 72,5% volt. </w:t>
      </w:r>
    </w:p>
    <w:p w14:paraId="2C039AAB" w14:textId="3280FA95" w:rsidR="004603AD" w:rsidRPr="004603AD" w:rsidRDefault="22B2E273" w:rsidP="22B2E273">
      <w:pPr>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sz w:val="26"/>
          <w:szCs w:val="26"/>
          <w:lang w:eastAsia="hu-HU"/>
        </w:rPr>
        <w:t>2024. november végén a forint lakossági állampapírok állománya 11 271,8 milliárd forintot tett ki, ami 1 194,6 milliárd forint növekedést jelent 2023. december vége óta. A Prémium Magyar Állampapír állománya 2024. november végére 60,8 milliárd forinttal növekedett, amely így 7 053,5 milliárd forintot tett ki. A januárban bevezetett, 3 éves futamidejű Fix Magyar Állampapír állománya elérte a 929,5 milliárd forintot hó végén. Szintén emelkedett a 3 és 5 éves Bónusz Magyar Állampapír állománya is, 313,3 milliárd forint növekedést követően a hó végén 1 186,6 milliárd forintot tett ki. Júniustól megújult kondíciók mellett 5 éves futamidejű Magyar Állampapír Plusz került értékesítésre, amelynek állománya, a nyomdai kibocsátású és a korábban értékesített papírokkal együtt, hó végén 765,7 milliárd forintot tett ki. Ezzel párhuzamosan júniustól kivezetésre kerül az Egyéves Magyar Állampapír, amelynek állománya 457,2 milliárd forint volt november végén, 116,8 milliárd forinttal kisebb a 2023. év végi állománynál. A lakossági állampapírok közül a hosszú futamidejű Fix Magyar Állampapír értékesítése volt a legmagasabb novemberben.</w:t>
      </w:r>
    </w:p>
    <w:p w14:paraId="490F8BEA" w14:textId="72E96FD4" w:rsidR="004603AD" w:rsidRPr="004603AD" w:rsidRDefault="22B2E273" w:rsidP="22B2E273">
      <w:pPr>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sz w:val="26"/>
          <w:szCs w:val="26"/>
          <w:lang w:eastAsia="hu-HU"/>
        </w:rPr>
        <w:t>Az ÁKK Zrt. november hó folyamán összesen 11,1 milliárd forint összegben vásárolt vissza lakossági állampapírokat a forgalmazó bankoktól.</w:t>
      </w:r>
    </w:p>
    <w:p w14:paraId="74776247" w14:textId="14558C17" w:rsidR="004603AD" w:rsidRPr="004603AD" w:rsidRDefault="22B2E273" w:rsidP="22B2E273">
      <w:pPr>
        <w:jc w:val="both"/>
        <w:rPr>
          <w:rFonts w:ascii="Times New Roman" w:eastAsia="Times New Roman" w:hAnsi="Times New Roman" w:cs="Times New Roman"/>
          <w:sz w:val="26"/>
          <w:szCs w:val="26"/>
          <w:lang w:eastAsia="hu-HU"/>
        </w:rPr>
      </w:pPr>
      <w:r w:rsidRPr="22B2E273">
        <w:rPr>
          <w:rFonts w:ascii="Times New Roman" w:eastAsia="Times New Roman" w:hAnsi="Times New Roman" w:cs="Times New Roman"/>
          <w:b/>
          <w:bCs/>
          <w:sz w:val="26"/>
          <w:szCs w:val="26"/>
          <w:lang w:eastAsia="hu-HU"/>
        </w:rPr>
        <w:t>A külföldi befektetők állampapír állománya</w:t>
      </w:r>
      <w:r w:rsidRPr="22B2E273">
        <w:rPr>
          <w:rFonts w:ascii="Times New Roman" w:eastAsia="Times New Roman" w:hAnsi="Times New Roman" w:cs="Times New Roman"/>
          <w:sz w:val="26"/>
          <w:szCs w:val="26"/>
          <w:lang w:eastAsia="hu-HU"/>
        </w:rPr>
        <w:t xml:space="preserve"> novemberben 644,6 milliárd forinttal 5 465,0 milliárd forintra mérséklődött az előző hónaphoz képest. A külföldi állomány 99,8%-</w:t>
      </w:r>
      <w:proofErr w:type="gramStart"/>
      <w:r w:rsidRPr="22B2E273">
        <w:rPr>
          <w:rFonts w:ascii="Times New Roman" w:eastAsia="Times New Roman" w:hAnsi="Times New Roman" w:cs="Times New Roman"/>
          <w:sz w:val="26"/>
          <w:szCs w:val="26"/>
          <w:lang w:eastAsia="hu-HU"/>
        </w:rPr>
        <w:t>a</w:t>
      </w:r>
      <w:proofErr w:type="gramEnd"/>
      <w:r w:rsidRPr="22B2E273">
        <w:rPr>
          <w:rFonts w:ascii="Times New Roman" w:eastAsia="Times New Roman" w:hAnsi="Times New Roman" w:cs="Times New Roman"/>
          <w:sz w:val="26"/>
          <w:szCs w:val="26"/>
          <w:lang w:eastAsia="hu-HU"/>
        </w:rPr>
        <w:t>, 5 451,9 milliárd forint államkötvény, 0,2%-a, 13,2 milliárd forint diszkontkincstárjegy. A külföldi állomány átlagos hátralévő futamideje november végén 6,1 év volt.</w:t>
      </w:r>
    </w:p>
    <w:p w14:paraId="65A61190" w14:textId="730602A3" w:rsidR="00C35CE2" w:rsidRPr="004603AD" w:rsidRDefault="24CA6B4B" w:rsidP="24CA6B4B">
      <w:pPr>
        <w:jc w:val="both"/>
        <w:rPr>
          <w:rFonts w:ascii="Times New Roman" w:eastAsia="Times New Roman" w:hAnsi="Times New Roman" w:cs="Times New Roman"/>
          <w:sz w:val="26"/>
          <w:szCs w:val="26"/>
          <w:lang w:eastAsia="hu-HU"/>
        </w:rPr>
      </w:pPr>
      <w:r w:rsidRPr="24CA6B4B">
        <w:rPr>
          <w:rFonts w:ascii="Times New Roman" w:eastAsia="Times New Roman" w:hAnsi="Times New Roman" w:cs="Times New Roman"/>
          <w:sz w:val="26"/>
          <w:szCs w:val="26"/>
          <w:lang w:eastAsia="hu-HU"/>
        </w:rPr>
        <w:t xml:space="preserve">A deviza-államadósság kockázatainak csökkentése érdekében az ÁKK Zrt. </w:t>
      </w:r>
      <w:proofErr w:type="spellStart"/>
      <w:r w:rsidRPr="24CA6B4B">
        <w:rPr>
          <w:rFonts w:ascii="Times New Roman" w:eastAsia="Times New Roman" w:hAnsi="Times New Roman" w:cs="Times New Roman"/>
          <w:sz w:val="26"/>
          <w:szCs w:val="26"/>
          <w:lang w:eastAsia="hu-HU"/>
        </w:rPr>
        <w:t>swap</w:t>
      </w:r>
      <w:proofErr w:type="spellEnd"/>
      <w:r w:rsidRPr="24CA6B4B">
        <w:rPr>
          <w:rFonts w:ascii="Times New Roman" w:eastAsia="Times New Roman" w:hAnsi="Times New Roman" w:cs="Times New Roman"/>
          <w:sz w:val="26"/>
          <w:szCs w:val="26"/>
          <w:lang w:eastAsia="hu-HU"/>
        </w:rPr>
        <w:t xml:space="preserve"> műveleteket köt, amiből az adósságállomány részét képezik az ezen ügyletek után az ÁKK </w:t>
      </w:r>
      <w:proofErr w:type="spellStart"/>
      <w:r w:rsidRPr="24CA6B4B">
        <w:rPr>
          <w:rFonts w:ascii="Times New Roman" w:eastAsia="Times New Roman" w:hAnsi="Times New Roman" w:cs="Times New Roman"/>
          <w:sz w:val="26"/>
          <w:szCs w:val="26"/>
          <w:lang w:eastAsia="hu-HU"/>
        </w:rPr>
        <w:t>Zrt-nél</w:t>
      </w:r>
      <w:proofErr w:type="spellEnd"/>
      <w:r w:rsidRPr="24CA6B4B">
        <w:rPr>
          <w:rFonts w:ascii="Times New Roman" w:eastAsia="Times New Roman" w:hAnsi="Times New Roman" w:cs="Times New Roman"/>
          <w:sz w:val="26"/>
          <w:szCs w:val="26"/>
          <w:lang w:eastAsia="hu-HU"/>
        </w:rPr>
        <w:t xml:space="preserve"> elhelyezésre kerülő fedezeti összegek (az ún. mark-to-market betétek) az egyéb kötelezettségek soron. A korábbi dollárkötv</w:t>
      </w:r>
      <w:bookmarkStart w:id="0" w:name="_GoBack"/>
      <w:bookmarkEnd w:id="0"/>
      <w:r w:rsidRPr="24CA6B4B">
        <w:rPr>
          <w:rFonts w:ascii="Times New Roman" w:eastAsia="Times New Roman" w:hAnsi="Times New Roman" w:cs="Times New Roman"/>
          <w:sz w:val="26"/>
          <w:szCs w:val="26"/>
          <w:lang w:eastAsia="hu-HU"/>
        </w:rPr>
        <w:t xml:space="preserve">ény kibocsátások óta eltelt időszakban az egyéb devizák (főként az USD) jelentősen felértékelődtek az euróhoz képest, az emiatt keletkező többletadósságot viszont a </w:t>
      </w:r>
      <w:proofErr w:type="spellStart"/>
      <w:r w:rsidRPr="24CA6B4B">
        <w:rPr>
          <w:rFonts w:ascii="Times New Roman" w:eastAsia="Times New Roman" w:hAnsi="Times New Roman" w:cs="Times New Roman"/>
          <w:sz w:val="26"/>
          <w:szCs w:val="26"/>
          <w:lang w:eastAsia="hu-HU"/>
        </w:rPr>
        <w:t>swapkötéssel</w:t>
      </w:r>
      <w:proofErr w:type="spellEnd"/>
      <w:r w:rsidRPr="24CA6B4B">
        <w:rPr>
          <w:rFonts w:ascii="Times New Roman" w:eastAsia="Times New Roman" w:hAnsi="Times New Roman" w:cs="Times New Roman"/>
          <w:sz w:val="26"/>
          <w:szCs w:val="26"/>
          <w:lang w:eastAsia="hu-HU"/>
        </w:rPr>
        <w:t xml:space="preserve"> sikerült kizárni. Az év első tizenegy hónapja alatt az egyéb kötelezettségek állománya 173,6 milliárd forinttal csökkent. November végén az állomány 125,3 milliárd forintot tett ki, ami a teljes államadósság 0,2%-át jelenti.</w:t>
      </w:r>
    </w:p>
    <w:sectPr w:rsidR="00C35CE2" w:rsidRPr="004603AD" w:rsidSect="00617877">
      <w:headerReference w:type="even" r:id="rId31"/>
      <w:footerReference w:type="default" r:id="rId32"/>
      <w:footerReference w:type="first" r:id="rId33"/>
      <w:pgSz w:w="11906" w:h="16838"/>
      <w:pgMar w:top="1418" w:right="1134" w:bottom="1418" w:left="1134" w:header="708" w:footer="6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DE1EE" w14:textId="77777777" w:rsidR="00054358" w:rsidRDefault="00054358" w:rsidP="00B155FE">
      <w:pPr>
        <w:spacing w:after="0" w:line="240" w:lineRule="auto"/>
      </w:pPr>
      <w:r>
        <w:separator/>
      </w:r>
    </w:p>
  </w:endnote>
  <w:endnote w:type="continuationSeparator" w:id="0">
    <w:p w14:paraId="4A4F667B" w14:textId="77777777" w:rsidR="00054358" w:rsidRDefault="00054358" w:rsidP="00B155FE">
      <w:pPr>
        <w:spacing w:after="0" w:line="240" w:lineRule="auto"/>
      </w:pPr>
      <w:r>
        <w:continuationSeparator/>
      </w:r>
    </w:p>
  </w:endnote>
  <w:endnote w:type="continuationNotice" w:id="1">
    <w:p w14:paraId="2D992469" w14:textId="77777777" w:rsidR="00054358" w:rsidRDefault="00054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22D1F" w14:textId="4DE2DC1D" w:rsidR="00054358" w:rsidRDefault="00054358">
    <w:pPr>
      <w:pStyle w:val="llb"/>
      <w:jc w:val="center"/>
    </w:pPr>
  </w:p>
  <w:p w14:paraId="41773F2F" w14:textId="77777777" w:rsidR="00054358" w:rsidRDefault="0005435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154505"/>
      <w:docPartObj>
        <w:docPartGallery w:val="Page Numbers (Bottom of Page)"/>
        <w:docPartUnique/>
      </w:docPartObj>
    </w:sdtPr>
    <w:sdtEndPr>
      <w:rPr>
        <w:rFonts w:ascii="Times New Roman" w:hAnsi="Times New Roman" w:cs="Times New Roman"/>
        <w:sz w:val="24"/>
      </w:rPr>
    </w:sdtEndPr>
    <w:sdtContent>
      <w:p w14:paraId="52C756D2" w14:textId="22FAF100" w:rsidR="00054358" w:rsidRPr="00F57CC6" w:rsidRDefault="00054358">
        <w:pPr>
          <w:pStyle w:val="llb"/>
          <w:jc w:val="center"/>
          <w:rPr>
            <w:rFonts w:ascii="Times New Roman" w:hAnsi="Times New Roman" w:cs="Times New Roman"/>
            <w:sz w:val="24"/>
          </w:rPr>
        </w:pPr>
        <w:r w:rsidRPr="00F57CC6">
          <w:rPr>
            <w:rFonts w:ascii="Times New Roman" w:hAnsi="Times New Roman" w:cs="Times New Roman"/>
          </w:rPr>
          <w:t>20</w:t>
        </w:r>
      </w:p>
    </w:sdtContent>
  </w:sdt>
  <w:p w14:paraId="64304736" w14:textId="77777777" w:rsidR="00054358" w:rsidRDefault="00054358">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558895"/>
      <w:docPartObj>
        <w:docPartGallery w:val="Page Numbers (Bottom of Page)"/>
        <w:docPartUnique/>
      </w:docPartObj>
    </w:sdtPr>
    <w:sdtEndPr>
      <w:rPr>
        <w:rFonts w:ascii="Times New Roman" w:hAnsi="Times New Roman" w:cs="Times New Roman"/>
        <w:sz w:val="24"/>
      </w:rPr>
    </w:sdtEndPr>
    <w:sdtContent>
      <w:p w14:paraId="10FD5F29" w14:textId="5FC2EE51" w:rsidR="00054358" w:rsidRPr="00470868" w:rsidRDefault="00054358">
        <w:pPr>
          <w:pStyle w:val="llb"/>
          <w:jc w:val="center"/>
          <w:rPr>
            <w:rFonts w:ascii="Times New Roman" w:hAnsi="Times New Roman" w:cs="Times New Roman"/>
            <w:sz w:val="24"/>
          </w:rPr>
        </w:pPr>
        <w:r w:rsidRPr="00470868">
          <w:rPr>
            <w:rFonts w:ascii="Times New Roman" w:hAnsi="Times New Roman" w:cs="Times New Roman"/>
            <w:sz w:val="24"/>
          </w:rPr>
          <w:fldChar w:fldCharType="begin"/>
        </w:r>
        <w:r w:rsidRPr="00470868">
          <w:rPr>
            <w:rFonts w:ascii="Times New Roman" w:hAnsi="Times New Roman" w:cs="Times New Roman"/>
            <w:sz w:val="24"/>
          </w:rPr>
          <w:instrText>PAGE   \* MERGEFORMAT</w:instrText>
        </w:r>
        <w:r w:rsidRPr="00470868">
          <w:rPr>
            <w:rFonts w:ascii="Times New Roman" w:hAnsi="Times New Roman" w:cs="Times New Roman"/>
            <w:sz w:val="24"/>
          </w:rPr>
          <w:fldChar w:fldCharType="separate"/>
        </w:r>
        <w:r w:rsidR="0071549A">
          <w:rPr>
            <w:rFonts w:ascii="Times New Roman" w:hAnsi="Times New Roman" w:cs="Times New Roman"/>
            <w:noProof/>
            <w:sz w:val="24"/>
          </w:rPr>
          <w:t>1</w:t>
        </w:r>
        <w:r w:rsidRPr="00470868">
          <w:rPr>
            <w:rFonts w:ascii="Times New Roman" w:hAnsi="Times New Roman" w:cs="Times New Roman"/>
            <w:sz w:val="24"/>
          </w:rPr>
          <w:fldChar w:fldCharType="end"/>
        </w:r>
      </w:p>
    </w:sdtContent>
  </w:sdt>
  <w:p w14:paraId="17329691" w14:textId="773A5D5E" w:rsidR="00054358" w:rsidRPr="00556984" w:rsidRDefault="00054358" w:rsidP="00556984">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18299"/>
      <w:docPartObj>
        <w:docPartGallery w:val="Page Numbers (Bottom of Page)"/>
        <w:docPartUnique/>
      </w:docPartObj>
    </w:sdtPr>
    <w:sdtEndPr>
      <w:rPr>
        <w:rFonts w:ascii="Times New Roman" w:hAnsi="Times New Roman" w:cs="Times New Roman"/>
        <w:sz w:val="24"/>
      </w:rPr>
    </w:sdtEndPr>
    <w:sdtContent>
      <w:p w14:paraId="3125117D" w14:textId="73658194" w:rsidR="00054358" w:rsidRPr="00D4148C" w:rsidRDefault="00054358">
        <w:pPr>
          <w:pStyle w:val="llb"/>
          <w:jc w:val="center"/>
          <w:rPr>
            <w:rFonts w:ascii="Times New Roman" w:hAnsi="Times New Roman" w:cs="Times New Roman"/>
            <w:sz w:val="24"/>
          </w:rPr>
        </w:pPr>
        <w:r>
          <w:rPr>
            <w:rFonts w:ascii="Times New Roman" w:hAnsi="Times New Roman" w:cs="Times New Roman"/>
            <w:sz w:val="24"/>
          </w:rPr>
          <w:t>22</w:t>
        </w:r>
      </w:p>
    </w:sdtContent>
  </w:sdt>
  <w:p w14:paraId="761CC432" w14:textId="77777777" w:rsidR="00054358" w:rsidRDefault="00054358" w:rsidP="00C74E0F">
    <w:pPr>
      <w:pStyle w:val="llb"/>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BE82E" w14:textId="29FBF5D8" w:rsidR="00054358" w:rsidRDefault="00054358" w:rsidP="004A3001">
    <w:pPr>
      <w:pStyle w:val="llb"/>
      <w:jc w:val="center"/>
    </w:pPr>
    <w:r w:rsidRPr="24CA6B4B">
      <w:rPr>
        <w:rFonts w:ascii="Times New Roman" w:hAnsi="Times New Roman" w:cs="Times New Roman"/>
        <w:sz w:val="24"/>
        <w:szCs w:val="24"/>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33D67" w14:textId="77777777" w:rsidR="00054358" w:rsidRDefault="00054358" w:rsidP="00B155FE">
      <w:pPr>
        <w:spacing w:after="0" w:line="240" w:lineRule="auto"/>
      </w:pPr>
      <w:r>
        <w:separator/>
      </w:r>
    </w:p>
  </w:footnote>
  <w:footnote w:type="continuationSeparator" w:id="0">
    <w:p w14:paraId="7A4F78CA" w14:textId="77777777" w:rsidR="00054358" w:rsidRDefault="00054358" w:rsidP="00B155FE">
      <w:pPr>
        <w:spacing w:after="0" w:line="240" w:lineRule="auto"/>
      </w:pPr>
      <w:r>
        <w:continuationSeparator/>
      </w:r>
    </w:p>
  </w:footnote>
  <w:footnote w:type="continuationNotice" w:id="1">
    <w:p w14:paraId="23C8A1CA" w14:textId="77777777" w:rsidR="00054358" w:rsidRDefault="0005435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18"/>
      <w:gridCol w:w="3118"/>
      <w:gridCol w:w="3118"/>
    </w:tblGrid>
    <w:tr w:rsidR="00054358" w14:paraId="1027336C" w14:textId="77777777" w:rsidTr="75E7E8C2">
      <w:tc>
        <w:tcPr>
          <w:tcW w:w="3118" w:type="dxa"/>
        </w:tcPr>
        <w:p w14:paraId="4C837DDD" w14:textId="79A8EEFC" w:rsidR="00054358" w:rsidRDefault="00054358" w:rsidP="75E7E8C2">
          <w:pPr>
            <w:pStyle w:val="lfej"/>
            <w:ind w:left="-115"/>
          </w:pPr>
        </w:p>
      </w:tc>
      <w:tc>
        <w:tcPr>
          <w:tcW w:w="3118" w:type="dxa"/>
        </w:tcPr>
        <w:p w14:paraId="215A5B55" w14:textId="4B5EFC16" w:rsidR="00054358" w:rsidRDefault="00054358" w:rsidP="75E7E8C2">
          <w:pPr>
            <w:pStyle w:val="lfej"/>
            <w:jc w:val="center"/>
          </w:pPr>
        </w:p>
      </w:tc>
      <w:tc>
        <w:tcPr>
          <w:tcW w:w="3118" w:type="dxa"/>
        </w:tcPr>
        <w:p w14:paraId="08CD3A76" w14:textId="283AC16D" w:rsidR="00054358" w:rsidRDefault="00054358" w:rsidP="75E7E8C2">
          <w:pPr>
            <w:pStyle w:val="lfej"/>
            <w:ind w:right="-115"/>
            <w:jc w:val="right"/>
          </w:pPr>
        </w:p>
      </w:tc>
    </w:tr>
  </w:tbl>
  <w:p w14:paraId="4176297E" w14:textId="7CD13837" w:rsidR="00054358" w:rsidRDefault="00054358" w:rsidP="75E7E8C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F47D1" w14:textId="3D0DDD49" w:rsidR="00054358" w:rsidRDefault="00054358" w:rsidP="75E7E8C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8C96" w14:textId="77777777" w:rsidR="00054358" w:rsidRPr="00881044" w:rsidRDefault="00054358" w:rsidP="00C74E0F">
    <w:pPr>
      <w:pStyle w:val="lfej"/>
      <w:rPr>
        <w:rStyle w:val="Oldalszm"/>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8C97" w14:textId="77777777" w:rsidR="00054358" w:rsidRPr="00FE4DD1" w:rsidRDefault="00054358" w:rsidP="00C74E0F">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009518"/>
      <w:docPartObj>
        <w:docPartGallery w:val="Page Numbers (Top of Page)"/>
        <w:docPartUnique/>
      </w:docPartObj>
    </w:sdtPr>
    <w:sdtEndPr>
      <w:rPr>
        <w:noProof/>
      </w:rPr>
    </w:sdtEndPr>
    <w:sdtContent>
      <w:p w14:paraId="7585AF56" w14:textId="77777777" w:rsidR="00054358" w:rsidRDefault="00054358">
        <w:pPr>
          <w:pStyle w:val="lfej"/>
          <w:jc w:val="center"/>
        </w:pPr>
        <w:r>
          <w:fldChar w:fldCharType="begin"/>
        </w:r>
        <w:r>
          <w:instrText xml:space="preserve"> PAGE   \* MERGEFORMAT </w:instrText>
        </w:r>
        <w:r>
          <w:fldChar w:fldCharType="separate"/>
        </w:r>
        <w:r>
          <w:rPr>
            <w:noProof/>
          </w:rPr>
          <w:t>20</w:t>
        </w:r>
        <w:r>
          <w:rPr>
            <w:noProof/>
          </w:rPr>
          <w:fldChar w:fldCharType="end"/>
        </w:r>
      </w:p>
    </w:sdtContent>
  </w:sdt>
  <w:p w14:paraId="24A46ECE" w14:textId="77777777" w:rsidR="00054358" w:rsidRDefault="0005435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298"/>
    <w:multiLevelType w:val="hybridMultilevel"/>
    <w:tmpl w:val="44CCC2AC"/>
    <w:lvl w:ilvl="0" w:tplc="08783BEC">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6602D43"/>
    <w:multiLevelType w:val="hybridMultilevel"/>
    <w:tmpl w:val="390E53F2"/>
    <w:lvl w:ilvl="0" w:tplc="F872D380">
      <w:start w:val="1"/>
      <w:numFmt w:val="bullet"/>
      <w:lvlText w:val=""/>
      <w:lvlJc w:val="left"/>
      <w:pPr>
        <w:ind w:left="720" w:hanging="360"/>
      </w:pPr>
      <w:rPr>
        <w:rFonts w:ascii="Symbol" w:hAnsi="Symbol" w:hint="default"/>
      </w:rPr>
    </w:lvl>
    <w:lvl w:ilvl="1" w:tplc="86BC4448">
      <w:start w:val="1"/>
      <w:numFmt w:val="bullet"/>
      <w:lvlText w:val="o"/>
      <w:lvlJc w:val="left"/>
      <w:pPr>
        <w:ind w:left="1440" w:hanging="360"/>
      </w:pPr>
      <w:rPr>
        <w:rFonts w:ascii="Courier New" w:hAnsi="Courier New" w:hint="default"/>
      </w:rPr>
    </w:lvl>
    <w:lvl w:ilvl="2" w:tplc="F05C9352">
      <w:start w:val="1"/>
      <w:numFmt w:val="bullet"/>
      <w:lvlText w:val=""/>
      <w:lvlJc w:val="left"/>
      <w:pPr>
        <w:ind w:left="2160" w:hanging="360"/>
      </w:pPr>
      <w:rPr>
        <w:rFonts w:ascii="Wingdings" w:hAnsi="Wingdings" w:hint="default"/>
      </w:rPr>
    </w:lvl>
    <w:lvl w:ilvl="3" w:tplc="232EF98C">
      <w:start w:val="1"/>
      <w:numFmt w:val="bullet"/>
      <w:lvlText w:val=""/>
      <w:lvlJc w:val="left"/>
      <w:pPr>
        <w:ind w:left="2880" w:hanging="360"/>
      </w:pPr>
      <w:rPr>
        <w:rFonts w:ascii="Symbol" w:hAnsi="Symbol" w:hint="default"/>
      </w:rPr>
    </w:lvl>
    <w:lvl w:ilvl="4" w:tplc="03066B72">
      <w:start w:val="1"/>
      <w:numFmt w:val="bullet"/>
      <w:lvlText w:val="o"/>
      <w:lvlJc w:val="left"/>
      <w:pPr>
        <w:ind w:left="3600" w:hanging="360"/>
      </w:pPr>
      <w:rPr>
        <w:rFonts w:ascii="Courier New" w:hAnsi="Courier New" w:hint="default"/>
      </w:rPr>
    </w:lvl>
    <w:lvl w:ilvl="5" w:tplc="7A906010">
      <w:start w:val="1"/>
      <w:numFmt w:val="bullet"/>
      <w:lvlText w:val=""/>
      <w:lvlJc w:val="left"/>
      <w:pPr>
        <w:ind w:left="4320" w:hanging="360"/>
      </w:pPr>
      <w:rPr>
        <w:rFonts w:ascii="Wingdings" w:hAnsi="Wingdings" w:hint="default"/>
      </w:rPr>
    </w:lvl>
    <w:lvl w:ilvl="6" w:tplc="9F6A3F04">
      <w:start w:val="1"/>
      <w:numFmt w:val="bullet"/>
      <w:lvlText w:val=""/>
      <w:lvlJc w:val="left"/>
      <w:pPr>
        <w:ind w:left="5040" w:hanging="360"/>
      </w:pPr>
      <w:rPr>
        <w:rFonts w:ascii="Symbol" w:hAnsi="Symbol" w:hint="default"/>
      </w:rPr>
    </w:lvl>
    <w:lvl w:ilvl="7" w:tplc="D5603E42">
      <w:start w:val="1"/>
      <w:numFmt w:val="bullet"/>
      <w:lvlText w:val="o"/>
      <w:lvlJc w:val="left"/>
      <w:pPr>
        <w:ind w:left="5760" w:hanging="360"/>
      </w:pPr>
      <w:rPr>
        <w:rFonts w:ascii="Courier New" w:hAnsi="Courier New" w:hint="default"/>
      </w:rPr>
    </w:lvl>
    <w:lvl w:ilvl="8" w:tplc="F1D4D0F8">
      <w:start w:val="1"/>
      <w:numFmt w:val="bullet"/>
      <w:lvlText w:val=""/>
      <w:lvlJc w:val="left"/>
      <w:pPr>
        <w:ind w:left="6480" w:hanging="360"/>
      </w:pPr>
      <w:rPr>
        <w:rFonts w:ascii="Wingdings" w:hAnsi="Wingdings" w:hint="default"/>
      </w:rPr>
    </w:lvl>
  </w:abstractNum>
  <w:abstractNum w:abstractNumId="2" w15:restartNumberingAfterBreak="0">
    <w:nsid w:val="3CC7670D"/>
    <w:multiLevelType w:val="hybridMultilevel"/>
    <w:tmpl w:val="FDDC7674"/>
    <w:lvl w:ilvl="0" w:tplc="9120DF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1033469"/>
    <w:multiLevelType w:val="hybridMultilevel"/>
    <w:tmpl w:val="D612FE54"/>
    <w:lvl w:ilvl="0" w:tplc="85BCE940">
      <w:start w:val="1"/>
      <w:numFmt w:val="bullet"/>
      <w:lvlText w:val=""/>
      <w:lvlJc w:val="left"/>
      <w:pPr>
        <w:ind w:left="720" w:hanging="360"/>
      </w:pPr>
      <w:rPr>
        <w:rFonts w:ascii="Symbol" w:hAnsi="Symbol" w:hint="default"/>
      </w:rPr>
    </w:lvl>
    <w:lvl w:ilvl="1" w:tplc="EDE89D4A">
      <w:start w:val="1"/>
      <w:numFmt w:val="bullet"/>
      <w:lvlText w:val="o"/>
      <w:lvlJc w:val="left"/>
      <w:pPr>
        <w:ind w:left="1440" w:hanging="360"/>
      </w:pPr>
      <w:rPr>
        <w:rFonts w:ascii="Courier New" w:hAnsi="Courier New" w:hint="default"/>
      </w:rPr>
    </w:lvl>
    <w:lvl w:ilvl="2" w:tplc="91061732">
      <w:start w:val="1"/>
      <w:numFmt w:val="bullet"/>
      <w:lvlText w:val=""/>
      <w:lvlJc w:val="left"/>
      <w:pPr>
        <w:ind w:left="2160" w:hanging="360"/>
      </w:pPr>
      <w:rPr>
        <w:rFonts w:ascii="Wingdings" w:hAnsi="Wingdings" w:hint="default"/>
      </w:rPr>
    </w:lvl>
    <w:lvl w:ilvl="3" w:tplc="5D04C974">
      <w:start w:val="1"/>
      <w:numFmt w:val="bullet"/>
      <w:lvlText w:val=""/>
      <w:lvlJc w:val="left"/>
      <w:pPr>
        <w:ind w:left="2880" w:hanging="360"/>
      </w:pPr>
      <w:rPr>
        <w:rFonts w:ascii="Symbol" w:hAnsi="Symbol" w:hint="default"/>
      </w:rPr>
    </w:lvl>
    <w:lvl w:ilvl="4" w:tplc="1C648E36">
      <w:start w:val="1"/>
      <w:numFmt w:val="bullet"/>
      <w:lvlText w:val="o"/>
      <w:lvlJc w:val="left"/>
      <w:pPr>
        <w:ind w:left="3600" w:hanging="360"/>
      </w:pPr>
      <w:rPr>
        <w:rFonts w:ascii="Courier New" w:hAnsi="Courier New" w:hint="default"/>
      </w:rPr>
    </w:lvl>
    <w:lvl w:ilvl="5" w:tplc="2DB00CB0">
      <w:start w:val="1"/>
      <w:numFmt w:val="bullet"/>
      <w:lvlText w:val=""/>
      <w:lvlJc w:val="left"/>
      <w:pPr>
        <w:ind w:left="4320" w:hanging="360"/>
      </w:pPr>
      <w:rPr>
        <w:rFonts w:ascii="Wingdings" w:hAnsi="Wingdings" w:hint="default"/>
      </w:rPr>
    </w:lvl>
    <w:lvl w:ilvl="6" w:tplc="3C9E0854">
      <w:start w:val="1"/>
      <w:numFmt w:val="bullet"/>
      <w:lvlText w:val=""/>
      <w:lvlJc w:val="left"/>
      <w:pPr>
        <w:ind w:left="5040" w:hanging="360"/>
      </w:pPr>
      <w:rPr>
        <w:rFonts w:ascii="Symbol" w:hAnsi="Symbol" w:hint="default"/>
      </w:rPr>
    </w:lvl>
    <w:lvl w:ilvl="7" w:tplc="EF2AE296">
      <w:start w:val="1"/>
      <w:numFmt w:val="bullet"/>
      <w:lvlText w:val="o"/>
      <w:lvlJc w:val="left"/>
      <w:pPr>
        <w:ind w:left="5760" w:hanging="360"/>
      </w:pPr>
      <w:rPr>
        <w:rFonts w:ascii="Courier New" w:hAnsi="Courier New" w:hint="default"/>
      </w:rPr>
    </w:lvl>
    <w:lvl w:ilvl="8" w:tplc="1B7CE0FC">
      <w:start w:val="1"/>
      <w:numFmt w:val="bullet"/>
      <w:lvlText w:val=""/>
      <w:lvlJc w:val="left"/>
      <w:pPr>
        <w:ind w:left="6480" w:hanging="360"/>
      </w:pPr>
      <w:rPr>
        <w:rFonts w:ascii="Wingdings" w:hAnsi="Wingdings" w:hint="default"/>
      </w:rPr>
    </w:lvl>
  </w:abstractNum>
  <w:abstractNum w:abstractNumId="4" w15:restartNumberingAfterBreak="0">
    <w:nsid w:val="5573523A"/>
    <w:multiLevelType w:val="hybridMultilevel"/>
    <w:tmpl w:val="92D45DA0"/>
    <w:lvl w:ilvl="0" w:tplc="5E4290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70F720B"/>
    <w:multiLevelType w:val="hybridMultilevel"/>
    <w:tmpl w:val="9D3469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7408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FE"/>
    <w:rsid w:val="00000517"/>
    <w:rsid w:val="0000169C"/>
    <w:rsid w:val="00001DDD"/>
    <w:rsid w:val="000103E9"/>
    <w:rsid w:val="00015945"/>
    <w:rsid w:val="00020D17"/>
    <w:rsid w:val="00022205"/>
    <w:rsid w:val="00022974"/>
    <w:rsid w:val="0002586B"/>
    <w:rsid w:val="00025889"/>
    <w:rsid w:val="00026266"/>
    <w:rsid w:val="0002674A"/>
    <w:rsid w:val="000302F3"/>
    <w:rsid w:val="00031896"/>
    <w:rsid w:val="00031C82"/>
    <w:rsid w:val="000365DC"/>
    <w:rsid w:val="0003668B"/>
    <w:rsid w:val="0003701E"/>
    <w:rsid w:val="0004032B"/>
    <w:rsid w:val="000407DB"/>
    <w:rsid w:val="00044042"/>
    <w:rsid w:val="000458BD"/>
    <w:rsid w:val="000471E4"/>
    <w:rsid w:val="000512BB"/>
    <w:rsid w:val="00051E9B"/>
    <w:rsid w:val="0005236D"/>
    <w:rsid w:val="00052502"/>
    <w:rsid w:val="00052E4F"/>
    <w:rsid w:val="00054358"/>
    <w:rsid w:val="00054CDA"/>
    <w:rsid w:val="00057916"/>
    <w:rsid w:val="000617B7"/>
    <w:rsid w:val="00064521"/>
    <w:rsid w:val="0006496D"/>
    <w:rsid w:val="00064D6A"/>
    <w:rsid w:val="00065E19"/>
    <w:rsid w:val="00067A57"/>
    <w:rsid w:val="00070EAC"/>
    <w:rsid w:val="00071FA3"/>
    <w:rsid w:val="00072A58"/>
    <w:rsid w:val="000770F3"/>
    <w:rsid w:val="0008062F"/>
    <w:rsid w:val="00081A0C"/>
    <w:rsid w:val="00082ADE"/>
    <w:rsid w:val="000846A7"/>
    <w:rsid w:val="00085B09"/>
    <w:rsid w:val="00085C37"/>
    <w:rsid w:val="00085DCC"/>
    <w:rsid w:val="000874F4"/>
    <w:rsid w:val="00091F16"/>
    <w:rsid w:val="0009484D"/>
    <w:rsid w:val="00095C95"/>
    <w:rsid w:val="00096300"/>
    <w:rsid w:val="000A18F9"/>
    <w:rsid w:val="000A1F24"/>
    <w:rsid w:val="000A296F"/>
    <w:rsid w:val="000A2EAB"/>
    <w:rsid w:val="000A531B"/>
    <w:rsid w:val="000A7964"/>
    <w:rsid w:val="000B1235"/>
    <w:rsid w:val="000B2569"/>
    <w:rsid w:val="000B49AE"/>
    <w:rsid w:val="000B6723"/>
    <w:rsid w:val="000B6BE0"/>
    <w:rsid w:val="000C1105"/>
    <w:rsid w:val="000C13F2"/>
    <w:rsid w:val="000C1781"/>
    <w:rsid w:val="000C2BFE"/>
    <w:rsid w:val="000C31E5"/>
    <w:rsid w:val="000C3D4C"/>
    <w:rsid w:val="000C46F3"/>
    <w:rsid w:val="000C7CC7"/>
    <w:rsid w:val="000D074C"/>
    <w:rsid w:val="000D1BA8"/>
    <w:rsid w:val="000D4A41"/>
    <w:rsid w:val="000D4E21"/>
    <w:rsid w:val="000D6C88"/>
    <w:rsid w:val="000D76F4"/>
    <w:rsid w:val="000D7836"/>
    <w:rsid w:val="000D7C83"/>
    <w:rsid w:val="000D7EFD"/>
    <w:rsid w:val="000E4745"/>
    <w:rsid w:val="000E4B01"/>
    <w:rsid w:val="000E4F73"/>
    <w:rsid w:val="000E78FE"/>
    <w:rsid w:val="000F13BA"/>
    <w:rsid w:val="000F63B6"/>
    <w:rsid w:val="000F765C"/>
    <w:rsid w:val="00103FE9"/>
    <w:rsid w:val="00110C6D"/>
    <w:rsid w:val="001138B8"/>
    <w:rsid w:val="00115AF5"/>
    <w:rsid w:val="00117E64"/>
    <w:rsid w:val="001209E7"/>
    <w:rsid w:val="00120B53"/>
    <w:rsid w:val="001215DC"/>
    <w:rsid w:val="0012490F"/>
    <w:rsid w:val="00125040"/>
    <w:rsid w:val="00126D53"/>
    <w:rsid w:val="00133EE6"/>
    <w:rsid w:val="0013421A"/>
    <w:rsid w:val="0013434A"/>
    <w:rsid w:val="00135EA3"/>
    <w:rsid w:val="00136087"/>
    <w:rsid w:val="001378AC"/>
    <w:rsid w:val="00142F01"/>
    <w:rsid w:val="00146517"/>
    <w:rsid w:val="00147C0E"/>
    <w:rsid w:val="0015385C"/>
    <w:rsid w:val="00153C19"/>
    <w:rsid w:val="00155283"/>
    <w:rsid w:val="00155301"/>
    <w:rsid w:val="001615DE"/>
    <w:rsid w:val="00170E23"/>
    <w:rsid w:val="00174A9A"/>
    <w:rsid w:val="00180337"/>
    <w:rsid w:val="001849A2"/>
    <w:rsid w:val="00185268"/>
    <w:rsid w:val="001855C0"/>
    <w:rsid w:val="00186B09"/>
    <w:rsid w:val="00193514"/>
    <w:rsid w:val="00193DF7"/>
    <w:rsid w:val="00194E8F"/>
    <w:rsid w:val="001970FB"/>
    <w:rsid w:val="00197516"/>
    <w:rsid w:val="001A2835"/>
    <w:rsid w:val="001A4E5E"/>
    <w:rsid w:val="001A57FD"/>
    <w:rsid w:val="001A5B43"/>
    <w:rsid w:val="001A7E0B"/>
    <w:rsid w:val="001B0DB1"/>
    <w:rsid w:val="001B307C"/>
    <w:rsid w:val="001B4DF1"/>
    <w:rsid w:val="001B50D2"/>
    <w:rsid w:val="001B6F61"/>
    <w:rsid w:val="001C1935"/>
    <w:rsid w:val="001D04A8"/>
    <w:rsid w:val="001D04FF"/>
    <w:rsid w:val="001D17F4"/>
    <w:rsid w:val="001D4975"/>
    <w:rsid w:val="001D6BA0"/>
    <w:rsid w:val="001D709B"/>
    <w:rsid w:val="001D7FB5"/>
    <w:rsid w:val="001E4B4D"/>
    <w:rsid w:val="001E4C57"/>
    <w:rsid w:val="001E6717"/>
    <w:rsid w:val="001E689B"/>
    <w:rsid w:val="001F10C2"/>
    <w:rsid w:val="001F14EB"/>
    <w:rsid w:val="001F4D95"/>
    <w:rsid w:val="001F7400"/>
    <w:rsid w:val="001F7BB0"/>
    <w:rsid w:val="001F7CA7"/>
    <w:rsid w:val="00201050"/>
    <w:rsid w:val="00201886"/>
    <w:rsid w:val="00204EA6"/>
    <w:rsid w:val="0020759E"/>
    <w:rsid w:val="00210593"/>
    <w:rsid w:val="00213E49"/>
    <w:rsid w:val="00215B35"/>
    <w:rsid w:val="0022104D"/>
    <w:rsid w:val="0022196A"/>
    <w:rsid w:val="002223AF"/>
    <w:rsid w:val="0022447A"/>
    <w:rsid w:val="00224714"/>
    <w:rsid w:val="002247AD"/>
    <w:rsid w:val="002260BF"/>
    <w:rsid w:val="00226A85"/>
    <w:rsid w:val="002276A7"/>
    <w:rsid w:val="0022DF0C"/>
    <w:rsid w:val="002310C9"/>
    <w:rsid w:val="00232288"/>
    <w:rsid w:val="00232FCD"/>
    <w:rsid w:val="0023693F"/>
    <w:rsid w:val="0024009D"/>
    <w:rsid w:val="002409BB"/>
    <w:rsid w:val="00241A82"/>
    <w:rsid w:val="00241E69"/>
    <w:rsid w:val="0024586E"/>
    <w:rsid w:val="0025038B"/>
    <w:rsid w:val="0025229C"/>
    <w:rsid w:val="00257190"/>
    <w:rsid w:val="00262041"/>
    <w:rsid w:val="002655BB"/>
    <w:rsid w:val="00265E51"/>
    <w:rsid w:val="002678FB"/>
    <w:rsid w:val="00272765"/>
    <w:rsid w:val="00272CF0"/>
    <w:rsid w:val="002736E9"/>
    <w:rsid w:val="00275CF5"/>
    <w:rsid w:val="00280C09"/>
    <w:rsid w:val="00281CE8"/>
    <w:rsid w:val="00282A85"/>
    <w:rsid w:val="002910F0"/>
    <w:rsid w:val="0029176A"/>
    <w:rsid w:val="002921A1"/>
    <w:rsid w:val="0029251A"/>
    <w:rsid w:val="0029365F"/>
    <w:rsid w:val="00295391"/>
    <w:rsid w:val="002954AA"/>
    <w:rsid w:val="00295EBB"/>
    <w:rsid w:val="002975B9"/>
    <w:rsid w:val="002A11AD"/>
    <w:rsid w:val="002A1BCD"/>
    <w:rsid w:val="002A4B97"/>
    <w:rsid w:val="002B09F4"/>
    <w:rsid w:val="002B2B83"/>
    <w:rsid w:val="002B39F8"/>
    <w:rsid w:val="002B492B"/>
    <w:rsid w:val="002B7BB9"/>
    <w:rsid w:val="002B7C36"/>
    <w:rsid w:val="002C1531"/>
    <w:rsid w:val="002C34B8"/>
    <w:rsid w:val="002C4EE9"/>
    <w:rsid w:val="002C5F14"/>
    <w:rsid w:val="002D7D55"/>
    <w:rsid w:val="002E1C57"/>
    <w:rsid w:val="002E401D"/>
    <w:rsid w:val="002E4E83"/>
    <w:rsid w:val="002E502E"/>
    <w:rsid w:val="002E5FBF"/>
    <w:rsid w:val="002E7744"/>
    <w:rsid w:val="002F150D"/>
    <w:rsid w:val="002F25C3"/>
    <w:rsid w:val="002F4E3B"/>
    <w:rsid w:val="002F5E69"/>
    <w:rsid w:val="002F6126"/>
    <w:rsid w:val="002F6DDD"/>
    <w:rsid w:val="002F7F1A"/>
    <w:rsid w:val="0030136A"/>
    <w:rsid w:val="003018B0"/>
    <w:rsid w:val="00303306"/>
    <w:rsid w:val="003050ED"/>
    <w:rsid w:val="00306EFA"/>
    <w:rsid w:val="00307C4F"/>
    <w:rsid w:val="00311E85"/>
    <w:rsid w:val="0031479F"/>
    <w:rsid w:val="00316788"/>
    <w:rsid w:val="003208C8"/>
    <w:rsid w:val="0032261D"/>
    <w:rsid w:val="0032514C"/>
    <w:rsid w:val="00327D30"/>
    <w:rsid w:val="003310E3"/>
    <w:rsid w:val="00333A2D"/>
    <w:rsid w:val="0033462C"/>
    <w:rsid w:val="00336E30"/>
    <w:rsid w:val="0034134A"/>
    <w:rsid w:val="0034232F"/>
    <w:rsid w:val="00343A3D"/>
    <w:rsid w:val="00343F69"/>
    <w:rsid w:val="00346908"/>
    <w:rsid w:val="00350F76"/>
    <w:rsid w:val="00351831"/>
    <w:rsid w:val="00351D59"/>
    <w:rsid w:val="003524B0"/>
    <w:rsid w:val="003550F2"/>
    <w:rsid w:val="003559D3"/>
    <w:rsid w:val="00356959"/>
    <w:rsid w:val="0035701C"/>
    <w:rsid w:val="00360024"/>
    <w:rsid w:val="00362276"/>
    <w:rsid w:val="003632EE"/>
    <w:rsid w:val="00364745"/>
    <w:rsid w:val="00370B57"/>
    <w:rsid w:val="00370CD6"/>
    <w:rsid w:val="003754BF"/>
    <w:rsid w:val="00375C19"/>
    <w:rsid w:val="00377D59"/>
    <w:rsid w:val="003804A3"/>
    <w:rsid w:val="00380D8A"/>
    <w:rsid w:val="003824FA"/>
    <w:rsid w:val="00382EE1"/>
    <w:rsid w:val="003847D8"/>
    <w:rsid w:val="00384AA3"/>
    <w:rsid w:val="003865FB"/>
    <w:rsid w:val="00387FF8"/>
    <w:rsid w:val="0039133A"/>
    <w:rsid w:val="003942C9"/>
    <w:rsid w:val="00395832"/>
    <w:rsid w:val="00397C7F"/>
    <w:rsid w:val="003A0943"/>
    <w:rsid w:val="003A0BA1"/>
    <w:rsid w:val="003A4D97"/>
    <w:rsid w:val="003A5C78"/>
    <w:rsid w:val="003A6B84"/>
    <w:rsid w:val="003B53B6"/>
    <w:rsid w:val="003B55AB"/>
    <w:rsid w:val="003B5A9A"/>
    <w:rsid w:val="003C09EA"/>
    <w:rsid w:val="003C13C6"/>
    <w:rsid w:val="003C2D6B"/>
    <w:rsid w:val="003C501E"/>
    <w:rsid w:val="003C57BB"/>
    <w:rsid w:val="003D0602"/>
    <w:rsid w:val="003D16B4"/>
    <w:rsid w:val="003D5132"/>
    <w:rsid w:val="003D61A8"/>
    <w:rsid w:val="003E46ED"/>
    <w:rsid w:val="003E4A41"/>
    <w:rsid w:val="003E508C"/>
    <w:rsid w:val="003E622C"/>
    <w:rsid w:val="003F18A4"/>
    <w:rsid w:val="003F267F"/>
    <w:rsid w:val="003F3149"/>
    <w:rsid w:val="003F3151"/>
    <w:rsid w:val="00400149"/>
    <w:rsid w:val="004003D1"/>
    <w:rsid w:val="00401229"/>
    <w:rsid w:val="00403D7E"/>
    <w:rsid w:val="0040704D"/>
    <w:rsid w:val="00411BDD"/>
    <w:rsid w:val="00414CDD"/>
    <w:rsid w:val="004206D8"/>
    <w:rsid w:val="00421775"/>
    <w:rsid w:val="004220DE"/>
    <w:rsid w:val="0042380D"/>
    <w:rsid w:val="004269CF"/>
    <w:rsid w:val="00427F34"/>
    <w:rsid w:val="0043012E"/>
    <w:rsid w:val="0043393D"/>
    <w:rsid w:val="00436C3A"/>
    <w:rsid w:val="004412D5"/>
    <w:rsid w:val="0044233D"/>
    <w:rsid w:val="00442993"/>
    <w:rsid w:val="00444554"/>
    <w:rsid w:val="0044587B"/>
    <w:rsid w:val="004523FE"/>
    <w:rsid w:val="004561EE"/>
    <w:rsid w:val="0045694E"/>
    <w:rsid w:val="00457124"/>
    <w:rsid w:val="00457918"/>
    <w:rsid w:val="004603AD"/>
    <w:rsid w:val="00464B6D"/>
    <w:rsid w:val="00464D42"/>
    <w:rsid w:val="00465074"/>
    <w:rsid w:val="00466390"/>
    <w:rsid w:val="00466A47"/>
    <w:rsid w:val="00466C80"/>
    <w:rsid w:val="00467A58"/>
    <w:rsid w:val="00470868"/>
    <w:rsid w:val="004727C2"/>
    <w:rsid w:val="00474AC8"/>
    <w:rsid w:val="00477B37"/>
    <w:rsid w:val="004816C1"/>
    <w:rsid w:val="0048361E"/>
    <w:rsid w:val="0048484D"/>
    <w:rsid w:val="00485019"/>
    <w:rsid w:val="00485E1E"/>
    <w:rsid w:val="004879B8"/>
    <w:rsid w:val="00490330"/>
    <w:rsid w:val="0049287F"/>
    <w:rsid w:val="00496EAA"/>
    <w:rsid w:val="004971F1"/>
    <w:rsid w:val="004A2974"/>
    <w:rsid w:val="004A3001"/>
    <w:rsid w:val="004A6DD1"/>
    <w:rsid w:val="004B0F31"/>
    <w:rsid w:val="004B1132"/>
    <w:rsid w:val="004B1AF1"/>
    <w:rsid w:val="004B2CAC"/>
    <w:rsid w:val="004B3704"/>
    <w:rsid w:val="004B391E"/>
    <w:rsid w:val="004B60A5"/>
    <w:rsid w:val="004B7931"/>
    <w:rsid w:val="004C1AE7"/>
    <w:rsid w:val="004C1B57"/>
    <w:rsid w:val="004C3A05"/>
    <w:rsid w:val="004C5E84"/>
    <w:rsid w:val="004C64E7"/>
    <w:rsid w:val="004C73AF"/>
    <w:rsid w:val="004D06BA"/>
    <w:rsid w:val="004D0EEC"/>
    <w:rsid w:val="004D32C3"/>
    <w:rsid w:val="004D50F6"/>
    <w:rsid w:val="004D5146"/>
    <w:rsid w:val="004D549E"/>
    <w:rsid w:val="004D72BB"/>
    <w:rsid w:val="004E12D4"/>
    <w:rsid w:val="004E13F6"/>
    <w:rsid w:val="004E1FF6"/>
    <w:rsid w:val="004E6FA2"/>
    <w:rsid w:val="004F2496"/>
    <w:rsid w:val="004F277F"/>
    <w:rsid w:val="004F3F73"/>
    <w:rsid w:val="004F41FE"/>
    <w:rsid w:val="00507BC3"/>
    <w:rsid w:val="00510390"/>
    <w:rsid w:val="00510655"/>
    <w:rsid w:val="00512F67"/>
    <w:rsid w:val="005173AB"/>
    <w:rsid w:val="00521BEE"/>
    <w:rsid w:val="00523772"/>
    <w:rsid w:val="00523C26"/>
    <w:rsid w:val="005246B0"/>
    <w:rsid w:val="00526D67"/>
    <w:rsid w:val="005271DC"/>
    <w:rsid w:val="00527BF5"/>
    <w:rsid w:val="00530561"/>
    <w:rsid w:val="00530DB0"/>
    <w:rsid w:val="0053190B"/>
    <w:rsid w:val="00533CAF"/>
    <w:rsid w:val="00541866"/>
    <w:rsid w:val="00541988"/>
    <w:rsid w:val="00543F6A"/>
    <w:rsid w:val="00545562"/>
    <w:rsid w:val="00545BAB"/>
    <w:rsid w:val="00547E18"/>
    <w:rsid w:val="005518E4"/>
    <w:rsid w:val="005521BE"/>
    <w:rsid w:val="00553319"/>
    <w:rsid w:val="005535B5"/>
    <w:rsid w:val="00556984"/>
    <w:rsid w:val="0055711F"/>
    <w:rsid w:val="0056020F"/>
    <w:rsid w:val="00560E0A"/>
    <w:rsid w:val="0056202F"/>
    <w:rsid w:val="005635A9"/>
    <w:rsid w:val="005652EE"/>
    <w:rsid w:val="00565662"/>
    <w:rsid w:val="00570628"/>
    <w:rsid w:val="00572182"/>
    <w:rsid w:val="00584382"/>
    <w:rsid w:val="00584DFC"/>
    <w:rsid w:val="00587EF6"/>
    <w:rsid w:val="00590630"/>
    <w:rsid w:val="00590E73"/>
    <w:rsid w:val="00591E27"/>
    <w:rsid w:val="005920CB"/>
    <w:rsid w:val="005933D0"/>
    <w:rsid w:val="005961B9"/>
    <w:rsid w:val="005971AF"/>
    <w:rsid w:val="005A0706"/>
    <w:rsid w:val="005A0AFC"/>
    <w:rsid w:val="005A1631"/>
    <w:rsid w:val="005A246F"/>
    <w:rsid w:val="005A2FAA"/>
    <w:rsid w:val="005A684D"/>
    <w:rsid w:val="005A799B"/>
    <w:rsid w:val="005B053D"/>
    <w:rsid w:val="005B2320"/>
    <w:rsid w:val="005B2606"/>
    <w:rsid w:val="005B326D"/>
    <w:rsid w:val="005B3D58"/>
    <w:rsid w:val="005B4611"/>
    <w:rsid w:val="005B5A7D"/>
    <w:rsid w:val="005C15F7"/>
    <w:rsid w:val="005C32F3"/>
    <w:rsid w:val="005C34CA"/>
    <w:rsid w:val="005C3CF0"/>
    <w:rsid w:val="005C3ECD"/>
    <w:rsid w:val="005D02FC"/>
    <w:rsid w:val="005D2900"/>
    <w:rsid w:val="005D3512"/>
    <w:rsid w:val="005D42A9"/>
    <w:rsid w:val="005D513C"/>
    <w:rsid w:val="005D5304"/>
    <w:rsid w:val="005E0C48"/>
    <w:rsid w:val="005E31AC"/>
    <w:rsid w:val="005E34FD"/>
    <w:rsid w:val="005E58C2"/>
    <w:rsid w:val="005F0581"/>
    <w:rsid w:val="005F5EDA"/>
    <w:rsid w:val="005F7D0D"/>
    <w:rsid w:val="00601C5A"/>
    <w:rsid w:val="00603461"/>
    <w:rsid w:val="006068B4"/>
    <w:rsid w:val="00607B0F"/>
    <w:rsid w:val="00607C87"/>
    <w:rsid w:val="006106CD"/>
    <w:rsid w:val="006116FE"/>
    <w:rsid w:val="00611B90"/>
    <w:rsid w:val="00616AB4"/>
    <w:rsid w:val="00617877"/>
    <w:rsid w:val="00617ED1"/>
    <w:rsid w:val="006200F6"/>
    <w:rsid w:val="00621840"/>
    <w:rsid w:val="006222FA"/>
    <w:rsid w:val="006260BC"/>
    <w:rsid w:val="00626577"/>
    <w:rsid w:val="006314BC"/>
    <w:rsid w:val="00640595"/>
    <w:rsid w:val="00641968"/>
    <w:rsid w:val="006449C9"/>
    <w:rsid w:val="006461FB"/>
    <w:rsid w:val="006569D7"/>
    <w:rsid w:val="00656DFE"/>
    <w:rsid w:val="00657D8D"/>
    <w:rsid w:val="00660576"/>
    <w:rsid w:val="0066185B"/>
    <w:rsid w:val="00667FF1"/>
    <w:rsid w:val="00670A50"/>
    <w:rsid w:val="0067190E"/>
    <w:rsid w:val="006737F6"/>
    <w:rsid w:val="00673E4A"/>
    <w:rsid w:val="00675784"/>
    <w:rsid w:val="006757CD"/>
    <w:rsid w:val="00676F5C"/>
    <w:rsid w:val="006777EF"/>
    <w:rsid w:val="006817A6"/>
    <w:rsid w:val="0068195E"/>
    <w:rsid w:val="00681D20"/>
    <w:rsid w:val="00681D46"/>
    <w:rsid w:val="00681D62"/>
    <w:rsid w:val="006821C2"/>
    <w:rsid w:val="006829CF"/>
    <w:rsid w:val="006843D1"/>
    <w:rsid w:val="00684D06"/>
    <w:rsid w:val="00685DCD"/>
    <w:rsid w:val="0068706A"/>
    <w:rsid w:val="0068D30D"/>
    <w:rsid w:val="006909E9"/>
    <w:rsid w:val="0069214F"/>
    <w:rsid w:val="0069385B"/>
    <w:rsid w:val="00695394"/>
    <w:rsid w:val="0069615E"/>
    <w:rsid w:val="00696F46"/>
    <w:rsid w:val="006A18B3"/>
    <w:rsid w:val="006A38AE"/>
    <w:rsid w:val="006A486D"/>
    <w:rsid w:val="006A4AFD"/>
    <w:rsid w:val="006A624D"/>
    <w:rsid w:val="006B0E36"/>
    <w:rsid w:val="006B0F2B"/>
    <w:rsid w:val="006B1170"/>
    <w:rsid w:val="006B2682"/>
    <w:rsid w:val="006B3F67"/>
    <w:rsid w:val="006B5076"/>
    <w:rsid w:val="006B50D4"/>
    <w:rsid w:val="006B7816"/>
    <w:rsid w:val="006C240C"/>
    <w:rsid w:val="006C2DF5"/>
    <w:rsid w:val="006C3879"/>
    <w:rsid w:val="006C5291"/>
    <w:rsid w:val="006C5426"/>
    <w:rsid w:val="006D304F"/>
    <w:rsid w:val="006D57FF"/>
    <w:rsid w:val="006D626D"/>
    <w:rsid w:val="006D7D00"/>
    <w:rsid w:val="006E045D"/>
    <w:rsid w:val="006E1380"/>
    <w:rsid w:val="006E1E70"/>
    <w:rsid w:val="006E311E"/>
    <w:rsid w:val="006E7C4E"/>
    <w:rsid w:val="006F0DD1"/>
    <w:rsid w:val="006F2D56"/>
    <w:rsid w:val="006F6524"/>
    <w:rsid w:val="006F7D2B"/>
    <w:rsid w:val="0070016B"/>
    <w:rsid w:val="00700FD8"/>
    <w:rsid w:val="007046C5"/>
    <w:rsid w:val="0070715D"/>
    <w:rsid w:val="00710A26"/>
    <w:rsid w:val="00711792"/>
    <w:rsid w:val="00712EB6"/>
    <w:rsid w:val="00715220"/>
    <w:rsid w:val="00715222"/>
    <w:rsid w:val="0071549A"/>
    <w:rsid w:val="007173BC"/>
    <w:rsid w:val="007176FE"/>
    <w:rsid w:val="0072076F"/>
    <w:rsid w:val="007211BE"/>
    <w:rsid w:val="00721D27"/>
    <w:rsid w:val="007225C9"/>
    <w:rsid w:val="00727AFB"/>
    <w:rsid w:val="007308FE"/>
    <w:rsid w:val="00736977"/>
    <w:rsid w:val="0073772C"/>
    <w:rsid w:val="00741A5C"/>
    <w:rsid w:val="00742B4A"/>
    <w:rsid w:val="00745FE6"/>
    <w:rsid w:val="007535E7"/>
    <w:rsid w:val="00753A39"/>
    <w:rsid w:val="00755595"/>
    <w:rsid w:val="007557AF"/>
    <w:rsid w:val="00756037"/>
    <w:rsid w:val="00763ED2"/>
    <w:rsid w:val="00763F5B"/>
    <w:rsid w:val="00766F20"/>
    <w:rsid w:val="00767472"/>
    <w:rsid w:val="00767D38"/>
    <w:rsid w:val="00770976"/>
    <w:rsid w:val="00775995"/>
    <w:rsid w:val="00776277"/>
    <w:rsid w:val="007770BD"/>
    <w:rsid w:val="007804BF"/>
    <w:rsid w:val="0078168D"/>
    <w:rsid w:val="007847A7"/>
    <w:rsid w:val="00785089"/>
    <w:rsid w:val="0078542D"/>
    <w:rsid w:val="00785DD9"/>
    <w:rsid w:val="0078755A"/>
    <w:rsid w:val="00787E89"/>
    <w:rsid w:val="0079570B"/>
    <w:rsid w:val="00796589"/>
    <w:rsid w:val="007A45B7"/>
    <w:rsid w:val="007A6D89"/>
    <w:rsid w:val="007B0346"/>
    <w:rsid w:val="007B2E0D"/>
    <w:rsid w:val="007B3563"/>
    <w:rsid w:val="007C2B68"/>
    <w:rsid w:val="007C6787"/>
    <w:rsid w:val="007C7FEB"/>
    <w:rsid w:val="007D7E03"/>
    <w:rsid w:val="007E123A"/>
    <w:rsid w:val="007E13DB"/>
    <w:rsid w:val="007E2E82"/>
    <w:rsid w:val="007E4009"/>
    <w:rsid w:val="007F131A"/>
    <w:rsid w:val="007F13C6"/>
    <w:rsid w:val="007F1E17"/>
    <w:rsid w:val="007F3648"/>
    <w:rsid w:val="007F3717"/>
    <w:rsid w:val="007F3D0C"/>
    <w:rsid w:val="007F5DD2"/>
    <w:rsid w:val="007F76C4"/>
    <w:rsid w:val="007F778F"/>
    <w:rsid w:val="00801AAF"/>
    <w:rsid w:val="00803666"/>
    <w:rsid w:val="0080387B"/>
    <w:rsid w:val="00803A01"/>
    <w:rsid w:val="0080426C"/>
    <w:rsid w:val="0080731D"/>
    <w:rsid w:val="00812402"/>
    <w:rsid w:val="00812D11"/>
    <w:rsid w:val="00815AAA"/>
    <w:rsid w:val="00815E8F"/>
    <w:rsid w:val="00827E74"/>
    <w:rsid w:val="008303AC"/>
    <w:rsid w:val="00832955"/>
    <w:rsid w:val="008343F0"/>
    <w:rsid w:val="00835E74"/>
    <w:rsid w:val="0083681E"/>
    <w:rsid w:val="00841ABD"/>
    <w:rsid w:val="00843640"/>
    <w:rsid w:val="00847DD0"/>
    <w:rsid w:val="00852731"/>
    <w:rsid w:val="00856A6C"/>
    <w:rsid w:val="00856DEE"/>
    <w:rsid w:val="00861563"/>
    <w:rsid w:val="008618F5"/>
    <w:rsid w:val="00863CDD"/>
    <w:rsid w:val="008642C6"/>
    <w:rsid w:val="008647C5"/>
    <w:rsid w:val="00865224"/>
    <w:rsid w:val="008655FB"/>
    <w:rsid w:val="00865CA2"/>
    <w:rsid w:val="00867A22"/>
    <w:rsid w:val="00872377"/>
    <w:rsid w:val="00873BD8"/>
    <w:rsid w:val="00873F9F"/>
    <w:rsid w:val="00875487"/>
    <w:rsid w:val="00880C11"/>
    <w:rsid w:val="00880D1C"/>
    <w:rsid w:val="00885FCD"/>
    <w:rsid w:val="008877C7"/>
    <w:rsid w:val="008916DB"/>
    <w:rsid w:val="00897EAF"/>
    <w:rsid w:val="008A3B0D"/>
    <w:rsid w:val="008A4DB8"/>
    <w:rsid w:val="008A524B"/>
    <w:rsid w:val="008A66DB"/>
    <w:rsid w:val="008A6C91"/>
    <w:rsid w:val="008A7027"/>
    <w:rsid w:val="008A7D1D"/>
    <w:rsid w:val="008A7E51"/>
    <w:rsid w:val="008B0614"/>
    <w:rsid w:val="008B14E9"/>
    <w:rsid w:val="008B2A36"/>
    <w:rsid w:val="008B4734"/>
    <w:rsid w:val="008B5D03"/>
    <w:rsid w:val="008B685D"/>
    <w:rsid w:val="008B75B5"/>
    <w:rsid w:val="008C06B6"/>
    <w:rsid w:val="008C22A1"/>
    <w:rsid w:val="008C3E79"/>
    <w:rsid w:val="008D01C3"/>
    <w:rsid w:val="008D17C3"/>
    <w:rsid w:val="008D26F8"/>
    <w:rsid w:val="008D3E76"/>
    <w:rsid w:val="008D41C5"/>
    <w:rsid w:val="008E0260"/>
    <w:rsid w:val="008E2BC7"/>
    <w:rsid w:val="008E322E"/>
    <w:rsid w:val="008E5FE2"/>
    <w:rsid w:val="008E6833"/>
    <w:rsid w:val="008E6DF0"/>
    <w:rsid w:val="008F0603"/>
    <w:rsid w:val="008F2C57"/>
    <w:rsid w:val="008F511B"/>
    <w:rsid w:val="009009EC"/>
    <w:rsid w:val="00901531"/>
    <w:rsid w:val="00902688"/>
    <w:rsid w:val="00903806"/>
    <w:rsid w:val="00904BD8"/>
    <w:rsid w:val="00911D45"/>
    <w:rsid w:val="009120C5"/>
    <w:rsid w:val="00920F4D"/>
    <w:rsid w:val="009221A4"/>
    <w:rsid w:val="00922213"/>
    <w:rsid w:val="00924572"/>
    <w:rsid w:val="0092636F"/>
    <w:rsid w:val="009267C3"/>
    <w:rsid w:val="009278F9"/>
    <w:rsid w:val="00927CAB"/>
    <w:rsid w:val="00930092"/>
    <w:rsid w:val="00933DA0"/>
    <w:rsid w:val="00936F84"/>
    <w:rsid w:val="009422F9"/>
    <w:rsid w:val="00945147"/>
    <w:rsid w:val="00945CE5"/>
    <w:rsid w:val="00946E3A"/>
    <w:rsid w:val="00947C6B"/>
    <w:rsid w:val="00947DAB"/>
    <w:rsid w:val="0095149A"/>
    <w:rsid w:val="009521B4"/>
    <w:rsid w:val="009621AE"/>
    <w:rsid w:val="00964981"/>
    <w:rsid w:val="00964C0D"/>
    <w:rsid w:val="009704FA"/>
    <w:rsid w:val="00970EE4"/>
    <w:rsid w:val="00971B20"/>
    <w:rsid w:val="0097271E"/>
    <w:rsid w:val="0097327C"/>
    <w:rsid w:val="0097329F"/>
    <w:rsid w:val="009756D7"/>
    <w:rsid w:val="00975C2C"/>
    <w:rsid w:val="00976E1E"/>
    <w:rsid w:val="00980084"/>
    <w:rsid w:val="00987B39"/>
    <w:rsid w:val="00990E75"/>
    <w:rsid w:val="00991946"/>
    <w:rsid w:val="009926FC"/>
    <w:rsid w:val="00993967"/>
    <w:rsid w:val="00995845"/>
    <w:rsid w:val="00996A51"/>
    <w:rsid w:val="009A0101"/>
    <w:rsid w:val="009A1DD5"/>
    <w:rsid w:val="009A20F3"/>
    <w:rsid w:val="009A3D4A"/>
    <w:rsid w:val="009A7DCA"/>
    <w:rsid w:val="009A7F54"/>
    <w:rsid w:val="009B1108"/>
    <w:rsid w:val="009B5E74"/>
    <w:rsid w:val="009C33A4"/>
    <w:rsid w:val="009C40EA"/>
    <w:rsid w:val="009C49CC"/>
    <w:rsid w:val="009D0F61"/>
    <w:rsid w:val="009D353C"/>
    <w:rsid w:val="009D533D"/>
    <w:rsid w:val="009D55B4"/>
    <w:rsid w:val="009D64CC"/>
    <w:rsid w:val="009D7D92"/>
    <w:rsid w:val="009E34AE"/>
    <w:rsid w:val="009E3E8D"/>
    <w:rsid w:val="009F019D"/>
    <w:rsid w:val="009F4052"/>
    <w:rsid w:val="009F66DB"/>
    <w:rsid w:val="00A02DDD"/>
    <w:rsid w:val="00A0698F"/>
    <w:rsid w:val="00A07653"/>
    <w:rsid w:val="00A10571"/>
    <w:rsid w:val="00A12022"/>
    <w:rsid w:val="00A13316"/>
    <w:rsid w:val="00A136DD"/>
    <w:rsid w:val="00A14C8C"/>
    <w:rsid w:val="00A161A8"/>
    <w:rsid w:val="00A20692"/>
    <w:rsid w:val="00A24316"/>
    <w:rsid w:val="00A254CF"/>
    <w:rsid w:val="00A26E31"/>
    <w:rsid w:val="00A3350E"/>
    <w:rsid w:val="00A358EC"/>
    <w:rsid w:val="00A37B00"/>
    <w:rsid w:val="00A40C03"/>
    <w:rsid w:val="00A40F40"/>
    <w:rsid w:val="00A41272"/>
    <w:rsid w:val="00A43A0F"/>
    <w:rsid w:val="00A47DF6"/>
    <w:rsid w:val="00A5012D"/>
    <w:rsid w:val="00A50271"/>
    <w:rsid w:val="00A5085A"/>
    <w:rsid w:val="00A54466"/>
    <w:rsid w:val="00A54ACF"/>
    <w:rsid w:val="00A601F9"/>
    <w:rsid w:val="00A623E0"/>
    <w:rsid w:val="00A62B93"/>
    <w:rsid w:val="00A6446F"/>
    <w:rsid w:val="00A64CED"/>
    <w:rsid w:val="00A650E2"/>
    <w:rsid w:val="00A66196"/>
    <w:rsid w:val="00A67AF0"/>
    <w:rsid w:val="00A67F78"/>
    <w:rsid w:val="00A71CD2"/>
    <w:rsid w:val="00A734E7"/>
    <w:rsid w:val="00A80FCF"/>
    <w:rsid w:val="00A82F6B"/>
    <w:rsid w:val="00A8723E"/>
    <w:rsid w:val="00A8797E"/>
    <w:rsid w:val="00A90970"/>
    <w:rsid w:val="00A928FF"/>
    <w:rsid w:val="00A94005"/>
    <w:rsid w:val="00A95CB6"/>
    <w:rsid w:val="00A95D1D"/>
    <w:rsid w:val="00A96796"/>
    <w:rsid w:val="00A9789C"/>
    <w:rsid w:val="00AA21F5"/>
    <w:rsid w:val="00AA2D82"/>
    <w:rsid w:val="00AA5008"/>
    <w:rsid w:val="00AB129C"/>
    <w:rsid w:val="00AB3613"/>
    <w:rsid w:val="00AB7A63"/>
    <w:rsid w:val="00AC0CBB"/>
    <w:rsid w:val="00AC2A80"/>
    <w:rsid w:val="00AC5E67"/>
    <w:rsid w:val="00AC64A0"/>
    <w:rsid w:val="00AD1243"/>
    <w:rsid w:val="00AD169C"/>
    <w:rsid w:val="00AD2450"/>
    <w:rsid w:val="00AD6A38"/>
    <w:rsid w:val="00AD72B4"/>
    <w:rsid w:val="00AD7AA1"/>
    <w:rsid w:val="00AE3104"/>
    <w:rsid w:val="00AE43AD"/>
    <w:rsid w:val="00AE43BB"/>
    <w:rsid w:val="00AE53A6"/>
    <w:rsid w:val="00AE6B64"/>
    <w:rsid w:val="00AE7710"/>
    <w:rsid w:val="00AF2CE8"/>
    <w:rsid w:val="00AF704D"/>
    <w:rsid w:val="00AF7F6F"/>
    <w:rsid w:val="00B056CC"/>
    <w:rsid w:val="00B058B6"/>
    <w:rsid w:val="00B075D7"/>
    <w:rsid w:val="00B13AB1"/>
    <w:rsid w:val="00B14D9C"/>
    <w:rsid w:val="00B155FE"/>
    <w:rsid w:val="00B15A4C"/>
    <w:rsid w:val="00B221B5"/>
    <w:rsid w:val="00B22BD9"/>
    <w:rsid w:val="00B2454C"/>
    <w:rsid w:val="00B2544B"/>
    <w:rsid w:val="00B33638"/>
    <w:rsid w:val="00B33C05"/>
    <w:rsid w:val="00B34A94"/>
    <w:rsid w:val="00B35B95"/>
    <w:rsid w:val="00B36150"/>
    <w:rsid w:val="00B41B58"/>
    <w:rsid w:val="00B43A9F"/>
    <w:rsid w:val="00B44127"/>
    <w:rsid w:val="00B51261"/>
    <w:rsid w:val="00B54171"/>
    <w:rsid w:val="00B56CB1"/>
    <w:rsid w:val="00B60534"/>
    <w:rsid w:val="00B6124E"/>
    <w:rsid w:val="00B622E5"/>
    <w:rsid w:val="00B62D08"/>
    <w:rsid w:val="00B63DA3"/>
    <w:rsid w:val="00B63EBC"/>
    <w:rsid w:val="00B72569"/>
    <w:rsid w:val="00B7456C"/>
    <w:rsid w:val="00B7458D"/>
    <w:rsid w:val="00B745F4"/>
    <w:rsid w:val="00B75545"/>
    <w:rsid w:val="00B8241D"/>
    <w:rsid w:val="00B8447F"/>
    <w:rsid w:val="00B84AD1"/>
    <w:rsid w:val="00B850B8"/>
    <w:rsid w:val="00B91ABD"/>
    <w:rsid w:val="00B94CCA"/>
    <w:rsid w:val="00B9640C"/>
    <w:rsid w:val="00B9670A"/>
    <w:rsid w:val="00B9738E"/>
    <w:rsid w:val="00B97A62"/>
    <w:rsid w:val="00BA04EA"/>
    <w:rsid w:val="00BA35CC"/>
    <w:rsid w:val="00BA3B98"/>
    <w:rsid w:val="00BA5D1C"/>
    <w:rsid w:val="00BA60BB"/>
    <w:rsid w:val="00BA62C3"/>
    <w:rsid w:val="00BB0472"/>
    <w:rsid w:val="00BB10E1"/>
    <w:rsid w:val="00BB259D"/>
    <w:rsid w:val="00BB4D90"/>
    <w:rsid w:val="00BB5D94"/>
    <w:rsid w:val="00BB79F6"/>
    <w:rsid w:val="00BC19CC"/>
    <w:rsid w:val="00BC2001"/>
    <w:rsid w:val="00BC24BF"/>
    <w:rsid w:val="00BC4B9F"/>
    <w:rsid w:val="00BC74C4"/>
    <w:rsid w:val="00BD2A9C"/>
    <w:rsid w:val="00BD37C8"/>
    <w:rsid w:val="00BD3CEA"/>
    <w:rsid w:val="00BD4776"/>
    <w:rsid w:val="00BD7229"/>
    <w:rsid w:val="00BD7F31"/>
    <w:rsid w:val="00BE00CC"/>
    <w:rsid w:val="00BE0DA4"/>
    <w:rsid w:val="00BE0F9D"/>
    <w:rsid w:val="00BE2602"/>
    <w:rsid w:val="00BE354F"/>
    <w:rsid w:val="00BE3FC6"/>
    <w:rsid w:val="00BE530F"/>
    <w:rsid w:val="00BE7750"/>
    <w:rsid w:val="00BE7819"/>
    <w:rsid w:val="00BF007B"/>
    <w:rsid w:val="00BF099A"/>
    <w:rsid w:val="00BF4035"/>
    <w:rsid w:val="00BF48C3"/>
    <w:rsid w:val="00BF7707"/>
    <w:rsid w:val="00C00710"/>
    <w:rsid w:val="00C012D1"/>
    <w:rsid w:val="00C0256F"/>
    <w:rsid w:val="00C02772"/>
    <w:rsid w:val="00C063C3"/>
    <w:rsid w:val="00C11940"/>
    <w:rsid w:val="00C12BFF"/>
    <w:rsid w:val="00C13FAE"/>
    <w:rsid w:val="00C21761"/>
    <w:rsid w:val="00C2238F"/>
    <w:rsid w:val="00C24948"/>
    <w:rsid w:val="00C261DC"/>
    <w:rsid w:val="00C268BB"/>
    <w:rsid w:val="00C268F4"/>
    <w:rsid w:val="00C27BFB"/>
    <w:rsid w:val="00C27DF5"/>
    <w:rsid w:val="00C32924"/>
    <w:rsid w:val="00C35CE2"/>
    <w:rsid w:val="00C35E13"/>
    <w:rsid w:val="00C36894"/>
    <w:rsid w:val="00C36A62"/>
    <w:rsid w:val="00C45E7A"/>
    <w:rsid w:val="00C46F63"/>
    <w:rsid w:val="00C50404"/>
    <w:rsid w:val="00C5054A"/>
    <w:rsid w:val="00C52FED"/>
    <w:rsid w:val="00C5351F"/>
    <w:rsid w:val="00C53734"/>
    <w:rsid w:val="00C53C2A"/>
    <w:rsid w:val="00C566FB"/>
    <w:rsid w:val="00C56FEF"/>
    <w:rsid w:val="00C56FF4"/>
    <w:rsid w:val="00C61227"/>
    <w:rsid w:val="00C6157D"/>
    <w:rsid w:val="00C62668"/>
    <w:rsid w:val="00C63C88"/>
    <w:rsid w:val="00C64C54"/>
    <w:rsid w:val="00C65238"/>
    <w:rsid w:val="00C72068"/>
    <w:rsid w:val="00C74E0F"/>
    <w:rsid w:val="00C75D5A"/>
    <w:rsid w:val="00C75E27"/>
    <w:rsid w:val="00C7666C"/>
    <w:rsid w:val="00C768D3"/>
    <w:rsid w:val="00C776A0"/>
    <w:rsid w:val="00C8266F"/>
    <w:rsid w:val="00C83548"/>
    <w:rsid w:val="00C86437"/>
    <w:rsid w:val="00C86618"/>
    <w:rsid w:val="00C86EA4"/>
    <w:rsid w:val="00C87225"/>
    <w:rsid w:val="00C872F4"/>
    <w:rsid w:val="00C9408B"/>
    <w:rsid w:val="00C95900"/>
    <w:rsid w:val="00C97321"/>
    <w:rsid w:val="00CA0CEB"/>
    <w:rsid w:val="00CA1438"/>
    <w:rsid w:val="00CA1C2C"/>
    <w:rsid w:val="00CA3468"/>
    <w:rsid w:val="00CA629D"/>
    <w:rsid w:val="00CA7B88"/>
    <w:rsid w:val="00CB01DA"/>
    <w:rsid w:val="00CB09E7"/>
    <w:rsid w:val="00CB1A82"/>
    <w:rsid w:val="00CB3696"/>
    <w:rsid w:val="00CB4082"/>
    <w:rsid w:val="00CB459B"/>
    <w:rsid w:val="00CB571B"/>
    <w:rsid w:val="00CB6F27"/>
    <w:rsid w:val="00CB7E48"/>
    <w:rsid w:val="00CC075B"/>
    <w:rsid w:val="00CC18D6"/>
    <w:rsid w:val="00CC24D0"/>
    <w:rsid w:val="00CC703F"/>
    <w:rsid w:val="00CC706B"/>
    <w:rsid w:val="00CC7777"/>
    <w:rsid w:val="00CD0671"/>
    <w:rsid w:val="00CD0F03"/>
    <w:rsid w:val="00CD1BD7"/>
    <w:rsid w:val="00CD2095"/>
    <w:rsid w:val="00CD45B0"/>
    <w:rsid w:val="00CE01FC"/>
    <w:rsid w:val="00CE0F40"/>
    <w:rsid w:val="00CE1608"/>
    <w:rsid w:val="00CE4C8C"/>
    <w:rsid w:val="00CE5744"/>
    <w:rsid w:val="00CF0DB6"/>
    <w:rsid w:val="00CF15E7"/>
    <w:rsid w:val="00CF1732"/>
    <w:rsid w:val="00CF533D"/>
    <w:rsid w:val="00CF551C"/>
    <w:rsid w:val="00CF667E"/>
    <w:rsid w:val="00CF75FB"/>
    <w:rsid w:val="00CF7986"/>
    <w:rsid w:val="00D0533C"/>
    <w:rsid w:val="00D07EA5"/>
    <w:rsid w:val="00D11009"/>
    <w:rsid w:val="00D12DA6"/>
    <w:rsid w:val="00D1616F"/>
    <w:rsid w:val="00D226F1"/>
    <w:rsid w:val="00D23FED"/>
    <w:rsid w:val="00D3076A"/>
    <w:rsid w:val="00D30DEE"/>
    <w:rsid w:val="00D33A8A"/>
    <w:rsid w:val="00D33B8F"/>
    <w:rsid w:val="00D34CD7"/>
    <w:rsid w:val="00D35813"/>
    <w:rsid w:val="00D36123"/>
    <w:rsid w:val="00D3672D"/>
    <w:rsid w:val="00D4148C"/>
    <w:rsid w:val="00D436B8"/>
    <w:rsid w:val="00D4434A"/>
    <w:rsid w:val="00D44A68"/>
    <w:rsid w:val="00D45ADC"/>
    <w:rsid w:val="00D479D4"/>
    <w:rsid w:val="00D503EA"/>
    <w:rsid w:val="00D5055E"/>
    <w:rsid w:val="00D50A39"/>
    <w:rsid w:val="00D50A45"/>
    <w:rsid w:val="00D511E9"/>
    <w:rsid w:val="00D545F7"/>
    <w:rsid w:val="00D557C7"/>
    <w:rsid w:val="00D5594E"/>
    <w:rsid w:val="00D5677F"/>
    <w:rsid w:val="00D57B63"/>
    <w:rsid w:val="00D6008D"/>
    <w:rsid w:val="00D63A8A"/>
    <w:rsid w:val="00D6691A"/>
    <w:rsid w:val="00D73002"/>
    <w:rsid w:val="00D7302C"/>
    <w:rsid w:val="00D77DDB"/>
    <w:rsid w:val="00D84846"/>
    <w:rsid w:val="00D86367"/>
    <w:rsid w:val="00D86A94"/>
    <w:rsid w:val="00D870CF"/>
    <w:rsid w:val="00D916FA"/>
    <w:rsid w:val="00D91A99"/>
    <w:rsid w:val="00D92214"/>
    <w:rsid w:val="00D925F7"/>
    <w:rsid w:val="00D9414C"/>
    <w:rsid w:val="00D96195"/>
    <w:rsid w:val="00DA143F"/>
    <w:rsid w:val="00DA15B5"/>
    <w:rsid w:val="00DA1682"/>
    <w:rsid w:val="00DA30F4"/>
    <w:rsid w:val="00DA363F"/>
    <w:rsid w:val="00DA4434"/>
    <w:rsid w:val="00DA4FBC"/>
    <w:rsid w:val="00DA547D"/>
    <w:rsid w:val="00DA6CEE"/>
    <w:rsid w:val="00DA72D2"/>
    <w:rsid w:val="00DB07FB"/>
    <w:rsid w:val="00DB12ED"/>
    <w:rsid w:val="00DB3DD8"/>
    <w:rsid w:val="00DB6953"/>
    <w:rsid w:val="00DC0B89"/>
    <w:rsid w:val="00DC15E6"/>
    <w:rsid w:val="00DC1F02"/>
    <w:rsid w:val="00DC22D9"/>
    <w:rsid w:val="00DC31DE"/>
    <w:rsid w:val="00DC4E7F"/>
    <w:rsid w:val="00DD0EAE"/>
    <w:rsid w:val="00DD1EE7"/>
    <w:rsid w:val="00DD25C1"/>
    <w:rsid w:val="00DD30E6"/>
    <w:rsid w:val="00DD3916"/>
    <w:rsid w:val="00DE084E"/>
    <w:rsid w:val="00DE1B2C"/>
    <w:rsid w:val="00DE7A5C"/>
    <w:rsid w:val="00DE7C03"/>
    <w:rsid w:val="00DF1268"/>
    <w:rsid w:val="00DF5E25"/>
    <w:rsid w:val="00E012DF"/>
    <w:rsid w:val="00E02497"/>
    <w:rsid w:val="00E02EEE"/>
    <w:rsid w:val="00E03AA3"/>
    <w:rsid w:val="00E049D4"/>
    <w:rsid w:val="00E04BAA"/>
    <w:rsid w:val="00E055C2"/>
    <w:rsid w:val="00E07128"/>
    <w:rsid w:val="00E12802"/>
    <w:rsid w:val="00E14619"/>
    <w:rsid w:val="00E1527D"/>
    <w:rsid w:val="00E16566"/>
    <w:rsid w:val="00E2147C"/>
    <w:rsid w:val="00E23C29"/>
    <w:rsid w:val="00E23EA4"/>
    <w:rsid w:val="00E23FFC"/>
    <w:rsid w:val="00E27C2A"/>
    <w:rsid w:val="00E36984"/>
    <w:rsid w:val="00E37F8C"/>
    <w:rsid w:val="00E41BFB"/>
    <w:rsid w:val="00E42061"/>
    <w:rsid w:val="00E424F3"/>
    <w:rsid w:val="00E4406D"/>
    <w:rsid w:val="00E440AB"/>
    <w:rsid w:val="00E46055"/>
    <w:rsid w:val="00E46CB1"/>
    <w:rsid w:val="00E501C9"/>
    <w:rsid w:val="00E5484A"/>
    <w:rsid w:val="00E55CD7"/>
    <w:rsid w:val="00E561AD"/>
    <w:rsid w:val="00E56767"/>
    <w:rsid w:val="00E601EF"/>
    <w:rsid w:val="00E60670"/>
    <w:rsid w:val="00E632CB"/>
    <w:rsid w:val="00E63B79"/>
    <w:rsid w:val="00E71F61"/>
    <w:rsid w:val="00E72811"/>
    <w:rsid w:val="00E72CB2"/>
    <w:rsid w:val="00E81967"/>
    <w:rsid w:val="00E82306"/>
    <w:rsid w:val="00E823A7"/>
    <w:rsid w:val="00E832D7"/>
    <w:rsid w:val="00E8589D"/>
    <w:rsid w:val="00E92BE7"/>
    <w:rsid w:val="00E942CF"/>
    <w:rsid w:val="00E943EC"/>
    <w:rsid w:val="00E94D1D"/>
    <w:rsid w:val="00E97147"/>
    <w:rsid w:val="00E97430"/>
    <w:rsid w:val="00E97B76"/>
    <w:rsid w:val="00EA0D4A"/>
    <w:rsid w:val="00EA1037"/>
    <w:rsid w:val="00EA1F58"/>
    <w:rsid w:val="00EA29C4"/>
    <w:rsid w:val="00EA375F"/>
    <w:rsid w:val="00EA435E"/>
    <w:rsid w:val="00EA5289"/>
    <w:rsid w:val="00EA626E"/>
    <w:rsid w:val="00EB26A0"/>
    <w:rsid w:val="00EB382B"/>
    <w:rsid w:val="00EC2203"/>
    <w:rsid w:val="00EC3951"/>
    <w:rsid w:val="00EC3CCC"/>
    <w:rsid w:val="00EC421A"/>
    <w:rsid w:val="00EC589B"/>
    <w:rsid w:val="00ED0EA7"/>
    <w:rsid w:val="00ED1137"/>
    <w:rsid w:val="00ED17C4"/>
    <w:rsid w:val="00ED1AEF"/>
    <w:rsid w:val="00ED219E"/>
    <w:rsid w:val="00ED2D97"/>
    <w:rsid w:val="00ED40C7"/>
    <w:rsid w:val="00ED4A6F"/>
    <w:rsid w:val="00ED57BA"/>
    <w:rsid w:val="00ED6136"/>
    <w:rsid w:val="00EE1E12"/>
    <w:rsid w:val="00EE2213"/>
    <w:rsid w:val="00EE3EB9"/>
    <w:rsid w:val="00EE444B"/>
    <w:rsid w:val="00EE5EA4"/>
    <w:rsid w:val="00EF002E"/>
    <w:rsid w:val="00EF14BD"/>
    <w:rsid w:val="00EF1F5B"/>
    <w:rsid w:val="00EF22AA"/>
    <w:rsid w:val="00EF4EF8"/>
    <w:rsid w:val="00EF6820"/>
    <w:rsid w:val="00EF717B"/>
    <w:rsid w:val="00F01A63"/>
    <w:rsid w:val="00F01C3C"/>
    <w:rsid w:val="00F05220"/>
    <w:rsid w:val="00F05815"/>
    <w:rsid w:val="00F11762"/>
    <w:rsid w:val="00F22077"/>
    <w:rsid w:val="00F224A0"/>
    <w:rsid w:val="00F249DA"/>
    <w:rsid w:val="00F26244"/>
    <w:rsid w:val="00F26645"/>
    <w:rsid w:val="00F314E1"/>
    <w:rsid w:val="00F33AE7"/>
    <w:rsid w:val="00F34521"/>
    <w:rsid w:val="00F3505B"/>
    <w:rsid w:val="00F35767"/>
    <w:rsid w:val="00F37865"/>
    <w:rsid w:val="00F40BBC"/>
    <w:rsid w:val="00F4169D"/>
    <w:rsid w:val="00F47184"/>
    <w:rsid w:val="00F57CC6"/>
    <w:rsid w:val="00F71CAC"/>
    <w:rsid w:val="00F71FDE"/>
    <w:rsid w:val="00F72867"/>
    <w:rsid w:val="00F73CB9"/>
    <w:rsid w:val="00F7556A"/>
    <w:rsid w:val="00F75868"/>
    <w:rsid w:val="00F76EE9"/>
    <w:rsid w:val="00F805AE"/>
    <w:rsid w:val="00F8132B"/>
    <w:rsid w:val="00F90893"/>
    <w:rsid w:val="00F92C4C"/>
    <w:rsid w:val="00F946AB"/>
    <w:rsid w:val="00F95FB2"/>
    <w:rsid w:val="00F97910"/>
    <w:rsid w:val="00FA31A9"/>
    <w:rsid w:val="00FA3BFF"/>
    <w:rsid w:val="00FA5AA9"/>
    <w:rsid w:val="00FA7FDB"/>
    <w:rsid w:val="00FB1921"/>
    <w:rsid w:val="00FB28BD"/>
    <w:rsid w:val="00FB35A4"/>
    <w:rsid w:val="00FB59DC"/>
    <w:rsid w:val="00FC114E"/>
    <w:rsid w:val="00FC2081"/>
    <w:rsid w:val="00FC4076"/>
    <w:rsid w:val="00FC49F4"/>
    <w:rsid w:val="00FC4CD2"/>
    <w:rsid w:val="00FC4EDF"/>
    <w:rsid w:val="00FC4F7E"/>
    <w:rsid w:val="00FC7D15"/>
    <w:rsid w:val="00FC7DF0"/>
    <w:rsid w:val="00FD3C21"/>
    <w:rsid w:val="00FD3F05"/>
    <w:rsid w:val="00FD46EE"/>
    <w:rsid w:val="00FD65B4"/>
    <w:rsid w:val="00FD7247"/>
    <w:rsid w:val="00FE0CFB"/>
    <w:rsid w:val="00FE2CD2"/>
    <w:rsid w:val="00FE30F2"/>
    <w:rsid w:val="00FE32C3"/>
    <w:rsid w:val="00FE6C0F"/>
    <w:rsid w:val="00FE7686"/>
    <w:rsid w:val="00FF0720"/>
    <w:rsid w:val="00FF17E5"/>
    <w:rsid w:val="00FF30FF"/>
    <w:rsid w:val="00FF3A69"/>
    <w:rsid w:val="00FF50AB"/>
    <w:rsid w:val="00FF603C"/>
    <w:rsid w:val="00FF6CB2"/>
    <w:rsid w:val="010C1112"/>
    <w:rsid w:val="029C2633"/>
    <w:rsid w:val="03F51677"/>
    <w:rsid w:val="03F69F1A"/>
    <w:rsid w:val="05919A2D"/>
    <w:rsid w:val="06379433"/>
    <w:rsid w:val="063D6843"/>
    <w:rsid w:val="066432AC"/>
    <w:rsid w:val="069B7ADC"/>
    <w:rsid w:val="06BE6BE2"/>
    <w:rsid w:val="06FE8B66"/>
    <w:rsid w:val="07A6191C"/>
    <w:rsid w:val="07ABBEBB"/>
    <w:rsid w:val="07BA705A"/>
    <w:rsid w:val="0907052C"/>
    <w:rsid w:val="0A700B55"/>
    <w:rsid w:val="0B0022D9"/>
    <w:rsid w:val="0B48D58A"/>
    <w:rsid w:val="0C5E71B7"/>
    <w:rsid w:val="0C689E27"/>
    <w:rsid w:val="0C6C4946"/>
    <w:rsid w:val="0C9FAC85"/>
    <w:rsid w:val="0CB1253A"/>
    <w:rsid w:val="0E967858"/>
    <w:rsid w:val="0F03D9E1"/>
    <w:rsid w:val="0F3B75E8"/>
    <w:rsid w:val="0F95990C"/>
    <w:rsid w:val="10A4A11E"/>
    <w:rsid w:val="10FB2C97"/>
    <w:rsid w:val="1112F309"/>
    <w:rsid w:val="11DD2B83"/>
    <w:rsid w:val="123EFD2F"/>
    <w:rsid w:val="1323E382"/>
    <w:rsid w:val="13A3A09E"/>
    <w:rsid w:val="13A79940"/>
    <w:rsid w:val="13F426FA"/>
    <w:rsid w:val="15A58401"/>
    <w:rsid w:val="16287004"/>
    <w:rsid w:val="17131A31"/>
    <w:rsid w:val="17C27382"/>
    <w:rsid w:val="17DC55AF"/>
    <w:rsid w:val="17FEF9E5"/>
    <w:rsid w:val="18B57E3D"/>
    <w:rsid w:val="19667954"/>
    <w:rsid w:val="19E6C14B"/>
    <w:rsid w:val="1AC17C3A"/>
    <w:rsid w:val="1ADA31FC"/>
    <w:rsid w:val="1B284C5D"/>
    <w:rsid w:val="1B597A7E"/>
    <w:rsid w:val="1BD611AD"/>
    <w:rsid w:val="1CE469A7"/>
    <w:rsid w:val="1D481232"/>
    <w:rsid w:val="1DD9EF3C"/>
    <w:rsid w:val="1DF69EC9"/>
    <w:rsid w:val="1E25FE9E"/>
    <w:rsid w:val="1F152BF5"/>
    <w:rsid w:val="1F6DAFD8"/>
    <w:rsid w:val="20BD1B28"/>
    <w:rsid w:val="218F7423"/>
    <w:rsid w:val="21CD325D"/>
    <w:rsid w:val="22B2E273"/>
    <w:rsid w:val="244B8BA3"/>
    <w:rsid w:val="2482AB30"/>
    <w:rsid w:val="24CA6B4B"/>
    <w:rsid w:val="25167A99"/>
    <w:rsid w:val="256E7D1F"/>
    <w:rsid w:val="266D0E36"/>
    <w:rsid w:val="2705F438"/>
    <w:rsid w:val="29E24B52"/>
    <w:rsid w:val="2AB2F450"/>
    <w:rsid w:val="2AB70C23"/>
    <w:rsid w:val="2B04FDB1"/>
    <w:rsid w:val="2B1AC7DC"/>
    <w:rsid w:val="2BEF2B23"/>
    <w:rsid w:val="2CE0FEC2"/>
    <w:rsid w:val="2CF1AE67"/>
    <w:rsid w:val="2D99E544"/>
    <w:rsid w:val="2DEB2C8A"/>
    <w:rsid w:val="2E2AB90F"/>
    <w:rsid w:val="2E3CCF42"/>
    <w:rsid w:val="2EE8C294"/>
    <w:rsid w:val="2F7661F3"/>
    <w:rsid w:val="2FA6F2C0"/>
    <w:rsid w:val="30B89212"/>
    <w:rsid w:val="30FC3356"/>
    <w:rsid w:val="3192DD79"/>
    <w:rsid w:val="32158470"/>
    <w:rsid w:val="32C1C859"/>
    <w:rsid w:val="33059570"/>
    <w:rsid w:val="34E998B1"/>
    <w:rsid w:val="34F06E92"/>
    <w:rsid w:val="3518770D"/>
    <w:rsid w:val="351F2960"/>
    <w:rsid w:val="35821FBB"/>
    <w:rsid w:val="358BCD3F"/>
    <w:rsid w:val="3630E3D9"/>
    <w:rsid w:val="36C1AD60"/>
    <w:rsid w:val="382BB0E4"/>
    <w:rsid w:val="38303276"/>
    <w:rsid w:val="38D94B9A"/>
    <w:rsid w:val="39728167"/>
    <w:rsid w:val="397FF86C"/>
    <w:rsid w:val="3A1863B5"/>
    <w:rsid w:val="3A252E23"/>
    <w:rsid w:val="3AE1C658"/>
    <w:rsid w:val="3AE87F4D"/>
    <w:rsid w:val="3B3759A5"/>
    <w:rsid w:val="3B799BCC"/>
    <w:rsid w:val="3BBDEFDF"/>
    <w:rsid w:val="3C205190"/>
    <w:rsid w:val="3C415B41"/>
    <w:rsid w:val="3C637521"/>
    <w:rsid w:val="3D1B7E88"/>
    <w:rsid w:val="3D23032C"/>
    <w:rsid w:val="3E587F8E"/>
    <w:rsid w:val="3EEBE81C"/>
    <w:rsid w:val="3F8285E0"/>
    <w:rsid w:val="3FC738EB"/>
    <w:rsid w:val="3FF7CE88"/>
    <w:rsid w:val="404A42F7"/>
    <w:rsid w:val="405C61C0"/>
    <w:rsid w:val="40CDF8D1"/>
    <w:rsid w:val="41B4A28C"/>
    <w:rsid w:val="4254DCC1"/>
    <w:rsid w:val="42EDEF6D"/>
    <w:rsid w:val="451C38B0"/>
    <w:rsid w:val="45866D16"/>
    <w:rsid w:val="464F45A7"/>
    <w:rsid w:val="4660B91A"/>
    <w:rsid w:val="47C26FF6"/>
    <w:rsid w:val="481A0B18"/>
    <w:rsid w:val="48375772"/>
    <w:rsid w:val="4936E5BF"/>
    <w:rsid w:val="4A1DDAEB"/>
    <w:rsid w:val="4AA1AE5E"/>
    <w:rsid w:val="4C05280B"/>
    <w:rsid w:val="4C8918ED"/>
    <w:rsid w:val="4D0967CF"/>
    <w:rsid w:val="4DBA415A"/>
    <w:rsid w:val="4DE0175B"/>
    <w:rsid w:val="4E12A658"/>
    <w:rsid w:val="4E2B0E51"/>
    <w:rsid w:val="4EF92727"/>
    <w:rsid w:val="4F9EA472"/>
    <w:rsid w:val="4FCC0AD1"/>
    <w:rsid w:val="5018C294"/>
    <w:rsid w:val="510D766F"/>
    <w:rsid w:val="51115786"/>
    <w:rsid w:val="526362D6"/>
    <w:rsid w:val="527DC273"/>
    <w:rsid w:val="52CC3B59"/>
    <w:rsid w:val="5369F3F4"/>
    <w:rsid w:val="537B7A8F"/>
    <w:rsid w:val="547A2D94"/>
    <w:rsid w:val="547CDDA0"/>
    <w:rsid w:val="54ACA371"/>
    <w:rsid w:val="558BDF90"/>
    <w:rsid w:val="559D80A3"/>
    <w:rsid w:val="56F1BA1B"/>
    <w:rsid w:val="58532BE8"/>
    <w:rsid w:val="587E035A"/>
    <w:rsid w:val="58A84EEA"/>
    <w:rsid w:val="593AC637"/>
    <w:rsid w:val="593E5738"/>
    <w:rsid w:val="594C7A0B"/>
    <w:rsid w:val="59C112C8"/>
    <w:rsid w:val="5AF03726"/>
    <w:rsid w:val="5B67C7D7"/>
    <w:rsid w:val="5C24D288"/>
    <w:rsid w:val="5C6F8BC2"/>
    <w:rsid w:val="5CEFEC53"/>
    <w:rsid w:val="5E4023AB"/>
    <w:rsid w:val="5E7D70E4"/>
    <w:rsid w:val="5F62B1B6"/>
    <w:rsid w:val="5FAE97D8"/>
    <w:rsid w:val="5FD35E9D"/>
    <w:rsid w:val="62C9B2EA"/>
    <w:rsid w:val="639E9B9B"/>
    <w:rsid w:val="63BEA325"/>
    <w:rsid w:val="6462B5A6"/>
    <w:rsid w:val="649087DC"/>
    <w:rsid w:val="649395FB"/>
    <w:rsid w:val="64A4B944"/>
    <w:rsid w:val="64F692D4"/>
    <w:rsid w:val="656A1E2D"/>
    <w:rsid w:val="65772A6C"/>
    <w:rsid w:val="65A72BA2"/>
    <w:rsid w:val="671C4404"/>
    <w:rsid w:val="67205E4B"/>
    <w:rsid w:val="67630FE3"/>
    <w:rsid w:val="67929FA3"/>
    <w:rsid w:val="67E5EF71"/>
    <w:rsid w:val="688EC8D6"/>
    <w:rsid w:val="68C2C5D5"/>
    <w:rsid w:val="691A7037"/>
    <w:rsid w:val="6924D4D1"/>
    <w:rsid w:val="6987D822"/>
    <w:rsid w:val="6A66705C"/>
    <w:rsid w:val="6B3C2582"/>
    <w:rsid w:val="6B5B80CE"/>
    <w:rsid w:val="6BF9886D"/>
    <w:rsid w:val="6C7E551B"/>
    <w:rsid w:val="6DE954D4"/>
    <w:rsid w:val="702EE3C2"/>
    <w:rsid w:val="7193A06A"/>
    <w:rsid w:val="724E9FAD"/>
    <w:rsid w:val="727A167A"/>
    <w:rsid w:val="72AFD5C4"/>
    <w:rsid w:val="72F6ECCE"/>
    <w:rsid w:val="730FCCFB"/>
    <w:rsid w:val="73BF3F6F"/>
    <w:rsid w:val="73F401F8"/>
    <w:rsid w:val="74B9DF17"/>
    <w:rsid w:val="75BE7B32"/>
    <w:rsid w:val="75E7E8C2"/>
    <w:rsid w:val="766E7AF6"/>
    <w:rsid w:val="76825172"/>
    <w:rsid w:val="76B67B90"/>
    <w:rsid w:val="77359BF2"/>
    <w:rsid w:val="77446A4A"/>
    <w:rsid w:val="777ECC86"/>
    <w:rsid w:val="77D2CA7A"/>
    <w:rsid w:val="784B72B7"/>
    <w:rsid w:val="7929D98B"/>
    <w:rsid w:val="79B17F01"/>
    <w:rsid w:val="79CB34D5"/>
    <w:rsid w:val="7A6AF975"/>
    <w:rsid w:val="7B254AC1"/>
    <w:rsid w:val="7B51F349"/>
    <w:rsid w:val="7BAD7C19"/>
    <w:rsid w:val="7BEE4526"/>
    <w:rsid w:val="7C297149"/>
    <w:rsid w:val="7C97CD75"/>
    <w:rsid w:val="7D073C85"/>
    <w:rsid w:val="7D0CF5E0"/>
    <w:rsid w:val="7DEED1A8"/>
    <w:rsid w:val="7FD379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7B7689E2"/>
  <w15:docId w15:val="{38D6A328-5785-4CB2-BD85-E77B7552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B55A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155FE"/>
    <w:pPr>
      <w:tabs>
        <w:tab w:val="center" w:pos="4536"/>
        <w:tab w:val="right" w:pos="9072"/>
      </w:tabs>
      <w:spacing w:after="0" w:line="240" w:lineRule="auto"/>
    </w:pPr>
  </w:style>
  <w:style w:type="character" w:customStyle="1" w:styleId="lfejChar">
    <w:name w:val="Élőfej Char"/>
    <w:basedOn w:val="Bekezdsalapbettpusa"/>
    <w:link w:val="lfej"/>
    <w:uiPriority w:val="99"/>
    <w:rsid w:val="00B155FE"/>
  </w:style>
  <w:style w:type="paragraph" w:styleId="llb">
    <w:name w:val="footer"/>
    <w:basedOn w:val="Norml"/>
    <w:link w:val="llbChar"/>
    <w:uiPriority w:val="99"/>
    <w:unhideWhenUsed/>
    <w:rsid w:val="00B155FE"/>
    <w:pPr>
      <w:tabs>
        <w:tab w:val="center" w:pos="4536"/>
        <w:tab w:val="right" w:pos="9072"/>
      </w:tabs>
      <w:spacing w:after="0" w:line="240" w:lineRule="auto"/>
    </w:pPr>
  </w:style>
  <w:style w:type="character" w:customStyle="1" w:styleId="llbChar">
    <w:name w:val="Élőláb Char"/>
    <w:basedOn w:val="Bekezdsalapbettpusa"/>
    <w:link w:val="llb"/>
    <w:uiPriority w:val="99"/>
    <w:rsid w:val="00B155FE"/>
  </w:style>
  <w:style w:type="paragraph" w:styleId="Lbjegyzetszveg">
    <w:name w:val="footnote text"/>
    <w:basedOn w:val="Norml"/>
    <w:link w:val="LbjegyzetszvegChar"/>
    <w:uiPriority w:val="99"/>
    <w:semiHidden/>
    <w:unhideWhenUsed/>
    <w:rsid w:val="00B155F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155FE"/>
    <w:rPr>
      <w:sz w:val="20"/>
      <w:szCs w:val="20"/>
    </w:rPr>
  </w:style>
  <w:style w:type="character" w:styleId="Lbjegyzet-hivatkozs">
    <w:name w:val="footnote reference"/>
    <w:semiHidden/>
    <w:rsid w:val="00B155FE"/>
    <w:rPr>
      <w:vertAlign w:val="superscript"/>
    </w:rPr>
  </w:style>
  <w:style w:type="character" w:styleId="Oldalszm">
    <w:name w:val="page number"/>
    <w:basedOn w:val="Bekezdsalapbettpusa"/>
    <w:rsid w:val="00B155FE"/>
  </w:style>
  <w:style w:type="paragraph" w:styleId="Buborkszveg">
    <w:name w:val="Balloon Text"/>
    <w:basedOn w:val="Norml"/>
    <w:link w:val="BuborkszvegChar"/>
    <w:uiPriority w:val="99"/>
    <w:semiHidden/>
    <w:unhideWhenUsed/>
    <w:rsid w:val="0097327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7327C"/>
    <w:rPr>
      <w:rFonts w:ascii="Tahoma" w:hAnsi="Tahoma" w:cs="Tahoma"/>
      <w:sz w:val="16"/>
      <w:szCs w:val="16"/>
    </w:rPr>
  </w:style>
  <w:style w:type="paragraph" w:styleId="Listaszerbekezds">
    <w:name w:val="List Paragraph"/>
    <w:basedOn w:val="Norml"/>
    <w:uiPriority w:val="34"/>
    <w:qFormat/>
    <w:rsid w:val="00F71CAC"/>
    <w:pPr>
      <w:ind w:left="720"/>
      <w:contextualSpacing/>
    </w:pPr>
  </w:style>
  <w:style w:type="paragraph" w:styleId="Jegyzetszveg">
    <w:name w:val="annotation text"/>
    <w:basedOn w:val="Norml"/>
    <w:link w:val="JegyzetszvegChar"/>
    <w:uiPriority w:val="99"/>
    <w:semiHidden/>
    <w:unhideWhenUsed/>
    <w:pPr>
      <w:spacing w:line="240" w:lineRule="auto"/>
    </w:pPr>
    <w:rPr>
      <w:sz w:val="20"/>
      <w:szCs w:val="20"/>
    </w:rPr>
  </w:style>
  <w:style w:type="character" w:customStyle="1" w:styleId="JegyzetszvegChar">
    <w:name w:val="Jegyzetszöveg Char"/>
    <w:basedOn w:val="Bekezdsalapbettpusa"/>
    <w:link w:val="Jegyzetszveg"/>
    <w:uiPriority w:val="99"/>
    <w:semiHidden/>
    <w:rPr>
      <w:sz w:val="20"/>
      <w:szCs w:val="20"/>
    </w:rPr>
  </w:style>
  <w:style w:type="character" w:styleId="Jegyzethivatkozs">
    <w:name w:val="annotation reference"/>
    <w:basedOn w:val="Bekezdsalapbettpusa"/>
    <w:uiPriority w:val="99"/>
    <w:semiHidden/>
    <w:unhideWhenUsed/>
    <w:rPr>
      <w:sz w:val="16"/>
      <w:szCs w:val="16"/>
    </w:rPr>
  </w:style>
  <w:style w:type="table" w:styleId="Rcsostblzat">
    <w:name w:val="Table Grid"/>
    <w:basedOn w:val="Normltblzat"/>
    <w:uiPriority w:val="39"/>
    <w:rsid w:val="00D4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E1656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Pr>
      <w:color w:val="0563C1" w:themeColor="hyperlink"/>
      <w:u w:val="single"/>
    </w:rPr>
  </w:style>
  <w:style w:type="table" w:styleId="Tblzatrcsos1vilgos1jellszn">
    <w:name w:val="Grid Table 1 Light Accent 1"/>
    <w:basedOn w:val="Normltblzat"/>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Megjegyzstrgya">
    <w:name w:val="annotation subject"/>
    <w:basedOn w:val="Jegyzetszveg"/>
    <w:next w:val="Jegyzetszveg"/>
    <w:link w:val="MegjegyzstrgyaChar"/>
    <w:uiPriority w:val="99"/>
    <w:semiHidden/>
    <w:unhideWhenUsed/>
    <w:rsid w:val="00C75D5A"/>
    <w:rPr>
      <w:b/>
      <w:bCs/>
    </w:rPr>
  </w:style>
  <w:style w:type="character" w:customStyle="1" w:styleId="MegjegyzstrgyaChar">
    <w:name w:val="Megjegyzés tárgya Char"/>
    <w:basedOn w:val="JegyzetszvegChar"/>
    <w:link w:val="Megjegyzstrgya"/>
    <w:uiPriority w:val="99"/>
    <w:semiHidden/>
    <w:rsid w:val="00C75D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56079">
      <w:bodyDiv w:val="1"/>
      <w:marLeft w:val="0"/>
      <w:marRight w:val="0"/>
      <w:marTop w:val="0"/>
      <w:marBottom w:val="0"/>
      <w:divBdr>
        <w:top w:val="none" w:sz="0" w:space="0" w:color="auto"/>
        <w:left w:val="none" w:sz="0" w:space="0" w:color="auto"/>
        <w:bottom w:val="none" w:sz="0" w:space="0" w:color="auto"/>
        <w:right w:val="none" w:sz="0" w:space="0" w:color="auto"/>
      </w:divBdr>
    </w:div>
    <w:div w:id="248008608">
      <w:bodyDiv w:val="1"/>
      <w:marLeft w:val="0"/>
      <w:marRight w:val="0"/>
      <w:marTop w:val="0"/>
      <w:marBottom w:val="0"/>
      <w:divBdr>
        <w:top w:val="none" w:sz="0" w:space="0" w:color="auto"/>
        <w:left w:val="none" w:sz="0" w:space="0" w:color="auto"/>
        <w:bottom w:val="none" w:sz="0" w:space="0" w:color="auto"/>
        <w:right w:val="none" w:sz="0" w:space="0" w:color="auto"/>
      </w:divBdr>
    </w:div>
    <w:div w:id="251550484">
      <w:bodyDiv w:val="1"/>
      <w:marLeft w:val="0"/>
      <w:marRight w:val="0"/>
      <w:marTop w:val="0"/>
      <w:marBottom w:val="0"/>
      <w:divBdr>
        <w:top w:val="none" w:sz="0" w:space="0" w:color="auto"/>
        <w:left w:val="none" w:sz="0" w:space="0" w:color="auto"/>
        <w:bottom w:val="none" w:sz="0" w:space="0" w:color="auto"/>
        <w:right w:val="none" w:sz="0" w:space="0" w:color="auto"/>
      </w:divBdr>
    </w:div>
    <w:div w:id="263924984">
      <w:bodyDiv w:val="1"/>
      <w:marLeft w:val="0"/>
      <w:marRight w:val="0"/>
      <w:marTop w:val="0"/>
      <w:marBottom w:val="0"/>
      <w:divBdr>
        <w:top w:val="none" w:sz="0" w:space="0" w:color="auto"/>
        <w:left w:val="none" w:sz="0" w:space="0" w:color="auto"/>
        <w:bottom w:val="none" w:sz="0" w:space="0" w:color="auto"/>
        <w:right w:val="none" w:sz="0" w:space="0" w:color="auto"/>
      </w:divBdr>
    </w:div>
    <w:div w:id="414713825">
      <w:bodyDiv w:val="1"/>
      <w:marLeft w:val="0"/>
      <w:marRight w:val="0"/>
      <w:marTop w:val="0"/>
      <w:marBottom w:val="0"/>
      <w:divBdr>
        <w:top w:val="none" w:sz="0" w:space="0" w:color="auto"/>
        <w:left w:val="none" w:sz="0" w:space="0" w:color="auto"/>
        <w:bottom w:val="none" w:sz="0" w:space="0" w:color="auto"/>
        <w:right w:val="none" w:sz="0" w:space="0" w:color="auto"/>
      </w:divBdr>
    </w:div>
    <w:div w:id="419377097">
      <w:bodyDiv w:val="1"/>
      <w:marLeft w:val="0"/>
      <w:marRight w:val="0"/>
      <w:marTop w:val="0"/>
      <w:marBottom w:val="0"/>
      <w:divBdr>
        <w:top w:val="none" w:sz="0" w:space="0" w:color="auto"/>
        <w:left w:val="none" w:sz="0" w:space="0" w:color="auto"/>
        <w:bottom w:val="none" w:sz="0" w:space="0" w:color="auto"/>
        <w:right w:val="none" w:sz="0" w:space="0" w:color="auto"/>
      </w:divBdr>
    </w:div>
    <w:div w:id="422839085">
      <w:bodyDiv w:val="1"/>
      <w:marLeft w:val="0"/>
      <w:marRight w:val="0"/>
      <w:marTop w:val="0"/>
      <w:marBottom w:val="0"/>
      <w:divBdr>
        <w:top w:val="none" w:sz="0" w:space="0" w:color="auto"/>
        <w:left w:val="none" w:sz="0" w:space="0" w:color="auto"/>
        <w:bottom w:val="none" w:sz="0" w:space="0" w:color="auto"/>
        <w:right w:val="none" w:sz="0" w:space="0" w:color="auto"/>
      </w:divBdr>
    </w:div>
    <w:div w:id="425614567">
      <w:bodyDiv w:val="1"/>
      <w:marLeft w:val="0"/>
      <w:marRight w:val="0"/>
      <w:marTop w:val="0"/>
      <w:marBottom w:val="0"/>
      <w:divBdr>
        <w:top w:val="none" w:sz="0" w:space="0" w:color="auto"/>
        <w:left w:val="none" w:sz="0" w:space="0" w:color="auto"/>
        <w:bottom w:val="none" w:sz="0" w:space="0" w:color="auto"/>
        <w:right w:val="none" w:sz="0" w:space="0" w:color="auto"/>
      </w:divBdr>
    </w:div>
    <w:div w:id="750005642">
      <w:bodyDiv w:val="1"/>
      <w:marLeft w:val="0"/>
      <w:marRight w:val="0"/>
      <w:marTop w:val="0"/>
      <w:marBottom w:val="0"/>
      <w:divBdr>
        <w:top w:val="none" w:sz="0" w:space="0" w:color="auto"/>
        <w:left w:val="none" w:sz="0" w:space="0" w:color="auto"/>
        <w:bottom w:val="none" w:sz="0" w:space="0" w:color="auto"/>
        <w:right w:val="none" w:sz="0" w:space="0" w:color="auto"/>
      </w:divBdr>
    </w:div>
    <w:div w:id="825049051">
      <w:bodyDiv w:val="1"/>
      <w:marLeft w:val="0"/>
      <w:marRight w:val="0"/>
      <w:marTop w:val="0"/>
      <w:marBottom w:val="0"/>
      <w:divBdr>
        <w:top w:val="none" w:sz="0" w:space="0" w:color="auto"/>
        <w:left w:val="none" w:sz="0" w:space="0" w:color="auto"/>
        <w:bottom w:val="none" w:sz="0" w:space="0" w:color="auto"/>
        <w:right w:val="none" w:sz="0" w:space="0" w:color="auto"/>
      </w:divBdr>
    </w:div>
    <w:div w:id="831945513">
      <w:bodyDiv w:val="1"/>
      <w:marLeft w:val="0"/>
      <w:marRight w:val="0"/>
      <w:marTop w:val="0"/>
      <w:marBottom w:val="0"/>
      <w:divBdr>
        <w:top w:val="none" w:sz="0" w:space="0" w:color="auto"/>
        <w:left w:val="none" w:sz="0" w:space="0" w:color="auto"/>
        <w:bottom w:val="none" w:sz="0" w:space="0" w:color="auto"/>
        <w:right w:val="none" w:sz="0" w:space="0" w:color="auto"/>
      </w:divBdr>
    </w:div>
    <w:div w:id="955060427">
      <w:bodyDiv w:val="1"/>
      <w:marLeft w:val="0"/>
      <w:marRight w:val="0"/>
      <w:marTop w:val="0"/>
      <w:marBottom w:val="0"/>
      <w:divBdr>
        <w:top w:val="none" w:sz="0" w:space="0" w:color="auto"/>
        <w:left w:val="none" w:sz="0" w:space="0" w:color="auto"/>
        <w:bottom w:val="none" w:sz="0" w:space="0" w:color="auto"/>
        <w:right w:val="none" w:sz="0" w:space="0" w:color="auto"/>
      </w:divBdr>
    </w:div>
    <w:div w:id="1020281846">
      <w:bodyDiv w:val="1"/>
      <w:marLeft w:val="0"/>
      <w:marRight w:val="0"/>
      <w:marTop w:val="0"/>
      <w:marBottom w:val="0"/>
      <w:divBdr>
        <w:top w:val="none" w:sz="0" w:space="0" w:color="auto"/>
        <w:left w:val="none" w:sz="0" w:space="0" w:color="auto"/>
        <w:bottom w:val="none" w:sz="0" w:space="0" w:color="auto"/>
        <w:right w:val="none" w:sz="0" w:space="0" w:color="auto"/>
      </w:divBdr>
    </w:div>
    <w:div w:id="1137841753">
      <w:bodyDiv w:val="1"/>
      <w:marLeft w:val="0"/>
      <w:marRight w:val="0"/>
      <w:marTop w:val="0"/>
      <w:marBottom w:val="0"/>
      <w:divBdr>
        <w:top w:val="none" w:sz="0" w:space="0" w:color="auto"/>
        <w:left w:val="none" w:sz="0" w:space="0" w:color="auto"/>
        <w:bottom w:val="none" w:sz="0" w:space="0" w:color="auto"/>
        <w:right w:val="none" w:sz="0" w:space="0" w:color="auto"/>
      </w:divBdr>
    </w:div>
    <w:div w:id="1145925425">
      <w:bodyDiv w:val="1"/>
      <w:marLeft w:val="0"/>
      <w:marRight w:val="0"/>
      <w:marTop w:val="0"/>
      <w:marBottom w:val="0"/>
      <w:divBdr>
        <w:top w:val="none" w:sz="0" w:space="0" w:color="auto"/>
        <w:left w:val="none" w:sz="0" w:space="0" w:color="auto"/>
        <w:bottom w:val="none" w:sz="0" w:space="0" w:color="auto"/>
        <w:right w:val="none" w:sz="0" w:space="0" w:color="auto"/>
      </w:divBdr>
    </w:div>
    <w:div w:id="1154029676">
      <w:bodyDiv w:val="1"/>
      <w:marLeft w:val="0"/>
      <w:marRight w:val="0"/>
      <w:marTop w:val="0"/>
      <w:marBottom w:val="0"/>
      <w:divBdr>
        <w:top w:val="none" w:sz="0" w:space="0" w:color="auto"/>
        <w:left w:val="none" w:sz="0" w:space="0" w:color="auto"/>
        <w:bottom w:val="none" w:sz="0" w:space="0" w:color="auto"/>
        <w:right w:val="none" w:sz="0" w:space="0" w:color="auto"/>
      </w:divBdr>
    </w:div>
    <w:div w:id="1194074906">
      <w:bodyDiv w:val="1"/>
      <w:marLeft w:val="0"/>
      <w:marRight w:val="0"/>
      <w:marTop w:val="0"/>
      <w:marBottom w:val="0"/>
      <w:divBdr>
        <w:top w:val="none" w:sz="0" w:space="0" w:color="auto"/>
        <w:left w:val="none" w:sz="0" w:space="0" w:color="auto"/>
        <w:bottom w:val="none" w:sz="0" w:space="0" w:color="auto"/>
        <w:right w:val="none" w:sz="0" w:space="0" w:color="auto"/>
      </w:divBdr>
    </w:div>
    <w:div w:id="1262031817">
      <w:bodyDiv w:val="1"/>
      <w:marLeft w:val="0"/>
      <w:marRight w:val="0"/>
      <w:marTop w:val="0"/>
      <w:marBottom w:val="0"/>
      <w:divBdr>
        <w:top w:val="none" w:sz="0" w:space="0" w:color="auto"/>
        <w:left w:val="none" w:sz="0" w:space="0" w:color="auto"/>
        <w:bottom w:val="none" w:sz="0" w:space="0" w:color="auto"/>
        <w:right w:val="none" w:sz="0" w:space="0" w:color="auto"/>
      </w:divBdr>
    </w:div>
    <w:div w:id="1299650999">
      <w:bodyDiv w:val="1"/>
      <w:marLeft w:val="0"/>
      <w:marRight w:val="0"/>
      <w:marTop w:val="0"/>
      <w:marBottom w:val="0"/>
      <w:divBdr>
        <w:top w:val="none" w:sz="0" w:space="0" w:color="auto"/>
        <w:left w:val="none" w:sz="0" w:space="0" w:color="auto"/>
        <w:bottom w:val="none" w:sz="0" w:space="0" w:color="auto"/>
        <w:right w:val="none" w:sz="0" w:space="0" w:color="auto"/>
      </w:divBdr>
    </w:div>
    <w:div w:id="1332442699">
      <w:bodyDiv w:val="1"/>
      <w:marLeft w:val="0"/>
      <w:marRight w:val="0"/>
      <w:marTop w:val="0"/>
      <w:marBottom w:val="0"/>
      <w:divBdr>
        <w:top w:val="none" w:sz="0" w:space="0" w:color="auto"/>
        <w:left w:val="none" w:sz="0" w:space="0" w:color="auto"/>
        <w:bottom w:val="none" w:sz="0" w:space="0" w:color="auto"/>
        <w:right w:val="none" w:sz="0" w:space="0" w:color="auto"/>
      </w:divBdr>
    </w:div>
    <w:div w:id="1362433673">
      <w:bodyDiv w:val="1"/>
      <w:marLeft w:val="0"/>
      <w:marRight w:val="0"/>
      <w:marTop w:val="0"/>
      <w:marBottom w:val="0"/>
      <w:divBdr>
        <w:top w:val="none" w:sz="0" w:space="0" w:color="auto"/>
        <w:left w:val="none" w:sz="0" w:space="0" w:color="auto"/>
        <w:bottom w:val="none" w:sz="0" w:space="0" w:color="auto"/>
        <w:right w:val="none" w:sz="0" w:space="0" w:color="auto"/>
      </w:divBdr>
    </w:div>
    <w:div w:id="1369573113">
      <w:bodyDiv w:val="1"/>
      <w:marLeft w:val="0"/>
      <w:marRight w:val="0"/>
      <w:marTop w:val="0"/>
      <w:marBottom w:val="0"/>
      <w:divBdr>
        <w:top w:val="none" w:sz="0" w:space="0" w:color="auto"/>
        <w:left w:val="none" w:sz="0" w:space="0" w:color="auto"/>
        <w:bottom w:val="none" w:sz="0" w:space="0" w:color="auto"/>
        <w:right w:val="none" w:sz="0" w:space="0" w:color="auto"/>
      </w:divBdr>
    </w:div>
    <w:div w:id="1514765667">
      <w:bodyDiv w:val="1"/>
      <w:marLeft w:val="0"/>
      <w:marRight w:val="0"/>
      <w:marTop w:val="0"/>
      <w:marBottom w:val="0"/>
      <w:divBdr>
        <w:top w:val="none" w:sz="0" w:space="0" w:color="auto"/>
        <w:left w:val="none" w:sz="0" w:space="0" w:color="auto"/>
        <w:bottom w:val="none" w:sz="0" w:space="0" w:color="auto"/>
        <w:right w:val="none" w:sz="0" w:space="0" w:color="auto"/>
      </w:divBdr>
    </w:div>
    <w:div w:id="1527596982">
      <w:bodyDiv w:val="1"/>
      <w:marLeft w:val="0"/>
      <w:marRight w:val="0"/>
      <w:marTop w:val="0"/>
      <w:marBottom w:val="0"/>
      <w:divBdr>
        <w:top w:val="none" w:sz="0" w:space="0" w:color="auto"/>
        <w:left w:val="none" w:sz="0" w:space="0" w:color="auto"/>
        <w:bottom w:val="none" w:sz="0" w:space="0" w:color="auto"/>
        <w:right w:val="none" w:sz="0" w:space="0" w:color="auto"/>
      </w:divBdr>
    </w:div>
    <w:div w:id="1538201461">
      <w:bodyDiv w:val="1"/>
      <w:marLeft w:val="0"/>
      <w:marRight w:val="0"/>
      <w:marTop w:val="0"/>
      <w:marBottom w:val="0"/>
      <w:divBdr>
        <w:top w:val="none" w:sz="0" w:space="0" w:color="auto"/>
        <w:left w:val="none" w:sz="0" w:space="0" w:color="auto"/>
        <w:bottom w:val="none" w:sz="0" w:space="0" w:color="auto"/>
        <w:right w:val="none" w:sz="0" w:space="0" w:color="auto"/>
      </w:divBdr>
    </w:div>
    <w:div w:id="1587760903">
      <w:bodyDiv w:val="1"/>
      <w:marLeft w:val="0"/>
      <w:marRight w:val="0"/>
      <w:marTop w:val="0"/>
      <w:marBottom w:val="0"/>
      <w:divBdr>
        <w:top w:val="none" w:sz="0" w:space="0" w:color="auto"/>
        <w:left w:val="none" w:sz="0" w:space="0" w:color="auto"/>
        <w:bottom w:val="none" w:sz="0" w:space="0" w:color="auto"/>
        <w:right w:val="none" w:sz="0" w:space="0" w:color="auto"/>
      </w:divBdr>
    </w:div>
    <w:div w:id="1611275865">
      <w:bodyDiv w:val="1"/>
      <w:marLeft w:val="0"/>
      <w:marRight w:val="0"/>
      <w:marTop w:val="0"/>
      <w:marBottom w:val="0"/>
      <w:divBdr>
        <w:top w:val="none" w:sz="0" w:space="0" w:color="auto"/>
        <w:left w:val="none" w:sz="0" w:space="0" w:color="auto"/>
        <w:bottom w:val="none" w:sz="0" w:space="0" w:color="auto"/>
        <w:right w:val="none" w:sz="0" w:space="0" w:color="auto"/>
      </w:divBdr>
    </w:div>
    <w:div w:id="1633056647">
      <w:bodyDiv w:val="1"/>
      <w:marLeft w:val="0"/>
      <w:marRight w:val="0"/>
      <w:marTop w:val="0"/>
      <w:marBottom w:val="0"/>
      <w:divBdr>
        <w:top w:val="none" w:sz="0" w:space="0" w:color="auto"/>
        <w:left w:val="none" w:sz="0" w:space="0" w:color="auto"/>
        <w:bottom w:val="none" w:sz="0" w:space="0" w:color="auto"/>
        <w:right w:val="none" w:sz="0" w:space="0" w:color="auto"/>
      </w:divBdr>
    </w:div>
    <w:div w:id="1891844003">
      <w:bodyDiv w:val="1"/>
      <w:marLeft w:val="0"/>
      <w:marRight w:val="0"/>
      <w:marTop w:val="0"/>
      <w:marBottom w:val="0"/>
      <w:divBdr>
        <w:top w:val="none" w:sz="0" w:space="0" w:color="auto"/>
        <w:left w:val="none" w:sz="0" w:space="0" w:color="auto"/>
        <w:bottom w:val="none" w:sz="0" w:space="0" w:color="auto"/>
        <w:right w:val="none" w:sz="0" w:space="0" w:color="auto"/>
      </w:divBdr>
    </w:div>
    <w:div w:id="2032297061">
      <w:bodyDiv w:val="1"/>
      <w:marLeft w:val="0"/>
      <w:marRight w:val="0"/>
      <w:marTop w:val="0"/>
      <w:marBottom w:val="0"/>
      <w:divBdr>
        <w:top w:val="none" w:sz="0" w:space="0" w:color="auto"/>
        <w:left w:val="none" w:sz="0" w:space="0" w:color="auto"/>
        <w:bottom w:val="none" w:sz="0" w:space="0" w:color="auto"/>
        <w:right w:val="none" w:sz="0" w:space="0" w:color="auto"/>
      </w:divBdr>
    </w:div>
    <w:div w:id="20697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c9_v xmlns="cb7eed14-1ed6-4f4f-9464-e9d73fc2f8e9">2024</_x00c9_v>
    <T_x00e9_ma xmlns="cb7eed14-1ed6-4f4f-9464-e9d73fc2f8e9">Monitoring</T_x00e9_ma>
    <L_x00e1_that_x00f3_s_x00e1_g xmlns="cb7eed14-1ed6-4f4f-9464-e9d73fc2f8e9">Publikus</L_x00e1_that_x00f3_s_x00e1_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DF1BD466E83E842902559549E0F08F2" ma:contentTypeVersion="5" ma:contentTypeDescription="Új dokumentum létrehozása." ma:contentTypeScope="" ma:versionID="31e4e3cdae65457b6dd54469a0de32db">
  <xsd:schema xmlns:xsd="http://www.w3.org/2001/XMLSchema" xmlns:xs="http://www.w3.org/2001/XMLSchema" xmlns:p="http://schemas.microsoft.com/office/2006/metadata/properties" xmlns:ns2="cb7eed14-1ed6-4f4f-9464-e9d73fc2f8e9" xmlns:ns3="9669010e-b829-4d86-87dd-cdce11b02043" targetNamespace="http://schemas.microsoft.com/office/2006/metadata/properties" ma:root="true" ma:fieldsID="96afc7bfeb3cbb4c401c9bb959457ab5" ns2:_="" ns3:_="">
    <xsd:import namespace="cb7eed14-1ed6-4f4f-9464-e9d73fc2f8e9"/>
    <xsd:import namespace="9669010e-b829-4d86-87dd-cdce11b02043"/>
    <xsd:element name="properties">
      <xsd:complexType>
        <xsd:sequence>
          <xsd:element name="documentManagement">
            <xsd:complexType>
              <xsd:all>
                <xsd:element ref="ns2:T_x00e9_ma" minOccurs="0"/>
                <xsd:element ref="ns2:_x00c9_v"/>
                <xsd:element ref="ns2:L_x00e1_that_x00f3_s_x00e1_g"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eed14-1ed6-4f4f-9464-e9d73fc2f8e9" elementFormDefault="qualified">
    <xsd:import namespace="http://schemas.microsoft.com/office/2006/documentManagement/types"/>
    <xsd:import namespace="http://schemas.microsoft.com/office/infopath/2007/PartnerControls"/>
    <xsd:element name="T_x00e9_ma" ma:index="2" nillable="true" ma:displayName="Téma" ma:format="Dropdown" ma:internalName="T_x00e9_ma">
      <xsd:simpleType>
        <xsd:restriction base="dms:Choice">
          <xsd:enumeration value="Tervezés"/>
          <xsd:enumeration value="Zárszámadás"/>
          <xsd:enumeration value="Törvénymódosítás"/>
          <xsd:enumeration value="ÁSZ ellenőrzés"/>
          <xsd:enumeration value="Gyorsjelentés"/>
          <xsd:enumeration value="Monitoring"/>
          <xsd:enumeration value="Tervezési tájékoztató"/>
          <xsd:enumeration value="Útmutató"/>
          <xsd:enumeration value="Munkaprogram"/>
          <xsd:enumeration value="Ütemterv"/>
          <xsd:enumeration value="Módosító"/>
          <xsd:enumeration value="Kormányülés"/>
          <xsd:enumeration value="Gazdasági kabinet"/>
          <xsd:enumeration value="Stratégiai kabinet"/>
          <xsd:enumeration value="IFMIS"/>
          <xsd:enumeration value="Fejezeten belüli átcsoportosítás"/>
          <xsd:enumeration value="Címlista"/>
          <xsd:enumeration value="BEÜ"/>
          <xsd:enumeration value="Koronavírus"/>
          <xsd:enumeration value="Tudásbázis"/>
          <xsd:enumeration value="Kiemelt fejlesztési igények"/>
          <xsd:enumeration value="Iktatás"/>
        </xsd:restriction>
      </xsd:simpleType>
    </xsd:element>
    <xsd:element name="_x00c9_v" ma:index="3" ma:displayName="Év" ma:default="2018" ma:format="Dropdown" ma:internalName="_x00c9_v">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restriction>
      </xsd:simpleType>
    </xsd:element>
    <xsd:element name="L_x00e1_that_x00f3_s_x00e1_g" ma:index="4" nillable="true" ma:displayName="Láthatóság" ma:default="Publikus" ma:format="Dropdown" ma:internalName="L_x00e1_that_x00f3_s_x00e1_g">
      <xsd:simpleType>
        <xsd:restriction base="dms:Choice">
          <xsd:enumeration value="Publikus"/>
          <xsd:enumeration value="Csak admin látja (verziókat tartalmaz)"/>
        </xsd:restriction>
      </xsd:simpleType>
    </xsd:element>
  </xsd:schema>
  <xsd:schema xmlns:xsd="http://www.w3.org/2001/XMLSchema" xmlns:xs="http://www.w3.org/2001/XMLSchema" xmlns:dms="http://schemas.microsoft.com/office/2006/documentManagement/types" xmlns:pc="http://schemas.microsoft.com/office/infopath/2007/PartnerControls" targetNamespace="9669010e-b829-4d86-87dd-cdce11b02043" elementFormDefault="qualified">
    <xsd:import namespace="http://schemas.microsoft.com/office/2006/documentManagement/types"/>
    <xsd:import namespace="http://schemas.microsoft.com/office/infopath/2007/PartnerControls"/>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artalomtípus"/>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C958D-48DC-4564-B24D-56E63215790F}">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9669010e-b829-4d86-87dd-cdce11b02043"/>
    <ds:schemaRef ds:uri="cb7eed14-1ed6-4f4f-9464-e9d73fc2f8e9"/>
    <ds:schemaRef ds:uri="http://www.w3.org/XML/1998/namespace"/>
  </ds:schemaRefs>
</ds:datastoreItem>
</file>

<file path=customXml/itemProps2.xml><?xml version="1.0" encoding="utf-8"?>
<ds:datastoreItem xmlns:ds="http://schemas.openxmlformats.org/officeDocument/2006/customXml" ds:itemID="{BDD0F6AD-19C0-4D6B-ABDF-2564A2CC5C1F}">
  <ds:schemaRefs>
    <ds:schemaRef ds:uri="http://schemas.microsoft.com/sharepoint/v3/contenttype/forms"/>
  </ds:schemaRefs>
</ds:datastoreItem>
</file>

<file path=customXml/itemProps3.xml><?xml version="1.0" encoding="utf-8"?>
<ds:datastoreItem xmlns:ds="http://schemas.openxmlformats.org/officeDocument/2006/customXml" ds:itemID="{342329B3-64CC-4780-89B6-C8C7C77A4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eed14-1ed6-4f4f-9464-e9d73fc2f8e9"/>
    <ds:schemaRef ds:uri="9669010e-b829-4d86-87dd-cdce11b02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5AC3C1-9BF1-416C-9A16-F5B6F3D6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23</Pages>
  <Words>5017</Words>
  <Characters>34623</Characters>
  <Application>Microsoft Office Word</Application>
  <DocSecurity>0</DocSecurity>
  <Lines>288</Lines>
  <Paragraphs>79</Paragraphs>
  <ScaleCrop>false</ScaleCrop>
  <HeadingPairs>
    <vt:vector size="2" baseType="variant">
      <vt:variant>
        <vt:lpstr>Cím</vt:lpstr>
      </vt:variant>
      <vt:variant>
        <vt:i4>1</vt:i4>
      </vt:variant>
    </vt:vector>
  </HeadingPairs>
  <TitlesOfParts>
    <vt:vector size="1" baseType="lpstr">
      <vt:lpstr>Részletes tájékoztató_monitoring_2024_08</vt:lpstr>
    </vt:vector>
  </TitlesOfParts>
  <Company>Egységes InfraStruktúra</Company>
  <LinksUpToDate>false</LinksUpToDate>
  <CharactersWithSpaces>39561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Részletes tájékoztató_monitoring_2024_08</dc:title>
  <dc:creator>Kovács Márta</dc:creator>
  <cp:lastModifiedBy>Ivók Aurél Csaba</cp:lastModifiedBy>
  <cp:revision>17</cp:revision>
  <cp:lastPrinted>2024-12-18T08:27:00Z</cp:lastPrinted>
  <dcterms:created xsi:type="dcterms:W3CDTF">2024-12-13T10:51:00Z</dcterms:created>
  <dcterms:modified xsi:type="dcterms:W3CDTF">2024-12-18T09:12:00Z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0x010100CDF1BD466E83E842902559549E0F08F2</vt:lpwstr>
  </property>
</Properties>
</file>