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0192" w14:textId="7BEF3357" w:rsidR="005E3DB1" w:rsidRPr="00CC0016" w:rsidRDefault="7A495620" w:rsidP="7A495620">
      <w:pPr>
        <w:tabs>
          <w:tab w:val="left" w:pos="6379"/>
        </w:tabs>
        <w:ind w:left="-142" w:right="-1" w:firstLine="142"/>
        <w:jc w:val="left"/>
        <w:rPr>
          <w:b/>
          <w:bCs/>
          <w:smallCaps/>
          <w:sz w:val="32"/>
          <w:szCs w:val="32"/>
        </w:rPr>
      </w:pPr>
      <w:r w:rsidRPr="7A495620">
        <w:rPr>
          <w:b/>
          <w:bCs/>
          <w:smallCaps/>
          <w:sz w:val="32"/>
          <w:szCs w:val="32"/>
        </w:rPr>
        <w:t>Pénzügyminisztérium</w:t>
      </w:r>
    </w:p>
    <w:p w14:paraId="5D4F0193" w14:textId="77777777" w:rsidR="005E3DB1" w:rsidRPr="00CC0016" w:rsidRDefault="005E3DB1" w:rsidP="00BD2597">
      <w:pPr>
        <w:ind w:left="-142" w:firstLine="142"/>
      </w:pPr>
    </w:p>
    <w:p w14:paraId="5D4F0194" w14:textId="77777777" w:rsidR="005E3DB1" w:rsidRPr="00CC0016" w:rsidRDefault="005E3DB1" w:rsidP="000556FC">
      <w:pPr>
        <w:pStyle w:val="Cm"/>
        <w:ind w:right="0"/>
      </w:pPr>
    </w:p>
    <w:p w14:paraId="5D4F0195" w14:textId="77777777" w:rsidR="005E3DB1" w:rsidRPr="00CC0016" w:rsidRDefault="005E3DB1" w:rsidP="000556FC">
      <w:pPr>
        <w:pStyle w:val="Cm"/>
        <w:ind w:right="0"/>
      </w:pPr>
    </w:p>
    <w:p w14:paraId="5D4F0197" w14:textId="77777777" w:rsidR="005E3DB1" w:rsidRDefault="005E3DB1" w:rsidP="000556FC">
      <w:pPr>
        <w:pStyle w:val="Cm"/>
        <w:ind w:right="0"/>
      </w:pPr>
    </w:p>
    <w:p w14:paraId="79075E45" w14:textId="77777777" w:rsidR="00171DAF" w:rsidRPr="00CC0016" w:rsidRDefault="00171DAF" w:rsidP="000556FC">
      <w:pPr>
        <w:pStyle w:val="Cm"/>
        <w:ind w:right="0"/>
      </w:pPr>
    </w:p>
    <w:p w14:paraId="5D4F0198" w14:textId="77777777" w:rsidR="005E3DB1" w:rsidRPr="00CC0016" w:rsidRDefault="005E3DB1" w:rsidP="000556FC">
      <w:pPr>
        <w:pStyle w:val="Cm"/>
        <w:ind w:right="0"/>
      </w:pPr>
    </w:p>
    <w:p w14:paraId="5D4F0199" w14:textId="77777777" w:rsidR="008D430E" w:rsidRPr="00BE0A0E" w:rsidRDefault="008D430E" w:rsidP="000556FC">
      <w:pPr>
        <w:pStyle w:val="Cm"/>
        <w:ind w:right="0"/>
        <w:rPr>
          <w:sz w:val="26"/>
          <w:szCs w:val="26"/>
        </w:rPr>
      </w:pPr>
    </w:p>
    <w:p w14:paraId="5D4F019A" w14:textId="77777777" w:rsidR="005E3DB1" w:rsidRPr="00CC0016" w:rsidRDefault="005E3DB1" w:rsidP="000556FC">
      <w:pPr>
        <w:pStyle w:val="Cm"/>
        <w:ind w:right="0"/>
      </w:pPr>
    </w:p>
    <w:p w14:paraId="5D4F019B" w14:textId="77777777" w:rsidR="005E3DB1" w:rsidRPr="00CC0016" w:rsidRDefault="005E3DB1" w:rsidP="000556FC">
      <w:pPr>
        <w:pStyle w:val="Cm"/>
        <w:ind w:right="0"/>
      </w:pPr>
    </w:p>
    <w:p w14:paraId="5D4F019C" w14:textId="77777777" w:rsidR="005E3DB1" w:rsidRPr="00CC0016" w:rsidRDefault="005E3DB1" w:rsidP="000556FC">
      <w:pPr>
        <w:pStyle w:val="Cm"/>
        <w:ind w:right="0"/>
      </w:pPr>
    </w:p>
    <w:p w14:paraId="5D4F019D" w14:textId="77777777" w:rsidR="00F630A3" w:rsidRPr="00CC0016" w:rsidRDefault="00F630A3" w:rsidP="000556FC">
      <w:pPr>
        <w:pStyle w:val="Cm"/>
        <w:ind w:right="0"/>
      </w:pPr>
    </w:p>
    <w:p w14:paraId="5D4F019E" w14:textId="77777777" w:rsidR="000C5968" w:rsidRPr="00CC0016" w:rsidRDefault="000C5968" w:rsidP="000556FC">
      <w:pPr>
        <w:pStyle w:val="Cm"/>
        <w:ind w:right="0"/>
      </w:pPr>
    </w:p>
    <w:p w14:paraId="5D4F019F" w14:textId="77777777" w:rsidR="005E3DB1" w:rsidRPr="00CC0016" w:rsidRDefault="005E3DB1" w:rsidP="000556FC">
      <w:pPr>
        <w:pStyle w:val="Cm"/>
        <w:ind w:right="0"/>
      </w:pPr>
      <w:r w:rsidRPr="00CC0016">
        <w:t>Tájékoztató</w:t>
      </w:r>
      <w:r w:rsidRPr="00164FAC">
        <w:footnoteReference w:customMarkFollows="1" w:id="2"/>
        <w:t>*</w:t>
      </w:r>
    </w:p>
    <w:p w14:paraId="5D4F01A0" w14:textId="0274BD0E" w:rsidR="00B93477" w:rsidRPr="00352F8E" w:rsidRDefault="7A495620" w:rsidP="7A495620">
      <w:pPr>
        <w:pStyle w:val="Cmsor2"/>
        <w:tabs>
          <w:tab w:val="left" w:pos="2694"/>
        </w:tabs>
        <w:spacing w:before="0" w:after="120"/>
        <w:ind w:right="-1"/>
        <w:rPr>
          <w:i/>
          <w:caps w:val="0"/>
          <w:szCs w:val="26"/>
        </w:rPr>
      </w:pPr>
      <w:r w:rsidRPr="00352F8E">
        <w:rPr>
          <w:i/>
          <w:caps w:val="0"/>
          <w:szCs w:val="26"/>
        </w:rPr>
        <w:t>az államháztartás központi alrendszerének</w:t>
      </w:r>
      <w:r w:rsidR="30891728" w:rsidRPr="00352F8E">
        <w:rPr>
          <w:i/>
          <w:caps w:val="0"/>
          <w:szCs w:val="26"/>
        </w:rPr>
        <w:br/>
      </w:r>
      <w:r w:rsidRPr="00352F8E">
        <w:rPr>
          <w:i/>
          <w:caps w:val="0"/>
          <w:szCs w:val="26"/>
        </w:rPr>
        <w:t>2021. március végi helyzetéről</w:t>
      </w:r>
    </w:p>
    <w:p w14:paraId="5D4F01A1" w14:textId="77777777" w:rsidR="005E3DB1" w:rsidRPr="00275D19" w:rsidRDefault="005E3DB1" w:rsidP="00275D19">
      <w:pPr>
        <w:pStyle w:val="Cmsor2"/>
        <w:tabs>
          <w:tab w:val="left" w:pos="2694"/>
        </w:tabs>
        <w:spacing w:before="0" w:after="120"/>
        <w:ind w:right="-1"/>
        <w:rPr>
          <w:i/>
          <w:caps w:val="0"/>
          <w:szCs w:val="26"/>
        </w:rPr>
      </w:pPr>
    </w:p>
    <w:p w14:paraId="5D4F01A2" w14:textId="77777777" w:rsidR="005E3DB1" w:rsidRPr="00CC0016" w:rsidRDefault="005E3DB1" w:rsidP="000556FC">
      <w:pPr>
        <w:tabs>
          <w:tab w:val="left" w:pos="2694"/>
        </w:tabs>
      </w:pPr>
    </w:p>
    <w:p w14:paraId="5D4F01A3" w14:textId="77777777" w:rsidR="005E3DB1" w:rsidRPr="00CC0016" w:rsidRDefault="005E3DB1" w:rsidP="000556FC">
      <w:pPr>
        <w:pStyle w:val="lfej"/>
        <w:tabs>
          <w:tab w:val="clear" w:pos="4153"/>
          <w:tab w:val="clear" w:pos="8306"/>
          <w:tab w:val="left" w:pos="2694"/>
        </w:tabs>
      </w:pPr>
    </w:p>
    <w:p w14:paraId="5D4F01A4" w14:textId="77777777" w:rsidR="005E3DB1" w:rsidRPr="00CC0016" w:rsidRDefault="005E3DB1" w:rsidP="000556FC">
      <w:pPr>
        <w:tabs>
          <w:tab w:val="left" w:pos="2694"/>
        </w:tabs>
      </w:pPr>
    </w:p>
    <w:p w14:paraId="5D4F01A5" w14:textId="77777777" w:rsidR="005E3DB1" w:rsidRPr="00CC0016" w:rsidRDefault="005E3DB1" w:rsidP="000556FC">
      <w:pPr>
        <w:tabs>
          <w:tab w:val="left" w:pos="2694"/>
        </w:tabs>
      </w:pPr>
    </w:p>
    <w:p w14:paraId="5D4F01A6" w14:textId="77777777" w:rsidR="005E3DB1" w:rsidRPr="00CC0016" w:rsidRDefault="005E3DB1" w:rsidP="000556FC">
      <w:pPr>
        <w:tabs>
          <w:tab w:val="left" w:pos="2694"/>
        </w:tabs>
      </w:pPr>
    </w:p>
    <w:p w14:paraId="5D4F01A7" w14:textId="77777777" w:rsidR="005E3DB1" w:rsidRPr="00CC0016" w:rsidRDefault="005E3DB1" w:rsidP="000556FC"/>
    <w:p w14:paraId="5D4F01A8" w14:textId="77777777" w:rsidR="00771455" w:rsidRPr="00CC0016" w:rsidRDefault="00771455" w:rsidP="000556FC"/>
    <w:p w14:paraId="5D4F01A9" w14:textId="77777777" w:rsidR="00C37774" w:rsidRPr="00CC0016" w:rsidRDefault="00C37774" w:rsidP="000556FC"/>
    <w:p w14:paraId="5D4F01AA" w14:textId="77777777" w:rsidR="00C37774" w:rsidRPr="00CC0016" w:rsidRDefault="00C37774" w:rsidP="000556FC"/>
    <w:p w14:paraId="5D4F01AB" w14:textId="77777777" w:rsidR="00C37774" w:rsidRPr="00CC0016" w:rsidRDefault="00C37774" w:rsidP="000556FC"/>
    <w:p w14:paraId="5D4F01AC" w14:textId="1DBD8EAB" w:rsidR="007E4053" w:rsidRPr="00994A5F" w:rsidRDefault="00FA7AFF" w:rsidP="7A495620">
      <w:pPr>
        <w:tabs>
          <w:tab w:val="left" w:pos="2694"/>
        </w:tabs>
        <w:jc w:val="center"/>
        <w:rPr>
          <w:b/>
          <w:bCs/>
          <w:sz w:val="22"/>
          <w:szCs w:val="22"/>
        </w:rPr>
      </w:pPr>
      <w:r w:rsidRPr="00994A5F">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74619E1F">
              <v:rect id="Rectangle 2"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w:pict>
          </mc:Fallback>
        </mc:AlternateContent>
      </w:r>
      <w:r w:rsidR="00A67C37" w:rsidRPr="00994A5F">
        <w:rPr>
          <w:b/>
          <w:bCs/>
          <w:sz w:val="22"/>
          <w:szCs w:val="22"/>
        </w:rPr>
        <w:t>20</w:t>
      </w:r>
      <w:r w:rsidR="00C90993">
        <w:rPr>
          <w:b/>
          <w:bCs/>
          <w:sz w:val="22"/>
          <w:szCs w:val="22"/>
        </w:rPr>
        <w:t>2</w:t>
      </w:r>
      <w:r w:rsidR="00AD66A7">
        <w:rPr>
          <w:b/>
          <w:bCs/>
          <w:sz w:val="22"/>
          <w:szCs w:val="22"/>
        </w:rPr>
        <w:t>1</w:t>
      </w:r>
      <w:r w:rsidR="007E4053" w:rsidRPr="00994A5F">
        <w:rPr>
          <w:b/>
          <w:bCs/>
          <w:sz w:val="22"/>
          <w:szCs w:val="22"/>
        </w:rPr>
        <w:t>.</w:t>
      </w:r>
      <w:r w:rsidR="00F30C75">
        <w:rPr>
          <w:b/>
          <w:bCs/>
          <w:sz w:val="22"/>
          <w:szCs w:val="22"/>
        </w:rPr>
        <w:t xml:space="preserve"> </w:t>
      </w:r>
      <w:r w:rsidR="00E3220D">
        <w:rPr>
          <w:b/>
          <w:bCs/>
          <w:sz w:val="22"/>
          <w:szCs w:val="22"/>
        </w:rPr>
        <w:t>április</w:t>
      </w:r>
    </w:p>
    <w:p w14:paraId="5D4F01AD" w14:textId="77777777" w:rsidR="007E4053" w:rsidRPr="00CC0016" w:rsidRDefault="007E4053" w:rsidP="000556FC">
      <w:pPr>
        <w:tabs>
          <w:tab w:val="left" w:pos="2694"/>
        </w:tabs>
        <w:jc w:val="center"/>
        <w:rPr>
          <w:b/>
          <w:bCs/>
          <w:szCs w:val="28"/>
        </w:rPr>
        <w:sectPr w:rsidR="007E4053" w:rsidRPr="00CC0016" w:rsidSect="00D46179">
          <w:footerReference w:type="default" r:id="rId12"/>
          <w:footerReference w:type="first" r:id="rId13"/>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Default="7A495620" w:rsidP="7A495620">
      <w:pPr>
        <w:pStyle w:val="Cmsor4"/>
        <w:jc w:val="center"/>
        <w:rPr>
          <w:caps/>
        </w:rPr>
      </w:pPr>
      <w:r w:rsidRPr="7A495620">
        <w:rPr>
          <w:caps/>
        </w:rPr>
        <w:lastRenderedPageBreak/>
        <w:t>Összefoglalás</w:t>
      </w:r>
    </w:p>
    <w:p w14:paraId="263853DE" w14:textId="77777777" w:rsidR="009E2AEE" w:rsidRDefault="009E2AEE" w:rsidP="00A76795">
      <w:pPr>
        <w:spacing w:before="100" w:beforeAutospacing="1" w:after="100" w:afterAutospacing="1"/>
        <w:rPr>
          <w:rFonts w:cs="Tahoma"/>
          <w:color w:val="000000" w:themeColor="text1"/>
        </w:rPr>
      </w:pPr>
    </w:p>
    <w:p w14:paraId="28195BCB" w14:textId="77777777" w:rsidR="007C43B3" w:rsidRPr="007C43B3" w:rsidRDefault="7A495620" w:rsidP="7A495620">
      <w:pPr>
        <w:rPr>
          <w:rFonts w:cs="Tahoma"/>
          <w:color w:val="000000" w:themeColor="text1"/>
        </w:rPr>
      </w:pPr>
      <w:r w:rsidRPr="7A495620">
        <w:rPr>
          <w:rFonts w:cs="Tahoma"/>
          <w:color w:val="000000" w:themeColor="text1"/>
        </w:rPr>
        <w:t xml:space="preserve">A magyar gazdaság idei teljesítményét továbbra is alapvetően befolyásolja a koronavírus-járvány harmadik hulláma és ehhez kapcsolódóan az átoltottság alakulása. A kormányzati intézkedések hatékonyan segítik a munkahelyek védelmét, valamint a gazdaság újraindításához elengedhetetlen beruházások támogatása is kiemelt szerepet kap. </w:t>
      </w:r>
    </w:p>
    <w:p w14:paraId="6FE349B8" w14:textId="77777777" w:rsidR="007C43B3" w:rsidRPr="007C43B3" w:rsidRDefault="7A495620" w:rsidP="7A495620">
      <w:pPr>
        <w:rPr>
          <w:rFonts w:cs="Tahoma"/>
          <w:color w:val="000000" w:themeColor="text1"/>
        </w:rPr>
      </w:pPr>
      <w:r w:rsidRPr="7A495620">
        <w:rPr>
          <w:rFonts w:cs="Tahoma"/>
          <w:color w:val="000000" w:themeColor="text1"/>
        </w:rPr>
        <w:t xml:space="preserve">A járványügyi védekezés, a </w:t>
      </w:r>
      <w:proofErr w:type="spellStart"/>
      <w:r w:rsidRPr="7A495620">
        <w:rPr>
          <w:rFonts w:cs="Tahoma"/>
          <w:color w:val="000000" w:themeColor="text1"/>
        </w:rPr>
        <w:t>vakcinabeszerzések</w:t>
      </w:r>
      <w:proofErr w:type="spellEnd"/>
      <w:r w:rsidRPr="7A495620">
        <w:rPr>
          <w:rFonts w:cs="Tahoma"/>
          <w:color w:val="000000" w:themeColor="text1"/>
        </w:rPr>
        <w:t xml:space="preserve"> biztosítása és a gazdaság újraindítását szolgáló intézkedések következtében a központi alrendszer 1144,1 milliárd forintos hiánnyal zárt március végével. Ezen belül a központi költségvetés 943,0 milliárd forintos, az elkülönített állami pénzalapok 18,4 milliárd forintos, a társadalombiztosítás pénzügyi alapjai pedig 182,7 milliárd forintos hiányt értek el.</w:t>
      </w:r>
    </w:p>
    <w:p w14:paraId="7D9002EA" w14:textId="77777777" w:rsidR="007C43B3" w:rsidRPr="007C43B3" w:rsidRDefault="7A495620" w:rsidP="7A495620">
      <w:pPr>
        <w:rPr>
          <w:rFonts w:cs="Tahoma"/>
          <w:color w:val="000000" w:themeColor="text1"/>
        </w:rPr>
      </w:pPr>
      <w:r w:rsidRPr="7A495620">
        <w:rPr>
          <w:rFonts w:cs="Tahoma"/>
          <w:color w:val="000000" w:themeColor="text1"/>
        </w:rPr>
        <w:t>A bevételek alakulását jelentősen befolyásolja a koronavírus-járvány gazdasági hatása és az ezzel kapcsolatosan bevezetett munkaadói kedvezmények, a szociális hozzájárulási adó 17,5%-ról 15,5%-ra történő csökkentése, valamint a magasabb bérkiáramlás. Ugyancsak érdemi hatása volt a március végi egyenlegre, hogy 2021 első három hónapjában 150,6 milliárd forint uniós bevétel érkezett a költségvetésbe, ugyanakkor e három hónapban az uniós kiadások 615,6 milliárd forintot tettek ki.</w:t>
      </w:r>
    </w:p>
    <w:p w14:paraId="18CCBA94" w14:textId="77777777" w:rsidR="007C43B3" w:rsidRPr="007C43B3" w:rsidRDefault="7A495620" w:rsidP="7A495620">
      <w:pPr>
        <w:rPr>
          <w:rFonts w:cs="Tahoma"/>
          <w:color w:val="000000" w:themeColor="text1"/>
        </w:rPr>
      </w:pPr>
      <w:r w:rsidRPr="7A495620">
        <w:rPr>
          <w:rFonts w:cs="Tahoma"/>
          <w:color w:val="000000" w:themeColor="text1"/>
        </w:rPr>
        <w:t>A járványügyi védekezéshez biztosított források március végi összege meghaladta a 342,8 milliárd forintot. A járványügyi helyzet következtében a kormány áprilisra is meghosszabbította az ágazati bértámogatási rendszert, valamint a munkáltatói adókedvezményeket is.</w:t>
      </w:r>
    </w:p>
    <w:p w14:paraId="011E8514" w14:textId="77777777" w:rsidR="007C43B3" w:rsidRPr="007C43B3" w:rsidRDefault="7A495620" w:rsidP="7A495620">
      <w:pPr>
        <w:rPr>
          <w:rFonts w:cs="Tahoma"/>
          <w:color w:val="000000" w:themeColor="text1"/>
        </w:rPr>
      </w:pPr>
      <w:r w:rsidRPr="7A495620">
        <w:rPr>
          <w:rFonts w:cs="Tahoma"/>
          <w:color w:val="000000" w:themeColor="text1"/>
        </w:rPr>
        <w:t>A március hónapot befolyásolta, hogy a húsvéti ünnepek miatti munkaszüneti napokra tekintettel egyes családi támogatások áprilisi összege (32,1 milliárd forint) már március végén folyósításra került az ellátottak részére.</w:t>
      </w:r>
    </w:p>
    <w:p w14:paraId="2DC32CAE" w14:textId="7B422DBC" w:rsidR="007C43B3" w:rsidRDefault="000F7A1F" w:rsidP="7A495620">
      <w:pPr>
        <w:rPr>
          <w:rFonts w:cs="Tahoma"/>
          <w:color w:val="000000" w:themeColor="text1"/>
        </w:rPr>
      </w:pPr>
      <w:r w:rsidRPr="7A495620">
        <w:rPr>
          <w:rFonts w:cs="Tahoma"/>
          <w:color w:val="000000" w:themeColor="text1"/>
        </w:rPr>
        <w:t>A veszélyhelyzet alatt hozott döntések és a megváltozott körülmények alapján, valamint a gazdaság újraindításának céljából a tavaszi parlamenti időszakban kerül sor a 2021.</w:t>
      </w:r>
      <w:r>
        <w:rPr>
          <w:rFonts w:cs="Tahoma"/>
          <w:color w:val="000000" w:themeColor="text1"/>
        </w:rPr>
        <w:t> </w:t>
      </w:r>
      <w:r w:rsidRPr="7A495620">
        <w:rPr>
          <w:rFonts w:cs="Tahoma"/>
          <w:color w:val="000000" w:themeColor="text1"/>
        </w:rPr>
        <w:t>évi költségvetési törvény módosítására. Ennek során biztosít</w:t>
      </w:r>
      <w:r>
        <w:rPr>
          <w:rFonts w:cs="Tahoma"/>
          <w:color w:val="000000" w:themeColor="text1"/>
        </w:rPr>
        <w:t>ásra kerülnek</w:t>
      </w:r>
      <w:r w:rsidRPr="7A495620">
        <w:rPr>
          <w:rFonts w:cs="Tahoma"/>
          <w:color w:val="000000" w:themeColor="text1"/>
        </w:rPr>
        <w:t xml:space="preserve"> a járványügyi és gazdaság-újraindítási intézkedések</w:t>
      </w:r>
      <w:r>
        <w:rPr>
          <w:rFonts w:cs="Tahoma"/>
          <w:color w:val="000000" w:themeColor="text1"/>
        </w:rPr>
        <w:t>hez szükséges</w:t>
      </w:r>
      <w:r w:rsidRPr="7A495620">
        <w:rPr>
          <w:rFonts w:cs="Tahoma"/>
          <w:color w:val="000000" w:themeColor="text1"/>
        </w:rPr>
        <w:t xml:space="preserve"> költségvetési forrás</w:t>
      </w:r>
      <w:r>
        <w:rPr>
          <w:rFonts w:cs="Tahoma"/>
          <w:color w:val="000000" w:themeColor="text1"/>
        </w:rPr>
        <w:t>ok</w:t>
      </w:r>
      <w:r w:rsidRPr="7A495620">
        <w:rPr>
          <w:rFonts w:cs="Tahoma"/>
          <w:color w:val="000000" w:themeColor="text1"/>
        </w:rPr>
        <w:t xml:space="preserve"> úgy, hogy közben az adósságszint csökken. Ennek megfelelően az új, uniós módszertan szerinti államháztartási hiánycél a GDP 7,5%-ában </w:t>
      </w:r>
      <w:r>
        <w:rPr>
          <w:rFonts w:cs="Tahoma"/>
          <w:color w:val="000000" w:themeColor="text1"/>
        </w:rPr>
        <w:t>került</w:t>
      </w:r>
      <w:r w:rsidRPr="7A495620">
        <w:rPr>
          <w:rFonts w:cs="Tahoma"/>
          <w:color w:val="000000" w:themeColor="text1"/>
        </w:rPr>
        <w:t xml:space="preserve"> kijelöl</w:t>
      </w:r>
      <w:r>
        <w:rPr>
          <w:rFonts w:cs="Tahoma"/>
          <w:color w:val="000000" w:themeColor="text1"/>
        </w:rPr>
        <w:t>ésre</w:t>
      </w:r>
      <w:r w:rsidRPr="7A495620">
        <w:rPr>
          <w:rFonts w:cs="Tahoma"/>
          <w:color w:val="000000" w:themeColor="text1"/>
        </w:rPr>
        <w:t xml:space="preserve">. </w:t>
      </w:r>
      <w:r w:rsidR="30891728" w:rsidRPr="7A495620">
        <w:rPr>
          <w:rFonts w:cs="Tahoma"/>
          <w:color w:val="000000" w:themeColor="text1"/>
        </w:rPr>
        <w:br w:type="page"/>
      </w:r>
    </w:p>
    <w:p w14:paraId="73FFC378" w14:textId="40741725" w:rsidR="00CF2C49" w:rsidRDefault="7A495620" w:rsidP="00CF2C49">
      <w:pPr>
        <w:keepNext/>
      </w:pPr>
      <w:r>
        <w:lastRenderedPageBreak/>
        <w:t>Az államháztartás központi alrendszerének 2021. március végi főbb pénzforgalmi adatai a következők:</w:t>
      </w:r>
    </w:p>
    <w:p w14:paraId="3AFAF183" w14:textId="77777777" w:rsidR="00016501" w:rsidRDefault="00016501" w:rsidP="00CF2C49">
      <w:pPr>
        <w:keepNext/>
      </w:pPr>
    </w:p>
    <w:tbl>
      <w:tblPr>
        <w:tblW w:w="9560" w:type="dxa"/>
        <w:tblInd w:w="55" w:type="dxa"/>
        <w:tblCellMar>
          <w:left w:w="70" w:type="dxa"/>
          <w:right w:w="70" w:type="dxa"/>
        </w:tblCellMar>
        <w:tblLook w:val="04A0" w:firstRow="1" w:lastRow="0" w:firstColumn="1" w:lastColumn="0" w:noHBand="0" w:noVBand="1"/>
      </w:tblPr>
      <w:tblGrid>
        <w:gridCol w:w="1841"/>
        <w:gridCol w:w="1180"/>
        <w:gridCol w:w="1180"/>
        <w:gridCol w:w="1020"/>
        <w:gridCol w:w="1180"/>
        <w:gridCol w:w="1180"/>
        <w:gridCol w:w="1042"/>
        <w:gridCol w:w="1000"/>
      </w:tblGrid>
      <w:tr w:rsidR="00016501" w:rsidRPr="00016501" w14:paraId="59792023" w14:textId="77777777" w:rsidTr="7A495620">
        <w:trPr>
          <w:trHeight w:val="144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2CDB1" w14:textId="77777777" w:rsidR="00016501" w:rsidRPr="00016501" w:rsidRDefault="00016501" w:rsidP="7A495620">
            <w:pPr>
              <w:spacing w:after="0"/>
              <w:jc w:val="left"/>
              <w:rPr>
                <w:sz w:val="18"/>
                <w:szCs w:val="18"/>
              </w:rPr>
            </w:pPr>
            <w:bookmarkStart w:id="0" w:name="RANGE!A1:H13"/>
            <w:r w:rsidRPr="00016501">
              <w:rPr>
                <w:sz w:val="18"/>
                <w:szCs w:val="18"/>
              </w:rPr>
              <w:t> </w:t>
            </w:r>
            <w:bookmarkEnd w:id="0"/>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7D9F889" w14:textId="77777777" w:rsidR="00016501" w:rsidRPr="00016501" w:rsidRDefault="7A495620" w:rsidP="7A495620">
            <w:pPr>
              <w:spacing w:after="0"/>
              <w:jc w:val="center"/>
              <w:rPr>
                <w:sz w:val="18"/>
                <w:szCs w:val="18"/>
              </w:rPr>
            </w:pPr>
            <w:r w:rsidRPr="7A495620">
              <w:rPr>
                <w:sz w:val="18"/>
                <w:szCs w:val="18"/>
              </w:rPr>
              <w:t xml:space="preserve">2020. évi előzetes </w:t>
            </w:r>
            <w:r w:rsidR="30891728">
              <w:br/>
            </w:r>
            <w:r w:rsidRPr="7A495620">
              <w:rPr>
                <w:sz w:val="18"/>
                <w:szCs w:val="18"/>
              </w:rPr>
              <w:t>tény</w:t>
            </w:r>
            <w:r w:rsidR="30891728">
              <w:br/>
            </w:r>
            <w:r w:rsidRPr="7A495620">
              <w:rPr>
                <w:sz w:val="18"/>
                <w:szCs w:val="18"/>
              </w:rPr>
              <w:t>milliárd forintban</w:t>
            </w:r>
            <w:r w:rsidR="30891728">
              <w:br/>
            </w:r>
            <w:r w:rsidRPr="7A495620">
              <w:rPr>
                <w:sz w:val="18"/>
                <w:szCs w:val="18"/>
              </w:rPr>
              <w:t>(1)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0207590" w14:textId="77777777" w:rsidR="00016501" w:rsidRPr="00016501" w:rsidRDefault="7A495620" w:rsidP="7A495620">
            <w:pPr>
              <w:spacing w:after="0"/>
              <w:jc w:val="center"/>
              <w:rPr>
                <w:sz w:val="18"/>
                <w:szCs w:val="18"/>
              </w:rPr>
            </w:pPr>
            <w:r w:rsidRPr="7A495620">
              <w:rPr>
                <w:sz w:val="18"/>
                <w:szCs w:val="18"/>
              </w:rPr>
              <w:t>2020. I-III. hó tény</w:t>
            </w:r>
            <w:r w:rsidR="30891728">
              <w:br/>
            </w:r>
            <w:r w:rsidRPr="7A495620">
              <w:rPr>
                <w:sz w:val="18"/>
                <w:szCs w:val="18"/>
              </w:rPr>
              <w:t>milliárd forintban</w:t>
            </w:r>
            <w:r w:rsidR="30891728">
              <w:br/>
            </w:r>
            <w:r w:rsidRPr="7A495620">
              <w:rPr>
                <w:sz w:val="18"/>
                <w:szCs w:val="18"/>
              </w:rPr>
              <w:t>(2)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84AEE54" w14:textId="77777777" w:rsidR="00016501" w:rsidRPr="00016501" w:rsidRDefault="7A495620" w:rsidP="7A495620">
            <w:pPr>
              <w:spacing w:after="0"/>
              <w:jc w:val="center"/>
              <w:rPr>
                <w:sz w:val="18"/>
                <w:szCs w:val="18"/>
              </w:rPr>
            </w:pPr>
            <w:r w:rsidRPr="7A495620">
              <w:rPr>
                <w:sz w:val="18"/>
                <w:szCs w:val="18"/>
              </w:rPr>
              <w:t>éves előzetes tény=100%</w:t>
            </w:r>
            <w:r w:rsidR="30891728">
              <w:br/>
            </w:r>
            <w:r w:rsidRPr="7A495620">
              <w:rPr>
                <w:sz w:val="18"/>
                <w:szCs w:val="18"/>
              </w:rPr>
              <w:t>Index (%)</w:t>
            </w:r>
            <w:r w:rsidR="30891728">
              <w:br/>
            </w:r>
            <w:r w:rsidRPr="7A495620">
              <w:rPr>
                <w:sz w:val="18"/>
                <w:szCs w:val="18"/>
              </w:rPr>
              <w:t>(2/1)</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DA5DE44" w14:textId="77777777" w:rsidR="00016501" w:rsidRPr="00016501" w:rsidRDefault="7A495620" w:rsidP="7A495620">
            <w:pPr>
              <w:spacing w:after="0"/>
              <w:jc w:val="center"/>
              <w:rPr>
                <w:sz w:val="18"/>
                <w:szCs w:val="18"/>
              </w:rPr>
            </w:pPr>
            <w:r w:rsidRPr="7A495620">
              <w:rPr>
                <w:sz w:val="18"/>
                <w:szCs w:val="18"/>
              </w:rPr>
              <w:t>2021. évi törvényi előirányzat</w:t>
            </w:r>
            <w:r w:rsidR="30891728">
              <w:br/>
            </w:r>
            <w:r w:rsidRPr="7A495620">
              <w:rPr>
                <w:sz w:val="18"/>
                <w:szCs w:val="18"/>
              </w:rPr>
              <w:t>milliárd forintban</w:t>
            </w:r>
            <w:r w:rsidR="30891728">
              <w:br/>
            </w:r>
            <w:r w:rsidRPr="7A495620">
              <w:rPr>
                <w:sz w:val="18"/>
                <w:szCs w:val="18"/>
              </w:rPr>
              <w:t>(3)</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F4C90B2" w14:textId="77777777" w:rsidR="00016501" w:rsidRPr="00016501" w:rsidRDefault="7A495620" w:rsidP="7A495620">
            <w:pPr>
              <w:spacing w:after="0"/>
              <w:jc w:val="center"/>
              <w:rPr>
                <w:sz w:val="18"/>
                <w:szCs w:val="18"/>
              </w:rPr>
            </w:pPr>
            <w:r w:rsidRPr="7A495620">
              <w:rPr>
                <w:sz w:val="18"/>
                <w:szCs w:val="18"/>
              </w:rPr>
              <w:t>2021. I-III. hó tény</w:t>
            </w:r>
            <w:r w:rsidR="30891728">
              <w:br/>
            </w:r>
            <w:r w:rsidRPr="7A495620">
              <w:rPr>
                <w:sz w:val="18"/>
                <w:szCs w:val="18"/>
              </w:rPr>
              <w:t>milliárd forintban</w:t>
            </w:r>
            <w:r w:rsidR="30891728">
              <w:br/>
            </w:r>
            <w:r w:rsidRPr="7A495620">
              <w:rPr>
                <w:sz w:val="18"/>
                <w:szCs w:val="18"/>
              </w:rPr>
              <w:t>(4)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4757ED22" w14:textId="77777777" w:rsidR="00016501" w:rsidRPr="00016501" w:rsidRDefault="7A495620" w:rsidP="7A495620">
            <w:pPr>
              <w:spacing w:after="0"/>
              <w:jc w:val="center"/>
              <w:rPr>
                <w:sz w:val="18"/>
                <w:szCs w:val="18"/>
              </w:rPr>
            </w:pPr>
            <w:r w:rsidRPr="7A495620">
              <w:rPr>
                <w:sz w:val="18"/>
                <w:szCs w:val="18"/>
              </w:rPr>
              <w:t>előirányzat=</w:t>
            </w:r>
            <w:r w:rsidR="30891728">
              <w:br/>
            </w:r>
            <w:r w:rsidRPr="7A495620">
              <w:rPr>
                <w:sz w:val="18"/>
                <w:szCs w:val="18"/>
              </w:rPr>
              <w:t>100%</w:t>
            </w:r>
            <w:r w:rsidR="30891728">
              <w:br/>
            </w:r>
            <w:r w:rsidRPr="7A495620">
              <w:rPr>
                <w:sz w:val="18"/>
                <w:szCs w:val="18"/>
              </w:rPr>
              <w:t>Index (%)</w:t>
            </w:r>
            <w:r w:rsidR="30891728">
              <w:br/>
            </w:r>
            <w:r w:rsidRPr="7A495620">
              <w:rPr>
                <w:sz w:val="18"/>
                <w:szCs w:val="18"/>
              </w:rPr>
              <w:t>(4/3)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14:paraId="1330FD7B" w14:textId="77777777" w:rsidR="00016501" w:rsidRPr="00016501" w:rsidRDefault="7A495620" w:rsidP="7A495620">
            <w:pPr>
              <w:spacing w:after="0"/>
              <w:jc w:val="center"/>
              <w:rPr>
                <w:sz w:val="18"/>
                <w:szCs w:val="18"/>
              </w:rPr>
            </w:pPr>
            <w:r w:rsidRPr="7A495620">
              <w:rPr>
                <w:sz w:val="18"/>
                <w:szCs w:val="18"/>
              </w:rPr>
              <w:t>előző év=</w:t>
            </w:r>
            <w:r w:rsidR="30891728">
              <w:br/>
            </w:r>
            <w:r w:rsidRPr="7A495620">
              <w:rPr>
                <w:sz w:val="18"/>
                <w:szCs w:val="18"/>
              </w:rPr>
              <w:t>100%</w:t>
            </w:r>
            <w:r w:rsidR="30891728">
              <w:br/>
            </w:r>
            <w:r w:rsidRPr="7A495620">
              <w:rPr>
                <w:sz w:val="18"/>
                <w:szCs w:val="18"/>
              </w:rPr>
              <w:t>Index (%)</w:t>
            </w:r>
            <w:r w:rsidR="30891728">
              <w:br/>
            </w:r>
            <w:r w:rsidRPr="7A495620">
              <w:rPr>
                <w:sz w:val="18"/>
                <w:szCs w:val="18"/>
              </w:rPr>
              <w:t>(4/2)</w:t>
            </w:r>
          </w:p>
        </w:tc>
      </w:tr>
      <w:tr w:rsidR="00016501" w:rsidRPr="00016501" w14:paraId="6FC3C4CF" w14:textId="77777777" w:rsidTr="7A495620">
        <w:trPr>
          <w:trHeight w:val="72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16D2D15C" w14:textId="77777777" w:rsidR="00016501" w:rsidRPr="00016501" w:rsidRDefault="7A495620" w:rsidP="7A495620">
            <w:pPr>
              <w:spacing w:after="0"/>
              <w:jc w:val="left"/>
              <w:rPr>
                <w:b/>
                <w:bCs/>
                <w:sz w:val="18"/>
                <w:szCs w:val="18"/>
              </w:rPr>
            </w:pPr>
            <w:r w:rsidRPr="7A495620">
              <w:rPr>
                <w:b/>
                <w:bCs/>
                <w:sz w:val="18"/>
                <w:szCs w:val="18"/>
              </w:rPr>
              <w:t>Központi költségvetés egyenlege</w:t>
            </w:r>
          </w:p>
        </w:tc>
        <w:tc>
          <w:tcPr>
            <w:tcW w:w="1180" w:type="dxa"/>
            <w:tcBorders>
              <w:top w:val="nil"/>
              <w:left w:val="nil"/>
              <w:bottom w:val="single" w:sz="4" w:space="0" w:color="auto"/>
              <w:right w:val="single" w:sz="4" w:space="0" w:color="auto"/>
            </w:tcBorders>
            <w:shd w:val="clear" w:color="auto" w:fill="auto"/>
            <w:noWrap/>
            <w:vAlign w:val="bottom"/>
            <w:hideMark/>
          </w:tcPr>
          <w:p w14:paraId="30B66674" w14:textId="77777777" w:rsidR="00016501" w:rsidRPr="00016501" w:rsidRDefault="7A495620" w:rsidP="7A495620">
            <w:pPr>
              <w:spacing w:after="0"/>
              <w:jc w:val="right"/>
              <w:rPr>
                <w:b/>
                <w:bCs/>
                <w:sz w:val="18"/>
                <w:szCs w:val="18"/>
              </w:rPr>
            </w:pPr>
            <w:r w:rsidRPr="7A495620">
              <w:rPr>
                <w:b/>
                <w:bCs/>
                <w:sz w:val="18"/>
                <w:szCs w:val="18"/>
              </w:rPr>
              <w:t xml:space="preserve">-4 953,5 </w:t>
            </w:r>
          </w:p>
        </w:tc>
        <w:tc>
          <w:tcPr>
            <w:tcW w:w="1180" w:type="dxa"/>
            <w:tcBorders>
              <w:top w:val="nil"/>
              <w:left w:val="nil"/>
              <w:bottom w:val="single" w:sz="4" w:space="0" w:color="auto"/>
              <w:right w:val="single" w:sz="4" w:space="0" w:color="auto"/>
            </w:tcBorders>
            <w:shd w:val="clear" w:color="auto" w:fill="auto"/>
            <w:noWrap/>
            <w:vAlign w:val="bottom"/>
            <w:hideMark/>
          </w:tcPr>
          <w:p w14:paraId="6085342D" w14:textId="77777777" w:rsidR="00016501" w:rsidRPr="00016501" w:rsidRDefault="7A495620" w:rsidP="7A495620">
            <w:pPr>
              <w:spacing w:after="0"/>
              <w:jc w:val="right"/>
              <w:rPr>
                <w:b/>
                <w:bCs/>
                <w:sz w:val="18"/>
                <w:szCs w:val="18"/>
              </w:rPr>
            </w:pPr>
            <w:r w:rsidRPr="7A495620">
              <w:rPr>
                <w:b/>
                <w:bCs/>
                <w:sz w:val="18"/>
                <w:szCs w:val="18"/>
              </w:rPr>
              <w:t xml:space="preserve">-746,7 </w:t>
            </w:r>
          </w:p>
        </w:tc>
        <w:tc>
          <w:tcPr>
            <w:tcW w:w="1020" w:type="dxa"/>
            <w:tcBorders>
              <w:top w:val="nil"/>
              <w:left w:val="nil"/>
              <w:bottom w:val="single" w:sz="4" w:space="0" w:color="auto"/>
              <w:right w:val="single" w:sz="4" w:space="0" w:color="auto"/>
            </w:tcBorders>
            <w:shd w:val="clear" w:color="auto" w:fill="auto"/>
            <w:noWrap/>
            <w:vAlign w:val="bottom"/>
            <w:hideMark/>
          </w:tcPr>
          <w:p w14:paraId="712F797D" w14:textId="77777777" w:rsidR="00016501" w:rsidRPr="00016501" w:rsidRDefault="7A495620" w:rsidP="7A495620">
            <w:pPr>
              <w:spacing w:after="0"/>
              <w:jc w:val="right"/>
              <w:rPr>
                <w:sz w:val="18"/>
                <w:szCs w:val="18"/>
              </w:rPr>
            </w:pPr>
            <w:r w:rsidRPr="7A495620">
              <w:rPr>
                <w:sz w:val="18"/>
                <w:szCs w:val="18"/>
              </w:rPr>
              <w:t xml:space="preserve">15,1 </w:t>
            </w:r>
          </w:p>
        </w:tc>
        <w:tc>
          <w:tcPr>
            <w:tcW w:w="1180" w:type="dxa"/>
            <w:tcBorders>
              <w:top w:val="nil"/>
              <w:left w:val="nil"/>
              <w:bottom w:val="single" w:sz="4" w:space="0" w:color="auto"/>
              <w:right w:val="single" w:sz="4" w:space="0" w:color="auto"/>
            </w:tcBorders>
            <w:shd w:val="clear" w:color="auto" w:fill="auto"/>
            <w:noWrap/>
            <w:vAlign w:val="bottom"/>
            <w:hideMark/>
          </w:tcPr>
          <w:p w14:paraId="455493C4" w14:textId="77777777" w:rsidR="00016501" w:rsidRPr="00016501" w:rsidRDefault="7A495620" w:rsidP="7A495620">
            <w:pPr>
              <w:spacing w:after="0"/>
              <w:jc w:val="right"/>
              <w:rPr>
                <w:b/>
                <w:bCs/>
                <w:sz w:val="18"/>
                <w:szCs w:val="18"/>
              </w:rPr>
            </w:pPr>
            <w:r w:rsidRPr="7A495620">
              <w:rPr>
                <w:b/>
                <w:bCs/>
                <w:sz w:val="18"/>
                <w:szCs w:val="18"/>
              </w:rPr>
              <w:t xml:space="preserve">-1 388,7 </w:t>
            </w:r>
          </w:p>
        </w:tc>
        <w:tc>
          <w:tcPr>
            <w:tcW w:w="1180" w:type="dxa"/>
            <w:tcBorders>
              <w:top w:val="nil"/>
              <w:left w:val="nil"/>
              <w:bottom w:val="single" w:sz="4" w:space="0" w:color="auto"/>
              <w:right w:val="single" w:sz="4" w:space="0" w:color="auto"/>
            </w:tcBorders>
            <w:shd w:val="clear" w:color="auto" w:fill="auto"/>
            <w:noWrap/>
            <w:vAlign w:val="bottom"/>
            <w:hideMark/>
          </w:tcPr>
          <w:p w14:paraId="58B59A7F" w14:textId="77777777" w:rsidR="00016501" w:rsidRPr="00016501" w:rsidRDefault="7A495620" w:rsidP="7A495620">
            <w:pPr>
              <w:spacing w:after="0"/>
              <w:jc w:val="right"/>
              <w:rPr>
                <w:b/>
                <w:bCs/>
                <w:sz w:val="18"/>
                <w:szCs w:val="18"/>
              </w:rPr>
            </w:pPr>
            <w:r w:rsidRPr="7A495620">
              <w:rPr>
                <w:b/>
                <w:bCs/>
                <w:sz w:val="18"/>
                <w:szCs w:val="18"/>
              </w:rPr>
              <w:t xml:space="preserve">-943,0 </w:t>
            </w:r>
          </w:p>
        </w:tc>
        <w:tc>
          <w:tcPr>
            <w:tcW w:w="1020" w:type="dxa"/>
            <w:tcBorders>
              <w:top w:val="nil"/>
              <w:left w:val="nil"/>
              <w:bottom w:val="single" w:sz="4" w:space="0" w:color="auto"/>
              <w:right w:val="single" w:sz="4" w:space="0" w:color="auto"/>
            </w:tcBorders>
            <w:shd w:val="clear" w:color="auto" w:fill="auto"/>
            <w:noWrap/>
            <w:vAlign w:val="bottom"/>
            <w:hideMark/>
          </w:tcPr>
          <w:p w14:paraId="49F4E13D" w14:textId="77777777" w:rsidR="00016501" w:rsidRPr="00016501" w:rsidRDefault="7A495620" w:rsidP="7A495620">
            <w:pPr>
              <w:spacing w:after="0"/>
              <w:jc w:val="right"/>
              <w:rPr>
                <w:sz w:val="18"/>
                <w:szCs w:val="18"/>
              </w:rPr>
            </w:pPr>
            <w:r w:rsidRPr="7A495620">
              <w:rPr>
                <w:sz w:val="18"/>
                <w:szCs w:val="18"/>
              </w:rPr>
              <w:t xml:space="preserve">67,9 </w:t>
            </w:r>
          </w:p>
        </w:tc>
        <w:tc>
          <w:tcPr>
            <w:tcW w:w="1000" w:type="dxa"/>
            <w:tcBorders>
              <w:top w:val="nil"/>
              <w:left w:val="nil"/>
              <w:bottom w:val="single" w:sz="4" w:space="0" w:color="auto"/>
              <w:right w:val="single" w:sz="4" w:space="0" w:color="auto"/>
            </w:tcBorders>
            <w:shd w:val="clear" w:color="auto" w:fill="auto"/>
            <w:noWrap/>
            <w:vAlign w:val="bottom"/>
            <w:hideMark/>
          </w:tcPr>
          <w:p w14:paraId="5271B89A" w14:textId="77777777" w:rsidR="00016501" w:rsidRPr="00016501" w:rsidRDefault="7A495620" w:rsidP="7A495620">
            <w:pPr>
              <w:spacing w:after="0"/>
              <w:jc w:val="right"/>
              <w:rPr>
                <w:sz w:val="18"/>
                <w:szCs w:val="18"/>
              </w:rPr>
            </w:pPr>
            <w:r w:rsidRPr="7A495620">
              <w:rPr>
                <w:sz w:val="18"/>
                <w:szCs w:val="18"/>
              </w:rPr>
              <w:t xml:space="preserve">126,3 </w:t>
            </w:r>
          </w:p>
        </w:tc>
      </w:tr>
      <w:tr w:rsidR="00016501" w:rsidRPr="00016501" w14:paraId="0E6E8AA4" w14:textId="77777777" w:rsidTr="7A495620">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462235F" w14:textId="77777777" w:rsidR="00016501" w:rsidRPr="00016501" w:rsidRDefault="7A495620" w:rsidP="7A495620">
            <w:pPr>
              <w:spacing w:after="0"/>
              <w:jc w:val="right"/>
              <w:rPr>
                <w:sz w:val="18"/>
                <w:szCs w:val="18"/>
              </w:rPr>
            </w:pPr>
            <w:r w:rsidRPr="7A49562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03F3DC31" w14:textId="77777777" w:rsidR="00016501" w:rsidRPr="00016501" w:rsidRDefault="7A495620" w:rsidP="7A495620">
            <w:pPr>
              <w:spacing w:after="0"/>
              <w:jc w:val="right"/>
              <w:rPr>
                <w:sz w:val="18"/>
                <w:szCs w:val="18"/>
              </w:rPr>
            </w:pPr>
            <w:r w:rsidRPr="7A495620">
              <w:rPr>
                <w:sz w:val="18"/>
                <w:szCs w:val="18"/>
              </w:rPr>
              <w:t xml:space="preserve">16 116,2 </w:t>
            </w:r>
          </w:p>
        </w:tc>
        <w:tc>
          <w:tcPr>
            <w:tcW w:w="1180" w:type="dxa"/>
            <w:tcBorders>
              <w:top w:val="nil"/>
              <w:left w:val="nil"/>
              <w:bottom w:val="single" w:sz="4" w:space="0" w:color="auto"/>
              <w:right w:val="single" w:sz="4" w:space="0" w:color="auto"/>
            </w:tcBorders>
            <w:shd w:val="clear" w:color="auto" w:fill="auto"/>
            <w:noWrap/>
            <w:vAlign w:val="bottom"/>
            <w:hideMark/>
          </w:tcPr>
          <w:p w14:paraId="3D52EDC3" w14:textId="77777777" w:rsidR="00016501" w:rsidRPr="00016501" w:rsidRDefault="7A495620" w:rsidP="7A495620">
            <w:pPr>
              <w:spacing w:after="0"/>
              <w:jc w:val="right"/>
              <w:rPr>
                <w:sz w:val="18"/>
                <w:szCs w:val="18"/>
              </w:rPr>
            </w:pPr>
            <w:r w:rsidRPr="7A495620">
              <w:rPr>
                <w:sz w:val="18"/>
                <w:szCs w:val="18"/>
              </w:rPr>
              <w:t xml:space="preserve">3 627,7 </w:t>
            </w:r>
          </w:p>
        </w:tc>
        <w:tc>
          <w:tcPr>
            <w:tcW w:w="1020" w:type="dxa"/>
            <w:tcBorders>
              <w:top w:val="nil"/>
              <w:left w:val="nil"/>
              <w:bottom w:val="single" w:sz="4" w:space="0" w:color="auto"/>
              <w:right w:val="single" w:sz="4" w:space="0" w:color="auto"/>
            </w:tcBorders>
            <w:shd w:val="clear" w:color="auto" w:fill="auto"/>
            <w:noWrap/>
            <w:vAlign w:val="bottom"/>
            <w:hideMark/>
          </w:tcPr>
          <w:p w14:paraId="317820E4" w14:textId="77777777" w:rsidR="00016501" w:rsidRPr="00016501" w:rsidRDefault="7A495620" w:rsidP="7A495620">
            <w:pPr>
              <w:spacing w:after="0"/>
              <w:jc w:val="right"/>
              <w:rPr>
                <w:sz w:val="18"/>
                <w:szCs w:val="18"/>
              </w:rPr>
            </w:pPr>
            <w:r w:rsidRPr="7A495620">
              <w:rPr>
                <w:sz w:val="18"/>
                <w:szCs w:val="18"/>
              </w:rPr>
              <w:t xml:space="preserve">22,5 </w:t>
            </w:r>
          </w:p>
        </w:tc>
        <w:tc>
          <w:tcPr>
            <w:tcW w:w="1180" w:type="dxa"/>
            <w:tcBorders>
              <w:top w:val="nil"/>
              <w:left w:val="nil"/>
              <w:bottom w:val="single" w:sz="4" w:space="0" w:color="auto"/>
              <w:right w:val="single" w:sz="4" w:space="0" w:color="auto"/>
            </w:tcBorders>
            <w:shd w:val="clear" w:color="auto" w:fill="auto"/>
            <w:noWrap/>
            <w:vAlign w:val="bottom"/>
            <w:hideMark/>
          </w:tcPr>
          <w:p w14:paraId="68929681" w14:textId="77777777" w:rsidR="00016501" w:rsidRPr="00016501" w:rsidRDefault="7A495620" w:rsidP="7A495620">
            <w:pPr>
              <w:spacing w:after="0"/>
              <w:jc w:val="right"/>
              <w:rPr>
                <w:sz w:val="18"/>
                <w:szCs w:val="18"/>
              </w:rPr>
            </w:pPr>
            <w:r w:rsidRPr="7A495620">
              <w:rPr>
                <w:sz w:val="18"/>
                <w:szCs w:val="18"/>
              </w:rPr>
              <w:t xml:space="preserve">14 629,4 </w:t>
            </w:r>
          </w:p>
        </w:tc>
        <w:tc>
          <w:tcPr>
            <w:tcW w:w="1180" w:type="dxa"/>
            <w:tcBorders>
              <w:top w:val="nil"/>
              <w:left w:val="nil"/>
              <w:bottom w:val="single" w:sz="4" w:space="0" w:color="auto"/>
              <w:right w:val="single" w:sz="4" w:space="0" w:color="auto"/>
            </w:tcBorders>
            <w:shd w:val="clear" w:color="auto" w:fill="auto"/>
            <w:noWrap/>
            <w:vAlign w:val="bottom"/>
            <w:hideMark/>
          </w:tcPr>
          <w:p w14:paraId="5AA4BE3C" w14:textId="77777777" w:rsidR="00016501" w:rsidRPr="00016501" w:rsidRDefault="7A495620" w:rsidP="7A495620">
            <w:pPr>
              <w:spacing w:after="0"/>
              <w:jc w:val="right"/>
              <w:rPr>
                <w:sz w:val="18"/>
                <w:szCs w:val="18"/>
              </w:rPr>
            </w:pPr>
            <w:r w:rsidRPr="7A495620">
              <w:rPr>
                <w:sz w:val="18"/>
                <w:szCs w:val="18"/>
              </w:rPr>
              <w:t xml:space="preserve">3 970,9 </w:t>
            </w:r>
          </w:p>
        </w:tc>
        <w:tc>
          <w:tcPr>
            <w:tcW w:w="1020" w:type="dxa"/>
            <w:tcBorders>
              <w:top w:val="nil"/>
              <w:left w:val="nil"/>
              <w:bottom w:val="single" w:sz="4" w:space="0" w:color="auto"/>
              <w:right w:val="single" w:sz="4" w:space="0" w:color="auto"/>
            </w:tcBorders>
            <w:shd w:val="clear" w:color="auto" w:fill="auto"/>
            <w:noWrap/>
            <w:vAlign w:val="bottom"/>
            <w:hideMark/>
          </w:tcPr>
          <w:p w14:paraId="7D22E8CC" w14:textId="77777777" w:rsidR="00016501" w:rsidRPr="00016501" w:rsidRDefault="7A495620" w:rsidP="7A495620">
            <w:pPr>
              <w:spacing w:after="0"/>
              <w:jc w:val="right"/>
              <w:rPr>
                <w:sz w:val="18"/>
                <w:szCs w:val="18"/>
              </w:rPr>
            </w:pPr>
            <w:r w:rsidRPr="7A495620">
              <w:rPr>
                <w:sz w:val="18"/>
                <w:szCs w:val="18"/>
              </w:rPr>
              <w:t xml:space="preserve">27,1 </w:t>
            </w:r>
          </w:p>
        </w:tc>
        <w:tc>
          <w:tcPr>
            <w:tcW w:w="1000" w:type="dxa"/>
            <w:tcBorders>
              <w:top w:val="nil"/>
              <w:left w:val="nil"/>
              <w:bottom w:val="single" w:sz="4" w:space="0" w:color="auto"/>
              <w:right w:val="single" w:sz="4" w:space="0" w:color="auto"/>
            </w:tcBorders>
            <w:shd w:val="clear" w:color="auto" w:fill="auto"/>
            <w:noWrap/>
            <w:vAlign w:val="bottom"/>
            <w:hideMark/>
          </w:tcPr>
          <w:p w14:paraId="3F49D49E" w14:textId="77777777" w:rsidR="00016501" w:rsidRPr="00016501" w:rsidRDefault="7A495620" w:rsidP="7A495620">
            <w:pPr>
              <w:spacing w:after="0"/>
              <w:jc w:val="right"/>
              <w:rPr>
                <w:sz w:val="18"/>
                <w:szCs w:val="18"/>
              </w:rPr>
            </w:pPr>
            <w:r w:rsidRPr="7A495620">
              <w:rPr>
                <w:sz w:val="18"/>
                <w:szCs w:val="18"/>
              </w:rPr>
              <w:t xml:space="preserve">109,5 </w:t>
            </w:r>
          </w:p>
        </w:tc>
      </w:tr>
      <w:tr w:rsidR="00016501" w:rsidRPr="00016501" w14:paraId="1B1ECAF8" w14:textId="77777777" w:rsidTr="7A495620">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1C975DE" w14:textId="77777777" w:rsidR="00016501" w:rsidRPr="00016501" w:rsidRDefault="7A495620" w:rsidP="7A495620">
            <w:pPr>
              <w:spacing w:after="0"/>
              <w:jc w:val="right"/>
              <w:rPr>
                <w:sz w:val="18"/>
                <w:szCs w:val="18"/>
              </w:rPr>
            </w:pPr>
            <w:r w:rsidRPr="7A49562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68BB99A4" w14:textId="77777777" w:rsidR="00016501" w:rsidRPr="00016501" w:rsidRDefault="7A495620" w:rsidP="7A495620">
            <w:pPr>
              <w:spacing w:after="0"/>
              <w:jc w:val="right"/>
              <w:rPr>
                <w:sz w:val="18"/>
                <w:szCs w:val="18"/>
              </w:rPr>
            </w:pPr>
            <w:r w:rsidRPr="7A495620">
              <w:rPr>
                <w:sz w:val="18"/>
                <w:szCs w:val="18"/>
              </w:rPr>
              <w:t xml:space="preserve">21 069,7 </w:t>
            </w:r>
          </w:p>
        </w:tc>
        <w:tc>
          <w:tcPr>
            <w:tcW w:w="1180" w:type="dxa"/>
            <w:tcBorders>
              <w:top w:val="nil"/>
              <w:left w:val="nil"/>
              <w:bottom w:val="single" w:sz="4" w:space="0" w:color="auto"/>
              <w:right w:val="single" w:sz="4" w:space="0" w:color="auto"/>
            </w:tcBorders>
            <w:shd w:val="clear" w:color="auto" w:fill="auto"/>
            <w:noWrap/>
            <w:vAlign w:val="bottom"/>
            <w:hideMark/>
          </w:tcPr>
          <w:p w14:paraId="00021A2C" w14:textId="77777777" w:rsidR="00016501" w:rsidRPr="00016501" w:rsidRDefault="7A495620" w:rsidP="7A495620">
            <w:pPr>
              <w:spacing w:after="0"/>
              <w:jc w:val="right"/>
              <w:rPr>
                <w:sz w:val="18"/>
                <w:szCs w:val="18"/>
              </w:rPr>
            </w:pPr>
            <w:r w:rsidRPr="7A495620">
              <w:rPr>
                <w:sz w:val="18"/>
                <w:szCs w:val="18"/>
              </w:rPr>
              <w:t xml:space="preserve">4 374,4 </w:t>
            </w:r>
          </w:p>
        </w:tc>
        <w:tc>
          <w:tcPr>
            <w:tcW w:w="1020" w:type="dxa"/>
            <w:tcBorders>
              <w:top w:val="nil"/>
              <w:left w:val="nil"/>
              <w:bottom w:val="single" w:sz="4" w:space="0" w:color="auto"/>
              <w:right w:val="single" w:sz="4" w:space="0" w:color="auto"/>
            </w:tcBorders>
            <w:shd w:val="clear" w:color="auto" w:fill="auto"/>
            <w:noWrap/>
            <w:vAlign w:val="bottom"/>
            <w:hideMark/>
          </w:tcPr>
          <w:p w14:paraId="6BB2CB8B" w14:textId="77777777" w:rsidR="00016501" w:rsidRPr="00016501" w:rsidRDefault="7A495620" w:rsidP="7A495620">
            <w:pPr>
              <w:spacing w:after="0"/>
              <w:jc w:val="right"/>
              <w:rPr>
                <w:sz w:val="18"/>
                <w:szCs w:val="18"/>
              </w:rPr>
            </w:pPr>
            <w:r w:rsidRPr="7A495620">
              <w:rPr>
                <w:sz w:val="18"/>
                <w:szCs w:val="18"/>
              </w:rPr>
              <w:t xml:space="preserve">20,8 </w:t>
            </w:r>
          </w:p>
        </w:tc>
        <w:tc>
          <w:tcPr>
            <w:tcW w:w="1180" w:type="dxa"/>
            <w:tcBorders>
              <w:top w:val="nil"/>
              <w:left w:val="nil"/>
              <w:bottom w:val="single" w:sz="4" w:space="0" w:color="auto"/>
              <w:right w:val="single" w:sz="4" w:space="0" w:color="auto"/>
            </w:tcBorders>
            <w:shd w:val="clear" w:color="auto" w:fill="auto"/>
            <w:noWrap/>
            <w:vAlign w:val="bottom"/>
            <w:hideMark/>
          </w:tcPr>
          <w:p w14:paraId="4537913A" w14:textId="77777777" w:rsidR="00016501" w:rsidRPr="00016501" w:rsidRDefault="7A495620" w:rsidP="7A495620">
            <w:pPr>
              <w:spacing w:after="0"/>
              <w:jc w:val="right"/>
              <w:rPr>
                <w:sz w:val="18"/>
                <w:szCs w:val="18"/>
              </w:rPr>
            </w:pPr>
            <w:r w:rsidRPr="7A495620">
              <w:rPr>
                <w:sz w:val="18"/>
                <w:szCs w:val="18"/>
              </w:rPr>
              <w:t xml:space="preserve">16 018,1 </w:t>
            </w:r>
          </w:p>
        </w:tc>
        <w:tc>
          <w:tcPr>
            <w:tcW w:w="1180" w:type="dxa"/>
            <w:tcBorders>
              <w:top w:val="nil"/>
              <w:left w:val="nil"/>
              <w:bottom w:val="single" w:sz="4" w:space="0" w:color="auto"/>
              <w:right w:val="single" w:sz="4" w:space="0" w:color="auto"/>
            </w:tcBorders>
            <w:shd w:val="clear" w:color="auto" w:fill="auto"/>
            <w:noWrap/>
            <w:vAlign w:val="bottom"/>
            <w:hideMark/>
          </w:tcPr>
          <w:p w14:paraId="7FCB3DC0" w14:textId="77777777" w:rsidR="00016501" w:rsidRPr="00016501" w:rsidRDefault="7A495620" w:rsidP="7A495620">
            <w:pPr>
              <w:spacing w:after="0"/>
              <w:jc w:val="right"/>
              <w:rPr>
                <w:sz w:val="18"/>
                <w:szCs w:val="18"/>
              </w:rPr>
            </w:pPr>
            <w:r w:rsidRPr="7A495620">
              <w:rPr>
                <w:sz w:val="18"/>
                <w:szCs w:val="18"/>
              </w:rPr>
              <w:t xml:space="preserve">4 913,9 </w:t>
            </w:r>
          </w:p>
        </w:tc>
        <w:tc>
          <w:tcPr>
            <w:tcW w:w="1020" w:type="dxa"/>
            <w:tcBorders>
              <w:top w:val="nil"/>
              <w:left w:val="nil"/>
              <w:bottom w:val="single" w:sz="4" w:space="0" w:color="auto"/>
              <w:right w:val="single" w:sz="4" w:space="0" w:color="auto"/>
            </w:tcBorders>
            <w:shd w:val="clear" w:color="auto" w:fill="auto"/>
            <w:noWrap/>
            <w:vAlign w:val="bottom"/>
            <w:hideMark/>
          </w:tcPr>
          <w:p w14:paraId="330CED3B" w14:textId="77777777" w:rsidR="00016501" w:rsidRPr="00016501" w:rsidRDefault="7A495620" w:rsidP="7A495620">
            <w:pPr>
              <w:spacing w:after="0"/>
              <w:jc w:val="right"/>
              <w:rPr>
                <w:sz w:val="18"/>
                <w:szCs w:val="18"/>
              </w:rPr>
            </w:pPr>
            <w:r w:rsidRPr="7A495620">
              <w:rPr>
                <w:sz w:val="18"/>
                <w:szCs w:val="18"/>
              </w:rPr>
              <w:t xml:space="preserve">30,7 </w:t>
            </w:r>
          </w:p>
        </w:tc>
        <w:tc>
          <w:tcPr>
            <w:tcW w:w="1000" w:type="dxa"/>
            <w:tcBorders>
              <w:top w:val="nil"/>
              <w:left w:val="nil"/>
              <w:bottom w:val="single" w:sz="4" w:space="0" w:color="auto"/>
              <w:right w:val="single" w:sz="4" w:space="0" w:color="auto"/>
            </w:tcBorders>
            <w:shd w:val="clear" w:color="auto" w:fill="auto"/>
            <w:noWrap/>
            <w:vAlign w:val="bottom"/>
            <w:hideMark/>
          </w:tcPr>
          <w:p w14:paraId="11F5BB4A" w14:textId="77777777" w:rsidR="00016501" w:rsidRPr="00016501" w:rsidRDefault="7A495620" w:rsidP="7A495620">
            <w:pPr>
              <w:spacing w:after="0"/>
              <w:jc w:val="right"/>
              <w:rPr>
                <w:sz w:val="18"/>
                <w:szCs w:val="18"/>
              </w:rPr>
            </w:pPr>
            <w:r w:rsidRPr="7A495620">
              <w:rPr>
                <w:sz w:val="18"/>
                <w:szCs w:val="18"/>
              </w:rPr>
              <w:t xml:space="preserve">112,3 </w:t>
            </w:r>
          </w:p>
        </w:tc>
      </w:tr>
      <w:tr w:rsidR="00016501" w:rsidRPr="00016501" w14:paraId="0CE62A53" w14:textId="77777777" w:rsidTr="7A495620">
        <w:trPr>
          <w:trHeight w:val="72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075D51B5" w14:textId="77777777" w:rsidR="00016501" w:rsidRPr="00016501" w:rsidRDefault="7A495620" w:rsidP="7A495620">
            <w:pPr>
              <w:spacing w:after="0"/>
              <w:jc w:val="left"/>
              <w:rPr>
                <w:b/>
                <w:bCs/>
                <w:sz w:val="18"/>
                <w:szCs w:val="18"/>
              </w:rPr>
            </w:pPr>
            <w:r w:rsidRPr="7A495620">
              <w:rPr>
                <w:b/>
                <w:bCs/>
                <w:sz w:val="18"/>
                <w:szCs w:val="18"/>
              </w:rPr>
              <w:t>Elkülönített állami pénzalapok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2214366B" w14:textId="77777777" w:rsidR="00016501" w:rsidRPr="00016501" w:rsidRDefault="7A495620" w:rsidP="7A495620">
            <w:pPr>
              <w:spacing w:after="0"/>
              <w:jc w:val="right"/>
              <w:rPr>
                <w:b/>
                <w:bCs/>
                <w:sz w:val="18"/>
                <w:szCs w:val="18"/>
              </w:rPr>
            </w:pPr>
            <w:r w:rsidRPr="7A495620">
              <w:rPr>
                <w:b/>
                <w:bCs/>
                <w:sz w:val="18"/>
                <w:szCs w:val="18"/>
              </w:rPr>
              <w:t xml:space="preserve">46,7 </w:t>
            </w:r>
          </w:p>
        </w:tc>
        <w:tc>
          <w:tcPr>
            <w:tcW w:w="1180" w:type="dxa"/>
            <w:tcBorders>
              <w:top w:val="nil"/>
              <w:left w:val="nil"/>
              <w:bottom w:val="single" w:sz="4" w:space="0" w:color="auto"/>
              <w:right w:val="single" w:sz="4" w:space="0" w:color="auto"/>
            </w:tcBorders>
            <w:shd w:val="clear" w:color="auto" w:fill="auto"/>
            <w:noWrap/>
            <w:vAlign w:val="bottom"/>
            <w:hideMark/>
          </w:tcPr>
          <w:p w14:paraId="7C785A0B" w14:textId="77777777" w:rsidR="00016501" w:rsidRPr="00016501" w:rsidRDefault="7A495620" w:rsidP="7A495620">
            <w:pPr>
              <w:spacing w:after="0"/>
              <w:jc w:val="right"/>
              <w:rPr>
                <w:b/>
                <w:bCs/>
                <w:sz w:val="18"/>
                <w:szCs w:val="18"/>
              </w:rPr>
            </w:pPr>
            <w:r w:rsidRPr="7A495620">
              <w:rPr>
                <w:b/>
                <w:bCs/>
                <w:sz w:val="18"/>
                <w:szCs w:val="18"/>
              </w:rPr>
              <w:t xml:space="preserve">1,7 </w:t>
            </w:r>
          </w:p>
        </w:tc>
        <w:tc>
          <w:tcPr>
            <w:tcW w:w="1020" w:type="dxa"/>
            <w:tcBorders>
              <w:top w:val="nil"/>
              <w:left w:val="nil"/>
              <w:bottom w:val="single" w:sz="4" w:space="0" w:color="auto"/>
              <w:right w:val="single" w:sz="4" w:space="0" w:color="auto"/>
            </w:tcBorders>
            <w:shd w:val="clear" w:color="auto" w:fill="auto"/>
            <w:noWrap/>
            <w:vAlign w:val="bottom"/>
            <w:hideMark/>
          </w:tcPr>
          <w:p w14:paraId="30235A86" w14:textId="77777777" w:rsidR="00016501" w:rsidRPr="00016501" w:rsidRDefault="7A495620" w:rsidP="7A495620">
            <w:pPr>
              <w:spacing w:after="0"/>
              <w:jc w:val="right"/>
              <w:rPr>
                <w:sz w:val="18"/>
                <w:szCs w:val="18"/>
              </w:rPr>
            </w:pPr>
            <w:r w:rsidRPr="7A495620">
              <w:rPr>
                <w:sz w:val="18"/>
                <w:szCs w:val="18"/>
              </w:rPr>
              <w:t xml:space="preserve">3,6 </w:t>
            </w:r>
          </w:p>
        </w:tc>
        <w:tc>
          <w:tcPr>
            <w:tcW w:w="1180" w:type="dxa"/>
            <w:tcBorders>
              <w:top w:val="nil"/>
              <w:left w:val="nil"/>
              <w:bottom w:val="single" w:sz="4" w:space="0" w:color="auto"/>
              <w:right w:val="single" w:sz="4" w:space="0" w:color="auto"/>
            </w:tcBorders>
            <w:shd w:val="clear" w:color="auto" w:fill="auto"/>
            <w:noWrap/>
            <w:vAlign w:val="bottom"/>
            <w:hideMark/>
          </w:tcPr>
          <w:p w14:paraId="57548A30" w14:textId="77777777" w:rsidR="00016501" w:rsidRPr="00016501" w:rsidRDefault="7A495620" w:rsidP="7A495620">
            <w:pPr>
              <w:spacing w:after="0"/>
              <w:jc w:val="right"/>
              <w:rPr>
                <w:b/>
                <w:bCs/>
                <w:sz w:val="18"/>
                <w:szCs w:val="18"/>
              </w:rPr>
            </w:pPr>
            <w:r w:rsidRPr="7A495620">
              <w:rPr>
                <w:b/>
                <w:bCs/>
                <w:sz w:val="18"/>
                <w:szCs w:val="18"/>
              </w:rPr>
              <w:t xml:space="preserve">13,5 </w:t>
            </w:r>
          </w:p>
        </w:tc>
        <w:tc>
          <w:tcPr>
            <w:tcW w:w="1180" w:type="dxa"/>
            <w:tcBorders>
              <w:top w:val="nil"/>
              <w:left w:val="nil"/>
              <w:bottom w:val="single" w:sz="4" w:space="0" w:color="auto"/>
              <w:right w:val="single" w:sz="4" w:space="0" w:color="auto"/>
            </w:tcBorders>
            <w:shd w:val="clear" w:color="auto" w:fill="auto"/>
            <w:noWrap/>
            <w:vAlign w:val="bottom"/>
            <w:hideMark/>
          </w:tcPr>
          <w:p w14:paraId="61464687" w14:textId="77777777" w:rsidR="00016501" w:rsidRPr="00016501" w:rsidRDefault="7A495620" w:rsidP="7A495620">
            <w:pPr>
              <w:spacing w:after="0"/>
              <w:jc w:val="right"/>
              <w:rPr>
                <w:b/>
                <w:bCs/>
                <w:sz w:val="18"/>
                <w:szCs w:val="18"/>
              </w:rPr>
            </w:pPr>
            <w:r w:rsidRPr="7A495620">
              <w:rPr>
                <w:b/>
                <w:bCs/>
                <w:sz w:val="18"/>
                <w:szCs w:val="18"/>
              </w:rPr>
              <w:t xml:space="preserve">-18,4 </w:t>
            </w:r>
          </w:p>
        </w:tc>
        <w:tc>
          <w:tcPr>
            <w:tcW w:w="1020" w:type="dxa"/>
            <w:tcBorders>
              <w:top w:val="nil"/>
              <w:left w:val="nil"/>
              <w:bottom w:val="single" w:sz="4" w:space="0" w:color="auto"/>
              <w:right w:val="single" w:sz="4" w:space="0" w:color="auto"/>
            </w:tcBorders>
            <w:shd w:val="clear" w:color="auto" w:fill="auto"/>
            <w:noWrap/>
            <w:vAlign w:val="bottom"/>
            <w:hideMark/>
          </w:tcPr>
          <w:p w14:paraId="600C82E1" w14:textId="77777777" w:rsidR="00016501" w:rsidRPr="00016501" w:rsidRDefault="7A495620" w:rsidP="7A495620">
            <w:pPr>
              <w:spacing w:after="0"/>
              <w:jc w:val="left"/>
              <w:rPr>
                <w:sz w:val="18"/>
                <w:szCs w:val="18"/>
              </w:rPr>
            </w:pPr>
            <w:r w:rsidRPr="7A495620">
              <w:rPr>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5B05E9C6" w14:textId="77777777" w:rsidR="00016501" w:rsidRPr="00016501" w:rsidRDefault="7A495620" w:rsidP="7A495620">
            <w:pPr>
              <w:spacing w:after="0"/>
              <w:jc w:val="left"/>
              <w:rPr>
                <w:sz w:val="18"/>
                <w:szCs w:val="18"/>
              </w:rPr>
            </w:pPr>
            <w:r w:rsidRPr="7A495620">
              <w:rPr>
                <w:sz w:val="18"/>
                <w:szCs w:val="18"/>
              </w:rPr>
              <w:t> </w:t>
            </w:r>
          </w:p>
        </w:tc>
      </w:tr>
      <w:tr w:rsidR="00016501" w:rsidRPr="00016501" w14:paraId="0F0B242C" w14:textId="77777777" w:rsidTr="7A495620">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4F25A03" w14:textId="77777777" w:rsidR="00016501" w:rsidRPr="00016501" w:rsidRDefault="7A495620" w:rsidP="7A495620">
            <w:pPr>
              <w:spacing w:after="0"/>
              <w:jc w:val="right"/>
              <w:rPr>
                <w:sz w:val="18"/>
                <w:szCs w:val="18"/>
              </w:rPr>
            </w:pPr>
            <w:r w:rsidRPr="7A49562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10741735" w14:textId="77777777" w:rsidR="00016501" w:rsidRPr="00016501" w:rsidRDefault="7A495620" w:rsidP="7A495620">
            <w:pPr>
              <w:spacing w:after="0"/>
              <w:jc w:val="right"/>
              <w:rPr>
                <w:sz w:val="18"/>
                <w:szCs w:val="18"/>
              </w:rPr>
            </w:pPr>
            <w:r w:rsidRPr="7A495620">
              <w:rPr>
                <w:sz w:val="18"/>
                <w:szCs w:val="18"/>
              </w:rPr>
              <w:t xml:space="preserve">848,4 </w:t>
            </w:r>
          </w:p>
        </w:tc>
        <w:tc>
          <w:tcPr>
            <w:tcW w:w="1180" w:type="dxa"/>
            <w:tcBorders>
              <w:top w:val="nil"/>
              <w:left w:val="nil"/>
              <w:bottom w:val="single" w:sz="4" w:space="0" w:color="auto"/>
              <w:right w:val="single" w:sz="4" w:space="0" w:color="auto"/>
            </w:tcBorders>
            <w:shd w:val="clear" w:color="auto" w:fill="auto"/>
            <w:noWrap/>
            <w:vAlign w:val="bottom"/>
            <w:hideMark/>
          </w:tcPr>
          <w:p w14:paraId="50AB184E" w14:textId="77777777" w:rsidR="00016501" w:rsidRPr="00016501" w:rsidRDefault="7A495620" w:rsidP="7A495620">
            <w:pPr>
              <w:spacing w:after="0"/>
              <w:jc w:val="right"/>
              <w:rPr>
                <w:sz w:val="18"/>
                <w:szCs w:val="18"/>
              </w:rPr>
            </w:pPr>
            <w:r w:rsidRPr="7A495620">
              <w:rPr>
                <w:sz w:val="18"/>
                <w:szCs w:val="18"/>
              </w:rPr>
              <w:t xml:space="preserve">139,5 </w:t>
            </w:r>
          </w:p>
        </w:tc>
        <w:tc>
          <w:tcPr>
            <w:tcW w:w="1020" w:type="dxa"/>
            <w:tcBorders>
              <w:top w:val="nil"/>
              <w:left w:val="nil"/>
              <w:bottom w:val="single" w:sz="4" w:space="0" w:color="auto"/>
              <w:right w:val="single" w:sz="4" w:space="0" w:color="auto"/>
            </w:tcBorders>
            <w:shd w:val="clear" w:color="auto" w:fill="auto"/>
            <w:noWrap/>
            <w:vAlign w:val="bottom"/>
            <w:hideMark/>
          </w:tcPr>
          <w:p w14:paraId="4ED05030" w14:textId="77777777" w:rsidR="00016501" w:rsidRPr="00016501" w:rsidRDefault="7A495620" w:rsidP="7A495620">
            <w:pPr>
              <w:spacing w:after="0"/>
              <w:jc w:val="right"/>
              <w:rPr>
                <w:sz w:val="18"/>
                <w:szCs w:val="18"/>
              </w:rPr>
            </w:pPr>
            <w:r w:rsidRPr="7A495620">
              <w:rPr>
                <w:sz w:val="18"/>
                <w:szCs w:val="18"/>
              </w:rPr>
              <w:t xml:space="preserve">16,4 </w:t>
            </w:r>
          </w:p>
        </w:tc>
        <w:tc>
          <w:tcPr>
            <w:tcW w:w="1180" w:type="dxa"/>
            <w:tcBorders>
              <w:top w:val="nil"/>
              <w:left w:val="nil"/>
              <w:bottom w:val="single" w:sz="4" w:space="0" w:color="auto"/>
              <w:right w:val="single" w:sz="4" w:space="0" w:color="auto"/>
            </w:tcBorders>
            <w:shd w:val="clear" w:color="auto" w:fill="auto"/>
            <w:noWrap/>
            <w:vAlign w:val="bottom"/>
            <w:hideMark/>
          </w:tcPr>
          <w:p w14:paraId="28A111D6" w14:textId="77777777" w:rsidR="00016501" w:rsidRPr="00016501" w:rsidRDefault="7A495620" w:rsidP="7A495620">
            <w:pPr>
              <w:spacing w:after="0"/>
              <w:jc w:val="right"/>
              <w:rPr>
                <w:sz w:val="18"/>
                <w:szCs w:val="18"/>
              </w:rPr>
            </w:pPr>
            <w:r w:rsidRPr="7A495620">
              <w:rPr>
                <w:sz w:val="18"/>
                <w:szCs w:val="18"/>
              </w:rPr>
              <w:t xml:space="preserve">626,2 </w:t>
            </w:r>
          </w:p>
        </w:tc>
        <w:tc>
          <w:tcPr>
            <w:tcW w:w="1180" w:type="dxa"/>
            <w:tcBorders>
              <w:top w:val="nil"/>
              <w:left w:val="nil"/>
              <w:bottom w:val="single" w:sz="4" w:space="0" w:color="auto"/>
              <w:right w:val="single" w:sz="4" w:space="0" w:color="auto"/>
            </w:tcBorders>
            <w:shd w:val="clear" w:color="auto" w:fill="auto"/>
            <w:noWrap/>
            <w:vAlign w:val="bottom"/>
            <w:hideMark/>
          </w:tcPr>
          <w:p w14:paraId="463614C3" w14:textId="77777777" w:rsidR="00016501" w:rsidRPr="00016501" w:rsidRDefault="7A495620" w:rsidP="7A495620">
            <w:pPr>
              <w:spacing w:after="0"/>
              <w:jc w:val="right"/>
              <w:rPr>
                <w:sz w:val="18"/>
                <w:szCs w:val="18"/>
              </w:rPr>
            </w:pPr>
            <w:r w:rsidRPr="7A495620">
              <w:rPr>
                <w:sz w:val="18"/>
                <w:szCs w:val="18"/>
              </w:rPr>
              <w:t xml:space="preserve">166,5 </w:t>
            </w:r>
          </w:p>
        </w:tc>
        <w:tc>
          <w:tcPr>
            <w:tcW w:w="1020" w:type="dxa"/>
            <w:tcBorders>
              <w:top w:val="nil"/>
              <w:left w:val="nil"/>
              <w:bottom w:val="single" w:sz="4" w:space="0" w:color="auto"/>
              <w:right w:val="single" w:sz="4" w:space="0" w:color="auto"/>
            </w:tcBorders>
            <w:shd w:val="clear" w:color="auto" w:fill="auto"/>
            <w:noWrap/>
            <w:vAlign w:val="bottom"/>
            <w:hideMark/>
          </w:tcPr>
          <w:p w14:paraId="23C74466" w14:textId="77777777" w:rsidR="00016501" w:rsidRPr="00016501" w:rsidRDefault="7A495620" w:rsidP="7A495620">
            <w:pPr>
              <w:spacing w:after="0"/>
              <w:jc w:val="right"/>
              <w:rPr>
                <w:sz w:val="18"/>
                <w:szCs w:val="18"/>
              </w:rPr>
            </w:pPr>
            <w:r w:rsidRPr="7A495620">
              <w:rPr>
                <w:sz w:val="18"/>
                <w:szCs w:val="18"/>
              </w:rPr>
              <w:t xml:space="preserve">26,6 </w:t>
            </w:r>
          </w:p>
        </w:tc>
        <w:tc>
          <w:tcPr>
            <w:tcW w:w="1000" w:type="dxa"/>
            <w:tcBorders>
              <w:top w:val="nil"/>
              <w:left w:val="nil"/>
              <w:bottom w:val="single" w:sz="4" w:space="0" w:color="auto"/>
              <w:right w:val="single" w:sz="4" w:space="0" w:color="auto"/>
            </w:tcBorders>
            <w:shd w:val="clear" w:color="auto" w:fill="auto"/>
            <w:noWrap/>
            <w:vAlign w:val="bottom"/>
            <w:hideMark/>
          </w:tcPr>
          <w:p w14:paraId="2E97C271" w14:textId="77777777" w:rsidR="00016501" w:rsidRPr="00016501" w:rsidRDefault="7A495620" w:rsidP="7A495620">
            <w:pPr>
              <w:spacing w:after="0"/>
              <w:jc w:val="right"/>
              <w:rPr>
                <w:sz w:val="18"/>
                <w:szCs w:val="18"/>
              </w:rPr>
            </w:pPr>
            <w:r w:rsidRPr="7A495620">
              <w:rPr>
                <w:sz w:val="18"/>
                <w:szCs w:val="18"/>
              </w:rPr>
              <w:t xml:space="preserve">119,4 </w:t>
            </w:r>
          </w:p>
        </w:tc>
      </w:tr>
      <w:tr w:rsidR="00016501" w:rsidRPr="00016501" w14:paraId="74186D9D" w14:textId="77777777" w:rsidTr="7A495620">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39776B86" w14:textId="77777777" w:rsidR="00016501" w:rsidRPr="00016501" w:rsidRDefault="7A495620" w:rsidP="7A495620">
            <w:pPr>
              <w:spacing w:after="0"/>
              <w:jc w:val="right"/>
              <w:rPr>
                <w:sz w:val="18"/>
                <w:szCs w:val="18"/>
              </w:rPr>
            </w:pPr>
            <w:r w:rsidRPr="7A49562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3564CEB8" w14:textId="77777777" w:rsidR="00016501" w:rsidRPr="00016501" w:rsidRDefault="7A495620" w:rsidP="7A495620">
            <w:pPr>
              <w:spacing w:after="0"/>
              <w:jc w:val="right"/>
              <w:rPr>
                <w:sz w:val="18"/>
                <w:szCs w:val="18"/>
              </w:rPr>
            </w:pPr>
            <w:r w:rsidRPr="7A495620">
              <w:rPr>
                <w:sz w:val="18"/>
                <w:szCs w:val="18"/>
              </w:rPr>
              <w:t xml:space="preserve">801,7 </w:t>
            </w:r>
          </w:p>
        </w:tc>
        <w:tc>
          <w:tcPr>
            <w:tcW w:w="1180" w:type="dxa"/>
            <w:tcBorders>
              <w:top w:val="nil"/>
              <w:left w:val="nil"/>
              <w:bottom w:val="single" w:sz="4" w:space="0" w:color="auto"/>
              <w:right w:val="single" w:sz="4" w:space="0" w:color="auto"/>
            </w:tcBorders>
            <w:shd w:val="clear" w:color="auto" w:fill="auto"/>
            <w:noWrap/>
            <w:vAlign w:val="bottom"/>
            <w:hideMark/>
          </w:tcPr>
          <w:p w14:paraId="775B36EA" w14:textId="77777777" w:rsidR="00016501" w:rsidRPr="00016501" w:rsidRDefault="7A495620" w:rsidP="7A495620">
            <w:pPr>
              <w:spacing w:after="0"/>
              <w:jc w:val="right"/>
              <w:rPr>
                <w:sz w:val="18"/>
                <w:szCs w:val="18"/>
              </w:rPr>
            </w:pPr>
            <w:r w:rsidRPr="7A495620">
              <w:rPr>
                <w:sz w:val="18"/>
                <w:szCs w:val="18"/>
              </w:rPr>
              <w:t xml:space="preserve">137,8 </w:t>
            </w:r>
          </w:p>
        </w:tc>
        <w:tc>
          <w:tcPr>
            <w:tcW w:w="1020" w:type="dxa"/>
            <w:tcBorders>
              <w:top w:val="nil"/>
              <w:left w:val="nil"/>
              <w:bottom w:val="single" w:sz="4" w:space="0" w:color="auto"/>
              <w:right w:val="single" w:sz="4" w:space="0" w:color="auto"/>
            </w:tcBorders>
            <w:shd w:val="clear" w:color="auto" w:fill="auto"/>
            <w:noWrap/>
            <w:vAlign w:val="bottom"/>
            <w:hideMark/>
          </w:tcPr>
          <w:p w14:paraId="0156B98E" w14:textId="77777777" w:rsidR="00016501" w:rsidRPr="00016501" w:rsidRDefault="7A495620" w:rsidP="7A495620">
            <w:pPr>
              <w:spacing w:after="0"/>
              <w:jc w:val="right"/>
              <w:rPr>
                <w:sz w:val="18"/>
                <w:szCs w:val="18"/>
              </w:rPr>
            </w:pPr>
            <w:r w:rsidRPr="7A495620">
              <w:rPr>
                <w:sz w:val="18"/>
                <w:szCs w:val="18"/>
              </w:rPr>
              <w:t xml:space="preserve">17,2 </w:t>
            </w:r>
          </w:p>
        </w:tc>
        <w:tc>
          <w:tcPr>
            <w:tcW w:w="1180" w:type="dxa"/>
            <w:tcBorders>
              <w:top w:val="nil"/>
              <w:left w:val="nil"/>
              <w:bottom w:val="single" w:sz="4" w:space="0" w:color="auto"/>
              <w:right w:val="single" w:sz="4" w:space="0" w:color="auto"/>
            </w:tcBorders>
            <w:shd w:val="clear" w:color="auto" w:fill="auto"/>
            <w:noWrap/>
            <w:vAlign w:val="bottom"/>
            <w:hideMark/>
          </w:tcPr>
          <w:p w14:paraId="77192A84" w14:textId="77777777" w:rsidR="00016501" w:rsidRPr="00016501" w:rsidRDefault="7A495620" w:rsidP="7A495620">
            <w:pPr>
              <w:spacing w:after="0"/>
              <w:jc w:val="right"/>
              <w:rPr>
                <w:sz w:val="18"/>
                <w:szCs w:val="18"/>
              </w:rPr>
            </w:pPr>
            <w:r w:rsidRPr="7A495620">
              <w:rPr>
                <w:sz w:val="18"/>
                <w:szCs w:val="18"/>
              </w:rPr>
              <w:t xml:space="preserve">612,7 </w:t>
            </w:r>
          </w:p>
        </w:tc>
        <w:tc>
          <w:tcPr>
            <w:tcW w:w="1180" w:type="dxa"/>
            <w:tcBorders>
              <w:top w:val="nil"/>
              <w:left w:val="nil"/>
              <w:bottom w:val="single" w:sz="4" w:space="0" w:color="auto"/>
              <w:right w:val="single" w:sz="4" w:space="0" w:color="auto"/>
            </w:tcBorders>
            <w:shd w:val="clear" w:color="auto" w:fill="auto"/>
            <w:noWrap/>
            <w:vAlign w:val="bottom"/>
            <w:hideMark/>
          </w:tcPr>
          <w:p w14:paraId="1B80F10F" w14:textId="77777777" w:rsidR="00016501" w:rsidRPr="00016501" w:rsidRDefault="7A495620" w:rsidP="7A495620">
            <w:pPr>
              <w:spacing w:after="0"/>
              <w:jc w:val="right"/>
              <w:rPr>
                <w:sz w:val="18"/>
                <w:szCs w:val="18"/>
              </w:rPr>
            </w:pPr>
            <w:r w:rsidRPr="7A495620">
              <w:rPr>
                <w:sz w:val="18"/>
                <w:szCs w:val="18"/>
              </w:rPr>
              <w:t xml:space="preserve">184,9 </w:t>
            </w:r>
          </w:p>
        </w:tc>
        <w:tc>
          <w:tcPr>
            <w:tcW w:w="1020" w:type="dxa"/>
            <w:tcBorders>
              <w:top w:val="nil"/>
              <w:left w:val="nil"/>
              <w:bottom w:val="single" w:sz="4" w:space="0" w:color="auto"/>
              <w:right w:val="single" w:sz="4" w:space="0" w:color="auto"/>
            </w:tcBorders>
            <w:shd w:val="clear" w:color="auto" w:fill="auto"/>
            <w:noWrap/>
            <w:vAlign w:val="bottom"/>
            <w:hideMark/>
          </w:tcPr>
          <w:p w14:paraId="3CAC8911" w14:textId="77777777" w:rsidR="00016501" w:rsidRPr="00016501" w:rsidRDefault="7A495620" w:rsidP="7A495620">
            <w:pPr>
              <w:spacing w:after="0"/>
              <w:jc w:val="right"/>
              <w:rPr>
                <w:sz w:val="18"/>
                <w:szCs w:val="18"/>
              </w:rPr>
            </w:pPr>
            <w:r w:rsidRPr="7A495620">
              <w:rPr>
                <w:sz w:val="18"/>
                <w:szCs w:val="18"/>
              </w:rPr>
              <w:t xml:space="preserve">30,2 </w:t>
            </w:r>
          </w:p>
        </w:tc>
        <w:tc>
          <w:tcPr>
            <w:tcW w:w="1000" w:type="dxa"/>
            <w:tcBorders>
              <w:top w:val="nil"/>
              <w:left w:val="nil"/>
              <w:bottom w:val="single" w:sz="4" w:space="0" w:color="auto"/>
              <w:right w:val="single" w:sz="4" w:space="0" w:color="auto"/>
            </w:tcBorders>
            <w:shd w:val="clear" w:color="auto" w:fill="auto"/>
            <w:noWrap/>
            <w:vAlign w:val="bottom"/>
            <w:hideMark/>
          </w:tcPr>
          <w:p w14:paraId="421328FE" w14:textId="77777777" w:rsidR="00016501" w:rsidRPr="00016501" w:rsidRDefault="7A495620" w:rsidP="7A495620">
            <w:pPr>
              <w:spacing w:after="0"/>
              <w:jc w:val="right"/>
              <w:rPr>
                <w:sz w:val="18"/>
                <w:szCs w:val="18"/>
              </w:rPr>
            </w:pPr>
            <w:r w:rsidRPr="7A495620">
              <w:rPr>
                <w:sz w:val="18"/>
                <w:szCs w:val="18"/>
              </w:rPr>
              <w:t xml:space="preserve">134,2 </w:t>
            </w:r>
          </w:p>
        </w:tc>
      </w:tr>
      <w:tr w:rsidR="00016501" w:rsidRPr="00016501" w14:paraId="6C4A584F" w14:textId="77777777" w:rsidTr="7A495620">
        <w:trPr>
          <w:trHeight w:val="480"/>
        </w:trPr>
        <w:tc>
          <w:tcPr>
            <w:tcW w:w="1800" w:type="dxa"/>
            <w:tcBorders>
              <w:top w:val="nil"/>
              <w:left w:val="single" w:sz="4" w:space="0" w:color="auto"/>
              <w:bottom w:val="single" w:sz="4" w:space="0" w:color="auto"/>
              <w:right w:val="single" w:sz="4" w:space="0" w:color="auto"/>
            </w:tcBorders>
            <w:shd w:val="clear" w:color="auto" w:fill="auto"/>
            <w:vAlign w:val="center"/>
            <w:hideMark/>
          </w:tcPr>
          <w:p w14:paraId="68321BF7" w14:textId="77777777" w:rsidR="00016501" w:rsidRPr="00016501" w:rsidRDefault="7A495620" w:rsidP="7A495620">
            <w:pPr>
              <w:spacing w:after="0"/>
              <w:jc w:val="left"/>
              <w:rPr>
                <w:b/>
                <w:bCs/>
                <w:sz w:val="18"/>
                <w:szCs w:val="18"/>
              </w:rPr>
            </w:pPr>
            <w:r w:rsidRPr="7A495620">
              <w:rPr>
                <w:b/>
                <w:bCs/>
                <w:sz w:val="18"/>
                <w:szCs w:val="18"/>
              </w:rPr>
              <w:t>Társadalombiztosítási alapok egyenlege</w:t>
            </w:r>
          </w:p>
        </w:tc>
        <w:tc>
          <w:tcPr>
            <w:tcW w:w="1180" w:type="dxa"/>
            <w:tcBorders>
              <w:top w:val="nil"/>
              <w:left w:val="nil"/>
              <w:bottom w:val="single" w:sz="4" w:space="0" w:color="auto"/>
              <w:right w:val="single" w:sz="4" w:space="0" w:color="auto"/>
            </w:tcBorders>
            <w:shd w:val="clear" w:color="auto" w:fill="auto"/>
            <w:noWrap/>
            <w:vAlign w:val="bottom"/>
            <w:hideMark/>
          </w:tcPr>
          <w:p w14:paraId="6567BD34" w14:textId="77777777" w:rsidR="00016501" w:rsidRPr="00016501" w:rsidRDefault="7A495620" w:rsidP="7A495620">
            <w:pPr>
              <w:spacing w:after="0"/>
              <w:jc w:val="right"/>
              <w:rPr>
                <w:b/>
                <w:bCs/>
                <w:sz w:val="18"/>
                <w:szCs w:val="18"/>
              </w:rPr>
            </w:pPr>
            <w:r w:rsidRPr="7A495620">
              <w:rPr>
                <w:b/>
                <w:bCs/>
                <w:sz w:val="18"/>
                <w:szCs w:val="18"/>
              </w:rPr>
              <w:t xml:space="preserve">-641,8 </w:t>
            </w:r>
          </w:p>
        </w:tc>
        <w:tc>
          <w:tcPr>
            <w:tcW w:w="1180" w:type="dxa"/>
            <w:tcBorders>
              <w:top w:val="nil"/>
              <w:left w:val="nil"/>
              <w:bottom w:val="single" w:sz="4" w:space="0" w:color="auto"/>
              <w:right w:val="single" w:sz="4" w:space="0" w:color="auto"/>
            </w:tcBorders>
            <w:shd w:val="clear" w:color="auto" w:fill="auto"/>
            <w:noWrap/>
            <w:vAlign w:val="bottom"/>
            <w:hideMark/>
          </w:tcPr>
          <w:p w14:paraId="57D25200" w14:textId="77777777" w:rsidR="00016501" w:rsidRPr="00016501" w:rsidRDefault="7A495620" w:rsidP="7A495620">
            <w:pPr>
              <w:spacing w:after="0"/>
              <w:jc w:val="right"/>
              <w:rPr>
                <w:b/>
                <w:bCs/>
                <w:sz w:val="18"/>
                <w:szCs w:val="18"/>
              </w:rPr>
            </w:pPr>
            <w:r w:rsidRPr="7A495620">
              <w:rPr>
                <w:b/>
                <w:bCs/>
                <w:sz w:val="18"/>
                <w:szCs w:val="18"/>
              </w:rPr>
              <w:t xml:space="preserve">-86,9 </w:t>
            </w:r>
          </w:p>
        </w:tc>
        <w:tc>
          <w:tcPr>
            <w:tcW w:w="1020" w:type="dxa"/>
            <w:tcBorders>
              <w:top w:val="nil"/>
              <w:left w:val="nil"/>
              <w:bottom w:val="single" w:sz="4" w:space="0" w:color="auto"/>
              <w:right w:val="single" w:sz="4" w:space="0" w:color="auto"/>
            </w:tcBorders>
            <w:shd w:val="clear" w:color="auto" w:fill="auto"/>
            <w:noWrap/>
            <w:vAlign w:val="bottom"/>
            <w:hideMark/>
          </w:tcPr>
          <w:p w14:paraId="3AA0A93C" w14:textId="77777777" w:rsidR="00016501" w:rsidRPr="00016501" w:rsidRDefault="7A495620" w:rsidP="7A495620">
            <w:pPr>
              <w:spacing w:after="0"/>
              <w:jc w:val="right"/>
              <w:rPr>
                <w:sz w:val="18"/>
                <w:szCs w:val="18"/>
              </w:rPr>
            </w:pPr>
            <w:r w:rsidRPr="7A495620">
              <w:rPr>
                <w:sz w:val="18"/>
                <w:szCs w:val="18"/>
              </w:rPr>
              <w:t xml:space="preserve">13,5 </w:t>
            </w:r>
          </w:p>
        </w:tc>
        <w:tc>
          <w:tcPr>
            <w:tcW w:w="1180" w:type="dxa"/>
            <w:tcBorders>
              <w:top w:val="nil"/>
              <w:left w:val="nil"/>
              <w:bottom w:val="single" w:sz="4" w:space="0" w:color="auto"/>
              <w:right w:val="single" w:sz="4" w:space="0" w:color="auto"/>
            </w:tcBorders>
            <w:shd w:val="clear" w:color="auto" w:fill="auto"/>
            <w:noWrap/>
            <w:vAlign w:val="bottom"/>
            <w:hideMark/>
          </w:tcPr>
          <w:p w14:paraId="40893777" w14:textId="77777777" w:rsidR="00016501" w:rsidRPr="00016501" w:rsidRDefault="7A495620" w:rsidP="7A495620">
            <w:pPr>
              <w:spacing w:after="0"/>
              <w:jc w:val="right"/>
              <w:rPr>
                <w:b/>
                <w:bCs/>
                <w:sz w:val="18"/>
                <w:szCs w:val="18"/>
              </w:rPr>
            </w:pPr>
            <w:r w:rsidRPr="7A495620">
              <w:rPr>
                <w:b/>
                <w:bCs/>
                <w:sz w:val="18"/>
                <w:szCs w:val="18"/>
              </w:rPr>
              <w:t xml:space="preserve">-116,0 </w:t>
            </w:r>
          </w:p>
        </w:tc>
        <w:tc>
          <w:tcPr>
            <w:tcW w:w="1180" w:type="dxa"/>
            <w:tcBorders>
              <w:top w:val="nil"/>
              <w:left w:val="nil"/>
              <w:bottom w:val="single" w:sz="4" w:space="0" w:color="auto"/>
              <w:right w:val="single" w:sz="4" w:space="0" w:color="auto"/>
            </w:tcBorders>
            <w:shd w:val="clear" w:color="auto" w:fill="auto"/>
            <w:noWrap/>
            <w:vAlign w:val="bottom"/>
            <w:hideMark/>
          </w:tcPr>
          <w:p w14:paraId="6B21B3CF" w14:textId="77777777" w:rsidR="00016501" w:rsidRPr="00016501" w:rsidRDefault="7A495620" w:rsidP="7A495620">
            <w:pPr>
              <w:spacing w:after="0"/>
              <w:jc w:val="right"/>
              <w:rPr>
                <w:b/>
                <w:bCs/>
                <w:sz w:val="18"/>
                <w:szCs w:val="18"/>
              </w:rPr>
            </w:pPr>
            <w:r w:rsidRPr="7A495620">
              <w:rPr>
                <w:b/>
                <w:bCs/>
                <w:sz w:val="18"/>
                <w:szCs w:val="18"/>
              </w:rPr>
              <w:t xml:space="preserve">-182,7 </w:t>
            </w:r>
          </w:p>
        </w:tc>
        <w:tc>
          <w:tcPr>
            <w:tcW w:w="1020" w:type="dxa"/>
            <w:tcBorders>
              <w:top w:val="nil"/>
              <w:left w:val="nil"/>
              <w:bottom w:val="single" w:sz="4" w:space="0" w:color="auto"/>
              <w:right w:val="single" w:sz="4" w:space="0" w:color="auto"/>
            </w:tcBorders>
            <w:shd w:val="clear" w:color="auto" w:fill="auto"/>
            <w:noWrap/>
            <w:vAlign w:val="bottom"/>
            <w:hideMark/>
          </w:tcPr>
          <w:p w14:paraId="06FBF567" w14:textId="77777777" w:rsidR="00016501" w:rsidRPr="00016501" w:rsidRDefault="7A495620" w:rsidP="7A495620">
            <w:pPr>
              <w:spacing w:after="0"/>
              <w:jc w:val="right"/>
              <w:rPr>
                <w:sz w:val="18"/>
                <w:szCs w:val="18"/>
              </w:rPr>
            </w:pPr>
            <w:r w:rsidRPr="7A495620">
              <w:rPr>
                <w:sz w:val="18"/>
                <w:szCs w:val="18"/>
              </w:rPr>
              <w:t xml:space="preserve">157,5 </w:t>
            </w:r>
          </w:p>
        </w:tc>
        <w:tc>
          <w:tcPr>
            <w:tcW w:w="1000" w:type="dxa"/>
            <w:tcBorders>
              <w:top w:val="nil"/>
              <w:left w:val="nil"/>
              <w:bottom w:val="single" w:sz="4" w:space="0" w:color="auto"/>
              <w:right w:val="single" w:sz="4" w:space="0" w:color="auto"/>
            </w:tcBorders>
            <w:shd w:val="clear" w:color="auto" w:fill="auto"/>
            <w:noWrap/>
            <w:vAlign w:val="bottom"/>
            <w:hideMark/>
          </w:tcPr>
          <w:p w14:paraId="0B0224CC" w14:textId="77777777" w:rsidR="00016501" w:rsidRPr="00016501" w:rsidRDefault="7A495620" w:rsidP="7A495620">
            <w:pPr>
              <w:spacing w:after="0"/>
              <w:jc w:val="right"/>
              <w:rPr>
                <w:sz w:val="18"/>
                <w:szCs w:val="18"/>
              </w:rPr>
            </w:pPr>
            <w:r w:rsidRPr="7A495620">
              <w:rPr>
                <w:sz w:val="18"/>
                <w:szCs w:val="18"/>
              </w:rPr>
              <w:t xml:space="preserve">210,2 </w:t>
            </w:r>
          </w:p>
        </w:tc>
      </w:tr>
      <w:tr w:rsidR="00016501" w:rsidRPr="00016501" w14:paraId="0B674C1F" w14:textId="77777777" w:rsidTr="7A495620">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7B2AC35C" w14:textId="77777777" w:rsidR="00016501" w:rsidRPr="00016501" w:rsidRDefault="7A495620" w:rsidP="7A495620">
            <w:pPr>
              <w:spacing w:after="0"/>
              <w:jc w:val="right"/>
              <w:rPr>
                <w:sz w:val="18"/>
                <w:szCs w:val="18"/>
              </w:rPr>
            </w:pPr>
            <w:r w:rsidRPr="7A49562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32959995" w14:textId="77777777" w:rsidR="00016501" w:rsidRPr="00016501" w:rsidRDefault="7A495620" w:rsidP="7A495620">
            <w:pPr>
              <w:spacing w:after="0"/>
              <w:jc w:val="right"/>
              <w:rPr>
                <w:sz w:val="18"/>
                <w:szCs w:val="18"/>
              </w:rPr>
            </w:pPr>
            <w:r w:rsidRPr="7A495620">
              <w:rPr>
                <w:sz w:val="18"/>
                <w:szCs w:val="18"/>
              </w:rPr>
              <w:t xml:space="preserve">5 900,8 </w:t>
            </w:r>
          </w:p>
        </w:tc>
        <w:tc>
          <w:tcPr>
            <w:tcW w:w="1180" w:type="dxa"/>
            <w:tcBorders>
              <w:top w:val="nil"/>
              <w:left w:val="nil"/>
              <w:bottom w:val="single" w:sz="4" w:space="0" w:color="auto"/>
              <w:right w:val="single" w:sz="4" w:space="0" w:color="auto"/>
            </w:tcBorders>
            <w:shd w:val="clear" w:color="auto" w:fill="auto"/>
            <w:noWrap/>
            <w:vAlign w:val="bottom"/>
            <w:hideMark/>
          </w:tcPr>
          <w:p w14:paraId="3031B808" w14:textId="77777777" w:rsidR="00016501" w:rsidRPr="00016501" w:rsidRDefault="7A495620" w:rsidP="7A495620">
            <w:pPr>
              <w:spacing w:after="0"/>
              <w:jc w:val="right"/>
              <w:rPr>
                <w:sz w:val="18"/>
                <w:szCs w:val="18"/>
              </w:rPr>
            </w:pPr>
            <w:r w:rsidRPr="7A495620">
              <w:rPr>
                <w:sz w:val="18"/>
                <w:szCs w:val="18"/>
              </w:rPr>
              <w:t xml:space="preserve">1 523,5 </w:t>
            </w:r>
          </w:p>
        </w:tc>
        <w:tc>
          <w:tcPr>
            <w:tcW w:w="1020" w:type="dxa"/>
            <w:tcBorders>
              <w:top w:val="nil"/>
              <w:left w:val="nil"/>
              <w:bottom w:val="single" w:sz="4" w:space="0" w:color="auto"/>
              <w:right w:val="single" w:sz="4" w:space="0" w:color="auto"/>
            </w:tcBorders>
            <w:shd w:val="clear" w:color="auto" w:fill="auto"/>
            <w:noWrap/>
            <w:vAlign w:val="bottom"/>
            <w:hideMark/>
          </w:tcPr>
          <w:p w14:paraId="7E6DC8A5" w14:textId="77777777" w:rsidR="00016501" w:rsidRPr="00016501" w:rsidRDefault="7A495620" w:rsidP="7A495620">
            <w:pPr>
              <w:spacing w:after="0"/>
              <w:jc w:val="right"/>
              <w:rPr>
                <w:sz w:val="18"/>
                <w:szCs w:val="18"/>
              </w:rPr>
            </w:pPr>
            <w:r w:rsidRPr="7A495620">
              <w:rPr>
                <w:sz w:val="18"/>
                <w:szCs w:val="18"/>
              </w:rPr>
              <w:t xml:space="preserve">25,8 </w:t>
            </w:r>
          </w:p>
        </w:tc>
        <w:tc>
          <w:tcPr>
            <w:tcW w:w="1180" w:type="dxa"/>
            <w:tcBorders>
              <w:top w:val="nil"/>
              <w:left w:val="nil"/>
              <w:bottom w:val="single" w:sz="4" w:space="0" w:color="auto"/>
              <w:right w:val="single" w:sz="4" w:space="0" w:color="auto"/>
            </w:tcBorders>
            <w:shd w:val="clear" w:color="auto" w:fill="auto"/>
            <w:noWrap/>
            <w:vAlign w:val="bottom"/>
            <w:hideMark/>
          </w:tcPr>
          <w:p w14:paraId="54B7558E" w14:textId="77777777" w:rsidR="00016501" w:rsidRPr="00016501" w:rsidRDefault="7A495620" w:rsidP="7A495620">
            <w:pPr>
              <w:spacing w:after="0"/>
              <w:jc w:val="right"/>
              <w:rPr>
                <w:sz w:val="18"/>
                <w:szCs w:val="18"/>
              </w:rPr>
            </w:pPr>
            <w:r w:rsidRPr="7A495620">
              <w:rPr>
                <w:sz w:val="18"/>
                <w:szCs w:val="18"/>
              </w:rPr>
              <w:t xml:space="preserve">6 718,6 </w:t>
            </w:r>
          </w:p>
        </w:tc>
        <w:tc>
          <w:tcPr>
            <w:tcW w:w="1180" w:type="dxa"/>
            <w:tcBorders>
              <w:top w:val="nil"/>
              <w:left w:val="nil"/>
              <w:bottom w:val="single" w:sz="4" w:space="0" w:color="auto"/>
              <w:right w:val="single" w:sz="4" w:space="0" w:color="auto"/>
            </w:tcBorders>
            <w:shd w:val="clear" w:color="auto" w:fill="auto"/>
            <w:noWrap/>
            <w:vAlign w:val="bottom"/>
            <w:hideMark/>
          </w:tcPr>
          <w:p w14:paraId="185A0CEB" w14:textId="77777777" w:rsidR="00016501" w:rsidRPr="00016501" w:rsidRDefault="7A495620" w:rsidP="7A495620">
            <w:pPr>
              <w:spacing w:after="0"/>
              <w:jc w:val="right"/>
              <w:rPr>
                <w:sz w:val="18"/>
                <w:szCs w:val="18"/>
              </w:rPr>
            </w:pPr>
            <w:r w:rsidRPr="7A495620">
              <w:rPr>
                <w:sz w:val="18"/>
                <w:szCs w:val="18"/>
              </w:rPr>
              <w:t xml:space="preserve">1 671,5 </w:t>
            </w:r>
          </w:p>
        </w:tc>
        <w:tc>
          <w:tcPr>
            <w:tcW w:w="1020" w:type="dxa"/>
            <w:tcBorders>
              <w:top w:val="nil"/>
              <w:left w:val="nil"/>
              <w:bottom w:val="single" w:sz="4" w:space="0" w:color="auto"/>
              <w:right w:val="single" w:sz="4" w:space="0" w:color="auto"/>
            </w:tcBorders>
            <w:shd w:val="clear" w:color="auto" w:fill="auto"/>
            <w:noWrap/>
            <w:vAlign w:val="bottom"/>
            <w:hideMark/>
          </w:tcPr>
          <w:p w14:paraId="51AE4F2A" w14:textId="77777777" w:rsidR="00016501" w:rsidRPr="00016501" w:rsidRDefault="7A495620" w:rsidP="7A495620">
            <w:pPr>
              <w:spacing w:after="0"/>
              <w:jc w:val="right"/>
              <w:rPr>
                <w:sz w:val="18"/>
                <w:szCs w:val="18"/>
              </w:rPr>
            </w:pPr>
            <w:r w:rsidRPr="7A495620">
              <w:rPr>
                <w:sz w:val="18"/>
                <w:szCs w:val="18"/>
              </w:rPr>
              <w:t xml:space="preserve">24,9 </w:t>
            </w:r>
          </w:p>
        </w:tc>
        <w:tc>
          <w:tcPr>
            <w:tcW w:w="1000" w:type="dxa"/>
            <w:tcBorders>
              <w:top w:val="nil"/>
              <w:left w:val="nil"/>
              <w:bottom w:val="single" w:sz="4" w:space="0" w:color="auto"/>
              <w:right w:val="single" w:sz="4" w:space="0" w:color="auto"/>
            </w:tcBorders>
            <w:shd w:val="clear" w:color="auto" w:fill="auto"/>
            <w:noWrap/>
            <w:vAlign w:val="bottom"/>
            <w:hideMark/>
          </w:tcPr>
          <w:p w14:paraId="271FD627" w14:textId="77777777" w:rsidR="00016501" w:rsidRPr="00016501" w:rsidRDefault="7A495620" w:rsidP="7A495620">
            <w:pPr>
              <w:spacing w:after="0"/>
              <w:jc w:val="right"/>
              <w:rPr>
                <w:sz w:val="18"/>
                <w:szCs w:val="18"/>
              </w:rPr>
            </w:pPr>
            <w:r w:rsidRPr="7A495620">
              <w:rPr>
                <w:sz w:val="18"/>
                <w:szCs w:val="18"/>
              </w:rPr>
              <w:t xml:space="preserve">109,7 </w:t>
            </w:r>
          </w:p>
        </w:tc>
      </w:tr>
      <w:tr w:rsidR="00016501" w:rsidRPr="00016501" w14:paraId="1DD9E0D7" w14:textId="77777777" w:rsidTr="7A495620">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14DFEC59" w14:textId="77777777" w:rsidR="00016501" w:rsidRPr="00016501" w:rsidRDefault="7A495620" w:rsidP="7A495620">
            <w:pPr>
              <w:spacing w:after="0"/>
              <w:jc w:val="right"/>
              <w:rPr>
                <w:sz w:val="18"/>
                <w:szCs w:val="18"/>
              </w:rPr>
            </w:pPr>
            <w:r w:rsidRPr="7A49562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6D7AD6D0" w14:textId="77777777" w:rsidR="00016501" w:rsidRPr="00016501" w:rsidRDefault="7A495620" w:rsidP="7A495620">
            <w:pPr>
              <w:spacing w:after="0"/>
              <w:jc w:val="right"/>
              <w:rPr>
                <w:sz w:val="18"/>
                <w:szCs w:val="18"/>
              </w:rPr>
            </w:pPr>
            <w:r w:rsidRPr="7A495620">
              <w:rPr>
                <w:sz w:val="18"/>
                <w:szCs w:val="18"/>
              </w:rPr>
              <w:t xml:space="preserve">6 542,6 </w:t>
            </w:r>
          </w:p>
        </w:tc>
        <w:tc>
          <w:tcPr>
            <w:tcW w:w="1180" w:type="dxa"/>
            <w:tcBorders>
              <w:top w:val="nil"/>
              <w:left w:val="nil"/>
              <w:bottom w:val="single" w:sz="4" w:space="0" w:color="auto"/>
              <w:right w:val="single" w:sz="4" w:space="0" w:color="auto"/>
            </w:tcBorders>
            <w:shd w:val="clear" w:color="auto" w:fill="auto"/>
            <w:noWrap/>
            <w:vAlign w:val="bottom"/>
            <w:hideMark/>
          </w:tcPr>
          <w:p w14:paraId="1C8FEA84" w14:textId="77777777" w:rsidR="00016501" w:rsidRPr="00016501" w:rsidRDefault="7A495620" w:rsidP="7A495620">
            <w:pPr>
              <w:spacing w:after="0"/>
              <w:jc w:val="right"/>
              <w:rPr>
                <w:sz w:val="18"/>
                <w:szCs w:val="18"/>
              </w:rPr>
            </w:pPr>
            <w:r w:rsidRPr="7A495620">
              <w:rPr>
                <w:sz w:val="18"/>
                <w:szCs w:val="18"/>
              </w:rPr>
              <w:t xml:space="preserve">1 610,4 </w:t>
            </w:r>
          </w:p>
        </w:tc>
        <w:tc>
          <w:tcPr>
            <w:tcW w:w="1020" w:type="dxa"/>
            <w:tcBorders>
              <w:top w:val="nil"/>
              <w:left w:val="nil"/>
              <w:bottom w:val="single" w:sz="4" w:space="0" w:color="auto"/>
              <w:right w:val="single" w:sz="4" w:space="0" w:color="auto"/>
            </w:tcBorders>
            <w:shd w:val="clear" w:color="auto" w:fill="auto"/>
            <w:noWrap/>
            <w:vAlign w:val="bottom"/>
            <w:hideMark/>
          </w:tcPr>
          <w:p w14:paraId="582494A8" w14:textId="77777777" w:rsidR="00016501" w:rsidRPr="00016501" w:rsidRDefault="7A495620" w:rsidP="7A495620">
            <w:pPr>
              <w:spacing w:after="0"/>
              <w:jc w:val="right"/>
              <w:rPr>
                <w:sz w:val="18"/>
                <w:szCs w:val="18"/>
              </w:rPr>
            </w:pPr>
            <w:r w:rsidRPr="7A495620">
              <w:rPr>
                <w:sz w:val="18"/>
                <w:szCs w:val="18"/>
              </w:rPr>
              <w:t xml:space="preserve">24,6 </w:t>
            </w:r>
          </w:p>
        </w:tc>
        <w:tc>
          <w:tcPr>
            <w:tcW w:w="1180" w:type="dxa"/>
            <w:tcBorders>
              <w:top w:val="nil"/>
              <w:left w:val="nil"/>
              <w:bottom w:val="single" w:sz="4" w:space="0" w:color="auto"/>
              <w:right w:val="single" w:sz="4" w:space="0" w:color="auto"/>
            </w:tcBorders>
            <w:shd w:val="clear" w:color="auto" w:fill="auto"/>
            <w:noWrap/>
            <w:vAlign w:val="bottom"/>
            <w:hideMark/>
          </w:tcPr>
          <w:p w14:paraId="0E67CE8C" w14:textId="77777777" w:rsidR="00016501" w:rsidRPr="00016501" w:rsidRDefault="7A495620" w:rsidP="7A495620">
            <w:pPr>
              <w:spacing w:after="0"/>
              <w:jc w:val="right"/>
              <w:rPr>
                <w:sz w:val="18"/>
                <w:szCs w:val="18"/>
              </w:rPr>
            </w:pPr>
            <w:r w:rsidRPr="7A495620">
              <w:rPr>
                <w:sz w:val="18"/>
                <w:szCs w:val="18"/>
              </w:rPr>
              <w:t xml:space="preserve">6 834,6 </w:t>
            </w:r>
          </w:p>
        </w:tc>
        <w:tc>
          <w:tcPr>
            <w:tcW w:w="1180" w:type="dxa"/>
            <w:tcBorders>
              <w:top w:val="nil"/>
              <w:left w:val="nil"/>
              <w:bottom w:val="single" w:sz="4" w:space="0" w:color="auto"/>
              <w:right w:val="single" w:sz="4" w:space="0" w:color="auto"/>
            </w:tcBorders>
            <w:shd w:val="clear" w:color="auto" w:fill="auto"/>
            <w:noWrap/>
            <w:vAlign w:val="bottom"/>
            <w:hideMark/>
          </w:tcPr>
          <w:p w14:paraId="3F6B7859" w14:textId="77777777" w:rsidR="00016501" w:rsidRPr="00016501" w:rsidRDefault="7A495620" w:rsidP="7A495620">
            <w:pPr>
              <w:spacing w:after="0"/>
              <w:jc w:val="right"/>
              <w:rPr>
                <w:sz w:val="18"/>
                <w:szCs w:val="18"/>
              </w:rPr>
            </w:pPr>
            <w:r w:rsidRPr="7A495620">
              <w:rPr>
                <w:sz w:val="18"/>
                <w:szCs w:val="18"/>
              </w:rPr>
              <w:t xml:space="preserve">1 854,2 </w:t>
            </w:r>
          </w:p>
        </w:tc>
        <w:tc>
          <w:tcPr>
            <w:tcW w:w="1020" w:type="dxa"/>
            <w:tcBorders>
              <w:top w:val="nil"/>
              <w:left w:val="nil"/>
              <w:bottom w:val="single" w:sz="4" w:space="0" w:color="auto"/>
              <w:right w:val="single" w:sz="4" w:space="0" w:color="auto"/>
            </w:tcBorders>
            <w:shd w:val="clear" w:color="auto" w:fill="auto"/>
            <w:noWrap/>
            <w:vAlign w:val="bottom"/>
            <w:hideMark/>
          </w:tcPr>
          <w:p w14:paraId="18F4BD9C" w14:textId="77777777" w:rsidR="00016501" w:rsidRPr="00016501" w:rsidRDefault="7A495620" w:rsidP="7A495620">
            <w:pPr>
              <w:spacing w:after="0"/>
              <w:jc w:val="right"/>
              <w:rPr>
                <w:sz w:val="18"/>
                <w:szCs w:val="18"/>
              </w:rPr>
            </w:pPr>
            <w:r w:rsidRPr="7A495620">
              <w:rPr>
                <w:sz w:val="18"/>
                <w:szCs w:val="18"/>
              </w:rPr>
              <w:t xml:space="preserve">27,1 </w:t>
            </w:r>
          </w:p>
        </w:tc>
        <w:tc>
          <w:tcPr>
            <w:tcW w:w="1000" w:type="dxa"/>
            <w:tcBorders>
              <w:top w:val="nil"/>
              <w:left w:val="nil"/>
              <w:bottom w:val="single" w:sz="4" w:space="0" w:color="auto"/>
              <w:right w:val="single" w:sz="4" w:space="0" w:color="auto"/>
            </w:tcBorders>
            <w:shd w:val="clear" w:color="auto" w:fill="auto"/>
            <w:noWrap/>
            <w:vAlign w:val="bottom"/>
            <w:hideMark/>
          </w:tcPr>
          <w:p w14:paraId="001AC3E5" w14:textId="77777777" w:rsidR="00016501" w:rsidRPr="00016501" w:rsidRDefault="7A495620" w:rsidP="7A495620">
            <w:pPr>
              <w:spacing w:after="0"/>
              <w:jc w:val="right"/>
              <w:rPr>
                <w:sz w:val="18"/>
                <w:szCs w:val="18"/>
              </w:rPr>
            </w:pPr>
            <w:r w:rsidRPr="7A495620">
              <w:rPr>
                <w:sz w:val="18"/>
                <w:szCs w:val="18"/>
              </w:rPr>
              <w:t xml:space="preserve">115,1 </w:t>
            </w:r>
          </w:p>
        </w:tc>
      </w:tr>
      <w:tr w:rsidR="00016501" w:rsidRPr="00016501" w14:paraId="58D13D6A" w14:textId="77777777" w:rsidTr="7A495620">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4A9357DF" w14:textId="77777777" w:rsidR="00016501" w:rsidRPr="00016501" w:rsidRDefault="7A495620" w:rsidP="7A495620">
            <w:pPr>
              <w:spacing w:after="0"/>
              <w:jc w:val="left"/>
              <w:rPr>
                <w:b/>
                <w:bCs/>
                <w:sz w:val="18"/>
                <w:szCs w:val="18"/>
              </w:rPr>
            </w:pPr>
            <w:r w:rsidRPr="7A495620">
              <w:rPr>
                <w:b/>
                <w:bCs/>
                <w:sz w:val="18"/>
                <w:szCs w:val="18"/>
              </w:rPr>
              <w:t>Egyenleg összesen</w:t>
            </w:r>
          </w:p>
        </w:tc>
        <w:tc>
          <w:tcPr>
            <w:tcW w:w="1180" w:type="dxa"/>
            <w:tcBorders>
              <w:top w:val="nil"/>
              <w:left w:val="nil"/>
              <w:bottom w:val="single" w:sz="4" w:space="0" w:color="auto"/>
              <w:right w:val="single" w:sz="4" w:space="0" w:color="auto"/>
            </w:tcBorders>
            <w:shd w:val="clear" w:color="auto" w:fill="auto"/>
            <w:noWrap/>
            <w:vAlign w:val="bottom"/>
            <w:hideMark/>
          </w:tcPr>
          <w:p w14:paraId="119EDDFB" w14:textId="77777777" w:rsidR="00016501" w:rsidRPr="00016501" w:rsidRDefault="7A495620" w:rsidP="7A495620">
            <w:pPr>
              <w:spacing w:after="0"/>
              <w:jc w:val="right"/>
              <w:rPr>
                <w:b/>
                <w:bCs/>
                <w:sz w:val="18"/>
                <w:szCs w:val="18"/>
              </w:rPr>
            </w:pPr>
            <w:r w:rsidRPr="7A495620">
              <w:rPr>
                <w:b/>
                <w:bCs/>
                <w:sz w:val="18"/>
                <w:szCs w:val="18"/>
              </w:rPr>
              <w:t xml:space="preserve">-5 548,6 </w:t>
            </w:r>
          </w:p>
        </w:tc>
        <w:tc>
          <w:tcPr>
            <w:tcW w:w="1180" w:type="dxa"/>
            <w:tcBorders>
              <w:top w:val="nil"/>
              <w:left w:val="nil"/>
              <w:bottom w:val="single" w:sz="4" w:space="0" w:color="auto"/>
              <w:right w:val="single" w:sz="4" w:space="0" w:color="auto"/>
            </w:tcBorders>
            <w:shd w:val="clear" w:color="auto" w:fill="auto"/>
            <w:noWrap/>
            <w:vAlign w:val="bottom"/>
            <w:hideMark/>
          </w:tcPr>
          <w:p w14:paraId="16B6A31A" w14:textId="77777777" w:rsidR="00016501" w:rsidRPr="00016501" w:rsidRDefault="7A495620" w:rsidP="7A495620">
            <w:pPr>
              <w:spacing w:after="0"/>
              <w:jc w:val="right"/>
              <w:rPr>
                <w:b/>
                <w:bCs/>
                <w:sz w:val="18"/>
                <w:szCs w:val="18"/>
              </w:rPr>
            </w:pPr>
            <w:r w:rsidRPr="7A495620">
              <w:rPr>
                <w:b/>
                <w:bCs/>
                <w:sz w:val="18"/>
                <w:szCs w:val="18"/>
              </w:rPr>
              <w:t xml:space="preserve">-831,9 </w:t>
            </w:r>
          </w:p>
        </w:tc>
        <w:tc>
          <w:tcPr>
            <w:tcW w:w="1020" w:type="dxa"/>
            <w:tcBorders>
              <w:top w:val="nil"/>
              <w:left w:val="nil"/>
              <w:bottom w:val="single" w:sz="4" w:space="0" w:color="auto"/>
              <w:right w:val="single" w:sz="4" w:space="0" w:color="auto"/>
            </w:tcBorders>
            <w:shd w:val="clear" w:color="auto" w:fill="auto"/>
            <w:noWrap/>
            <w:vAlign w:val="bottom"/>
            <w:hideMark/>
          </w:tcPr>
          <w:p w14:paraId="779BE9C5" w14:textId="77777777" w:rsidR="00016501" w:rsidRPr="00016501" w:rsidRDefault="7A495620" w:rsidP="7A495620">
            <w:pPr>
              <w:spacing w:after="0"/>
              <w:jc w:val="right"/>
              <w:rPr>
                <w:sz w:val="18"/>
                <w:szCs w:val="18"/>
              </w:rPr>
            </w:pPr>
            <w:r w:rsidRPr="7A495620">
              <w:rPr>
                <w:sz w:val="18"/>
                <w:szCs w:val="18"/>
              </w:rPr>
              <w:t xml:space="preserve">15,0 </w:t>
            </w:r>
          </w:p>
        </w:tc>
        <w:tc>
          <w:tcPr>
            <w:tcW w:w="1180" w:type="dxa"/>
            <w:tcBorders>
              <w:top w:val="nil"/>
              <w:left w:val="nil"/>
              <w:bottom w:val="single" w:sz="4" w:space="0" w:color="auto"/>
              <w:right w:val="single" w:sz="4" w:space="0" w:color="auto"/>
            </w:tcBorders>
            <w:shd w:val="clear" w:color="auto" w:fill="auto"/>
            <w:noWrap/>
            <w:vAlign w:val="bottom"/>
            <w:hideMark/>
          </w:tcPr>
          <w:p w14:paraId="336415CA" w14:textId="77777777" w:rsidR="00016501" w:rsidRPr="00016501" w:rsidRDefault="7A495620" w:rsidP="7A495620">
            <w:pPr>
              <w:spacing w:after="0"/>
              <w:jc w:val="right"/>
              <w:rPr>
                <w:b/>
                <w:bCs/>
                <w:sz w:val="18"/>
                <w:szCs w:val="18"/>
              </w:rPr>
            </w:pPr>
            <w:r w:rsidRPr="7A495620">
              <w:rPr>
                <w:b/>
                <w:bCs/>
                <w:sz w:val="18"/>
                <w:szCs w:val="18"/>
              </w:rPr>
              <w:t xml:space="preserve">-1 491,2 </w:t>
            </w:r>
          </w:p>
        </w:tc>
        <w:tc>
          <w:tcPr>
            <w:tcW w:w="1180" w:type="dxa"/>
            <w:tcBorders>
              <w:top w:val="nil"/>
              <w:left w:val="nil"/>
              <w:bottom w:val="single" w:sz="4" w:space="0" w:color="auto"/>
              <w:right w:val="single" w:sz="4" w:space="0" w:color="auto"/>
            </w:tcBorders>
            <w:shd w:val="clear" w:color="auto" w:fill="auto"/>
            <w:noWrap/>
            <w:vAlign w:val="bottom"/>
            <w:hideMark/>
          </w:tcPr>
          <w:p w14:paraId="21A4BD87" w14:textId="77777777" w:rsidR="00016501" w:rsidRPr="00016501" w:rsidRDefault="7A495620" w:rsidP="7A495620">
            <w:pPr>
              <w:spacing w:after="0"/>
              <w:jc w:val="right"/>
              <w:rPr>
                <w:b/>
                <w:bCs/>
                <w:sz w:val="18"/>
                <w:szCs w:val="18"/>
              </w:rPr>
            </w:pPr>
            <w:r w:rsidRPr="7A495620">
              <w:rPr>
                <w:b/>
                <w:bCs/>
                <w:sz w:val="18"/>
                <w:szCs w:val="18"/>
              </w:rPr>
              <w:t xml:space="preserve">-1 144,1 </w:t>
            </w:r>
          </w:p>
        </w:tc>
        <w:tc>
          <w:tcPr>
            <w:tcW w:w="1020" w:type="dxa"/>
            <w:tcBorders>
              <w:top w:val="nil"/>
              <w:left w:val="nil"/>
              <w:bottom w:val="single" w:sz="4" w:space="0" w:color="auto"/>
              <w:right w:val="single" w:sz="4" w:space="0" w:color="auto"/>
            </w:tcBorders>
            <w:shd w:val="clear" w:color="auto" w:fill="auto"/>
            <w:noWrap/>
            <w:vAlign w:val="bottom"/>
            <w:hideMark/>
          </w:tcPr>
          <w:p w14:paraId="4807A109" w14:textId="77777777" w:rsidR="00016501" w:rsidRPr="00016501" w:rsidRDefault="7A495620" w:rsidP="7A495620">
            <w:pPr>
              <w:spacing w:after="0"/>
              <w:jc w:val="right"/>
              <w:rPr>
                <w:sz w:val="18"/>
                <w:szCs w:val="18"/>
              </w:rPr>
            </w:pPr>
            <w:r w:rsidRPr="7A495620">
              <w:rPr>
                <w:sz w:val="18"/>
                <w:szCs w:val="18"/>
              </w:rPr>
              <w:t xml:space="preserve">76,7 </w:t>
            </w:r>
          </w:p>
        </w:tc>
        <w:tc>
          <w:tcPr>
            <w:tcW w:w="1000" w:type="dxa"/>
            <w:tcBorders>
              <w:top w:val="nil"/>
              <w:left w:val="nil"/>
              <w:bottom w:val="single" w:sz="4" w:space="0" w:color="auto"/>
              <w:right w:val="single" w:sz="4" w:space="0" w:color="auto"/>
            </w:tcBorders>
            <w:shd w:val="clear" w:color="auto" w:fill="auto"/>
            <w:noWrap/>
            <w:vAlign w:val="bottom"/>
            <w:hideMark/>
          </w:tcPr>
          <w:p w14:paraId="67B9AA90" w14:textId="77777777" w:rsidR="00016501" w:rsidRPr="00016501" w:rsidRDefault="7A495620" w:rsidP="7A495620">
            <w:pPr>
              <w:spacing w:after="0"/>
              <w:jc w:val="right"/>
              <w:rPr>
                <w:sz w:val="18"/>
                <w:szCs w:val="18"/>
              </w:rPr>
            </w:pPr>
            <w:r w:rsidRPr="7A495620">
              <w:rPr>
                <w:sz w:val="18"/>
                <w:szCs w:val="18"/>
              </w:rPr>
              <w:t xml:space="preserve">137,5 </w:t>
            </w:r>
          </w:p>
        </w:tc>
      </w:tr>
      <w:tr w:rsidR="00016501" w:rsidRPr="00016501" w14:paraId="3225A2D9" w14:textId="77777777" w:rsidTr="7A495620">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E2DE2F2" w14:textId="77777777" w:rsidR="00016501" w:rsidRPr="00016501" w:rsidRDefault="7A495620" w:rsidP="7A495620">
            <w:pPr>
              <w:spacing w:after="0"/>
              <w:jc w:val="right"/>
              <w:rPr>
                <w:sz w:val="18"/>
                <w:szCs w:val="18"/>
              </w:rPr>
            </w:pPr>
            <w:r w:rsidRPr="7A495620">
              <w:rPr>
                <w:sz w:val="18"/>
                <w:szCs w:val="18"/>
              </w:rPr>
              <w:t>bevétel:</w:t>
            </w:r>
          </w:p>
        </w:tc>
        <w:tc>
          <w:tcPr>
            <w:tcW w:w="1180" w:type="dxa"/>
            <w:tcBorders>
              <w:top w:val="nil"/>
              <w:left w:val="nil"/>
              <w:bottom w:val="single" w:sz="4" w:space="0" w:color="auto"/>
              <w:right w:val="single" w:sz="4" w:space="0" w:color="auto"/>
            </w:tcBorders>
            <w:shd w:val="clear" w:color="auto" w:fill="auto"/>
            <w:noWrap/>
            <w:vAlign w:val="bottom"/>
            <w:hideMark/>
          </w:tcPr>
          <w:p w14:paraId="71685D24" w14:textId="77777777" w:rsidR="00016501" w:rsidRPr="00016501" w:rsidRDefault="7A495620" w:rsidP="7A495620">
            <w:pPr>
              <w:spacing w:after="0"/>
              <w:jc w:val="right"/>
              <w:rPr>
                <w:sz w:val="18"/>
                <w:szCs w:val="18"/>
              </w:rPr>
            </w:pPr>
            <w:r w:rsidRPr="7A495620">
              <w:rPr>
                <w:sz w:val="18"/>
                <w:szCs w:val="18"/>
              </w:rPr>
              <w:t xml:space="preserve">22 865,4 </w:t>
            </w:r>
          </w:p>
        </w:tc>
        <w:tc>
          <w:tcPr>
            <w:tcW w:w="1180" w:type="dxa"/>
            <w:tcBorders>
              <w:top w:val="nil"/>
              <w:left w:val="nil"/>
              <w:bottom w:val="single" w:sz="4" w:space="0" w:color="auto"/>
              <w:right w:val="single" w:sz="4" w:space="0" w:color="auto"/>
            </w:tcBorders>
            <w:shd w:val="clear" w:color="auto" w:fill="auto"/>
            <w:noWrap/>
            <w:vAlign w:val="bottom"/>
            <w:hideMark/>
          </w:tcPr>
          <w:p w14:paraId="4BCA1840" w14:textId="77777777" w:rsidR="00016501" w:rsidRPr="00016501" w:rsidRDefault="7A495620" w:rsidP="7A495620">
            <w:pPr>
              <w:spacing w:after="0"/>
              <w:jc w:val="right"/>
              <w:rPr>
                <w:sz w:val="18"/>
                <w:szCs w:val="18"/>
              </w:rPr>
            </w:pPr>
            <w:r w:rsidRPr="7A495620">
              <w:rPr>
                <w:sz w:val="18"/>
                <w:szCs w:val="18"/>
              </w:rPr>
              <w:t xml:space="preserve">5 290,7 </w:t>
            </w:r>
          </w:p>
        </w:tc>
        <w:tc>
          <w:tcPr>
            <w:tcW w:w="1020" w:type="dxa"/>
            <w:tcBorders>
              <w:top w:val="nil"/>
              <w:left w:val="nil"/>
              <w:bottom w:val="single" w:sz="4" w:space="0" w:color="auto"/>
              <w:right w:val="single" w:sz="4" w:space="0" w:color="auto"/>
            </w:tcBorders>
            <w:shd w:val="clear" w:color="auto" w:fill="auto"/>
            <w:noWrap/>
            <w:vAlign w:val="bottom"/>
            <w:hideMark/>
          </w:tcPr>
          <w:p w14:paraId="231137ED" w14:textId="77777777" w:rsidR="00016501" w:rsidRPr="00016501" w:rsidRDefault="7A495620" w:rsidP="7A495620">
            <w:pPr>
              <w:spacing w:after="0"/>
              <w:jc w:val="right"/>
              <w:rPr>
                <w:sz w:val="18"/>
                <w:szCs w:val="18"/>
              </w:rPr>
            </w:pPr>
            <w:r w:rsidRPr="7A495620">
              <w:rPr>
                <w:sz w:val="18"/>
                <w:szCs w:val="18"/>
              </w:rPr>
              <w:t xml:space="preserve">23,1 </w:t>
            </w:r>
          </w:p>
        </w:tc>
        <w:tc>
          <w:tcPr>
            <w:tcW w:w="1180" w:type="dxa"/>
            <w:tcBorders>
              <w:top w:val="nil"/>
              <w:left w:val="nil"/>
              <w:bottom w:val="single" w:sz="4" w:space="0" w:color="auto"/>
              <w:right w:val="single" w:sz="4" w:space="0" w:color="auto"/>
            </w:tcBorders>
            <w:shd w:val="clear" w:color="auto" w:fill="auto"/>
            <w:noWrap/>
            <w:vAlign w:val="bottom"/>
            <w:hideMark/>
          </w:tcPr>
          <w:p w14:paraId="669B4F6B" w14:textId="77777777" w:rsidR="00016501" w:rsidRPr="00016501" w:rsidRDefault="7A495620" w:rsidP="7A495620">
            <w:pPr>
              <w:spacing w:after="0"/>
              <w:jc w:val="right"/>
              <w:rPr>
                <w:sz w:val="18"/>
                <w:szCs w:val="18"/>
              </w:rPr>
            </w:pPr>
            <w:r w:rsidRPr="7A495620">
              <w:rPr>
                <w:sz w:val="18"/>
                <w:szCs w:val="18"/>
              </w:rPr>
              <w:t xml:space="preserve">21 974,2 </w:t>
            </w:r>
          </w:p>
        </w:tc>
        <w:tc>
          <w:tcPr>
            <w:tcW w:w="1180" w:type="dxa"/>
            <w:tcBorders>
              <w:top w:val="nil"/>
              <w:left w:val="nil"/>
              <w:bottom w:val="single" w:sz="4" w:space="0" w:color="auto"/>
              <w:right w:val="single" w:sz="4" w:space="0" w:color="auto"/>
            </w:tcBorders>
            <w:shd w:val="clear" w:color="auto" w:fill="auto"/>
            <w:noWrap/>
            <w:vAlign w:val="bottom"/>
            <w:hideMark/>
          </w:tcPr>
          <w:p w14:paraId="6F42B148" w14:textId="77777777" w:rsidR="00016501" w:rsidRPr="00016501" w:rsidRDefault="7A495620" w:rsidP="7A495620">
            <w:pPr>
              <w:spacing w:after="0"/>
              <w:jc w:val="right"/>
              <w:rPr>
                <w:sz w:val="18"/>
                <w:szCs w:val="18"/>
              </w:rPr>
            </w:pPr>
            <w:r w:rsidRPr="7A495620">
              <w:rPr>
                <w:sz w:val="18"/>
                <w:szCs w:val="18"/>
              </w:rPr>
              <w:t xml:space="preserve">5 808,9 </w:t>
            </w:r>
          </w:p>
        </w:tc>
        <w:tc>
          <w:tcPr>
            <w:tcW w:w="1020" w:type="dxa"/>
            <w:tcBorders>
              <w:top w:val="nil"/>
              <w:left w:val="nil"/>
              <w:bottom w:val="single" w:sz="4" w:space="0" w:color="auto"/>
              <w:right w:val="single" w:sz="4" w:space="0" w:color="auto"/>
            </w:tcBorders>
            <w:shd w:val="clear" w:color="auto" w:fill="auto"/>
            <w:noWrap/>
            <w:vAlign w:val="bottom"/>
            <w:hideMark/>
          </w:tcPr>
          <w:p w14:paraId="6C980932" w14:textId="77777777" w:rsidR="00016501" w:rsidRPr="00016501" w:rsidRDefault="7A495620" w:rsidP="7A495620">
            <w:pPr>
              <w:spacing w:after="0"/>
              <w:jc w:val="right"/>
              <w:rPr>
                <w:sz w:val="18"/>
                <w:szCs w:val="18"/>
              </w:rPr>
            </w:pPr>
            <w:r w:rsidRPr="7A495620">
              <w:rPr>
                <w:sz w:val="18"/>
                <w:szCs w:val="18"/>
              </w:rPr>
              <w:t xml:space="preserve">26,4 </w:t>
            </w:r>
          </w:p>
        </w:tc>
        <w:tc>
          <w:tcPr>
            <w:tcW w:w="1000" w:type="dxa"/>
            <w:tcBorders>
              <w:top w:val="nil"/>
              <w:left w:val="nil"/>
              <w:bottom w:val="single" w:sz="4" w:space="0" w:color="auto"/>
              <w:right w:val="single" w:sz="4" w:space="0" w:color="auto"/>
            </w:tcBorders>
            <w:shd w:val="clear" w:color="auto" w:fill="auto"/>
            <w:noWrap/>
            <w:vAlign w:val="bottom"/>
            <w:hideMark/>
          </w:tcPr>
          <w:p w14:paraId="1FA5AE8A" w14:textId="77777777" w:rsidR="00016501" w:rsidRPr="00016501" w:rsidRDefault="7A495620" w:rsidP="7A495620">
            <w:pPr>
              <w:spacing w:after="0"/>
              <w:jc w:val="right"/>
              <w:rPr>
                <w:sz w:val="18"/>
                <w:szCs w:val="18"/>
              </w:rPr>
            </w:pPr>
            <w:r w:rsidRPr="7A495620">
              <w:rPr>
                <w:sz w:val="18"/>
                <w:szCs w:val="18"/>
              </w:rPr>
              <w:t xml:space="preserve">109,8 </w:t>
            </w:r>
          </w:p>
        </w:tc>
      </w:tr>
      <w:tr w:rsidR="00016501" w:rsidRPr="00016501" w14:paraId="6242350C" w14:textId="77777777" w:rsidTr="7A495620">
        <w:trPr>
          <w:trHeight w:val="300"/>
        </w:trPr>
        <w:tc>
          <w:tcPr>
            <w:tcW w:w="1800" w:type="dxa"/>
            <w:tcBorders>
              <w:top w:val="nil"/>
              <w:left w:val="single" w:sz="4" w:space="0" w:color="auto"/>
              <w:bottom w:val="single" w:sz="4" w:space="0" w:color="auto"/>
              <w:right w:val="single" w:sz="4" w:space="0" w:color="auto"/>
            </w:tcBorders>
            <w:shd w:val="clear" w:color="auto" w:fill="auto"/>
            <w:vAlign w:val="bottom"/>
            <w:hideMark/>
          </w:tcPr>
          <w:p w14:paraId="68E539F1" w14:textId="77777777" w:rsidR="00016501" w:rsidRPr="00016501" w:rsidRDefault="7A495620" w:rsidP="7A495620">
            <w:pPr>
              <w:spacing w:after="0"/>
              <w:jc w:val="right"/>
              <w:rPr>
                <w:sz w:val="18"/>
                <w:szCs w:val="18"/>
              </w:rPr>
            </w:pPr>
            <w:r w:rsidRPr="7A495620">
              <w:rPr>
                <w:sz w:val="18"/>
                <w:szCs w:val="18"/>
              </w:rPr>
              <w:t>kiadás:</w:t>
            </w:r>
          </w:p>
        </w:tc>
        <w:tc>
          <w:tcPr>
            <w:tcW w:w="1180" w:type="dxa"/>
            <w:tcBorders>
              <w:top w:val="nil"/>
              <w:left w:val="nil"/>
              <w:bottom w:val="single" w:sz="4" w:space="0" w:color="auto"/>
              <w:right w:val="single" w:sz="4" w:space="0" w:color="auto"/>
            </w:tcBorders>
            <w:shd w:val="clear" w:color="auto" w:fill="auto"/>
            <w:noWrap/>
            <w:vAlign w:val="bottom"/>
            <w:hideMark/>
          </w:tcPr>
          <w:p w14:paraId="3CECCDF5" w14:textId="77777777" w:rsidR="00016501" w:rsidRPr="00016501" w:rsidRDefault="7A495620" w:rsidP="7A495620">
            <w:pPr>
              <w:spacing w:after="0"/>
              <w:jc w:val="right"/>
              <w:rPr>
                <w:sz w:val="18"/>
                <w:szCs w:val="18"/>
              </w:rPr>
            </w:pPr>
            <w:r w:rsidRPr="7A495620">
              <w:rPr>
                <w:sz w:val="18"/>
                <w:szCs w:val="18"/>
              </w:rPr>
              <w:t xml:space="preserve">28 414,0 </w:t>
            </w:r>
          </w:p>
        </w:tc>
        <w:tc>
          <w:tcPr>
            <w:tcW w:w="1180" w:type="dxa"/>
            <w:tcBorders>
              <w:top w:val="nil"/>
              <w:left w:val="nil"/>
              <w:bottom w:val="single" w:sz="4" w:space="0" w:color="auto"/>
              <w:right w:val="single" w:sz="4" w:space="0" w:color="auto"/>
            </w:tcBorders>
            <w:shd w:val="clear" w:color="auto" w:fill="auto"/>
            <w:noWrap/>
            <w:vAlign w:val="bottom"/>
            <w:hideMark/>
          </w:tcPr>
          <w:p w14:paraId="63A6100F" w14:textId="77777777" w:rsidR="00016501" w:rsidRPr="00016501" w:rsidRDefault="7A495620" w:rsidP="7A495620">
            <w:pPr>
              <w:spacing w:after="0"/>
              <w:jc w:val="right"/>
              <w:rPr>
                <w:sz w:val="18"/>
                <w:szCs w:val="18"/>
              </w:rPr>
            </w:pPr>
            <w:r w:rsidRPr="7A495620">
              <w:rPr>
                <w:sz w:val="18"/>
                <w:szCs w:val="18"/>
              </w:rPr>
              <w:t xml:space="preserve">6 122,6 </w:t>
            </w:r>
          </w:p>
        </w:tc>
        <w:tc>
          <w:tcPr>
            <w:tcW w:w="1020" w:type="dxa"/>
            <w:tcBorders>
              <w:top w:val="nil"/>
              <w:left w:val="nil"/>
              <w:bottom w:val="single" w:sz="4" w:space="0" w:color="auto"/>
              <w:right w:val="single" w:sz="4" w:space="0" w:color="auto"/>
            </w:tcBorders>
            <w:shd w:val="clear" w:color="auto" w:fill="auto"/>
            <w:noWrap/>
            <w:vAlign w:val="bottom"/>
            <w:hideMark/>
          </w:tcPr>
          <w:p w14:paraId="74C30A67" w14:textId="77777777" w:rsidR="00016501" w:rsidRPr="00016501" w:rsidRDefault="7A495620" w:rsidP="7A495620">
            <w:pPr>
              <w:spacing w:after="0"/>
              <w:jc w:val="right"/>
              <w:rPr>
                <w:sz w:val="18"/>
                <w:szCs w:val="18"/>
              </w:rPr>
            </w:pPr>
            <w:r w:rsidRPr="7A495620">
              <w:rPr>
                <w:sz w:val="18"/>
                <w:szCs w:val="18"/>
              </w:rPr>
              <w:t xml:space="preserve">21,5 </w:t>
            </w:r>
          </w:p>
        </w:tc>
        <w:tc>
          <w:tcPr>
            <w:tcW w:w="1180" w:type="dxa"/>
            <w:tcBorders>
              <w:top w:val="nil"/>
              <w:left w:val="nil"/>
              <w:bottom w:val="single" w:sz="4" w:space="0" w:color="auto"/>
              <w:right w:val="single" w:sz="4" w:space="0" w:color="auto"/>
            </w:tcBorders>
            <w:shd w:val="clear" w:color="auto" w:fill="auto"/>
            <w:noWrap/>
            <w:vAlign w:val="bottom"/>
            <w:hideMark/>
          </w:tcPr>
          <w:p w14:paraId="79731464" w14:textId="77777777" w:rsidR="00016501" w:rsidRPr="00016501" w:rsidRDefault="7A495620" w:rsidP="7A495620">
            <w:pPr>
              <w:spacing w:after="0"/>
              <w:jc w:val="right"/>
              <w:rPr>
                <w:sz w:val="18"/>
                <w:szCs w:val="18"/>
              </w:rPr>
            </w:pPr>
            <w:r w:rsidRPr="7A495620">
              <w:rPr>
                <w:sz w:val="18"/>
                <w:szCs w:val="18"/>
              </w:rPr>
              <w:t xml:space="preserve">23 465,4 </w:t>
            </w:r>
          </w:p>
        </w:tc>
        <w:tc>
          <w:tcPr>
            <w:tcW w:w="1180" w:type="dxa"/>
            <w:tcBorders>
              <w:top w:val="nil"/>
              <w:left w:val="nil"/>
              <w:bottom w:val="single" w:sz="4" w:space="0" w:color="auto"/>
              <w:right w:val="single" w:sz="4" w:space="0" w:color="auto"/>
            </w:tcBorders>
            <w:shd w:val="clear" w:color="auto" w:fill="auto"/>
            <w:noWrap/>
            <w:vAlign w:val="bottom"/>
            <w:hideMark/>
          </w:tcPr>
          <w:p w14:paraId="4EE22DA6" w14:textId="77777777" w:rsidR="00016501" w:rsidRPr="00016501" w:rsidRDefault="7A495620" w:rsidP="7A495620">
            <w:pPr>
              <w:spacing w:after="0"/>
              <w:jc w:val="right"/>
              <w:rPr>
                <w:sz w:val="18"/>
                <w:szCs w:val="18"/>
              </w:rPr>
            </w:pPr>
            <w:r w:rsidRPr="7A495620">
              <w:rPr>
                <w:sz w:val="18"/>
                <w:szCs w:val="18"/>
              </w:rPr>
              <w:t xml:space="preserve">6 953,0 </w:t>
            </w:r>
          </w:p>
        </w:tc>
        <w:tc>
          <w:tcPr>
            <w:tcW w:w="1020" w:type="dxa"/>
            <w:tcBorders>
              <w:top w:val="nil"/>
              <w:left w:val="nil"/>
              <w:bottom w:val="single" w:sz="4" w:space="0" w:color="auto"/>
              <w:right w:val="single" w:sz="4" w:space="0" w:color="auto"/>
            </w:tcBorders>
            <w:shd w:val="clear" w:color="auto" w:fill="auto"/>
            <w:noWrap/>
            <w:vAlign w:val="bottom"/>
            <w:hideMark/>
          </w:tcPr>
          <w:p w14:paraId="55FE13BE" w14:textId="77777777" w:rsidR="00016501" w:rsidRPr="00016501" w:rsidRDefault="7A495620" w:rsidP="7A495620">
            <w:pPr>
              <w:spacing w:after="0"/>
              <w:jc w:val="right"/>
              <w:rPr>
                <w:sz w:val="18"/>
                <w:szCs w:val="18"/>
              </w:rPr>
            </w:pPr>
            <w:r w:rsidRPr="7A495620">
              <w:rPr>
                <w:sz w:val="18"/>
                <w:szCs w:val="18"/>
              </w:rPr>
              <w:t xml:space="preserve">29,6 </w:t>
            </w:r>
          </w:p>
        </w:tc>
        <w:tc>
          <w:tcPr>
            <w:tcW w:w="1000" w:type="dxa"/>
            <w:tcBorders>
              <w:top w:val="nil"/>
              <w:left w:val="nil"/>
              <w:bottom w:val="single" w:sz="4" w:space="0" w:color="auto"/>
              <w:right w:val="single" w:sz="4" w:space="0" w:color="auto"/>
            </w:tcBorders>
            <w:shd w:val="clear" w:color="auto" w:fill="auto"/>
            <w:noWrap/>
            <w:vAlign w:val="bottom"/>
            <w:hideMark/>
          </w:tcPr>
          <w:p w14:paraId="0F484315" w14:textId="77777777" w:rsidR="00016501" w:rsidRPr="00016501" w:rsidRDefault="7A495620" w:rsidP="7A495620">
            <w:pPr>
              <w:spacing w:after="0"/>
              <w:jc w:val="right"/>
              <w:rPr>
                <w:sz w:val="18"/>
                <w:szCs w:val="18"/>
              </w:rPr>
            </w:pPr>
            <w:r w:rsidRPr="7A495620">
              <w:rPr>
                <w:sz w:val="18"/>
                <w:szCs w:val="18"/>
              </w:rPr>
              <w:t xml:space="preserve">113,6 </w:t>
            </w:r>
          </w:p>
        </w:tc>
      </w:tr>
    </w:tbl>
    <w:p w14:paraId="6E1F6F69" w14:textId="77777777" w:rsidR="003172E1" w:rsidRDefault="003172E1" w:rsidP="00CF2C49">
      <w:pPr>
        <w:keepNext/>
      </w:pPr>
    </w:p>
    <w:p w14:paraId="475BFD86" w14:textId="0F00C463" w:rsidR="009B7DC5" w:rsidRDefault="009B7DC5" w:rsidP="51CD5D50">
      <w:pPr>
        <w:jc w:val="center"/>
        <w:rPr>
          <w:b/>
          <w:bCs/>
        </w:rPr>
      </w:pPr>
      <w:r>
        <w:rPr>
          <w:b/>
          <w:bCs/>
        </w:rPr>
        <w:br w:type="page"/>
      </w:r>
    </w:p>
    <w:p w14:paraId="2B7AC59C" w14:textId="77777777" w:rsidR="00C630CF" w:rsidRDefault="00C630CF" w:rsidP="51CD5D50">
      <w:pPr>
        <w:jc w:val="center"/>
        <w:rPr>
          <w:b/>
          <w:bCs/>
        </w:rPr>
      </w:pPr>
    </w:p>
    <w:p w14:paraId="5D4F01B7" w14:textId="6839E02E" w:rsidR="000D0735" w:rsidRPr="00DB479B" w:rsidRDefault="7A495620" w:rsidP="7A495620">
      <w:pPr>
        <w:jc w:val="center"/>
        <w:rPr>
          <w:b/>
          <w:bCs/>
        </w:rPr>
      </w:pPr>
      <w:r w:rsidRPr="7A495620">
        <w:rPr>
          <w:b/>
          <w:bCs/>
        </w:rPr>
        <w:t>I.</w:t>
      </w:r>
    </w:p>
    <w:p w14:paraId="5D4F01B8" w14:textId="77777777" w:rsidR="003C135C" w:rsidRDefault="7A495620" w:rsidP="003C135C">
      <w:pPr>
        <w:pStyle w:val="Cmsor2"/>
        <w:spacing w:before="0" w:after="120"/>
      </w:pPr>
      <w:r>
        <w:t xml:space="preserve">A központi alrendszer pénzügyi folyamatainak </w:t>
      </w:r>
      <w:r w:rsidR="30891728">
        <w:br/>
      </w:r>
      <w:r>
        <w:t>alakulása</w:t>
      </w:r>
    </w:p>
    <w:p w14:paraId="49F8AB94" w14:textId="77777777" w:rsidR="00953258" w:rsidRPr="00953258" w:rsidRDefault="00953258" w:rsidP="00953258"/>
    <w:p w14:paraId="16926C64" w14:textId="1C5FE3C5" w:rsidR="00D05D14" w:rsidRPr="00D05D14" w:rsidRDefault="7A495620" w:rsidP="00D05D14">
      <w:pPr>
        <w:pStyle w:val="Cmsor3"/>
        <w:numPr>
          <w:ilvl w:val="0"/>
          <w:numId w:val="8"/>
        </w:numPr>
        <w:spacing w:before="0" w:after="120"/>
        <w:jc w:val="left"/>
      </w:pPr>
      <w:r w:rsidRPr="7A495620">
        <w:rPr>
          <w:sz w:val="26"/>
          <w:szCs w:val="26"/>
        </w:rPr>
        <w:t>A főbb bevételek</w:t>
      </w:r>
    </w:p>
    <w:p w14:paraId="587B26A4" w14:textId="46628A48" w:rsidR="00E817D7" w:rsidRPr="00E817D7" w:rsidRDefault="7A495620" w:rsidP="7A495620">
      <w:pPr>
        <w:rPr>
          <w:rFonts w:cs="Tahoma"/>
          <w:b/>
          <w:bCs/>
        </w:rPr>
      </w:pPr>
      <w:r w:rsidRPr="7A495620">
        <w:rPr>
          <w:b/>
          <w:bCs/>
        </w:rPr>
        <w:t>A központi alrendszer 2021. március végi 5808,9 milliárd forint összegű bevételei az előző év azonos időszakához képest 518,2 milliárd forinttal, 9,8%-kal magasabb összegben alakultak</w:t>
      </w:r>
      <w:r w:rsidRPr="7A495620">
        <w:rPr>
          <w:rFonts w:cs="Tahoma"/>
          <w:b/>
          <w:bCs/>
        </w:rPr>
        <w:t xml:space="preserve">. Magasabban teljesültek – többek között – a társasági adóból, az általános forgalmi adóból, a személyi jövedelemadóból és a társadalombiztosítási járulékból származó bevételek, továbbá a költségvetési szervek bevételei, a Központi </w:t>
      </w:r>
      <w:proofErr w:type="spellStart"/>
      <w:r w:rsidRPr="7A495620">
        <w:rPr>
          <w:rFonts w:cs="Tahoma"/>
          <w:b/>
          <w:bCs/>
        </w:rPr>
        <w:t>Maradványelszámolási</w:t>
      </w:r>
      <w:proofErr w:type="spellEnd"/>
      <w:r w:rsidRPr="7A495620">
        <w:rPr>
          <w:rFonts w:cs="Tahoma"/>
          <w:b/>
          <w:bCs/>
        </w:rPr>
        <w:t xml:space="preserve"> Alapba történő befizetések és az uniós programok bevételei is. Elmaradtak viszont az egy évvel korábbi összegtől a szociális hozzájárulási adóból származó bevételek.</w:t>
      </w:r>
    </w:p>
    <w:p w14:paraId="259CE477" w14:textId="77777777" w:rsidR="00B91971" w:rsidRPr="00B91971" w:rsidRDefault="00B91971" w:rsidP="00483A53">
      <w:pPr>
        <w:rPr>
          <w:szCs w:val="26"/>
        </w:rPr>
      </w:pPr>
    </w:p>
    <w:p w14:paraId="4E50011F" w14:textId="4CF02913" w:rsidR="0022162F" w:rsidRDefault="00966599" w:rsidP="00483A53">
      <w:pPr>
        <w:rPr>
          <w:szCs w:val="26"/>
        </w:rPr>
      </w:pPr>
      <w:r>
        <w:rPr>
          <w:noProof/>
          <w:szCs w:val="26"/>
        </w:rPr>
        <w:drawing>
          <wp:inline distT="0" distB="0" distL="0" distR="0" wp14:anchorId="34649C3D" wp14:editId="322D6E7A">
            <wp:extent cx="5940425" cy="207899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vétel_megoszlás.png"/>
                    <pic:cNvPicPr/>
                  </pic:nvPicPr>
                  <pic:blipFill>
                    <a:blip r:embed="rId14">
                      <a:extLst>
                        <a:ext uri="{28A0092B-C50C-407E-A947-70E740481C1C}">
                          <a14:useLocalDpi xmlns:a14="http://schemas.microsoft.com/office/drawing/2010/main" val="0"/>
                        </a:ext>
                      </a:extLst>
                    </a:blip>
                    <a:stretch>
                      <a:fillRect/>
                    </a:stretch>
                  </pic:blipFill>
                  <pic:spPr>
                    <a:xfrm>
                      <a:off x="0" y="0"/>
                      <a:ext cx="5940425" cy="2078990"/>
                    </a:xfrm>
                    <a:prstGeom prst="rect">
                      <a:avLst/>
                    </a:prstGeom>
                  </pic:spPr>
                </pic:pic>
              </a:graphicData>
            </a:graphic>
          </wp:inline>
        </w:drawing>
      </w:r>
    </w:p>
    <w:p w14:paraId="3DD5A668" w14:textId="77777777" w:rsidR="00966599" w:rsidRDefault="00966599" w:rsidP="00483A53">
      <w:pPr>
        <w:rPr>
          <w:szCs w:val="26"/>
        </w:rPr>
      </w:pPr>
    </w:p>
    <w:p w14:paraId="78792053" w14:textId="77481719" w:rsidR="00B91971" w:rsidRDefault="7A495620" w:rsidP="00E75B9B">
      <w:pPr>
        <w:spacing w:before="120"/>
      </w:pPr>
      <w:r w:rsidRPr="7A495620">
        <w:rPr>
          <w:b/>
          <w:bCs/>
        </w:rPr>
        <w:t>Társasági adó</w:t>
      </w:r>
      <w:r>
        <w:t xml:space="preserve"> jogcímen 2021 első három hónapjában 114</w:t>
      </w:r>
      <w:r w:rsidR="00546DF1">
        <w:t>,0</w:t>
      </w:r>
      <w:r>
        <w:t xml:space="preserve"> milliárd forint bevétel </w:t>
      </w:r>
      <w:proofErr w:type="gramStart"/>
      <w:r>
        <w:t>realizálódott</w:t>
      </w:r>
      <w:proofErr w:type="gramEnd"/>
      <w:r>
        <w:t>, amely az előző év azonos időszakának bevételét 49,3 milliárd forinttal haladta meg. A bázisévhez viszonyítva az eltérést az okozta, hogy még 2019 decemberében utoljára lehetősége volt az adózóknak az önkéntes adóelőleg-kiegészítésre, melyhez kapcsolódóan rendelkezhettek is az adójukról. A felajánlott összegeknek az adóhatóság által történő tényleges kiutalása nagymértékben csúszott át 2020 januárjára, mintegy 40 milliárd forint összegben. Mivel a 2020. év végén már egyáltalán nem volt lehetőség a feltöltésre, ezért az ehhez kapcsolódó rendelkezés nem valósulhatott meg, így a 2021. januári kiutalás is mintegy 36 milliárd forinttal elmaradt az előző évi összegtől.</w:t>
      </w:r>
    </w:p>
    <w:p w14:paraId="6FFBEE4D" w14:textId="5E800987" w:rsidR="00FA2934" w:rsidRDefault="7A495620" w:rsidP="00E75B9B">
      <w:pPr>
        <w:spacing w:before="120"/>
      </w:pPr>
      <w:r w:rsidRPr="7A495620">
        <w:rPr>
          <w:b/>
          <w:bCs/>
        </w:rPr>
        <w:t>Pénzügyi szervezetek különadójából</w:t>
      </w:r>
      <w:r>
        <w:t xml:space="preserve"> származó bevétel 2021 első három hónapjában 15,4 milliárd forint volt, mely az egy évvel korábbihoz képest 1,3 milliárd forinttal maradt el. Ennek oka, hogy a hitelintézetek </w:t>
      </w:r>
      <w:r w:rsidR="00A66668">
        <w:t>a megfizetett járványügyi különadójuk miatt kedvezményt érvényesíthetnek.</w:t>
      </w:r>
    </w:p>
    <w:p w14:paraId="79232D36" w14:textId="32C96CAB" w:rsidR="00FA2934" w:rsidRDefault="7A495620" w:rsidP="00FA2934">
      <w:pPr>
        <w:spacing w:before="240"/>
      </w:pPr>
      <w:r>
        <w:lastRenderedPageBreak/>
        <w:t xml:space="preserve">A </w:t>
      </w:r>
      <w:r w:rsidRPr="7A495620">
        <w:rPr>
          <w:b/>
          <w:bCs/>
        </w:rPr>
        <w:t>kisadózók tételes adójából</w:t>
      </w:r>
      <w:r>
        <w:t xml:space="preserve"> származó bevétel az év első három hónapjában 51,8 milliárd forint volt, mely 3,</w:t>
      </w:r>
      <w:proofErr w:type="spellStart"/>
      <w:r>
        <w:t>3</w:t>
      </w:r>
      <w:proofErr w:type="spellEnd"/>
      <w:r>
        <w:t> milliárd forinttal magasabb az egy évvel korábbinál. Ennek oka az adóalanyok számának bővülése az előző év azonos időszakához képest.</w:t>
      </w:r>
    </w:p>
    <w:p w14:paraId="3BD54B80" w14:textId="61ECD39B" w:rsidR="00FA2934" w:rsidRPr="0009352F" w:rsidRDefault="7A495620" w:rsidP="00FA2934">
      <w:pPr>
        <w:spacing w:before="240"/>
      </w:pPr>
      <w:r>
        <w:t xml:space="preserve">A </w:t>
      </w:r>
      <w:r w:rsidRPr="7A495620">
        <w:rPr>
          <w:b/>
          <w:bCs/>
        </w:rPr>
        <w:t xml:space="preserve">kisvállalati adóból </w:t>
      </w:r>
      <w:r>
        <w:t>származó bevétel 2021 első három hónapjában 22,7 milliárd forint volt, mely 2,7 milliárd forinttal magasabb az egy évvel korábbinál. Ennek hátterében az adóalanyok számának bővülése áll.</w:t>
      </w:r>
    </w:p>
    <w:p w14:paraId="36F2DF75" w14:textId="518BA250" w:rsidR="000851FF" w:rsidRDefault="7A495620" w:rsidP="00E75B9B">
      <w:pPr>
        <w:spacing w:before="120"/>
      </w:pPr>
      <w:r>
        <w:t xml:space="preserve">Az </w:t>
      </w:r>
      <w:r w:rsidRPr="7A495620">
        <w:rPr>
          <w:b/>
          <w:bCs/>
        </w:rPr>
        <w:t>egyéb központosított bevételek</w:t>
      </w:r>
      <w:r>
        <w:t>ből március végéig összesen 113,6 milliárd forint teljesült, amely a törvényi előirányzat 24,2%-ának felel meg. Ezen belül kiemelendő az elektronikus útdíj 53,4 milliárd forintot kitevő összege.</w:t>
      </w:r>
    </w:p>
    <w:tbl>
      <w:tblPr>
        <w:tblW w:w="7936" w:type="dxa"/>
        <w:tblInd w:w="496" w:type="dxa"/>
        <w:tblCellMar>
          <w:left w:w="70" w:type="dxa"/>
          <w:right w:w="70" w:type="dxa"/>
        </w:tblCellMar>
        <w:tblLook w:val="04A0" w:firstRow="1" w:lastRow="0" w:firstColumn="1" w:lastColumn="0" w:noHBand="0" w:noVBand="1"/>
      </w:tblPr>
      <w:tblGrid>
        <w:gridCol w:w="2976"/>
        <w:gridCol w:w="1418"/>
        <w:gridCol w:w="1417"/>
        <w:gridCol w:w="1276"/>
        <w:gridCol w:w="849"/>
      </w:tblGrid>
      <w:tr w:rsidR="00723EB0" w:rsidRPr="00723EB0" w14:paraId="2D01000F" w14:textId="77777777" w:rsidTr="7A495620">
        <w:trPr>
          <w:trHeight w:val="396"/>
        </w:trPr>
        <w:tc>
          <w:tcPr>
            <w:tcW w:w="7936" w:type="dxa"/>
            <w:gridSpan w:val="5"/>
            <w:tcBorders>
              <w:top w:val="nil"/>
              <w:left w:val="nil"/>
              <w:bottom w:val="nil"/>
              <w:right w:val="nil"/>
            </w:tcBorders>
            <w:shd w:val="clear" w:color="auto" w:fill="auto"/>
            <w:noWrap/>
            <w:vAlign w:val="bottom"/>
            <w:hideMark/>
          </w:tcPr>
          <w:p w14:paraId="7F925CD9" w14:textId="530A8F2A" w:rsidR="00723EB0" w:rsidRPr="00723EB0" w:rsidRDefault="00FA2934" w:rsidP="7A495620">
            <w:pPr>
              <w:ind w:left="512" w:hanging="512"/>
              <w:jc w:val="center"/>
              <w:rPr>
                <w:b/>
                <w:bCs/>
                <w:color w:val="000000" w:themeColor="text1"/>
                <w:sz w:val="20"/>
              </w:rPr>
            </w:pPr>
            <w:r>
              <w:br w:type="page"/>
            </w:r>
            <w:r w:rsidR="7A495620" w:rsidRPr="7A495620">
              <w:rPr>
                <w:b/>
                <w:bCs/>
                <w:color w:val="000000" w:themeColor="text1"/>
                <w:sz w:val="20"/>
              </w:rPr>
              <w:t>Egyéb központosított bevételek alakulása (millió forint)</w:t>
            </w:r>
          </w:p>
        </w:tc>
      </w:tr>
      <w:tr w:rsidR="00780F67" w:rsidRPr="00723EB0" w14:paraId="40D4C144" w14:textId="77777777" w:rsidTr="7A495620">
        <w:trPr>
          <w:trHeight w:val="435"/>
        </w:trPr>
        <w:tc>
          <w:tcPr>
            <w:tcW w:w="2976"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1237094F" w14:textId="77777777" w:rsidR="00780F67" w:rsidRPr="00723EB0" w:rsidRDefault="7A495620" w:rsidP="7A495620">
            <w:pPr>
              <w:ind w:left="512" w:hanging="512"/>
              <w:jc w:val="center"/>
              <w:rPr>
                <w:b/>
                <w:bCs/>
                <w:color w:val="000000" w:themeColor="text1"/>
                <w:sz w:val="20"/>
              </w:rPr>
            </w:pPr>
            <w:r w:rsidRPr="7A495620">
              <w:rPr>
                <w:b/>
                <w:bCs/>
                <w:color w:val="000000" w:themeColor="text1"/>
                <w:sz w:val="20"/>
              </w:rPr>
              <w:t>Megnevezés</w:t>
            </w:r>
          </w:p>
        </w:tc>
        <w:tc>
          <w:tcPr>
            <w:tcW w:w="1418" w:type="dxa"/>
            <w:vMerge w:val="restart"/>
            <w:tcBorders>
              <w:top w:val="single" w:sz="8" w:space="0" w:color="auto"/>
              <w:left w:val="single" w:sz="8" w:space="0" w:color="auto"/>
              <w:bottom w:val="single" w:sz="8" w:space="0" w:color="000000" w:themeColor="text1"/>
              <w:right w:val="single" w:sz="4" w:space="0" w:color="auto"/>
            </w:tcBorders>
            <w:shd w:val="clear" w:color="auto" w:fill="auto"/>
            <w:vAlign w:val="center"/>
            <w:hideMark/>
          </w:tcPr>
          <w:p w14:paraId="646CC402" w14:textId="74DEC98D" w:rsidR="00780F67" w:rsidRPr="00723EB0" w:rsidRDefault="7A495620" w:rsidP="7A495620">
            <w:pPr>
              <w:spacing w:after="0"/>
              <w:jc w:val="center"/>
              <w:rPr>
                <w:b/>
                <w:bCs/>
                <w:sz w:val="20"/>
              </w:rPr>
            </w:pPr>
            <w:r w:rsidRPr="7A495620">
              <w:rPr>
                <w:b/>
                <w:bCs/>
                <w:sz w:val="20"/>
              </w:rPr>
              <w:t>2020. I-III. hó</w:t>
            </w:r>
          </w:p>
        </w:tc>
        <w:tc>
          <w:tcPr>
            <w:tcW w:w="1417" w:type="dxa"/>
            <w:vMerge w:val="restart"/>
            <w:tcBorders>
              <w:top w:val="single" w:sz="8" w:space="0" w:color="auto"/>
              <w:left w:val="single" w:sz="4" w:space="0" w:color="auto"/>
              <w:bottom w:val="single" w:sz="8" w:space="0" w:color="000000" w:themeColor="text1"/>
              <w:right w:val="single" w:sz="8" w:space="0" w:color="auto"/>
            </w:tcBorders>
            <w:shd w:val="clear" w:color="auto" w:fill="auto"/>
            <w:vAlign w:val="center"/>
            <w:hideMark/>
          </w:tcPr>
          <w:p w14:paraId="3BA8764A" w14:textId="78361AB1" w:rsidR="00780F67" w:rsidRPr="00723EB0" w:rsidRDefault="7A495620" w:rsidP="7A495620">
            <w:pPr>
              <w:spacing w:after="0"/>
              <w:ind w:left="512" w:hanging="512"/>
              <w:jc w:val="center"/>
              <w:rPr>
                <w:b/>
                <w:bCs/>
                <w:sz w:val="20"/>
              </w:rPr>
            </w:pPr>
            <w:r w:rsidRPr="7A495620">
              <w:rPr>
                <w:b/>
                <w:bCs/>
                <w:sz w:val="20"/>
              </w:rPr>
              <w:t>2021. I-III. hó</w:t>
            </w:r>
          </w:p>
        </w:tc>
        <w:tc>
          <w:tcPr>
            <w:tcW w:w="212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48CECE7F" w14:textId="77777777" w:rsidR="00780F67" w:rsidRPr="00723EB0" w:rsidRDefault="7A495620" w:rsidP="7A495620">
            <w:pPr>
              <w:ind w:left="512" w:hanging="512"/>
              <w:jc w:val="center"/>
              <w:rPr>
                <w:b/>
                <w:bCs/>
                <w:color w:val="000000" w:themeColor="text1"/>
                <w:sz w:val="20"/>
              </w:rPr>
            </w:pPr>
            <w:r w:rsidRPr="7A495620">
              <w:rPr>
                <w:b/>
                <w:bCs/>
                <w:color w:val="000000" w:themeColor="text1"/>
                <w:sz w:val="20"/>
              </w:rPr>
              <w:t>Eltérés</w:t>
            </w:r>
          </w:p>
        </w:tc>
      </w:tr>
      <w:tr w:rsidR="00780F67" w:rsidRPr="00723EB0" w14:paraId="410332D0" w14:textId="77777777" w:rsidTr="7A495620">
        <w:trPr>
          <w:trHeight w:val="373"/>
        </w:trPr>
        <w:tc>
          <w:tcPr>
            <w:tcW w:w="2976" w:type="dxa"/>
            <w:vMerge/>
            <w:tcBorders>
              <w:top w:val="single" w:sz="8" w:space="0" w:color="auto"/>
              <w:left w:val="single" w:sz="8" w:space="0" w:color="auto"/>
              <w:bottom w:val="single" w:sz="8" w:space="0" w:color="000000"/>
              <w:right w:val="single" w:sz="8" w:space="0" w:color="auto"/>
            </w:tcBorders>
            <w:vAlign w:val="center"/>
            <w:hideMark/>
          </w:tcPr>
          <w:p w14:paraId="3D073375" w14:textId="5394FFB6" w:rsidR="00780F67" w:rsidRPr="00723EB0" w:rsidRDefault="00780F67" w:rsidP="00D432CD">
            <w:pPr>
              <w:ind w:left="512" w:hanging="512"/>
              <w:jc w:val="center"/>
              <w:rPr>
                <w:b/>
                <w:bCs/>
                <w:color w:val="000000" w:themeColor="text1"/>
                <w:sz w:val="20"/>
              </w:rPr>
            </w:pPr>
          </w:p>
        </w:tc>
        <w:tc>
          <w:tcPr>
            <w:tcW w:w="1418" w:type="dxa"/>
            <w:vMerge/>
            <w:tcBorders>
              <w:top w:val="single" w:sz="8" w:space="0" w:color="auto"/>
              <w:left w:val="single" w:sz="8" w:space="0" w:color="auto"/>
              <w:bottom w:val="single" w:sz="8" w:space="0" w:color="000000"/>
              <w:right w:val="single" w:sz="4" w:space="0" w:color="auto"/>
            </w:tcBorders>
            <w:vAlign w:val="center"/>
            <w:hideMark/>
          </w:tcPr>
          <w:p w14:paraId="584DDC9B" w14:textId="77777777" w:rsidR="00780F67" w:rsidRPr="00723EB0" w:rsidRDefault="00780F67" w:rsidP="00D432CD">
            <w:pPr>
              <w:ind w:left="512" w:hanging="512"/>
              <w:jc w:val="center"/>
              <w:rPr>
                <w:b/>
                <w:bCs/>
                <w:color w:val="000000" w:themeColor="text1"/>
                <w:sz w:val="20"/>
              </w:rPr>
            </w:pPr>
          </w:p>
        </w:tc>
        <w:tc>
          <w:tcPr>
            <w:tcW w:w="1417" w:type="dxa"/>
            <w:vMerge/>
            <w:tcBorders>
              <w:top w:val="single" w:sz="8" w:space="0" w:color="auto"/>
              <w:left w:val="single" w:sz="4" w:space="0" w:color="auto"/>
              <w:bottom w:val="single" w:sz="8" w:space="0" w:color="000000"/>
              <w:right w:val="single" w:sz="8" w:space="0" w:color="auto"/>
            </w:tcBorders>
            <w:vAlign w:val="center"/>
            <w:hideMark/>
          </w:tcPr>
          <w:p w14:paraId="3E14FCA0" w14:textId="77777777" w:rsidR="00780F67" w:rsidRPr="00723EB0" w:rsidRDefault="00780F67" w:rsidP="00D432CD">
            <w:pPr>
              <w:ind w:left="512" w:hanging="512"/>
              <w:jc w:val="center"/>
              <w:rPr>
                <w:b/>
                <w:bCs/>
                <w:color w:val="000000" w:themeColor="text1"/>
                <w:sz w:val="20"/>
              </w:rPr>
            </w:pPr>
          </w:p>
        </w:tc>
        <w:tc>
          <w:tcPr>
            <w:tcW w:w="1276" w:type="dxa"/>
            <w:tcBorders>
              <w:top w:val="nil"/>
              <w:left w:val="nil"/>
              <w:bottom w:val="single" w:sz="8" w:space="0" w:color="auto"/>
              <w:right w:val="single" w:sz="4" w:space="0" w:color="auto"/>
            </w:tcBorders>
            <w:shd w:val="clear" w:color="auto" w:fill="auto"/>
            <w:vAlign w:val="center"/>
            <w:hideMark/>
          </w:tcPr>
          <w:p w14:paraId="462C698E" w14:textId="09D55B70" w:rsidR="00780F67" w:rsidRPr="00723EB0" w:rsidRDefault="7A495620" w:rsidP="7A495620">
            <w:pPr>
              <w:spacing w:after="0"/>
              <w:ind w:left="512" w:hanging="512"/>
              <w:jc w:val="center"/>
              <w:rPr>
                <w:b/>
                <w:bCs/>
                <w:color w:val="000000" w:themeColor="text1"/>
                <w:sz w:val="20"/>
              </w:rPr>
            </w:pPr>
            <w:r w:rsidRPr="7A495620">
              <w:rPr>
                <w:b/>
                <w:bCs/>
                <w:color w:val="000000" w:themeColor="text1"/>
                <w:sz w:val="20"/>
              </w:rPr>
              <w:t>millió forint</w:t>
            </w:r>
          </w:p>
        </w:tc>
        <w:tc>
          <w:tcPr>
            <w:tcW w:w="849" w:type="dxa"/>
            <w:tcBorders>
              <w:top w:val="nil"/>
              <w:left w:val="nil"/>
              <w:bottom w:val="single" w:sz="8" w:space="0" w:color="auto"/>
              <w:right w:val="single" w:sz="8" w:space="0" w:color="auto"/>
            </w:tcBorders>
            <w:shd w:val="clear" w:color="auto" w:fill="auto"/>
            <w:noWrap/>
            <w:vAlign w:val="center"/>
            <w:hideMark/>
          </w:tcPr>
          <w:p w14:paraId="30DA47DA" w14:textId="77777777" w:rsidR="00780F67" w:rsidRPr="00723EB0" w:rsidRDefault="7A495620" w:rsidP="7A495620">
            <w:pPr>
              <w:spacing w:after="0"/>
              <w:ind w:left="512" w:hanging="512"/>
              <w:jc w:val="center"/>
              <w:rPr>
                <w:color w:val="000000" w:themeColor="text1"/>
                <w:sz w:val="22"/>
                <w:szCs w:val="22"/>
              </w:rPr>
            </w:pPr>
            <w:r w:rsidRPr="7A495620">
              <w:rPr>
                <w:color w:val="000000" w:themeColor="text1"/>
                <w:sz w:val="22"/>
                <w:szCs w:val="22"/>
              </w:rPr>
              <w:t>%</w:t>
            </w:r>
          </w:p>
        </w:tc>
      </w:tr>
      <w:tr w:rsidR="003F33B9" w:rsidRPr="00C86784" w14:paraId="5A763D68" w14:textId="77777777" w:rsidTr="7A49562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50871522" w14:textId="1C56AEA9" w:rsidR="003F33B9" w:rsidRPr="00723EB0" w:rsidRDefault="7A495620" w:rsidP="7A495620">
            <w:pPr>
              <w:overflowPunct w:val="0"/>
              <w:autoSpaceDE w:val="0"/>
              <w:autoSpaceDN w:val="0"/>
              <w:adjustRightInd w:val="0"/>
              <w:ind w:left="512" w:hanging="512"/>
              <w:textAlignment w:val="baseline"/>
              <w:rPr>
                <w:color w:val="000000" w:themeColor="text1"/>
                <w:sz w:val="20"/>
              </w:rPr>
            </w:pPr>
            <w:r w:rsidRPr="7A495620">
              <w:rPr>
                <w:color w:val="000000" w:themeColor="text1"/>
                <w:sz w:val="20"/>
              </w:rPr>
              <w:t>Környezetvédelmi termékdíjak</w:t>
            </w:r>
          </w:p>
        </w:tc>
        <w:tc>
          <w:tcPr>
            <w:tcW w:w="1418" w:type="dxa"/>
            <w:tcBorders>
              <w:top w:val="nil"/>
              <w:left w:val="single" w:sz="8" w:space="0" w:color="auto"/>
              <w:bottom w:val="single" w:sz="4" w:space="0" w:color="auto"/>
              <w:right w:val="single" w:sz="4" w:space="0" w:color="auto"/>
            </w:tcBorders>
            <w:shd w:val="clear" w:color="auto" w:fill="auto"/>
            <w:noWrap/>
            <w:vAlign w:val="center"/>
          </w:tcPr>
          <w:p w14:paraId="69429D14" w14:textId="79A4EEA1"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7 219,5</w:t>
            </w:r>
          </w:p>
        </w:tc>
        <w:tc>
          <w:tcPr>
            <w:tcW w:w="1417" w:type="dxa"/>
            <w:tcBorders>
              <w:top w:val="nil"/>
              <w:left w:val="nil"/>
              <w:bottom w:val="single" w:sz="4" w:space="0" w:color="auto"/>
              <w:right w:val="single" w:sz="8" w:space="0" w:color="auto"/>
            </w:tcBorders>
            <w:shd w:val="clear" w:color="auto" w:fill="auto"/>
            <w:noWrap/>
            <w:vAlign w:val="center"/>
          </w:tcPr>
          <w:p w14:paraId="3B90FF67" w14:textId="4F711A76"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9 523,7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A2E4EA" w14:textId="62BE8D5F" w:rsidR="003F33B9" w:rsidRPr="003F33B9" w:rsidRDefault="7A495620" w:rsidP="005E7761">
            <w:pPr>
              <w:overflowPunct w:val="0"/>
              <w:autoSpaceDE w:val="0"/>
              <w:autoSpaceDN w:val="0"/>
              <w:adjustRightInd w:val="0"/>
              <w:ind w:left="512" w:hanging="512"/>
              <w:jc w:val="right"/>
              <w:textAlignment w:val="baseline"/>
              <w:rPr>
                <w:sz w:val="20"/>
              </w:rPr>
            </w:pPr>
            <w:r w:rsidRPr="7A495620">
              <w:rPr>
                <w:color w:val="000000" w:themeColor="text1"/>
                <w:sz w:val="20"/>
              </w:rPr>
              <w:t>2 304,</w:t>
            </w:r>
            <w:r w:rsidR="005E7761">
              <w:rPr>
                <w:color w:val="000000" w:themeColor="text1"/>
                <w:sz w:val="20"/>
              </w:rPr>
              <w:t>2</w:t>
            </w:r>
          </w:p>
        </w:tc>
        <w:tc>
          <w:tcPr>
            <w:tcW w:w="849" w:type="dxa"/>
            <w:tcBorders>
              <w:top w:val="nil"/>
              <w:left w:val="nil"/>
              <w:bottom w:val="single" w:sz="4" w:space="0" w:color="auto"/>
              <w:right w:val="single" w:sz="8" w:space="0" w:color="auto"/>
            </w:tcBorders>
            <w:shd w:val="clear" w:color="auto" w:fill="auto"/>
            <w:noWrap/>
            <w:vAlign w:val="center"/>
          </w:tcPr>
          <w:p w14:paraId="3834BE53" w14:textId="0988B0E6"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131,9</w:t>
            </w:r>
          </w:p>
        </w:tc>
      </w:tr>
      <w:tr w:rsidR="003F33B9" w:rsidRPr="00C86784" w14:paraId="5D3B11E5" w14:textId="77777777" w:rsidTr="7A49562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051EB506" w14:textId="4CD895AC" w:rsidR="003F33B9" w:rsidRPr="00723EB0" w:rsidRDefault="7A495620" w:rsidP="7A495620">
            <w:pPr>
              <w:overflowPunct w:val="0"/>
              <w:autoSpaceDE w:val="0"/>
              <w:autoSpaceDN w:val="0"/>
              <w:adjustRightInd w:val="0"/>
              <w:ind w:left="512" w:hanging="512"/>
              <w:textAlignment w:val="baseline"/>
              <w:rPr>
                <w:color w:val="000000" w:themeColor="text1"/>
                <w:sz w:val="20"/>
              </w:rPr>
            </w:pPr>
            <w:proofErr w:type="spellStart"/>
            <w:r w:rsidRPr="7A495620">
              <w:rPr>
                <w:color w:val="000000" w:themeColor="text1"/>
                <w:sz w:val="20"/>
              </w:rPr>
              <w:t>Vízkészletjárulék</w:t>
            </w:r>
            <w:proofErr w:type="spellEnd"/>
          </w:p>
        </w:tc>
        <w:tc>
          <w:tcPr>
            <w:tcW w:w="1418" w:type="dxa"/>
            <w:tcBorders>
              <w:top w:val="nil"/>
              <w:left w:val="single" w:sz="8" w:space="0" w:color="auto"/>
              <w:bottom w:val="single" w:sz="4" w:space="0" w:color="auto"/>
              <w:right w:val="single" w:sz="4" w:space="0" w:color="auto"/>
            </w:tcBorders>
            <w:shd w:val="clear" w:color="auto" w:fill="auto"/>
            <w:noWrap/>
            <w:vAlign w:val="center"/>
          </w:tcPr>
          <w:p w14:paraId="06134C6C" w14:textId="3410E558"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1 986,7</w:t>
            </w:r>
          </w:p>
        </w:tc>
        <w:tc>
          <w:tcPr>
            <w:tcW w:w="1417" w:type="dxa"/>
            <w:tcBorders>
              <w:top w:val="nil"/>
              <w:left w:val="nil"/>
              <w:bottom w:val="single" w:sz="4" w:space="0" w:color="auto"/>
              <w:right w:val="single" w:sz="8" w:space="0" w:color="auto"/>
            </w:tcBorders>
            <w:shd w:val="clear" w:color="auto" w:fill="auto"/>
            <w:noWrap/>
            <w:vAlign w:val="center"/>
          </w:tcPr>
          <w:p w14:paraId="2D678947" w14:textId="06434943"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3 360,6</w:t>
            </w:r>
          </w:p>
        </w:tc>
        <w:tc>
          <w:tcPr>
            <w:tcW w:w="1276" w:type="dxa"/>
            <w:tcBorders>
              <w:top w:val="nil"/>
              <w:left w:val="nil"/>
              <w:bottom w:val="single" w:sz="4" w:space="0" w:color="auto"/>
              <w:right w:val="single" w:sz="4" w:space="0" w:color="auto"/>
            </w:tcBorders>
            <w:shd w:val="clear" w:color="auto" w:fill="auto"/>
            <w:noWrap/>
            <w:vAlign w:val="center"/>
          </w:tcPr>
          <w:p w14:paraId="780A2B8D" w14:textId="62FF2908"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1 373,9</w:t>
            </w:r>
          </w:p>
        </w:tc>
        <w:tc>
          <w:tcPr>
            <w:tcW w:w="849" w:type="dxa"/>
            <w:tcBorders>
              <w:top w:val="nil"/>
              <w:left w:val="nil"/>
              <w:bottom w:val="single" w:sz="4" w:space="0" w:color="auto"/>
              <w:right w:val="single" w:sz="8" w:space="0" w:color="auto"/>
            </w:tcBorders>
            <w:shd w:val="clear" w:color="auto" w:fill="auto"/>
            <w:noWrap/>
            <w:vAlign w:val="center"/>
          </w:tcPr>
          <w:p w14:paraId="3935BA5B" w14:textId="3CE0A1EC"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169,2</w:t>
            </w:r>
          </w:p>
        </w:tc>
      </w:tr>
      <w:tr w:rsidR="003F33B9" w:rsidRPr="00C86784" w14:paraId="036E62E4" w14:textId="77777777" w:rsidTr="7A495620">
        <w:trPr>
          <w:trHeight w:val="319"/>
        </w:trPr>
        <w:tc>
          <w:tcPr>
            <w:tcW w:w="2976" w:type="dxa"/>
            <w:tcBorders>
              <w:top w:val="nil"/>
              <w:left w:val="single" w:sz="8" w:space="0" w:color="auto"/>
              <w:bottom w:val="single" w:sz="4" w:space="0" w:color="auto"/>
              <w:right w:val="single" w:sz="8" w:space="0" w:color="auto"/>
            </w:tcBorders>
            <w:shd w:val="clear" w:color="auto" w:fill="auto"/>
            <w:hideMark/>
          </w:tcPr>
          <w:p w14:paraId="3E2A5A0E" w14:textId="1E9EF1BF" w:rsidR="003F33B9" w:rsidRPr="00723EB0" w:rsidRDefault="7A495620" w:rsidP="7A495620">
            <w:pPr>
              <w:overflowPunct w:val="0"/>
              <w:autoSpaceDE w:val="0"/>
              <w:autoSpaceDN w:val="0"/>
              <w:adjustRightInd w:val="0"/>
              <w:ind w:left="512" w:hanging="512"/>
              <w:textAlignment w:val="baseline"/>
              <w:rPr>
                <w:color w:val="000000" w:themeColor="text1"/>
                <w:sz w:val="20"/>
              </w:rPr>
            </w:pPr>
            <w:r w:rsidRPr="7A495620">
              <w:rPr>
                <w:color w:val="000000" w:themeColor="text1"/>
                <w:sz w:val="20"/>
              </w:rPr>
              <w:t>Hulladéklerakási járulék</w:t>
            </w:r>
          </w:p>
        </w:tc>
        <w:tc>
          <w:tcPr>
            <w:tcW w:w="1418" w:type="dxa"/>
            <w:tcBorders>
              <w:top w:val="nil"/>
              <w:left w:val="single" w:sz="8" w:space="0" w:color="auto"/>
              <w:bottom w:val="single" w:sz="4" w:space="0" w:color="auto"/>
              <w:right w:val="single" w:sz="4" w:space="0" w:color="auto"/>
            </w:tcBorders>
            <w:shd w:val="clear" w:color="auto" w:fill="auto"/>
            <w:noWrap/>
            <w:vAlign w:val="center"/>
          </w:tcPr>
          <w:p w14:paraId="79CD9915" w14:textId="6645BA7C"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3 800,7</w:t>
            </w:r>
          </w:p>
        </w:tc>
        <w:tc>
          <w:tcPr>
            <w:tcW w:w="1417" w:type="dxa"/>
            <w:tcBorders>
              <w:top w:val="nil"/>
              <w:left w:val="nil"/>
              <w:bottom w:val="single" w:sz="4" w:space="0" w:color="auto"/>
              <w:right w:val="single" w:sz="8" w:space="0" w:color="auto"/>
            </w:tcBorders>
            <w:shd w:val="clear" w:color="auto" w:fill="auto"/>
            <w:noWrap/>
            <w:vAlign w:val="center"/>
          </w:tcPr>
          <w:p w14:paraId="5F76BE34" w14:textId="31D2DE87"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3 750,0</w:t>
            </w:r>
          </w:p>
        </w:tc>
        <w:tc>
          <w:tcPr>
            <w:tcW w:w="1276" w:type="dxa"/>
            <w:tcBorders>
              <w:top w:val="nil"/>
              <w:left w:val="nil"/>
              <w:bottom w:val="single" w:sz="4" w:space="0" w:color="auto"/>
              <w:right w:val="single" w:sz="4" w:space="0" w:color="auto"/>
            </w:tcBorders>
            <w:shd w:val="clear" w:color="auto" w:fill="auto"/>
            <w:noWrap/>
            <w:vAlign w:val="center"/>
          </w:tcPr>
          <w:p w14:paraId="696BA93B" w14:textId="4C764F39"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-50,7</w:t>
            </w:r>
          </w:p>
        </w:tc>
        <w:tc>
          <w:tcPr>
            <w:tcW w:w="849" w:type="dxa"/>
            <w:tcBorders>
              <w:top w:val="nil"/>
              <w:left w:val="nil"/>
              <w:bottom w:val="single" w:sz="4" w:space="0" w:color="auto"/>
              <w:right w:val="single" w:sz="8" w:space="0" w:color="auto"/>
            </w:tcBorders>
            <w:shd w:val="clear" w:color="auto" w:fill="auto"/>
            <w:noWrap/>
            <w:vAlign w:val="center"/>
          </w:tcPr>
          <w:p w14:paraId="62481C31" w14:textId="71E1F3ED"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98,7</w:t>
            </w:r>
          </w:p>
        </w:tc>
      </w:tr>
      <w:tr w:rsidR="003F33B9" w:rsidRPr="00C86784" w14:paraId="2B8FF813" w14:textId="77777777" w:rsidTr="7A49562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3CD46533" w14:textId="6E246FE2" w:rsidR="003F33B9" w:rsidRPr="00723EB0" w:rsidRDefault="7A495620" w:rsidP="7A495620">
            <w:pPr>
              <w:overflowPunct w:val="0"/>
              <w:autoSpaceDE w:val="0"/>
              <w:autoSpaceDN w:val="0"/>
              <w:adjustRightInd w:val="0"/>
              <w:ind w:left="512" w:hanging="512"/>
              <w:textAlignment w:val="baseline"/>
              <w:rPr>
                <w:color w:val="000000" w:themeColor="text1"/>
                <w:sz w:val="20"/>
              </w:rPr>
            </w:pPr>
            <w:r w:rsidRPr="7A495620">
              <w:rPr>
                <w:color w:val="000000" w:themeColor="text1"/>
                <w:sz w:val="20"/>
              </w:rPr>
              <w:t>Elektronikus útdíj</w:t>
            </w:r>
          </w:p>
        </w:tc>
        <w:tc>
          <w:tcPr>
            <w:tcW w:w="1418" w:type="dxa"/>
            <w:tcBorders>
              <w:top w:val="nil"/>
              <w:left w:val="single" w:sz="8" w:space="0" w:color="auto"/>
              <w:bottom w:val="single" w:sz="4" w:space="0" w:color="auto"/>
              <w:right w:val="single" w:sz="4" w:space="0" w:color="auto"/>
            </w:tcBorders>
            <w:shd w:val="clear" w:color="auto" w:fill="auto"/>
            <w:noWrap/>
            <w:vAlign w:val="center"/>
          </w:tcPr>
          <w:p w14:paraId="3B3B1AFD" w14:textId="36CE9E57"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49 178,9</w:t>
            </w:r>
          </w:p>
        </w:tc>
        <w:tc>
          <w:tcPr>
            <w:tcW w:w="1417" w:type="dxa"/>
            <w:tcBorders>
              <w:top w:val="nil"/>
              <w:left w:val="nil"/>
              <w:bottom w:val="single" w:sz="4" w:space="0" w:color="auto"/>
              <w:right w:val="single" w:sz="8" w:space="0" w:color="auto"/>
            </w:tcBorders>
            <w:shd w:val="clear" w:color="auto" w:fill="auto"/>
            <w:noWrap/>
            <w:vAlign w:val="center"/>
          </w:tcPr>
          <w:p w14:paraId="65871DFF" w14:textId="411D0051"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53 380,7</w:t>
            </w:r>
          </w:p>
        </w:tc>
        <w:tc>
          <w:tcPr>
            <w:tcW w:w="1276" w:type="dxa"/>
            <w:tcBorders>
              <w:top w:val="nil"/>
              <w:left w:val="nil"/>
              <w:bottom w:val="single" w:sz="4" w:space="0" w:color="auto"/>
              <w:right w:val="single" w:sz="4" w:space="0" w:color="auto"/>
            </w:tcBorders>
            <w:shd w:val="clear" w:color="auto" w:fill="auto"/>
            <w:noWrap/>
            <w:vAlign w:val="center"/>
          </w:tcPr>
          <w:p w14:paraId="0B96A16C" w14:textId="32B73D48"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4 201,8</w:t>
            </w:r>
          </w:p>
        </w:tc>
        <w:tc>
          <w:tcPr>
            <w:tcW w:w="849" w:type="dxa"/>
            <w:tcBorders>
              <w:top w:val="nil"/>
              <w:left w:val="nil"/>
              <w:bottom w:val="single" w:sz="4" w:space="0" w:color="auto"/>
              <w:right w:val="single" w:sz="8" w:space="0" w:color="auto"/>
            </w:tcBorders>
            <w:shd w:val="clear" w:color="auto" w:fill="auto"/>
            <w:noWrap/>
            <w:vAlign w:val="center"/>
          </w:tcPr>
          <w:p w14:paraId="2CBB6149" w14:textId="0DBE7408"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108,5</w:t>
            </w:r>
          </w:p>
        </w:tc>
      </w:tr>
      <w:tr w:rsidR="003F33B9" w:rsidRPr="00C86784" w14:paraId="01244098" w14:textId="77777777" w:rsidTr="7A49562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4D2CC07A" w14:textId="42659F3A" w:rsidR="003F33B9" w:rsidRPr="00723EB0" w:rsidRDefault="7A495620" w:rsidP="7A495620">
            <w:pPr>
              <w:overflowPunct w:val="0"/>
              <w:autoSpaceDE w:val="0"/>
              <w:autoSpaceDN w:val="0"/>
              <w:adjustRightInd w:val="0"/>
              <w:ind w:left="512" w:hanging="512"/>
              <w:textAlignment w:val="baseline"/>
              <w:rPr>
                <w:color w:val="000000" w:themeColor="text1"/>
                <w:sz w:val="20"/>
              </w:rPr>
            </w:pPr>
            <w:r w:rsidRPr="7A495620">
              <w:rPr>
                <w:color w:val="000000" w:themeColor="text1"/>
                <w:sz w:val="20"/>
              </w:rPr>
              <w:t>Korkedvezmény-biztosítási járulék</w:t>
            </w:r>
          </w:p>
        </w:tc>
        <w:tc>
          <w:tcPr>
            <w:tcW w:w="1418" w:type="dxa"/>
            <w:tcBorders>
              <w:top w:val="nil"/>
              <w:left w:val="single" w:sz="8" w:space="0" w:color="auto"/>
              <w:bottom w:val="single" w:sz="4" w:space="0" w:color="auto"/>
              <w:right w:val="single" w:sz="4" w:space="0" w:color="auto"/>
            </w:tcBorders>
            <w:shd w:val="clear" w:color="auto" w:fill="auto"/>
            <w:noWrap/>
            <w:vAlign w:val="center"/>
          </w:tcPr>
          <w:p w14:paraId="48E0DE6A" w14:textId="7513D9C2"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2,1</w:t>
            </w:r>
          </w:p>
        </w:tc>
        <w:tc>
          <w:tcPr>
            <w:tcW w:w="1417" w:type="dxa"/>
            <w:tcBorders>
              <w:top w:val="nil"/>
              <w:left w:val="nil"/>
              <w:bottom w:val="single" w:sz="4" w:space="0" w:color="auto"/>
              <w:right w:val="single" w:sz="8" w:space="0" w:color="auto"/>
            </w:tcBorders>
            <w:shd w:val="clear" w:color="auto" w:fill="auto"/>
            <w:noWrap/>
            <w:vAlign w:val="center"/>
          </w:tcPr>
          <w:p w14:paraId="75C15708" w14:textId="300E90C1"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3,0</w:t>
            </w:r>
          </w:p>
        </w:tc>
        <w:tc>
          <w:tcPr>
            <w:tcW w:w="1276" w:type="dxa"/>
            <w:tcBorders>
              <w:top w:val="nil"/>
              <w:left w:val="nil"/>
              <w:bottom w:val="single" w:sz="4" w:space="0" w:color="auto"/>
              <w:right w:val="single" w:sz="4" w:space="0" w:color="auto"/>
            </w:tcBorders>
            <w:shd w:val="clear" w:color="auto" w:fill="auto"/>
            <w:noWrap/>
            <w:vAlign w:val="center"/>
          </w:tcPr>
          <w:p w14:paraId="1534B589" w14:textId="15A6427C"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0,9</w:t>
            </w:r>
          </w:p>
        </w:tc>
        <w:tc>
          <w:tcPr>
            <w:tcW w:w="849" w:type="dxa"/>
            <w:tcBorders>
              <w:top w:val="nil"/>
              <w:left w:val="nil"/>
              <w:bottom w:val="single" w:sz="4" w:space="0" w:color="auto"/>
              <w:right w:val="single" w:sz="8" w:space="0" w:color="auto"/>
            </w:tcBorders>
            <w:shd w:val="clear" w:color="auto" w:fill="auto"/>
            <w:noWrap/>
            <w:vAlign w:val="center"/>
          </w:tcPr>
          <w:p w14:paraId="22250457" w14:textId="4EE01524" w:rsidR="003F33B9" w:rsidRPr="003F33B9" w:rsidRDefault="00A91287" w:rsidP="00A91287">
            <w:pPr>
              <w:overflowPunct w:val="0"/>
              <w:autoSpaceDE w:val="0"/>
              <w:autoSpaceDN w:val="0"/>
              <w:adjustRightInd w:val="0"/>
              <w:ind w:left="512" w:hanging="512"/>
              <w:jc w:val="right"/>
              <w:textAlignment w:val="baseline"/>
              <w:rPr>
                <w:sz w:val="20"/>
              </w:rPr>
            </w:pPr>
            <w:r>
              <w:rPr>
                <w:color w:val="000000" w:themeColor="text1"/>
                <w:sz w:val="20"/>
              </w:rPr>
              <w:t>142,9</w:t>
            </w:r>
          </w:p>
        </w:tc>
      </w:tr>
      <w:tr w:rsidR="003F33B9" w:rsidRPr="00C86784" w14:paraId="6A89324A" w14:textId="77777777" w:rsidTr="7A49562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66CEC987" w14:textId="0CD8F311" w:rsidR="003F33B9" w:rsidRPr="00723EB0" w:rsidRDefault="7A495620" w:rsidP="7A495620">
            <w:pPr>
              <w:overflowPunct w:val="0"/>
              <w:autoSpaceDE w:val="0"/>
              <w:autoSpaceDN w:val="0"/>
              <w:adjustRightInd w:val="0"/>
              <w:ind w:left="512" w:hanging="512"/>
              <w:textAlignment w:val="baseline"/>
              <w:rPr>
                <w:color w:val="000000" w:themeColor="text1"/>
                <w:sz w:val="20"/>
              </w:rPr>
            </w:pPr>
            <w:r w:rsidRPr="7A495620">
              <w:rPr>
                <w:color w:val="000000" w:themeColor="text1"/>
                <w:sz w:val="20"/>
              </w:rPr>
              <w:t>Időalapú útdíj</w:t>
            </w:r>
          </w:p>
        </w:tc>
        <w:tc>
          <w:tcPr>
            <w:tcW w:w="1418" w:type="dxa"/>
            <w:tcBorders>
              <w:top w:val="nil"/>
              <w:left w:val="single" w:sz="8" w:space="0" w:color="auto"/>
              <w:bottom w:val="single" w:sz="4" w:space="0" w:color="auto"/>
              <w:right w:val="single" w:sz="4" w:space="0" w:color="auto"/>
            </w:tcBorders>
            <w:shd w:val="clear" w:color="auto" w:fill="auto"/>
            <w:noWrap/>
            <w:vAlign w:val="center"/>
          </w:tcPr>
          <w:p w14:paraId="261636BC" w14:textId="0664A6FA"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32 239,3</w:t>
            </w:r>
          </w:p>
        </w:tc>
        <w:tc>
          <w:tcPr>
            <w:tcW w:w="1417" w:type="dxa"/>
            <w:tcBorders>
              <w:top w:val="nil"/>
              <w:left w:val="nil"/>
              <w:bottom w:val="single" w:sz="4" w:space="0" w:color="auto"/>
              <w:right w:val="single" w:sz="8" w:space="0" w:color="auto"/>
            </w:tcBorders>
            <w:shd w:val="clear" w:color="auto" w:fill="auto"/>
            <w:noWrap/>
            <w:vAlign w:val="center"/>
          </w:tcPr>
          <w:p w14:paraId="3D3E7E73" w14:textId="1C9A87DA"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29 291,5</w:t>
            </w:r>
          </w:p>
        </w:tc>
        <w:tc>
          <w:tcPr>
            <w:tcW w:w="1276" w:type="dxa"/>
            <w:tcBorders>
              <w:top w:val="nil"/>
              <w:left w:val="nil"/>
              <w:bottom w:val="single" w:sz="4" w:space="0" w:color="auto"/>
              <w:right w:val="single" w:sz="4" w:space="0" w:color="auto"/>
            </w:tcBorders>
            <w:shd w:val="clear" w:color="auto" w:fill="auto"/>
            <w:noWrap/>
            <w:vAlign w:val="center"/>
          </w:tcPr>
          <w:p w14:paraId="2185C571" w14:textId="63525133" w:rsidR="003F33B9" w:rsidRPr="003F33B9" w:rsidRDefault="7A495620" w:rsidP="005E7761">
            <w:pPr>
              <w:overflowPunct w:val="0"/>
              <w:autoSpaceDE w:val="0"/>
              <w:autoSpaceDN w:val="0"/>
              <w:adjustRightInd w:val="0"/>
              <w:ind w:left="512" w:hanging="512"/>
              <w:jc w:val="right"/>
              <w:textAlignment w:val="baseline"/>
              <w:rPr>
                <w:sz w:val="20"/>
              </w:rPr>
            </w:pPr>
            <w:r w:rsidRPr="7A495620">
              <w:rPr>
                <w:color w:val="000000" w:themeColor="text1"/>
                <w:sz w:val="20"/>
              </w:rPr>
              <w:t>-2 947,</w:t>
            </w:r>
            <w:r w:rsidR="005E7761">
              <w:rPr>
                <w:color w:val="000000" w:themeColor="text1"/>
                <w:sz w:val="20"/>
              </w:rPr>
              <w:t>8</w:t>
            </w:r>
          </w:p>
        </w:tc>
        <w:tc>
          <w:tcPr>
            <w:tcW w:w="849" w:type="dxa"/>
            <w:tcBorders>
              <w:top w:val="nil"/>
              <w:left w:val="nil"/>
              <w:bottom w:val="single" w:sz="4" w:space="0" w:color="auto"/>
              <w:right w:val="single" w:sz="8" w:space="0" w:color="auto"/>
            </w:tcBorders>
            <w:shd w:val="clear" w:color="auto" w:fill="auto"/>
            <w:noWrap/>
            <w:vAlign w:val="center"/>
          </w:tcPr>
          <w:p w14:paraId="23F4345A" w14:textId="7305DD3F"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90,9</w:t>
            </w:r>
          </w:p>
        </w:tc>
      </w:tr>
      <w:tr w:rsidR="003F33B9" w:rsidRPr="00C86784" w14:paraId="450B7EA2" w14:textId="77777777" w:rsidTr="7A495620">
        <w:trPr>
          <w:trHeight w:val="319"/>
        </w:trPr>
        <w:tc>
          <w:tcPr>
            <w:tcW w:w="2976" w:type="dxa"/>
            <w:tcBorders>
              <w:top w:val="nil"/>
              <w:left w:val="single" w:sz="8" w:space="0" w:color="auto"/>
              <w:bottom w:val="single" w:sz="4" w:space="0" w:color="auto"/>
              <w:right w:val="single" w:sz="8" w:space="0" w:color="auto"/>
            </w:tcBorders>
            <w:shd w:val="clear" w:color="auto" w:fill="auto"/>
            <w:noWrap/>
            <w:vAlign w:val="center"/>
            <w:hideMark/>
          </w:tcPr>
          <w:p w14:paraId="2C5B39AB" w14:textId="7B7EB5CF" w:rsidR="003F33B9" w:rsidRPr="00723EB0" w:rsidRDefault="7A495620" w:rsidP="7A495620">
            <w:pPr>
              <w:overflowPunct w:val="0"/>
              <w:autoSpaceDE w:val="0"/>
              <w:autoSpaceDN w:val="0"/>
              <w:adjustRightInd w:val="0"/>
              <w:ind w:left="512" w:hanging="512"/>
              <w:textAlignment w:val="baseline"/>
              <w:rPr>
                <w:color w:val="000000" w:themeColor="text1"/>
                <w:sz w:val="20"/>
              </w:rPr>
            </w:pPr>
            <w:r w:rsidRPr="7A495620">
              <w:rPr>
                <w:color w:val="000000" w:themeColor="text1"/>
                <w:sz w:val="20"/>
              </w:rPr>
              <w:t>Bírságok és függő tételek</w:t>
            </w:r>
          </w:p>
        </w:tc>
        <w:tc>
          <w:tcPr>
            <w:tcW w:w="1418" w:type="dxa"/>
            <w:tcBorders>
              <w:top w:val="nil"/>
              <w:left w:val="single" w:sz="8" w:space="0" w:color="auto"/>
              <w:bottom w:val="single" w:sz="4" w:space="0" w:color="auto"/>
              <w:right w:val="single" w:sz="4" w:space="0" w:color="auto"/>
            </w:tcBorders>
            <w:shd w:val="clear" w:color="auto" w:fill="auto"/>
            <w:noWrap/>
            <w:vAlign w:val="center"/>
          </w:tcPr>
          <w:p w14:paraId="42C02778" w14:textId="4EE8E8DB"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12 872,0</w:t>
            </w:r>
          </w:p>
        </w:tc>
        <w:tc>
          <w:tcPr>
            <w:tcW w:w="1417" w:type="dxa"/>
            <w:tcBorders>
              <w:top w:val="nil"/>
              <w:left w:val="nil"/>
              <w:bottom w:val="single" w:sz="4" w:space="0" w:color="auto"/>
              <w:right w:val="single" w:sz="8" w:space="0" w:color="auto"/>
            </w:tcBorders>
            <w:shd w:val="clear" w:color="auto" w:fill="auto"/>
            <w:noWrap/>
            <w:vAlign w:val="center"/>
          </w:tcPr>
          <w:p w14:paraId="60B6F1F8" w14:textId="43E1EEB7"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13 345,6</w:t>
            </w:r>
          </w:p>
        </w:tc>
        <w:tc>
          <w:tcPr>
            <w:tcW w:w="1276" w:type="dxa"/>
            <w:tcBorders>
              <w:top w:val="nil"/>
              <w:left w:val="nil"/>
              <w:bottom w:val="single" w:sz="4" w:space="0" w:color="auto"/>
              <w:right w:val="single" w:sz="4" w:space="0" w:color="auto"/>
            </w:tcBorders>
            <w:shd w:val="clear" w:color="auto" w:fill="auto"/>
            <w:noWrap/>
            <w:vAlign w:val="center"/>
          </w:tcPr>
          <w:p w14:paraId="656DACF4" w14:textId="1F5ABA67"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473,6</w:t>
            </w:r>
          </w:p>
        </w:tc>
        <w:tc>
          <w:tcPr>
            <w:tcW w:w="849" w:type="dxa"/>
            <w:tcBorders>
              <w:top w:val="nil"/>
              <w:left w:val="nil"/>
              <w:bottom w:val="single" w:sz="4" w:space="0" w:color="auto"/>
              <w:right w:val="single" w:sz="8" w:space="0" w:color="auto"/>
            </w:tcBorders>
            <w:shd w:val="clear" w:color="auto" w:fill="auto"/>
            <w:noWrap/>
            <w:vAlign w:val="center"/>
          </w:tcPr>
          <w:p w14:paraId="3B910221" w14:textId="01CD9DAF"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103,7</w:t>
            </w:r>
          </w:p>
        </w:tc>
      </w:tr>
      <w:tr w:rsidR="003F33B9" w:rsidRPr="00C86784" w14:paraId="160B4B20" w14:textId="77777777" w:rsidTr="7A495620">
        <w:trPr>
          <w:trHeight w:val="319"/>
        </w:trPr>
        <w:tc>
          <w:tcPr>
            <w:tcW w:w="2976" w:type="dxa"/>
            <w:tcBorders>
              <w:top w:val="nil"/>
              <w:left w:val="single" w:sz="8" w:space="0" w:color="auto"/>
              <w:bottom w:val="single" w:sz="8" w:space="0" w:color="auto"/>
              <w:right w:val="single" w:sz="8" w:space="0" w:color="auto"/>
            </w:tcBorders>
            <w:shd w:val="clear" w:color="auto" w:fill="auto"/>
            <w:noWrap/>
            <w:vAlign w:val="center"/>
            <w:hideMark/>
          </w:tcPr>
          <w:p w14:paraId="6505F41A" w14:textId="7DC54D38" w:rsidR="003F33B9" w:rsidRPr="00723EB0" w:rsidRDefault="7A495620" w:rsidP="7A495620">
            <w:pPr>
              <w:overflowPunct w:val="0"/>
              <w:autoSpaceDE w:val="0"/>
              <w:autoSpaceDN w:val="0"/>
              <w:adjustRightInd w:val="0"/>
              <w:ind w:left="512" w:hanging="512"/>
              <w:textAlignment w:val="baseline"/>
              <w:rPr>
                <w:color w:val="000000" w:themeColor="text1"/>
                <w:sz w:val="20"/>
              </w:rPr>
            </w:pPr>
            <w:r w:rsidRPr="7A495620">
              <w:rPr>
                <w:color w:val="000000" w:themeColor="text1"/>
                <w:sz w:val="20"/>
              </w:rPr>
              <w:t>Egyéb tételek összesen</w:t>
            </w:r>
          </w:p>
        </w:tc>
        <w:tc>
          <w:tcPr>
            <w:tcW w:w="1418" w:type="dxa"/>
            <w:tcBorders>
              <w:top w:val="nil"/>
              <w:left w:val="single" w:sz="8" w:space="0" w:color="auto"/>
              <w:bottom w:val="single" w:sz="4" w:space="0" w:color="auto"/>
              <w:right w:val="single" w:sz="4" w:space="0" w:color="auto"/>
            </w:tcBorders>
            <w:shd w:val="clear" w:color="auto" w:fill="auto"/>
            <w:noWrap/>
            <w:vAlign w:val="center"/>
          </w:tcPr>
          <w:p w14:paraId="30726ED3" w14:textId="1BD0CA58"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1 284,5</w:t>
            </w:r>
          </w:p>
        </w:tc>
        <w:tc>
          <w:tcPr>
            <w:tcW w:w="1417" w:type="dxa"/>
            <w:tcBorders>
              <w:top w:val="nil"/>
              <w:left w:val="nil"/>
              <w:bottom w:val="single" w:sz="4" w:space="0" w:color="auto"/>
              <w:right w:val="single" w:sz="8" w:space="0" w:color="auto"/>
            </w:tcBorders>
            <w:shd w:val="clear" w:color="auto" w:fill="auto"/>
            <w:noWrap/>
            <w:vAlign w:val="center"/>
          </w:tcPr>
          <w:p w14:paraId="31126547" w14:textId="00C5EFDF"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921,6</w:t>
            </w:r>
          </w:p>
        </w:tc>
        <w:tc>
          <w:tcPr>
            <w:tcW w:w="1276" w:type="dxa"/>
            <w:tcBorders>
              <w:top w:val="nil"/>
              <w:left w:val="nil"/>
              <w:bottom w:val="single" w:sz="8" w:space="0" w:color="auto"/>
              <w:right w:val="single" w:sz="4" w:space="0" w:color="auto"/>
            </w:tcBorders>
            <w:shd w:val="clear" w:color="auto" w:fill="auto"/>
            <w:noWrap/>
            <w:vAlign w:val="center"/>
          </w:tcPr>
          <w:p w14:paraId="29C4195B" w14:textId="5EC615E3"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-362,9</w:t>
            </w:r>
          </w:p>
        </w:tc>
        <w:tc>
          <w:tcPr>
            <w:tcW w:w="849" w:type="dxa"/>
            <w:tcBorders>
              <w:top w:val="nil"/>
              <w:left w:val="nil"/>
              <w:bottom w:val="single" w:sz="4" w:space="0" w:color="auto"/>
              <w:right w:val="single" w:sz="8" w:space="0" w:color="auto"/>
            </w:tcBorders>
            <w:shd w:val="clear" w:color="auto" w:fill="auto"/>
            <w:noWrap/>
            <w:vAlign w:val="center"/>
          </w:tcPr>
          <w:p w14:paraId="630D7340" w14:textId="444E0BA9" w:rsidR="003F33B9" w:rsidRPr="003F33B9" w:rsidRDefault="7A495620" w:rsidP="7A495620">
            <w:pPr>
              <w:overflowPunct w:val="0"/>
              <w:autoSpaceDE w:val="0"/>
              <w:autoSpaceDN w:val="0"/>
              <w:adjustRightInd w:val="0"/>
              <w:ind w:left="512" w:hanging="512"/>
              <w:jc w:val="right"/>
              <w:textAlignment w:val="baseline"/>
              <w:rPr>
                <w:sz w:val="20"/>
              </w:rPr>
            </w:pPr>
            <w:r w:rsidRPr="7A495620">
              <w:rPr>
                <w:color w:val="000000" w:themeColor="text1"/>
                <w:sz w:val="20"/>
              </w:rPr>
              <w:t>71,7</w:t>
            </w:r>
          </w:p>
        </w:tc>
      </w:tr>
      <w:tr w:rsidR="003F33B9" w:rsidRPr="00C86784" w14:paraId="0707D9BA" w14:textId="77777777" w:rsidTr="7A495620">
        <w:trPr>
          <w:trHeight w:val="330"/>
        </w:trPr>
        <w:tc>
          <w:tcPr>
            <w:tcW w:w="2976" w:type="dxa"/>
            <w:tcBorders>
              <w:top w:val="nil"/>
              <w:left w:val="single" w:sz="8" w:space="0" w:color="auto"/>
              <w:bottom w:val="single" w:sz="8" w:space="0" w:color="auto"/>
              <w:right w:val="single" w:sz="8" w:space="0" w:color="auto"/>
            </w:tcBorders>
            <w:shd w:val="clear" w:color="auto" w:fill="auto"/>
            <w:vAlign w:val="bottom"/>
            <w:hideMark/>
          </w:tcPr>
          <w:p w14:paraId="4A4DBB2E" w14:textId="3B07C597" w:rsidR="003F33B9" w:rsidRPr="00723EB0" w:rsidRDefault="7A495620" w:rsidP="7A495620">
            <w:pPr>
              <w:overflowPunct w:val="0"/>
              <w:autoSpaceDE w:val="0"/>
              <w:autoSpaceDN w:val="0"/>
              <w:adjustRightInd w:val="0"/>
              <w:ind w:left="512" w:hanging="512"/>
              <w:jc w:val="center"/>
              <w:textAlignment w:val="baseline"/>
              <w:rPr>
                <w:b/>
                <w:bCs/>
                <w:color w:val="000000" w:themeColor="text1"/>
                <w:sz w:val="20"/>
              </w:rPr>
            </w:pPr>
            <w:r w:rsidRPr="7A495620">
              <w:rPr>
                <w:b/>
                <w:bCs/>
                <w:color w:val="000000" w:themeColor="text1"/>
                <w:sz w:val="20"/>
              </w:rPr>
              <w:t>Összesen</w:t>
            </w:r>
          </w:p>
        </w:tc>
        <w:tc>
          <w:tcPr>
            <w:tcW w:w="1418" w:type="dxa"/>
            <w:tcBorders>
              <w:top w:val="single" w:sz="8" w:space="0" w:color="auto"/>
              <w:left w:val="single" w:sz="8" w:space="0" w:color="auto"/>
              <w:bottom w:val="single" w:sz="8" w:space="0" w:color="auto"/>
              <w:right w:val="single" w:sz="4" w:space="0" w:color="auto"/>
            </w:tcBorders>
            <w:shd w:val="clear" w:color="auto" w:fill="auto"/>
            <w:noWrap/>
            <w:vAlign w:val="bottom"/>
          </w:tcPr>
          <w:p w14:paraId="2312A22A" w14:textId="16ABCF9C" w:rsidR="003F33B9" w:rsidRPr="003F33B9" w:rsidRDefault="7A495620" w:rsidP="7A495620">
            <w:pPr>
              <w:overflowPunct w:val="0"/>
              <w:autoSpaceDE w:val="0"/>
              <w:autoSpaceDN w:val="0"/>
              <w:adjustRightInd w:val="0"/>
              <w:ind w:left="512" w:hanging="512"/>
              <w:jc w:val="right"/>
              <w:textAlignment w:val="baseline"/>
              <w:rPr>
                <w:b/>
                <w:bCs/>
                <w:sz w:val="20"/>
              </w:rPr>
            </w:pPr>
            <w:r w:rsidRPr="7A495620">
              <w:rPr>
                <w:b/>
                <w:bCs/>
                <w:sz w:val="20"/>
              </w:rPr>
              <w:t>108 583,7</w:t>
            </w:r>
          </w:p>
        </w:tc>
        <w:tc>
          <w:tcPr>
            <w:tcW w:w="1417" w:type="dxa"/>
            <w:tcBorders>
              <w:top w:val="single" w:sz="8" w:space="0" w:color="auto"/>
              <w:left w:val="nil"/>
              <w:bottom w:val="single" w:sz="8" w:space="0" w:color="auto"/>
              <w:right w:val="single" w:sz="8" w:space="0" w:color="auto"/>
            </w:tcBorders>
            <w:shd w:val="clear" w:color="auto" w:fill="auto"/>
            <w:noWrap/>
            <w:vAlign w:val="bottom"/>
          </w:tcPr>
          <w:p w14:paraId="1CE3DF8E" w14:textId="6A50FDC8" w:rsidR="003F33B9" w:rsidRPr="003F33B9" w:rsidRDefault="7A495620" w:rsidP="7A495620">
            <w:pPr>
              <w:overflowPunct w:val="0"/>
              <w:autoSpaceDE w:val="0"/>
              <w:autoSpaceDN w:val="0"/>
              <w:adjustRightInd w:val="0"/>
              <w:ind w:left="512" w:hanging="512"/>
              <w:jc w:val="right"/>
              <w:textAlignment w:val="baseline"/>
              <w:rPr>
                <w:b/>
                <w:bCs/>
                <w:sz w:val="20"/>
              </w:rPr>
            </w:pPr>
            <w:r w:rsidRPr="7A495620">
              <w:rPr>
                <w:b/>
                <w:bCs/>
                <w:sz w:val="20"/>
              </w:rPr>
              <w:t>113 576,7</w:t>
            </w:r>
          </w:p>
        </w:tc>
        <w:tc>
          <w:tcPr>
            <w:tcW w:w="1276" w:type="dxa"/>
            <w:tcBorders>
              <w:top w:val="nil"/>
              <w:left w:val="nil"/>
              <w:bottom w:val="single" w:sz="8" w:space="0" w:color="auto"/>
              <w:right w:val="single" w:sz="4" w:space="0" w:color="auto"/>
            </w:tcBorders>
            <w:shd w:val="clear" w:color="auto" w:fill="auto"/>
            <w:noWrap/>
            <w:vAlign w:val="bottom"/>
          </w:tcPr>
          <w:p w14:paraId="6D040A33" w14:textId="2FE841B4" w:rsidR="003F33B9" w:rsidRPr="003F33B9" w:rsidRDefault="7A495620" w:rsidP="005E7761">
            <w:pPr>
              <w:overflowPunct w:val="0"/>
              <w:autoSpaceDE w:val="0"/>
              <w:autoSpaceDN w:val="0"/>
              <w:adjustRightInd w:val="0"/>
              <w:ind w:left="512" w:hanging="512"/>
              <w:jc w:val="right"/>
              <w:textAlignment w:val="baseline"/>
              <w:rPr>
                <w:b/>
                <w:bCs/>
                <w:sz w:val="20"/>
              </w:rPr>
            </w:pPr>
            <w:r w:rsidRPr="7A495620">
              <w:rPr>
                <w:b/>
                <w:bCs/>
                <w:sz w:val="20"/>
              </w:rPr>
              <w:t>4 993,</w:t>
            </w:r>
            <w:r w:rsidR="005E7761">
              <w:rPr>
                <w:b/>
                <w:bCs/>
                <w:sz w:val="20"/>
              </w:rPr>
              <w:t>0</w:t>
            </w:r>
          </w:p>
        </w:tc>
        <w:tc>
          <w:tcPr>
            <w:tcW w:w="849" w:type="dxa"/>
            <w:tcBorders>
              <w:top w:val="single" w:sz="8" w:space="0" w:color="auto"/>
              <w:left w:val="nil"/>
              <w:bottom w:val="single" w:sz="8" w:space="0" w:color="auto"/>
              <w:right w:val="single" w:sz="8" w:space="0" w:color="auto"/>
            </w:tcBorders>
            <w:shd w:val="clear" w:color="auto" w:fill="auto"/>
            <w:noWrap/>
            <w:vAlign w:val="bottom"/>
          </w:tcPr>
          <w:p w14:paraId="4F082888" w14:textId="0D39AFD5" w:rsidR="003F33B9" w:rsidRPr="003F33B9" w:rsidRDefault="7A495620" w:rsidP="7A495620">
            <w:pPr>
              <w:overflowPunct w:val="0"/>
              <w:autoSpaceDE w:val="0"/>
              <w:autoSpaceDN w:val="0"/>
              <w:adjustRightInd w:val="0"/>
              <w:ind w:left="512" w:hanging="512"/>
              <w:jc w:val="right"/>
              <w:textAlignment w:val="baseline"/>
              <w:rPr>
                <w:b/>
                <w:bCs/>
                <w:sz w:val="20"/>
              </w:rPr>
            </w:pPr>
            <w:r w:rsidRPr="7A495620">
              <w:rPr>
                <w:b/>
                <w:bCs/>
                <w:color w:val="000000" w:themeColor="text1"/>
                <w:sz w:val="20"/>
              </w:rPr>
              <w:t>104,6</w:t>
            </w:r>
          </w:p>
        </w:tc>
      </w:tr>
    </w:tbl>
    <w:p w14:paraId="49000C85" w14:textId="5E7DD743" w:rsidR="005B1DC1" w:rsidRPr="0009352F" w:rsidRDefault="7A495620" w:rsidP="004702E7">
      <w:pPr>
        <w:spacing w:before="240"/>
      </w:pPr>
      <w:r>
        <w:t xml:space="preserve">A </w:t>
      </w:r>
      <w:r w:rsidRPr="7A495620">
        <w:rPr>
          <w:b/>
          <w:bCs/>
        </w:rPr>
        <w:t xml:space="preserve">kiskereskedelmi adó </w:t>
      </w:r>
      <w:r>
        <w:t xml:space="preserve">jogcímen 2021 első három hónapjában 0,5 milliárd forint bevétel teljesült. Az adóból elszámolásokhoz köthető pénzforgalom </w:t>
      </w:r>
      <w:proofErr w:type="gramStart"/>
      <w:r>
        <w:t>prognosztizálható</w:t>
      </w:r>
      <w:proofErr w:type="gramEnd"/>
      <w:r>
        <w:t xml:space="preserve"> az év első felében, mivel az első előlegfizetési kötelezettség július hónapra esik.</w:t>
      </w:r>
    </w:p>
    <w:p w14:paraId="3AEEFE1C" w14:textId="288155A7" w:rsidR="005B1DC1" w:rsidRPr="0009352F" w:rsidRDefault="7A495620" w:rsidP="004702E7">
      <w:pPr>
        <w:spacing w:before="240"/>
      </w:pPr>
      <w:r>
        <w:t xml:space="preserve">A </w:t>
      </w:r>
      <w:r w:rsidRPr="7A495620">
        <w:rPr>
          <w:b/>
          <w:bCs/>
        </w:rPr>
        <w:t>rehabilitációs hozzájárulásból</w:t>
      </w:r>
      <w:r>
        <w:t xml:space="preserve"> származó bevétel az év első három hónapjában 27,8 milliárd forint volt, amely 2,</w:t>
      </w:r>
      <w:proofErr w:type="spellStart"/>
      <w:r>
        <w:t>2</w:t>
      </w:r>
      <w:proofErr w:type="spellEnd"/>
      <w:r>
        <w:t> milliárd forinttal magasabb az egy évvel korábbi összegnél.</w:t>
      </w:r>
    </w:p>
    <w:p w14:paraId="3DC1E74F" w14:textId="54769D53" w:rsidR="004702E7" w:rsidRDefault="7A495620" w:rsidP="0009352F">
      <w:pPr>
        <w:tabs>
          <w:tab w:val="left" w:pos="3105"/>
        </w:tabs>
        <w:spacing w:before="240"/>
      </w:pPr>
      <w:r>
        <w:t xml:space="preserve">Március végéig az </w:t>
      </w:r>
      <w:r w:rsidRPr="7A495620">
        <w:rPr>
          <w:b/>
          <w:bCs/>
        </w:rPr>
        <w:t xml:space="preserve">általános forgalmi adóból </w:t>
      </w:r>
      <w:r w:rsidR="00226C21" w:rsidRPr="00226C21">
        <w:rPr>
          <w:bCs/>
        </w:rPr>
        <w:t>1196,4</w:t>
      </w:r>
      <w:r w:rsidRPr="00226C21">
        <w:t> </w:t>
      </w:r>
      <w:r>
        <w:t xml:space="preserve">milliárd forint bevétele keletkezett a költségvetésnek, ami az egy évvel korábbi </w:t>
      </w:r>
      <w:r w:rsidR="00BC4C3A">
        <w:t>összeget</w:t>
      </w:r>
      <w:r>
        <w:t xml:space="preserve"> </w:t>
      </w:r>
      <w:r w:rsidR="00F13BED">
        <w:t>67,5</w:t>
      </w:r>
      <w:r>
        <w:t> milliárd forinttal haladta meg.</w:t>
      </w:r>
    </w:p>
    <w:tbl>
      <w:tblPr>
        <w:tblW w:w="6373" w:type="dxa"/>
        <w:jc w:val="center"/>
        <w:tblCellMar>
          <w:left w:w="70" w:type="dxa"/>
          <w:right w:w="70" w:type="dxa"/>
        </w:tblCellMar>
        <w:tblLook w:val="04A0" w:firstRow="1" w:lastRow="0" w:firstColumn="1" w:lastColumn="0" w:noHBand="0" w:noVBand="1"/>
      </w:tblPr>
      <w:tblGrid>
        <w:gridCol w:w="1448"/>
        <w:gridCol w:w="1383"/>
        <w:gridCol w:w="1287"/>
        <w:gridCol w:w="905"/>
        <w:gridCol w:w="1350"/>
      </w:tblGrid>
      <w:tr w:rsidR="004702E7" w:rsidRPr="00DB1A96" w14:paraId="2CDE1D04" w14:textId="77777777" w:rsidTr="7A495620">
        <w:trPr>
          <w:trHeight w:val="255"/>
          <w:jc w:val="center"/>
        </w:trPr>
        <w:tc>
          <w:tcPr>
            <w:tcW w:w="6373" w:type="dxa"/>
            <w:gridSpan w:val="5"/>
            <w:tcBorders>
              <w:top w:val="nil"/>
              <w:left w:val="nil"/>
              <w:bottom w:val="nil"/>
              <w:right w:val="nil"/>
            </w:tcBorders>
            <w:shd w:val="clear" w:color="auto" w:fill="auto"/>
            <w:noWrap/>
            <w:vAlign w:val="bottom"/>
            <w:hideMark/>
          </w:tcPr>
          <w:p w14:paraId="193F4F9E" w14:textId="77777777" w:rsidR="004702E7" w:rsidRPr="00DB1A96" w:rsidRDefault="7A495620" w:rsidP="7A495620">
            <w:pPr>
              <w:jc w:val="center"/>
              <w:rPr>
                <w:b/>
                <w:bCs/>
                <w:color w:val="000000" w:themeColor="text1"/>
                <w:sz w:val="20"/>
              </w:rPr>
            </w:pPr>
            <w:r w:rsidRPr="7A495620">
              <w:rPr>
                <w:b/>
                <w:bCs/>
                <w:color w:val="000000" w:themeColor="text1"/>
                <w:sz w:val="20"/>
              </w:rPr>
              <w:t>Általános forgalmi adó bevétel alakulása (milliárd forint)</w:t>
            </w:r>
          </w:p>
        </w:tc>
      </w:tr>
      <w:tr w:rsidR="004702E7" w:rsidRPr="00DB1A96" w14:paraId="6088BDF7" w14:textId="77777777" w:rsidTr="7A495620">
        <w:trPr>
          <w:trHeight w:val="465"/>
          <w:jc w:val="center"/>
        </w:trPr>
        <w:tc>
          <w:tcPr>
            <w:tcW w:w="144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00BFA44" w14:textId="77777777" w:rsidR="004702E7" w:rsidRPr="00DB1A96" w:rsidRDefault="7A495620" w:rsidP="7A495620">
            <w:pPr>
              <w:spacing w:after="0"/>
              <w:jc w:val="center"/>
              <w:rPr>
                <w:b/>
                <w:bCs/>
                <w:color w:val="000000" w:themeColor="text1"/>
                <w:sz w:val="20"/>
              </w:rPr>
            </w:pPr>
            <w:r w:rsidRPr="7A495620">
              <w:rPr>
                <w:b/>
                <w:bCs/>
                <w:color w:val="000000" w:themeColor="text1"/>
                <w:sz w:val="20"/>
              </w:rPr>
              <w:t>Megnevezés</w:t>
            </w:r>
          </w:p>
        </w:tc>
        <w:tc>
          <w:tcPr>
            <w:tcW w:w="138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68CFE69" w14:textId="1CB801A7" w:rsidR="004702E7" w:rsidRPr="00DB1A96" w:rsidRDefault="7A495620" w:rsidP="7A495620">
            <w:pPr>
              <w:spacing w:after="0"/>
              <w:jc w:val="center"/>
              <w:rPr>
                <w:b/>
                <w:bCs/>
                <w:sz w:val="20"/>
              </w:rPr>
            </w:pPr>
            <w:r w:rsidRPr="7A495620">
              <w:rPr>
                <w:b/>
                <w:bCs/>
                <w:sz w:val="20"/>
              </w:rPr>
              <w:t>2020.</w:t>
            </w:r>
            <w:r w:rsidR="30891728">
              <w:br/>
            </w:r>
            <w:r w:rsidRPr="7A495620">
              <w:rPr>
                <w:b/>
                <w:bCs/>
                <w:sz w:val="20"/>
              </w:rPr>
              <w:t>I-III. hó</w:t>
            </w:r>
          </w:p>
        </w:tc>
        <w:tc>
          <w:tcPr>
            <w:tcW w:w="1287"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A08D7B7" w14:textId="0CE17E31" w:rsidR="004702E7" w:rsidRPr="00DB1A96" w:rsidRDefault="7A495620" w:rsidP="7A495620">
            <w:pPr>
              <w:spacing w:after="0"/>
              <w:jc w:val="center"/>
              <w:rPr>
                <w:b/>
                <w:bCs/>
                <w:sz w:val="20"/>
              </w:rPr>
            </w:pPr>
            <w:r w:rsidRPr="7A495620">
              <w:rPr>
                <w:b/>
                <w:bCs/>
                <w:sz w:val="20"/>
              </w:rPr>
              <w:t>2021.</w:t>
            </w:r>
            <w:r w:rsidR="30891728">
              <w:br/>
            </w:r>
            <w:r w:rsidRPr="7A495620">
              <w:rPr>
                <w:b/>
                <w:bCs/>
                <w:sz w:val="20"/>
              </w:rPr>
              <w:t>I-III. hó</w:t>
            </w:r>
          </w:p>
        </w:tc>
        <w:tc>
          <w:tcPr>
            <w:tcW w:w="2255"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30484B97" w14:textId="77777777" w:rsidR="004702E7" w:rsidRPr="00DB1A96" w:rsidRDefault="7A495620" w:rsidP="7A495620">
            <w:pPr>
              <w:spacing w:after="0"/>
              <w:jc w:val="center"/>
              <w:rPr>
                <w:b/>
                <w:bCs/>
                <w:color w:val="000000" w:themeColor="text1"/>
                <w:sz w:val="20"/>
              </w:rPr>
            </w:pPr>
            <w:r w:rsidRPr="7A495620">
              <w:rPr>
                <w:b/>
                <w:bCs/>
                <w:color w:val="000000" w:themeColor="text1"/>
                <w:sz w:val="20"/>
              </w:rPr>
              <w:t>Eltérés</w:t>
            </w:r>
          </w:p>
        </w:tc>
      </w:tr>
      <w:tr w:rsidR="004702E7" w:rsidRPr="00DB1A96" w14:paraId="6FBF33D6" w14:textId="77777777" w:rsidTr="7A495620">
        <w:trPr>
          <w:trHeight w:val="465"/>
          <w:jc w:val="center"/>
        </w:trPr>
        <w:tc>
          <w:tcPr>
            <w:tcW w:w="1448" w:type="dxa"/>
            <w:vMerge/>
            <w:tcBorders>
              <w:top w:val="single" w:sz="8" w:space="0" w:color="auto"/>
              <w:left w:val="single" w:sz="8" w:space="0" w:color="auto"/>
              <w:bottom w:val="single" w:sz="8" w:space="0" w:color="000000"/>
              <w:right w:val="single" w:sz="8" w:space="0" w:color="auto"/>
            </w:tcBorders>
            <w:vAlign w:val="center"/>
            <w:hideMark/>
          </w:tcPr>
          <w:p w14:paraId="78EC8BF6" w14:textId="77777777" w:rsidR="004702E7" w:rsidRPr="00DB1A96" w:rsidRDefault="004702E7" w:rsidP="00B91971">
            <w:pPr>
              <w:spacing w:after="0"/>
              <w:jc w:val="left"/>
              <w:rPr>
                <w:b/>
                <w:bCs/>
                <w:color w:val="000000"/>
                <w:sz w:val="20"/>
              </w:rPr>
            </w:pPr>
          </w:p>
        </w:tc>
        <w:tc>
          <w:tcPr>
            <w:tcW w:w="1383" w:type="dxa"/>
            <w:vMerge/>
            <w:tcBorders>
              <w:top w:val="single" w:sz="8" w:space="0" w:color="auto"/>
              <w:left w:val="single" w:sz="8" w:space="0" w:color="auto"/>
              <w:bottom w:val="single" w:sz="8" w:space="0" w:color="000000"/>
              <w:right w:val="single" w:sz="8" w:space="0" w:color="auto"/>
            </w:tcBorders>
            <w:vAlign w:val="center"/>
            <w:hideMark/>
          </w:tcPr>
          <w:p w14:paraId="25C25767" w14:textId="77777777" w:rsidR="004702E7" w:rsidRPr="00DB1A96" w:rsidRDefault="004702E7" w:rsidP="00B91971">
            <w:pPr>
              <w:spacing w:after="0"/>
              <w:jc w:val="left"/>
              <w:rPr>
                <w:b/>
                <w:bCs/>
                <w:sz w:val="20"/>
              </w:rPr>
            </w:pPr>
          </w:p>
        </w:tc>
        <w:tc>
          <w:tcPr>
            <w:tcW w:w="1287" w:type="dxa"/>
            <w:vMerge/>
            <w:tcBorders>
              <w:top w:val="single" w:sz="8" w:space="0" w:color="auto"/>
              <w:left w:val="single" w:sz="8" w:space="0" w:color="auto"/>
              <w:bottom w:val="single" w:sz="8" w:space="0" w:color="000000"/>
              <w:right w:val="single" w:sz="8" w:space="0" w:color="auto"/>
            </w:tcBorders>
            <w:vAlign w:val="center"/>
            <w:hideMark/>
          </w:tcPr>
          <w:p w14:paraId="2B9FC7C9" w14:textId="77777777" w:rsidR="004702E7" w:rsidRPr="00DB1A96" w:rsidRDefault="004702E7" w:rsidP="00B91971">
            <w:pPr>
              <w:spacing w:after="0"/>
              <w:jc w:val="left"/>
              <w:rPr>
                <w:b/>
                <w:bCs/>
                <w:sz w:val="20"/>
              </w:rPr>
            </w:pPr>
          </w:p>
        </w:tc>
        <w:tc>
          <w:tcPr>
            <w:tcW w:w="905" w:type="dxa"/>
            <w:tcBorders>
              <w:top w:val="nil"/>
              <w:left w:val="nil"/>
              <w:bottom w:val="single" w:sz="8" w:space="0" w:color="auto"/>
              <w:right w:val="single" w:sz="4" w:space="0" w:color="auto"/>
            </w:tcBorders>
            <w:shd w:val="clear" w:color="auto" w:fill="auto"/>
            <w:noWrap/>
            <w:vAlign w:val="center"/>
            <w:hideMark/>
          </w:tcPr>
          <w:p w14:paraId="2BC03ACB" w14:textId="77777777" w:rsidR="004702E7" w:rsidRPr="00DB1A96" w:rsidRDefault="7A495620" w:rsidP="7A495620">
            <w:pPr>
              <w:spacing w:after="0"/>
              <w:jc w:val="center"/>
              <w:rPr>
                <w:b/>
                <w:bCs/>
                <w:color w:val="000000" w:themeColor="text1"/>
                <w:sz w:val="20"/>
              </w:rPr>
            </w:pPr>
            <w:r w:rsidRPr="7A495620">
              <w:rPr>
                <w:b/>
                <w:bCs/>
                <w:color w:val="000000" w:themeColor="text1"/>
                <w:sz w:val="20"/>
              </w:rPr>
              <w:t>Mrd Ft</w:t>
            </w:r>
          </w:p>
        </w:tc>
        <w:tc>
          <w:tcPr>
            <w:tcW w:w="1350" w:type="dxa"/>
            <w:tcBorders>
              <w:top w:val="nil"/>
              <w:left w:val="nil"/>
              <w:bottom w:val="single" w:sz="8" w:space="0" w:color="auto"/>
              <w:right w:val="single" w:sz="8" w:space="0" w:color="auto"/>
            </w:tcBorders>
            <w:shd w:val="clear" w:color="auto" w:fill="auto"/>
            <w:noWrap/>
            <w:vAlign w:val="center"/>
            <w:hideMark/>
          </w:tcPr>
          <w:p w14:paraId="089C503F" w14:textId="77777777" w:rsidR="004702E7" w:rsidRPr="00DB1A96" w:rsidRDefault="7A495620" w:rsidP="7A495620">
            <w:pPr>
              <w:spacing w:after="0"/>
              <w:jc w:val="center"/>
              <w:rPr>
                <w:b/>
                <w:bCs/>
                <w:color w:val="000000" w:themeColor="text1"/>
                <w:sz w:val="20"/>
              </w:rPr>
            </w:pPr>
            <w:r w:rsidRPr="7A495620">
              <w:rPr>
                <w:b/>
                <w:bCs/>
                <w:color w:val="000000" w:themeColor="text1"/>
                <w:sz w:val="20"/>
              </w:rPr>
              <w:t>%</w:t>
            </w:r>
          </w:p>
        </w:tc>
      </w:tr>
      <w:tr w:rsidR="004A0C18" w:rsidRPr="004A0C18" w14:paraId="696B4B9D" w14:textId="77777777" w:rsidTr="7A495620">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1534865D" w14:textId="77777777" w:rsidR="004A0C18" w:rsidRPr="00DB1A96" w:rsidRDefault="7A495620" w:rsidP="7A495620">
            <w:pPr>
              <w:spacing w:after="0"/>
              <w:jc w:val="center"/>
              <w:rPr>
                <w:b/>
                <w:bCs/>
                <w:sz w:val="20"/>
              </w:rPr>
            </w:pPr>
            <w:r w:rsidRPr="7A495620">
              <w:rPr>
                <w:b/>
                <w:bCs/>
                <w:sz w:val="20"/>
              </w:rPr>
              <w:t>Befizetés</w:t>
            </w:r>
          </w:p>
        </w:tc>
        <w:tc>
          <w:tcPr>
            <w:tcW w:w="1383" w:type="dxa"/>
            <w:tcBorders>
              <w:top w:val="nil"/>
              <w:left w:val="single" w:sz="8" w:space="0" w:color="auto"/>
              <w:bottom w:val="single" w:sz="4" w:space="0" w:color="auto"/>
              <w:right w:val="single" w:sz="8" w:space="0" w:color="auto"/>
            </w:tcBorders>
            <w:shd w:val="clear" w:color="auto" w:fill="auto"/>
            <w:noWrap/>
          </w:tcPr>
          <w:p w14:paraId="1B136DBC" w14:textId="2AD09135" w:rsidR="004A0C18" w:rsidRPr="004A0C18" w:rsidRDefault="7A495620" w:rsidP="7A495620">
            <w:pPr>
              <w:spacing w:after="0"/>
              <w:jc w:val="right"/>
              <w:rPr>
                <w:sz w:val="20"/>
              </w:rPr>
            </w:pPr>
            <w:r w:rsidRPr="7A495620">
              <w:rPr>
                <w:sz w:val="20"/>
              </w:rPr>
              <w:t>1935,8</w:t>
            </w:r>
          </w:p>
        </w:tc>
        <w:tc>
          <w:tcPr>
            <w:tcW w:w="1287" w:type="dxa"/>
            <w:tcBorders>
              <w:top w:val="nil"/>
              <w:left w:val="nil"/>
              <w:bottom w:val="single" w:sz="4" w:space="0" w:color="auto"/>
              <w:right w:val="single" w:sz="8" w:space="0" w:color="auto"/>
            </w:tcBorders>
            <w:shd w:val="clear" w:color="auto" w:fill="auto"/>
            <w:noWrap/>
          </w:tcPr>
          <w:p w14:paraId="536597DE" w14:textId="1E5F6C08" w:rsidR="004A0C18" w:rsidRPr="004A0C18" w:rsidRDefault="7A495620" w:rsidP="7A495620">
            <w:pPr>
              <w:spacing w:after="0"/>
              <w:jc w:val="right"/>
              <w:rPr>
                <w:sz w:val="20"/>
              </w:rPr>
            </w:pPr>
            <w:r w:rsidRPr="7A495620">
              <w:rPr>
                <w:sz w:val="20"/>
              </w:rPr>
              <w:t>2080,6</w:t>
            </w:r>
          </w:p>
        </w:tc>
        <w:tc>
          <w:tcPr>
            <w:tcW w:w="905" w:type="dxa"/>
            <w:tcBorders>
              <w:top w:val="nil"/>
              <w:left w:val="nil"/>
              <w:bottom w:val="single" w:sz="4" w:space="0" w:color="auto"/>
              <w:right w:val="single" w:sz="4" w:space="0" w:color="auto"/>
            </w:tcBorders>
            <w:shd w:val="clear" w:color="auto" w:fill="auto"/>
            <w:noWrap/>
          </w:tcPr>
          <w:p w14:paraId="7B7FFFEE" w14:textId="4DC03736" w:rsidR="004A0C18" w:rsidRPr="004A0C18" w:rsidRDefault="7A495620" w:rsidP="7A495620">
            <w:pPr>
              <w:spacing w:after="0"/>
              <w:jc w:val="right"/>
              <w:rPr>
                <w:sz w:val="20"/>
              </w:rPr>
            </w:pPr>
            <w:r w:rsidRPr="7A495620">
              <w:rPr>
                <w:sz w:val="20"/>
              </w:rPr>
              <w:t>144,8</w:t>
            </w:r>
          </w:p>
        </w:tc>
        <w:tc>
          <w:tcPr>
            <w:tcW w:w="1350" w:type="dxa"/>
            <w:tcBorders>
              <w:top w:val="nil"/>
              <w:left w:val="nil"/>
              <w:bottom w:val="single" w:sz="4" w:space="0" w:color="auto"/>
              <w:right w:val="single" w:sz="8" w:space="0" w:color="auto"/>
            </w:tcBorders>
            <w:shd w:val="clear" w:color="auto" w:fill="auto"/>
            <w:noWrap/>
          </w:tcPr>
          <w:p w14:paraId="788A36F5" w14:textId="3659CB3B" w:rsidR="004A0C18" w:rsidRPr="004A0C18" w:rsidRDefault="7A495620" w:rsidP="7A495620">
            <w:pPr>
              <w:spacing w:after="0"/>
              <w:jc w:val="right"/>
              <w:rPr>
                <w:color w:val="000000" w:themeColor="text1"/>
                <w:sz w:val="20"/>
              </w:rPr>
            </w:pPr>
            <w:r w:rsidRPr="7A495620">
              <w:rPr>
                <w:sz w:val="20"/>
              </w:rPr>
              <w:t>107,5</w:t>
            </w:r>
          </w:p>
        </w:tc>
      </w:tr>
      <w:tr w:rsidR="004A0C18" w:rsidRPr="004A0C18" w14:paraId="6B18998E" w14:textId="77777777" w:rsidTr="7A495620">
        <w:trPr>
          <w:trHeight w:val="270"/>
          <w:jc w:val="center"/>
        </w:trPr>
        <w:tc>
          <w:tcPr>
            <w:tcW w:w="1448" w:type="dxa"/>
            <w:tcBorders>
              <w:top w:val="nil"/>
              <w:left w:val="single" w:sz="8" w:space="0" w:color="auto"/>
              <w:bottom w:val="single" w:sz="4" w:space="0" w:color="auto"/>
              <w:right w:val="single" w:sz="8" w:space="0" w:color="auto"/>
            </w:tcBorders>
            <w:shd w:val="clear" w:color="auto" w:fill="auto"/>
            <w:noWrap/>
            <w:vAlign w:val="center"/>
            <w:hideMark/>
          </w:tcPr>
          <w:p w14:paraId="5440B48E" w14:textId="77777777" w:rsidR="004A0C18" w:rsidRPr="00DB1A96" w:rsidRDefault="7A495620" w:rsidP="7A495620">
            <w:pPr>
              <w:spacing w:after="0"/>
              <w:jc w:val="center"/>
              <w:rPr>
                <w:b/>
                <w:bCs/>
                <w:sz w:val="20"/>
              </w:rPr>
            </w:pPr>
            <w:r w:rsidRPr="7A495620">
              <w:rPr>
                <w:b/>
                <w:bCs/>
                <w:sz w:val="20"/>
              </w:rPr>
              <w:t>Kiutalás</w:t>
            </w:r>
          </w:p>
        </w:tc>
        <w:tc>
          <w:tcPr>
            <w:tcW w:w="1383" w:type="dxa"/>
            <w:tcBorders>
              <w:top w:val="nil"/>
              <w:left w:val="single" w:sz="8" w:space="0" w:color="auto"/>
              <w:bottom w:val="single" w:sz="4" w:space="0" w:color="auto"/>
              <w:right w:val="single" w:sz="8" w:space="0" w:color="auto"/>
            </w:tcBorders>
            <w:shd w:val="clear" w:color="auto" w:fill="auto"/>
            <w:noWrap/>
          </w:tcPr>
          <w:p w14:paraId="515B825A" w14:textId="4C669A2E" w:rsidR="004A0C18" w:rsidRPr="004A0C18" w:rsidRDefault="7A495620" w:rsidP="00133100">
            <w:pPr>
              <w:spacing w:after="0"/>
              <w:jc w:val="right"/>
              <w:rPr>
                <w:sz w:val="20"/>
              </w:rPr>
            </w:pPr>
            <w:r w:rsidRPr="7A495620">
              <w:rPr>
                <w:sz w:val="20"/>
              </w:rPr>
              <w:t>806,</w:t>
            </w:r>
            <w:r w:rsidR="00133100">
              <w:rPr>
                <w:sz w:val="20"/>
              </w:rPr>
              <w:t>9</w:t>
            </w:r>
          </w:p>
        </w:tc>
        <w:tc>
          <w:tcPr>
            <w:tcW w:w="1287" w:type="dxa"/>
            <w:tcBorders>
              <w:top w:val="nil"/>
              <w:left w:val="nil"/>
              <w:bottom w:val="single" w:sz="4" w:space="0" w:color="auto"/>
              <w:right w:val="single" w:sz="8" w:space="0" w:color="auto"/>
            </w:tcBorders>
            <w:shd w:val="clear" w:color="auto" w:fill="auto"/>
            <w:noWrap/>
          </w:tcPr>
          <w:p w14:paraId="3EA49D92" w14:textId="47EFAF49" w:rsidR="004A0C18" w:rsidRPr="004A0C18" w:rsidRDefault="7A495620" w:rsidP="7A495620">
            <w:pPr>
              <w:spacing w:after="0"/>
              <w:jc w:val="right"/>
              <w:rPr>
                <w:sz w:val="20"/>
              </w:rPr>
            </w:pPr>
            <w:r w:rsidRPr="7A495620">
              <w:rPr>
                <w:sz w:val="20"/>
              </w:rPr>
              <w:t>884,2</w:t>
            </w:r>
          </w:p>
        </w:tc>
        <w:tc>
          <w:tcPr>
            <w:tcW w:w="905" w:type="dxa"/>
            <w:tcBorders>
              <w:top w:val="nil"/>
              <w:left w:val="nil"/>
              <w:bottom w:val="single" w:sz="4" w:space="0" w:color="auto"/>
              <w:right w:val="single" w:sz="4" w:space="0" w:color="auto"/>
            </w:tcBorders>
            <w:shd w:val="clear" w:color="auto" w:fill="auto"/>
            <w:noWrap/>
          </w:tcPr>
          <w:p w14:paraId="4C3DD2F0" w14:textId="340EBBCB" w:rsidR="004A0C18" w:rsidRPr="004A0C18" w:rsidRDefault="7A495620" w:rsidP="00C22ABA">
            <w:pPr>
              <w:spacing w:after="0"/>
              <w:jc w:val="right"/>
              <w:rPr>
                <w:sz w:val="20"/>
              </w:rPr>
            </w:pPr>
            <w:r w:rsidRPr="7A495620">
              <w:rPr>
                <w:sz w:val="20"/>
              </w:rPr>
              <w:t>77,</w:t>
            </w:r>
            <w:r w:rsidR="00C22ABA">
              <w:rPr>
                <w:sz w:val="20"/>
              </w:rPr>
              <w:t>3</w:t>
            </w:r>
          </w:p>
        </w:tc>
        <w:tc>
          <w:tcPr>
            <w:tcW w:w="1350" w:type="dxa"/>
            <w:tcBorders>
              <w:top w:val="nil"/>
              <w:left w:val="nil"/>
              <w:bottom w:val="single" w:sz="4" w:space="0" w:color="auto"/>
              <w:right w:val="single" w:sz="8" w:space="0" w:color="auto"/>
            </w:tcBorders>
            <w:shd w:val="clear" w:color="auto" w:fill="auto"/>
            <w:noWrap/>
          </w:tcPr>
          <w:p w14:paraId="7AD2266A" w14:textId="3DDEEA06" w:rsidR="004A0C18" w:rsidRPr="004A0C18" w:rsidRDefault="7A495620" w:rsidP="7A495620">
            <w:pPr>
              <w:spacing w:after="0"/>
              <w:jc w:val="right"/>
              <w:rPr>
                <w:color w:val="000000" w:themeColor="text1"/>
                <w:sz w:val="20"/>
              </w:rPr>
            </w:pPr>
            <w:r w:rsidRPr="7A495620">
              <w:rPr>
                <w:sz w:val="20"/>
              </w:rPr>
              <w:t>109,6</w:t>
            </w:r>
          </w:p>
        </w:tc>
      </w:tr>
      <w:tr w:rsidR="004A0C18" w:rsidRPr="004A0C18" w14:paraId="6B4C6B67" w14:textId="77777777" w:rsidTr="7A495620">
        <w:trPr>
          <w:trHeight w:val="270"/>
          <w:jc w:val="center"/>
        </w:trPr>
        <w:tc>
          <w:tcPr>
            <w:tcW w:w="1448" w:type="dxa"/>
            <w:tcBorders>
              <w:top w:val="nil"/>
              <w:left w:val="single" w:sz="8" w:space="0" w:color="auto"/>
              <w:bottom w:val="single" w:sz="8" w:space="0" w:color="auto"/>
              <w:right w:val="single" w:sz="8" w:space="0" w:color="auto"/>
            </w:tcBorders>
            <w:shd w:val="clear" w:color="auto" w:fill="auto"/>
            <w:noWrap/>
            <w:vAlign w:val="center"/>
            <w:hideMark/>
          </w:tcPr>
          <w:p w14:paraId="29C7CFE7" w14:textId="5D8BB943" w:rsidR="004A0C18" w:rsidRPr="00DB1A96" w:rsidRDefault="7A495620" w:rsidP="7A495620">
            <w:pPr>
              <w:spacing w:after="0"/>
              <w:jc w:val="center"/>
              <w:rPr>
                <w:b/>
                <w:bCs/>
                <w:sz w:val="20"/>
              </w:rPr>
            </w:pPr>
            <w:r w:rsidRPr="7A495620">
              <w:rPr>
                <w:b/>
                <w:bCs/>
                <w:sz w:val="20"/>
              </w:rPr>
              <w:t>Egyenleg</w:t>
            </w:r>
          </w:p>
        </w:tc>
        <w:tc>
          <w:tcPr>
            <w:tcW w:w="1383" w:type="dxa"/>
            <w:tcBorders>
              <w:top w:val="nil"/>
              <w:left w:val="single" w:sz="8" w:space="0" w:color="auto"/>
              <w:bottom w:val="single" w:sz="8" w:space="0" w:color="auto"/>
              <w:right w:val="single" w:sz="8" w:space="0" w:color="auto"/>
            </w:tcBorders>
            <w:shd w:val="clear" w:color="auto" w:fill="auto"/>
            <w:noWrap/>
          </w:tcPr>
          <w:p w14:paraId="717F995F" w14:textId="3B22F022" w:rsidR="004A0C18" w:rsidRPr="004A0C18" w:rsidRDefault="7A495620" w:rsidP="7A495620">
            <w:pPr>
              <w:spacing w:after="0"/>
              <w:jc w:val="right"/>
              <w:rPr>
                <w:b/>
                <w:bCs/>
                <w:sz w:val="20"/>
              </w:rPr>
            </w:pPr>
            <w:r w:rsidRPr="7A495620">
              <w:rPr>
                <w:b/>
                <w:bCs/>
                <w:sz w:val="20"/>
              </w:rPr>
              <w:t>1128,9</w:t>
            </w:r>
          </w:p>
        </w:tc>
        <w:tc>
          <w:tcPr>
            <w:tcW w:w="1287" w:type="dxa"/>
            <w:tcBorders>
              <w:top w:val="nil"/>
              <w:left w:val="nil"/>
              <w:bottom w:val="single" w:sz="8" w:space="0" w:color="auto"/>
              <w:right w:val="single" w:sz="8" w:space="0" w:color="auto"/>
            </w:tcBorders>
            <w:shd w:val="clear" w:color="auto" w:fill="auto"/>
            <w:noWrap/>
          </w:tcPr>
          <w:p w14:paraId="472BC427" w14:textId="466311EE" w:rsidR="004A0C18" w:rsidRPr="004A0C18" w:rsidRDefault="7A495620" w:rsidP="7A495620">
            <w:pPr>
              <w:spacing w:after="0"/>
              <w:jc w:val="right"/>
              <w:rPr>
                <w:b/>
                <w:bCs/>
                <w:sz w:val="20"/>
              </w:rPr>
            </w:pPr>
            <w:r w:rsidRPr="7A495620">
              <w:rPr>
                <w:b/>
                <w:bCs/>
                <w:sz w:val="20"/>
              </w:rPr>
              <w:t>1196,4</w:t>
            </w:r>
          </w:p>
        </w:tc>
        <w:tc>
          <w:tcPr>
            <w:tcW w:w="905" w:type="dxa"/>
            <w:tcBorders>
              <w:top w:val="nil"/>
              <w:left w:val="nil"/>
              <w:bottom w:val="single" w:sz="8" w:space="0" w:color="auto"/>
              <w:right w:val="single" w:sz="4" w:space="0" w:color="auto"/>
            </w:tcBorders>
            <w:shd w:val="clear" w:color="auto" w:fill="auto"/>
            <w:noWrap/>
          </w:tcPr>
          <w:p w14:paraId="7510E2B5" w14:textId="61B3BF89" w:rsidR="004A0C18" w:rsidRPr="004A0C18" w:rsidRDefault="7A495620" w:rsidP="7A495620">
            <w:pPr>
              <w:spacing w:after="0"/>
              <w:jc w:val="right"/>
              <w:rPr>
                <w:b/>
                <w:bCs/>
                <w:sz w:val="20"/>
              </w:rPr>
            </w:pPr>
            <w:r w:rsidRPr="7A495620">
              <w:rPr>
                <w:b/>
                <w:bCs/>
                <w:sz w:val="20"/>
              </w:rPr>
              <w:t>67,5</w:t>
            </w:r>
          </w:p>
        </w:tc>
        <w:tc>
          <w:tcPr>
            <w:tcW w:w="1350" w:type="dxa"/>
            <w:tcBorders>
              <w:top w:val="nil"/>
              <w:left w:val="nil"/>
              <w:bottom w:val="single" w:sz="8" w:space="0" w:color="auto"/>
              <w:right w:val="single" w:sz="8" w:space="0" w:color="auto"/>
            </w:tcBorders>
            <w:shd w:val="clear" w:color="auto" w:fill="auto"/>
            <w:noWrap/>
          </w:tcPr>
          <w:p w14:paraId="23D63217" w14:textId="2FAED079" w:rsidR="004A0C18" w:rsidRPr="004A0C18" w:rsidRDefault="7A495620" w:rsidP="7A495620">
            <w:pPr>
              <w:spacing w:after="0"/>
              <w:jc w:val="right"/>
              <w:rPr>
                <w:b/>
                <w:bCs/>
                <w:color w:val="000000" w:themeColor="text1"/>
                <w:sz w:val="20"/>
              </w:rPr>
            </w:pPr>
            <w:r w:rsidRPr="7A495620">
              <w:rPr>
                <w:b/>
                <w:bCs/>
                <w:sz w:val="20"/>
              </w:rPr>
              <w:t>106,0</w:t>
            </w:r>
          </w:p>
        </w:tc>
      </w:tr>
    </w:tbl>
    <w:p w14:paraId="64433ABA" w14:textId="3B45C4DF" w:rsidR="00635829" w:rsidRDefault="7A495620" w:rsidP="004702E7">
      <w:pPr>
        <w:spacing w:before="240"/>
      </w:pPr>
      <w:r>
        <w:t xml:space="preserve">A belföldi, az </w:t>
      </w:r>
      <w:proofErr w:type="gramStart"/>
      <w:r>
        <w:t>import</w:t>
      </w:r>
      <w:proofErr w:type="gramEnd"/>
      <w:r>
        <w:t xml:space="preserve"> és dohánytermékek utáni </w:t>
      </w:r>
      <w:proofErr w:type="spellStart"/>
      <w:r>
        <w:t>áfabevétel</w:t>
      </w:r>
      <w:proofErr w:type="spellEnd"/>
      <w:r>
        <w:t xml:space="preserve"> egyaránt növekedett. A belföldi befizetések alacsonyabb növekedési üteme tükrözi, hogy a koronavírus-járvány miatt </w:t>
      </w:r>
      <w:r>
        <w:lastRenderedPageBreak/>
        <w:t xml:space="preserve">számos ágazatban visszaesés következett be. A belföldi befizetések növekedése elsősorban a kereskedelemhez köthető. A dohánytermékek utáni bevételek előző év azonos időszakához viszonyított növekedését elsősorban a 2019. januári és júliusi, valamint a 2020. januári és júliusi jövedéki adómérték-emelés, továbbá a 2021. évi adóemelés miatti készletezésnek köszönhető forgalomnövekedés határozza meg. Az </w:t>
      </w:r>
      <w:proofErr w:type="gramStart"/>
      <w:r>
        <w:t>import</w:t>
      </w:r>
      <w:proofErr w:type="gramEnd"/>
      <w:r>
        <w:t xml:space="preserve"> utáni befizetések növekedéséhez hozzájárult a koronavírus-járványhoz kapcsolódó segédeszközök beszerzése után keletkező adókötelezettség. A kiutalások növekedéséhez hozzájárult, és a hónapok közötti eloszlást átrendezte, hogy az adóhatóság a kkv-k számára elsőként a 2020. áprilisi bevallási időszakra vonatkozóan rövidebb kiutalási határidőt alkalmaz a visszaigényelhető áfa tekintetében (normál adózók esetében 75</w:t>
      </w:r>
      <w:r w:rsidR="004C2D71">
        <w:t> </w:t>
      </w:r>
      <w:r>
        <w:t xml:space="preserve">napról 30 napra és a megbízható adózók esetében 30 napról 20 napra csökkent a kiutalási határidő). </w:t>
      </w:r>
    </w:p>
    <w:p w14:paraId="1EB52D95" w14:textId="52842B0E" w:rsidR="00ED6B6E" w:rsidRDefault="006953B7" w:rsidP="00445D0B">
      <w:pPr>
        <w:spacing w:before="240"/>
      </w:pPr>
      <w:r>
        <w:rPr>
          <w:noProof/>
        </w:rPr>
        <w:drawing>
          <wp:inline distT="0" distB="0" distL="0" distR="0" wp14:anchorId="33749500" wp14:editId="5305158B">
            <wp:extent cx="5940425" cy="3891915"/>
            <wp:effectExtent l="0" t="0" r="3175"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fa.PNG"/>
                    <pic:cNvPicPr/>
                  </pic:nvPicPr>
                  <pic:blipFill>
                    <a:blip r:embed="rId15">
                      <a:extLst>
                        <a:ext uri="{28A0092B-C50C-407E-A947-70E740481C1C}">
                          <a14:useLocalDpi xmlns:a14="http://schemas.microsoft.com/office/drawing/2010/main" val="0"/>
                        </a:ext>
                      </a:extLst>
                    </a:blip>
                    <a:stretch>
                      <a:fillRect/>
                    </a:stretch>
                  </pic:blipFill>
                  <pic:spPr>
                    <a:xfrm>
                      <a:off x="0" y="0"/>
                      <a:ext cx="5940425" cy="3891915"/>
                    </a:xfrm>
                    <a:prstGeom prst="rect">
                      <a:avLst/>
                    </a:prstGeom>
                  </pic:spPr>
                </pic:pic>
              </a:graphicData>
            </a:graphic>
          </wp:inline>
        </w:drawing>
      </w:r>
    </w:p>
    <w:p w14:paraId="0161278F" w14:textId="77777777" w:rsidR="007F7FD6" w:rsidRDefault="007F7FD6" w:rsidP="00445D0B">
      <w:pPr>
        <w:spacing w:before="240"/>
      </w:pPr>
    </w:p>
    <w:p w14:paraId="1E1ECE73" w14:textId="35C2F4BF" w:rsidR="004764C7" w:rsidRDefault="7A495620" w:rsidP="00E75B9B">
      <w:pPr>
        <w:spacing w:before="120"/>
      </w:pPr>
      <w:r>
        <w:t xml:space="preserve">A </w:t>
      </w:r>
      <w:r w:rsidRPr="7A495620">
        <w:rPr>
          <w:b/>
          <w:bCs/>
        </w:rPr>
        <w:t xml:space="preserve">jövedéki adóból </w:t>
      </w:r>
      <w:r>
        <w:t>származó bevétel március végéig 259,4 milliárd forintot tett ki, amely 1,</w:t>
      </w:r>
      <w:r w:rsidR="00ED7441">
        <w:t>7</w:t>
      </w:r>
      <w:r>
        <w:t> milliárd forinttal alacsonyabb az egy évvel korábbi értéknél.</w:t>
      </w:r>
      <w:r w:rsidR="30891728">
        <w:br w:type="page"/>
      </w:r>
    </w:p>
    <w:tbl>
      <w:tblPr>
        <w:tblW w:w="6679" w:type="dxa"/>
        <w:jc w:val="center"/>
        <w:tblCellMar>
          <w:left w:w="70" w:type="dxa"/>
          <w:right w:w="70" w:type="dxa"/>
        </w:tblCellMar>
        <w:tblLook w:val="04A0" w:firstRow="1" w:lastRow="0" w:firstColumn="1" w:lastColumn="0" w:noHBand="0" w:noVBand="1"/>
      </w:tblPr>
      <w:tblGrid>
        <w:gridCol w:w="3118"/>
        <w:gridCol w:w="993"/>
        <w:gridCol w:w="992"/>
        <w:gridCol w:w="709"/>
        <w:gridCol w:w="867"/>
      </w:tblGrid>
      <w:tr w:rsidR="00024A56" w:rsidRPr="00024A56" w14:paraId="3A81EA80" w14:textId="77777777" w:rsidTr="7A495620">
        <w:trPr>
          <w:trHeight w:val="255"/>
          <w:jc w:val="center"/>
        </w:trPr>
        <w:tc>
          <w:tcPr>
            <w:tcW w:w="6679" w:type="dxa"/>
            <w:gridSpan w:val="5"/>
            <w:tcBorders>
              <w:top w:val="nil"/>
              <w:left w:val="nil"/>
              <w:bottom w:val="nil"/>
              <w:right w:val="nil"/>
            </w:tcBorders>
            <w:shd w:val="clear" w:color="auto" w:fill="auto"/>
            <w:noWrap/>
            <w:vAlign w:val="bottom"/>
            <w:hideMark/>
          </w:tcPr>
          <w:p w14:paraId="6E79320C" w14:textId="77777777" w:rsidR="00024A56" w:rsidRPr="00024A56" w:rsidRDefault="7A495620" w:rsidP="7A495620">
            <w:pPr>
              <w:spacing w:before="120"/>
              <w:jc w:val="center"/>
              <w:rPr>
                <w:b/>
                <w:bCs/>
                <w:color w:val="000000" w:themeColor="text1"/>
                <w:sz w:val="20"/>
              </w:rPr>
            </w:pPr>
            <w:r w:rsidRPr="7A495620">
              <w:rPr>
                <w:b/>
                <w:bCs/>
                <w:color w:val="000000" w:themeColor="text1"/>
                <w:sz w:val="20"/>
              </w:rPr>
              <w:lastRenderedPageBreak/>
              <w:t>Jövedéki adó bevétel alakulása (milliárd forint)</w:t>
            </w:r>
          </w:p>
        </w:tc>
      </w:tr>
      <w:tr w:rsidR="00024A56" w:rsidRPr="00024A56" w14:paraId="34A1C44D" w14:textId="77777777" w:rsidTr="7A495620">
        <w:trPr>
          <w:trHeight w:val="450"/>
          <w:jc w:val="center"/>
        </w:trPr>
        <w:tc>
          <w:tcPr>
            <w:tcW w:w="3118"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5AFD96E8" w14:textId="77777777" w:rsidR="00024A56" w:rsidRPr="00024A56" w:rsidRDefault="7A495620" w:rsidP="7A495620">
            <w:pPr>
              <w:spacing w:after="0"/>
              <w:jc w:val="center"/>
              <w:rPr>
                <w:b/>
                <w:bCs/>
                <w:color w:val="000000" w:themeColor="text1"/>
                <w:sz w:val="20"/>
              </w:rPr>
            </w:pPr>
            <w:r w:rsidRPr="7A495620">
              <w:rPr>
                <w:b/>
                <w:bCs/>
                <w:color w:val="000000" w:themeColor="text1"/>
                <w:sz w:val="20"/>
              </w:rPr>
              <w:t>Megnevezés</w:t>
            </w:r>
          </w:p>
        </w:tc>
        <w:tc>
          <w:tcPr>
            <w:tcW w:w="993"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4D932975" w14:textId="4B8C346B" w:rsidR="00024A56" w:rsidRPr="00024A56" w:rsidRDefault="7A495620" w:rsidP="7A495620">
            <w:pPr>
              <w:spacing w:after="0"/>
              <w:jc w:val="center"/>
              <w:rPr>
                <w:b/>
                <w:bCs/>
                <w:sz w:val="20"/>
              </w:rPr>
            </w:pPr>
            <w:r w:rsidRPr="7A495620">
              <w:rPr>
                <w:b/>
                <w:bCs/>
                <w:sz w:val="20"/>
              </w:rPr>
              <w:t>2020.</w:t>
            </w:r>
            <w:r w:rsidR="30891728">
              <w:br/>
            </w:r>
            <w:r w:rsidRPr="7A495620">
              <w:rPr>
                <w:b/>
                <w:bCs/>
                <w:sz w:val="20"/>
              </w:rPr>
              <w:t>I-III. hó</w:t>
            </w:r>
          </w:p>
        </w:tc>
        <w:tc>
          <w:tcPr>
            <w:tcW w:w="992"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21AA4BEA" w14:textId="5B2768B8" w:rsidR="00024A56" w:rsidRPr="00024A56" w:rsidRDefault="7A495620" w:rsidP="7A495620">
            <w:pPr>
              <w:spacing w:after="0"/>
              <w:jc w:val="center"/>
              <w:rPr>
                <w:b/>
                <w:bCs/>
                <w:sz w:val="20"/>
              </w:rPr>
            </w:pPr>
            <w:r w:rsidRPr="7A495620">
              <w:rPr>
                <w:b/>
                <w:bCs/>
                <w:sz w:val="20"/>
              </w:rPr>
              <w:t>2021.</w:t>
            </w:r>
            <w:r w:rsidR="30891728">
              <w:br/>
            </w:r>
            <w:r w:rsidRPr="7A495620">
              <w:rPr>
                <w:b/>
                <w:bCs/>
                <w:sz w:val="20"/>
              </w:rPr>
              <w:t>I-III. hó</w:t>
            </w:r>
          </w:p>
        </w:tc>
        <w:tc>
          <w:tcPr>
            <w:tcW w:w="1576" w:type="dxa"/>
            <w:gridSpan w:val="2"/>
            <w:tcBorders>
              <w:top w:val="single" w:sz="8" w:space="0" w:color="auto"/>
              <w:left w:val="nil"/>
              <w:bottom w:val="single" w:sz="4" w:space="0" w:color="auto"/>
              <w:right w:val="single" w:sz="8" w:space="0" w:color="000000" w:themeColor="text1"/>
            </w:tcBorders>
            <w:shd w:val="clear" w:color="auto" w:fill="auto"/>
            <w:noWrap/>
            <w:vAlign w:val="center"/>
            <w:hideMark/>
          </w:tcPr>
          <w:p w14:paraId="1D2F24C1" w14:textId="77777777" w:rsidR="00024A56" w:rsidRPr="00024A56" w:rsidRDefault="7A495620" w:rsidP="7A495620">
            <w:pPr>
              <w:spacing w:after="0"/>
              <w:jc w:val="center"/>
              <w:rPr>
                <w:b/>
                <w:bCs/>
                <w:color w:val="000000" w:themeColor="text1"/>
                <w:sz w:val="20"/>
              </w:rPr>
            </w:pPr>
            <w:r w:rsidRPr="7A495620">
              <w:rPr>
                <w:b/>
                <w:bCs/>
                <w:color w:val="000000" w:themeColor="text1"/>
                <w:sz w:val="20"/>
              </w:rPr>
              <w:t>Eltérés</w:t>
            </w:r>
          </w:p>
        </w:tc>
      </w:tr>
      <w:tr w:rsidR="00024A56" w:rsidRPr="00024A56" w14:paraId="0A0EA470" w14:textId="77777777" w:rsidTr="7A495620">
        <w:trPr>
          <w:trHeight w:val="450"/>
          <w:jc w:val="center"/>
        </w:trPr>
        <w:tc>
          <w:tcPr>
            <w:tcW w:w="3118" w:type="dxa"/>
            <w:vMerge/>
            <w:tcBorders>
              <w:top w:val="single" w:sz="8" w:space="0" w:color="auto"/>
              <w:left w:val="single" w:sz="8" w:space="0" w:color="auto"/>
              <w:bottom w:val="single" w:sz="8" w:space="0" w:color="000000"/>
              <w:right w:val="single" w:sz="8" w:space="0" w:color="auto"/>
            </w:tcBorders>
            <w:vAlign w:val="center"/>
            <w:hideMark/>
          </w:tcPr>
          <w:p w14:paraId="3CF47CB0" w14:textId="77777777" w:rsidR="00024A56" w:rsidRPr="00024A56" w:rsidRDefault="00024A56" w:rsidP="00024A56">
            <w:pPr>
              <w:spacing w:after="0"/>
              <w:jc w:val="left"/>
              <w:rPr>
                <w:b/>
                <w:bCs/>
                <w:color w:val="000000"/>
                <w:sz w:val="20"/>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0A60470E" w14:textId="77777777" w:rsidR="00024A56" w:rsidRPr="00024A56" w:rsidRDefault="00024A56" w:rsidP="00024A56">
            <w:pPr>
              <w:spacing w:after="0"/>
              <w:jc w:val="left"/>
              <w:rPr>
                <w:b/>
                <w:bCs/>
                <w:sz w:val="20"/>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2A9292C5" w14:textId="77777777" w:rsidR="00024A56" w:rsidRPr="00024A56" w:rsidRDefault="00024A56" w:rsidP="00024A56">
            <w:pPr>
              <w:spacing w:after="0"/>
              <w:jc w:val="left"/>
              <w:rPr>
                <w:b/>
                <w:bCs/>
                <w:sz w:val="20"/>
              </w:rPr>
            </w:pPr>
          </w:p>
        </w:tc>
        <w:tc>
          <w:tcPr>
            <w:tcW w:w="709" w:type="dxa"/>
            <w:tcBorders>
              <w:top w:val="nil"/>
              <w:left w:val="nil"/>
              <w:bottom w:val="single" w:sz="8" w:space="0" w:color="auto"/>
              <w:right w:val="single" w:sz="4" w:space="0" w:color="auto"/>
            </w:tcBorders>
            <w:shd w:val="clear" w:color="auto" w:fill="auto"/>
            <w:noWrap/>
            <w:vAlign w:val="center"/>
            <w:hideMark/>
          </w:tcPr>
          <w:p w14:paraId="54154943" w14:textId="77777777" w:rsidR="00024A56" w:rsidRPr="00024A56" w:rsidRDefault="7A495620" w:rsidP="7A495620">
            <w:pPr>
              <w:spacing w:after="0"/>
              <w:jc w:val="center"/>
              <w:rPr>
                <w:b/>
                <w:bCs/>
                <w:color w:val="000000" w:themeColor="text1"/>
                <w:sz w:val="20"/>
              </w:rPr>
            </w:pPr>
            <w:r w:rsidRPr="7A495620">
              <w:rPr>
                <w:b/>
                <w:bCs/>
                <w:color w:val="000000" w:themeColor="text1"/>
                <w:sz w:val="20"/>
              </w:rPr>
              <w:t>Mrd Ft</w:t>
            </w:r>
          </w:p>
        </w:tc>
        <w:tc>
          <w:tcPr>
            <w:tcW w:w="867" w:type="dxa"/>
            <w:tcBorders>
              <w:top w:val="nil"/>
              <w:left w:val="nil"/>
              <w:bottom w:val="single" w:sz="8" w:space="0" w:color="auto"/>
              <w:right w:val="single" w:sz="8" w:space="0" w:color="auto"/>
            </w:tcBorders>
            <w:shd w:val="clear" w:color="auto" w:fill="auto"/>
            <w:noWrap/>
            <w:vAlign w:val="center"/>
            <w:hideMark/>
          </w:tcPr>
          <w:p w14:paraId="4FA863EF" w14:textId="77777777" w:rsidR="00024A56" w:rsidRPr="00024A56" w:rsidRDefault="7A495620" w:rsidP="7A495620">
            <w:pPr>
              <w:spacing w:after="0"/>
              <w:jc w:val="center"/>
              <w:rPr>
                <w:b/>
                <w:bCs/>
                <w:color w:val="000000" w:themeColor="text1"/>
                <w:sz w:val="20"/>
              </w:rPr>
            </w:pPr>
            <w:r w:rsidRPr="7A495620">
              <w:rPr>
                <w:b/>
                <w:bCs/>
                <w:color w:val="000000" w:themeColor="text1"/>
                <w:sz w:val="20"/>
              </w:rPr>
              <w:t>%</w:t>
            </w:r>
          </w:p>
        </w:tc>
      </w:tr>
      <w:tr w:rsidR="005E37EC" w:rsidRPr="000C76A6" w14:paraId="508557F8" w14:textId="77777777" w:rsidTr="7A495620">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6EC723A4" w14:textId="50D0FBE1" w:rsidR="005E37EC" w:rsidRPr="00024A56" w:rsidRDefault="7A495620" w:rsidP="7A495620">
            <w:pPr>
              <w:spacing w:after="0"/>
              <w:jc w:val="left"/>
              <w:rPr>
                <w:b/>
                <w:bCs/>
                <w:sz w:val="20"/>
              </w:rPr>
            </w:pPr>
            <w:r w:rsidRPr="7A495620">
              <w:rPr>
                <w:b/>
                <w:bCs/>
                <w:sz w:val="20"/>
              </w:rPr>
              <w:t>Üzemanyag jövedéki adó</w:t>
            </w:r>
          </w:p>
        </w:tc>
        <w:tc>
          <w:tcPr>
            <w:tcW w:w="993" w:type="dxa"/>
            <w:tcBorders>
              <w:top w:val="nil"/>
              <w:left w:val="single" w:sz="8" w:space="0" w:color="auto"/>
              <w:bottom w:val="single" w:sz="4" w:space="0" w:color="auto"/>
              <w:right w:val="single" w:sz="8" w:space="0" w:color="auto"/>
            </w:tcBorders>
            <w:shd w:val="clear" w:color="auto" w:fill="auto"/>
            <w:noWrap/>
            <w:vAlign w:val="center"/>
          </w:tcPr>
          <w:p w14:paraId="68AF4B4E" w14:textId="11715906" w:rsidR="005E37EC" w:rsidRPr="000C76A6" w:rsidRDefault="7A495620" w:rsidP="7A495620">
            <w:pPr>
              <w:spacing w:after="0"/>
              <w:jc w:val="center"/>
              <w:rPr>
                <w:sz w:val="20"/>
              </w:rPr>
            </w:pPr>
            <w:r w:rsidRPr="7A495620">
              <w:rPr>
                <w:sz w:val="20"/>
              </w:rPr>
              <w:t>147,0</w:t>
            </w:r>
          </w:p>
        </w:tc>
        <w:tc>
          <w:tcPr>
            <w:tcW w:w="992" w:type="dxa"/>
            <w:tcBorders>
              <w:top w:val="nil"/>
              <w:left w:val="nil"/>
              <w:bottom w:val="single" w:sz="4" w:space="0" w:color="auto"/>
              <w:right w:val="single" w:sz="8" w:space="0" w:color="auto"/>
            </w:tcBorders>
            <w:shd w:val="clear" w:color="auto" w:fill="auto"/>
            <w:noWrap/>
            <w:vAlign w:val="center"/>
          </w:tcPr>
          <w:p w14:paraId="27E8CB93" w14:textId="3A838016" w:rsidR="005E37EC" w:rsidRPr="000C76A6" w:rsidRDefault="7A495620" w:rsidP="7A495620">
            <w:pPr>
              <w:spacing w:after="0"/>
              <w:jc w:val="center"/>
              <w:rPr>
                <w:sz w:val="20"/>
              </w:rPr>
            </w:pPr>
            <w:r w:rsidRPr="7A495620">
              <w:rPr>
                <w:sz w:val="20"/>
              </w:rPr>
              <w:t>146,7</w:t>
            </w:r>
          </w:p>
        </w:tc>
        <w:tc>
          <w:tcPr>
            <w:tcW w:w="709" w:type="dxa"/>
            <w:tcBorders>
              <w:top w:val="nil"/>
              <w:left w:val="nil"/>
              <w:bottom w:val="single" w:sz="4" w:space="0" w:color="auto"/>
              <w:right w:val="single" w:sz="4" w:space="0" w:color="auto"/>
            </w:tcBorders>
            <w:shd w:val="clear" w:color="auto" w:fill="auto"/>
            <w:noWrap/>
            <w:vAlign w:val="center"/>
          </w:tcPr>
          <w:p w14:paraId="28D690E2" w14:textId="59119309" w:rsidR="005E37EC" w:rsidRPr="000C76A6" w:rsidRDefault="7A495620" w:rsidP="7A495620">
            <w:pPr>
              <w:spacing w:after="0"/>
              <w:jc w:val="center"/>
              <w:rPr>
                <w:color w:val="000000" w:themeColor="text1"/>
                <w:sz w:val="20"/>
              </w:rPr>
            </w:pPr>
            <w:r w:rsidRPr="7A495620">
              <w:rPr>
                <w:color w:val="000000" w:themeColor="text1"/>
                <w:sz w:val="20"/>
              </w:rPr>
              <w:t>-0,3</w:t>
            </w:r>
          </w:p>
        </w:tc>
        <w:tc>
          <w:tcPr>
            <w:tcW w:w="867" w:type="dxa"/>
            <w:tcBorders>
              <w:top w:val="nil"/>
              <w:left w:val="nil"/>
              <w:bottom w:val="single" w:sz="4" w:space="0" w:color="auto"/>
              <w:right w:val="single" w:sz="8" w:space="0" w:color="auto"/>
            </w:tcBorders>
            <w:shd w:val="clear" w:color="auto" w:fill="auto"/>
            <w:noWrap/>
            <w:vAlign w:val="center"/>
          </w:tcPr>
          <w:p w14:paraId="4A80F6B5" w14:textId="243546C5" w:rsidR="005E37EC" w:rsidRPr="000C76A6" w:rsidRDefault="7A495620" w:rsidP="7A495620">
            <w:pPr>
              <w:spacing w:after="0"/>
              <w:jc w:val="center"/>
              <w:rPr>
                <w:sz w:val="20"/>
              </w:rPr>
            </w:pPr>
            <w:r w:rsidRPr="7A495620">
              <w:rPr>
                <w:color w:val="000000" w:themeColor="text1"/>
                <w:sz w:val="20"/>
              </w:rPr>
              <w:t>99,8</w:t>
            </w:r>
          </w:p>
        </w:tc>
      </w:tr>
      <w:tr w:rsidR="005E37EC" w:rsidRPr="000C76A6" w14:paraId="57AD209F" w14:textId="77777777" w:rsidTr="7A495620">
        <w:trPr>
          <w:trHeight w:val="270"/>
          <w:jc w:val="center"/>
        </w:trPr>
        <w:tc>
          <w:tcPr>
            <w:tcW w:w="3118" w:type="dxa"/>
            <w:tcBorders>
              <w:top w:val="nil"/>
              <w:left w:val="single" w:sz="8" w:space="0" w:color="auto"/>
              <w:bottom w:val="single" w:sz="4" w:space="0" w:color="auto"/>
              <w:right w:val="single" w:sz="8" w:space="0" w:color="auto"/>
            </w:tcBorders>
            <w:shd w:val="clear" w:color="auto" w:fill="auto"/>
            <w:noWrap/>
            <w:vAlign w:val="center"/>
            <w:hideMark/>
          </w:tcPr>
          <w:p w14:paraId="268C933F" w14:textId="35F788F0" w:rsidR="005E37EC" w:rsidRPr="00024A56" w:rsidRDefault="7A495620" w:rsidP="7A495620">
            <w:pPr>
              <w:spacing w:after="0"/>
              <w:jc w:val="left"/>
              <w:rPr>
                <w:b/>
                <w:bCs/>
                <w:sz w:val="20"/>
              </w:rPr>
            </w:pPr>
            <w:r w:rsidRPr="7A495620">
              <w:rPr>
                <w:b/>
                <w:bCs/>
                <w:sz w:val="20"/>
              </w:rPr>
              <w:t>Dohánygyártmány jövedéki adó</w:t>
            </w:r>
          </w:p>
        </w:tc>
        <w:tc>
          <w:tcPr>
            <w:tcW w:w="993" w:type="dxa"/>
            <w:tcBorders>
              <w:top w:val="nil"/>
              <w:left w:val="single" w:sz="8" w:space="0" w:color="auto"/>
              <w:bottom w:val="single" w:sz="4" w:space="0" w:color="auto"/>
              <w:right w:val="single" w:sz="8" w:space="0" w:color="auto"/>
            </w:tcBorders>
            <w:shd w:val="clear" w:color="auto" w:fill="auto"/>
            <w:noWrap/>
            <w:vAlign w:val="center"/>
          </w:tcPr>
          <w:p w14:paraId="79F99CAB" w14:textId="3F7627F4" w:rsidR="005E37EC" w:rsidRPr="000C76A6" w:rsidRDefault="7A495620" w:rsidP="7A495620">
            <w:pPr>
              <w:spacing w:after="0"/>
              <w:jc w:val="center"/>
              <w:rPr>
                <w:sz w:val="20"/>
              </w:rPr>
            </w:pPr>
            <w:r w:rsidRPr="7A495620">
              <w:rPr>
                <w:sz w:val="20"/>
              </w:rPr>
              <w:t>90,3</w:t>
            </w:r>
          </w:p>
        </w:tc>
        <w:tc>
          <w:tcPr>
            <w:tcW w:w="992" w:type="dxa"/>
            <w:tcBorders>
              <w:top w:val="nil"/>
              <w:left w:val="nil"/>
              <w:bottom w:val="single" w:sz="4" w:space="0" w:color="auto"/>
              <w:right w:val="single" w:sz="8" w:space="0" w:color="auto"/>
            </w:tcBorders>
            <w:shd w:val="clear" w:color="auto" w:fill="auto"/>
            <w:noWrap/>
            <w:vAlign w:val="center"/>
          </w:tcPr>
          <w:p w14:paraId="77FC4294" w14:textId="7AA052DE" w:rsidR="005E37EC" w:rsidRPr="000C76A6" w:rsidRDefault="7A495620" w:rsidP="7A495620">
            <w:pPr>
              <w:spacing w:after="0"/>
              <w:jc w:val="center"/>
              <w:rPr>
                <w:sz w:val="20"/>
              </w:rPr>
            </w:pPr>
            <w:r w:rsidRPr="7A495620">
              <w:rPr>
                <w:sz w:val="20"/>
              </w:rPr>
              <w:t>88,3</w:t>
            </w:r>
          </w:p>
        </w:tc>
        <w:tc>
          <w:tcPr>
            <w:tcW w:w="709" w:type="dxa"/>
            <w:tcBorders>
              <w:top w:val="nil"/>
              <w:left w:val="nil"/>
              <w:bottom w:val="single" w:sz="4" w:space="0" w:color="auto"/>
              <w:right w:val="single" w:sz="4" w:space="0" w:color="auto"/>
            </w:tcBorders>
            <w:shd w:val="clear" w:color="auto" w:fill="auto"/>
            <w:noWrap/>
            <w:vAlign w:val="center"/>
          </w:tcPr>
          <w:p w14:paraId="23932EB7" w14:textId="2B3F55CA" w:rsidR="005E37EC" w:rsidRPr="000C76A6" w:rsidRDefault="7A495620" w:rsidP="7A495620">
            <w:pPr>
              <w:spacing w:after="0"/>
              <w:jc w:val="center"/>
              <w:rPr>
                <w:color w:val="000000" w:themeColor="text1"/>
                <w:sz w:val="20"/>
              </w:rPr>
            </w:pPr>
            <w:r w:rsidRPr="7A495620">
              <w:rPr>
                <w:color w:val="000000" w:themeColor="text1"/>
                <w:sz w:val="20"/>
              </w:rPr>
              <w:t>-2,0</w:t>
            </w:r>
          </w:p>
        </w:tc>
        <w:tc>
          <w:tcPr>
            <w:tcW w:w="867" w:type="dxa"/>
            <w:tcBorders>
              <w:top w:val="nil"/>
              <w:left w:val="nil"/>
              <w:bottom w:val="single" w:sz="4" w:space="0" w:color="auto"/>
              <w:right w:val="single" w:sz="8" w:space="0" w:color="auto"/>
            </w:tcBorders>
            <w:shd w:val="clear" w:color="auto" w:fill="auto"/>
            <w:noWrap/>
            <w:vAlign w:val="center"/>
          </w:tcPr>
          <w:p w14:paraId="6073DB33" w14:textId="7F283B28" w:rsidR="005E37EC" w:rsidRPr="000C76A6" w:rsidRDefault="7A495620" w:rsidP="7A495620">
            <w:pPr>
              <w:spacing w:after="0"/>
              <w:jc w:val="center"/>
              <w:rPr>
                <w:sz w:val="20"/>
              </w:rPr>
            </w:pPr>
            <w:r w:rsidRPr="7A495620">
              <w:rPr>
                <w:color w:val="000000" w:themeColor="text1"/>
                <w:sz w:val="20"/>
              </w:rPr>
              <w:t>97,8</w:t>
            </w:r>
          </w:p>
        </w:tc>
      </w:tr>
      <w:tr w:rsidR="005E37EC" w:rsidRPr="000C76A6" w14:paraId="2E89E7E2" w14:textId="77777777" w:rsidTr="7A495620">
        <w:trPr>
          <w:trHeight w:val="270"/>
          <w:jc w:val="center"/>
        </w:trPr>
        <w:tc>
          <w:tcPr>
            <w:tcW w:w="3118" w:type="dxa"/>
            <w:tcBorders>
              <w:top w:val="nil"/>
              <w:left w:val="single" w:sz="8" w:space="0" w:color="auto"/>
              <w:bottom w:val="nil"/>
              <w:right w:val="single" w:sz="8" w:space="0" w:color="auto"/>
            </w:tcBorders>
            <w:shd w:val="clear" w:color="auto" w:fill="auto"/>
            <w:noWrap/>
            <w:vAlign w:val="center"/>
            <w:hideMark/>
          </w:tcPr>
          <w:p w14:paraId="27C95F96" w14:textId="79969345" w:rsidR="005E37EC" w:rsidRPr="00024A56" w:rsidRDefault="7A495620" w:rsidP="7A495620">
            <w:pPr>
              <w:spacing w:after="0"/>
              <w:jc w:val="left"/>
              <w:rPr>
                <w:b/>
                <w:bCs/>
                <w:sz w:val="20"/>
              </w:rPr>
            </w:pPr>
            <w:r w:rsidRPr="7A495620">
              <w:rPr>
                <w:b/>
                <w:bCs/>
                <w:sz w:val="20"/>
              </w:rPr>
              <w:t>Egyéb termék jövedéki adó</w:t>
            </w:r>
          </w:p>
        </w:tc>
        <w:tc>
          <w:tcPr>
            <w:tcW w:w="993" w:type="dxa"/>
            <w:tcBorders>
              <w:top w:val="nil"/>
              <w:left w:val="single" w:sz="8" w:space="0" w:color="auto"/>
              <w:bottom w:val="nil"/>
              <w:right w:val="single" w:sz="8" w:space="0" w:color="auto"/>
            </w:tcBorders>
            <w:shd w:val="clear" w:color="auto" w:fill="auto"/>
            <w:noWrap/>
            <w:vAlign w:val="center"/>
          </w:tcPr>
          <w:p w14:paraId="7364BF93" w14:textId="4F593488" w:rsidR="005E37EC" w:rsidRPr="000C76A6" w:rsidRDefault="7A495620" w:rsidP="7A495620">
            <w:pPr>
              <w:spacing w:after="0"/>
              <w:jc w:val="center"/>
              <w:rPr>
                <w:sz w:val="20"/>
              </w:rPr>
            </w:pPr>
            <w:r w:rsidRPr="7A495620">
              <w:rPr>
                <w:sz w:val="20"/>
              </w:rPr>
              <w:t>18,7</w:t>
            </w:r>
          </w:p>
        </w:tc>
        <w:tc>
          <w:tcPr>
            <w:tcW w:w="992" w:type="dxa"/>
            <w:tcBorders>
              <w:top w:val="nil"/>
              <w:left w:val="nil"/>
              <w:bottom w:val="nil"/>
              <w:right w:val="single" w:sz="8" w:space="0" w:color="auto"/>
            </w:tcBorders>
            <w:shd w:val="clear" w:color="auto" w:fill="auto"/>
            <w:noWrap/>
            <w:vAlign w:val="center"/>
          </w:tcPr>
          <w:p w14:paraId="7B16728B" w14:textId="37FB0729" w:rsidR="005E37EC" w:rsidRPr="000C76A6" w:rsidRDefault="7A495620" w:rsidP="00B6391B">
            <w:pPr>
              <w:spacing w:after="0"/>
              <w:jc w:val="center"/>
              <w:rPr>
                <w:sz w:val="20"/>
              </w:rPr>
            </w:pPr>
            <w:r w:rsidRPr="7A495620">
              <w:rPr>
                <w:sz w:val="20"/>
              </w:rPr>
              <w:t>19,</w:t>
            </w:r>
            <w:r w:rsidR="00B6391B">
              <w:rPr>
                <w:sz w:val="20"/>
              </w:rPr>
              <w:t>1</w:t>
            </w:r>
          </w:p>
        </w:tc>
        <w:tc>
          <w:tcPr>
            <w:tcW w:w="709" w:type="dxa"/>
            <w:tcBorders>
              <w:top w:val="nil"/>
              <w:left w:val="nil"/>
              <w:bottom w:val="nil"/>
              <w:right w:val="single" w:sz="4" w:space="0" w:color="auto"/>
            </w:tcBorders>
            <w:shd w:val="clear" w:color="auto" w:fill="auto"/>
            <w:noWrap/>
            <w:vAlign w:val="center"/>
          </w:tcPr>
          <w:p w14:paraId="27354059" w14:textId="769CBC7B" w:rsidR="005E37EC" w:rsidRPr="000C76A6" w:rsidRDefault="7A495620" w:rsidP="004B3784">
            <w:pPr>
              <w:spacing w:after="0"/>
              <w:jc w:val="center"/>
              <w:rPr>
                <w:color w:val="000000" w:themeColor="text1"/>
                <w:sz w:val="20"/>
              </w:rPr>
            </w:pPr>
            <w:r w:rsidRPr="7A495620">
              <w:rPr>
                <w:color w:val="000000" w:themeColor="text1"/>
                <w:sz w:val="20"/>
              </w:rPr>
              <w:t>0,</w:t>
            </w:r>
            <w:r w:rsidR="004B3784">
              <w:rPr>
                <w:color w:val="000000" w:themeColor="text1"/>
                <w:sz w:val="20"/>
              </w:rPr>
              <w:t>4</w:t>
            </w:r>
          </w:p>
        </w:tc>
        <w:tc>
          <w:tcPr>
            <w:tcW w:w="867" w:type="dxa"/>
            <w:tcBorders>
              <w:top w:val="nil"/>
              <w:left w:val="nil"/>
              <w:bottom w:val="nil"/>
              <w:right w:val="single" w:sz="8" w:space="0" w:color="auto"/>
            </w:tcBorders>
            <w:shd w:val="clear" w:color="auto" w:fill="auto"/>
            <w:noWrap/>
            <w:vAlign w:val="center"/>
          </w:tcPr>
          <w:p w14:paraId="40F267EE" w14:textId="55B1CB51" w:rsidR="005E37EC" w:rsidRPr="000C76A6" w:rsidRDefault="7A495620" w:rsidP="00914295">
            <w:pPr>
              <w:spacing w:after="0"/>
              <w:jc w:val="center"/>
              <w:rPr>
                <w:sz w:val="20"/>
              </w:rPr>
            </w:pPr>
            <w:r w:rsidRPr="7A495620">
              <w:rPr>
                <w:color w:val="000000" w:themeColor="text1"/>
                <w:sz w:val="20"/>
              </w:rPr>
              <w:t>10</w:t>
            </w:r>
            <w:r w:rsidR="00914295">
              <w:rPr>
                <w:color w:val="000000" w:themeColor="text1"/>
                <w:sz w:val="20"/>
              </w:rPr>
              <w:t>2,1</w:t>
            </w:r>
          </w:p>
        </w:tc>
      </w:tr>
      <w:tr w:rsidR="005E37EC" w:rsidRPr="000C76A6" w14:paraId="664D47E1" w14:textId="77777777" w:rsidTr="7A495620">
        <w:trPr>
          <w:trHeight w:val="270"/>
          <w:jc w:val="center"/>
        </w:trPr>
        <w:tc>
          <w:tcPr>
            <w:tcW w:w="3118" w:type="dxa"/>
            <w:tcBorders>
              <w:top w:val="single" w:sz="4" w:space="0" w:color="auto"/>
              <w:left w:val="single" w:sz="8" w:space="0" w:color="auto"/>
              <w:bottom w:val="nil"/>
              <w:right w:val="single" w:sz="8" w:space="0" w:color="auto"/>
            </w:tcBorders>
            <w:shd w:val="clear" w:color="auto" w:fill="auto"/>
            <w:noWrap/>
            <w:vAlign w:val="center"/>
            <w:hideMark/>
          </w:tcPr>
          <w:p w14:paraId="7B919B72" w14:textId="7F22971B" w:rsidR="005E37EC" w:rsidRPr="00024A56" w:rsidRDefault="7A495620" w:rsidP="7A495620">
            <w:pPr>
              <w:spacing w:after="0"/>
              <w:jc w:val="left"/>
              <w:rPr>
                <w:b/>
                <w:bCs/>
                <w:sz w:val="20"/>
              </w:rPr>
            </w:pPr>
            <w:proofErr w:type="gramStart"/>
            <w:r w:rsidRPr="7A495620">
              <w:rPr>
                <w:b/>
                <w:bCs/>
                <w:sz w:val="20"/>
              </w:rPr>
              <w:t>Import</w:t>
            </w:r>
            <w:proofErr w:type="gramEnd"/>
            <w:r w:rsidRPr="7A495620">
              <w:rPr>
                <w:b/>
                <w:bCs/>
                <w:sz w:val="20"/>
              </w:rPr>
              <w:t xml:space="preserve"> jövedéki adó és energiaadó</w:t>
            </w:r>
          </w:p>
        </w:tc>
        <w:tc>
          <w:tcPr>
            <w:tcW w:w="993"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C055628" w14:textId="084FB44F" w:rsidR="005E37EC" w:rsidRPr="000C76A6" w:rsidRDefault="7A495620" w:rsidP="7A495620">
            <w:pPr>
              <w:spacing w:after="0"/>
              <w:jc w:val="center"/>
              <w:rPr>
                <w:sz w:val="20"/>
              </w:rPr>
            </w:pPr>
            <w:r w:rsidRPr="7A495620">
              <w:rPr>
                <w:sz w:val="20"/>
              </w:rPr>
              <w:t>5,1</w:t>
            </w:r>
          </w:p>
        </w:tc>
        <w:tc>
          <w:tcPr>
            <w:tcW w:w="992" w:type="dxa"/>
            <w:tcBorders>
              <w:top w:val="single" w:sz="4" w:space="0" w:color="auto"/>
              <w:left w:val="nil"/>
              <w:bottom w:val="single" w:sz="8" w:space="0" w:color="auto"/>
              <w:right w:val="single" w:sz="8" w:space="0" w:color="auto"/>
            </w:tcBorders>
            <w:shd w:val="clear" w:color="auto" w:fill="auto"/>
            <w:noWrap/>
            <w:vAlign w:val="center"/>
          </w:tcPr>
          <w:p w14:paraId="13C70C2F" w14:textId="74C4E448" w:rsidR="005E37EC" w:rsidRPr="000C76A6" w:rsidRDefault="7A495620" w:rsidP="7A495620">
            <w:pPr>
              <w:spacing w:after="0"/>
              <w:jc w:val="center"/>
              <w:rPr>
                <w:sz w:val="20"/>
              </w:rPr>
            </w:pPr>
            <w:r w:rsidRPr="7A495620">
              <w:rPr>
                <w:sz w:val="20"/>
              </w:rPr>
              <w:t>5,3</w:t>
            </w:r>
          </w:p>
        </w:tc>
        <w:tc>
          <w:tcPr>
            <w:tcW w:w="709" w:type="dxa"/>
            <w:tcBorders>
              <w:top w:val="single" w:sz="4" w:space="0" w:color="auto"/>
              <w:left w:val="nil"/>
              <w:bottom w:val="single" w:sz="8" w:space="0" w:color="auto"/>
              <w:right w:val="single" w:sz="4" w:space="0" w:color="auto"/>
            </w:tcBorders>
            <w:shd w:val="clear" w:color="auto" w:fill="auto"/>
            <w:noWrap/>
            <w:vAlign w:val="center"/>
          </w:tcPr>
          <w:p w14:paraId="562B1DC5" w14:textId="40769717" w:rsidR="005E37EC" w:rsidRPr="000C76A6" w:rsidRDefault="7A495620" w:rsidP="7A495620">
            <w:pPr>
              <w:spacing w:after="0"/>
              <w:jc w:val="center"/>
              <w:rPr>
                <w:color w:val="000000" w:themeColor="text1"/>
                <w:sz w:val="20"/>
              </w:rPr>
            </w:pPr>
            <w:r w:rsidRPr="7A495620">
              <w:rPr>
                <w:color w:val="000000" w:themeColor="text1"/>
                <w:sz w:val="20"/>
              </w:rPr>
              <w:t>0,2</w:t>
            </w:r>
          </w:p>
        </w:tc>
        <w:tc>
          <w:tcPr>
            <w:tcW w:w="867" w:type="dxa"/>
            <w:tcBorders>
              <w:top w:val="single" w:sz="4" w:space="0" w:color="auto"/>
              <w:left w:val="nil"/>
              <w:bottom w:val="single" w:sz="8" w:space="0" w:color="auto"/>
              <w:right w:val="single" w:sz="8" w:space="0" w:color="auto"/>
            </w:tcBorders>
            <w:shd w:val="clear" w:color="auto" w:fill="auto"/>
            <w:noWrap/>
            <w:vAlign w:val="center"/>
          </w:tcPr>
          <w:p w14:paraId="4F21FF55" w14:textId="43353C16" w:rsidR="005E37EC" w:rsidRPr="000C76A6" w:rsidRDefault="00914295" w:rsidP="7A495620">
            <w:pPr>
              <w:spacing w:after="0"/>
              <w:jc w:val="center"/>
              <w:rPr>
                <w:sz w:val="20"/>
              </w:rPr>
            </w:pPr>
            <w:r>
              <w:rPr>
                <w:sz w:val="20"/>
              </w:rPr>
              <w:t>103,9</w:t>
            </w:r>
          </w:p>
        </w:tc>
      </w:tr>
      <w:tr w:rsidR="005E37EC" w:rsidRPr="000C76A6" w14:paraId="65DFBFEE" w14:textId="77777777" w:rsidTr="7A495620">
        <w:trPr>
          <w:trHeight w:val="270"/>
          <w:jc w:val="center"/>
        </w:trPr>
        <w:tc>
          <w:tcPr>
            <w:tcW w:w="3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AB3BD6" w14:textId="2125BC17" w:rsidR="005E37EC" w:rsidRPr="00024A56" w:rsidRDefault="7A495620" w:rsidP="7A495620">
            <w:pPr>
              <w:spacing w:after="0"/>
              <w:jc w:val="left"/>
              <w:rPr>
                <w:b/>
                <w:bCs/>
                <w:sz w:val="20"/>
              </w:rPr>
            </w:pPr>
            <w:r w:rsidRPr="7A495620">
              <w:rPr>
                <w:b/>
                <w:bCs/>
                <w:sz w:val="20"/>
              </w:rPr>
              <w:t>Jövedéki adók összesen</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12362D3" w14:textId="1F2C48B2" w:rsidR="005E37EC" w:rsidRPr="000C76A6" w:rsidRDefault="7A495620" w:rsidP="7A495620">
            <w:pPr>
              <w:spacing w:after="0"/>
              <w:jc w:val="center"/>
              <w:rPr>
                <w:b/>
                <w:bCs/>
                <w:sz w:val="20"/>
              </w:rPr>
            </w:pPr>
            <w:r w:rsidRPr="7A495620">
              <w:rPr>
                <w:b/>
                <w:bCs/>
                <w:sz w:val="20"/>
              </w:rPr>
              <w:t>261,1</w:t>
            </w:r>
          </w:p>
        </w:tc>
        <w:tc>
          <w:tcPr>
            <w:tcW w:w="992" w:type="dxa"/>
            <w:tcBorders>
              <w:top w:val="single" w:sz="8" w:space="0" w:color="auto"/>
              <w:left w:val="nil"/>
              <w:bottom w:val="single" w:sz="8" w:space="0" w:color="auto"/>
              <w:right w:val="single" w:sz="8" w:space="0" w:color="auto"/>
            </w:tcBorders>
            <w:shd w:val="clear" w:color="auto" w:fill="auto"/>
            <w:noWrap/>
            <w:vAlign w:val="center"/>
          </w:tcPr>
          <w:p w14:paraId="35930993" w14:textId="00ED93D5" w:rsidR="005E37EC" w:rsidRPr="000C76A6" w:rsidRDefault="7A495620" w:rsidP="7A495620">
            <w:pPr>
              <w:spacing w:after="0"/>
              <w:jc w:val="center"/>
              <w:rPr>
                <w:b/>
                <w:bCs/>
                <w:sz w:val="20"/>
              </w:rPr>
            </w:pPr>
            <w:r w:rsidRPr="7A495620">
              <w:rPr>
                <w:b/>
                <w:bCs/>
                <w:sz w:val="20"/>
              </w:rPr>
              <w:t>259,4</w:t>
            </w:r>
          </w:p>
        </w:tc>
        <w:tc>
          <w:tcPr>
            <w:tcW w:w="709" w:type="dxa"/>
            <w:tcBorders>
              <w:top w:val="single" w:sz="8" w:space="0" w:color="auto"/>
              <w:left w:val="nil"/>
              <w:bottom w:val="single" w:sz="8" w:space="0" w:color="auto"/>
              <w:right w:val="single" w:sz="4" w:space="0" w:color="auto"/>
            </w:tcBorders>
            <w:shd w:val="clear" w:color="auto" w:fill="auto"/>
            <w:noWrap/>
            <w:vAlign w:val="center"/>
          </w:tcPr>
          <w:p w14:paraId="64E32CD5" w14:textId="3B4AEDE7" w:rsidR="005E37EC" w:rsidRPr="000C76A6" w:rsidRDefault="7A495620" w:rsidP="004B3784">
            <w:pPr>
              <w:spacing w:after="0"/>
              <w:jc w:val="center"/>
              <w:rPr>
                <w:b/>
                <w:bCs/>
                <w:sz w:val="20"/>
              </w:rPr>
            </w:pPr>
            <w:r w:rsidRPr="7A495620">
              <w:rPr>
                <w:b/>
                <w:bCs/>
                <w:sz w:val="20"/>
              </w:rPr>
              <w:t>-1,</w:t>
            </w:r>
            <w:r w:rsidR="004B3784">
              <w:rPr>
                <w:b/>
                <w:bCs/>
                <w:sz w:val="20"/>
              </w:rPr>
              <w:t>7</w:t>
            </w:r>
          </w:p>
        </w:tc>
        <w:tc>
          <w:tcPr>
            <w:tcW w:w="867" w:type="dxa"/>
            <w:tcBorders>
              <w:top w:val="single" w:sz="8" w:space="0" w:color="auto"/>
              <w:left w:val="nil"/>
              <w:bottom w:val="single" w:sz="8" w:space="0" w:color="auto"/>
              <w:right w:val="single" w:sz="8" w:space="0" w:color="auto"/>
            </w:tcBorders>
            <w:shd w:val="clear" w:color="auto" w:fill="auto"/>
            <w:noWrap/>
            <w:vAlign w:val="center"/>
          </w:tcPr>
          <w:p w14:paraId="7A3BDED0" w14:textId="35F1318D" w:rsidR="005E37EC" w:rsidRPr="000C76A6" w:rsidRDefault="7A495620" w:rsidP="7A495620">
            <w:pPr>
              <w:spacing w:after="0"/>
              <w:jc w:val="center"/>
              <w:rPr>
                <w:b/>
                <w:bCs/>
                <w:sz w:val="20"/>
              </w:rPr>
            </w:pPr>
            <w:r w:rsidRPr="7A495620">
              <w:rPr>
                <w:b/>
                <w:bCs/>
                <w:color w:val="000000" w:themeColor="text1"/>
                <w:sz w:val="20"/>
              </w:rPr>
              <w:t>99,3</w:t>
            </w:r>
          </w:p>
        </w:tc>
      </w:tr>
    </w:tbl>
    <w:p w14:paraId="10743248" w14:textId="77777777" w:rsidR="001E4959" w:rsidRDefault="001E4959" w:rsidP="00F9316E">
      <w:pPr>
        <w:spacing w:after="0" w:line="259" w:lineRule="auto"/>
      </w:pPr>
    </w:p>
    <w:p w14:paraId="29039E25" w14:textId="4A6D1385" w:rsidR="00560FAE" w:rsidRPr="007C4E05" w:rsidRDefault="7A495620" w:rsidP="7A495620">
      <w:pPr>
        <w:rPr>
          <w:rFonts w:cs="Tahoma"/>
          <w:color w:val="000000" w:themeColor="text1"/>
        </w:rPr>
      </w:pPr>
      <w:r>
        <w:t xml:space="preserve">Az üzemanyagok utáni bevételek kismértékű csökkenésének hátterében az alacsonyabb üzemanyag-forgalom áll, melyet a tárgyévi magasabb adómértékek pozitív hatása ellensúlyozott. </w:t>
      </w:r>
      <w:r w:rsidR="008C4E87" w:rsidRPr="008C4E87">
        <w:t>A dohánytermékek utáni bevételek csökkenésének hátterében elsősorban az adómérték</w:t>
      </w:r>
      <w:r w:rsidR="008C4E87">
        <w:t>-</w:t>
      </w:r>
      <w:r w:rsidR="008C4E87" w:rsidRPr="008C4E87">
        <w:t xml:space="preserve">emelés és az ebből fakadó 2020. év végi készletfelhalmozás miatti forgalomcsökkenés áll. </w:t>
      </w:r>
      <w:r>
        <w:t xml:space="preserve">Az egyéb termékek esetében a bevételek növekedését a magasabb forgalom indokolja. Az energiaadó bevételek növekedésének hátterében a magasabb energiafelhasználás áll. </w:t>
      </w:r>
    </w:p>
    <w:p w14:paraId="08FB037C" w14:textId="4ECB13AB" w:rsidR="008174C4" w:rsidRPr="007C41D8" w:rsidRDefault="7A495620" w:rsidP="007C4E05">
      <w:r w:rsidRPr="7A495620">
        <w:rPr>
          <w:rFonts w:cs="Tahoma"/>
          <w:color w:val="000000" w:themeColor="text1"/>
        </w:rPr>
        <w:t xml:space="preserve">A </w:t>
      </w:r>
      <w:r w:rsidRPr="7A495620">
        <w:rPr>
          <w:rFonts w:cs="Tahoma"/>
          <w:b/>
          <w:bCs/>
          <w:color w:val="000000" w:themeColor="text1"/>
        </w:rPr>
        <w:t>személyi jövedelemadóból</w:t>
      </w:r>
      <w:r w:rsidRPr="7A495620">
        <w:rPr>
          <w:rFonts w:cs="Tahoma"/>
          <w:color w:val="000000" w:themeColor="text1"/>
        </w:rPr>
        <w:t xml:space="preserve"> származó bevétel az év első három hónapjában 678,0 milliárd forint volt,</w:t>
      </w:r>
      <w:r>
        <w:t xml:space="preserve"> amely 48,</w:t>
      </w:r>
      <w:r w:rsidR="00324582">
        <w:t>4</w:t>
      </w:r>
      <w:r>
        <w:t xml:space="preserve"> milliárd forinttal magasabb az egy évvel korábbi összegnél. A bázisidőszaktól való eltérés oka a magasabb bérkiáramlás miatti </w:t>
      </w:r>
      <w:proofErr w:type="spellStart"/>
      <w:r>
        <w:t>befizetésnövekedés</w:t>
      </w:r>
      <w:proofErr w:type="spellEnd"/>
      <w:r>
        <w:t>.</w:t>
      </w:r>
    </w:p>
    <w:tbl>
      <w:tblPr>
        <w:tblW w:w="5620" w:type="dxa"/>
        <w:jc w:val="center"/>
        <w:tblCellMar>
          <w:left w:w="70" w:type="dxa"/>
          <w:right w:w="70" w:type="dxa"/>
        </w:tblCellMar>
        <w:tblLook w:val="04A0" w:firstRow="1" w:lastRow="0" w:firstColumn="1" w:lastColumn="0" w:noHBand="0" w:noVBand="1"/>
      </w:tblPr>
      <w:tblGrid>
        <w:gridCol w:w="1434"/>
        <w:gridCol w:w="1274"/>
        <w:gridCol w:w="1274"/>
        <w:gridCol w:w="947"/>
        <w:gridCol w:w="691"/>
      </w:tblGrid>
      <w:tr w:rsidR="003F1341" w:rsidRPr="003F1341" w14:paraId="5DA149F4" w14:textId="77777777" w:rsidTr="7A495620">
        <w:trPr>
          <w:trHeight w:val="270"/>
          <w:jc w:val="center"/>
        </w:trPr>
        <w:tc>
          <w:tcPr>
            <w:tcW w:w="5620" w:type="dxa"/>
            <w:gridSpan w:val="5"/>
            <w:tcBorders>
              <w:top w:val="nil"/>
              <w:left w:val="nil"/>
              <w:bottom w:val="nil"/>
              <w:right w:val="nil"/>
            </w:tcBorders>
            <w:shd w:val="clear" w:color="auto" w:fill="auto"/>
            <w:noWrap/>
            <w:vAlign w:val="bottom"/>
            <w:hideMark/>
          </w:tcPr>
          <w:p w14:paraId="3701DDA8" w14:textId="554836F8" w:rsidR="003F1341" w:rsidRPr="003F1341" w:rsidRDefault="008174C4" w:rsidP="7A495620">
            <w:pPr>
              <w:spacing w:before="120"/>
              <w:jc w:val="center"/>
              <w:rPr>
                <w:b/>
                <w:bCs/>
                <w:color w:val="000000" w:themeColor="text1"/>
                <w:sz w:val="20"/>
              </w:rPr>
            </w:pPr>
            <w:r>
              <w:br w:type="page"/>
            </w:r>
            <w:r w:rsidR="7A495620" w:rsidRPr="7A495620">
              <w:rPr>
                <w:b/>
                <w:bCs/>
                <w:color w:val="000000" w:themeColor="text1"/>
                <w:sz w:val="20"/>
              </w:rPr>
              <w:t>Személyi jövedelemadó bevétel alakulása (milliárd forint)</w:t>
            </w:r>
          </w:p>
        </w:tc>
      </w:tr>
      <w:tr w:rsidR="003F1341" w:rsidRPr="003F1341" w14:paraId="28FCE067" w14:textId="77777777" w:rsidTr="7A495620">
        <w:trPr>
          <w:trHeight w:val="450"/>
          <w:jc w:val="center"/>
        </w:trPr>
        <w:tc>
          <w:tcPr>
            <w:tcW w:w="1434"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65D9E31" w14:textId="77777777" w:rsidR="003F1341" w:rsidRPr="003F1341" w:rsidRDefault="7A495620" w:rsidP="7A495620">
            <w:pPr>
              <w:spacing w:after="0"/>
              <w:jc w:val="center"/>
              <w:rPr>
                <w:b/>
                <w:bCs/>
                <w:color w:val="000000" w:themeColor="text1"/>
                <w:sz w:val="20"/>
              </w:rPr>
            </w:pPr>
            <w:r w:rsidRPr="7A495620">
              <w:rPr>
                <w:b/>
                <w:bCs/>
                <w:color w:val="000000" w:themeColor="text1"/>
                <w:sz w:val="20"/>
              </w:rPr>
              <w:t>Megnevezés</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308A9D09" w14:textId="3F078549" w:rsidR="003F1341" w:rsidRPr="003F1341" w:rsidRDefault="7A495620" w:rsidP="7A495620">
            <w:pPr>
              <w:spacing w:after="0"/>
              <w:jc w:val="center"/>
              <w:rPr>
                <w:b/>
                <w:bCs/>
                <w:sz w:val="20"/>
              </w:rPr>
            </w:pPr>
            <w:r w:rsidRPr="7A495620">
              <w:rPr>
                <w:b/>
                <w:bCs/>
                <w:sz w:val="20"/>
              </w:rPr>
              <w:t>2020.</w:t>
            </w:r>
            <w:r w:rsidR="30891728">
              <w:br/>
            </w:r>
            <w:r w:rsidRPr="7A495620">
              <w:rPr>
                <w:b/>
                <w:bCs/>
                <w:sz w:val="20"/>
              </w:rPr>
              <w:t>I-III. hó</w:t>
            </w:r>
          </w:p>
        </w:tc>
        <w:tc>
          <w:tcPr>
            <w:tcW w:w="1274" w:type="dxa"/>
            <w:vMerge w:val="restart"/>
            <w:tcBorders>
              <w:top w:val="single" w:sz="8" w:space="0" w:color="auto"/>
              <w:left w:val="single" w:sz="8" w:space="0" w:color="auto"/>
              <w:bottom w:val="single" w:sz="8" w:space="0" w:color="000000" w:themeColor="text1"/>
              <w:right w:val="single" w:sz="8" w:space="0" w:color="auto"/>
            </w:tcBorders>
            <w:shd w:val="clear" w:color="auto" w:fill="auto"/>
            <w:vAlign w:val="center"/>
            <w:hideMark/>
          </w:tcPr>
          <w:p w14:paraId="50B736F0" w14:textId="62562E83" w:rsidR="003F1341" w:rsidRPr="003F1341" w:rsidRDefault="7A495620" w:rsidP="7A495620">
            <w:pPr>
              <w:spacing w:after="0"/>
              <w:jc w:val="center"/>
              <w:rPr>
                <w:b/>
                <w:bCs/>
                <w:sz w:val="20"/>
              </w:rPr>
            </w:pPr>
            <w:r w:rsidRPr="7A495620">
              <w:rPr>
                <w:b/>
                <w:bCs/>
                <w:sz w:val="20"/>
              </w:rPr>
              <w:t>2021.</w:t>
            </w:r>
            <w:r w:rsidR="30891728">
              <w:br/>
            </w:r>
            <w:r w:rsidRPr="7A495620">
              <w:rPr>
                <w:b/>
                <w:bCs/>
                <w:sz w:val="20"/>
              </w:rPr>
              <w:t>I-III. hó</w:t>
            </w:r>
          </w:p>
        </w:tc>
        <w:tc>
          <w:tcPr>
            <w:tcW w:w="1638" w:type="dxa"/>
            <w:gridSpan w:val="2"/>
            <w:tcBorders>
              <w:top w:val="single" w:sz="8" w:space="0" w:color="auto"/>
              <w:left w:val="single" w:sz="4" w:space="0" w:color="auto"/>
              <w:bottom w:val="single" w:sz="4" w:space="0" w:color="auto"/>
              <w:right w:val="single" w:sz="8" w:space="0" w:color="000000" w:themeColor="text1"/>
            </w:tcBorders>
            <w:shd w:val="clear" w:color="auto" w:fill="auto"/>
            <w:noWrap/>
            <w:vAlign w:val="center"/>
            <w:hideMark/>
          </w:tcPr>
          <w:p w14:paraId="1FC378C5" w14:textId="77777777" w:rsidR="003F1341" w:rsidRPr="003F1341" w:rsidRDefault="7A495620" w:rsidP="7A495620">
            <w:pPr>
              <w:spacing w:after="0"/>
              <w:jc w:val="center"/>
              <w:rPr>
                <w:b/>
                <w:bCs/>
                <w:color w:val="000000" w:themeColor="text1"/>
                <w:sz w:val="20"/>
              </w:rPr>
            </w:pPr>
            <w:r w:rsidRPr="7A495620">
              <w:rPr>
                <w:b/>
                <w:bCs/>
                <w:color w:val="000000" w:themeColor="text1"/>
                <w:sz w:val="20"/>
              </w:rPr>
              <w:t>Eltérés</w:t>
            </w:r>
          </w:p>
        </w:tc>
      </w:tr>
      <w:tr w:rsidR="003F1341" w:rsidRPr="003F1341" w14:paraId="04B141FD" w14:textId="77777777" w:rsidTr="7A495620">
        <w:trPr>
          <w:trHeight w:val="690"/>
          <w:jc w:val="center"/>
        </w:trPr>
        <w:tc>
          <w:tcPr>
            <w:tcW w:w="1434" w:type="dxa"/>
            <w:vMerge/>
            <w:tcBorders>
              <w:top w:val="single" w:sz="8" w:space="0" w:color="auto"/>
              <w:left w:val="single" w:sz="8" w:space="0" w:color="auto"/>
              <w:bottom w:val="single" w:sz="8" w:space="0" w:color="000000"/>
              <w:right w:val="single" w:sz="8" w:space="0" w:color="auto"/>
            </w:tcBorders>
            <w:vAlign w:val="center"/>
            <w:hideMark/>
          </w:tcPr>
          <w:p w14:paraId="0839AA29" w14:textId="77777777" w:rsidR="003F1341" w:rsidRPr="003F1341" w:rsidRDefault="003F1341" w:rsidP="003F1341">
            <w:pPr>
              <w:spacing w:after="0"/>
              <w:jc w:val="left"/>
              <w:rPr>
                <w:b/>
                <w:bCs/>
                <w:color w:val="000000"/>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27419919" w14:textId="77777777" w:rsidR="003F1341" w:rsidRPr="003F1341" w:rsidRDefault="003F1341" w:rsidP="003F1341">
            <w:pPr>
              <w:spacing w:after="0"/>
              <w:jc w:val="left"/>
              <w:rPr>
                <w:b/>
                <w:bCs/>
                <w:sz w:val="20"/>
              </w:rPr>
            </w:pP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1A9B2262" w14:textId="77777777" w:rsidR="003F1341" w:rsidRPr="003F1341" w:rsidRDefault="003F1341" w:rsidP="003F1341">
            <w:pPr>
              <w:spacing w:after="0"/>
              <w:jc w:val="left"/>
              <w:rPr>
                <w:b/>
                <w:bCs/>
                <w:sz w:val="20"/>
              </w:rPr>
            </w:pPr>
          </w:p>
        </w:tc>
        <w:tc>
          <w:tcPr>
            <w:tcW w:w="947" w:type="dxa"/>
            <w:tcBorders>
              <w:top w:val="nil"/>
              <w:left w:val="single" w:sz="4" w:space="0" w:color="auto"/>
              <w:bottom w:val="single" w:sz="8" w:space="0" w:color="auto"/>
              <w:right w:val="single" w:sz="4" w:space="0" w:color="auto"/>
            </w:tcBorders>
            <w:shd w:val="clear" w:color="auto" w:fill="auto"/>
            <w:noWrap/>
            <w:vAlign w:val="center"/>
            <w:hideMark/>
          </w:tcPr>
          <w:p w14:paraId="4C82DC52" w14:textId="77777777" w:rsidR="003F1341" w:rsidRPr="003F1341" w:rsidRDefault="7A495620" w:rsidP="7A495620">
            <w:pPr>
              <w:spacing w:after="0"/>
              <w:jc w:val="center"/>
              <w:rPr>
                <w:b/>
                <w:bCs/>
                <w:color w:val="000000" w:themeColor="text1"/>
                <w:sz w:val="20"/>
              </w:rPr>
            </w:pPr>
            <w:r w:rsidRPr="7A495620">
              <w:rPr>
                <w:b/>
                <w:bCs/>
                <w:color w:val="000000" w:themeColor="text1"/>
                <w:sz w:val="20"/>
              </w:rPr>
              <w:t>Mrd Ft</w:t>
            </w:r>
          </w:p>
        </w:tc>
        <w:tc>
          <w:tcPr>
            <w:tcW w:w="691" w:type="dxa"/>
            <w:tcBorders>
              <w:top w:val="nil"/>
              <w:left w:val="nil"/>
              <w:bottom w:val="single" w:sz="8" w:space="0" w:color="auto"/>
              <w:right w:val="single" w:sz="8" w:space="0" w:color="auto"/>
            </w:tcBorders>
            <w:shd w:val="clear" w:color="auto" w:fill="auto"/>
            <w:noWrap/>
            <w:vAlign w:val="center"/>
            <w:hideMark/>
          </w:tcPr>
          <w:p w14:paraId="534B2402" w14:textId="77777777" w:rsidR="003F1341" w:rsidRPr="003F1341" w:rsidRDefault="7A495620" w:rsidP="7A495620">
            <w:pPr>
              <w:spacing w:after="0"/>
              <w:jc w:val="center"/>
              <w:rPr>
                <w:b/>
                <w:bCs/>
                <w:color w:val="000000" w:themeColor="text1"/>
                <w:sz w:val="20"/>
              </w:rPr>
            </w:pPr>
            <w:r w:rsidRPr="7A495620">
              <w:rPr>
                <w:b/>
                <w:bCs/>
                <w:color w:val="000000" w:themeColor="text1"/>
                <w:sz w:val="20"/>
              </w:rPr>
              <w:t>%</w:t>
            </w:r>
          </w:p>
        </w:tc>
      </w:tr>
      <w:tr w:rsidR="005E37EC" w:rsidRPr="003F1341" w14:paraId="3312DFB3" w14:textId="77777777" w:rsidTr="7A495620">
        <w:trPr>
          <w:trHeight w:val="270"/>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1F3D318C" w14:textId="77777777" w:rsidR="005E37EC" w:rsidRPr="003F1341" w:rsidRDefault="7A495620" w:rsidP="7A495620">
            <w:pPr>
              <w:spacing w:after="0"/>
              <w:jc w:val="center"/>
              <w:rPr>
                <w:b/>
                <w:bCs/>
                <w:sz w:val="20"/>
              </w:rPr>
            </w:pPr>
            <w:r w:rsidRPr="7A495620">
              <w:rPr>
                <w:b/>
                <w:bCs/>
                <w:sz w:val="20"/>
              </w:rPr>
              <w:t>Befizetés</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9A288E7" w14:textId="0D506CCD" w:rsidR="005E37EC" w:rsidRPr="000C76A6" w:rsidRDefault="7A495620" w:rsidP="7A495620">
            <w:pPr>
              <w:spacing w:after="0"/>
              <w:jc w:val="right"/>
              <w:rPr>
                <w:sz w:val="20"/>
              </w:rPr>
            </w:pPr>
            <w:r w:rsidRPr="7A495620">
              <w:rPr>
                <w:sz w:val="20"/>
              </w:rPr>
              <w:t>658,8</w:t>
            </w:r>
          </w:p>
        </w:tc>
        <w:tc>
          <w:tcPr>
            <w:tcW w:w="1274" w:type="dxa"/>
            <w:tcBorders>
              <w:top w:val="nil"/>
              <w:left w:val="nil"/>
              <w:bottom w:val="single" w:sz="4" w:space="0" w:color="auto"/>
              <w:right w:val="nil"/>
            </w:tcBorders>
            <w:shd w:val="clear" w:color="auto" w:fill="auto"/>
            <w:noWrap/>
            <w:vAlign w:val="center"/>
          </w:tcPr>
          <w:p w14:paraId="3B6AAC82" w14:textId="58D263DD" w:rsidR="005E37EC" w:rsidRPr="000C76A6" w:rsidRDefault="7A495620" w:rsidP="00BD58CD">
            <w:pPr>
              <w:spacing w:after="0"/>
              <w:jc w:val="right"/>
              <w:rPr>
                <w:sz w:val="20"/>
              </w:rPr>
            </w:pPr>
            <w:r w:rsidRPr="7A495620">
              <w:rPr>
                <w:sz w:val="20"/>
              </w:rPr>
              <w:t>707,</w:t>
            </w:r>
            <w:r w:rsidR="00BD58CD">
              <w:rPr>
                <w:sz w:val="20"/>
              </w:rPr>
              <w:t>1</w:t>
            </w:r>
          </w:p>
        </w:tc>
        <w:tc>
          <w:tcPr>
            <w:tcW w:w="947" w:type="dxa"/>
            <w:tcBorders>
              <w:top w:val="single" w:sz="8" w:space="0" w:color="auto"/>
              <w:left w:val="single" w:sz="8" w:space="0" w:color="auto"/>
              <w:bottom w:val="single" w:sz="4" w:space="0" w:color="auto"/>
              <w:right w:val="single" w:sz="4" w:space="0" w:color="auto"/>
            </w:tcBorders>
            <w:shd w:val="clear" w:color="auto" w:fill="auto"/>
            <w:noWrap/>
            <w:vAlign w:val="center"/>
          </w:tcPr>
          <w:p w14:paraId="0668BF9C" w14:textId="5EEA0A63" w:rsidR="005E37EC" w:rsidRPr="000C76A6" w:rsidRDefault="7A495620" w:rsidP="7A495620">
            <w:pPr>
              <w:spacing w:after="0"/>
              <w:jc w:val="right"/>
              <w:rPr>
                <w:sz w:val="20"/>
              </w:rPr>
            </w:pPr>
            <w:r w:rsidRPr="7A495620">
              <w:rPr>
                <w:sz w:val="20"/>
              </w:rPr>
              <w:t>48,3</w:t>
            </w:r>
          </w:p>
        </w:tc>
        <w:tc>
          <w:tcPr>
            <w:tcW w:w="691" w:type="dxa"/>
            <w:tcBorders>
              <w:top w:val="single" w:sz="8" w:space="0" w:color="auto"/>
              <w:left w:val="nil"/>
              <w:bottom w:val="single" w:sz="4" w:space="0" w:color="auto"/>
              <w:right w:val="single" w:sz="8" w:space="0" w:color="auto"/>
            </w:tcBorders>
            <w:shd w:val="clear" w:color="auto" w:fill="auto"/>
            <w:noWrap/>
            <w:vAlign w:val="center"/>
          </w:tcPr>
          <w:p w14:paraId="7B8B88FA" w14:textId="57468743" w:rsidR="005E37EC" w:rsidRPr="000C76A6" w:rsidRDefault="7A495620" w:rsidP="7A495620">
            <w:pPr>
              <w:spacing w:after="0"/>
              <w:jc w:val="right"/>
              <w:rPr>
                <w:color w:val="000000" w:themeColor="text1"/>
                <w:sz w:val="20"/>
              </w:rPr>
            </w:pPr>
            <w:r w:rsidRPr="7A495620">
              <w:rPr>
                <w:color w:val="000000" w:themeColor="text1"/>
                <w:sz w:val="20"/>
              </w:rPr>
              <w:t>107,3</w:t>
            </w:r>
          </w:p>
        </w:tc>
      </w:tr>
      <w:tr w:rsidR="005E37EC" w:rsidRPr="003F1341" w14:paraId="77B87138" w14:textId="77777777" w:rsidTr="7A495620">
        <w:trPr>
          <w:trHeight w:val="285"/>
          <w:jc w:val="center"/>
        </w:trPr>
        <w:tc>
          <w:tcPr>
            <w:tcW w:w="1434" w:type="dxa"/>
            <w:tcBorders>
              <w:top w:val="nil"/>
              <w:left w:val="single" w:sz="8" w:space="0" w:color="auto"/>
              <w:bottom w:val="single" w:sz="4" w:space="0" w:color="auto"/>
              <w:right w:val="single" w:sz="8" w:space="0" w:color="auto"/>
            </w:tcBorders>
            <w:shd w:val="clear" w:color="auto" w:fill="auto"/>
            <w:noWrap/>
            <w:vAlign w:val="center"/>
            <w:hideMark/>
          </w:tcPr>
          <w:p w14:paraId="761C99AF" w14:textId="77777777" w:rsidR="005E37EC" w:rsidRPr="003F1341" w:rsidRDefault="7A495620" w:rsidP="7A495620">
            <w:pPr>
              <w:spacing w:after="0"/>
              <w:jc w:val="center"/>
              <w:rPr>
                <w:b/>
                <w:bCs/>
                <w:sz w:val="20"/>
              </w:rPr>
            </w:pPr>
            <w:r w:rsidRPr="7A495620">
              <w:rPr>
                <w:b/>
                <w:bCs/>
                <w:sz w:val="20"/>
              </w:rPr>
              <w:t>Kiutalás</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240CF9A" w14:textId="135C1C81" w:rsidR="005E37EC" w:rsidRPr="000C76A6" w:rsidRDefault="7A495620" w:rsidP="00DD3096">
            <w:pPr>
              <w:spacing w:after="0"/>
              <w:jc w:val="right"/>
              <w:rPr>
                <w:sz w:val="20"/>
              </w:rPr>
            </w:pPr>
            <w:r w:rsidRPr="7A495620">
              <w:rPr>
                <w:sz w:val="20"/>
              </w:rPr>
              <w:t>29,</w:t>
            </w:r>
            <w:r w:rsidR="00DD3096">
              <w:rPr>
                <w:sz w:val="20"/>
              </w:rPr>
              <w:t>2</w:t>
            </w:r>
          </w:p>
        </w:tc>
        <w:tc>
          <w:tcPr>
            <w:tcW w:w="1274" w:type="dxa"/>
            <w:tcBorders>
              <w:top w:val="nil"/>
              <w:left w:val="nil"/>
              <w:bottom w:val="single" w:sz="4" w:space="0" w:color="auto"/>
              <w:right w:val="nil"/>
            </w:tcBorders>
            <w:shd w:val="clear" w:color="auto" w:fill="auto"/>
            <w:noWrap/>
            <w:vAlign w:val="center"/>
          </w:tcPr>
          <w:p w14:paraId="4B69188B" w14:textId="5ACCEC9F" w:rsidR="005E37EC" w:rsidRPr="000C76A6" w:rsidRDefault="7A495620" w:rsidP="7A495620">
            <w:pPr>
              <w:spacing w:after="0"/>
              <w:jc w:val="right"/>
              <w:rPr>
                <w:sz w:val="20"/>
              </w:rPr>
            </w:pPr>
            <w:r w:rsidRPr="7A495620">
              <w:rPr>
                <w:sz w:val="20"/>
              </w:rPr>
              <w:t>29,1</w:t>
            </w:r>
          </w:p>
        </w:tc>
        <w:tc>
          <w:tcPr>
            <w:tcW w:w="947" w:type="dxa"/>
            <w:tcBorders>
              <w:top w:val="nil"/>
              <w:left w:val="single" w:sz="8" w:space="0" w:color="auto"/>
              <w:bottom w:val="single" w:sz="4" w:space="0" w:color="auto"/>
              <w:right w:val="single" w:sz="4" w:space="0" w:color="auto"/>
            </w:tcBorders>
            <w:shd w:val="clear" w:color="auto" w:fill="auto"/>
            <w:noWrap/>
            <w:vAlign w:val="center"/>
          </w:tcPr>
          <w:p w14:paraId="19DF5EEB" w14:textId="3F9B7322" w:rsidR="005E37EC" w:rsidRPr="000C76A6" w:rsidRDefault="7A495620" w:rsidP="7A495620">
            <w:pPr>
              <w:spacing w:after="0"/>
              <w:jc w:val="right"/>
              <w:rPr>
                <w:sz w:val="20"/>
              </w:rPr>
            </w:pPr>
            <w:r w:rsidRPr="7A495620">
              <w:rPr>
                <w:sz w:val="20"/>
              </w:rPr>
              <w:t>-0,1</w:t>
            </w:r>
          </w:p>
        </w:tc>
        <w:tc>
          <w:tcPr>
            <w:tcW w:w="691" w:type="dxa"/>
            <w:tcBorders>
              <w:top w:val="nil"/>
              <w:left w:val="nil"/>
              <w:bottom w:val="single" w:sz="4" w:space="0" w:color="auto"/>
              <w:right w:val="single" w:sz="8" w:space="0" w:color="auto"/>
            </w:tcBorders>
            <w:shd w:val="clear" w:color="auto" w:fill="auto"/>
            <w:noWrap/>
            <w:vAlign w:val="center"/>
          </w:tcPr>
          <w:p w14:paraId="29492FB8" w14:textId="2F2074F7" w:rsidR="005E37EC" w:rsidRPr="000C76A6" w:rsidRDefault="7A495620" w:rsidP="00747773">
            <w:pPr>
              <w:spacing w:after="0"/>
              <w:jc w:val="right"/>
              <w:rPr>
                <w:color w:val="000000" w:themeColor="text1"/>
                <w:sz w:val="20"/>
              </w:rPr>
            </w:pPr>
            <w:r w:rsidRPr="7A495620">
              <w:rPr>
                <w:color w:val="000000" w:themeColor="text1"/>
                <w:sz w:val="20"/>
              </w:rPr>
              <w:t>99,</w:t>
            </w:r>
            <w:r w:rsidR="00747773">
              <w:rPr>
                <w:color w:val="000000" w:themeColor="text1"/>
                <w:sz w:val="20"/>
              </w:rPr>
              <w:t>7</w:t>
            </w:r>
          </w:p>
        </w:tc>
      </w:tr>
      <w:tr w:rsidR="005E37EC" w:rsidRPr="003F1341" w14:paraId="4DC8FA19" w14:textId="77777777" w:rsidTr="7A495620">
        <w:trPr>
          <w:trHeight w:val="270"/>
          <w:jc w:val="center"/>
        </w:trPr>
        <w:tc>
          <w:tcPr>
            <w:tcW w:w="1434" w:type="dxa"/>
            <w:tcBorders>
              <w:top w:val="nil"/>
              <w:left w:val="single" w:sz="8" w:space="0" w:color="auto"/>
              <w:bottom w:val="single" w:sz="8" w:space="0" w:color="auto"/>
              <w:right w:val="single" w:sz="8" w:space="0" w:color="auto"/>
            </w:tcBorders>
            <w:shd w:val="clear" w:color="auto" w:fill="auto"/>
            <w:noWrap/>
            <w:vAlign w:val="center"/>
            <w:hideMark/>
          </w:tcPr>
          <w:p w14:paraId="79DC6734" w14:textId="77777777" w:rsidR="005E37EC" w:rsidRPr="003F1341" w:rsidRDefault="7A495620" w:rsidP="7A495620">
            <w:pPr>
              <w:spacing w:after="0"/>
              <w:jc w:val="center"/>
              <w:rPr>
                <w:b/>
                <w:bCs/>
                <w:sz w:val="20"/>
              </w:rPr>
            </w:pPr>
            <w:r w:rsidRPr="7A495620">
              <w:rPr>
                <w:b/>
                <w:bCs/>
                <w:sz w:val="20"/>
              </w:rPr>
              <w:t>Egyenleg</w:t>
            </w:r>
          </w:p>
        </w:tc>
        <w:tc>
          <w:tcPr>
            <w:tcW w:w="1274" w:type="dxa"/>
            <w:tcBorders>
              <w:top w:val="nil"/>
              <w:left w:val="single" w:sz="8" w:space="0" w:color="auto"/>
              <w:bottom w:val="single" w:sz="8" w:space="0" w:color="auto"/>
              <w:right w:val="single" w:sz="8" w:space="0" w:color="auto"/>
            </w:tcBorders>
            <w:shd w:val="clear" w:color="auto" w:fill="auto"/>
            <w:noWrap/>
            <w:vAlign w:val="center"/>
          </w:tcPr>
          <w:p w14:paraId="17702B75" w14:textId="05B7C622" w:rsidR="005E37EC" w:rsidRPr="000C76A6" w:rsidRDefault="7A495620" w:rsidP="7A495620">
            <w:pPr>
              <w:spacing w:after="0"/>
              <w:jc w:val="right"/>
              <w:rPr>
                <w:b/>
                <w:bCs/>
                <w:sz w:val="20"/>
              </w:rPr>
            </w:pPr>
            <w:r w:rsidRPr="7A495620">
              <w:rPr>
                <w:b/>
                <w:bCs/>
                <w:sz w:val="20"/>
              </w:rPr>
              <w:t>629,6</w:t>
            </w:r>
          </w:p>
        </w:tc>
        <w:tc>
          <w:tcPr>
            <w:tcW w:w="1274" w:type="dxa"/>
            <w:tcBorders>
              <w:top w:val="nil"/>
              <w:left w:val="nil"/>
              <w:bottom w:val="single" w:sz="8" w:space="0" w:color="auto"/>
              <w:right w:val="nil"/>
            </w:tcBorders>
            <w:shd w:val="clear" w:color="auto" w:fill="auto"/>
            <w:noWrap/>
            <w:vAlign w:val="center"/>
          </w:tcPr>
          <w:p w14:paraId="453FDAD4" w14:textId="7C17EAD6" w:rsidR="005E37EC" w:rsidRPr="000C76A6" w:rsidRDefault="7A495620" w:rsidP="7A495620">
            <w:pPr>
              <w:spacing w:after="0"/>
              <w:jc w:val="right"/>
              <w:rPr>
                <w:b/>
                <w:bCs/>
                <w:sz w:val="20"/>
              </w:rPr>
            </w:pPr>
            <w:r w:rsidRPr="7A495620">
              <w:rPr>
                <w:b/>
                <w:bCs/>
                <w:sz w:val="20"/>
              </w:rPr>
              <w:t>678,0</w:t>
            </w:r>
          </w:p>
        </w:tc>
        <w:tc>
          <w:tcPr>
            <w:tcW w:w="947" w:type="dxa"/>
            <w:tcBorders>
              <w:top w:val="nil"/>
              <w:left w:val="single" w:sz="8" w:space="0" w:color="auto"/>
              <w:bottom w:val="single" w:sz="8" w:space="0" w:color="auto"/>
              <w:right w:val="single" w:sz="4" w:space="0" w:color="auto"/>
            </w:tcBorders>
            <w:shd w:val="clear" w:color="auto" w:fill="auto"/>
            <w:noWrap/>
            <w:vAlign w:val="center"/>
          </w:tcPr>
          <w:p w14:paraId="3DBAE11D" w14:textId="4C2803CD" w:rsidR="005E37EC" w:rsidRPr="000C76A6" w:rsidRDefault="7A495620" w:rsidP="008C16EE">
            <w:pPr>
              <w:spacing w:after="0"/>
              <w:jc w:val="right"/>
              <w:rPr>
                <w:b/>
                <w:bCs/>
                <w:sz w:val="20"/>
              </w:rPr>
            </w:pPr>
            <w:r w:rsidRPr="7A495620">
              <w:rPr>
                <w:b/>
                <w:bCs/>
                <w:sz w:val="20"/>
              </w:rPr>
              <w:t>48,</w:t>
            </w:r>
            <w:r w:rsidR="008C16EE">
              <w:rPr>
                <w:b/>
                <w:bCs/>
                <w:sz w:val="20"/>
              </w:rPr>
              <w:t>4</w:t>
            </w:r>
          </w:p>
        </w:tc>
        <w:tc>
          <w:tcPr>
            <w:tcW w:w="691" w:type="dxa"/>
            <w:tcBorders>
              <w:top w:val="nil"/>
              <w:left w:val="nil"/>
              <w:bottom w:val="single" w:sz="8" w:space="0" w:color="auto"/>
              <w:right w:val="single" w:sz="8" w:space="0" w:color="auto"/>
            </w:tcBorders>
            <w:shd w:val="clear" w:color="auto" w:fill="auto"/>
            <w:noWrap/>
            <w:vAlign w:val="center"/>
          </w:tcPr>
          <w:p w14:paraId="455AF72B" w14:textId="5E2C7A65" w:rsidR="005E37EC" w:rsidRPr="000C76A6" w:rsidRDefault="7A495620" w:rsidP="7A495620">
            <w:pPr>
              <w:spacing w:after="0"/>
              <w:jc w:val="right"/>
              <w:rPr>
                <w:b/>
                <w:bCs/>
                <w:color w:val="000000" w:themeColor="text1"/>
                <w:sz w:val="20"/>
              </w:rPr>
            </w:pPr>
            <w:r w:rsidRPr="7A495620">
              <w:rPr>
                <w:b/>
                <w:bCs/>
                <w:color w:val="000000" w:themeColor="text1"/>
                <w:sz w:val="20"/>
              </w:rPr>
              <w:t>107,7</w:t>
            </w:r>
          </w:p>
        </w:tc>
      </w:tr>
    </w:tbl>
    <w:p w14:paraId="7C43E819" w14:textId="77777777" w:rsidR="001149F9" w:rsidRDefault="001149F9" w:rsidP="27083F14">
      <w:pPr>
        <w:rPr>
          <w:rFonts w:cs="Tahoma"/>
          <w:color w:val="000000" w:themeColor="text1"/>
        </w:rPr>
      </w:pPr>
    </w:p>
    <w:p w14:paraId="48030113" w14:textId="2A61950F" w:rsidR="008A67E1" w:rsidRPr="008A67E1" w:rsidRDefault="7A495620" w:rsidP="7A495620">
      <w:pPr>
        <w:rPr>
          <w:rFonts w:cs="Tahoma"/>
          <w:color w:val="000000" w:themeColor="text1"/>
        </w:rPr>
      </w:pPr>
      <w:r w:rsidRPr="7A495620">
        <w:rPr>
          <w:rFonts w:cs="Tahoma"/>
          <w:color w:val="000000" w:themeColor="text1"/>
        </w:rPr>
        <w:t>A „</w:t>
      </w:r>
      <w:r w:rsidRPr="7A495620">
        <w:rPr>
          <w:rFonts w:cs="Tahoma"/>
          <w:b/>
          <w:bCs/>
          <w:color w:val="000000" w:themeColor="text1"/>
        </w:rPr>
        <w:t>Központi Maradványalapba történő befizetések</w:t>
      </w:r>
      <w:r w:rsidRPr="7A495620">
        <w:rPr>
          <w:rFonts w:cs="Tahoma"/>
          <w:color w:val="000000" w:themeColor="text1"/>
        </w:rPr>
        <w:t>” mérlegsorra a költségvetési szervek előirányzatai és a szakmai fejezeti kezelésű előirányzatok terhére 2021 első három hónapjában összesen 176,1 milliárd forint maradvány került befizetésre, szemben az előző évi március végi 154,6 milliárd forintos összeggel.</w:t>
      </w:r>
    </w:p>
    <w:p w14:paraId="699A519F" w14:textId="228862F7" w:rsidR="7A495620" w:rsidRDefault="7A495620" w:rsidP="7A495620">
      <w:pPr>
        <w:rPr>
          <w:szCs w:val="26"/>
        </w:rPr>
      </w:pPr>
      <w:r>
        <w:t xml:space="preserve">Az </w:t>
      </w:r>
      <w:r w:rsidRPr="7A495620">
        <w:rPr>
          <w:b/>
          <w:bCs/>
        </w:rPr>
        <w:t>állami vagyonnal kapcsolatos befizetések</w:t>
      </w:r>
      <w:r>
        <w:t xml:space="preserve"> </w:t>
      </w:r>
      <w:r w:rsidRPr="7A495620">
        <w:rPr>
          <w:szCs w:val="26"/>
        </w:rPr>
        <w:t>összege március végéig 37,4</w:t>
      </w:r>
      <w:r w:rsidR="00D238D6">
        <w:rPr>
          <w:szCs w:val="26"/>
        </w:rPr>
        <w:t> </w:t>
      </w:r>
      <w:r w:rsidRPr="7A495620">
        <w:rPr>
          <w:szCs w:val="26"/>
        </w:rPr>
        <w:t xml:space="preserve">milliárd forint volt, melynek meghatározó tételei az MNV </w:t>
      </w:r>
      <w:proofErr w:type="spellStart"/>
      <w:r w:rsidRPr="7A495620">
        <w:rPr>
          <w:szCs w:val="26"/>
        </w:rPr>
        <w:t>Zrt</w:t>
      </w:r>
      <w:proofErr w:type="spellEnd"/>
      <w:r w:rsidRPr="7A495620">
        <w:rPr>
          <w:szCs w:val="26"/>
        </w:rPr>
        <w:t>. ingatlanok és ingóság</w:t>
      </w:r>
      <w:r w:rsidR="005B3C44">
        <w:rPr>
          <w:szCs w:val="26"/>
        </w:rPr>
        <w:t>o</w:t>
      </w:r>
      <w:r w:rsidRPr="7A495620">
        <w:rPr>
          <w:szCs w:val="26"/>
        </w:rPr>
        <w:t>k értékesítéseiből származó 7,4</w:t>
      </w:r>
      <w:r w:rsidR="00D238D6">
        <w:rPr>
          <w:szCs w:val="26"/>
        </w:rPr>
        <w:t> </w:t>
      </w:r>
      <w:r w:rsidRPr="7A495620">
        <w:rPr>
          <w:szCs w:val="26"/>
        </w:rPr>
        <w:t>milliárd forintos összeg, a koncessziós díjakkal összefüggő 7,4</w:t>
      </w:r>
      <w:r w:rsidR="00D238D6">
        <w:rPr>
          <w:szCs w:val="26"/>
        </w:rPr>
        <w:t> </w:t>
      </w:r>
      <w:r w:rsidRPr="7A495620">
        <w:rPr>
          <w:szCs w:val="26"/>
        </w:rPr>
        <w:t>milliárdos bevétel, valamint a kibocsátási egységek értékesítéséből származó 20,6</w:t>
      </w:r>
      <w:r w:rsidR="00D238D6">
        <w:rPr>
          <w:szCs w:val="26"/>
        </w:rPr>
        <w:t> </w:t>
      </w:r>
      <w:r w:rsidRPr="7A495620">
        <w:rPr>
          <w:szCs w:val="26"/>
        </w:rPr>
        <w:t>milliárd forint. A befizetések összetételét a következő diagram szemlélteti:</w:t>
      </w:r>
    </w:p>
    <w:p w14:paraId="0C643B1E" w14:textId="1F96A557" w:rsidR="0070578A" w:rsidRDefault="00463924" w:rsidP="6A1BB15D">
      <w:pPr>
        <w:rPr>
          <w:szCs w:val="26"/>
        </w:rPr>
      </w:pPr>
      <w:r>
        <w:rPr>
          <w:noProof/>
          <w:szCs w:val="26"/>
        </w:rPr>
        <w:lastRenderedPageBreak/>
        <w:drawing>
          <wp:inline distT="0" distB="0" distL="0" distR="0" wp14:anchorId="7151CE60" wp14:editId="00CCDF6E">
            <wp:extent cx="5940425" cy="3774440"/>
            <wp:effectExtent l="0" t="0" r="3175" b="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befizetések.png"/>
                    <pic:cNvPicPr/>
                  </pic:nvPicPr>
                  <pic:blipFill>
                    <a:blip r:embed="rId16">
                      <a:extLst>
                        <a:ext uri="{28A0092B-C50C-407E-A947-70E740481C1C}">
                          <a14:useLocalDpi xmlns:a14="http://schemas.microsoft.com/office/drawing/2010/main" val="0"/>
                        </a:ext>
                      </a:extLst>
                    </a:blip>
                    <a:stretch>
                      <a:fillRect/>
                    </a:stretch>
                  </pic:blipFill>
                  <pic:spPr>
                    <a:xfrm>
                      <a:off x="0" y="0"/>
                      <a:ext cx="5940425" cy="3774440"/>
                    </a:xfrm>
                    <a:prstGeom prst="rect">
                      <a:avLst/>
                    </a:prstGeom>
                  </pic:spPr>
                </pic:pic>
              </a:graphicData>
            </a:graphic>
          </wp:inline>
        </w:drawing>
      </w:r>
    </w:p>
    <w:p w14:paraId="4EA42ED7" w14:textId="77777777" w:rsidR="00463924" w:rsidRDefault="00463924" w:rsidP="6A1BB15D">
      <w:pPr>
        <w:rPr>
          <w:szCs w:val="26"/>
        </w:rPr>
      </w:pPr>
    </w:p>
    <w:p w14:paraId="41820B48" w14:textId="00B5EB08" w:rsidR="4922EFEB" w:rsidRDefault="7A495620" w:rsidP="4922EFEB">
      <w:r>
        <w:t xml:space="preserve">Az </w:t>
      </w:r>
      <w:r w:rsidRPr="7A495620">
        <w:rPr>
          <w:b/>
          <w:bCs/>
        </w:rPr>
        <w:t>„Uniós programok bevételei”</w:t>
      </w:r>
      <w:r>
        <w:t xml:space="preserve"> mérlegsoron, 2021 első három hónapjában 150,6</w:t>
      </w:r>
      <w:r w:rsidR="008C1297">
        <w:t> </w:t>
      </w:r>
      <w:r>
        <w:t>milliárd forint bevétel keletkezett. Ez az összeg az éves előirányzat 13,3%-át te</w:t>
      </w:r>
      <w:r w:rsidR="008C1297">
        <w:t>tte</w:t>
      </w:r>
      <w:r>
        <w:t xml:space="preserve"> ki.</w:t>
      </w:r>
    </w:p>
    <w:p w14:paraId="24D809D3" w14:textId="789057C5" w:rsidR="4922EFEB" w:rsidRDefault="7A495620" w:rsidP="4922EFEB">
      <w:r>
        <w:t>Az</w:t>
      </w:r>
      <w:r w:rsidRPr="7A495620">
        <w:rPr>
          <w:sz w:val="24"/>
          <w:szCs w:val="24"/>
        </w:rPr>
        <w:t xml:space="preserve"> </w:t>
      </w:r>
      <w:r w:rsidRPr="7A495620">
        <w:rPr>
          <w:b/>
          <w:bCs/>
        </w:rPr>
        <w:t>„Egyéb uniós bevételek”</w:t>
      </w:r>
      <w:r w:rsidRPr="7A495620">
        <w:rPr>
          <w:sz w:val="24"/>
          <w:szCs w:val="24"/>
        </w:rPr>
        <w:t xml:space="preserve"> </w:t>
      </w:r>
      <w:r>
        <w:t>soron belül a vámbeszedési költség megtérítése 4,</w:t>
      </w:r>
      <w:proofErr w:type="spellStart"/>
      <w:r>
        <w:t>4</w:t>
      </w:r>
      <w:proofErr w:type="spellEnd"/>
      <w:r w:rsidR="003F76B0">
        <w:t> </w:t>
      </w:r>
      <w:r>
        <w:t>milliárd forintot tett ki március végéig. Ez az összeg az éves előirányzat 27,1%-</w:t>
      </w:r>
      <w:proofErr w:type="gramStart"/>
      <w:r>
        <w:t>a</w:t>
      </w:r>
      <w:proofErr w:type="gramEnd"/>
      <w:r>
        <w:t>, és 0,</w:t>
      </w:r>
      <w:r w:rsidR="0015681C">
        <w:t>2</w:t>
      </w:r>
      <w:r w:rsidR="003F76B0">
        <w:t> </w:t>
      </w:r>
      <w:r>
        <w:t>milliárd forinttal halad</w:t>
      </w:r>
      <w:r w:rsidR="003F76B0">
        <w:t>t</w:t>
      </w:r>
      <w:r>
        <w:t>a meg a 2020. év azonos időszakában keletkezett bevételt.</w:t>
      </w:r>
    </w:p>
    <w:p w14:paraId="657C7112" w14:textId="5D7B78E4" w:rsidR="003A1352" w:rsidRPr="0012462D" w:rsidRDefault="7A495620" w:rsidP="7A495620">
      <w:pPr>
        <w:spacing w:before="120"/>
        <w:rPr>
          <w:rFonts w:eastAsia="Calibri"/>
        </w:rPr>
      </w:pPr>
      <w:r w:rsidRPr="7A495620">
        <w:rPr>
          <w:rFonts w:eastAsia="Calibri"/>
        </w:rPr>
        <w:t xml:space="preserve">A befizetett társadalombiztosítási járulék 8,1%-át az állami adóhatóság a foglalkoztatási programokkal kapcsolatos elkülönített állami pénzalapnak utalja át. 2021 első három hónapjában </w:t>
      </w:r>
      <w:r w:rsidRPr="7A495620">
        <w:rPr>
          <w:rFonts w:eastAsia="Calibri"/>
          <w:b/>
          <w:bCs/>
        </w:rPr>
        <w:t xml:space="preserve">társadalombiztosítási járulék Gazdaságvédelmi Foglalkoztatási Alapot megillető része </w:t>
      </w:r>
      <w:r w:rsidRPr="7A495620">
        <w:rPr>
          <w:rFonts w:eastAsia="Calibri"/>
        </w:rPr>
        <w:t xml:space="preserve">60,1 milliárd forintban teljesült, az előző év azonos időszakában befolyt bevételt 2,1 milliárd forinttal, 3,6%-kal haladta meg. A </w:t>
      </w:r>
      <w:proofErr w:type="spellStart"/>
      <w:r w:rsidRPr="7A495620">
        <w:rPr>
          <w:rFonts w:eastAsia="Calibri"/>
        </w:rPr>
        <w:t>bevételnövekedés</w:t>
      </w:r>
      <w:proofErr w:type="spellEnd"/>
      <w:r w:rsidRPr="7A495620">
        <w:rPr>
          <w:rFonts w:eastAsia="Calibri"/>
        </w:rPr>
        <w:t xml:space="preserve"> oka az átlagkereset növekedése.</w:t>
      </w:r>
    </w:p>
    <w:p w14:paraId="5B451A9E" w14:textId="011DAAFA" w:rsidR="007024F4" w:rsidRPr="0012462D" w:rsidRDefault="7A495620" w:rsidP="0012462D">
      <w:pPr>
        <w:spacing w:before="120"/>
      </w:pPr>
      <w:r>
        <w:t xml:space="preserve">2021 első három hónapjában a </w:t>
      </w:r>
      <w:r w:rsidRPr="7A495620">
        <w:rPr>
          <w:b/>
          <w:bCs/>
        </w:rPr>
        <w:t xml:space="preserve">szociális hozzájárulási adó Nyugdíjbiztosítási Alapot megillető része </w:t>
      </w:r>
      <w:r>
        <w:t>(407,8</w:t>
      </w:r>
      <w:r w:rsidR="00F20B74">
        <w:t> </w:t>
      </w:r>
      <w:r>
        <w:t>milliárd forint) 12,0%-kal, 55,5 milliárd forinttal maradt el az előző év azonos időszakában befolyt bevételektől. A tárgyévi elmaradás a koronavírus okozta gazdasági válságra tekintettel bevezetett munkaadói és SZÉP Kártya mentességekkel és a szociális hozzájárulási adó 17,5%-ról 15,5%-ra történő csökkentésével magyarázható.</w:t>
      </w:r>
    </w:p>
    <w:p w14:paraId="7CB9AC38" w14:textId="2038683E" w:rsidR="003B190B" w:rsidRDefault="7A495620" w:rsidP="003A1352">
      <w:pPr>
        <w:spacing w:before="120"/>
      </w:pPr>
      <w:r>
        <w:t xml:space="preserve">A befizetett társadalombiztosítási járulék 54%-át az állami adóhatóság a Nyugdíjbiztosítási Alapnak utalja át. 2021 első három hónapjában a </w:t>
      </w:r>
      <w:r w:rsidRPr="7A495620">
        <w:rPr>
          <w:b/>
          <w:bCs/>
        </w:rPr>
        <w:t>társadalombiztosítási járulék Nyugdíjbiztosítási Alapot megillető része és nyugdíjjárulék</w:t>
      </w:r>
      <w:r>
        <w:t xml:space="preserve"> 411,6 milliárd forintban teljesült, az előző év azonos időszakában befolyt bevételt 25,1 milliárd forinttal, 6,5%-kal haladta meg. A </w:t>
      </w:r>
      <w:proofErr w:type="spellStart"/>
      <w:r>
        <w:t>bevételnövekedés</w:t>
      </w:r>
      <w:proofErr w:type="spellEnd"/>
      <w:r>
        <w:t xml:space="preserve"> oka az átlagkereset növekedése.</w:t>
      </w:r>
    </w:p>
    <w:p w14:paraId="7B1F7C11" w14:textId="21E9A9F0" w:rsidR="004B1960" w:rsidRPr="0039604C" w:rsidRDefault="7A495620" w:rsidP="004B1960">
      <w:pPr>
        <w:spacing w:after="240"/>
        <w:rPr>
          <w:bCs/>
        </w:rPr>
      </w:pPr>
      <w:r>
        <w:lastRenderedPageBreak/>
        <w:t xml:space="preserve">A </w:t>
      </w:r>
      <w:r w:rsidRPr="7A495620">
        <w:rPr>
          <w:b/>
          <w:bCs/>
        </w:rPr>
        <w:t>Nyugdíjbiztosítási Alap</w:t>
      </w:r>
      <w:r>
        <w:t xml:space="preserve"> 2021-ben az ellátási kiadásainak támogatására 446,5 milliárd forint </w:t>
      </w:r>
      <w:r w:rsidRPr="7A495620">
        <w:rPr>
          <w:b/>
          <w:bCs/>
        </w:rPr>
        <w:t>költségvetési hozzájárulásban</w:t>
      </w:r>
      <w:r>
        <w:t xml:space="preserve"> részesül. Ebből 316,1 milliárd forintot a XLII. </w:t>
      </w:r>
      <w:proofErr w:type="gramStart"/>
      <w:r>
        <w:t>A</w:t>
      </w:r>
      <w:proofErr w:type="gramEnd"/>
      <w:r>
        <w:t xml:space="preserve"> költségvetés közvetlen bevételei és kiadásai fejezet biztosít pénzeszközátadás útján az alap részére, míg további 130,4 milliárd forintot – a 13. havi nyugdíj, illetve a nyugdíjprémium fedezeteként – a XLVII. Gazdaságvédelmi Alap bocsát az alap rendelkezésére február, illetve november hónapokban. 2021 első negyedévében a Magyar Államkincstár az éves </w:t>
      </w:r>
      <w:proofErr w:type="gramStart"/>
      <w:r>
        <w:t>finanszírozási</w:t>
      </w:r>
      <w:proofErr w:type="gramEnd"/>
      <w:r>
        <w:t xml:space="preserve"> terv ütemezésének megfelelően 156,0 milliárd forintot utalt át a Nyugdíjbiztosítási Alap részére, melyből a 79,0 milliárd forintos pénzeszközátadás 67,3 milliárd forinttal haladta meg az előző év azonos időszakának támogatását. Az első negyedévi átutalás összegéből fennmaradó 77,0 milliárd forint a már február hónapban folyósításra került 13. havi ellátás fedezete.</w:t>
      </w:r>
    </w:p>
    <w:p w14:paraId="2A970225" w14:textId="1B45C0FF" w:rsidR="003B190B" w:rsidRPr="003A1352" w:rsidRDefault="7A495620" w:rsidP="7A495620">
      <w:pPr>
        <w:spacing w:before="120"/>
        <w:rPr>
          <w:rFonts w:eastAsia="Calibri"/>
        </w:rPr>
      </w:pPr>
      <w:r w:rsidRPr="7A495620">
        <w:rPr>
          <w:rFonts w:eastAsia="Calibri"/>
        </w:rPr>
        <w:t xml:space="preserve">2021 első három hónapjában a </w:t>
      </w:r>
      <w:r w:rsidRPr="7A495620">
        <w:rPr>
          <w:rFonts w:eastAsia="Calibri"/>
          <w:b/>
          <w:bCs/>
        </w:rPr>
        <w:t>szociális hozzájárulási adó Egészségbiztosítási Alapot megillető része</w:t>
      </w:r>
      <w:r w:rsidRPr="7A495620">
        <w:rPr>
          <w:rFonts w:eastAsia="Calibri"/>
        </w:rPr>
        <w:t xml:space="preserve"> (161,5 milliárd forint) 11,2%-kal, 20,3 milliárd forinttal maradt el az előző év azonos időszakában befolyt bevételektől. A tárgyévi elmaradás a koronavírus okozta gazdasági válságra tekintettel bevezetett munkaadói és SZÉP Kártya mentességekkel és a szociális hozzájárulási adó 17,5%-ról 15,5%-ra történő csökkentésével magyarázható.</w:t>
      </w:r>
    </w:p>
    <w:p w14:paraId="2AA83621" w14:textId="2EB2BF74" w:rsidR="003A1352" w:rsidRPr="003A1352" w:rsidRDefault="7A495620" w:rsidP="7A495620">
      <w:pPr>
        <w:spacing w:before="120"/>
        <w:rPr>
          <w:rFonts w:eastAsia="Calibri"/>
        </w:rPr>
      </w:pPr>
      <w:r w:rsidRPr="7A495620">
        <w:rPr>
          <w:rFonts w:eastAsia="Calibri"/>
        </w:rPr>
        <w:t xml:space="preserve">A befizetett társadalombiztosítási járulék 37,9%-át az állami adóhatóság az Egészségbiztosítási Alapnak utalja át. 2021 első három hónapjában a </w:t>
      </w:r>
      <w:r w:rsidRPr="7A495620">
        <w:rPr>
          <w:rFonts w:eastAsia="Calibri"/>
          <w:b/>
          <w:bCs/>
        </w:rPr>
        <w:t>társadalombiztosítási járulék Egészségbiztosítási Alapot megillető része és egészségbiztosítási járulék</w:t>
      </w:r>
      <w:r w:rsidRPr="7A495620">
        <w:rPr>
          <w:rFonts w:eastAsia="Calibri"/>
        </w:rPr>
        <w:t xml:space="preserve"> 280,5 milliárd forintban teljesültek, az előző év azonos időszakában befolyt bevételt 18,</w:t>
      </w:r>
      <w:r w:rsidR="00B90C91">
        <w:rPr>
          <w:rFonts w:eastAsia="Calibri"/>
        </w:rPr>
        <w:t>8</w:t>
      </w:r>
      <w:r w:rsidRPr="7A495620">
        <w:rPr>
          <w:rFonts w:eastAsia="Calibri"/>
        </w:rPr>
        <w:t xml:space="preserve"> milliárd forinttal, 7,2%-kal haladták meg. A </w:t>
      </w:r>
      <w:proofErr w:type="spellStart"/>
      <w:r w:rsidRPr="7A495620">
        <w:rPr>
          <w:rFonts w:eastAsia="Calibri"/>
        </w:rPr>
        <w:t>bevételnövekedés</w:t>
      </w:r>
      <w:proofErr w:type="spellEnd"/>
      <w:r w:rsidRPr="7A495620">
        <w:rPr>
          <w:rFonts w:eastAsia="Calibri"/>
        </w:rPr>
        <w:t xml:space="preserve"> oka az átlagkereset növekedése.</w:t>
      </w:r>
    </w:p>
    <w:p w14:paraId="2BAA1978" w14:textId="46FE50EE" w:rsidR="46BEAA7B" w:rsidRDefault="7A495620" w:rsidP="7A495620">
      <w:pPr>
        <w:rPr>
          <w:rFonts w:eastAsia="Calibri"/>
        </w:rPr>
      </w:pPr>
      <w:r w:rsidRPr="7A495620">
        <w:rPr>
          <w:rFonts w:eastAsia="Calibri"/>
        </w:rPr>
        <w:t xml:space="preserve">Az </w:t>
      </w:r>
      <w:r w:rsidRPr="7A495620">
        <w:rPr>
          <w:rFonts w:eastAsia="Calibri"/>
          <w:b/>
          <w:bCs/>
        </w:rPr>
        <w:t xml:space="preserve">Egészségbiztosítási Alap költségvetési hozzájárulásai </w:t>
      </w:r>
      <w:r w:rsidR="007D77A8" w:rsidRPr="007D77A8">
        <w:rPr>
          <w:rFonts w:eastAsia="Calibri"/>
          <w:bCs/>
        </w:rPr>
        <w:t xml:space="preserve">a </w:t>
      </w:r>
      <w:r w:rsidRPr="7A495620">
        <w:rPr>
          <w:rFonts w:eastAsia="Calibri"/>
        </w:rPr>
        <w:t>2021.</w:t>
      </w:r>
      <w:r w:rsidR="007D77A8">
        <w:rPr>
          <w:rFonts w:eastAsia="Calibri"/>
        </w:rPr>
        <w:t xml:space="preserve"> év</w:t>
      </w:r>
      <w:r w:rsidRPr="7A495620">
        <w:rPr>
          <w:rFonts w:eastAsia="Calibri"/>
        </w:rPr>
        <w:t xml:space="preserve"> I-III. </w:t>
      </w:r>
      <w:proofErr w:type="gramStart"/>
      <w:r w:rsidRPr="7A495620">
        <w:rPr>
          <w:rFonts w:eastAsia="Calibri"/>
        </w:rPr>
        <w:t>hónapjában</w:t>
      </w:r>
      <w:proofErr w:type="gramEnd"/>
      <w:r w:rsidRPr="7A495620">
        <w:rPr>
          <w:rFonts w:eastAsia="Calibri"/>
        </w:rPr>
        <w:t xml:space="preserve"> összesen 179,7</w:t>
      </w:r>
      <w:r w:rsidR="008A2A2A">
        <w:rPr>
          <w:rFonts w:eastAsia="Calibri"/>
        </w:rPr>
        <w:t> </w:t>
      </w:r>
      <w:r w:rsidRPr="7A495620">
        <w:rPr>
          <w:rFonts w:eastAsia="Calibri"/>
        </w:rPr>
        <w:t>milliárd forintot tettek ki, amely 33,1</w:t>
      </w:r>
      <w:r w:rsidR="008A2A2A">
        <w:rPr>
          <w:rFonts w:eastAsia="Calibri"/>
        </w:rPr>
        <w:t> </w:t>
      </w:r>
      <w:r w:rsidRPr="7A495620">
        <w:rPr>
          <w:rFonts w:eastAsia="Calibri"/>
        </w:rPr>
        <w:t>milliárd forinttal magasabb, mint az előző év azonos időszakában átutalt összeg. Az I-III. hónapban az Egészségbiztosítási Alap járulék címen átvett pénzeszközként 119,3</w:t>
      </w:r>
      <w:r w:rsidR="008A2A2A">
        <w:rPr>
          <w:rFonts w:eastAsia="Calibri"/>
        </w:rPr>
        <w:t> </w:t>
      </w:r>
      <w:r w:rsidRPr="7A495620">
        <w:rPr>
          <w:rFonts w:eastAsia="Calibri"/>
        </w:rPr>
        <w:t xml:space="preserve">milliárd </w:t>
      </w:r>
      <w:proofErr w:type="gramStart"/>
      <w:r w:rsidRPr="7A495620">
        <w:rPr>
          <w:rFonts w:eastAsia="Calibri"/>
        </w:rPr>
        <w:t>forint támogatást</w:t>
      </w:r>
      <w:proofErr w:type="gramEnd"/>
      <w:r w:rsidRPr="7A495620">
        <w:rPr>
          <w:rFonts w:eastAsia="Calibri"/>
        </w:rPr>
        <w:t xml:space="preserve"> kapott, szemben a tavalyi év azonos időszakában átutalt 115,8</w:t>
      </w:r>
      <w:r w:rsidR="008A2A2A">
        <w:rPr>
          <w:rFonts w:eastAsia="Calibri"/>
        </w:rPr>
        <w:t> </w:t>
      </w:r>
      <w:r w:rsidRPr="7A495620">
        <w:rPr>
          <w:rFonts w:eastAsia="Calibri"/>
        </w:rPr>
        <w:t xml:space="preserve">milliárd forintos összeggel. </w:t>
      </w:r>
      <w:r w:rsidR="008A2A2A">
        <w:rPr>
          <w:rFonts w:eastAsia="Calibri"/>
        </w:rPr>
        <w:t xml:space="preserve">A </w:t>
      </w:r>
      <w:r w:rsidRPr="7A495620">
        <w:rPr>
          <w:rFonts w:eastAsia="Calibri"/>
        </w:rPr>
        <w:t xml:space="preserve">kiadások támogatására szolgáló tervezett pénzeszközátvétel és az egészségügyi feladatok ellátásával kapcsolatos hozzájárulás együttes összege </w:t>
      </w:r>
      <w:r w:rsidR="0040120C">
        <w:rPr>
          <w:rFonts w:eastAsia="Calibri"/>
        </w:rPr>
        <w:t xml:space="preserve">a </w:t>
      </w:r>
      <w:r w:rsidRPr="7A495620">
        <w:rPr>
          <w:rFonts w:eastAsia="Calibri"/>
        </w:rPr>
        <w:t>2021</w:t>
      </w:r>
      <w:r w:rsidR="0040120C">
        <w:rPr>
          <w:rFonts w:eastAsia="Calibri"/>
        </w:rPr>
        <w:t>. év</w:t>
      </w:r>
      <w:r w:rsidRPr="7A495620">
        <w:rPr>
          <w:rFonts w:eastAsia="Calibri"/>
        </w:rPr>
        <w:t xml:space="preserve"> I-III. </w:t>
      </w:r>
      <w:proofErr w:type="gramStart"/>
      <w:r w:rsidRPr="7A495620">
        <w:rPr>
          <w:rFonts w:eastAsia="Calibri"/>
        </w:rPr>
        <w:t>hónapjában</w:t>
      </w:r>
      <w:proofErr w:type="gramEnd"/>
      <w:r w:rsidRPr="7A495620">
        <w:rPr>
          <w:rFonts w:eastAsia="Calibri"/>
        </w:rPr>
        <w:t xml:space="preserve"> 60,4</w:t>
      </w:r>
      <w:r w:rsidR="0040120C">
        <w:rPr>
          <w:rFonts w:eastAsia="Calibri"/>
        </w:rPr>
        <w:t> </w:t>
      </w:r>
      <w:r w:rsidRPr="7A495620">
        <w:rPr>
          <w:rFonts w:eastAsia="Calibri"/>
        </w:rPr>
        <w:t xml:space="preserve">milliárd forintot tett ki, amely </w:t>
      </w:r>
      <w:r w:rsidR="000B0157">
        <w:rPr>
          <w:rFonts w:eastAsia="Calibri"/>
        </w:rPr>
        <w:t>29,6</w:t>
      </w:r>
      <w:r w:rsidR="0040120C">
        <w:rPr>
          <w:rFonts w:eastAsia="Calibri"/>
        </w:rPr>
        <w:t> </w:t>
      </w:r>
      <w:r w:rsidRPr="7A495620">
        <w:rPr>
          <w:rFonts w:eastAsia="Calibri"/>
        </w:rPr>
        <w:t>milliárd forinttal haladta meg a tavalyi év azonos időszakában átutalt összeget.</w:t>
      </w:r>
    </w:p>
    <w:p w14:paraId="69FF0E89" w14:textId="400D305C" w:rsidR="02DE402C" w:rsidRDefault="02DE402C" w:rsidP="02DE402C"/>
    <w:p w14:paraId="54374D71" w14:textId="77777777" w:rsidR="00C253EA" w:rsidRDefault="00C253EA" w:rsidP="007D2EE4">
      <w:pPr>
        <w:rPr>
          <w:b/>
          <w:bCs/>
          <w:smallCaps/>
        </w:rPr>
      </w:pPr>
    </w:p>
    <w:p w14:paraId="6B5F607E" w14:textId="057A0D67" w:rsidR="0077720B" w:rsidRDefault="0077720B" w:rsidP="007D2EE4">
      <w:pPr>
        <w:rPr>
          <w:b/>
          <w:bCs/>
          <w:smallCaps/>
        </w:rPr>
      </w:pPr>
      <w:r>
        <w:rPr>
          <w:b/>
          <w:bCs/>
          <w:smallCaps/>
        </w:rPr>
        <w:br w:type="page"/>
      </w:r>
    </w:p>
    <w:p w14:paraId="5D4F02CB" w14:textId="5640B4D4" w:rsidR="006E4EA6" w:rsidRDefault="7A495620" w:rsidP="7A495620">
      <w:pPr>
        <w:pStyle w:val="Cmsor3"/>
        <w:numPr>
          <w:ilvl w:val="0"/>
          <w:numId w:val="8"/>
        </w:numPr>
        <w:spacing w:before="0" w:after="120"/>
        <w:jc w:val="left"/>
        <w:rPr>
          <w:sz w:val="26"/>
          <w:szCs w:val="26"/>
        </w:rPr>
      </w:pPr>
      <w:r w:rsidRPr="7A495620">
        <w:rPr>
          <w:sz w:val="26"/>
          <w:szCs w:val="26"/>
        </w:rPr>
        <w:lastRenderedPageBreak/>
        <w:t xml:space="preserve">A főbb kiadások </w:t>
      </w:r>
    </w:p>
    <w:p w14:paraId="66A0F3A1" w14:textId="77777777" w:rsidR="00953258" w:rsidRDefault="00953258" w:rsidP="00953258">
      <w:pPr>
        <w:rPr>
          <w:b/>
        </w:rPr>
      </w:pPr>
    </w:p>
    <w:p w14:paraId="4657648A" w14:textId="36DDE54A" w:rsidR="0065161F" w:rsidRPr="0065161F" w:rsidRDefault="7A495620" w:rsidP="7A495620">
      <w:pPr>
        <w:rPr>
          <w:b/>
          <w:bCs/>
        </w:rPr>
      </w:pPr>
      <w:r w:rsidRPr="7A495620">
        <w:rPr>
          <w:b/>
          <w:bCs/>
        </w:rPr>
        <w:t xml:space="preserve">A központi alrendszer 2021. március végi 6953,0 milliárd forint összegű kiadásai 830,4 milliárd forinttal, 13,6%-kal haladták meg az előző év azonos időszakának teljesítését. Magasabban teljesültek az egy évvel korábbi összeghez képest a költségvetési szervek kiadásai és a szakmai fejezeti kezelésű előirányzatok kiadásai. Meghaladták továbbá az egy évvel korábbi kifizetést a helyi önkormányzatok támogatásai, az állami vagyonnak kapcsolatos kiadások, az EU költségvetéséhez történő hozzájárulás, valamint a nyugellátásokra és a gyógyító-megelőző ellátásra fordított összegek is. Alacsonyabban teljesültek viszont az előző évi első háromhavi kifizetéshez képest – többek között </w:t>
      </w:r>
      <w:r w:rsidRPr="7A495620">
        <w:rPr>
          <w:rFonts w:cs="Tahoma"/>
          <w:b/>
          <w:bCs/>
        </w:rPr>
        <w:t xml:space="preserve">– az egyedi és normatív támogatások, a lakásépítési támogatások, </w:t>
      </w:r>
      <w:r w:rsidRPr="7A495620">
        <w:rPr>
          <w:b/>
          <w:bCs/>
        </w:rPr>
        <w:t>az uniós kiadások, valamint a kamatkiadások is.</w:t>
      </w:r>
    </w:p>
    <w:p w14:paraId="2107952F" w14:textId="77777777" w:rsidR="004E2AAE" w:rsidRDefault="004E2AAE" w:rsidP="002109F5"/>
    <w:p w14:paraId="57E63D7B" w14:textId="18EE0823" w:rsidR="00126945" w:rsidRDefault="00B34889" w:rsidP="002109F5">
      <w:r>
        <w:rPr>
          <w:noProof/>
        </w:rPr>
        <w:drawing>
          <wp:inline distT="0" distB="0" distL="0" distR="0" wp14:anchorId="7EBAD551" wp14:editId="164F4940">
            <wp:extent cx="5940425" cy="2145665"/>
            <wp:effectExtent l="0" t="0" r="3175" b="6985"/>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adás_megoszlás.png"/>
                    <pic:cNvPicPr/>
                  </pic:nvPicPr>
                  <pic:blipFill>
                    <a:blip r:embed="rId17">
                      <a:extLst>
                        <a:ext uri="{28A0092B-C50C-407E-A947-70E740481C1C}">
                          <a14:useLocalDpi xmlns:a14="http://schemas.microsoft.com/office/drawing/2010/main" val="0"/>
                        </a:ext>
                      </a:extLst>
                    </a:blip>
                    <a:stretch>
                      <a:fillRect/>
                    </a:stretch>
                  </pic:blipFill>
                  <pic:spPr>
                    <a:xfrm>
                      <a:off x="0" y="0"/>
                      <a:ext cx="5940425" cy="2145665"/>
                    </a:xfrm>
                    <a:prstGeom prst="rect">
                      <a:avLst/>
                    </a:prstGeom>
                  </pic:spPr>
                </pic:pic>
              </a:graphicData>
            </a:graphic>
          </wp:inline>
        </w:drawing>
      </w:r>
    </w:p>
    <w:p w14:paraId="7735E4D3" w14:textId="77777777" w:rsidR="00B34889" w:rsidRDefault="00B34889" w:rsidP="002109F5"/>
    <w:p w14:paraId="3D6E6567" w14:textId="19514305" w:rsidR="00E90DDA" w:rsidRPr="00E90DDA" w:rsidRDefault="7A495620" w:rsidP="7A495620">
      <w:pPr>
        <w:rPr>
          <w:rFonts w:eastAsia="Calibri"/>
        </w:rPr>
      </w:pPr>
      <w:r w:rsidRPr="7A495620">
        <w:rPr>
          <w:rFonts w:eastAsia="Calibri"/>
        </w:rPr>
        <w:t xml:space="preserve">Az </w:t>
      </w:r>
      <w:r w:rsidRPr="7A495620">
        <w:rPr>
          <w:rFonts w:eastAsia="Calibri"/>
          <w:b/>
          <w:bCs/>
        </w:rPr>
        <w:t>egyedi és normatív támogatásokra</w:t>
      </w:r>
      <w:r w:rsidRPr="7A495620">
        <w:rPr>
          <w:rFonts w:eastAsia="Calibri"/>
        </w:rPr>
        <w:t xml:space="preserve"> fordított kiadások március végéig 92,5 milliárd forintot tettek ki, amely 52,2 milliárd forinttal maradt el az előző év azonos időszakának teljesítésétől. Az eltérés</w:t>
      </w:r>
      <w:r w:rsidR="00837C4D">
        <w:rPr>
          <w:rFonts w:eastAsia="Calibri"/>
        </w:rPr>
        <w:t>t</w:t>
      </w:r>
      <w:r w:rsidRPr="7A495620">
        <w:rPr>
          <w:rFonts w:eastAsia="Calibri"/>
        </w:rPr>
        <w:t xml:space="preserve"> </w:t>
      </w:r>
      <w:r w:rsidR="00837C4D">
        <w:rPr>
          <w:rFonts w:eastAsia="Calibri"/>
        </w:rPr>
        <w:t xml:space="preserve">döntő részben </w:t>
      </w:r>
      <w:r w:rsidRPr="7A495620">
        <w:rPr>
          <w:rFonts w:eastAsia="Calibri"/>
        </w:rPr>
        <w:t>az magyarázza, hogy a helyközi személyszállítás támogatására 56,6 milliárd forinttal kevesebb kifizetés történt az év első három hónapjában az előző év azonos időszakához képest. A részleteket az alábbi diagram mutatja be:</w:t>
      </w:r>
    </w:p>
    <w:p w14:paraId="74930DBB" w14:textId="259C5908" w:rsidR="00893DFC" w:rsidRDefault="002B138A" w:rsidP="3887197A">
      <w:r>
        <w:rPr>
          <w:noProof/>
        </w:rPr>
        <w:lastRenderedPageBreak/>
        <w:drawing>
          <wp:inline distT="0" distB="0" distL="0" distR="0" wp14:anchorId="7A104711" wp14:editId="732F93E2">
            <wp:extent cx="5940425" cy="3563620"/>
            <wp:effectExtent l="0" t="0" r="3175"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yedi_és_normatív_tám.png"/>
                    <pic:cNvPicPr/>
                  </pic:nvPicPr>
                  <pic:blipFill>
                    <a:blip r:embed="rId18">
                      <a:extLst>
                        <a:ext uri="{28A0092B-C50C-407E-A947-70E740481C1C}">
                          <a14:useLocalDpi xmlns:a14="http://schemas.microsoft.com/office/drawing/2010/main" val="0"/>
                        </a:ext>
                      </a:extLst>
                    </a:blip>
                    <a:stretch>
                      <a:fillRect/>
                    </a:stretch>
                  </pic:blipFill>
                  <pic:spPr>
                    <a:xfrm>
                      <a:off x="0" y="0"/>
                      <a:ext cx="5940425" cy="3563620"/>
                    </a:xfrm>
                    <a:prstGeom prst="rect">
                      <a:avLst/>
                    </a:prstGeom>
                  </pic:spPr>
                </pic:pic>
              </a:graphicData>
            </a:graphic>
          </wp:inline>
        </w:drawing>
      </w:r>
    </w:p>
    <w:p w14:paraId="0349490E" w14:textId="77777777" w:rsidR="002B138A" w:rsidRDefault="002B138A" w:rsidP="3887197A"/>
    <w:p w14:paraId="44628DA7" w14:textId="5E829ED9" w:rsidR="232765E4" w:rsidRDefault="7A495620" w:rsidP="30891728">
      <w:r>
        <w:t xml:space="preserve">A </w:t>
      </w:r>
      <w:r w:rsidRPr="7A495620">
        <w:rPr>
          <w:b/>
          <w:bCs/>
        </w:rPr>
        <w:t>lakásépítési támogatásokra</w:t>
      </w:r>
      <w:r>
        <w:t xml:space="preserve"> fordított kiadások összege március végéig 50,1 milliárd forint volt, mely az előző év azonos időszakához viszonyítva 20,4 milliárd forinttal teljesült alacsonyabban. Az eltérés elsősorban az elszámolási szabályok miatti 2019 decemberében benyújtott igénylések 2020. januárra áthúzódó kifizetésére vezethető vissza, valamint a márciusban kifizetendő összeg egy része április hónapra tolódott át. Emellett az árfolyam- és a referenciahozamok, valamint a további </w:t>
      </w:r>
      <w:proofErr w:type="gramStart"/>
      <w:r>
        <w:t>konstrukciókat</w:t>
      </w:r>
      <w:proofErr w:type="gramEnd"/>
      <w:r>
        <w:t xml:space="preserve"> igénybe vevők létszámának alakulása is befolyásolta a kifizetéseket. Az idei évi elszámolásokban szerepet játszik a 2021. január 1-jétől bevezetett </w:t>
      </w:r>
      <w:proofErr w:type="spellStart"/>
      <w:r>
        <w:t>otthonfelújítási</w:t>
      </w:r>
      <w:proofErr w:type="spellEnd"/>
      <w:r>
        <w:t xml:space="preserve"> támogatás és az ehhez februártól kapcsolódó kölcsön meghirdetése, valamint egyes meglévő </w:t>
      </w:r>
      <w:proofErr w:type="gramStart"/>
      <w:r>
        <w:t>konstrukciók</w:t>
      </w:r>
      <w:proofErr w:type="gramEnd"/>
      <w:r>
        <w:t>, a családi otthonteremtési kedvezmény, adó-visszatérítési támogatás és a többgyermekes családok lakáscélú jelzáloghitel-tartozásának csökkentésére nyújtott támogatás igénybe vételi lehetőségeinek további kiszélesítése, ezen felül pedig a falusi támogatások esetében az érintett preferált kistelepülések körének kibővítése.</w:t>
      </w:r>
    </w:p>
    <w:p w14:paraId="6FC65ACB" w14:textId="0456CD80" w:rsidR="00083873" w:rsidRDefault="7A495620" w:rsidP="51CD5D50">
      <w:r w:rsidRPr="7A495620">
        <w:rPr>
          <w:rFonts w:cs="Tahoma"/>
          <w:color w:val="000000" w:themeColor="text1"/>
        </w:rPr>
        <w:t xml:space="preserve">A </w:t>
      </w:r>
      <w:r w:rsidRPr="7A495620">
        <w:rPr>
          <w:rFonts w:cs="Tahoma"/>
          <w:b/>
          <w:bCs/>
          <w:color w:val="000000" w:themeColor="text1"/>
        </w:rPr>
        <w:t>Nemzeti Család- és Szociálpolitikai Alap</w:t>
      </w:r>
      <w:r w:rsidRPr="7A495620">
        <w:rPr>
          <w:rFonts w:cs="Tahoma"/>
          <w:color w:val="000000" w:themeColor="text1"/>
        </w:rPr>
        <w:t xml:space="preserve"> a családi támogatásokat, a korhatár alatti ellátásokat, a jövedelempótló és jövedelemkiegészítő szociális támogatásokat, </w:t>
      </w:r>
      <w:r>
        <w:t>valamint a különféle jogcímen adott térítéseket tartalmazza. A főbb támogatásokat a következő táblázat részletezi:</w:t>
      </w:r>
      <w:r w:rsidR="30891728">
        <w:br w:type="page"/>
      </w:r>
    </w:p>
    <w:tbl>
      <w:tblPr>
        <w:tblW w:w="7520" w:type="dxa"/>
        <w:tblInd w:w="496" w:type="dxa"/>
        <w:tblCellMar>
          <w:left w:w="70" w:type="dxa"/>
          <w:right w:w="70" w:type="dxa"/>
        </w:tblCellMar>
        <w:tblLook w:val="04A0" w:firstRow="1" w:lastRow="0" w:firstColumn="1" w:lastColumn="0" w:noHBand="0" w:noVBand="1"/>
      </w:tblPr>
      <w:tblGrid>
        <w:gridCol w:w="4180"/>
        <w:gridCol w:w="980"/>
        <w:gridCol w:w="960"/>
        <w:gridCol w:w="807"/>
        <w:gridCol w:w="593"/>
      </w:tblGrid>
      <w:tr w:rsidR="00400522" w:rsidRPr="00400522" w14:paraId="4915519A" w14:textId="77777777" w:rsidTr="7A495620">
        <w:trPr>
          <w:trHeight w:val="270"/>
        </w:trPr>
        <w:tc>
          <w:tcPr>
            <w:tcW w:w="4180"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7590A1E5" w14:textId="77777777" w:rsidR="00400522" w:rsidRPr="00400522" w:rsidRDefault="7A495620" w:rsidP="7A495620">
            <w:pPr>
              <w:spacing w:after="0"/>
              <w:jc w:val="center"/>
              <w:rPr>
                <w:b/>
                <w:bCs/>
                <w:color w:val="000000" w:themeColor="text1"/>
                <w:sz w:val="14"/>
                <w:szCs w:val="14"/>
              </w:rPr>
            </w:pPr>
            <w:r w:rsidRPr="7A495620">
              <w:rPr>
                <w:b/>
                <w:bCs/>
                <w:color w:val="000000" w:themeColor="text1"/>
                <w:sz w:val="14"/>
                <w:szCs w:val="14"/>
              </w:rPr>
              <w:lastRenderedPageBreak/>
              <w:t>Megnevezés</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9FBEE2" w14:textId="77777777" w:rsidR="00400522" w:rsidRPr="00400522" w:rsidRDefault="7A495620" w:rsidP="7A495620">
            <w:pPr>
              <w:spacing w:after="0"/>
              <w:jc w:val="center"/>
              <w:rPr>
                <w:b/>
                <w:bCs/>
                <w:color w:val="000000" w:themeColor="text1"/>
                <w:sz w:val="14"/>
                <w:szCs w:val="14"/>
              </w:rPr>
            </w:pPr>
            <w:r w:rsidRPr="7A495620">
              <w:rPr>
                <w:b/>
                <w:bCs/>
                <w:color w:val="000000" w:themeColor="text1"/>
                <w:sz w:val="14"/>
                <w:szCs w:val="14"/>
              </w:rPr>
              <w:t xml:space="preserve">2020. </w:t>
            </w:r>
            <w:r w:rsidR="30891728">
              <w:br/>
            </w:r>
            <w:r w:rsidRPr="7A495620">
              <w:rPr>
                <w:b/>
                <w:bCs/>
                <w:color w:val="000000" w:themeColor="text1"/>
                <w:sz w:val="14"/>
                <w:szCs w:val="14"/>
              </w:rPr>
              <w:t>I-III. hó</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6AC523" w14:textId="77777777" w:rsidR="00400522" w:rsidRPr="00400522" w:rsidRDefault="7A495620" w:rsidP="7A495620">
            <w:pPr>
              <w:spacing w:after="0"/>
              <w:jc w:val="center"/>
              <w:rPr>
                <w:b/>
                <w:bCs/>
                <w:color w:val="000000" w:themeColor="text1"/>
                <w:sz w:val="14"/>
                <w:szCs w:val="14"/>
              </w:rPr>
            </w:pPr>
            <w:r w:rsidRPr="7A495620">
              <w:rPr>
                <w:b/>
                <w:bCs/>
                <w:color w:val="000000" w:themeColor="text1"/>
                <w:sz w:val="14"/>
                <w:szCs w:val="14"/>
              </w:rPr>
              <w:t>2021.</w:t>
            </w:r>
            <w:r w:rsidR="30891728">
              <w:br/>
            </w:r>
            <w:r w:rsidRPr="7A495620">
              <w:rPr>
                <w:b/>
                <w:bCs/>
                <w:color w:val="000000" w:themeColor="text1"/>
                <w:sz w:val="14"/>
                <w:szCs w:val="14"/>
              </w:rPr>
              <w:t>I-III. hó</w:t>
            </w:r>
          </w:p>
        </w:tc>
        <w:tc>
          <w:tcPr>
            <w:tcW w:w="14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98BCF" w14:textId="77777777" w:rsidR="00400522" w:rsidRPr="00400522" w:rsidRDefault="7A495620" w:rsidP="7A495620">
            <w:pPr>
              <w:spacing w:after="0"/>
              <w:jc w:val="center"/>
              <w:rPr>
                <w:b/>
                <w:bCs/>
                <w:color w:val="000000" w:themeColor="text1"/>
                <w:sz w:val="14"/>
                <w:szCs w:val="14"/>
              </w:rPr>
            </w:pPr>
            <w:r w:rsidRPr="7A495620">
              <w:rPr>
                <w:b/>
                <w:bCs/>
                <w:color w:val="000000" w:themeColor="text1"/>
                <w:sz w:val="14"/>
                <w:szCs w:val="14"/>
              </w:rPr>
              <w:t>Eltérés</w:t>
            </w:r>
          </w:p>
        </w:tc>
      </w:tr>
      <w:tr w:rsidR="00400522" w:rsidRPr="00400522" w14:paraId="2F0EBD95" w14:textId="77777777" w:rsidTr="7A495620">
        <w:trPr>
          <w:trHeight w:val="225"/>
        </w:trPr>
        <w:tc>
          <w:tcPr>
            <w:tcW w:w="4180" w:type="dxa"/>
            <w:vMerge/>
            <w:tcBorders>
              <w:top w:val="single" w:sz="4" w:space="0" w:color="auto"/>
              <w:left w:val="single" w:sz="4" w:space="0" w:color="auto"/>
              <w:bottom w:val="single" w:sz="4" w:space="0" w:color="000000"/>
              <w:right w:val="single" w:sz="4" w:space="0" w:color="auto"/>
            </w:tcBorders>
            <w:vAlign w:val="center"/>
            <w:hideMark/>
          </w:tcPr>
          <w:p w14:paraId="51E84CC6" w14:textId="77777777" w:rsidR="00400522" w:rsidRPr="00400522" w:rsidRDefault="00400522" w:rsidP="00400522">
            <w:pPr>
              <w:spacing w:after="0"/>
              <w:jc w:val="left"/>
              <w:rPr>
                <w:b/>
                <w:bCs/>
                <w:color w:val="000000"/>
                <w:sz w:val="14"/>
                <w:szCs w:val="14"/>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57D61AE0" w14:textId="77777777" w:rsidR="00400522" w:rsidRPr="00400522" w:rsidRDefault="00400522" w:rsidP="00400522">
            <w:pPr>
              <w:spacing w:after="0"/>
              <w:jc w:val="left"/>
              <w:rPr>
                <w:b/>
                <w:bCs/>
                <w:color w:val="000000"/>
                <w:sz w:val="14"/>
                <w:szCs w:val="14"/>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BD1E023" w14:textId="77777777" w:rsidR="00400522" w:rsidRPr="00400522" w:rsidRDefault="00400522" w:rsidP="00400522">
            <w:pPr>
              <w:spacing w:after="0"/>
              <w:jc w:val="left"/>
              <w:rPr>
                <w:b/>
                <w:bCs/>
                <w:color w:val="000000"/>
                <w:sz w:val="14"/>
                <w:szCs w:val="14"/>
              </w:rPr>
            </w:pPr>
          </w:p>
        </w:tc>
        <w:tc>
          <w:tcPr>
            <w:tcW w:w="807" w:type="dxa"/>
            <w:tcBorders>
              <w:top w:val="nil"/>
              <w:left w:val="nil"/>
              <w:bottom w:val="single" w:sz="4" w:space="0" w:color="auto"/>
              <w:right w:val="single" w:sz="4" w:space="0" w:color="auto"/>
            </w:tcBorders>
            <w:shd w:val="clear" w:color="auto" w:fill="auto"/>
            <w:noWrap/>
            <w:vAlign w:val="bottom"/>
            <w:hideMark/>
          </w:tcPr>
          <w:p w14:paraId="4D90739C" w14:textId="77777777" w:rsidR="00400522" w:rsidRPr="00400522" w:rsidRDefault="7A495620" w:rsidP="7A495620">
            <w:pPr>
              <w:spacing w:after="0"/>
              <w:jc w:val="center"/>
              <w:rPr>
                <w:b/>
                <w:bCs/>
                <w:color w:val="000000" w:themeColor="text1"/>
                <w:sz w:val="14"/>
                <w:szCs w:val="14"/>
              </w:rPr>
            </w:pPr>
            <w:r w:rsidRPr="7A495620">
              <w:rPr>
                <w:b/>
                <w:bCs/>
                <w:color w:val="000000" w:themeColor="text1"/>
                <w:sz w:val="14"/>
                <w:szCs w:val="14"/>
              </w:rPr>
              <w:t>Mrd Ft</w:t>
            </w:r>
          </w:p>
        </w:tc>
        <w:tc>
          <w:tcPr>
            <w:tcW w:w="593" w:type="dxa"/>
            <w:tcBorders>
              <w:top w:val="nil"/>
              <w:left w:val="nil"/>
              <w:bottom w:val="single" w:sz="4" w:space="0" w:color="auto"/>
              <w:right w:val="single" w:sz="4" w:space="0" w:color="auto"/>
            </w:tcBorders>
            <w:shd w:val="clear" w:color="auto" w:fill="auto"/>
            <w:noWrap/>
            <w:vAlign w:val="bottom"/>
            <w:hideMark/>
          </w:tcPr>
          <w:p w14:paraId="39AFF9CB" w14:textId="77777777" w:rsidR="00400522" w:rsidRPr="00400522" w:rsidRDefault="7A495620" w:rsidP="7A495620">
            <w:pPr>
              <w:spacing w:after="0"/>
              <w:jc w:val="center"/>
              <w:rPr>
                <w:b/>
                <w:bCs/>
                <w:color w:val="000000" w:themeColor="text1"/>
                <w:sz w:val="14"/>
                <w:szCs w:val="14"/>
              </w:rPr>
            </w:pPr>
            <w:r w:rsidRPr="7A495620">
              <w:rPr>
                <w:b/>
                <w:bCs/>
                <w:color w:val="000000" w:themeColor="text1"/>
                <w:sz w:val="14"/>
                <w:szCs w:val="14"/>
              </w:rPr>
              <w:t>%</w:t>
            </w:r>
          </w:p>
        </w:tc>
      </w:tr>
      <w:tr w:rsidR="00400522" w:rsidRPr="00400522" w14:paraId="6F092712"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38BD8FD" w14:textId="77777777" w:rsidR="00400522" w:rsidRPr="00400522" w:rsidRDefault="7A495620" w:rsidP="7A495620">
            <w:pPr>
              <w:spacing w:after="0"/>
              <w:jc w:val="left"/>
              <w:rPr>
                <w:b/>
                <w:bCs/>
                <w:color w:val="000000" w:themeColor="text1"/>
                <w:sz w:val="14"/>
                <w:szCs w:val="14"/>
              </w:rPr>
            </w:pPr>
            <w:r w:rsidRPr="7A495620">
              <w:rPr>
                <w:b/>
                <w:bCs/>
                <w:color w:val="000000" w:themeColor="text1"/>
                <w:sz w:val="14"/>
                <w:szCs w:val="14"/>
              </w:rPr>
              <w:t>Családi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07105647" w14:textId="77777777" w:rsidR="00400522" w:rsidRPr="00400522" w:rsidRDefault="7A495620" w:rsidP="7A495620">
            <w:pPr>
              <w:spacing w:after="0"/>
              <w:jc w:val="right"/>
              <w:rPr>
                <w:b/>
                <w:bCs/>
                <w:sz w:val="14"/>
                <w:szCs w:val="14"/>
              </w:rPr>
            </w:pPr>
            <w:r w:rsidRPr="7A495620">
              <w:rPr>
                <w:b/>
                <w:bCs/>
                <w:sz w:val="14"/>
                <w:szCs w:val="14"/>
              </w:rPr>
              <w:t>101,4</w:t>
            </w:r>
          </w:p>
        </w:tc>
        <w:tc>
          <w:tcPr>
            <w:tcW w:w="960" w:type="dxa"/>
            <w:tcBorders>
              <w:top w:val="nil"/>
              <w:left w:val="nil"/>
              <w:bottom w:val="single" w:sz="4" w:space="0" w:color="auto"/>
              <w:right w:val="single" w:sz="4" w:space="0" w:color="auto"/>
            </w:tcBorders>
            <w:shd w:val="clear" w:color="auto" w:fill="auto"/>
            <w:noWrap/>
            <w:vAlign w:val="bottom"/>
            <w:hideMark/>
          </w:tcPr>
          <w:p w14:paraId="18CA98A5" w14:textId="77777777" w:rsidR="00400522" w:rsidRPr="00400522" w:rsidRDefault="7A495620" w:rsidP="7A495620">
            <w:pPr>
              <w:spacing w:after="0"/>
              <w:jc w:val="right"/>
              <w:rPr>
                <w:b/>
                <w:bCs/>
                <w:sz w:val="14"/>
                <w:szCs w:val="14"/>
              </w:rPr>
            </w:pPr>
            <w:r w:rsidRPr="7A495620">
              <w:rPr>
                <w:b/>
                <w:bCs/>
                <w:sz w:val="14"/>
                <w:szCs w:val="14"/>
              </w:rPr>
              <w:t>133,4</w:t>
            </w:r>
          </w:p>
        </w:tc>
        <w:tc>
          <w:tcPr>
            <w:tcW w:w="807" w:type="dxa"/>
            <w:tcBorders>
              <w:top w:val="nil"/>
              <w:left w:val="nil"/>
              <w:bottom w:val="single" w:sz="4" w:space="0" w:color="auto"/>
              <w:right w:val="single" w:sz="4" w:space="0" w:color="auto"/>
            </w:tcBorders>
            <w:shd w:val="clear" w:color="auto" w:fill="auto"/>
            <w:noWrap/>
            <w:vAlign w:val="bottom"/>
            <w:hideMark/>
          </w:tcPr>
          <w:p w14:paraId="2F4EA3EC" w14:textId="77777777" w:rsidR="00400522" w:rsidRPr="00400522" w:rsidRDefault="7A495620" w:rsidP="7A495620">
            <w:pPr>
              <w:spacing w:after="0"/>
              <w:jc w:val="right"/>
              <w:rPr>
                <w:b/>
                <w:bCs/>
                <w:sz w:val="14"/>
                <w:szCs w:val="14"/>
              </w:rPr>
            </w:pPr>
            <w:r w:rsidRPr="7A495620">
              <w:rPr>
                <w:b/>
                <w:bCs/>
                <w:sz w:val="14"/>
                <w:szCs w:val="14"/>
              </w:rPr>
              <w:t>32,0</w:t>
            </w:r>
          </w:p>
        </w:tc>
        <w:tc>
          <w:tcPr>
            <w:tcW w:w="593" w:type="dxa"/>
            <w:tcBorders>
              <w:top w:val="nil"/>
              <w:left w:val="nil"/>
              <w:bottom w:val="single" w:sz="4" w:space="0" w:color="auto"/>
              <w:right w:val="single" w:sz="4" w:space="0" w:color="auto"/>
            </w:tcBorders>
            <w:shd w:val="clear" w:color="auto" w:fill="auto"/>
            <w:noWrap/>
            <w:vAlign w:val="bottom"/>
            <w:hideMark/>
          </w:tcPr>
          <w:p w14:paraId="76F34E20" w14:textId="77777777" w:rsidR="00400522" w:rsidRPr="00400522" w:rsidRDefault="7A495620" w:rsidP="7A495620">
            <w:pPr>
              <w:spacing w:after="0"/>
              <w:jc w:val="right"/>
              <w:rPr>
                <w:b/>
                <w:bCs/>
                <w:sz w:val="14"/>
                <w:szCs w:val="14"/>
              </w:rPr>
            </w:pPr>
            <w:r w:rsidRPr="7A495620">
              <w:rPr>
                <w:b/>
                <w:bCs/>
                <w:sz w:val="14"/>
                <w:szCs w:val="14"/>
              </w:rPr>
              <w:t>131,6</w:t>
            </w:r>
          </w:p>
        </w:tc>
      </w:tr>
      <w:tr w:rsidR="00400522" w:rsidRPr="00400522" w14:paraId="690B3B09"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D2CCAB6" w14:textId="77777777" w:rsidR="00400522" w:rsidRPr="00400522" w:rsidRDefault="7A495620" w:rsidP="7A495620">
            <w:pPr>
              <w:spacing w:after="0"/>
              <w:ind w:firstLineChars="100" w:firstLine="140"/>
              <w:jc w:val="left"/>
              <w:rPr>
                <w:i/>
                <w:iCs/>
                <w:color w:val="000000" w:themeColor="text1"/>
                <w:sz w:val="14"/>
                <w:szCs w:val="14"/>
              </w:rPr>
            </w:pPr>
            <w:r w:rsidRPr="7A495620">
              <w:rPr>
                <w:i/>
                <w:iCs/>
                <w:color w:val="000000" w:themeColor="text1"/>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4A69749E" w14:textId="77777777" w:rsidR="00400522" w:rsidRPr="00400522" w:rsidRDefault="7A495620" w:rsidP="7A495620">
            <w:pPr>
              <w:spacing w:after="0"/>
              <w:jc w:val="right"/>
              <w:rPr>
                <w:sz w:val="14"/>
                <w:szCs w:val="14"/>
              </w:rPr>
            </w:pPr>
            <w:r w:rsidRPr="7A495620">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4AABBCB2" w14:textId="77777777" w:rsidR="00400522" w:rsidRPr="00400522" w:rsidRDefault="7A495620" w:rsidP="7A495620">
            <w:pPr>
              <w:spacing w:after="0"/>
              <w:jc w:val="right"/>
              <w:rPr>
                <w:sz w:val="14"/>
                <w:szCs w:val="14"/>
              </w:rPr>
            </w:pPr>
            <w:r w:rsidRPr="7A495620">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3972D6B3" w14:textId="77777777" w:rsidR="00400522" w:rsidRPr="00400522" w:rsidRDefault="7A495620" w:rsidP="7A495620">
            <w:pPr>
              <w:spacing w:after="0"/>
              <w:jc w:val="right"/>
              <w:rPr>
                <w:sz w:val="14"/>
                <w:szCs w:val="14"/>
              </w:rPr>
            </w:pPr>
            <w:r w:rsidRPr="7A495620">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05A3694C" w14:textId="77777777" w:rsidR="00400522" w:rsidRPr="00400522" w:rsidRDefault="7A495620" w:rsidP="7A495620">
            <w:pPr>
              <w:spacing w:after="0"/>
              <w:jc w:val="right"/>
              <w:rPr>
                <w:sz w:val="14"/>
                <w:szCs w:val="14"/>
              </w:rPr>
            </w:pPr>
            <w:r w:rsidRPr="7A495620">
              <w:rPr>
                <w:sz w:val="14"/>
                <w:szCs w:val="14"/>
              </w:rPr>
              <w:t> </w:t>
            </w:r>
          </w:p>
        </w:tc>
      </w:tr>
      <w:tr w:rsidR="00400522" w:rsidRPr="00400522" w14:paraId="16559470"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EE4AB79" w14:textId="77777777" w:rsidR="00400522" w:rsidRPr="00400522" w:rsidRDefault="7A495620" w:rsidP="7A495620">
            <w:pPr>
              <w:spacing w:after="0"/>
              <w:ind w:firstLineChars="400" w:firstLine="560"/>
              <w:jc w:val="left"/>
              <w:rPr>
                <w:i/>
                <w:iCs/>
                <w:color w:val="000000" w:themeColor="text1"/>
                <w:sz w:val="14"/>
                <w:szCs w:val="14"/>
              </w:rPr>
            </w:pPr>
            <w:r w:rsidRPr="7A495620">
              <w:rPr>
                <w:i/>
                <w:iCs/>
                <w:color w:val="000000" w:themeColor="text1"/>
                <w:sz w:val="14"/>
                <w:szCs w:val="14"/>
              </w:rPr>
              <w:t>családi pótlék</w:t>
            </w:r>
          </w:p>
        </w:tc>
        <w:tc>
          <w:tcPr>
            <w:tcW w:w="980" w:type="dxa"/>
            <w:tcBorders>
              <w:top w:val="nil"/>
              <w:left w:val="nil"/>
              <w:bottom w:val="single" w:sz="4" w:space="0" w:color="auto"/>
              <w:right w:val="single" w:sz="4" w:space="0" w:color="auto"/>
            </w:tcBorders>
            <w:shd w:val="clear" w:color="auto" w:fill="auto"/>
            <w:noWrap/>
            <w:vAlign w:val="bottom"/>
            <w:hideMark/>
          </w:tcPr>
          <w:p w14:paraId="55932DAD" w14:textId="77777777" w:rsidR="00400522" w:rsidRPr="00400522" w:rsidRDefault="7A495620" w:rsidP="7A495620">
            <w:pPr>
              <w:spacing w:after="0"/>
              <w:jc w:val="right"/>
              <w:rPr>
                <w:sz w:val="14"/>
                <w:szCs w:val="14"/>
              </w:rPr>
            </w:pPr>
            <w:r w:rsidRPr="7A495620">
              <w:rPr>
                <w:sz w:val="14"/>
                <w:szCs w:val="14"/>
              </w:rPr>
              <w:t>75,7</w:t>
            </w:r>
          </w:p>
        </w:tc>
        <w:tc>
          <w:tcPr>
            <w:tcW w:w="960" w:type="dxa"/>
            <w:tcBorders>
              <w:top w:val="nil"/>
              <w:left w:val="nil"/>
              <w:bottom w:val="single" w:sz="4" w:space="0" w:color="auto"/>
              <w:right w:val="single" w:sz="4" w:space="0" w:color="auto"/>
            </w:tcBorders>
            <w:shd w:val="clear" w:color="auto" w:fill="auto"/>
            <w:noWrap/>
            <w:vAlign w:val="bottom"/>
            <w:hideMark/>
          </w:tcPr>
          <w:p w14:paraId="0A4C3545" w14:textId="77777777" w:rsidR="00400522" w:rsidRPr="00400522" w:rsidRDefault="7A495620" w:rsidP="7A495620">
            <w:pPr>
              <w:spacing w:after="0"/>
              <w:jc w:val="right"/>
              <w:rPr>
                <w:sz w:val="14"/>
                <w:szCs w:val="14"/>
              </w:rPr>
            </w:pPr>
            <w:r w:rsidRPr="7A495620">
              <w:rPr>
                <w:sz w:val="14"/>
                <w:szCs w:val="14"/>
              </w:rPr>
              <w:t>103,4</w:t>
            </w:r>
          </w:p>
        </w:tc>
        <w:tc>
          <w:tcPr>
            <w:tcW w:w="807" w:type="dxa"/>
            <w:tcBorders>
              <w:top w:val="nil"/>
              <w:left w:val="nil"/>
              <w:bottom w:val="single" w:sz="4" w:space="0" w:color="auto"/>
              <w:right w:val="single" w:sz="4" w:space="0" w:color="auto"/>
            </w:tcBorders>
            <w:shd w:val="clear" w:color="auto" w:fill="auto"/>
            <w:noWrap/>
            <w:vAlign w:val="bottom"/>
            <w:hideMark/>
          </w:tcPr>
          <w:p w14:paraId="28A44F5E" w14:textId="77777777" w:rsidR="00400522" w:rsidRPr="00400522" w:rsidRDefault="7A495620" w:rsidP="7A495620">
            <w:pPr>
              <w:spacing w:after="0"/>
              <w:jc w:val="right"/>
              <w:rPr>
                <w:sz w:val="14"/>
                <w:szCs w:val="14"/>
              </w:rPr>
            </w:pPr>
            <w:r w:rsidRPr="7A495620">
              <w:rPr>
                <w:sz w:val="14"/>
                <w:szCs w:val="14"/>
              </w:rPr>
              <w:t>27,7</w:t>
            </w:r>
          </w:p>
        </w:tc>
        <w:tc>
          <w:tcPr>
            <w:tcW w:w="593" w:type="dxa"/>
            <w:tcBorders>
              <w:top w:val="nil"/>
              <w:left w:val="nil"/>
              <w:bottom w:val="single" w:sz="4" w:space="0" w:color="auto"/>
              <w:right w:val="single" w:sz="4" w:space="0" w:color="auto"/>
            </w:tcBorders>
            <w:shd w:val="clear" w:color="auto" w:fill="auto"/>
            <w:noWrap/>
            <w:vAlign w:val="bottom"/>
            <w:hideMark/>
          </w:tcPr>
          <w:p w14:paraId="42857E93" w14:textId="77777777" w:rsidR="00400522" w:rsidRPr="00400522" w:rsidRDefault="7A495620" w:rsidP="7A495620">
            <w:pPr>
              <w:spacing w:after="0"/>
              <w:jc w:val="right"/>
              <w:rPr>
                <w:sz w:val="14"/>
                <w:szCs w:val="14"/>
              </w:rPr>
            </w:pPr>
            <w:r w:rsidRPr="7A495620">
              <w:rPr>
                <w:sz w:val="14"/>
                <w:szCs w:val="14"/>
              </w:rPr>
              <w:t>136,6</w:t>
            </w:r>
          </w:p>
        </w:tc>
      </w:tr>
      <w:tr w:rsidR="00400522" w:rsidRPr="00400522" w14:paraId="7E36C06B"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C2C47A7" w14:textId="77777777" w:rsidR="00400522" w:rsidRPr="00400522" w:rsidRDefault="7A495620" w:rsidP="7A495620">
            <w:pPr>
              <w:spacing w:after="0"/>
              <w:ind w:firstLineChars="400" w:firstLine="560"/>
              <w:jc w:val="left"/>
              <w:rPr>
                <w:i/>
                <w:iCs/>
                <w:color w:val="000000" w:themeColor="text1"/>
                <w:sz w:val="14"/>
                <w:szCs w:val="14"/>
              </w:rPr>
            </w:pPr>
            <w:r w:rsidRPr="7A495620">
              <w:rPr>
                <w:i/>
                <w:iCs/>
                <w:color w:val="000000" w:themeColor="text1"/>
                <w:sz w:val="14"/>
                <w:szCs w:val="14"/>
              </w:rPr>
              <w:t>anyasági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79C5CFFE" w14:textId="77777777" w:rsidR="00400522" w:rsidRPr="00400522" w:rsidRDefault="7A495620" w:rsidP="7A495620">
            <w:pPr>
              <w:spacing w:after="0"/>
              <w:jc w:val="right"/>
              <w:rPr>
                <w:sz w:val="14"/>
                <w:szCs w:val="14"/>
              </w:rPr>
            </w:pPr>
            <w:r w:rsidRPr="7A495620">
              <w:rPr>
                <w:sz w:val="14"/>
                <w:szCs w:val="14"/>
              </w:rPr>
              <w:t>1,8</w:t>
            </w:r>
          </w:p>
        </w:tc>
        <w:tc>
          <w:tcPr>
            <w:tcW w:w="960" w:type="dxa"/>
            <w:tcBorders>
              <w:top w:val="nil"/>
              <w:left w:val="nil"/>
              <w:bottom w:val="single" w:sz="4" w:space="0" w:color="auto"/>
              <w:right w:val="single" w:sz="4" w:space="0" w:color="auto"/>
            </w:tcBorders>
            <w:shd w:val="clear" w:color="auto" w:fill="auto"/>
            <w:noWrap/>
            <w:vAlign w:val="bottom"/>
            <w:hideMark/>
          </w:tcPr>
          <w:p w14:paraId="34C94CEB" w14:textId="77777777" w:rsidR="00400522" w:rsidRPr="00400522" w:rsidRDefault="7A495620" w:rsidP="7A495620">
            <w:pPr>
              <w:spacing w:after="0"/>
              <w:jc w:val="right"/>
              <w:rPr>
                <w:sz w:val="14"/>
                <w:szCs w:val="14"/>
              </w:rPr>
            </w:pPr>
            <w:r w:rsidRPr="7A495620">
              <w:rPr>
                <w:sz w:val="14"/>
                <w:szCs w:val="14"/>
              </w:rPr>
              <w:t>2,3</w:t>
            </w:r>
          </w:p>
        </w:tc>
        <w:tc>
          <w:tcPr>
            <w:tcW w:w="807" w:type="dxa"/>
            <w:tcBorders>
              <w:top w:val="nil"/>
              <w:left w:val="nil"/>
              <w:bottom w:val="single" w:sz="4" w:space="0" w:color="auto"/>
              <w:right w:val="single" w:sz="4" w:space="0" w:color="auto"/>
            </w:tcBorders>
            <w:shd w:val="clear" w:color="auto" w:fill="auto"/>
            <w:noWrap/>
            <w:vAlign w:val="bottom"/>
            <w:hideMark/>
          </w:tcPr>
          <w:p w14:paraId="2998A0C6" w14:textId="77777777" w:rsidR="00400522" w:rsidRPr="00400522" w:rsidRDefault="7A495620" w:rsidP="7A495620">
            <w:pPr>
              <w:spacing w:after="0"/>
              <w:jc w:val="right"/>
              <w:rPr>
                <w:sz w:val="14"/>
                <w:szCs w:val="14"/>
              </w:rPr>
            </w:pPr>
            <w:r w:rsidRPr="7A495620">
              <w:rPr>
                <w:sz w:val="14"/>
                <w:szCs w:val="14"/>
              </w:rPr>
              <w:t>0,5</w:t>
            </w:r>
          </w:p>
        </w:tc>
        <w:tc>
          <w:tcPr>
            <w:tcW w:w="593" w:type="dxa"/>
            <w:tcBorders>
              <w:top w:val="nil"/>
              <w:left w:val="nil"/>
              <w:bottom w:val="single" w:sz="4" w:space="0" w:color="auto"/>
              <w:right w:val="single" w:sz="4" w:space="0" w:color="auto"/>
            </w:tcBorders>
            <w:shd w:val="clear" w:color="auto" w:fill="auto"/>
            <w:noWrap/>
            <w:vAlign w:val="bottom"/>
            <w:hideMark/>
          </w:tcPr>
          <w:p w14:paraId="5F5C97C1" w14:textId="77777777" w:rsidR="00400522" w:rsidRPr="00400522" w:rsidRDefault="7A495620" w:rsidP="7A495620">
            <w:pPr>
              <w:spacing w:after="0"/>
              <w:jc w:val="right"/>
              <w:rPr>
                <w:sz w:val="14"/>
                <w:szCs w:val="14"/>
              </w:rPr>
            </w:pPr>
            <w:r w:rsidRPr="7A495620">
              <w:rPr>
                <w:sz w:val="14"/>
                <w:szCs w:val="14"/>
              </w:rPr>
              <w:t>127,8</w:t>
            </w:r>
          </w:p>
        </w:tc>
      </w:tr>
      <w:tr w:rsidR="00400522" w:rsidRPr="00400522" w14:paraId="5EC120E4"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1580CC00" w14:textId="77777777" w:rsidR="00400522" w:rsidRPr="00400522" w:rsidRDefault="7A495620" w:rsidP="7A495620">
            <w:pPr>
              <w:spacing w:after="0"/>
              <w:ind w:firstLineChars="400" w:firstLine="560"/>
              <w:jc w:val="left"/>
              <w:rPr>
                <w:i/>
                <w:iCs/>
                <w:color w:val="000000" w:themeColor="text1"/>
                <w:sz w:val="14"/>
                <w:szCs w:val="14"/>
              </w:rPr>
            </w:pPr>
            <w:r w:rsidRPr="7A495620">
              <w:rPr>
                <w:i/>
                <w:iCs/>
                <w:color w:val="000000" w:themeColor="text1"/>
                <w:sz w:val="14"/>
                <w:szCs w:val="14"/>
              </w:rPr>
              <w:t>gyermekgondozást segítő ellátás</w:t>
            </w:r>
          </w:p>
        </w:tc>
        <w:tc>
          <w:tcPr>
            <w:tcW w:w="980" w:type="dxa"/>
            <w:tcBorders>
              <w:top w:val="nil"/>
              <w:left w:val="nil"/>
              <w:bottom w:val="single" w:sz="4" w:space="0" w:color="auto"/>
              <w:right w:val="single" w:sz="4" w:space="0" w:color="auto"/>
            </w:tcBorders>
            <w:shd w:val="clear" w:color="auto" w:fill="auto"/>
            <w:noWrap/>
            <w:vAlign w:val="bottom"/>
            <w:hideMark/>
          </w:tcPr>
          <w:p w14:paraId="091ECA89" w14:textId="77777777" w:rsidR="00400522" w:rsidRPr="00400522" w:rsidRDefault="7A495620" w:rsidP="7A495620">
            <w:pPr>
              <w:spacing w:after="0"/>
              <w:jc w:val="right"/>
              <w:rPr>
                <w:sz w:val="14"/>
                <w:szCs w:val="14"/>
              </w:rPr>
            </w:pPr>
            <w:r w:rsidRPr="7A495620">
              <w:rPr>
                <w:sz w:val="14"/>
                <w:szCs w:val="14"/>
              </w:rPr>
              <w:t>16,1</w:t>
            </w:r>
          </w:p>
        </w:tc>
        <w:tc>
          <w:tcPr>
            <w:tcW w:w="960" w:type="dxa"/>
            <w:tcBorders>
              <w:top w:val="nil"/>
              <w:left w:val="nil"/>
              <w:bottom w:val="single" w:sz="4" w:space="0" w:color="auto"/>
              <w:right w:val="single" w:sz="4" w:space="0" w:color="auto"/>
            </w:tcBorders>
            <w:shd w:val="clear" w:color="auto" w:fill="auto"/>
            <w:noWrap/>
            <w:vAlign w:val="bottom"/>
            <w:hideMark/>
          </w:tcPr>
          <w:p w14:paraId="7D4C9586" w14:textId="77777777" w:rsidR="00400522" w:rsidRPr="00400522" w:rsidRDefault="7A495620" w:rsidP="7A495620">
            <w:pPr>
              <w:spacing w:after="0"/>
              <w:jc w:val="right"/>
              <w:rPr>
                <w:sz w:val="14"/>
                <w:szCs w:val="14"/>
              </w:rPr>
            </w:pPr>
            <w:r w:rsidRPr="7A495620">
              <w:rPr>
                <w:sz w:val="14"/>
                <w:szCs w:val="14"/>
              </w:rPr>
              <w:t>18,9</w:t>
            </w:r>
          </w:p>
        </w:tc>
        <w:tc>
          <w:tcPr>
            <w:tcW w:w="807" w:type="dxa"/>
            <w:tcBorders>
              <w:top w:val="nil"/>
              <w:left w:val="nil"/>
              <w:bottom w:val="single" w:sz="4" w:space="0" w:color="auto"/>
              <w:right w:val="single" w:sz="4" w:space="0" w:color="auto"/>
            </w:tcBorders>
            <w:shd w:val="clear" w:color="auto" w:fill="auto"/>
            <w:noWrap/>
            <w:vAlign w:val="bottom"/>
            <w:hideMark/>
          </w:tcPr>
          <w:p w14:paraId="7E1138E0" w14:textId="77777777" w:rsidR="00400522" w:rsidRPr="00400522" w:rsidRDefault="7A495620" w:rsidP="7A495620">
            <w:pPr>
              <w:spacing w:after="0"/>
              <w:jc w:val="right"/>
              <w:rPr>
                <w:sz w:val="14"/>
                <w:szCs w:val="14"/>
              </w:rPr>
            </w:pPr>
            <w:r w:rsidRPr="7A495620">
              <w:rPr>
                <w:sz w:val="14"/>
                <w:szCs w:val="14"/>
              </w:rPr>
              <w:t>2,8</w:t>
            </w:r>
          </w:p>
        </w:tc>
        <w:tc>
          <w:tcPr>
            <w:tcW w:w="593" w:type="dxa"/>
            <w:tcBorders>
              <w:top w:val="nil"/>
              <w:left w:val="nil"/>
              <w:bottom w:val="single" w:sz="4" w:space="0" w:color="auto"/>
              <w:right w:val="single" w:sz="4" w:space="0" w:color="auto"/>
            </w:tcBorders>
            <w:shd w:val="clear" w:color="auto" w:fill="auto"/>
            <w:noWrap/>
            <w:vAlign w:val="bottom"/>
            <w:hideMark/>
          </w:tcPr>
          <w:p w14:paraId="75BFEBAC" w14:textId="77777777" w:rsidR="00400522" w:rsidRPr="00400522" w:rsidRDefault="7A495620" w:rsidP="7A495620">
            <w:pPr>
              <w:spacing w:after="0"/>
              <w:jc w:val="right"/>
              <w:rPr>
                <w:sz w:val="14"/>
                <w:szCs w:val="14"/>
              </w:rPr>
            </w:pPr>
            <w:r w:rsidRPr="7A495620">
              <w:rPr>
                <w:sz w:val="14"/>
                <w:szCs w:val="14"/>
              </w:rPr>
              <w:t>117,4</w:t>
            </w:r>
          </w:p>
        </w:tc>
      </w:tr>
      <w:tr w:rsidR="00400522" w:rsidRPr="00400522" w14:paraId="32F4FAF5"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217AAF6" w14:textId="77777777" w:rsidR="00400522" w:rsidRPr="00400522" w:rsidRDefault="7A495620" w:rsidP="7A495620">
            <w:pPr>
              <w:spacing w:after="0"/>
              <w:ind w:firstLineChars="400" w:firstLine="560"/>
              <w:jc w:val="left"/>
              <w:rPr>
                <w:i/>
                <w:iCs/>
                <w:color w:val="000000" w:themeColor="text1"/>
                <w:sz w:val="14"/>
                <w:szCs w:val="14"/>
              </w:rPr>
            </w:pPr>
            <w:r w:rsidRPr="7A495620">
              <w:rPr>
                <w:i/>
                <w:iCs/>
                <w:color w:val="000000" w:themeColor="text1"/>
                <w:sz w:val="14"/>
                <w:szCs w:val="14"/>
              </w:rPr>
              <w:t>gyermeknevelési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51067AEE" w14:textId="77777777" w:rsidR="00400522" w:rsidRPr="00400522" w:rsidRDefault="7A495620" w:rsidP="7A495620">
            <w:pPr>
              <w:spacing w:after="0"/>
              <w:jc w:val="right"/>
              <w:rPr>
                <w:sz w:val="14"/>
                <w:szCs w:val="14"/>
              </w:rPr>
            </w:pPr>
            <w:r w:rsidRPr="7A495620">
              <w:rPr>
                <w:sz w:val="14"/>
                <w:szCs w:val="14"/>
              </w:rPr>
              <w:t>3,0</w:t>
            </w:r>
          </w:p>
        </w:tc>
        <w:tc>
          <w:tcPr>
            <w:tcW w:w="960" w:type="dxa"/>
            <w:tcBorders>
              <w:top w:val="nil"/>
              <w:left w:val="nil"/>
              <w:bottom w:val="single" w:sz="4" w:space="0" w:color="auto"/>
              <w:right w:val="single" w:sz="4" w:space="0" w:color="auto"/>
            </w:tcBorders>
            <w:shd w:val="clear" w:color="auto" w:fill="auto"/>
            <w:noWrap/>
            <w:vAlign w:val="bottom"/>
            <w:hideMark/>
          </w:tcPr>
          <w:p w14:paraId="00A6D4F5" w14:textId="77777777" w:rsidR="00400522" w:rsidRPr="00400522" w:rsidRDefault="7A495620" w:rsidP="7A495620">
            <w:pPr>
              <w:spacing w:after="0"/>
              <w:jc w:val="right"/>
              <w:rPr>
                <w:sz w:val="14"/>
                <w:szCs w:val="14"/>
              </w:rPr>
            </w:pPr>
            <w:r w:rsidRPr="7A495620">
              <w:rPr>
                <w:sz w:val="14"/>
                <w:szCs w:val="14"/>
              </w:rPr>
              <w:t>3,7</w:t>
            </w:r>
          </w:p>
        </w:tc>
        <w:tc>
          <w:tcPr>
            <w:tcW w:w="807" w:type="dxa"/>
            <w:tcBorders>
              <w:top w:val="nil"/>
              <w:left w:val="nil"/>
              <w:bottom w:val="single" w:sz="4" w:space="0" w:color="auto"/>
              <w:right w:val="single" w:sz="4" w:space="0" w:color="auto"/>
            </w:tcBorders>
            <w:shd w:val="clear" w:color="auto" w:fill="auto"/>
            <w:noWrap/>
            <w:vAlign w:val="bottom"/>
            <w:hideMark/>
          </w:tcPr>
          <w:p w14:paraId="1B445BFA" w14:textId="77777777" w:rsidR="00400522" w:rsidRPr="00400522" w:rsidRDefault="7A495620" w:rsidP="7A495620">
            <w:pPr>
              <w:spacing w:after="0"/>
              <w:jc w:val="right"/>
              <w:rPr>
                <w:sz w:val="14"/>
                <w:szCs w:val="14"/>
              </w:rPr>
            </w:pPr>
            <w:r w:rsidRPr="7A495620">
              <w:rPr>
                <w:sz w:val="14"/>
                <w:szCs w:val="14"/>
              </w:rPr>
              <w:t>0,7</w:t>
            </w:r>
          </w:p>
        </w:tc>
        <w:tc>
          <w:tcPr>
            <w:tcW w:w="593" w:type="dxa"/>
            <w:tcBorders>
              <w:top w:val="nil"/>
              <w:left w:val="nil"/>
              <w:bottom w:val="single" w:sz="4" w:space="0" w:color="auto"/>
              <w:right w:val="single" w:sz="4" w:space="0" w:color="auto"/>
            </w:tcBorders>
            <w:shd w:val="clear" w:color="auto" w:fill="auto"/>
            <w:noWrap/>
            <w:vAlign w:val="bottom"/>
            <w:hideMark/>
          </w:tcPr>
          <w:p w14:paraId="2889364D" w14:textId="77777777" w:rsidR="00400522" w:rsidRPr="00400522" w:rsidRDefault="7A495620" w:rsidP="7A495620">
            <w:pPr>
              <w:spacing w:after="0"/>
              <w:jc w:val="right"/>
              <w:rPr>
                <w:sz w:val="14"/>
                <w:szCs w:val="14"/>
              </w:rPr>
            </w:pPr>
            <w:r w:rsidRPr="7A495620">
              <w:rPr>
                <w:sz w:val="14"/>
                <w:szCs w:val="14"/>
              </w:rPr>
              <w:t>123,3</w:t>
            </w:r>
          </w:p>
        </w:tc>
      </w:tr>
      <w:tr w:rsidR="00400522" w:rsidRPr="00400522" w14:paraId="2C04AF87"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B4C5610" w14:textId="77777777" w:rsidR="00400522" w:rsidRPr="00400522" w:rsidRDefault="7A495620" w:rsidP="7A495620">
            <w:pPr>
              <w:spacing w:after="0"/>
              <w:ind w:firstLineChars="400" w:firstLine="560"/>
              <w:jc w:val="left"/>
              <w:rPr>
                <w:i/>
                <w:iCs/>
                <w:color w:val="000000" w:themeColor="text1"/>
                <w:sz w:val="14"/>
                <w:szCs w:val="14"/>
              </w:rPr>
            </w:pPr>
            <w:r w:rsidRPr="7A495620">
              <w:rPr>
                <w:i/>
                <w:iCs/>
                <w:color w:val="000000" w:themeColor="text1"/>
                <w:sz w:val="14"/>
                <w:szCs w:val="14"/>
              </w:rPr>
              <w:t>gyermekek születésével kapcsolatos szabadság megtérítése</w:t>
            </w:r>
          </w:p>
        </w:tc>
        <w:tc>
          <w:tcPr>
            <w:tcW w:w="980" w:type="dxa"/>
            <w:tcBorders>
              <w:top w:val="nil"/>
              <w:left w:val="nil"/>
              <w:bottom w:val="single" w:sz="4" w:space="0" w:color="auto"/>
              <w:right w:val="single" w:sz="4" w:space="0" w:color="auto"/>
            </w:tcBorders>
            <w:shd w:val="clear" w:color="auto" w:fill="auto"/>
            <w:noWrap/>
            <w:vAlign w:val="bottom"/>
            <w:hideMark/>
          </w:tcPr>
          <w:p w14:paraId="3A8EB031" w14:textId="77777777" w:rsidR="00400522" w:rsidRPr="00400522" w:rsidRDefault="7A495620" w:rsidP="7A495620">
            <w:pPr>
              <w:spacing w:after="0"/>
              <w:jc w:val="right"/>
              <w:rPr>
                <w:sz w:val="14"/>
                <w:szCs w:val="14"/>
              </w:rPr>
            </w:pPr>
            <w:r w:rsidRPr="7A495620">
              <w:rPr>
                <w:sz w:val="14"/>
                <w:szCs w:val="14"/>
              </w:rPr>
              <w:t>0,9</w:t>
            </w:r>
          </w:p>
        </w:tc>
        <w:tc>
          <w:tcPr>
            <w:tcW w:w="960" w:type="dxa"/>
            <w:tcBorders>
              <w:top w:val="nil"/>
              <w:left w:val="nil"/>
              <w:bottom w:val="single" w:sz="4" w:space="0" w:color="auto"/>
              <w:right w:val="single" w:sz="4" w:space="0" w:color="auto"/>
            </w:tcBorders>
            <w:shd w:val="clear" w:color="auto" w:fill="auto"/>
            <w:noWrap/>
            <w:vAlign w:val="bottom"/>
            <w:hideMark/>
          </w:tcPr>
          <w:p w14:paraId="0F0A1A26" w14:textId="77777777" w:rsidR="00400522" w:rsidRPr="00400522" w:rsidRDefault="7A495620" w:rsidP="7A495620">
            <w:pPr>
              <w:spacing w:after="0"/>
              <w:jc w:val="right"/>
              <w:rPr>
                <w:sz w:val="14"/>
                <w:szCs w:val="14"/>
              </w:rPr>
            </w:pPr>
            <w:r w:rsidRPr="7A495620">
              <w:rPr>
                <w:sz w:val="14"/>
                <w:szCs w:val="14"/>
              </w:rPr>
              <w:t>1,0</w:t>
            </w:r>
          </w:p>
        </w:tc>
        <w:tc>
          <w:tcPr>
            <w:tcW w:w="807" w:type="dxa"/>
            <w:tcBorders>
              <w:top w:val="nil"/>
              <w:left w:val="nil"/>
              <w:bottom w:val="single" w:sz="4" w:space="0" w:color="auto"/>
              <w:right w:val="single" w:sz="4" w:space="0" w:color="auto"/>
            </w:tcBorders>
            <w:shd w:val="clear" w:color="auto" w:fill="auto"/>
            <w:noWrap/>
            <w:vAlign w:val="bottom"/>
            <w:hideMark/>
          </w:tcPr>
          <w:p w14:paraId="1199EF30" w14:textId="77777777" w:rsidR="00400522" w:rsidRPr="00400522" w:rsidRDefault="7A495620" w:rsidP="7A495620">
            <w:pPr>
              <w:spacing w:after="0"/>
              <w:jc w:val="right"/>
              <w:rPr>
                <w:sz w:val="14"/>
                <w:szCs w:val="14"/>
              </w:rPr>
            </w:pPr>
            <w:r w:rsidRPr="7A495620">
              <w:rPr>
                <w:sz w:val="14"/>
                <w:szCs w:val="14"/>
              </w:rPr>
              <w:t>0,1</w:t>
            </w:r>
          </w:p>
        </w:tc>
        <w:tc>
          <w:tcPr>
            <w:tcW w:w="593" w:type="dxa"/>
            <w:tcBorders>
              <w:top w:val="nil"/>
              <w:left w:val="nil"/>
              <w:bottom w:val="single" w:sz="4" w:space="0" w:color="auto"/>
              <w:right w:val="single" w:sz="4" w:space="0" w:color="auto"/>
            </w:tcBorders>
            <w:shd w:val="clear" w:color="auto" w:fill="auto"/>
            <w:noWrap/>
            <w:vAlign w:val="bottom"/>
            <w:hideMark/>
          </w:tcPr>
          <w:p w14:paraId="5979AD92" w14:textId="77777777" w:rsidR="00400522" w:rsidRPr="00400522" w:rsidRDefault="7A495620" w:rsidP="7A495620">
            <w:pPr>
              <w:spacing w:after="0"/>
              <w:jc w:val="right"/>
              <w:rPr>
                <w:sz w:val="14"/>
                <w:szCs w:val="14"/>
              </w:rPr>
            </w:pPr>
            <w:r w:rsidRPr="7A495620">
              <w:rPr>
                <w:sz w:val="14"/>
                <w:szCs w:val="14"/>
              </w:rPr>
              <w:t>111,1</w:t>
            </w:r>
          </w:p>
        </w:tc>
      </w:tr>
      <w:tr w:rsidR="00400522" w:rsidRPr="00400522" w14:paraId="27838C0D"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ACEA0B0" w14:textId="77777777" w:rsidR="00400522" w:rsidRPr="00400522" w:rsidRDefault="7A495620" w:rsidP="7A495620">
            <w:pPr>
              <w:spacing w:after="0"/>
              <w:ind w:firstLineChars="400" w:firstLine="560"/>
              <w:jc w:val="left"/>
              <w:rPr>
                <w:i/>
                <w:iCs/>
                <w:color w:val="000000" w:themeColor="text1"/>
                <w:sz w:val="14"/>
                <w:szCs w:val="14"/>
              </w:rPr>
            </w:pPr>
            <w:r w:rsidRPr="7A495620">
              <w:rPr>
                <w:i/>
                <w:iCs/>
                <w:color w:val="000000" w:themeColor="text1"/>
                <w:sz w:val="14"/>
                <w:szCs w:val="14"/>
              </w:rPr>
              <w:t>életkezdési támogatás</w:t>
            </w:r>
          </w:p>
        </w:tc>
        <w:tc>
          <w:tcPr>
            <w:tcW w:w="980" w:type="dxa"/>
            <w:tcBorders>
              <w:top w:val="nil"/>
              <w:left w:val="nil"/>
              <w:bottom w:val="single" w:sz="4" w:space="0" w:color="auto"/>
              <w:right w:val="single" w:sz="4" w:space="0" w:color="auto"/>
            </w:tcBorders>
            <w:shd w:val="clear" w:color="auto" w:fill="auto"/>
            <w:noWrap/>
            <w:vAlign w:val="bottom"/>
            <w:hideMark/>
          </w:tcPr>
          <w:p w14:paraId="73F76730" w14:textId="77777777" w:rsidR="00400522" w:rsidRPr="00400522" w:rsidRDefault="7A495620" w:rsidP="7A495620">
            <w:pPr>
              <w:spacing w:after="0"/>
              <w:jc w:val="right"/>
              <w:rPr>
                <w:sz w:val="14"/>
                <w:szCs w:val="14"/>
              </w:rPr>
            </w:pPr>
            <w:r w:rsidRPr="7A495620">
              <w:rPr>
                <w:sz w:val="14"/>
                <w:szCs w:val="14"/>
              </w:rPr>
              <w:t>3,8</w:t>
            </w:r>
          </w:p>
        </w:tc>
        <w:tc>
          <w:tcPr>
            <w:tcW w:w="960" w:type="dxa"/>
            <w:tcBorders>
              <w:top w:val="nil"/>
              <w:left w:val="nil"/>
              <w:bottom w:val="single" w:sz="4" w:space="0" w:color="auto"/>
              <w:right w:val="single" w:sz="4" w:space="0" w:color="auto"/>
            </w:tcBorders>
            <w:shd w:val="clear" w:color="auto" w:fill="auto"/>
            <w:noWrap/>
            <w:vAlign w:val="bottom"/>
            <w:hideMark/>
          </w:tcPr>
          <w:p w14:paraId="753E81D0" w14:textId="77777777" w:rsidR="00400522" w:rsidRPr="00400522" w:rsidRDefault="7A495620" w:rsidP="7A495620">
            <w:pPr>
              <w:spacing w:after="0"/>
              <w:jc w:val="right"/>
              <w:rPr>
                <w:sz w:val="14"/>
                <w:szCs w:val="14"/>
              </w:rPr>
            </w:pPr>
            <w:r w:rsidRPr="7A495620">
              <w:rPr>
                <w:sz w:val="14"/>
                <w:szCs w:val="14"/>
              </w:rPr>
              <w:t>4,1</w:t>
            </w:r>
          </w:p>
        </w:tc>
        <w:tc>
          <w:tcPr>
            <w:tcW w:w="807" w:type="dxa"/>
            <w:tcBorders>
              <w:top w:val="nil"/>
              <w:left w:val="nil"/>
              <w:bottom w:val="single" w:sz="4" w:space="0" w:color="auto"/>
              <w:right w:val="single" w:sz="4" w:space="0" w:color="auto"/>
            </w:tcBorders>
            <w:shd w:val="clear" w:color="auto" w:fill="auto"/>
            <w:noWrap/>
            <w:vAlign w:val="bottom"/>
            <w:hideMark/>
          </w:tcPr>
          <w:p w14:paraId="7A06FF9F" w14:textId="77777777" w:rsidR="00400522" w:rsidRPr="00400522" w:rsidRDefault="7A495620" w:rsidP="7A495620">
            <w:pPr>
              <w:spacing w:after="0"/>
              <w:jc w:val="right"/>
              <w:rPr>
                <w:sz w:val="14"/>
                <w:szCs w:val="14"/>
              </w:rPr>
            </w:pPr>
            <w:r w:rsidRPr="7A495620">
              <w:rPr>
                <w:sz w:val="14"/>
                <w:szCs w:val="14"/>
              </w:rPr>
              <w:t>0,3</w:t>
            </w:r>
          </w:p>
        </w:tc>
        <w:tc>
          <w:tcPr>
            <w:tcW w:w="593" w:type="dxa"/>
            <w:tcBorders>
              <w:top w:val="nil"/>
              <w:left w:val="nil"/>
              <w:bottom w:val="single" w:sz="4" w:space="0" w:color="auto"/>
              <w:right w:val="single" w:sz="4" w:space="0" w:color="auto"/>
            </w:tcBorders>
            <w:shd w:val="clear" w:color="auto" w:fill="auto"/>
            <w:noWrap/>
            <w:vAlign w:val="bottom"/>
            <w:hideMark/>
          </w:tcPr>
          <w:p w14:paraId="798968B9" w14:textId="77777777" w:rsidR="00400522" w:rsidRPr="00400522" w:rsidRDefault="7A495620" w:rsidP="7A495620">
            <w:pPr>
              <w:spacing w:after="0"/>
              <w:jc w:val="right"/>
              <w:rPr>
                <w:sz w:val="14"/>
                <w:szCs w:val="14"/>
              </w:rPr>
            </w:pPr>
            <w:r w:rsidRPr="7A495620">
              <w:rPr>
                <w:sz w:val="14"/>
                <w:szCs w:val="14"/>
              </w:rPr>
              <w:t>107,9</w:t>
            </w:r>
          </w:p>
        </w:tc>
      </w:tr>
      <w:tr w:rsidR="00400522" w:rsidRPr="00400522" w14:paraId="5645D456"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7CA09886" w14:textId="77777777" w:rsidR="00400522" w:rsidRPr="00400522" w:rsidRDefault="7A495620" w:rsidP="7A495620">
            <w:pPr>
              <w:spacing w:after="0"/>
              <w:jc w:val="left"/>
              <w:rPr>
                <w:b/>
                <w:bCs/>
                <w:color w:val="000000" w:themeColor="text1"/>
                <w:sz w:val="14"/>
                <w:szCs w:val="14"/>
              </w:rPr>
            </w:pPr>
            <w:r w:rsidRPr="7A495620">
              <w:rPr>
                <w:b/>
                <w:bCs/>
                <w:color w:val="000000" w:themeColor="text1"/>
                <w:sz w:val="14"/>
                <w:szCs w:val="14"/>
              </w:rPr>
              <w:t>Korhatár alatti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380849A9" w14:textId="77777777" w:rsidR="00400522" w:rsidRPr="00400522" w:rsidRDefault="7A495620" w:rsidP="7A495620">
            <w:pPr>
              <w:spacing w:after="0"/>
              <w:jc w:val="right"/>
              <w:rPr>
                <w:b/>
                <w:bCs/>
                <w:sz w:val="14"/>
                <w:szCs w:val="14"/>
              </w:rPr>
            </w:pPr>
            <w:r w:rsidRPr="7A495620">
              <w:rPr>
                <w:b/>
                <w:bCs/>
                <w:sz w:val="14"/>
                <w:szCs w:val="14"/>
              </w:rPr>
              <w:t>22,8</w:t>
            </w:r>
          </w:p>
        </w:tc>
        <w:tc>
          <w:tcPr>
            <w:tcW w:w="960" w:type="dxa"/>
            <w:tcBorders>
              <w:top w:val="nil"/>
              <w:left w:val="nil"/>
              <w:bottom w:val="single" w:sz="4" w:space="0" w:color="auto"/>
              <w:right w:val="single" w:sz="4" w:space="0" w:color="auto"/>
            </w:tcBorders>
            <w:shd w:val="clear" w:color="auto" w:fill="auto"/>
            <w:noWrap/>
            <w:vAlign w:val="bottom"/>
            <w:hideMark/>
          </w:tcPr>
          <w:p w14:paraId="30FEB156" w14:textId="77777777" w:rsidR="00400522" w:rsidRPr="00400522" w:rsidRDefault="7A495620" w:rsidP="7A495620">
            <w:pPr>
              <w:spacing w:after="0"/>
              <w:jc w:val="right"/>
              <w:rPr>
                <w:b/>
                <w:bCs/>
                <w:sz w:val="14"/>
                <w:szCs w:val="14"/>
              </w:rPr>
            </w:pPr>
            <w:r w:rsidRPr="7A495620">
              <w:rPr>
                <w:b/>
                <w:bCs/>
                <w:sz w:val="14"/>
                <w:szCs w:val="14"/>
              </w:rPr>
              <w:t>25,6</w:t>
            </w:r>
          </w:p>
        </w:tc>
        <w:tc>
          <w:tcPr>
            <w:tcW w:w="807" w:type="dxa"/>
            <w:tcBorders>
              <w:top w:val="nil"/>
              <w:left w:val="nil"/>
              <w:bottom w:val="single" w:sz="4" w:space="0" w:color="auto"/>
              <w:right w:val="single" w:sz="4" w:space="0" w:color="auto"/>
            </w:tcBorders>
            <w:shd w:val="clear" w:color="auto" w:fill="auto"/>
            <w:noWrap/>
            <w:vAlign w:val="bottom"/>
            <w:hideMark/>
          </w:tcPr>
          <w:p w14:paraId="35E5FB06" w14:textId="77777777" w:rsidR="00400522" w:rsidRPr="00400522" w:rsidRDefault="7A495620" w:rsidP="7A495620">
            <w:pPr>
              <w:spacing w:after="0"/>
              <w:jc w:val="right"/>
              <w:rPr>
                <w:b/>
                <w:bCs/>
                <w:sz w:val="14"/>
                <w:szCs w:val="14"/>
              </w:rPr>
            </w:pPr>
            <w:r w:rsidRPr="7A495620">
              <w:rPr>
                <w:b/>
                <w:bCs/>
                <w:sz w:val="14"/>
                <w:szCs w:val="14"/>
              </w:rPr>
              <w:t>2,8</w:t>
            </w:r>
          </w:p>
        </w:tc>
        <w:tc>
          <w:tcPr>
            <w:tcW w:w="593" w:type="dxa"/>
            <w:tcBorders>
              <w:top w:val="nil"/>
              <w:left w:val="nil"/>
              <w:bottom w:val="single" w:sz="4" w:space="0" w:color="auto"/>
              <w:right w:val="single" w:sz="4" w:space="0" w:color="auto"/>
            </w:tcBorders>
            <w:shd w:val="clear" w:color="auto" w:fill="auto"/>
            <w:noWrap/>
            <w:vAlign w:val="bottom"/>
            <w:hideMark/>
          </w:tcPr>
          <w:p w14:paraId="52DBD34B" w14:textId="77777777" w:rsidR="00400522" w:rsidRPr="00400522" w:rsidRDefault="7A495620" w:rsidP="7A495620">
            <w:pPr>
              <w:spacing w:after="0"/>
              <w:jc w:val="right"/>
              <w:rPr>
                <w:b/>
                <w:bCs/>
                <w:sz w:val="14"/>
                <w:szCs w:val="14"/>
              </w:rPr>
            </w:pPr>
            <w:r w:rsidRPr="7A495620">
              <w:rPr>
                <w:b/>
                <w:bCs/>
                <w:sz w:val="14"/>
                <w:szCs w:val="14"/>
              </w:rPr>
              <w:t>112,3</w:t>
            </w:r>
          </w:p>
        </w:tc>
      </w:tr>
      <w:tr w:rsidR="00400522" w:rsidRPr="00400522" w14:paraId="57956644"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FEFDD41" w14:textId="77777777" w:rsidR="00400522" w:rsidRPr="00400522" w:rsidRDefault="7A495620" w:rsidP="7A495620">
            <w:pPr>
              <w:spacing w:after="0"/>
              <w:jc w:val="left"/>
              <w:rPr>
                <w:b/>
                <w:bCs/>
                <w:color w:val="000000" w:themeColor="text1"/>
                <w:sz w:val="14"/>
                <w:szCs w:val="14"/>
              </w:rPr>
            </w:pPr>
            <w:r w:rsidRPr="7A495620">
              <w:rPr>
                <w:b/>
                <w:bCs/>
                <w:color w:val="000000" w:themeColor="text1"/>
                <w:sz w:val="14"/>
                <w:szCs w:val="14"/>
              </w:rPr>
              <w:t>Jövedelempótló és jövedelemkiegészítő szociális támogatások</w:t>
            </w:r>
          </w:p>
        </w:tc>
        <w:tc>
          <w:tcPr>
            <w:tcW w:w="980" w:type="dxa"/>
            <w:tcBorders>
              <w:top w:val="nil"/>
              <w:left w:val="nil"/>
              <w:bottom w:val="single" w:sz="4" w:space="0" w:color="auto"/>
              <w:right w:val="single" w:sz="4" w:space="0" w:color="auto"/>
            </w:tcBorders>
            <w:shd w:val="clear" w:color="auto" w:fill="auto"/>
            <w:noWrap/>
            <w:vAlign w:val="bottom"/>
            <w:hideMark/>
          </w:tcPr>
          <w:p w14:paraId="4007E3AD" w14:textId="77777777" w:rsidR="00400522" w:rsidRPr="00400522" w:rsidRDefault="7A495620" w:rsidP="7A495620">
            <w:pPr>
              <w:spacing w:after="0"/>
              <w:jc w:val="right"/>
              <w:rPr>
                <w:b/>
                <w:bCs/>
                <w:sz w:val="14"/>
                <w:szCs w:val="14"/>
              </w:rPr>
            </w:pPr>
            <w:r w:rsidRPr="7A495620">
              <w:rPr>
                <w:b/>
                <w:bCs/>
                <w:sz w:val="14"/>
                <w:szCs w:val="14"/>
              </w:rPr>
              <w:t>34,8</w:t>
            </w:r>
          </w:p>
        </w:tc>
        <w:tc>
          <w:tcPr>
            <w:tcW w:w="960" w:type="dxa"/>
            <w:tcBorders>
              <w:top w:val="nil"/>
              <w:left w:val="nil"/>
              <w:bottom w:val="single" w:sz="4" w:space="0" w:color="auto"/>
              <w:right w:val="single" w:sz="4" w:space="0" w:color="auto"/>
            </w:tcBorders>
            <w:shd w:val="clear" w:color="auto" w:fill="auto"/>
            <w:noWrap/>
            <w:vAlign w:val="bottom"/>
            <w:hideMark/>
          </w:tcPr>
          <w:p w14:paraId="09B62E41" w14:textId="77777777" w:rsidR="00400522" w:rsidRPr="00400522" w:rsidRDefault="7A495620" w:rsidP="7A495620">
            <w:pPr>
              <w:spacing w:after="0"/>
              <w:jc w:val="right"/>
              <w:rPr>
                <w:b/>
                <w:bCs/>
                <w:sz w:val="14"/>
                <w:szCs w:val="14"/>
              </w:rPr>
            </w:pPr>
            <w:r w:rsidRPr="7A495620">
              <w:rPr>
                <w:b/>
                <w:bCs/>
                <w:sz w:val="14"/>
                <w:szCs w:val="14"/>
              </w:rPr>
              <w:t>41,8</w:t>
            </w:r>
          </w:p>
        </w:tc>
        <w:tc>
          <w:tcPr>
            <w:tcW w:w="807" w:type="dxa"/>
            <w:tcBorders>
              <w:top w:val="nil"/>
              <w:left w:val="nil"/>
              <w:bottom w:val="single" w:sz="4" w:space="0" w:color="auto"/>
              <w:right w:val="single" w:sz="4" w:space="0" w:color="auto"/>
            </w:tcBorders>
            <w:shd w:val="clear" w:color="auto" w:fill="auto"/>
            <w:noWrap/>
            <w:vAlign w:val="bottom"/>
            <w:hideMark/>
          </w:tcPr>
          <w:p w14:paraId="2D193540" w14:textId="77777777" w:rsidR="00400522" w:rsidRPr="00400522" w:rsidRDefault="7A495620" w:rsidP="7A495620">
            <w:pPr>
              <w:spacing w:after="0"/>
              <w:jc w:val="right"/>
              <w:rPr>
                <w:b/>
                <w:bCs/>
                <w:sz w:val="14"/>
                <w:szCs w:val="14"/>
              </w:rPr>
            </w:pPr>
            <w:r w:rsidRPr="7A495620">
              <w:rPr>
                <w:b/>
                <w:bCs/>
                <w:sz w:val="14"/>
                <w:szCs w:val="14"/>
              </w:rPr>
              <w:t>7,0</w:t>
            </w:r>
          </w:p>
        </w:tc>
        <w:tc>
          <w:tcPr>
            <w:tcW w:w="593" w:type="dxa"/>
            <w:tcBorders>
              <w:top w:val="nil"/>
              <w:left w:val="nil"/>
              <w:bottom w:val="single" w:sz="4" w:space="0" w:color="auto"/>
              <w:right w:val="single" w:sz="4" w:space="0" w:color="auto"/>
            </w:tcBorders>
            <w:shd w:val="clear" w:color="auto" w:fill="auto"/>
            <w:noWrap/>
            <w:vAlign w:val="bottom"/>
            <w:hideMark/>
          </w:tcPr>
          <w:p w14:paraId="3B1CB696" w14:textId="77777777" w:rsidR="00400522" w:rsidRPr="00400522" w:rsidRDefault="7A495620" w:rsidP="7A495620">
            <w:pPr>
              <w:spacing w:after="0"/>
              <w:jc w:val="right"/>
              <w:rPr>
                <w:b/>
                <w:bCs/>
                <w:sz w:val="14"/>
                <w:szCs w:val="14"/>
              </w:rPr>
            </w:pPr>
            <w:r w:rsidRPr="7A495620">
              <w:rPr>
                <w:b/>
                <w:bCs/>
                <w:sz w:val="14"/>
                <w:szCs w:val="14"/>
              </w:rPr>
              <w:t>120,1</w:t>
            </w:r>
          </w:p>
        </w:tc>
      </w:tr>
      <w:tr w:rsidR="00400522" w:rsidRPr="00400522" w14:paraId="606C69AD"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9812D60" w14:textId="77777777" w:rsidR="00400522" w:rsidRPr="00400522" w:rsidRDefault="7A495620" w:rsidP="7A495620">
            <w:pPr>
              <w:spacing w:after="0"/>
              <w:ind w:firstLineChars="100" w:firstLine="140"/>
              <w:jc w:val="left"/>
              <w:rPr>
                <w:i/>
                <w:iCs/>
                <w:color w:val="000000" w:themeColor="text1"/>
                <w:sz w:val="14"/>
                <w:szCs w:val="14"/>
              </w:rPr>
            </w:pPr>
            <w:r w:rsidRPr="7A495620">
              <w:rPr>
                <w:i/>
                <w:iCs/>
                <w:color w:val="000000" w:themeColor="text1"/>
                <w:sz w:val="14"/>
                <w:szCs w:val="14"/>
              </w:rPr>
              <w:t>Ebből:</w:t>
            </w:r>
          </w:p>
        </w:tc>
        <w:tc>
          <w:tcPr>
            <w:tcW w:w="980" w:type="dxa"/>
            <w:tcBorders>
              <w:top w:val="nil"/>
              <w:left w:val="nil"/>
              <w:bottom w:val="single" w:sz="4" w:space="0" w:color="auto"/>
              <w:right w:val="single" w:sz="4" w:space="0" w:color="auto"/>
            </w:tcBorders>
            <w:shd w:val="clear" w:color="auto" w:fill="auto"/>
            <w:noWrap/>
            <w:vAlign w:val="bottom"/>
            <w:hideMark/>
          </w:tcPr>
          <w:p w14:paraId="0BB67A38" w14:textId="77777777" w:rsidR="00400522" w:rsidRPr="00400522" w:rsidRDefault="7A495620" w:rsidP="7A495620">
            <w:pPr>
              <w:spacing w:after="0"/>
              <w:jc w:val="right"/>
              <w:rPr>
                <w:sz w:val="14"/>
                <w:szCs w:val="14"/>
              </w:rPr>
            </w:pPr>
            <w:r w:rsidRPr="7A495620">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727B6E9D" w14:textId="77777777" w:rsidR="00400522" w:rsidRPr="00400522" w:rsidRDefault="7A495620" w:rsidP="7A495620">
            <w:pPr>
              <w:spacing w:after="0"/>
              <w:jc w:val="right"/>
              <w:rPr>
                <w:sz w:val="14"/>
                <w:szCs w:val="14"/>
              </w:rPr>
            </w:pPr>
            <w:r w:rsidRPr="7A495620">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044F66B0" w14:textId="77777777" w:rsidR="00400522" w:rsidRPr="00400522" w:rsidRDefault="7A495620" w:rsidP="7A495620">
            <w:pPr>
              <w:spacing w:after="0"/>
              <w:jc w:val="right"/>
              <w:rPr>
                <w:sz w:val="14"/>
                <w:szCs w:val="14"/>
              </w:rPr>
            </w:pPr>
            <w:r w:rsidRPr="7A495620">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752325C2" w14:textId="77777777" w:rsidR="00400522" w:rsidRPr="00400522" w:rsidRDefault="7A495620" w:rsidP="7A495620">
            <w:pPr>
              <w:spacing w:after="0"/>
              <w:jc w:val="right"/>
              <w:rPr>
                <w:b/>
                <w:bCs/>
                <w:sz w:val="14"/>
                <w:szCs w:val="14"/>
              </w:rPr>
            </w:pPr>
            <w:r w:rsidRPr="7A495620">
              <w:rPr>
                <w:b/>
                <w:bCs/>
                <w:sz w:val="14"/>
                <w:szCs w:val="14"/>
              </w:rPr>
              <w:t> </w:t>
            </w:r>
          </w:p>
        </w:tc>
      </w:tr>
      <w:tr w:rsidR="00400522" w:rsidRPr="00400522" w14:paraId="7DAECEA3"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3A1F08C2" w14:textId="77777777" w:rsidR="00400522" w:rsidRPr="00400522" w:rsidRDefault="7A495620" w:rsidP="7A495620">
            <w:pPr>
              <w:spacing w:after="0"/>
              <w:ind w:firstLineChars="400" w:firstLine="560"/>
              <w:jc w:val="left"/>
              <w:rPr>
                <w:i/>
                <w:iCs/>
                <w:color w:val="000000" w:themeColor="text1"/>
                <w:sz w:val="14"/>
                <w:szCs w:val="14"/>
              </w:rPr>
            </w:pPr>
            <w:r w:rsidRPr="7A495620">
              <w:rPr>
                <w:i/>
                <w:iCs/>
                <w:color w:val="000000" w:themeColor="text1"/>
                <w:sz w:val="14"/>
                <w:szCs w:val="14"/>
              </w:rPr>
              <w:t>Jövedelempótló és jövedelemkiegészítő ellátások</w:t>
            </w:r>
          </w:p>
        </w:tc>
        <w:tc>
          <w:tcPr>
            <w:tcW w:w="980" w:type="dxa"/>
            <w:tcBorders>
              <w:top w:val="nil"/>
              <w:left w:val="nil"/>
              <w:bottom w:val="single" w:sz="4" w:space="0" w:color="auto"/>
              <w:right w:val="single" w:sz="4" w:space="0" w:color="auto"/>
            </w:tcBorders>
            <w:shd w:val="clear" w:color="auto" w:fill="auto"/>
            <w:noWrap/>
            <w:vAlign w:val="bottom"/>
            <w:hideMark/>
          </w:tcPr>
          <w:p w14:paraId="539FDE6E" w14:textId="77777777" w:rsidR="00400522" w:rsidRPr="00400522" w:rsidRDefault="7A495620" w:rsidP="7A495620">
            <w:pPr>
              <w:spacing w:after="0"/>
              <w:jc w:val="right"/>
              <w:rPr>
                <w:sz w:val="14"/>
                <w:szCs w:val="14"/>
              </w:rPr>
            </w:pPr>
            <w:r w:rsidRPr="7A495620">
              <w:rPr>
                <w:sz w:val="14"/>
                <w:szCs w:val="14"/>
              </w:rPr>
              <w:t>14,5</w:t>
            </w:r>
          </w:p>
        </w:tc>
        <w:tc>
          <w:tcPr>
            <w:tcW w:w="960" w:type="dxa"/>
            <w:tcBorders>
              <w:top w:val="nil"/>
              <w:left w:val="nil"/>
              <w:bottom w:val="single" w:sz="4" w:space="0" w:color="auto"/>
              <w:right w:val="single" w:sz="4" w:space="0" w:color="auto"/>
            </w:tcBorders>
            <w:shd w:val="clear" w:color="auto" w:fill="auto"/>
            <w:noWrap/>
            <w:vAlign w:val="bottom"/>
            <w:hideMark/>
          </w:tcPr>
          <w:p w14:paraId="372507A4" w14:textId="77777777" w:rsidR="00400522" w:rsidRPr="00400522" w:rsidRDefault="7A495620" w:rsidP="7A495620">
            <w:pPr>
              <w:spacing w:after="0"/>
              <w:jc w:val="right"/>
              <w:rPr>
                <w:sz w:val="14"/>
                <w:szCs w:val="14"/>
              </w:rPr>
            </w:pPr>
            <w:r w:rsidRPr="7A495620">
              <w:rPr>
                <w:sz w:val="14"/>
                <w:szCs w:val="14"/>
              </w:rPr>
              <w:t>18,3</w:t>
            </w:r>
          </w:p>
        </w:tc>
        <w:tc>
          <w:tcPr>
            <w:tcW w:w="807" w:type="dxa"/>
            <w:tcBorders>
              <w:top w:val="nil"/>
              <w:left w:val="nil"/>
              <w:bottom w:val="single" w:sz="4" w:space="0" w:color="auto"/>
              <w:right w:val="single" w:sz="4" w:space="0" w:color="auto"/>
            </w:tcBorders>
            <w:shd w:val="clear" w:color="auto" w:fill="auto"/>
            <w:noWrap/>
            <w:vAlign w:val="bottom"/>
            <w:hideMark/>
          </w:tcPr>
          <w:p w14:paraId="22A2E4B7" w14:textId="77777777" w:rsidR="00400522" w:rsidRPr="00400522" w:rsidRDefault="7A495620" w:rsidP="7A495620">
            <w:pPr>
              <w:spacing w:after="0"/>
              <w:jc w:val="right"/>
              <w:rPr>
                <w:sz w:val="14"/>
                <w:szCs w:val="14"/>
              </w:rPr>
            </w:pPr>
            <w:r w:rsidRPr="7A495620">
              <w:rPr>
                <w:sz w:val="14"/>
                <w:szCs w:val="14"/>
              </w:rPr>
              <w:t>3,8</w:t>
            </w:r>
          </w:p>
        </w:tc>
        <w:tc>
          <w:tcPr>
            <w:tcW w:w="593" w:type="dxa"/>
            <w:tcBorders>
              <w:top w:val="nil"/>
              <w:left w:val="nil"/>
              <w:bottom w:val="single" w:sz="4" w:space="0" w:color="auto"/>
              <w:right w:val="single" w:sz="4" w:space="0" w:color="auto"/>
            </w:tcBorders>
            <w:shd w:val="clear" w:color="auto" w:fill="auto"/>
            <w:noWrap/>
            <w:vAlign w:val="bottom"/>
            <w:hideMark/>
          </w:tcPr>
          <w:p w14:paraId="5E2CF48E" w14:textId="77777777" w:rsidR="00400522" w:rsidRPr="00400522" w:rsidRDefault="7A495620" w:rsidP="7A495620">
            <w:pPr>
              <w:spacing w:after="0"/>
              <w:jc w:val="right"/>
              <w:rPr>
                <w:sz w:val="14"/>
                <w:szCs w:val="14"/>
              </w:rPr>
            </w:pPr>
            <w:r w:rsidRPr="7A495620">
              <w:rPr>
                <w:sz w:val="14"/>
                <w:szCs w:val="14"/>
              </w:rPr>
              <w:t>126,2</w:t>
            </w:r>
          </w:p>
        </w:tc>
      </w:tr>
      <w:tr w:rsidR="00400522" w:rsidRPr="00400522" w14:paraId="09870A43"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14:paraId="363A485D" w14:textId="77777777" w:rsidR="00400522" w:rsidRPr="00400522" w:rsidRDefault="7A495620" w:rsidP="7A495620">
            <w:pPr>
              <w:spacing w:after="0"/>
              <w:ind w:firstLineChars="400" w:firstLine="560"/>
              <w:jc w:val="left"/>
              <w:rPr>
                <w:i/>
                <w:iCs/>
                <w:color w:val="000000" w:themeColor="text1"/>
                <w:sz w:val="14"/>
                <w:szCs w:val="14"/>
              </w:rPr>
            </w:pPr>
            <w:r w:rsidRPr="7A495620">
              <w:rPr>
                <w:i/>
                <w:iCs/>
                <w:color w:val="000000" w:themeColor="text1"/>
                <w:sz w:val="14"/>
                <w:szCs w:val="14"/>
              </w:rPr>
              <w:t>Járási szociális feladatok ellátása</w:t>
            </w:r>
          </w:p>
        </w:tc>
        <w:tc>
          <w:tcPr>
            <w:tcW w:w="980" w:type="dxa"/>
            <w:tcBorders>
              <w:top w:val="nil"/>
              <w:left w:val="nil"/>
              <w:bottom w:val="single" w:sz="4" w:space="0" w:color="auto"/>
              <w:right w:val="single" w:sz="4" w:space="0" w:color="auto"/>
            </w:tcBorders>
            <w:shd w:val="clear" w:color="auto" w:fill="auto"/>
            <w:noWrap/>
            <w:vAlign w:val="bottom"/>
            <w:hideMark/>
          </w:tcPr>
          <w:p w14:paraId="74F6E914" w14:textId="77777777" w:rsidR="00400522" w:rsidRPr="00400522" w:rsidRDefault="7A495620" w:rsidP="7A495620">
            <w:pPr>
              <w:spacing w:after="0"/>
              <w:jc w:val="right"/>
              <w:rPr>
                <w:sz w:val="14"/>
                <w:szCs w:val="14"/>
              </w:rPr>
            </w:pPr>
            <w:r w:rsidRPr="7A495620">
              <w:rPr>
                <w:sz w:val="14"/>
                <w:szCs w:val="14"/>
              </w:rPr>
              <w:t>20,3</w:t>
            </w:r>
          </w:p>
        </w:tc>
        <w:tc>
          <w:tcPr>
            <w:tcW w:w="960" w:type="dxa"/>
            <w:tcBorders>
              <w:top w:val="nil"/>
              <w:left w:val="nil"/>
              <w:bottom w:val="single" w:sz="4" w:space="0" w:color="auto"/>
              <w:right w:val="single" w:sz="4" w:space="0" w:color="auto"/>
            </w:tcBorders>
            <w:shd w:val="clear" w:color="auto" w:fill="auto"/>
            <w:noWrap/>
            <w:vAlign w:val="bottom"/>
            <w:hideMark/>
          </w:tcPr>
          <w:p w14:paraId="3F58A78A" w14:textId="77777777" w:rsidR="00400522" w:rsidRPr="00400522" w:rsidRDefault="7A495620" w:rsidP="7A495620">
            <w:pPr>
              <w:spacing w:after="0"/>
              <w:jc w:val="right"/>
              <w:rPr>
                <w:sz w:val="14"/>
                <w:szCs w:val="14"/>
              </w:rPr>
            </w:pPr>
            <w:r w:rsidRPr="7A495620">
              <w:rPr>
                <w:sz w:val="14"/>
                <w:szCs w:val="14"/>
              </w:rPr>
              <w:t>23,5</w:t>
            </w:r>
          </w:p>
        </w:tc>
        <w:tc>
          <w:tcPr>
            <w:tcW w:w="807" w:type="dxa"/>
            <w:tcBorders>
              <w:top w:val="nil"/>
              <w:left w:val="nil"/>
              <w:bottom w:val="single" w:sz="4" w:space="0" w:color="auto"/>
              <w:right w:val="single" w:sz="4" w:space="0" w:color="auto"/>
            </w:tcBorders>
            <w:shd w:val="clear" w:color="auto" w:fill="auto"/>
            <w:noWrap/>
            <w:vAlign w:val="bottom"/>
            <w:hideMark/>
          </w:tcPr>
          <w:p w14:paraId="47203BF7" w14:textId="77777777" w:rsidR="00400522" w:rsidRPr="00400522" w:rsidRDefault="7A495620" w:rsidP="7A495620">
            <w:pPr>
              <w:spacing w:after="0"/>
              <w:jc w:val="right"/>
              <w:rPr>
                <w:sz w:val="14"/>
                <w:szCs w:val="14"/>
              </w:rPr>
            </w:pPr>
            <w:r w:rsidRPr="7A495620">
              <w:rPr>
                <w:sz w:val="14"/>
                <w:szCs w:val="14"/>
              </w:rPr>
              <w:t>3,2</w:t>
            </w:r>
          </w:p>
        </w:tc>
        <w:tc>
          <w:tcPr>
            <w:tcW w:w="593" w:type="dxa"/>
            <w:tcBorders>
              <w:top w:val="nil"/>
              <w:left w:val="nil"/>
              <w:bottom w:val="single" w:sz="4" w:space="0" w:color="auto"/>
              <w:right w:val="single" w:sz="4" w:space="0" w:color="auto"/>
            </w:tcBorders>
            <w:shd w:val="clear" w:color="auto" w:fill="auto"/>
            <w:noWrap/>
            <w:vAlign w:val="bottom"/>
            <w:hideMark/>
          </w:tcPr>
          <w:p w14:paraId="3AA93C9C" w14:textId="77777777" w:rsidR="00400522" w:rsidRPr="00400522" w:rsidRDefault="7A495620" w:rsidP="7A495620">
            <w:pPr>
              <w:spacing w:after="0"/>
              <w:jc w:val="right"/>
              <w:rPr>
                <w:sz w:val="14"/>
                <w:szCs w:val="14"/>
              </w:rPr>
            </w:pPr>
            <w:r w:rsidRPr="7A495620">
              <w:rPr>
                <w:sz w:val="14"/>
                <w:szCs w:val="14"/>
              </w:rPr>
              <w:t>115,8</w:t>
            </w:r>
          </w:p>
        </w:tc>
      </w:tr>
      <w:tr w:rsidR="00400522" w:rsidRPr="00400522" w14:paraId="1F69A2C4"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1CA15ACC" w14:textId="77777777" w:rsidR="00400522" w:rsidRPr="00400522" w:rsidRDefault="7A495620" w:rsidP="7A495620">
            <w:pPr>
              <w:spacing w:after="0"/>
              <w:jc w:val="left"/>
              <w:rPr>
                <w:b/>
                <w:bCs/>
                <w:color w:val="000000" w:themeColor="text1"/>
                <w:sz w:val="14"/>
                <w:szCs w:val="14"/>
              </w:rPr>
            </w:pPr>
            <w:r w:rsidRPr="7A495620">
              <w:rPr>
                <w:b/>
                <w:bCs/>
                <w:color w:val="000000" w:themeColor="text1"/>
                <w:sz w:val="14"/>
                <w:szCs w:val="14"/>
              </w:rPr>
              <w:t>Különféle jogcímen adott térítések</w:t>
            </w:r>
          </w:p>
        </w:tc>
        <w:tc>
          <w:tcPr>
            <w:tcW w:w="980" w:type="dxa"/>
            <w:tcBorders>
              <w:top w:val="nil"/>
              <w:left w:val="nil"/>
              <w:bottom w:val="single" w:sz="4" w:space="0" w:color="auto"/>
              <w:right w:val="single" w:sz="4" w:space="0" w:color="auto"/>
            </w:tcBorders>
            <w:shd w:val="clear" w:color="auto" w:fill="auto"/>
            <w:noWrap/>
            <w:vAlign w:val="bottom"/>
            <w:hideMark/>
          </w:tcPr>
          <w:p w14:paraId="75250F42" w14:textId="77777777" w:rsidR="00400522" w:rsidRPr="00400522" w:rsidRDefault="7A495620" w:rsidP="7A495620">
            <w:pPr>
              <w:spacing w:after="0"/>
              <w:jc w:val="right"/>
              <w:rPr>
                <w:b/>
                <w:bCs/>
                <w:sz w:val="14"/>
                <w:szCs w:val="14"/>
              </w:rPr>
            </w:pPr>
            <w:r w:rsidRPr="7A495620">
              <w:rPr>
                <w:b/>
                <w:bCs/>
                <w:sz w:val="14"/>
                <w:szCs w:val="14"/>
              </w:rPr>
              <w:t>6,1</w:t>
            </w:r>
          </w:p>
        </w:tc>
        <w:tc>
          <w:tcPr>
            <w:tcW w:w="960" w:type="dxa"/>
            <w:tcBorders>
              <w:top w:val="nil"/>
              <w:left w:val="nil"/>
              <w:bottom w:val="single" w:sz="4" w:space="0" w:color="auto"/>
              <w:right w:val="single" w:sz="4" w:space="0" w:color="auto"/>
            </w:tcBorders>
            <w:shd w:val="clear" w:color="auto" w:fill="auto"/>
            <w:noWrap/>
            <w:vAlign w:val="bottom"/>
            <w:hideMark/>
          </w:tcPr>
          <w:p w14:paraId="29C75E4C" w14:textId="77777777" w:rsidR="00400522" w:rsidRPr="00400522" w:rsidRDefault="7A495620" w:rsidP="7A495620">
            <w:pPr>
              <w:spacing w:after="0"/>
              <w:jc w:val="right"/>
              <w:rPr>
                <w:b/>
                <w:bCs/>
                <w:sz w:val="14"/>
                <w:szCs w:val="14"/>
              </w:rPr>
            </w:pPr>
            <w:r w:rsidRPr="7A495620">
              <w:rPr>
                <w:b/>
                <w:bCs/>
                <w:sz w:val="14"/>
                <w:szCs w:val="14"/>
              </w:rPr>
              <w:t>6,2</w:t>
            </w:r>
          </w:p>
        </w:tc>
        <w:tc>
          <w:tcPr>
            <w:tcW w:w="807" w:type="dxa"/>
            <w:tcBorders>
              <w:top w:val="nil"/>
              <w:left w:val="nil"/>
              <w:bottom w:val="single" w:sz="4" w:space="0" w:color="auto"/>
              <w:right w:val="single" w:sz="4" w:space="0" w:color="auto"/>
            </w:tcBorders>
            <w:shd w:val="clear" w:color="auto" w:fill="auto"/>
            <w:noWrap/>
            <w:vAlign w:val="bottom"/>
            <w:hideMark/>
          </w:tcPr>
          <w:p w14:paraId="60796518" w14:textId="77777777" w:rsidR="00400522" w:rsidRPr="00400522" w:rsidRDefault="7A495620" w:rsidP="7A495620">
            <w:pPr>
              <w:spacing w:after="0"/>
              <w:jc w:val="right"/>
              <w:rPr>
                <w:b/>
                <w:bCs/>
                <w:sz w:val="14"/>
                <w:szCs w:val="14"/>
              </w:rPr>
            </w:pPr>
            <w:r w:rsidRPr="7A495620">
              <w:rPr>
                <w:b/>
                <w:bCs/>
                <w:sz w:val="14"/>
                <w:szCs w:val="14"/>
              </w:rPr>
              <w:t>0,1</w:t>
            </w:r>
          </w:p>
        </w:tc>
        <w:tc>
          <w:tcPr>
            <w:tcW w:w="593" w:type="dxa"/>
            <w:tcBorders>
              <w:top w:val="nil"/>
              <w:left w:val="nil"/>
              <w:bottom w:val="single" w:sz="4" w:space="0" w:color="auto"/>
              <w:right w:val="single" w:sz="4" w:space="0" w:color="auto"/>
            </w:tcBorders>
            <w:shd w:val="clear" w:color="auto" w:fill="auto"/>
            <w:noWrap/>
            <w:vAlign w:val="bottom"/>
            <w:hideMark/>
          </w:tcPr>
          <w:p w14:paraId="2C28419B" w14:textId="77777777" w:rsidR="00400522" w:rsidRPr="00400522" w:rsidRDefault="7A495620" w:rsidP="7A495620">
            <w:pPr>
              <w:spacing w:after="0"/>
              <w:jc w:val="right"/>
              <w:rPr>
                <w:b/>
                <w:bCs/>
                <w:sz w:val="14"/>
                <w:szCs w:val="14"/>
              </w:rPr>
            </w:pPr>
            <w:r w:rsidRPr="7A495620">
              <w:rPr>
                <w:b/>
                <w:bCs/>
                <w:sz w:val="14"/>
                <w:szCs w:val="14"/>
              </w:rPr>
              <w:t>101,6</w:t>
            </w:r>
          </w:p>
        </w:tc>
      </w:tr>
      <w:tr w:rsidR="00400522" w:rsidRPr="00400522" w14:paraId="1E42174E"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3295E94F" w14:textId="77777777" w:rsidR="00400522" w:rsidRPr="00400522" w:rsidRDefault="7A495620" w:rsidP="7A495620">
            <w:pPr>
              <w:spacing w:after="0"/>
              <w:ind w:firstLineChars="100" w:firstLine="140"/>
              <w:jc w:val="left"/>
              <w:rPr>
                <w:i/>
                <w:iCs/>
                <w:color w:val="000000" w:themeColor="text1"/>
                <w:sz w:val="14"/>
                <w:szCs w:val="14"/>
              </w:rPr>
            </w:pPr>
            <w:r w:rsidRPr="7A495620">
              <w:rPr>
                <w:i/>
                <w:iCs/>
                <w:color w:val="000000" w:themeColor="text1"/>
                <w:sz w:val="14"/>
                <w:szCs w:val="14"/>
              </w:rPr>
              <w:t xml:space="preserve">Ebből: </w:t>
            </w:r>
          </w:p>
        </w:tc>
        <w:tc>
          <w:tcPr>
            <w:tcW w:w="980" w:type="dxa"/>
            <w:tcBorders>
              <w:top w:val="nil"/>
              <w:left w:val="nil"/>
              <w:bottom w:val="single" w:sz="4" w:space="0" w:color="auto"/>
              <w:right w:val="single" w:sz="4" w:space="0" w:color="auto"/>
            </w:tcBorders>
            <w:shd w:val="clear" w:color="auto" w:fill="auto"/>
            <w:noWrap/>
            <w:vAlign w:val="bottom"/>
            <w:hideMark/>
          </w:tcPr>
          <w:p w14:paraId="3C2446B4" w14:textId="77777777" w:rsidR="00400522" w:rsidRPr="00400522" w:rsidRDefault="7A495620" w:rsidP="7A495620">
            <w:pPr>
              <w:spacing w:after="0"/>
              <w:jc w:val="right"/>
              <w:rPr>
                <w:sz w:val="14"/>
                <w:szCs w:val="14"/>
              </w:rPr>
            </w:pPr>
            <w:r w:rsidRPr="7A495620">
              <w:rPr>
                <w:sz w:val="14"/>
                <w:szCs w:val="14"/>
              </w:rPr>
              <w:t> </w:t>
            </w:r>
          </w:p>
        </w:tc>
        <w:tc>
          <w:tcPr>
            <w:tcW w:w="960" w:type="dxa"/>
            <w:tcBorders>
              <w:top w:val="nil"/>
              <w:left w:val="nil"/>
              <w:bottom w:val="single" w:sz="4" w:space="0" w:color="auto"/>
              <w:right w:val="single" w:sz="4" w:space="0" w:color="auto"/>
            </w:tcBorders>
            <w:shd w:val="clear" w:color="auto" w:fill="auto"/>
            <w:noWrap/>
            <w:vAlign w:val="bottom"/>
            <w:hideMark/>
          </w:tcPr>
          <w:p w14:paraId="56B93A69" w14:textId="77777777" w:rsidR="00400522" w:rsidRPr="00400522" w:rsidRDefault="7A495620" w:rsidP="7A495620">
            <w:pPr>
              <w:spacing w:after="0"/>
              <w:jc w:val="right"/>
              <w:rPr>
                <w:sz w:val="14"/>
                <w:szCs w:val="14"/>
              </w:rPr>
            </w:pPr>
            <w:r w:rsidRPr="7A495620">
              <w:rPr>
                <w:sz w:val="14"/>
                <w:szCs w:val="14"/>
              </w:rPr>
              <w:t> </w:t>
            </w:r>
          </w:p>
        </w:tc>
        <w:tc>
          <w:tcPr>
            <w:tcW w:w="807" w:type="dxa"/>
            <w:tcBorders>
              <w:top w:val="nil"/>
              <w:left w:val="nil"/>
              <w:bottom w:val="single" w:sz="4" w:space="0" w:color="auto"/>
              <w:right w:val="single" w:sz="4" w:space="0" w:color="auto"/>
            </w:tcBorders>
            <w:shd w:val="clear" w:color="auto" w:fill="auto"/>
            <w:noWrap/>
            <w:vAlign w:val="bottom"/>
            <w:hideMark/>
          </w:tcPr>
          <w:p w14:paraId="1B02B1E0" w14:textId="77777777" w:rsidR="00400522" w:rsidRPr="00400522" w:rsidRDefault="7A495620" w:rsidP="7A495620">
            <w:pPr>
              <w:spacing w:after="0"/>
              <w:jc w:val="right"/>
              <w:rPr>
                <w:sz w:val="14"/>
                <w:szCs w:val="14"/>
              </w:rPr>
            </w:pPr>
            <w:r w:rsidRPr="7A495620">
              <w:rPr>
                <w:sz w:val="14"/>
                <w:szCs w:val="14"/>
              </w:rPr>
              <w:t> </w:t>
            </w:r>
          </w:p>
        </w:tc>
        <w:tc>
          <w:tcPr>
            <w:tcW w:w="593" w:type="dxa"/>
            <w:tcBorders>
              <w:top w:val="nil"/>
              <w:left w:val="nil"/>
              <w:bottom w:val="single" w:sz="4" w:space="0" w:color="auto"/>
              <w:right w:val="single" w:sz="4" w:space="0" w:color="auto"/>
            </w:tcBorders>
            <w:shd w:val="clear" w:color="auto" w:fill="auto"/>
            <w:noWrap/>
            <w:vAlign w:val="bottom"/>
            <w:hideMark/>
          </w:tcPr>
          <w:p w14:paraId="516EAF26" w14:textId="77777777" w:rsidR="00400522" w:rsidRPr="00400522" w:rsidRDefault="7A495620" w:rsidP="7A495620">
            <w:pPr>
              <w:spacing w:after="0"/>
              <w:jc w:val="right"/>
              <w:rPr>
                <w:sz w:val="14"/>
                <w:szCs w:val="14"/>
              </w:rPr>
            </w:pPr>
            <w:r w:rsidRPr="7A495620">
              <w:rPr>
                <w:sz w:val="14"/>
                <w:szCs w:val="14"/>
              </w:rPr>
              <w:t> </w:t>
            </w:r>
          </w:p>
        </w:tc>
      </w:tr>
      <w:tr w:rsidR="00400522" w:rsidRPr="00400522" w14:paraId="22F58739"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884BE49" w14:textId="77777777" w:rsidR="00400522" w:rsidRPr="00400522" w:rsidRDefault="7A495620" w:rsidP="7A495620">
            <w:pPr>
              <w:spacing w:after="0"/>
              <w:ind w:firstLineChars="400" w:firstLine="560"/>
              <w:jc w:val="left"/>
              <w:rPr>
                <w:i/>
                <w:iCs/>
                <w:color w:val="000000" w:themeColor="text1"/>
                <w:sz w:val="14"/>
                <w:szCs w:val="14"/>
              </w:rPr>
            </w:pPr>
            <w:r w:rsidRPr="7A495620">
              <w:rPr>
                <w:i/>
                <w:iCs/>
                <w:color w:val="000000" w:themeColor="text1"/>
                <w:sz w:val="14"/>
                <w:szCs w:val="14"/>
              </w:rPr>
              <w:t>közgyógyellátás</w:t>
            </w:r>
          </w:p>
        </w:tc>
        <w:tc>
          <w:tcPr>
            <w:tcW w:w="980" w:type="dxa"/>
            <w:tcBorders>
              <w:top w:val="nil"/>
              <w:left w:val="nil"/>
              <w:bottom w:val="single" w:sz="4" w:space="0" w:color="auto"/>
              <w:right w:val="single" w:sz="4" w:space="0" w:color="auto"/>
            </w:tcBorders>
            <w:shd w:val="clear" w:color="auto" w:fill="auto"/>
            <w:noWrap/>
            <w:vAlign w:val="bottom"/>
            <w:hideMark/>
          </w:tcPr>
          <w:p w14:paraId="4784E424" w14:textId="77777777" w:rsidR="00400522" w:rsidRPr="00400522" w:rsidRDefault="7A495620" w:rsidP="7A495620">
            <w:pPr>
              <w:spacing w:after="0"/>
              <w:jc w:val="right"/>
              <w:rPr>
                <w:sz w:val="14"/>
                <w:szCs w:val="14"/>
              </w:rPr>
            </w:pPr>
            <w:r w:rsidRPr="7A495620">
              <w:rPr>
                <w:sz w:val="14"/>
                <w:szCs w:val="14"/>
              </w:rPr>
              <w:t>4,3</w:t>
            </w:r>
          </w:p>
        </w:tc>
        <w:tc>
          <w:tcPr>
            <w:tcW w:w="960" w:type="dxa"/>
            <w:tcBorders>
              <w:top w:val="nil"/>
              <w:left w:val="nil"/>
              <w:bottom w:val="single" w:sz="4" w:space="0" w:color="auto"/>
              <w:right w:val="single" w:sz="4" w:space="0" w:color="auto"/>
            </w:tcBorders>
            <w:shd w:val="clear" w:color="auto" w:fill="auto"/>
            <w:noWrap/>
            <w:vAlign w:val="bottom"/>
            <w:hideMark/>
          </w:tcPr>
          <w:p w14:paraId="503108F3" w14:textId="77777777" w:rsidR="00400522" w:rsidRPr="00400522" w:rsidRDefault="7A495620" w:rsidP="7A495620">
            <w:pPr>
              <w:spacing w:after="0"/>
              <w:jc w:val="right"/>
              <w:rPr>
                <w:sz w:val="14"/>
                <w:szCs w:val="14"/>
              </w:rPr>
            </w:pPr>
            <w:r w:rsidRPr="7A495620">
              <w:rPr>
                <w:sz w:val="14"/>
                <w:szCs w:val="14"/>
              </w:rPr>
              <w:t>4,3</w:t>
            </w:r>
          </w:p>
        </w:tc>
        <w:tc>
          <w:tcPr>
            <w:tcW w:w="807" w:type="dxa"/>
            <w:tcBorders>
              <w:top w:val="nil"/>
              <w:left w:val="nil"/>
              <w:bottom w:val="single" w:sz="4" w:space="0" w:color="auto"/>
              <w:right w:val="single" w:sz="4" w:space="0" w:color="auto"/>
            </w:tcBorders>
            <w:shd w:val="clear" w:color="auto" w:fill="auto"/>
            <w:noWrap/>
            <w:vAlign w:val="bottom"/>
            <w:hideMark/>
          </w:tcPr>
          <w:p w14:paraId="0431443F" w14:textId="77777777" w:rsidR="00400522" w:rsidRPr="00400522" w:rsidRDefault="7A495620" w:rsidP="7A495620">
            <w:pPr>
              <w:spacing w:after="0"/>
              <w:jc w:val="right"/>
              <w:rPr>
                <w:sz w:val="14"/>
                <w:szCs w:val="14"/>
              </w:rPr>
            </w:pPr>
            <w:r w:rsidRPr="7A495620">
              <w:rPr>
                <w:sz w:val="14"/>
                <w:szCs w:val="14"/>
              </w:rPr>
              <w:t>0,</w:t>
            </w:r>
            <w:proofErr w:type="spellStart"/>
            <w:r w:rsidRPr="7A495620">
              <w:rPr>
                <w:sz w:val="14"/>
                <w:szCs w:val="14"/>
              </w:rPr>
              <w:t>0</w:t>
            </w:r>
            <w:proofErr w:type="spellEnd"/>
          </w:p>
        </w:tc>
        <w:tc>
          <w:tcPr>
            <w:tcW w:w="593" w:type="dxa"/>
            <w:tcBorders>
              <w:top w:val="nil"/>
              <w:left w:val="nil"/>
              <w:bottom w:val="single" w:sz="4" w:space="0" w:color="auto"/>
              <w:right w:val="single" w:sz="4" w:space="0" w:color="auto"/>
            </w:tcBorders>
            <w:shd w:val="clear" w:color="auto" w:fill="auto"/>
            <w:noWrap/>
            <w:vAlign w:val="bottom"/>
            <w:hideMark/>
          </w:tcPr>
          <w:p w14:paraId="7113E2ED" w14:textId="77777777" w:rsidR="00400522" w:rsidRPr="00400522" w:rsidRDefault="7A495620" w:rsidP="7A495620">
            <w:pPr>
              <w:spacing w:after="0"/>
              <w:jc w:val="right"/>
              <w:rPr>
                <w:sz w:val="14"/>
                <w:szCs w:val="14"/>
              </w:rPr>
            </w:pPr>
            <w:r w:rsidRPr="7A495620">
              <w:rPr>
                <w:sz w:val="14"/>
                <w:szCs w:val="14"/>
              </w:rPr>
              <w:t>100,0</w:t>
            </w:r>
          </w:p>
        </w:tc>
      </w:tr>
      <w:tr w:rsidR="00400522" w:rsidRPr="00400522" w14:paraId="73DE2119" w14:textId="77777777" w:rsidTr="7A495620">
        <w:trPr>
          <w:trHeight w:val="21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51698D" w14:textId="77777777" w:rsidR="00400522" w:rsidRPr="00400522" w:rsidRDefault="7A495620" w:rsidP="7A495620">
            <w:pPr>
              <w:spacing w:after="0"/>
              <w:jc w:val="left"/>
              <w:rPr>
                <w:b/>
                <w:bCs/>
                <w:color w:val="000000" w:themeColor="text1"/>
                <w:sz w:val="14"/>
                <w:szCs w:val="14"/>
              </w:rPr>
            </w:pPr>
            <w:r w:rsidRPr="7A495620">
              <w:rPr>
                <w:b/>
                <w:bCs/>
                <w:color w:val="000000" w:themeColor="text1"/>
                <w:sz w:val="14"/>
                <w:szCs w:val="14"/>
              </w:rPr>
              <w:t>Összesen</w:t>
            </w:r>
          </w:p>
        </w:tc>
        <w:tc>
          <w:tcPr>
            <w:tcW w:w="980" w:type="dxa"/>
            <w:tcBorders>
              <w:top w:val="nil"/>
              <w:left w:val="nil"/>
              <w:bottom w:val="single" w:sz="4" w:space="0" w:color="auto"/>
              <w:right w:val="single" w:sz="4" w:space="0" w:color="auto"/>
            </w:tcBorders>
            <w:shd w:val="clear" w:color="auto" w:fill="auto"/>
            <w:noWrap/>
            <w:vAlign w:val="bottom"/>
            <w:hideMark/>
          </w:tcPr>
          <w:p w14:paraId="0E4B29E1" w14:textId="77777777" w:rsidR="00400522" w:rsidRPr="00400522" w:rsidRDefault="7A495620" w:rsidP="7A495620">
            <w:pPr>
              <w:spacing w:after="0"/>
              <w:jc w:val="right"/>
              <w:rPr>
                <w:b/>
                <w:bCs/>
                <w:sz w:val="14"/>
                <w:szCs w:val="14"/>
              </w:rPr>
            </w:pPr>
            <w:r w:rsidRPr="7A495620">
              <w:rPr>
                <w:b/>
                <w:bCs/>
                <w:sz w:val="14"/>
                <w:szCs w:val="14"/>
              </w:rPr>
              <w:t>165,1</w:t>
            </w:r>
          </w:p>
        </w:tc>
        <w:tc>
          <w:tcPr>
            <w:tcW w:w="960" w:type="dxa"/>
            <w:tcBorders>
              <w:top w:val="nil"/>
              <w:left w:val="nil"/>
              <w:bottom w:val="single" w:sz="4" w:space="0" w:color="auto"/>
              <w:right w:val="single" w:sz="4" w:space="0" w:color="auto"/>
            </w:tcBorders>
            <w:shd w:val="clear" w:color="auto" w:fill="auto"/>
            <w:noWrap/>
            <w:vAlign w:val="bottom"/>
            <w:hideMark/>
          </w:tcPr>
          <w:p w14:paraId="7492668A" w14:textId="77777777" w:rsidR="00400522" w:rsidRPr="00400522" w:rsidRDefault="7A495620" w:rsidP="7A495620">
            <w:pPr>
              <w:spacing w:after="0"/>
              <w:jc w:val="right"/>
              <w:rPr>
                <w:b/>
                <w:bCs/>
                <w:sz w:val="14"/>
                <w:szCs w:val="14"/>
              </w:rPr>
            </w:pPr>
            <w:r w:rsidRPr="7A495620">
              <w:rPr>
                <w:b/>
                <w:bCs/>
                <w:sz w:val="14"/>
                <w:szCs w:val="14"/>
              </w:rPr>
              <w:t>207,0</w:t>
            </w:r>
          </w:p>
        </w:tc>
        <w:tc>
          <w:tcPr>
            <w:tcW w:w="807" w:type="dxa"/>
            <w:tcBorders>
              <w:top w:val="nil"/>
              <w:left w:val="nil"/>
              <w:bottom w:val="single" w:sz="4" w:space="0" w:color="auto"/>
              <w:right w:val="single" w:sz="4" w:space="0" w:color="auto"/>
            </w:tcBorders>
            <w:shd w:val="clear" w:color="auto" w:fill="auto"/>
            <w:noWrap/>
            <w:vAlign w:val="bottom"/>
            <w:hideMark/>
          </w:tcPr>
          <w:p w14:paraId="2F74B91D" w14:textId="77777777" w:rsidR="00400522" w:rsidRPr="00400522" w:rsidRDefault="7A495620" w:rsidP="7A495620">
            <w:pPr>
              <w:spacing w:after="0"/>
              <w:jc w:val="right"/>
              <w:rPr>
                <w:b/>
                <w:bCs/>
                <w:sz w:val="14"/>
                <w:szCs w:val="14"/>
              </w:rPr>
            </w:pPr>
            <w:r w:rsidRPr="7A495620">
              <w:rPr>
                <w:b/>
                <w:bCs/>
                <w:sz w:val="14"/>
                <w:szCs w:val="14"/>
              </w:rPr>
              <w:t>41,9</w:t>
            </w:r>
          </w:p>
        </w:tc>
        <w:tc>
          <w:tcPr>
            <w:tcW w:w="593" w:type="dxa"/>
            <w:tcBorders>
              <w:top w:val="nil"/>
              <w:left w:val="nil"/>
              <w:bottom w:val="single" w:sz="4" w:space="0" w:color="auto"/>
              <w:right w:val="single" w:sz="4" w:space="0" w:color="auto"/>
            </w:tcBorders>
            <w:shd w:val="clear" w:color="auto" w:fill="auto"/>
            <w:noWrap/>
            <w:vAlign w:val="bottom"/>
            <w:hideMark/>
          </w:tcPr>
          <w:p w14:paraId="2BEE667A" w14:textId="77777777" w:rsidR="00400522" w:rsidRPr="00400522" w:rsidRDefault="7A495620" w:rsidP="7A495620">
            <w:pPr>
              <w:spacing w:after="0"/>
              <w:jc w:val="right"/>
              <w:rPr>
                <w:b/>
                <w:bCs/>
                <w:sz w:val="14"/>
                <w:szCs w:val="14"/>
              </w:rPr>
            </w:pPr>
            <w:r w:rsidRPr="7A495620">
              <w:rPr>
                <w:b/>
                <w:bCs/>
                <w:sz w:val="14"/>
                <w:szCs w:val="14"/>
              </w:rPr>
              <w:t>125,4</w:t>
            </w:r>
          </w:p>
        </w:tc>
      </w:tr>
    </w:tbl>
    <w:p w14:paraId="536EC8DD" w14:textId="5F2AD1B2" w:rsidR="00355772" w:rsidRDefault="00355772" w:rsidP="008B3AE4">
      <w:pPr>
        <w:ind w:left="426" w:hanging="426"/>
        <w:rPr>
          <w:rFonts w:cs="Tahoma"/>
          <w:color w:val="000000" w:themeColor="text1"/>
        </w:rPr>
      </w:pPr>
    </w:p>
    <w:p w14:paraId="35B614FD" w14:textId="77777777" w:rsidR="00547B82" w:rsidRPr="00547B82" w:rsidRDefault="7A495620" w:rsidP="7A495620">
      <w:pPr>
        <w:rPr>
          <w:rFonts w:cs="Tahoma"/>
          <w:color w:val="000000" w:themeColor="text1"/>
        </w:rPr>
      </w:pPr>
      <w:r w:rsidRPr="7A495620">
        <w:rPr>
          <w:rFonts w:cs="Tahoma"/>
          <w:color w:val="000000" w:themeColor="text1"/>
        </w:rPr>
        <w:t xml:space="preserve">A </w:t>
      </w:r>
      <w:r w:rsidRPr="7A495620">
        <w:rPr>
          <w:rFonts w:cs="Tahoma"/>
          <w:b/>
          <w:bCs/>
          <w:color w:val="000000" w:themeColor="text1"/>
        </w:rPr>
        <w:t>családi támogatásokra</w:t>
      </w:r>
      <w:r w:rsidRPr="7A495620">
        <w:rPr>
          <w:rFonts w:cs="Tahoma"/>
          <w:color w:val="000000" w:themeColor="text1"/>
        </w:rPr>
        <w:t xml:space="preserve"> 2021. március végéig összesen 133,4 milliárd forintot fizettek ki, melyből a legnagyobb összeget, 103,4 milliárd forintot a családi pótlékra fordították. Ebbe a körbe tartoznak még a táblában felsoroltak mellett a pénzbeli és természetbeni gyermekvédelmi támogatások, valamint a gyermektartásdíj megelőlegezése is. A 2021. évi első háromhavi kiadás 32,0 milliárd forinttal haladta meg az előző év azonos időszakának teljesítését. Ez döntő részben annak a következménye, hogy a húsvéti ünnepek miatti munkaszüneti napokra tekintettel egyes családi támogatások (családi pótlék, gyermekgondozást segítő ellátás, gyermeknevelési támogatás, anyasági támogatás) áprilisi összege (32,1 milliárd forint) már március végén folyósításra került az ellátottak részére. Az életkezdési támogatás 0,3 milliárd forinttal haladta meg az előző évi március végi teljesítést, ennek oka az, hogy az életkezdési letéti számlákon nyilvántartott követelés összege, amelyre tekintettel kamatot kellett fizetni, magasabb volt a tavalyihoz képest.</w:t>
      </w:r>
    </w:p>
    <w:p w14:paraId="25500FFE" w14:textId="77777777" w:rsidR="00547B82" w:rsidRPr="00547B82" w:rsidRDefault="7A495620" w:rsidP="7A495620">
      <w:pPr>
        <w:rPr>
          <w:rFonts w:cs="Tahoma"/>
          <w:color w:val="000000" w:themeColor="text1"/>
        </w:rPr>
      </w:pPr>
      <w:r w:rsidRPr="7A495620">
        <w:rPr>
          <w:rFonts w:cs="Tahoma"/>
          <w:color w:val="000000" w:themeColor="text1"/>
        </w:rPr>
        <w:t xml:space="preserve">A </w:t>
      </w:r>
      <w:r w:rsidRPr="7A495620">
        <w:rPr>
          <w:rFonts w:cs="Tahoma"/>
          <w:b/>
          <w:bCs/>
          <w:color w:val="000000" w:themeColor="text1"/>
        </w:rPr>
        <w:t>korhatár alatti ellátásokra</w:t>
      </w:r>
      <w:r w:rsidRPr="7A495620">
        <w:rPr>
          <w:rFonts w:cs="Tahoma"/>
          <w:color w:val="000000" w:themeColor="text1"/>
        </w:rPr>
        <w:t xml:space="preserve"> idén március végéig 25,6 milliárd forintot folyósítottak, amely 2,8 milliárd forinttal magasabb az előző év azonos időszakában e célra kifizetett összegnél. Az előirányzat tartalmazza a szolgálati járandóság, valamint a korhatár előtti ellátás és a táncművészeti járadék forrását. A kifizetett összeget növeli, hogy az ellátások januártól a nyugdíjemelés mértékének megfelelően, 3%-kal emelkedtek. A szolgálati járandóság esetében új megállapításra már nem kerülhet sor, a korhatár előtti ellátásban részesülők közül viszont azok, akik 2014. december 31-e előtt korkedvezményre szereztek jogosultságot, még új belépőként jelenhetnek meg a korhatár előtti ellátásra jogosultak körében. A jogosultak létszámát mindkét ellátás esetén csökkenti, hogy azok, akik elérik a nyugdíjkorhatárt, öregségi nyugdíjra válnak jogosulttá. A 13. havi nyugdíjhoz hasonlóan ezen ellátásban részesülő személyek is részesültek 13. havi ellátásban, így a kifizetett összeg tartalmazza az ezzel kapcsolatosan folyósított összeget (a januári ellátás 25%-a) is.</w:t>
      </w:r>
    </w:p>
    <w:p w14:paraId="0B825433" w14:textId="552AE395" w:rsidR="00547B82" w:rsidRPr="00547B82" w:rsidRDefault="7A495620" w:rsidP="7A495620">
      <w:pPr>
        <w:rPr>
          <w:rFonts w:cs="Tahoma"/>
          <w:color w:val="000000" w:themeColor="text1"/>
        </w:rPr>
      </w:pPr>
      <w:r w:rsidRPr="7A495620">
        <w:rPr>
          <w:rFonts w:cs="Tahoma"/>
          <w:color w:val="000000" w:themeColor="text1"/>
        </w:rPr>
        <w:t xml:space="preserve">2021. március végéig a </w:t>
      </w:r>
      <w:r w:rsidRPr="7A495620">
        <w:rPr>
          <w:rFonts w:cs="Tahoma"/>
          <w:b/>
          <w:bCs/>
          <w:color w:val="000000" w:themeColor="text1"/>
        </w:rPr>
        <w:t>jövedelempótló és jövedelemkiegészítő szociális támogatásokra</w:t>
      </w:r>
      <w:r w:rsidRPr="7A495620">
        <w:rPr>
          <w:rFonts w:cs="Tahoma"/>
          <w:color w:val="000000" w:themeColor="text1"/>
        </w:rPr>
        <w:t xml:space="preserve"> 41,8 milliárd forintot fizettek ki, mely 7,0 milliárd forinttal haladta meg az egy évvel korábbi kiadást. A jövedelempótló és jövedelemkiegészítő szociális támogatásokon belül a járási szociális feladatok ellátására (gyermekek otthongondozási </w:t>
      </w:r>
      <w:r w:rsidRPr="7A495620">
        <w:rPr>
          <w:rFonts w:cs="Tahoma"/>
          <w:color w:val="000000" w:themeColor="text1"/>
        </w:rPr>
        <w:lastRenderedPageBreak/>
        <w:t>díja, ápolási díj, időskorúak járadéka, foglalkoztatást helyettesítő támogatás, egészségkárosodási és gyermekfelügyeleti támogatás) 23,5 milliárd forintot fordítottak, mely 3,2 milliárd forinttal magasabb az előző évi március végi adatnál. Ennek oka, hogy 2021 januárjától a gyermekek otthongondozási díjának összege a minimálbér 77%-áról annak 88%</w:t>
      </w:r>
      <w:r w:rsidR="00E56C7A">
        <w:rPr>
          <w:rFonts w:cs="Tahoma"/>
          <w:color w:val="000000" w:themeColor="text1"/>
        </w:rPr>
        <w:t>-</w:t>
      </w:r>
      <w:r w:rsidRPr="7A495620">
        <w:rPr>
          <w:rFonts w:cs="Tahoma"/>
          <w:color w:val="000000" w:themeColor="text1"/>
        </w:rPr>
        <w:t>ára emelkedett (januártól 141 680 forintra, majd a minimálbér februártól hatályos emelése következtében februártól 147 315 forintra), az ápolási díj összege pedig 5%-kal nőtt. A „Jövedelempótló és jövedelemkiegészítő ellátások” előirányzat tartalmazza a fogyatékossági támogatás, a vakok személyi járadéka, az átmeneti bányászjáradék és számos további, jellemzően kifutó jellegű ellátás (pl. mezőgazdasági járadék, politikai rehabilitációs és más nyugdíj-kiegészítések, házastársi pótlék) forrását. A jövedelempótló és jövedelemkiegészítő ellátásokra 18,3 milliárd forintot fizettek ki, mely 3,8 milliárd forinttal magasabb az előző évi azonos időszaki kifizetésnél. Ennek oka elsődlegesen az, hogy ezen ellátottak közül a fogyatékossági támogatásra és a vakok személyi járadékára jogosultak áprilisi ellátásukat (3,0 milliárd forint) már március végén megkapták, tekintettel a húsvéti ünnepek miatti munkaszüneti napokra. Az adatok tartalmazzák egyes ellátások januárban végrehajtott 3%-os emelésének hatását, illetve egyes ellátásoknál a 13. havi ellátás (idén a januári ellátás 25%-a) kifizetése következtében folyósított összeget is.</w:t>
      </w:r>
    </w:p>
    <w:p w14:paraId="21E4E299" w14:textId="77777777" w:rsidR="00547B82" w:rsidRPr="00547B82" w:rsidRDefault="7A495620" w:rsidP="7A495620">
      <w:pPr>
        <w:rPr>
          <w:rFonts w:cs="Tahoma"/>
          <w:color w:val="000000" w:themeColor="text1"/>
        </w:rPr>
      </w:pPr>
      <w:r w:rsidRPr="7A495620">
        <w:rPr>
          <w:rFonts w:cs="Tahoma"/>
          <w:color w:val="000000" w:themeColor="text1"/>
        </w:rPr>
        <w:t xml:space="preserve">A </w:t>
      </w:r>
      <w:r w:rsidRPr="7A495620">
        <w:rPr>
          <w:rFonts w:cs="Tahoma"/>
          <w:b/>
          <w:bCs/>
          <w:color w:val="000000" w:themeColor="text1"/>
        </w:rPr>
        <w:t xml:space="preserve">különféle jogcímen adott </w:t>
      </w:r>
      <w:r w:rsidRPr="7A495620">
        <w:rPr>
          <w:rFonts w:cs="Tahoma"/>
          <w:color w:val="000000" w:themeColor="text1"/>
        </w:rPr>
        <w:t>térítések 2021. évi első háromhavi összege nagyságrendjében hasonló volt az előző év azonos időszakához viszonyítva. A térítéseken belül a legnagyobb összeget, 4,3 milliárd forintot a közgyógyellátásra fizették ki.</w:t>
      </w:r>
    </w:p>
    <w:p w14:paraId="3F556F6C" w14:textId="026DD40F" w:rsidR="00647A5A" w:rsidRDefault="7A495620" w:rsidP="00647A5A">
      <w:r>
        <w:t xml:space="preserve">A </w:t>
      </w:r>
      <w:r w:rsidRPr="7A495620">
        <w:rPr>
          <w:b/>
          <w:bCs/>
        </w:rPr>
        <w:t>helyi önkormányzatok</w:t>
      </w:r>
      <w:r>
        <w:t xml:space="preserve"> 2021. évi feladataihoz a hatályos költségvetési törvény 864,8 milliárd forint állami </w:t>
      </w:r>
      <w:r w:rsidRPr="7A495620">
        <w:rPr>
          <w:b/>
          <w:bCs/>
        </w:rPr>
        <w:t>támogatást</w:t>
      </w:r>
      <w:r>
        <w:t xml:space="preserve"> biztosít, ami a 2020. évi 739,0 milliárd forintos törvényi előirányzatnál 125,8 milliárd forinttal magasabb. Az emelkedést alapvetően két tényező okozza: egyrészt a szolidaritási hozzájárulás átalakításával összefüggésben a beszámítás megszüntetése miatt az általános működési támogatás megemelése, másrészt a 2020-2021. évi ágazati bérintézkedések beépítése. Míg az előbbi 94,9 milliárd forinttal, az utóbbi 52,2 milliárd forinttal növelte meg a IX. Helyi önkormányzatok támogatásai fejezet előirányzatát. Az emelkedés mellett 21,3 milliárd forint egyéb működési és fejlesztési előirányzat-csökkentés történt egyes ágazati intézkedések, továbbá egyes fejlesztési előirányzatok kifutása következtében.</w:t>
      </w:r>
    </w:p>
    <w:p w14:paraId="14F80CAD" w14:textId="6E6972F7" w:rsidR="00E739A2" w:rsidRDefault="7A495620" w:rsidP="00647A5A">
      <w:r>
        <w:t>A jelentősebb tételek alakulását a következő táblázat mutatja:</w:t>
      </w:r>
    </w:p>
    <w:p w14:paraId="146E8177" w14:textId="7A8EEF40" w:rsidR="00A450B1" w:rsidRDefault="00A450B1" w:rsidP="00647A5A">
      <w:r>
        <w:br w:type="page"/>
      </w:r>
    </w:p>
    <w:tbl>
      <w:tblPr>
        <w:tblW w:w="8261" w:type="dxa"/>
        <w:jc w:val="center"/>
        <w:tblCellMar>
          <w:left w:w="0" w:type="dxa"/>
          <w:right w:w="0" w:type="dxa"/>
        </w:tblCellMar>
        <w:tblLook w:val="04A0" w:firstRow="1" w:lastRow="0" w:firstColumn="1" w:lastColumn="0" w:noHBand="0" w:noVBand="1"/>
      </w:tblPr>
      <w:tblGrid>
        <w:gridCol w:w="4406"/>
        <w:gridCol w:w="1124"/>
        <w:gridCol w:w="1110"/>
        <w:gridCol w:w="888"/>
        <w:gridCol w:w="733"/>
      </w:tblGrid>
      <w:tr w:rsidR="00D82E5C" w:rsidRPr="00D82E5C" w14:paraId="3BBCFB07" w14:textId="77777777" w:rsidTr="7A495620">
        <w:trPr>
          <w:trHeight w:val="300"/>
          <w:jc w:val="center"/>
        </w:trPr>
        <w:tc>
          <w:tcPr>
            <w:tcW w:w="8261" w:type="dxa"/>
            <w:gridSpan w:val="5"/>
            <w:tcBorders>
              <w:bottom w:val="single" w:sz="8" w:space="0" w:color="auto"/>
            </w:tcBorders>
            <w:noWrap/>
            <w:tcMar>
              <w:top w:w="0" w:type="dxa"/>
              <w:left w:w="70" w:type="dxa"/>
              <w:bottom w:w="0" w:type="dxa"/>
              <w:right w:w="70" w:type="dxa"/>
            </w:tcMar>
            <w:vAlign w:val="bottom"/>
            <w:hideMark/>
          </w:tcPr>
          <w:p w14:paraId="0ACB7E67" w14:textId="77777777" w:rsidR="00D82E5C" w:rsidRPr="00D82E5C" w:rsidRDefault="7A495620" w:rsidP="7A495620">
            <w:pPr>
              <w:spacing w:line="276" w:lineRule="auto"/>
              <w:jc w:val="center"/>
              <w:rPr>
                <w:rFonts w:eastAsiaTheme="minorEastAsia"/>
                <w:b/>
                <w:bCs/>
                <w:color w:val="000000" w:themeColor="text1"/>
                <w:sz w:val="20"/>
                <w:lang w:eastAsia="en-US"/>
              </w:rPr>
            </w:pPr>
            <w:r w:rsidRPr="7A495620">
              <w:rPr>
                <w:b/>
                <w:bCs/>
                <w:color w:val="000000" w:themeColor="text1"/>
                <w:sz w:val="20"/>
              </w:rPr>
              <w:lastRenderedPageBreak/>
              <w:t>A helyi önkormányzatok támogatásának alakulása (milliárd forint)</w:t>
            </w:r>
          </w:p>
        </w:tc>
      </w:tr>
      <w:tr w:rsidR="00D82E5C" w:rsidRPr="00D82E5C" w14:paraId="4798FC5E" w14:textId="77777777" w:rsidTr="7A495620">
        <w:trPr>
          <w:trHeight w:val="300"/>
          <w:jc w:val="center"/>
        </w:trPr>
        <w:tc>
          <w:tcPr>
            <w:tcW w:w="4406" w:type="dxa"/>
            <w:vMerge w:val="restart"/>
            <w:tcBorders>
              <w:top w:val="single" w:sz="8" w:space="0" w:color="auto"/>
              <w:left w:val="single" w:sz="8" w:space="0" w:color="auto"/>
              <w:bottom w:val="single" w:sz="8" w:space="0" w:color="000000" w:themeColor="text1"/>
              <w:right w:val="single" w:sz="8" w:space="0" w:color="auto"/>
            </w:tcBorders>
            <w:noWrap/>
            <w:tcMar>
              <w:top w:w="0" w:type="dxa"/>
              <w:left w:w="70" w:type="dxa"/>
              <w:bottom w:w="0" w:type="dxa"/>
              <w:right w:w="70" w:type="dxa"/>
            </w:tcMar>
            <w:vAlign w:val="center"/>
            <w:hideMark/>
          </w:tcPr>
          <w:p w14:paraId="5BF70B91" w14:textId="77777777" w:rsidR="00D82E5C" w:rsidRPr="00D82E5C" w:rsidRDefault="7A495620" w:rsidP="7A495620">
            <w:pPr>
              <w:spacing w:line="276" w:lineRule="auto"/>
              <w:jc w:val="center"/>
              <w:rPr>
                <w:rFonts w:eastAsiaTheme="minorEastAsia"/>
                <w:b/>
                <w:bCs/>
                <w:color w:val="000000" w:themeColor="text1"/>
                <w:sz w:val="20"/>
                <w:lang w:eastAsia="en-US"/>
              </w:rPr>
            </w:pPr>
            <w:r w:rsidRPr="7A495620">
              <w:rPr>
                <w:b/>
                <w:bCs/>
                <w:color w:val="000000" w:themeColor="text1"/>
                <w:sz w:val="20"/>
              </w:rPr>
              <w:t>Megnevezés</w:t>
            </w:r>
          </w:p>
        </w:tc>
        <w:tc>
          <w:tcPr>
            <w:tcW w:w="1124"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2F839337" w14:textId="0C16F3DE" w:rsidR="00D82E5C" w:rsidRPr="00D82E5C" w:rsidRDefault="7A495620" w:rsidP="7A495620">
            <w:pPr>
              <w:jc w:val="center"/>
              <w:rPr>
                <w:b/>
                <w:bCs/>
                <w:color w:val="000000" w:themeColor="text1"/>
                <w:sz w:val="20"/>
              </w:rPr>
            </w:pPr>
            <w:r w:rsidRPr="7A495620">
              <w:rPr>
                <w:b/>
                <w:bCs/>
                <w:color w:val="000000" w:themeColor="text1"/>
                <w:sz w:val="20"/>
              </w:rPr>
              <w:t xml:space="preserve">2020. </w:t>
            </w:r>
            <w:r w:rsidR="30891728">
              <w:br/>
            </w:r>
            <w:r w:rsidRPr="7A495620">
              <w:rPr>
                <w:b/>
                <w:bCs/>
                <w:color w:val="000000" w:themeColor="text1"/>
                <w:sz w:val="20"/>
              </w:rPr>
              <w:t>I-III. hó</w:t>
            </w:r>
          </w:p>
        </w:tc>
        <w:tc>
          <w:tcPr>
            <w:tcW w:w="111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14:paraId="65B38124" w14:textId="72113F5D" w:rsidR="00D82E5C" w:rsidRPr="00D82E5C" w:rsidRDefault="7A495620" w:rsidP="7A495620">
            <w:pPr>
              <w:jc w:val="center"/>
              <w:rPr>
                <w:b/>
                <w:bCs/>
                <w:color w:val="000000" w:themeColor="text1"/>
                <w:sz w:val="20"/>
              </w:rPr>
            </w:pPr>
            <w:r w:rsidRPr="7A495620">
              <w:rPr>
                <w:b/>
                <w:bCs/>
                <w:color w:val="000000" w:themeColor="text1"/>
                <w:sz w:val="20"/>
              </w:rPr>
              <w:t>2021.</w:t>
            </w:r>
            <w:r w:rsidR="30891728">
              <w:br/>
            </w:r>
            <w:r w:rsidRPr="7A495620">
              <w:rPr>
                <w:b/>
                <w:bCs/>
                <w:color w:val="000000" w:themeColor="text1"/>
                <w:sz w:val="20"/>
              </w:rPr>
              <w:t>I-III. hó</w:t>
            </w:r>
          </w:p>
        </w:tc>
        <w:tc>
          <w:tcPr>
            <w:tcW w:w="1621"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14:paraId="326E2BF4" w14:textId="77777777" w:rsidR="00D82E5C" w:rsidRPr="00D82E5C" w:rsidRDefault="7A495620" w:rsidP="7A495620">
            <w:pPr>
              <w:jc w:val="center"/>
              <w:rPr>
                <w:b/>
                <w:bCs/>
                <w:color w:val="000000" w:themeColor="text1"/>
                <w:sz w:val="20"/>
              </w:rPr>
            </w:pPr>
            <w:r w:rsidRPr="7A495620">
              <w:rPr>
                <w:b/>
                <w:bCs/>
                <w:color w:val="000000" w:themeColor="text1"/>
                <w:sz w:val="20"/>
              </w:rPr>
              <w:t>Eltérés</w:t>
            </w:r>
          </w:p>
        </w:tc>
      </w:tr>
      <w:tr w:rsidR="00D82E5C" w:rsidRPr="00D82E5C" w14:paraId="4F308A3A" w14:textId="77777777" w:rsidTr="7A495620">
        <w:trPr>
          <w:trHeight w:val="30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167BFD" w14:textId="77777777" w:rsidR="00D82E5C" w:rsidRPr="00D82E5C" w:rsidRDefault="00D82E5C" w:rsidP="00D82E5C">
            <w:pP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209F6A96" w14:textId="77777777" w:rsidR="00D82E5C" w:rsidRPr="00D82E5C" w:rsidRDefault="00D82E5C" w:rsidP="00D82E5C">
            <w:pPr>
              <w:jc w:val="center"/>
              <w:rPr>
                <w:rFonts w:eastAsiaTheme="minorHAnsi"/>
                <w:b/>
                <w:bCs/>
                <w:color w:val="000000"/>
                <w:sz w:val="20"/>
                <w:lang w:eastAsia="en-US"/>
              </w:rPr>
            </w:pPr>
          </w:p>
        </w:tc>
        <w:tc>
          <w:tcPr>
            <w:tcW w:w="0" w:type="auto"/>
            <w:vMerge/>
            <w:tcBorders>
              <w:top w:val="single" w:sz="8" w:space="0" w:color="auto"/>
              <w:left w:val="nil"/>
              <w:bottom w:val="single" w:sz="8" w:space="0" w:color="auto"/>
              <w:right w:val="single" w:sz="8" w:space="0" w:color="auto"/>
            </w:tcBorders>
            <w:vAlign w:val="center"/>
          </w:tcPr>
          <w:p w14:paraId="1EC8AF85" w14:textId="77777777" w:rsidR="00D82E5C" w:rsidRPr="00D82E5C" w:rsidRDefault="00D82E5C" w:rsidP="00D82E5C">
            <w:pPr>
              <w:jc w:val="center"/>
              <w:rPr>
                <w:rFonts w:eastAsiaTheme="minorHAnsi"/>
                <w:b/>
                <w:bCs/>
                <w:color w:val="000000"/>
                <w:sz w:val="20"/>
                <w:lang w:eastAsia="en-US"/>
              </w:rPr>
            </w:pPr>
          </w:p>
        </w:tc>
        <w:tc>
          <w:tcPr>
            <w:tcW w:w="888"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4024F8B" w14:textId="77777777" w:rsidR="00D82E5C" w:rsidRPr="00D82E5C" w:rsidRDefault="7A495620" w:rsidP="7A495620">
            <w:pPr>
              <w:spacing w:line="276" w:lineRule="auto"/>
              <w:jc w:val="center"/>
              <w:rPr>
                <w:rFonts w:eastAsiaTheme="minorEastAsia"/>
                <w:b/>
                <w:bCs/>
                <w:color w:val="000000" w:themeColor="text1"/>
                <w:sz w:val="20"/>
                <w:lang w:eastAsia="en-US"/>
              </w:rPr>
            </w:pPr>
            <w:r w:rsidRPr="7A495620">
              <w:rPr>
                <w:b/>
                <w:bCs/>
                <w:color w:val="000000" w:themeColor="text1"/>
                <w:sz w:val="20"/>
              </w:rPr>
              <w:t>Mrd Ft</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7B25340" w14:textId="77777777" w:rsidR="00D82E5C" w:rsidRPr="00D82E5C" w:rsidRDefault="7A495620" w:rsidP="7A495620">
            <w:pPr>
              <w:spacing w:line="276" w:lineRule="auto"/>
              <w:jc w:val="center"/>
              <w:rPr>
                <w:rFonts w:eastAsiaTheme="minorEastAsia"/>
                <w:b/>
                <w:bCs/>
                <w:color w:val="000000" w:themeColor="text1"/>
                <w:sz w:val="20"/>
                <w:lang w:eastAsia="en-US"/>
              </w:rPr>
            </w:pPr>
            <w:r w:rsidRPr="7A495620">
              <w:rPr>
                <w:b/>
                <w:bCs/>
                <w:color w:val="000000" w:themeColor="text1"/>
                <w:sz w:val="20"/>
              </w:rPr>
              <w:t>%</w:t>
            </w:r>
          </w:p>
        </w:tc>
      </w:tr>
      <w:tr w:rsidR="00E3220D" w:rsidRPr="00D82E5C" w14:paraId="4918B5EB" w14:textId="77777777" w:rsidTr="7A495620">
        <w:trPr>
          <w:trHeight w:val="575"/>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33B3F5" w14:textId="3D9B772B" w:rsidR="00E3220D" w:rsidRPr="00D82E5C" w:rsidRDefault="7A495620" w:rsidP="7A495620">
            <w:pPr>
              <w:spacing w:after="0"/>
              <w:jc w:val="left"/>
              <w:rPr>
                <w:rFonts w:eastAsiaTheme="minorEastAsia"/>
                <w:b/>
                <w:bCs/>
                <w:color w:val="000000" w:themeColor="text1"/>
                <w:sz w:val="20"/>
              </w:rPr>
            </w:pPr>
            <w:r w:rsidRPr="7A495620">
              <w:rPr>
                <w:rFonts w:eastAsiaTheme="minorEastAsia"/>
                <w:b/>
                <w:bCs/>
                <w:color w:val="000000" w:themeColor="text1"/>
                <w:sz w:val="20"/>
              </w:rPr>
              <w:t>A helyi önkormányzatok általános működésének és ágazati feladatainak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1E8B6C29" w14:textId="6D0B673A" w:rsidR="00E3220D" w:rsidRPr="00D82E5C" w:rsidRDefault="7A495620" w:rsidP="7A495620">
            <w:pPr>
              <w:jc w:val="right"/>
              <w:rPr>
                <w:b/>
                <w:bCs/>
                <w:color w:val="000000" w:themeColor="text1"/>
                <w:sz w:val="20"/>
              </w:rPr>
            </w:pPr>
            <w:r w:rsidRPr="7A495620">
              <w:rPr>
                <w:b/>
                <w:bCs/>
                <w:color w:val="000000" w:themeColor="text1"/>
                <w:sz w:val="20"/>
              </w:rPr>
              <w:t>173,4</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5C13689" w14:textId="0C2C3BF5" w:rsidR="00E3220D" w:rsidRPr="00D82E5C" w:rsidRDefault="7A495620" w:rsidP="7A495620">
            <w:pPr>
              <w:jc w:val="right"/>
              <w:rPr>
                <w:b/>
                <w:bCs/>
                <w:color w:val="000000" w:themeColor="text1"/>
                <w:sz w:val="20"/>
              </w:rPr>
            </w:pPr>
            <w:r w:rsidRPr="7A495620">
              <w:rPr>
                <w:b/>
                <w:bCs/>
                <w:color w:val="000000" w:themeColor="text1"/>
                <w:sz w:val="20"/>
              </w:rPr>
              <w:t>210,0</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0561736" w14:textId="0C0701A5" w:rsidR="00E3220D" w:rsidRPr="00D82E5C" w:rsidRDefault="7A495620" w:rsidP="7A495620">
            <w:pPr>
              <w:jc w:val="right"/>
              <w:rPr>
                <w:b/>
                <w:bCs/>
                <w:color w:val="000000" w:themeColor="text1"/>
                <w:sz w:val="20"/>
              </w:rPr>
            </w:pPr>
            <w:r w:rsidRPr="7A495620">
              <w:rPr>
                <w:b/>
                <w:bCs/>
                <w:color w:val="000000" w:themeColor="text1"/>
                <w:sz w:val="20"/>
              </w:rPr>
              <w:t>36,6</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1C54C9B" w14:textId="633CCFBD" w:rsidR="00E3220D" w:rsidRPr="00D82E5C" w:rsidRDefault="7A495620" w:rsidP="7A495620">
            <w:pPr>
              <w:jc w:val="right"/>
              <w:rPr>
                <w:b/>
                <w:bCs/>
                <w:color w:val="000000" w:themeColor="text1"/>
                <w:sz w:val="20"/>
              </w:rPr>
            </w:pPr>
            <w:r w:rsidRPr="7A495620">
              <w:rPr>
                <w:b/>
                <w:bCs/>
                <w:color w:val="000000" w:themeColor="text1"/>
                <w:sz w:val="20"/>
              </w:rPr>
              <w:t>121,1</w:t>
            </w:r>
          </w:p>
        </w:tc>
      </w:tr>
      <w:tr w:rsidR="00E3220D" w:rsidRPr="00D82E5C" w14:paraId="2F56FEDB" w14:textId="77777777" w:rsidTr="7A495620">
        <w:trPr>
          <w:trHeight w:val="507"/>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407C984" w14:textId="72D577DD" w:rsidR="00E3220D" w:rsidRPr="00D82E5C" w:rsidRDefault="7A495620" w:rsidP="7A495620">
            <w:pPr>
              <w:spacing w:after="0"/>
              <w:ind w:left="284"/>
              <w:jc w:val="left"/>
              <w:rPr>
                <w:rFonts w:eastAsiaTheme="minorEastAsia"/>
                <w:i/>
                <w:iCs/>
                <w:color w:val="000000" w:themeColor="text1"/>
                <w:sz w:val="20"/>
              </w:rPr>
            </w:pPr>
            <w:r w:rsidRPr="7A495620">
              <w:rPr>
                <w:rFonts w:eastAsiaTheme="minorEastAsia"/>
                <w:i/>
                <w:iCs/>
                <w:color w:val="000000" w:themeColor="text1"/>
                <w:sz w:val="20"/>
              </w:rPr>
              <w:t>A helyi önkormányzatok működésének általános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9CAC24A" w14:textId="5836CBC3" w:rsidR="00E3220D" w:rsidRPr="00F3470D" w:rsidRDefault="7A495620" w:rsidP="7A495620">
            <w:pPr>
              <w:jc w:val="right"/>
              <w:rPr>
                <w:sz w:val="20"/>
              </w:rPr>
            </w:pPr>
            <w:r w:rsidRPr="7A495620">
              <w:rPr>
                <w:color w:val="000000" w:themeColor="text1"/>
                <w:sz w:val="20"/>
              </w:rPr>
              <w:t>48,6</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028C7BF6" w14:textId="6721CDCC" w:rsidR="00E3220D" w:rsidRPr="00F3470D" w:rsidRDefault="7A495620" w:rsidP="7A495620">
            <w:pPr>
              <w:jc w:val="right"/>
              <w:rPr>
                <w:sz w:val="20"/>
              </w:rPr>
            </w:pPr>
            <w:r w:rsidRPr="7A495620">
              <w:rPr>
                <w:color w:val="000000" w:themeColor="text1"/>
                <w:sz w:val="20"/>
              </w:rPr>
              <w:t>73,9</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27C2F22" w14:textId="5295AC92" w:rsidR="00E3220D" w:rsidRPr="00F3470D" w:rsidRDefault="7A495620" w:rsidP="7A495620">
            <w:pPr>
              <w:jc w:val="right"/>
              <w:rPr>
                <w:sz w:val="20"/>
              </w:rPr>
            </w:pPr>
            <w:r w:rsidRPr="7A495620">
              <w:rPr>
                <w:color w:val="000000" w:themeColor="text1"/>
                <w:sz w:val="20"/>
              </w:rPr>
              <w:t>25,3</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1290FFB" w14:textId="4A07C5FD" w:rsidR="00E3220D" w:rsidRPr="00F3470D" w:rsidRDefault="7A495620" w:rsidP="7A495620">
            <w:pPr>
              <w:jc w:val="right"/>
              <w:rPr>
                <w:sz w:val="20"/>
              </w:rPr>
            </w:pPr>
            <w:r w:rsidRPr="7A495620">
              <w:rPr>
                <w:color w:val="000000" w:themeColor="text1"/>
                <w:sz w:val="20"/>
              </w:rPr>
              <w:t>152,1</w:t>
            </w:r>
          </w:p>
        </w:tc>
      </w:tr>
      <w:tr w:rsidR="00E3220D" w:rsidRPr="00D82E5C" w14:paraId="6F1B6DC5" w14:textId="77777777" w:rsidTr="7A495620">
        <w:trPr>
          <w:trHeight w:val="515"/>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77BD5E6" w14:textId="17D8EADD" w:rsidR="00E3220D" w:rsidRPr="00D82E5C" w:rsidRDefault="7A495620" w:rsidP="7A495620">
            <w:pPr>
              <w:spacing w:after="0"/>
              <w:ind w:left="284"/>
              <w:jc w:val="left"/>
              <w:rPr>
                <w:rFonts w:eastAsiaTheme="minorEastAsia"/>
                <w:i/>
                <w:iCs/>
                <w:color w:val="000000" w:themeColor="text1"/>
                <w:sz w:val="20"/>
              </w:rPr>
            </w:pPr>
            <w:r w:rsidRPr="7A495620">
              <w:rPr>
                <w:rFonts w:eastAsiaTheme="minorEastAsia"/>
                <w:i/>
                <w:iCs/>
                <w:color w:val="000000" w:themeColor="text1"/>
                <w:sz w:val="20"/>
              </w:rPr>
              <w:t>A települési önkormányzatok egyes köznevelési feladatainak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4C9B731" w14:textId="5BFA8839" w:rsidR="00E3220D" w:rsidRPr="00F3470D" w:rsidRDefault="7A495620" w:rsidP="7A495620">
            <w:pPr>
              <w:jc w:val="right"/>
              <w:rPr>
                <w:sz w:val="20"/>
              </w:rPr>
            </w:pPr>
            <w:r w:rsidRPr="7A495620">
              <w:rPr>
                <w:color w:val="000000" w:themeColor="text1"/>
                <w:sz w:val="20"/>
              </w:rPr>
              <w:t>52,7</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9859616" w14:textId="4870DF47" w:rsidR="00E3220D" w:rsidRPr="00F3470D" w:rsidRDefault="7A495620" w:rsidP="7A495620">
            <w:pPr>
              <w:jc w:val="right"/>
              <w:rPr>
                <w:sz w:val="20"/>
              </w:rPr>
            </w:pPr>
            <w:r w:rsidRPr="7A495620">
              <w:rPr>
                <w:color w:val="000000" w:themeColor="text1"/>
                <w:sz w:val="20"/>
              </w:rPr>
              <w:t>57,6</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4DBA82D" w14:textId="03E28B05" w:rsidR="00E3220D" w:rsidRPr="00F3470D" w:rsidRDefault="7A495620" w:rsidP="7A495620">
            <w:pPr>
              <w:jc w:val="right"/>
              <w:rPr>
                <w:sz w:val="20"/>
              </w:rPr>
            </w:pPr>
            <w:r w:rsidRPr="7A495620">
              <w:rPr>
                <w:color w:val="000000" w:themeColor="text1"/>
                <w:sz w:val="20"/>
              </w:rPr>
              <w:t>4,9</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9CFAC8D" w14:textId="728D81C4" w:rsidR="00E3220D" w:rsidRPr="00F3470D" w:rsidRDefault="7A495620" w:rsidP="7A495620">
            <w:pPr>
              <w:jc w:val="right"/>
              <w:rPr>
                <w:sz w:val="20"/>
              </w:rPr>
            </w:pPr>
            <w:r w:rsidRPr="7A495620">
              <w:rPr>
                <w:color w:val="000000" w:themeColor="text1"/>
                <w:sz w:val="20"/>
              </w:rPr>
              <w:t>109,3</w:t>
            </w:r>
          </w:p>
        </w:tc>
      </w:tr>
      <w:tr w:rsidR="00E3220D" w:rsidRPr="00D82E5C" w14:paraId="60C34464" w14:textId="77777777" w:rsidTr="7A495620">
        <w:trPr>
          <w:trHeight w:val="821"/>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A4F0286" w14:textId="42B22336" w:rsidR="00E3220D" w:rsidRPr="00D82E5C" w:rsidRDefault="7A495620" w:rsidP="7A495620">
            <w:pPr>
              <w:spacing w:after="0"/>
              <w:ind w:left="284"/>
              <w:jc w:val="left"/>
              <w:rPr>
                <w:rFonts w:eastAsiaTheme="minorEastAsia"/>
                <w:i/>
                <w:iCs/>
                <w:color w:val="000000" w:themeColor="text1"/>
                <w:sz w:val="20"/>
              </w:rPr>
            </w:pPr>
            <w:r w:rsidRPr="7A495620">
              <w:rPr>
                <w:rFonts w:eastAsiaTheme="minorEastAsia"/>
                <w:i/>
                <w:iCs/>
                <w:color w:val="000000" w:themeColor="text1"/>
                <w:sz w:val="20"/>
              </w:rPr>
              <w:t>A települési önkormányzatok egyes szociális, gyermekjóléti és gyermekétkeztetési feladatainak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14208E26" w14:textId="6A90A35C" w:rsidR="00E3220D" w:rsidRPr="00F3470D" w:rsidRDefault="7A495620" w:rsidP="7A495620">
            <w:pPr>
              <w:jc w:val="right"/>
              <w:rPr>
                <w:sz w:val="20"/>
              </w:rPr>
            </w:pPr>
            <w:r w:rsidRPr="7A495620">
              <w:rPr>
                <w:color w:val="000000" w:themeColor="text1"/>
                <w:sz w:val="20"/>
              </w:rPr>
              <w:t>68,0</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FF9F583" w14:textId="7A0520B0" w:rsidR="00E3220D" w:rsidRPr="00F3470D" w:rsidRDefault="7A495620" w:rsidP="7A495620">
            <w:pPr>
              <w:jc w:val="right"/>
              <w:rPr>
                <w:sz w:val="20"/>
              </w:rPr>
            </w:pPr>
            <w:r w:rsidRPr="7A495620">
              <w:rPr>
                <w:color w:val="000000" w:themeColor="text1"/>
                <w:sz w:val="20"/>
              </w:rPr>
              <w:t>72,2</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734C74C9" w14:textId="46D61BCB" w:rsidR="00E3220D" w:rsidRPr="00F3470D" w:rsidRDefault="7A495620" w:rsidP="7A495620">
            <w:pPr>
              <w:jc w:val="right"/>
              <w:rPr>
                <w:sz w:val="20"/>
              </w:rPr>
            </w:pPr>
            <w:r w:rsidRPr="7A495620">
              <w:rPr>
                <w:color w:val="000000" w:themeColor="text1"/>
                <w:sz w:val="20"/>
              </w:rPr>
              <w:t>4,2</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72926D3" w14:textId="3C292465" w:rsidR="00E3220D" w:rsidRPr="00F3470D" w:rsidRDefault="7A495620" w:rsidP="7A495620">
            <w:pPr>
              <w:jc w:val="right"/>
              <w:rPr>
                <w:sz w:val="20"/>
              </w:rPr>
            </w:pPr>
            <w:r w:rsidRPr="7A495620">
              <w:rPr>
                <w:color w:val="000000" w:themeColor="text1"/>
                <w:sz w:val="20"/>
              </w:rPr>
              <w:t>106,2</w:t>
            </w:r>
          </w:p>
        </w:tc>
      </w:tr>
      <w:tr w:rsidR="00E3220D" w:rsidRPr="00D82E5C" w14:paraId="595F2618" w14:textId="77777777" w:rsidTr="7A495620">
        <w:trPr>
          <w:trHeight w:val="549"/>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23A511" w14:textId="3DB255AC" w:rsidR="00E3220D" w:rsidRPr="00D82E5C" w:rsidRDefault="7A495620" w:rsidP="7A495620">
            <w:pPr>
              <w:spacing w:after="0"/>
              <w:ind w:left="284"/>
              <w:jc w:val="left"/>
              <w:rPr>
                <w:rFonts w:eastAsiaTheme="minorEastAsia"/>
                <w:i/>
                <w:iCs/>
                <w:color w:val="000000" w:themeColor="text1"/>
                <w:sz w:val="20"/>
              </w:rPr>
            </w:pPr>
            <w:r w:rsidRPr="7A495620">
              <w:rPr>
                <w:rFonts w:eastAsiaTheme="minorEastAsia"/>
                <w:i/>
                <w:iCs/>
                <w:color w:val="000000" w:themeColor="text1"/>
                <w:sz w:val="20"/>
              </w:rPr>
              <w:t>A települési önkormányzatok kulturális feladatainak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788056DD" w14:textId="14CE54FC" w:rsidR="00E3220D" w:rsidRPr="00F3470D" w:rsidRDefault="7A495620" w:rsidP="7A495620">
            <w:pPr>
              <w:jc w:val="right"/>
              <w:rPr>
                <w:sz w:val="20"/>
              </w:rPr>
            </w:pPr>
            <w:r w:rsidRPr="7A495620">
              <w:rPr>
                <w:color w:val="000000" w:themeColor="text1"/>
                <w:sz w:val="20"/>
              </w:rPr>
              <w:t>4,1</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E914662" w14:textId="51ABF45B" w:rsidR="00E3220D" w:rsidRPr="00F3470D" w:rsidRDefault="7A495620" w:rsidP="7A495620">
            <w:pPr>
              <w:jc w:val="right"/>
              <w:rPr>
                <w:sz w:val="20"/>
              </w:rPr>
            </w:pPr>
            <w:r w:rsidRPr="7A495620">
              <w:rPr>
                <w:color w:val="000000" w:themeColor="text1"/>
                <w:sz w:val="20"/>
              </w:rPr>
              <w:t>6,3</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645FF3B" w14:textId="04F79FB8" w:rsidR="00E3220D" w:rsidRPr="00F3470D" w:rsidRDefault="7A495620" w:rsidP="7A495620">
            <w:pPr>
              <w:jc w:val="right"/>
              <w:rPr>
                <w:sz w:val="20"/>
              </w:rPr>
            </w:pPr>
            <w:r w:rsidRPr="7A495620">
              <w:rPr>
                <w:color w:val="000000" w:themeColor="text1"/>
                <w:sz w:val="20"/>
              </w:rPr>
              <w:t>2,</w:t>
            </w:r>
            <w:proofErr w:type="spellStart"/>
            <w:r w:rsidRPr="7A495620">
              <w:rPr>
                <w:color w:val="000000" w:themeColor="text1"/>
                <w:sz w:val="20"/>
              </w:rPr>
              <w:t>2</w:t>
            </w:r>
            <w:proofErr w:type="spellEnd"/>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65D6E59" w14:textId="4816212E" w:rsidR="00E3220D" w:rsidRPr="00F3470D" w:rsidRDefault="7A495620" w:rsidP="7A495620">
            <w:pPr>
              <w:jc w:val="right"/>
              <w:rPr>
                <w:sz w:val="20"/>
              </w:rPr>
            </w:pPr>
            <w:r w:rsidRPr="7A495620">
              <w:rPr>
                <w:color w:val="000000" w:themeColor="text1"/>
                <w:sz w:val="20"/>
              </w:rPr>
              <w:t>153,7</w:t>
            </w:r>
          </w:p>
        </w:tc>
      </w:tr>
      <w:tr w:rsidR="00E3220D" w:rsidRPr="00D82E5C" w14:paraId="1EEE8222" w14:textId="77777777" w:rsidTr="7A495620">
        <w:trPr>
          <w:trHeight w:val="289"/>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4557C9" w14:textId="2F9DC39A" w:rsidR="00E3220D" w:rsidRPr="00D82E5C" w:rsidRDefault="7A495620" w:rsidP="7A495620">
            <w:pPr>
              <w:spacing w:after="0"/>
              <w:jc w:val="left"/>
              <w:rPr>
                <w:rFonts w:eastAsiaTheme="minorEastAsia"/>
                <w:b/>
                <w:bCs/>
                <w:color w:val="000000" w:themeColor="text1"/>
                <w:sz w:val="20"/>
              </w:rPr>
            </w:pPr>
            <w:r w:rsidRPr="7A495620">
              <w:rPr>
                <w:rFonts w:eastAsiaTheme="minorEastAsia"/>
                <w:b/>
                <w:bCs/>
                <w:color w:val="000000" w:themeColor="text1"/>
                <w:sz w:val="20"/>
              </w:rPr>
              <w:t>Helyi önkormányzatok kiegészítő támogatása</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9459788" w14:textId="6F3336E6" w:rsidR="00E3220D" w:rsidRPr="00D82E5C" w:rsidRDefault="7A495620" w:rsidP="7A495620">
            <w:pPr>
              <w:jc w:val="right"/>
              <w:rPr>
                <w:b/>
                <w:bCs/>
                <w:color w:val="000000" w:themeColor="text1"/>
                <w:sz w:val="20"/>
              </w:rPr>
            </w:pPr>
            <w:r w:rsidRPr="7A495620">
              <w:rPr>
                <w:b/>
                <w:bCs/>
                <w:color w:val="000000" w:themeColor="text1"/>
                <w:sz w:val="20"/>
              </w:rPr>
              <w:t>11,6</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6DD30A41" w14:textId="6E53AEBD" w:rsidR="00E3220D" w:rsidRPr="00D82E5C" w:rsidRDefault="7A495620" w:rsidP="7A495620">
            <w:pPr>
              <w:jc w:val="right"/>
              <w:rPr>
                <w:b/>
                <w:bCs/>
                <w:color w:val="000000" w:themeColor="text1"/>
                <w:sz w:val="20"/>
              </w:rPr>
            </w:pPr>
            <w:r w:rsidRPr="7A495620">
              <w:rPr>
                <w:b/>
                <w:bCs/>
                <w:color w:val="000000" w:themeColor="text1"/>
                <w:sz w:val="20"/>
              </w:rPr>
              <w:t>12,5</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43D5540" w14:textId="4FE32D85" w:rsidR="00E3220D" w:rsidRPr="00D82E5C" w:rsidRDefault="7A495620" w:rsidP="7A495620">
            <w:pPr>
              <w:jc w:val="right"/>
              <w:rPr>
                <w:b/>
                <w:bCs/>
                <w:color w:val="000000" w:themeColor="text1"/>
                <w:sz w:val="20"/>
              </w:rPr>
            </w:pPr>
            <w:r w:rsidRPr="7A495620">
              <w:rPr>
                <w:b/>
                <w:bCs/>
                <w:color w:val="000000" w:themeColor="text1"/>
                <w:sz w:val="20"/>
              </w:rPr>
              <w:t>0,9</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FFC58FB" w14:textId="56A1FFF4" w:rsidR="00E3220D" w:rsidRPr="00D82E5C" w:rsidRDefault="7A495620" w:rsidP="7A495620">
            <w:pPr>
              <w:jc w:val="right"/>
              <w:rPr>
                <w:b/>
                <w:bCs/>
                <w:color w:val="000000" w:themeColor="text1"/>
                <w:sz w:val="20"/>
              </w:rPr>
            </w:pPr>
            <w:r w:rsidRPr="7A495620">
              <w:rPr>
                <w:b/>
                <w:bCs/>
                <w:color w:val="000000" w:themeColor="text1"/>
                <w:sz w:val="20"/>
              </w:rPr>
              <w:t>107,8</w:t>
            </w:r>
          </w:p>
        </w:tc>
      </w:tr>
      <w:tr w:rsidR="00E3220D" w:rsidRPr="00D82E5C" w14:paraId="6960911B" w14:textId="77777777" w:rsidTr="7A495620">
        <w:trPr>
          <w:trHeight w:val="270"/>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0309E0" w14:textId="30A1286B" w:rsidR="00E3220D" w:rsidRPr="00D82E5C" w:rsidRDefault="7A495620" w:rsidP="7A495620">
            <w:pPr>
              <w:spacing w:after="0"/>
              <w:jc w:val="left"/>
              <w:rPr>
                <w:rFonts w:eastAsiaTheme="minorEastAsia"/>
                <w:b/>
                <w:bCs/>
                <w:color w:val="000000" w:themeColor="text1"/>
                <w:sz w:val="20"/>
              </w:rPr>
            </w:pPr>
            <w:r w:rsidRPr="7A495620">
              <w:rPr>
                <w:rFonts w:eastAsiaTheme="minorEastAsia"/>
                <w:b/>
                <w:bCs/>
                <w:color w:val="000000" w:themeColor="text1"/>
                <w:sz w:val="20"/>
              </w:rPr>
              <w:t>Év közben létrejött új jogcímek kiadásai</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729EA0B3" w14:textId="3481B3FB" w:rsidR="00E3220D" w:rsidRPr="00D82E5C" w:rsidRDefault="7A495620" w:rsidP="7A495620">
            <w:pPr>
              <w:jc w:val="right"/>
              <w:rPr>
                <w:b/>
                <w:bCs/>
                <w:color w:val="000000" w:themeColor="text1"/>
                <w:sz w:val="20"/>
              </w:rPr>
            </w:pPr>
            <w:r w:rsidRPr="7A495620">
              <w:rPr>
                <w:b/>
                <w:bCs/>
                <w:color w:val="000000" w:themeColor="text1"/>
                <w:sz w:val="20"/>
              </w:rPr>
              <w:t>5,7</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4A87FA6C" w14:textId="01B6219B" w:rsidR="00E3220D" w:rsidRPr="00D82E5C" w:rsidRDefault="7A495620" w:rsidP="7A495620">
            <w:pPr>
              <w:jc w:val="right"/>
              <w:rPr>
                <w:b/>
                <w:bCs/>
                <w:color w:val="000000" w:themeColor="text1"/>
                <w:sz w:val="20"/>
              </w:rPr>
            </w:pPr>
            <w:r w:rsidRPr="7A495620">
              <w:rPr>
                <w:b/>
                <w:bCs/>
                <w:color w:val="000000" w:themeColor="text1"/>
                <w:sz w:val="20"/>
              </w:rPr>
              <w:t>1,8</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5D9EE3C3" w14:textId="3A5E2BB6" w:rsidR="00E3220D" w:rsidRPr="00D82E5C" w:rsidRDefault="7A495620" w:rsidP="7A495620">
            <w:pPr>
              <w:jc w:val="right"/>
              <w:rPr>
                <w:b/>
                <w:bCs/>
                <w:color w:val="000000" w:themeColor="text1"/>
                <w:sz w:val="20"/>
              </w:rPr>
            </w:pPr>
            <w:r w:rsidRPr="7A495620">
              <w:rPr>
                <w:b/>
                <w:bCs/>
                <w:color w:val="000000" w:themeColor="text1"/>
                <w:sz w:val="20"/>
              </w:rPr>
              <w:t>-3,9</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394AA93" w14:textId="5AD43CC5" w:rsidR="00E3220D" w:rsidRPr="00D82E5C" w:rsidRDefault="7A495620" w:rsidP="7A495620">
            <w:pPr>
              <w:jc w:val="right"/>
              <w:rPr>
                <w:b/>
                <w:bCs/>
                <w:color w:val="000000" w:themeColor="text1"/>
                <w:sz w:val="20"/>
              </w:rPr>
            </w:pPr>
            <w:r w:rsidRPr="7A495620">
              <w:rPr>
                <w:b/>
                <w:bCs/>
                <w:color w:val="000000" w:themeColor="text1"/>
                <w:sz w:val="20"/>
              </w:rPr>
              <w:t>31,6</w:t>
            </w:r>
          </w:p>
        </w:tc>
      </w:tr>
      <w:tr w:rsidR="00E3220D" w:rsidRPr="00D82E5C" w14:paraId="587DB3EC" w14:textId="77777777" w:rsidTr="7A495620">
        <w:trPr>
          <w:trHeight w:val="333"/>
          <w:jc w:val="center"/>
        </w:trPr>
        <w:tc>
          <w:tcPr>
            <w:tcW w:w="440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8ABB27E" w14:textId="4DEB3310" w:rsidR="00E3220D" w:rsidRPr="00D82E5C" w:rsidRDefault="7A495620" w:rsidP="7A495620">
            <w:pPr>
              <w:spacing w:after="0"/>
              <w:jc w:val="left"/>
              <w:rPr>
                <w:rFonts w:eastAsiaTheme="minorEastAsia"/>
                <w:b/>
                <w:bCs/>
                <w:color w:val="000000" w:themeColor="text1"/>
                <w:sz w:val="20"/>
              </w:rPr>
            </w:pPr>
            <w:r w:rsidRPr="7A495620">
              <w:rPr>
                <w:rFonts w:eastAsiaTheme="minorEastAsia"/>
                <w:b/>
                <w:bCs/>
                <w:color w:val="000000" w:themeColor="text1"/>
                <w:sz w:val="20"/>
              </w:rPr>
              <w:t>Összesen</w:t>
            </w:r>
          </w:p>
        </w:tc>
        <w:tc>
          <w:tcPr>
            <w:tcW w:w="1124"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DEB6504" w14:textId="0C8C384A" w:rsidR="00E3220D" w:rsidRPr="00D82E5C" w:rsidRDefault="7A495620" w:rsidP="7A495620">
            <w:pPr>
              <w:jc w:val="right"/>
              <w:rPr>
                <w:b/>
                <w:bCs/>
                <w:color w:val="000000" w:themeColor="text1"/>
                <w:sz w:val="20"/>
              </w:rPr>
            </w:pPr>
            <w:r w:rsidRPr="7A495620">
              <w:rPr>
                <w:b/>
                <w:bCs/>
                <w:color w:val="000000" w:themeColor="text1"/>
                <w:sz w:val="20"/>
              </w:rPr>
              <w:t>190,7</w:t>
            </w:r>
          </w:p>
        </w:tc>
        <w:tc>
          <w:tcPr>
            <w:tcW w:w="1110"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3A8F0ABE" w14:textId="20172D05" w:rsidR="00E3220D" w:rsidRPr="00D82E5C" w:rsidRDefault="7A495620" w:rsidP="7A495620">
            <w:pPr>
              <w:jc w:val="right"/>
              <w:rPr>
                <w:b/>
                <w:bCs/>
                <w:color w:val="000000" w:themeColor="text1"/>
                <w:sz w:val="20"/>
              </w:rPr>
            </w:pPr>
            <w:r w:rsidRPr="7A495620">
              <w:rPr>
                <w:b/>
                <w:bCs/>
                <w:color w:val="000000" w:themeColor="text1"/>
                <w:sz w:val="20"/>
              </w:rPr>
              <w:t>224,3</w:t>
            </w:r>
          </w:p>
        </w:tc>
        <w:tc>
          <w:tcPr>
            <w:tcW w:w="888"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1C9BEF05" w14:textId="546EB1C1" w:rsidR="00E3220D" w:rsidRPr="00D82E5C" w:rsidRDefault="7A495620" w:rsidP="7A495620">
            <w:pPr>
              <w:jc w:val="right"/>
              <w:rPr>
                <w:b/>
                <w:bCs/>
                <w:color w:val="000000" w:themeColor="text1"/>
                <w:sz w:val="20"/>
              </w:rPr>
            </w:pPr>
            <w:r w:rsidRPr="7A495620">
              <w:rPr>
                <w:b/>
                <w:bCs/>
                <w:color w:val="000000" w:themeColor="text1"/>
                <w:sz w:val="20"/>
              </w:rPr>
              <w:t>33,6</w:t>
            </w:r>
          </w:p>
        </w:tc>
        <w:tc>
          <w:tcPr>
            <w:tcW w:w="733" w:type="dxa"/>
            <w:tcBorders>
              <w:top w:val="single" w:sz="8" w:space="0" w:color="auto"/>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tcPr>
          <w:p w14:paraId="252D5E0C" w14:textId="421D4AB0" w:rsidR="00E3220D" w:rsidRPr="00D82E5C" w:rsidRDefault="7A495620" w:rsidP="7A495620">
            <w:pPr>
              <w:jc w:val="right"/>
              <w:rPr>
                <w:b/>
                <w:bCs/>
                <w:color w:val="000000" w:themeColor="text1"/>
                <w:sz w:val="20"/>
              </w:rPr>
            </w:pPr>
            <w:r w:rsidRPr="7A495620">
              <w:rPr>
                <w:b/>
                <w:bCs/>
                <w:color w:val="000000" w:themeColor="text1"/>
                <w:sz w:val="20"/>
              </w:rPr>
              <w:t>117,6</w:t>
            </w:r>
          </w:p>
        </w:tc>
      </w:tr>
    </w:tbl>
    <w:p w14:paraId="648D49E2" w14:textId="77777777" w:rsidR="00A567A5" w:rsidRDefault="00A567A5" w:rsidP="51CD5D50">
      <w:pPr>
        <w:spacing w:before="240"/>
        <w:rPr>
          <w:sz w:val="24"/>
          <w:szCs w:val="24"/>
        </w:rPr>
      </w:pPr>
    </w:p>
    <w:p w14:paraId="732F0D23" w14:textId="0314E2ED" w:rsidR="4922EFEB" w:rsidRDefault="7A495620" w:rsidP="4922EFEB">
      <w:r>
        <w:t>Az „</w:t>
      </w:r>
      <w:r w:rsidRPr="7A495620">
        <w:rPr>
          <w:b/>
          <w:bCs/>
        </w:rPr>
        <w:t>Uniós programok kiadásai”</w:t>
      </w:r>
      <w:r w:rsidRPr="7A495620">
        <w:rPr>
          <w:i/>
          <w:iCs/>
        </w:rPr>
        <w:t xml:space="preserve"> </w:t>
      </w:r>
      <w:r>
        <w:t>mérlegsoron 2021 első három hónapjában 615,6</w:t>
      </w:r>
      <w:r w:rsidR="006E5080">
        <w:t> </w:t>
      </w:r>
      <w:r>
        <w:t>milliárd forint összegű kifizetés történt, amely az éves előirányzat 38,4%-os teljesítését jelenti. A felmerült kiadások túlnyomó részét a 2014-2020-as programozási időszak kohéziós operatív programjai adták, összesen 54</w:t>
      </w:r>
      <w:r w:rsidR="00592782">
        <w:t>5,3</w:t>
      </w:r>
      <w:r w:rsidR="00787E12">
        <w:t> </w:t>
      </w:r>
      <w:r>
        <w:t xml:space="preserve">milliárd forint </w:t>
      </w:r>
      <w:r w:rsidR="00787E12">
        <w:t>összegben</w:t>
      </w:r>
      <w:r>
        <w:t xml:space="preserve">. </w:t>
      </w:r>
      <w:r w:rsidR="00794BEC">
        <w:t>Ebből m</w:t>
      </w:r>
      <w:r>
        <w:t>árcius végéig a legjobban teljesítő operatív programok: a Gazdaságfejlesztés és Innovációs Operatív Program 246,4</w:t>
      </w:r>
      <w:r w:rsidR="007F49E7">
        <w:t> </w:t>
      </w:r>
      <w:r>
        <w:t>milliárd forint, az Integrált Közlekedésfejlesztési Operatív Program 124,2</w:t>
      </w:r>
      <w:r w:rsidR="007F49E7">
        <w:t> </w:t>
      </w:r>
      <w:r>
        <w:t>milliárd forint, valamint a Terület- és Településfejlesztési Operatív Program 74</w:t>
      </w:r>
      <w:r w:rsidR="00B938CE">
        <w:t>,1</w:t>
      </w:r>
      <w:r w:rsidR="007F49E7">
        <w:t> </w:t>
      </w:r>
      <w:r>
        <w:t>milliárd forint kifizetéssel.</w:t>
      </w:r>
    </w:p>
    <w:p w14:paraId="70B9CD3B" w14:textId="596D9339" w:rsidR="7A495620" w:rsidRDefault="7A495620" w:rsidP="7A495620">
      <w:pPr>
        <w:rPr>
          <w:szCs w:val="26"/>
        </w:rPr>
      </w:pPr>
      <w:r>
        <w:t xml:space="preserve">Az </w:t>
      </w:r>
      <w:r w:rsidRPr="7A495620">
        <w:rPr>
          <w:b/>
          <w:bCs/>
        </w:rPr>
        <w:t>állami vagyonnal kapcsolatos kiadások</w:t>
      </w:r>
      <w:r>
        <w:t xml:space="preserve"> </w:t>
      </w:r>
      <w:r w:rsidRPr="7A495620">
        <w:rPr>
          <w:szCs w:val="26"/>
        </w:rPr>
        <w:t>márciusi végi összege 93,1</w:t>
      </w:r>
      <w:r w:rsidR="00BC6107">
        <w:rPr>
          <w:szCs w:val="26"/>
        </w:rPr>
        <w:t> </w:t>
      </w:r>
      <w:r w:rsidRPr="7A495620">
        <w:rPr>
          <w:szCs w:val="26"/>
        </w:rPr>
        <w:t xml:space="preserve">milliárd forint volt, amelynek fő tételei a Paks II. Atomerőmű </w:t>
      </w:r>
      <w:proofErr w:type="spellStart"/>
      <w:r w:rsidRPr="7A495620">
        <w:rPr>
          <w:szCs w:val="26"/>
        </w:rPr>
        <w:t>Zrt</w:t>
      </w:r>
      <w:proofErr w:type="spellEnd"/>
      <w:r w:rsidRPr="7A495620">
        <w:rPr>
          <w:szCs w:val="26"/>
        </w:rPr>
        <w:t>. tőkeemelésével kapcsolatos 44,6</w:t>
      </w:r>
      <w:r w:rsidR="00BC6107">
        <w:rPr>
          <w:szCs w:val="26"/>
        </w:rPr>
        <w:t> </w:t>
      </w:r>
      <w:r w:rsidRPr="7A495620">
        <w:rPr>
          <w:szCs w:val="26"/>
        </w:rPr>
        <w:t xml:space="preserve">milliárd </w:t>
      </w:r>
      <w:r w:rsidR="006A2166">
        <w:rPr>
          <w:szCs w:val="26"/>
        </w:rPr>
        <w:t xml:space="preserve">forintos </w:t>
      </w:r>
      <w:r w:rsidRPr="7A495620">
        <w:rPr>
          <w:szCs w:val="26"/>
        </w:rPr>
        <w:t>és a Kiemelt Kormányzati Magasépítési Beruházásokkal összefüggő 24,1</w:t>
      </w:r>
      <w:r w:rsidR="00BC6107">
        <w:rPr>
          <w:szCs w:val="26"/>
        </w:rPr>
        <w:t> </w:t>
      </w:r>
      <w:r w:rsidRPr="7A495620">
        <w:rPr>
          <w:szCs w:val="26"/>
        </w:rPr>
        <w:t>milliárd forintos összegek. E</w:t>
      </w:r>
      <w:r w:rsidR="006A2166">
        <w:rPr>
          <w:szCs w:val="26"/>
        </w:rPr>
        <w:t>nnek</w:t>
      </w:r>
      <w:r w:rsidRPr="7A495620">
        <w:rPr>
          <w:szCs w:val="26"/>
        </w:rPr>
        <w:t xml:space="preserve"> összetételét az alábbi diagram mutatja be:</w:t>
      </w:r>
    </w:p>
    <w:p w14:paraId="52DDBE1C" w14:textId="71AD9E35" w:rsidR="28C51222" w:rsidRDefault="28C51222" w:rsidP="28C51222"/>
    <w:p w14:paraId="44C5DACE" w14:textId="76CB059C" w:rsidR="00963A78" w:rsidRDefault="00373CF0" w:rsidP="005A23F5">
      <w:r>
        <w:rPr>
          <w:noProof/>
        </w:rPr>
        <w:lastRenderedPageBreak/>
        <w:drawing>
          <wp:inline distT="0" distB="0" distL="0" distR="0" wp14:anchorId="65A32549" wp14:editId="3125FCCD">
            <wp:extent cx="5940425" cy="3749675"/>
            <wp:effectExtent l="0" t="0" r="3175" b="3175"/>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yon_kiadások.png"/>
                    <pic:cNvPicPr/>
                  </pic:nvPicPr>
                  <pic:blipFill>
                    <a:blip r:embed="rId19">
                      <a:extLst>
                        <a:ext uri="{28A0092B-C50C-407E-A947-70E740481C1C}">
                          <a14:useLocalDpi xmlns:a14="http://schemas.microsoft.com/office/drawing/2010/main" val="0"/>
                        </a:ext>
                      </a:extLst>
                    </a:blip>
                    <a:stretch>
                      <a:fillRect/>
                    </a:stretch>
                  </pic:blipFill>
                  <pic:spPr>
                    <a:xfrm>
                      <a:off x="0" y="0"/>
                      <a:ext cx="5940425" cy="3749675"/>
                    </a:xfrm>
                    <a:prstGeom prst="rect">
                      <a:avLst/>
                    </a:prstGeom>
                  </pic:spPr>
                </pic:pic>
              </a:graphicData>
            </a:graphic>
          </wp:inline>
        </w:drawing>
      </w:r>
    </w:p>
    <w:p w14:paraId="196020C9" w14:textId="77777777" w:rsidR="00373CF0" w:rsidRPr="004A7167" w:rsidRDefault="00373CF0" w:rsidP="005A23F5"/>
    <w:p w14:paraId="4D1F10C8" w14:textId="6B9434F6" w:rsidR="6CFC9418" w:rsidRDefault="7A495620" w:rsidP="6CFC9418">
      <w:r>
        <w:t>A „</w:t>
      </w:r>
      <w:r w:rsidRPr="7A495620">
        <w:rPr>
          <w:b/>
          <w:bCs/>
        </w:rPr>
        <w:t>Hozzájárulás az EU költségvetéséhez</w:t>
      </w:r>
      <w:r>
        <w:t>” mérlegsoron 2021. március végéig 175,2</w:t>
      </w:r>
      <w:r w:rsidR="00A252CD">
        <w:t> </w:t>
      </w:r>
      <w:r>
        <w:t>milliárd forint kiadás teljesült, ami az éves előirányzat 38,9%-</w:t>
      </w:r>
      <w:proofErr w:type="gramStart"/>
      <w:r>
        <w:t>a.</w:t>
      </w:r>
      <w:proofErr w:type="gramEnd"/>
      <w:r>
        <w:t xml:space="preserve"> E</w:t>
      </w:r>
      <w:r w:rsidR="00A252CD">
        <w:t xml:space="preserve"> hozzájárulás</w:t>
      </w:r>
      <w:r>
        <w:t xml:space="preserve"> 49,1</w:t>
      </w:r>
      <w:r w:rsidR="00A252CD">
        <w:t> </w:t>
      </w:r>
      <w:r>
        <w:t>milliárd forinttal halad</w:t>
      </w:r>
      <w:r w:rsidR="00A252CD">
        <w:t>t</w:t>
      </w:r>
      <w:r>
        <w:t>a meg a 2020. év azonos időszakában teljesített kiadást.</w:t>
      </w:r>
    </w:p>
    <w:p w14:paraId="34E804CE" w14:textId="473821AF" w:rsidR="00263E15" w:rsidRPr="00263E15" w:rsidRDefault="7A495620" w:rsidP="00263E15">
      <w:r w:rsidRPr="7A495620">
        <w:rPr>
          <w:b/>
          <w:bCs/>
        </w:rPr>
        <w:t>A Nemzeti Kutatási, Fejlesztési és Innovációs Alapból</w:t>
      </w:r>
      <w:r>
        <w:t xml:space="preserve"> (NKFI Alap) az alaprészekre együttesen 22,8 milliárd forint teljesült, melyből 14,6 milliárd forint Kutatási Alaprészen, 8,2 milliárd forint pedig az Innovációs Alaprészen keresztül valósult meg. Az NKFI Alapba az innovációs járulékból 19,8 milliárd forint folyt be, ami az éves előirányzat 23,3%-</w:t>
      </w:r>
      <w:proofErr w:type="gramStart"/>
      <w:r>
        <w:t>a.</w:t>
      </w:r>
      <w:proofErr w:type="gramEnd"/>
      <w:r>
        <w:t xml:space="preserve"> Az NKFI Alap rendelkezésére álló forrásokat 11,0 milliárd forint költségvetési támogatás egészítette ki.</w:t>
      </w:r>
    </w:p>
    <w:p w14:paraId="484C9C76" w14:textId="1865E86E" w:rsidR="00263E15" w:rsidRPr="00263E15" w:rsidRDefault="7A495620" w:rsidP="00263E15">
      <w:r w:rsidRPr="7A495620">
        <w:rPr>
          <w:b/>
          <w:bCs/>
        </w:rPr>
        <w:t>A Gazdaságvédelmi Foglalkoztatási Alap</w:t>
      </w:r>
      <w:r>
        <w:t xml:space="preserve"> (GFA) kiadásai es</w:t>
      </w:r>
      <w:r w:rsidR="0020181C">
        <w:t>e</w:t>
      </w:r>
      <w:bookmarkStart w:id="1" w:name="_GoBack"/>
      <w:bookmarkEnd w:id="1"/>
      <w:r>
        <w:t xml:space="preserve">tében a </w:t>
      </w:r>
      <w:r w:rsidR="00E37784">
        <w:t>S</w:t>
      </w:r>
      <w:r>
        <w:t xml:space="preserve">tartmunka-programra </w:t>
      </w:r>
      <w:r w:rsidR="00B53F1D">
        <w:t xml:space="preserve">március végéig </w:t>
      </w:r>
      <w:r>
        <w:t>50,0 milliárd forint teljesült, mely 1</w:t>
      </w:r>
      <w:r w:rsidR="00BF2E1A">
        <w:t>7,0</w:t>
      </w:r>
      <w:r>
        <w:t xml:space="preserve"> milliárd forinttal haladta </w:t>
      </w:r>
      <w:r w:rsidR="00E37784">
        <w:t xml:space="preserve">meg </w:t>
      </w:r>
      <w:r>
        <w:t xml:space="preserve">az előző évi </w:t>
      </w:r>
      <w:r w:rsidR="00BF2E1A">
        <w:t>összeget</w:t>
      </w:r>
      <w:r>
        <w:t xml:space="preserve">. Az </w:t>
      </w:r>
      <w:r w:rsidR="00E30FB7">
        <w:t>EU-s</w:t>
      </w:r>
      <w:r>
        <w:t xml:space="preserve"> elő- és társfinanszírozásra, tavalyi </w:t>
      </w:r>
      <w:r w:rsidR="00E30FB7">
        <w:t>összeghez</w:t>
      </w:r>
      <w:r>
        <w:t xml:space="preserve"> képest 0,</w:t>
      </w:r>
      <w:r w:rsidR="00494A5F">
        <w:t>4</w:t>
      </w:r>
      <w:r>
        <w:t> milliárd forinttal kevesebbet, 15,</w:t>
      </w:r>
      <w:r w:rsidR="00494A5F">
        <w:t>1</w:t>
      </w:r>
      <w:r>
        <w:t xml:space="preserve"> milliárd forintot fordítottak. A </w:t>
      </w:r>
      <w:r w:rsidR="00D60781">
        <w:t>M</w:t>
      </w:r>
      <w:r>
        <w:t xml:space="preserve">unkahely-megtartási program keretében jelentős összeget, 54,6 milliárd forintot fizettek ki a GFA-ból a bértámogatásra. A bevételi oldalon összesen 116,7 milliárd forint </w:t>
      </w:r>
      <w:proofErr w:type="gramStart"/>
      <w:r>
        <w:t>realizálódott</w:t>
      </w:r>
      <w:proofErr w:type="gramEnd"/>
      <w:r>
        <w:t>, döntő részben a szakképzési hozzájárulásból</w:t>
      </w:r>
      <w:r w:rsidR="00C77AF9">
        <w:t xml:space="preserve"> (28,7 milliárd forint)</w:t>
      </w:r>
      <w:r>
        <w:t xml:space="preserve"> </w:t>
      </w:r>
      <w:r w:rsidR="002674CE">
        <w:t xml:space="preserve">és </w:t>
      </w:r>
      <w:r>
        <w:t>a társadalombiztosítási járulék GFA-t megillető részéből</w:t>
      </w:r>
      <w:r w:rsidR="00C77AF9">
        <w:t xml:space="preserve"> (60,1 milliárd forint).</w:t>
      </w:r>
    </w:p>
    <w:p w14:paraId="32748FF0" w14:textId="4899A28F" w:rsidR="00263E15" w:rsidRPr="00263E15" w:rsidRDefault="7A495620" w:rsidP="00263E15">
      <w:r w:rsidRPr="7A495620">
        <w:rPr>
          <w:b/>
          <w:bCs/>
        </w:rPr>
        <w:t>A Bethlen Gábor Alap</w:t>
      </w:r>
      <w:r>
        <w:t xml:space="preserve"> (BGA) kiadásaiból a nemzetpolitikai célokra </w:t>
      </w:r>
      <w:r w:rsidR="00B10116">
        <w:t xml:space="preserve">március végéig </w:t>
      </w:r>
      <w:r>
        <w:t>3,1 milliárd forint teljesült, az alapból nyújtott támogatások a BGA irányítását ellátó Bizottság döntései alapján, ütemezetten kerültek kifizetésre.</w:t>
      </w:r>
    </w:p>
    <w:p w14:paraId="128A9625" w14:textId="3FB238A3" w:rsidR="00D339FF" w:rsidRDefault="7A495620" w:rsidP="00A10884">
      <w:pPr>
        <w:spacing w:before="120"/>
      </w:pPr>
      <w:r>
        <w:t xml:space="preserve">A 2021. év első negyedévi </w:t>
      </w:r>
      <w:r w:rsidRPr="7A495620">
        <w:rPr>
          <w:b/>
          <w:bCs/>
        </w:rPr>
        <w:t>nyugdíjkiadásai</w:t>
      </w:r>
      <w:r>
        <w:t xml:space="preserve"> 1024,</w:t>
      </w:r>
      <w:r w:rsidR="000841DC">
        <w:t>2</w:t>
      </w:r>
      <w:r>
        <w:t xml:space="preserve"> milliárd forintban teljesültek, ami 120,7 milliárd forinttal haladta meg az előző évi első negyedévi kiadásokat. Az előző év azonos időszakához viszonyított kiadásnövekedésből 77,8 milliárd forintot tett ki a 13. havi nyugellátások február havi kifizetése, a fennmaradó 42,9 milliárd forint kiadási </w:t>
      </w:r>
      <w:r>
        <w:lastRenderedPageBreak/>
        <w:t xml:space="preserve">többletet az év elején végrehajtott 3,0%-os nyugdíjemelés, a tavaly év végén végrehajtott 1,2%-os kiegészítő nyugdíjemelés, valamint a létszámváltozás és a cserélődési hatás együttes eredményeként jelentkező ellátási átlagok növekedése okozta. </w:t>
      </w:r>
    </w:p>
    <w:p w14:paraId="5AFE7CA8" w14:textId="77777777" w:rsidR="00915A04" w:rsidRDefault="00915A04" w:rsidP="00BE684B"/>
    <w:p w14:paraId="4F8C34FB" w14:textId="3D32A46E" w:rsidR="00BD09BA" w:rsidRDefault="008250BA" w:rsidP="00BE684B">
      <w:r>
        <w:rPr>
          <w:noProof/>
        </w:rPr>
        <w:drawing>
          <wp:inline distT="0" distB="0" distL="0" distR="0" wp14:anchorId="5ADAF410" wp14:editId="36E9E062">
            <wp:extent cx="5940425" cy="2205990"/>
            <wp:effectExtent l="0" t="0" r="3175" b="381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ugellatasi_kiadasok.png"/>
                    <pic:cNvPicPr/>
                  </pic:nvPicPr>
                  <pic:blipFill>
                    <a:blip r:embed="rId20">
                      <a:extLst>
                        <a:ext uri="{28A0092B-C50C-407E-A947-70E740481C1C}">
                          <a14:useLocalDpi xmlns:a14="http://schemas.microsoft.com/office/drawing/2010/main" val="0"/>
                        </a:ext>
                      </a:extLst>
                    </a:blip>
                    <a:stretch>
                      <a:fillRect/>
                    </a:stretch>
                  </pic:blipFill>
                  <pic:spPr>
                    <a:xfrm>
                      <a:off x="0" y="0"/>
                      <a:ext cx="5940425" cy="2205990"/>
                    </a:xfrm>
                    <a:prstGeom prst="rect">
                      <a:avLst/>
                    </a:prstGeom>
                  </pic:spPr>
                </pic:pic>
              </a:graphicData>
            </a:graphic>
          </wp:inline>
        </w:drawing>
      </w:r>
    </w:p>
    <w:p w14:paraId="312964FB" w14:textId="77777777" w:rsidR="008250BA" w:rsidRDefault="008250BA" w:rsidP="00BE684B"/>
    <w:p w14:paraId="35A21E15" w14:textId="374F3B7B" w:rsidR="00A85E31" w:rsidRDefault="7A495620" w:rsidP="00BE684B">
      <w:r>
        <w:t>A nyugellátási kiadásokon belül a korbetöltött öregségi nyugellátások 4,3%-kal, a nők 40 éves jogosultsági idejével igénybe vehető korhatár alatti ellátások (nők40) pedig 11,9%-kal haladták meg a tavalyi év azonos időszakának kiadásait. A kiadásnövekedés eltérő mértékének magyarázata az, hogy a 2020. évben az öregségi nyugdíjkorhatár 64,5 évre emelkedett, így az 1956-ban születettek csak a tavalyi év második felétől váltak jogosulttá öregségi nyugellátásra, aminek következtében a korbetöltöttek létszáma 2021. március hónapban 23 936 fővel lett alacsonyabb az előző év márciusi létszámánál. A korbetöltött ellátások esetében a létszámcsökkenés részben ellensúlyozza a nyugdíjemelés kiadásnövelő hatását.</w:t>
      </w:r>
    </w:p>
    <w:p w14:paraId="02FA5432" w14:textId="70A228AF" w:rsidR="003F0C86" w:rsidRDefault="7A495620" w:rsidP="00BE684B">
      <w:r>
        <w:t>A nők 40 éves jogosultsági idejével igénybe vehető korhatár alatti ellátások megállapítására a korhatáremelésnek nincs szüneteltető hatása, így az ezen a jogcímen igénybe vett korhatár alatti ellátások létszáma 670 fővel magasabb az előző év márciusi létszámadatnál. A létszámnövekedés és a nyugdíjemelés együttes hatása eredményezte a magasabb növekedési index kialakulását.</w:t>
      </w:r>
    </w:p>
    <w:p w14:paraId="05894CAA" w14:textId="77777777" w:rsidR="00C642EE" w:rsidRDefault="00C642EE" w:rsidP="00D93DBE">
      <w:r>
        <w:rPr>
          <w:noProof/>
        </w:rPr>
        <w:lastRenderedPageBreak/>
        <w:drawing>
          <wp:inline distT="0" distB="0" distL="0" distR="0" wp14:anchorId="303D580E" wp14:editId="7B7B9393">
            <wp:extent cx="5940425" cy="3666490"/>
            <wp:effectExtent l="0" t="0" r="3175" b="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segi_nyugdij_letszam.PNG"/>
                    <pic:cNvPicPr/>
                  </pic:nvPicPr>
                  <pic:blipFill>
                    <a:blip r:embed="rId21">
                      <a:extLst>
                        <a:ext uri="{28A0092B-C50C-407E-A947-70E740481C1C}">
                          <a14:useLocalDpi xmlns:a14="http://schemas.microsoft.com/office/drawing/2010/main" val="0"/>
                        </a:ext>
                      </a:extLst>
                    </a:blip>
                    <a:stretch>
                      <a:fillRect/>
                    </a:stretch>
                  </pic:blipFill>
                  <pic:spPr>
                    <a:xfrm>
                      <a:off x="0" y="0"/>
                      <a:ext cx="5940425" cy="3666490"/>
                    </a:xfrm>
                    <a:prstGeom prst="rect">
                      <a:avLst/>
                    </a:prstGeom>
                  </pic:spPr>
                </pic:pic>
              </a:graphicData>
            </a:graphic>
          </wp:inline>
        </w:drawing>
      </w:r>
    </w:p>
    <w:p w14:paraId="533CEF73" w14:textId="7F4EC868" w:rsidR="00D57C15" w:rsidRDefault="7A495620" w:rsidP="00D93DBE">
      <w:r>
        <w:t xml:space="preserve">A korhatáremelés szabályai következtében az 1956-ban születettek korosztálya 2020. július 1-jétől 2021. június 30-áig tölti be az öregségi nyugellátásra előírt korhatárt, amelynek következtében az öregségi nyugellátásra jogosultak létszáma a tárgyév közepéig várhatóan folyamatosan növekszik. A nők40 jogcímen jogosultak közül a korhatárt betöltők az év közepéig folyamatosan kerülnek át az öregségi </w:t>
      </w:r>
      <w:proofErr w:type="spellStart"/>
      <w:r>
        <w:t>nyugellátottak</w:t>
      </w:r>
      <w:proofErr w:type="spellEnd"/>
      <w:r>
        <w:t xml:space="preserve"> közé, ami ugyancsak tovább növeli a korbetöltött létszámot, és folyamatosan csökkenti a nők40 ellátási jogcímen jogosultak létszámát. </w:t>
      </w:r>
    </w:p>
    <w:p w14:paraId="1329EEB9" w14:textId="77777777" w:rsidR="001A51C1" w:rsidRDefault="001A51C1" w:rsidP="00D93DBE"/>
    <w:p w14:paraId="24C239F1" w14:textId="77777777" w:rsidR="0080719D" w:rsidRDefault="7A495620" w:rsidP="00D93DBE">
      <w:r w:rsidRPr="7A495620">
        <w:rPr>
          <w:b/>
          <w:bCs/>
        </w:rPr>
        <w:t>Az Egészségbiztosítási Alap kiadásainak</w:t>
      </w:r>
      <w:r>
        <w:t xml:space="preserve"> összetételét a következő ábra mutatja be:</w:t>
      </w:r>
    </w:p>
    <w:p w14:paraId="7EC3C1C8" w14:textId="643A0827" w:rsidR="001C4D7A" w:rsidRDefault="001C4D7A" w:rsidP="00D93DBE">
      <w:r>
        <w:rPr>
          <w:noProof/>
        </w:rPr>
        <w:drawing>
          <wp:inline distT="0" distB="0" distL="0" distR="0" wp14:anchorId="2157B369" wp14:editId="52E90260">
            <wp:extent cx="5940425" cy="2357120"/>
            <wp:effectExtent l="0" t="0" r="3175" b="508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lap_kiadásai.png"/>
                    <pic:cNvPicPr/>
                  </pic:nvPicPr>
                  <pic:blipFill>
                    <a:blip r:embed="rId22">
                      <a:extLst>
                        <a:ext uri="{28A0092B-C50C-407E-A947-70E740481C1C}">
                          <a14:useLocalDpi xmlns:a14="http://schemas.microsoft.com/office/drawing/2010/main" val="0"/>
                        </a:ext>
                      </a:extLst>
                    </a:blip>
                    <a:stretch>
                      <a:fillRect/>
                    </a:stretch>
                  </pic:blipFill>
                  <pic:spPr>
                    <a:xfrm>
                      <a:off x="0" y="0"/>
                      <a:ext cx="5940425" cy="2357120"/>
                    </a:xfrm>
                    <a:prstGeom prst="rect">
                      <a:avLst/>
                    </a:prstGeom>
                  </pic:spPr>
                </pic:pic>
              </a:graphicData>
            </a:graphic>
          </wp:inline>
        </w:drawing>
      </w:r>
    </w:p>
    <w:p w14:paraId="346DACE8" w14:textId="1FDBEE88" w:rsidR="00BE3486" w:rsidRDefault="00BE3486" w:rsidP="00D93DBE">
      <w:r>
        <w:br w:type="page"/>
      </w:r>
    </w:p>
    <w:p w14:paraId="3D681EC3" w14:textId="3616706C" w:rsidR="002218A2" w:rsidRDefault="7A495620" w:rsidP="7A495620">
      <w:pPr>
        <w:rPr>
          <w:rFonts w:eastAsia="Calibri"/>
        </w:rPr>
      </w:pPr>
      <w:r w:rsidRPr="7A495620">
        <w:rPr>
          <w:rFonts w:eastAsia="Calibri"/>
        </w:rPr>
        <w:lastRenderedPageBreak/>
        <w:t>Az Egészségbiztosítási Alap</w:t>
      </w:r>
      <w:r w:rsidRPr="7A495620">
        <w:rPr>
          <w:rFonts w:eastAsia="Calibri"/>
          <w:b/>
          <w:bCs/>
        </w:rPr>
        <w:t xml:space="preserve"> </w:t>
      </w:r>
      <w:r w:rsidRPr="7A495620">
        <w:rPr>
          <w:rFonts w:eastAsia="Calibri"/>
        </w:rPr>
        <w:t xml:space="preserve">összes kiadásának 24,1%-át a </w:t>
      </w:r>
      <w:r w:rsidRPr="7A495620">
        <w:rPr>
          <w:rFonts w:eastAsia="Calibri"/>
          <w:b/>
          <w:bCs/>
        </w:rPr>
        <w:t>pénzbeli ellátásokra</w:t>
      </w:r>
      <w:r w:rsidRPr="7A495620">
        <w:rPr>
          <w:rFonts w:eastAsia="Calibri"/>
        </w:rPr>
        <w:t xml:space="preserve"> fordított összeg adta. Az ellátások részletes bemutatását a következő táblázat tartalmazza: </w:t>
      </w:r>
    </w:p>
    <w:tbl>
      <w:tblPr>
        <w:tblW w:w="7230" w:type="dxa"/>
        <w:tblInd w:w="779" w:type="dxa"/>
        <w:tblLayout w:type="fixed"/>
        <w:tblCellMar>
          <w:left w:w="70" w:type="dxa"/>
          <w:right w:w="70" w:type="dxa"/>
        </w:tblCellMar>
        <w:tblLook w:val="04A0" w:firstRow="1" w:lastRow="0" w:firstColumn="1" w:lastColumn="0" w:noHBand="0" w:noVBand="1"/>
      </w:tblPr>
      <w:tblGrid>
        <w:gridCol w:w="3827"/>
        <w:gridCol w:w="993"/>
        <w:gridCol w:w="992"/>
        <w:gridCol w:w="753"/>
        <w:gridCol w:w="665"/>
      </w:tblGrid>
      <w:tr w:rsidR="007A0A81" w:rsidRPr="00803AEA" w14:paraId="3F602428" w14:textId="77777777" w:rsidTr="7A495620">
        <w:trPr>
          <w:trHeight w:val="227"/>
        </w:trPr>
        <w:tc>
          <w:tcPr>
            <w:tcW w:w="7230" w:type="dxa"/>
            <w:gridSpan w:val="5"/>
            <w:tcBorders>
              <w:top w:val="nil"/>
              <w:left w:val="nil"/>
              <w:bottom w:val="nil"/>
              <w:right w:val="nil"/>
            </w:tcBorders>
            <w:shd w:val="clear" w:color="auto" w:fill="auto"/>
            <w:vAlign w:val="center"/>
            <w:hideMark/>
          </w:tcPr>
          <w:p w14:paraId="692EB199" w14:textId="28A3D02D" w:rsidR="007A0A81" w:rsidRPr="00803AEA" w:rsidRDefault="7A495620" w:rsidP="7A495620">
            <w:pPr>
              <w:jc w:val="center"/>
              <w:rPr>
                <w:b/>
                <w:bCs/>
                <w:color w:val="000000" w:themeColor="text1"/>
                <w:sz w:val="20"/>
              </w:rPr>
            </w:pPr>
            <w:r w:rsidRPr="7A495620">
              <w:rPr>
                <w:b/>
                <w:bCs/>
                <w:color w:val="000000" w:themeColor="text1"/>
                <w:sz w:val="20"/>
              </w:rPr>
              <w:t xml:space="preserve"> Az Egészségbiztosítási Alap pénzbeli ellátásokra fordított kiadásainak alakulása (milliárd forint)</w:t>
            </w:r>
          </w:p>
        </w:tc>
      </w:tr>
      <w:tr w:rsidR="007A0A81" w:rsidRPr="00DB479B" w14:paraId="49990F57" w14:textId="77777777" w:rsidTr="7A495620">
        <w:trPr>
          <w:trHeight w:val="306"/>
        </w:trPr>
        <w:tc>
          <w:tcPr>
            <w:tcW w:w="3827"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657E9BF" w14:textId="77777777" w:rsidR="007A0A81" w:rsidRPr="00DB479B" w:rsidRDefault="7A495620" w:rsidP="7A495620">
            <w:pPr>
              <w:spacing w:after="0"/>
              <w:jc w:val="center"/>
              <w:rPr>
                <w:b/>
                <w:bCs/>
                <w:sz w:val="20"/>
              </w:rPr>
            </w:pPr>
            <w:r w:rsidRPr="7A495620">
              <w:rPr>
                <w:b/>
                <w:bCs/>
                <w:sz w:val="20"/>
              </w:rPr>
              <w:t>Megnevezés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AF2EB5" w14:textId="60F0241D" w:rsidR="007A0A81" w:rsidRPr="00DB479B" w:rsidRDefault="7A495620" w:rsidP="7A495620">
            <w:pPr>
              <w:spacing w:after="0"/>
              <w:jc w:val="center"/>
              <w:rPr>
                <w:b/>
                <w:bCs/>
                <w:sz w:val="20"/>
              </w:rPr>
            </w:pPr>
            <w:r w:rsidRPr="7A495620">
              <w:rPr>
                <w:b/>
                <w:bCs/>
                <w:sz w:val="20"/>
              </w:rPr>
              <w:t xml:space="preserve">2020. </w:t>
            </w:r>
            <w:r w:rsidR="30891728">
              <w:br/>
            </w:r>
            <w:r w:rsidRPr="7A495620">
              <w:rPr>
                <w:b/>
                <w:bCs/>
                <w:sz w:val="20"/>
              </w:rPr>
              <w:t>I-III. hó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9FCC4A" w14:textId="7244AB7A" w:rsidR="007A0A81" w:rsidRPr="00DB479B" w:rsidRDefault="7A495620" w:rsidP="7A495620">
            <w:pPr>
              <w:spacing w:after="0"/>
              <w:jc w:val="center"/>
              <w:rPr>
                <w:b/>
                <w:bCs/>
                <w:sz w:val="20"/>
              </w:rPr>
            </w:pPr>
            <w:r w:rsidRPr="7A495620">
              <w:rPr>
                <w:b/>
                <w:bCs/>
                <w:sz w:val="20"/>
              </w:rPr>
              <w:t>2021.</w:t>
            </w:r>
            <w:r w:rsidR="30891728">
              <w:br/>
            </w:r>
            <w:r w:rsidRPr="7A495620">
              <w:rPr>
                <w:b/>
                <w:bCs/>
                <w:sz w:val="20"/>
              </w:rPr>
              <w:t>I-III. hó</w:t>
            </w:r>
          </w:p>
        </w:tc>
        <w:tc>
          <w:tcPr>
            <w:tcW w:w="1418" w:type="dxa"/>
            <w:gridSpan w:val="2"/>
            <w:tcBorders>
              <w:top w:val="single" w:sz="4" w:space="0" w:color="auto"/>
              <w:left w:val="nil"/>
              <w:bottom w:val="single" w:sz="4" w:space="0" w:color="auto"/>
              <w:right w:val="single" w:sz="4" w:space="0" w:color="000000" w:themeColor="text1"/>
            </w:tcBorders>
            <w:shd w:val="clear" w:color="auto" w:fill="auto"/>
            <w:noWrap/>
            <w:vAlign w:val="center"/>
            <w:hideMark/>
          </w:tcPr>
          <w:p w14:paraId="596D1A5C" w14:textId="77777777" w:rsidR="007A0A81" w:rsidRPr="00DB479B" w:rsidRDefault="7A495620" w:rsidP="7A495620">
            <w:pPr>
              <w:spacing w:after="0"/>
              <w:jc w:val="center"/>
              <w:rPr>
                <w:b/>
                <w:bCs/>
                <w:sz w:val="20"/>
              </w:rPr>
            </w:pPr>
            <w:r w:rsidRPr="7A495620">
              <w:rPr>
                <w:b/>
                <w:bCs/>
                <w:sz w:val="20"/>
              </w:rPr>
              <w:t>Eltérés</w:t>
            </w:r>
          </w:p>
        </w:tc>
      </w:tr>
      <w:tr w:rsidR="007A0A81" w:rsidRPr="00DB479B" w14:paraId="31743F96" w14:textId="77777777" w:rsidTr="7A495620">
        <w:trPr>
          <w:trHeight w:val="306"/>
        </w:trPr>
        <w:tc>
          <w:tcPr>
            <w:tcW w:w="3827" w:type="dxa"/>
            <w:vMerge/>
            <w:tcBorders>
              <w:top w:val="single" w:sz="4" w:space="0" w:color="auto"/>
              <w:left w:val="single" w:sz="4" w:space="0" w:color="auto"/>
              <w:bottom w:val="single" w:sz="4" w:space="0" w:color="000000"/>
              <w:right w:val="single" w:sz="4" w:space="0" w:color="auto"/>
            </w:tcBorders>
            <w:vAlign w:val="center"/>
            <w:hideMark/>
          </w:tcPr>
          <w:p w14:paraId="0FEE673B" w14:textId="77777777" w:rsidR="007A0A81" w:rsidRPr="00DB479B" w:rsidRDefault="007A0A81" w:rsidP="00CD6EB3">
            <w:pPr>
              <w:spacing w:after="0"/>
              <w:jc w:val="left"/>
              <w:rPr>
                <w:b/>
                <w:bCs/>
                <w:sz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FB081E" w14:textId="77777777" w:rsidR="007A0A81" w:rsidRPr="00DB479B" w:rsidRDefault="007A0A81" w:rsidP="00CD6EB3">
            <w:pPr>
              <w:spacing w:after="0"/>
              <w:jc w:val="left"/>
              <w:rPr>
                <w:b/>
                <w:bCs/>
                <w:sz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733DE5" w14:textId="77777777" w:rsidR="007A0A81" w:rsidRPr="00DB479B" w:rsidRDefault="007A0A81" w:rsidP="00CD6EB3">
            <w:pPr>
              <w:spacing w:after="0"/>
              <w:jc w:val="left"/>
              <w:rPr>
                <w:b/>
                <w:bCs/>
                <w:sz w:val="20"/>
              </w:rPr>
            </w:pPr>
          </w:p>
        </w:tc>
        <w:tc>
          <w:tcPr>
            <w:tcW w:w="753" w:type="dxa"/>
            <w:tcBorders>
              <w:top w:val="nil"/>
              <w:left w:val="nil"/>
              <w:bottom w:val="single" w:sz="4" w:space="0" w:color="auto"/>
              <w:right w:val="single" w:sz="4" w:space="0" w:color="auto"/>
            </w:tcBorders>
            <w:shd w:val="clear" w:color="auto" w:fill="auto"/>
            <w:noWrap/>
            <w:vAlign w:val="bottom"/>
            <w:hideMark/>
          </w:tcPr>
          <w:p w14:paraId="541A293F" w14:textId="77777777" w:rsidR="007A0A81" w:rsidRPr="00DB479B" w:rsidRDefault="7A495620" w:rsidP="7A495620">
            <w:pPr>
              <w:spacing w:after="0"/>
              <w:jc w:val="center"/>
              <w:rPr>
                <w:b/>
                <w:bCs/>
                <w:sz w:val="20"/>
              </w:rPr>
            </w:pPr>
            <w:r w:rsidRPr="7A495620">
              <w:rPr>
                <w:b/>
                <w:bCs/>
                <w:sz w:val="20"/>
              </w:rPr>
              <w:t>Mrd Ft</w:t>
            </w:r>
          </w:p>
        </w:tc>
        <w:tc>
          <w:tcPr>
            <w:tcW w:w="665" w:type="dxa"/>
            <w:tcBorders>
              <w:top w:val="nil"/>
              <w:left w:val="nil"/>
              <w:bottom w:val="single" w:sz="4" w:space="0" w:color="auto"/>
              <w:right w:val="single" w:sz="4" w:space="0" w:color="auto"/>
            </w:tcBorders>
            <w:shd w:val="clear" w:color="auto" w:fill="auto"/>
            <w:noWrap/>
            <w:vAlign w:val="bottom"/>
            <w:hideMark/>
          </w:tcPr>
          <w:p w14:paraId="0AAD326D" w14:textId="77777777" w:rsidR="007A0A81" w:rsidRPr="00DB479B" w:rsidRDefault="7A495620" w:rsidP="7A495620">
            <w:pPr>
              <w:spacing w:after="0"/>
              <w:jc w:val="center"/>
              <w:rPr>
                <w:b/>
                <w:bCs/>
                <w:sz w:val="20"/>
              </w:rPr>
            </w:pPr>
            <w:r w:rsidRPr="7A495620">
              <w:rPr>
                <w:b/>
                <w:bCs/>
                <w:sz w:val="20"/>
              </w:rPr>
              <w:t>%</w:t>
            </w:r>
          </w:p>
        </w:tc>
      </w:tr>
      <w:tr w:rsidR="007A0A81" w:rsidRPr="00DB479B" w14:paraId="6113CEE5" w14:textId="77777777" w:rsidTr="7A495620">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53B83BFA" w14:textId="77777777" w:rsidR="007A0A81" w:rsidRPr="00DB479B" w:rsidRDefault="7A495620" w:rsidP="7A495620">
            <w:pPr>
              <w:spacing w:after="0"/>
              <w:jc w:val="left"/>
              <w:rPr>
                <w:b/>
                <w:bCs/>
                <w:sz w:val="20"/>
              </w:rPr>
            </w:pPr>
            <w:r w:rsidRPr="7A495620">
              <w:rPr>
                <w:b/>
                <w:bCs/>
                <w:sz w:val="20"/>
              </w:rPr>
              <w:t>Pénzbeli ellátások</w:t>
            </w:r>
          </w:p>
        </w:tc>
        <w:tc>
          <w:tcPr>
            <w:tcW w:w="993" w:type="dxa"/>
            <w:tcBorders>
              <w:top w:val="nil"/>
              <w:left w:val="nil"/>
              <w:bottom w:val="single" w:sz="4" w:space="0" w:color="auto"/>
              <w:right w:val="single" w:sz="4" w:space="0" w:color="auto"/>
            </w:tcBorders>
            <w:shd w:val="clear" w:color="auto" w:fill="auto"/>
            <w:vAlign w:val="bottom"/>
          </w:tcPr>
          <w:p w14:paraId="5DE1C188" w14:textId="0AAE8EA1" w:rsidR="007A0A81" w:rsidRPr="00C11F06" w:rsidRDefault="7A495620" w:rsidP="7A495620">
            <w:pPr>
              <w:spacing w:after="0"/>
              <w:jc w:val="right"/>
              <w:rPr>
                <w:b/>
                <w:bCs/>
                <w:sz w:val="20"/>
              </w:rPr>
            </w:pPr>
            <w:r w:rsidRPr="7A495620">
              <w:rPr>
                <w:b/>
                <w:bCs/>
                <w:sz w:val="20"/>
              </w:rPr>
              <w:t>178,5</w:t>
            </w:r>
          </w:p>
        </w:tc>
        <w:tc>
          <w:tcPr>
            <w:tcW w:w="992" w:type="dxa"/>
            <w:tcBorders>
              <w:top w:val="nil"/>
              <w:left w:val="nil"/>
              <w:bottom w:val="single" w:sz="4" w:space="0" w:color="auto"/>
              <w:right w:val="single" w:sz="4" w:space="0" w:color="auto"/>
            </w:tcBorders>
            <w:shd w:val="clear" w:color="auto" w:fill="auto"/>
            <w:vAlign w:val="bottom"/>
          </w:tcPr>
          <w:p w14:paraId="38CA64D6" w14:textId="3CA1B7E3" w:rsidR="007A0A81" w:rsidRPr="00DB479B" w:rsidRDefault="7A495620" w:rsidP="7A495620">
            <w:pPr>
              <w:spacing w:after="0" w:line="259" w:lineRule="auto"/>
              <w:jc w:val="right"/>
              <w:rPr>
                <w:b/>
                <w:bCs/>
                <w:sz w:val="20"/>
              </w:rPr>
            </w:pPr>
            <w:r w:rsidRPr="7A495620">
              <w:rPr>
                <w:b/>
                <w:bCs/>
                <w:sz w:val="20"/>
              </w:rPr>
              <w:t>199,4</w:t>
            </w:r>
          </w:p>
        </w:tc>
        <w:tc>
          <w:tcPr>
            <w:tcW w:w="753" w:type="dxa"/>
            <w:tcBorders>
              <w:top w:val="nil"/>
              <w:left w:val="nil"/>
              <w:bottom w:val="single" w:sz="4" w:space="0" w:color="auto"/>
              <w:right w:val="single" w:sz="4" w:space="0" w:color="auto"/>
            </w:tcBorders>
            <w:shd w:val="clear" w:color="auto" w:fill="auto"/>
            <w:noWrap/>
            <w:vAlign w:val="bottom"/>
          </w:tcPr>
          <w:p w14:paraId="478B24D5" w14:textId="748B5524" w:rsidR="007A0A81" w:rsidRPr="00DB479B" w:rsidRDefault="7A495620" w:rsidP="7A495620">
            <w:pPr>
              <w:spacing w:after="0" w:line="259" w:lineRule="auto"/>
              <w:jc w:val="right"/>
              <w:rPr>
                <w:b/>
                <w:bCs/>
                <w:sz w:val="20"/>
              </w:rPr>
            </w:pPr>
            <w:r w:rsidRPr="7A495620">
              <w:rPr>
                <w:b/>
                <w:bCs/>
                <w:sz w:val="20"/>
              </w:rPr>
              <w:t>20,9</w:t>
            </w:r>
          </w:p>
        </w:tc>
        <w:tc>
          <w:tcPr>
            <w:tcW w:w="665" w:type="dxa"/>
            <w:tcBorders>
              <w:top w:val="nil"/>
              <w:left w:val="nil"/>
              <w:bottom w:val="single" w:sz="4" w:space="0" w:color="auto"/>
              <w:right w:val="single" w:sz="4" w:space="0" w:color="auto"/>
            </w:tcBorders>
            <w:shd w:val="clear" w:color="auto" w:fill="auto"/>
            <w:noWrap/>
            <w:vAlign w:val="bottom"/>
          </w:tcPr>
          <w:p w14:paraId="4010D6F8" w14:textId="29166FD3" w:rsidR="007A0A81" w:rsidRPr="00DB479B" w:rsidRDefault="7A495620" w:rsidP="7A495620">
            <w:pPr>
              <w:spacing w:after="0" w:line="259" w:lineRule="auto"/>
              <w:jc w:val="right"/>
              <w:rPr>
                <w:b/>
                <w:bCs/>
                <w:sz w:val="20"/>
              </w:rPr>
            </w:pPr>
            <w:r w:rsidRPr="7A495620">
              <w:rPr>
                <w:b/>
                <w:bCs/>
                <w:sz w:val="20"/>
              </w:rPr>
              <w:t>111,7</w:t>
            </w:r>
          </w:p>
        </w:tc>
      </w:tr>
      <w:tr w:rsidR="007A0A81" w:rsidRPr="00DB479B" w14:paraId="16840362" w14:textId="77777777" w:rsidTr="7A495620">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FF5091F" w14:textId="77777777" w:rsidR="007A0A81" w:rsidRPr="00DB479B" w:rsidRDefault="7A495620" w:rsidP="7A495620">
            <w:pPr>
              <w:spacing w:after="0"/>
              <w:ind w:firstLine="285"/>
              <w:jc w:val="left"/>
              <w:rPr>
                <w:i/>
                <w:iCs/>
                <w:sz w:val="20"/>
              </w:rPr>
            </w:pPr>
            <w:r w:rsidRPr="7A495620">
              <w:rPr>
                <w:i/>
                <w:iCs/>
                <w:sz w:val="20"/>
              </w:rPr>
              <w:t>Ebből:</w:t>
            </w:r>
          </w:p>
        </w:tc>
        <w:tc>
          <w:tcPr>
            <w:tcW w:w="993" w:type="dxa"/>
            <w:tcBorders>
              <w:top w:val="nil"/>
              <w:left w:val="nil"/>
              <w:bottom w:val="single" w:sz="4" w:space="0" w:color="auto"/>
              <w:right w:val="single" w:sz="4" w:space="0" w:color="auto"/>
            </w:tcBorders>
            <w:shd w:val="clear" w:color="auto" w:fill="auto"/>
            <w:vAlign w:val="center"/>
          </w:tcPr>
          <w:p w14:paraId="066BD39D" w14:textId="457E76B4" w:rsidR="007A0A81" w:rsidRPr="00DB479B" w:rsidRDefault="007A0A81" w:rsidP="00CD6EB3">
            <w:pPr>
              <w:spacing w:after="0"/>
              <w:jc w:val="center"/>
              <w:rPr>
                <w:b/>
                <w:bCs/>
                <w:sz w:val="20"/>
              </w:rPr>
            </w:pPr>
          </w:p>
        </w:tc>
        <w:tc>
          <w:tcPr>
            <w:tcW w:w="992" w:type="dxa"/>
            <w:tcBorders>
              <w:top w:val="nil"/>
              <w:left w:val="nil"/>
              <w:bottom w:val="single" w:sz="4" w:space="0" w:color="auto"/>
              <w:right w:val="single" w:sz="4" w:space="0" w:color="auto"/>
            </w:tcBorders>
            <w:shd w:val="clear" w:color="auto" w:fill="auto"/>
            <w:vAlign w:val="center"/>
          </w:tcPr>
          <w:p w14:paraId="71A1F058" w14:textId="506ECB6A" w:rsidR="007A0A81" w:rsidRPr="00DB479B" w:rsidRDefault="007A0A81" w:rsidP="00CD6EB3">
            <w:pPr>
              <w:spacing w:after="0"/>
              <w:jc w:val="center"/>
              <w:rPr>
                <w:b/>
                <w:bCs/>
                <w:sz w:val="20"/>
              </w:rPr>
            </w:pPr>
          </w:p>
        </w:tc>
        <w:tc>
          <w:tcPr>
            <w:tcW w:w="753" w:type="dxa"/>
            <w:tcBorders>
              <w:top w:val="nil"/>
              <w:left w:val="nil"/>
              <w:bottom w:val="single" w:sz="4" w:space="0" w:color="auto"/>
              <w:right w:val="single" w:sz="4" w:space="0" w:color="auto"/>
            </w:tcBorders>
            <w:shd w:val="clear" w:color="auto" w:fill="auto"/>
            <w:noWrap/>
            <w:vAlign w:val="bottom"/>
          </w:tcPr>
          <w:p w14:paraId="6C8E56A7" w14:textId="7104639F" w:rsidR="007A0A81" w:rsidRPr="00DB479B" w:rsidRDefault="007A0A81" w:rsidP="00CD6EB3">
            <w:pPr>
              <w:spacing w:after="0"/>
              <w:jc w:val="right"/>
              <w:rPr>
                <w:sz w:val="20"/>
              </w:rPr>
            </w:pPr>
          </w:p>
        </w:tc>
        <w:tc>
          <w:tcPr>
            <w:tcW w:w="665" w:type="dxa"/>
            <w:tcBorders>
              <w:top w:val="nil"/>
              <w:left w:val="nil"/>
              <w:bottom w:val="single" w:sz="4" w:space="0" w:color="auto"/>
              <w:right w:val="single" w:sz="4" w:space="0" w:color="auto"/>
            </w:tcBorders>
            <w:shd w:val="clear" w:color="auto" w:fill="auto"/>
            <w:noWrap/>
            <w:vAlign w:val="bottom"/>
          </w:tcPr>
          <w:p w14:paraId="2B9F3A15" w14:textId="08599DB8" w:rsidR="007A0A81" w:rsidRPr="00DB479B" w:rsidRDefault="007A0A81" w:rsidP="00CD6EB3">
            <w:pPr>
              <w:spacing w:after="0"/>
              <w:jc w:val="right"/>
              <w:rPr>
                <w:sz w:val="20"/>
              </w:rPr>
            </w:pPr>
          </w:p>
        </w:tc>
      </w:tr>
      <w:tr w:rsidR="007A0A81" w:rsidRPr="00DB479B" w14:paraId="7D052013" w14:textId="77777777" w:rsidTr="7A495620">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61829294" w14:textId="77777777" w:rsidR="007A0A81" w:rsidRPr="00DB479B" w:rsidRDefault="7A495620" w:rsidP="7A495620">
            <w:pPr>
              <w:spacing w:after="0"/>
              <w:ind w:firstLineChars="284" w:firstLine="568"/>
              <w:jc w:val="left"/>
              <w:rPr>
                <w:i/>
                <w:iCs/>
                <w:sz w:val="20"/>
              </w:rPr>
            </w:pPr>
            <w:r w:rsidRPr="7A495620">
              <w:rPr>
                <w:i/>
                <w:iCs/>
                <w:sz w:val="20"/>
              </w:rPr>
              <w:t>Rokkantsági, rehabilitációs ellátások</w:t>
            </w:r>
          </w:p>
        </w:tc>
        <w:tc>
          <w:tcPr>
            <w:tcW w:w="993" w:type="dxa"/>
            <w:tcBorders>
              <w:top w:val="nil"/>
              <w:left w:val="nil"/>
              <w:bottom w:val="single" w:sz="4" w:space="0" w:color="auto"/>
              <w:right w:val="single" w:sz="4" w:space="0" w:color="auto"/>
            </w:tcBorders>
            <w:shd w:val="clear" w:color="auto" w:fill="auto"/>
            <w:noWrap/>
            <w:vAlign w:val="bottom"/>
          </w:tcPr>
          <w:p w14:paraId="693E18A5" w14:textId="2F39CA7F" w:rsidR="007A0A81" w:rsidRPr="00DB479B" w:rsidRDefault="7A495620" w:rsidP="7A495620">
            <w:pPr>
              <w:spacing w:after="0"/>
              <w:jc w:val="right"/>
              <w:rPr>
                <w:sz w:val="20"/>
              </w:rPr>
            </w:pPr>
            <w:r w:rsidRPr="7A495620">
              <w:rPr>
                <w:sz w:val="20"/>
              </w:rPr>
              <w:t>68,6</w:t>
            </w:r>
          </w:p>
        </w:tc>
        <w:tc>
          <w:tcPr>
            <w:tcW w:w="992" w:type="dxa"/>
            <w:tcBorders>
              <w:top w:val="nil"/>
              <w:left w:val="nil"/>
              <w:bottom w:val="single" w:sz="4" w:space="0" w:color="auto"/>
              <w:right w:val="single" w:sz="4" w:space="0" w:color="auto"/>
            </w:tcBorders>
            <w:shd w:val="clear" w:color="auto" w:fill="auto"/>
            <w:noWrap/>
            <w:vAlign w:val="bottom"/>
          </w:tcPr>
          <w:p w14:paraId="0E446CD4" w14:textId="0FCEAFBA" w:rsidR="007A0A81" w:rsidRPr="00DB479B" w:rsidRDefault="7A495620" w:rsidP="7A495620">
            <w:pPr>
              <w:spacing w:after="0" w:line="259" w:lineRule="auto"/>
              <w:jc w:val="right"/>
              <w:rPr>
                <w:sz w:val="20"/>
              </w:rPr>
            </w:pPr>
            <w:r w:rsidRPr="7A495620">
              <w:rPr>
                <w:sz w:val="20"/>
              </w:rPr>
              <w:t>75,2</w:t>
            </w:r>
          </w:p>
        </w:tc>
        <w:tc>
          <w:tcPr>
            <w:tcW w:w="753" w:type="dxa"/>
            <w:tcBorders>
              <w:top w:val="nil"/>
              <w:left w:val="nil"/>
              <w:bottom w:val="single" w:sz="4" w:space="0" w:color="auto"/>
              <w:right w:val="single" w:sz="4" w:space="0" w:color="auto"/>
            </w:tcBorders>
            <w:shd w:val="clear" w:color="auto" w:fill="auto"/>
            <w:noWrap/>
            <w:vAlign w:val="bottom"/>
          </w:tcPr>
          <w:p w14:paraId="720FB04B" w14:textId="2349E709" w:rsidR="007A0A81" w:rsidRPr="00DB479B" w:rsidRDefault="7A495620" w:rsidP="7A495620">
            <w:pPr>
              <w:spacing w:after="0" w:line="259" w:lineRule="auto"/>
              <w:jc w:val="right"/>
              <w:rPr>
                <w:sz w:val="20"/>
              </w:rPr>
            </w:pPr>
            <w:r w:rsidRPr="7A495620">
              <w:rPr>
                <w:sz w:val="20"/>
              </w:rPr>
              <w:t>6,</w:t>
            </w:r>
            <w:proofErr w:type="spellStart"/>
            <w:r w:rsidRPr="7A495620">
              <w:rPr>
                <w:sz w:val="20"/>
              </w:rPr>
              <w:t>6</w:t>
            </w:r>
            <w:proofErr w:type="spellEnd"/>
          </w:p>
        </w:tc>
        <w:tc>
          <w:tcPr>
            <w:tcW w:w="665" w:type="dxa"/>
            <w:tcBorders>
              <w:top w:val="nil"/>
              <w:left w:val="nil"/>
              <w:bottom w:val="single" w:sz="4" w:space="0" w:color="auto"/>
              <w:right w:val="single" w:sz="4" w:space="0" w:color="auto"/>
            </w:tcBorders>
            <w:shd w:val="clear" w:color="auto" w:fill="auto"/>
            <w:noWrap/>
            <w:vAlign w:val="bottom"/>
          </w:tcPr>
          <w:p w14:paraId="5EEB1EB0" w14:textId="49F029B0" w:rsidR="007A0A81" w:rsidRPr="00DB479B" w:rsidRDefault="7A495620" w:rsidP="7A495620">
            <w:pPr>
              <w:spacing w:after="0" w:line="259" w:lineRule="auto"/>
              <w:jc w:val="right"/>
              <w:rPr>
                <w:sz w:val="20"/>
              </w:rPr>
            </w:pPr>
            <w:r w:rsidRPr="7A495620">
              <w:rPr>
                <w:sz w:val="20"/>
              </w:rPr>
              <w:t>109,6</w:t>
            </w:r>
          </w:p>
        </w:tc>
      </w:tr>
      <w:tr w:rsidR="007A0A81" w:rsidRPr="00DB479B" w14:paraId="1B1C820A" w14:textId="77777777" w:rsidTr="7A495620">
        <w:trPr>
          <w:trHeight w:val="306"/>
        </w:trPr>
        <w:tc>
          <w:tcPr>
            <w:tcW w:w="3827" w:type="dxa"/>
            <w:tcBorders>
              <w:top w:val="nil"/>
              <w:left w:val="single" w:sz="4" w:space="0" w:color="auto"/>
              <w:bottom w:val="single" w:sz="4" w:space="0" w:color="auto"/>
              <w:right w:val="single" w:sz="4" w:space="0" w:color="auto"/>
            </w:tcBorders>
            <w:shd w:val="clear" w:color="auto" w:fill="auto"/>
            <w:noWrap/>
            <w:vAlign w:val="bottom"/>
            <w:hideMark/>
          </w:tcPr>
          <w:p w14:paraId="48AC6673" w14:textId="77777777" w:rsidR="007A0A81" w:rsidRPr="00DB479B" w:rsidRDefault="7A495620" w:rsidP="7A495620">
            <w:pPr>
              <w:spacing w:after="0"/>
              <w:ind w:firstLineChars="284" w:firstLine="568"/>
              <w:jc w:val="left"/>
              <w:rPr>
                <w:i/>
                <w:iCs/>
                <w:sz w:val="20"/>
              </w:rPr>
            </w:pPr>
            <w:r w:rsidRPr="7A495620">
              <w:rPr>
                <w:i/>
                <w:iCs/>
                <w:sz w:val="20"/>
              </w:rPr>
              <w:t>Gyermekgondozási díj</w:t>
            </w:r>
          </w:p>
        </w:tc>
        <w:tc>
          <w:tcPr>
            <w:tcW w:w="993" w:type="dxa"/>
            <w:tcBorders>
              <w:top w:val="nil"/>
              <w:left w:val="nil"/>
              <w:bottom w:val="single" w:sz="4" w:space="0" w:color="auto"/>
              <w:right w:val="single" w:sz="4" w:space="0" w:color="auto"/>
            </w:tcBorders>
            <w:shd w:val="clear" w:color="auto" w:fill="auto"/>
            <w:noWrap/>
            <w:vAlign w:val="bottom"/>
          </w:tcPr>
          <w:p w14:paraId="18E312D6" w14:textId="462A02A2" w:rsidR="007A0A81" w:rsidRPr="00DB479B" w:rsidRDefault="7A495620" w:rsidP="7A495620">
            <w:pPr>
              <w:spacing w:after="0"/>
              <w:jc w:val="right"/>
              <w:rPr>
                <w:sz w:val="20"/>
              </w:rPr>
            </w:pPr>
            <w:r w:rsidRPr="7A495620">
              <w:rPr>
                <w:sz w:val="20"/>
              </w:rPr>
              <w:t>52,3</w:t>
            </w:r>
          </w:p>
        </w:tc>
        <w:tc>
          <w:tcPr>
            <w:tcW w:w="992" w:type="dxa"/>
            <w:tcBorders>
              <w:top w:val="nil"/>
              <w:left w:val="nil"/>
              <w:bottom w:val="single" w:sz="4" w:space="0" w:color="auto"/>
              <w:right w:val="single" w:sz="4" w:space="0" w:color="auto"/>
            </w:tcBorders>
            <w:shd w:val="clear" w:color="auto" w:fill="auto"/>
            <w:noWrap/>
            <w:vAlign w:val="bottom"/>
          </w:tcPr>
          <w:p w14:paraId="5A56530A" w14:textId="5F7E8B5A" w:rsidR="007A0A81" w:rsidRPr="00DB479B" w:rsidRDefault="7A495620" w:rsidP="7A495620">
            <w:pPr>
              <w:spacing w:after="0" w:line="259" w:lineRule="auto"/>
              <w:jc w:val="right"/>
              <w:rPr>
                <w:sz w:val="20"/>
              </w:rPr>
            </w:pPr>
            <w:r w:rsidRPr="7A495620">
              <w:rPr>
                <w:sz w:val="20"/>
              </w:rPr>
              <w:t>58,6</w:t>
            </w:r>
          </w:p>
        </w:tc>
        <w:tc>
          <w:tcPr>
            <w:tcW w:w="753" w:type="dxa"/>
            <w:tcBorders>
              <w:top w:val="nil"/>
              <w:left w:val="nil"/>
              <w:bottom w:val="single" w:sz="4" w:space="0" w:color="auto"/>
              <w:right w:val="single" w:sz="4" w:space="0" w:color="auto"/>
            </w:tcBorders>
            <w:shd w:val="clear" w:color="auto" w:fill="auto"/>
            <w:noWrap/>
            <w:vAlign w:val="bottom"/>
          </w:tcPr>
          <w:p w14:paraId="3CBC826C" w14:textId="5AA82408" w:rsidR="007A0A81" w:rsidRPr="00DB479B" w:rsidRDefault="7A495620" w:rsidP="7A495620">
            <w:pPr>
              <w:spacing w:after="0" w:line="259" w:lineRule="auto"/>
              <w:jc w:val="right"/>
              <w:rPr>
                <w:sz w:val="20"/>
              </w:rPr>
            </w:pPr>
            <w:r w:rsidRPr="7A495620">
              <w:rPr>
                <w:sz w:val="20"/>
              </w:rPr>
              <w:t>6,3</w:t>
            </w:r>
          </w:p>
        </w:tc>
        <w:tc>
          <w:tcPr>
            <w:tcW w:w="665" w:type="dxa"/>
            <w:tcBorders>
              <w:top w:val="nil"/>
              <w:left w:val="nil"/>
              <w:bottom w:val="single" w:sz="4" w:space="0" w:color="auto"/>
              <w:right w:val="single" w:sz="4" w:space="0" w:color="auto"/>
            </w:tcBorders>
            <w:shd w:val="clear" w:color="auto" w:fill="auto"/>
            <w:noWrap/>
            <w:vAlign w:val="bottom"/>
          </w:tcPr>
          <w:p w14:paraId="26E43045" w14:textId="4DC4FF00" w:rsidR="007A0A81" w:rsidRPr="00DB479B" w:rsidRDefault="7A495620" w:rsidP="7A495620">
            <w:pPr>
              <w:spacing w:after="0" w:line="259" w:lineRule="auto"/>
              <w:jc w:val="right"/>
              <w:rPr>
                <w:sz w:val="20"/>
              </w:rPr>
            </w:pPr>
            <w:r w:rsidRPr="7A495620">
              <w:rPr>
                <w:sz w:val="20"/>
              </w:rPr>
              <w:t>112,0</w:t>
            </w:r>
          </w:p>
        </w:tc>
      </w:tr>
      <w:tr w:rsidR="007A0A81" w:rsidRPr="00DB479B" w14:paraId="7780DF35" w14:textId="77777777" w:rsidTr="7A495620">
        <w:trPr>
          <w:trHeight w:val="306"/>
        </w:trPr>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56B3D" w14:textId="77777777" w:rsidR="007A0A81" w:rsidRPr="00DB479B" w:rsidRDefault="7A495620" w:rsidP="7A495620">
            <w:pPr>
              <w:spacing w:after="0"/>
              <w:ind w:firstLineChars="284" w:firstLine="568"/>
              <w:jc w:val="left"/>
              <w:rPr>
                <w:i/>
                <w:iCs/>
                <w:sz w:val="20"/>
              </w:rPr>
            </w:pPr>
            <w:r w:rsidRPr="7A495620">
              <w:rPr>
                <w:i/>
                <w:iCs/>
                <w:sz w:val="20"/>
              </w:rPr>
              <w:t>Táppénz</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5DDFC013" w14:textId="0BF32015" w:rsidR="007A0A81" w:rsidRPr="00DB479B" w:rsidRDefault="7A495620" w:rsidP="7A495620">
            <w:pPr>
              <w:spacing w:after="0"/>
              <w:jc w:val="right"/>
              <w:rPr>
                <w:sz w:val="20"/>
              </w:rPr>
            </w:pPr>
            <w:r w:rsidRPr="7A495620">
              <w:rPr>
                <w:sz w:val="20"/>
              </w:rPr>
              <w:t>36,6</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6BD88C97" w14:textId="5216579F" w:rsidR="007A0A81" w:rsidRPr="00DB479B" w:rsidRDefault="7A495620" w:rsidP="7A495620">
            <w:pPr>
              <w:spacing w:after="0" w:line="259" w:lineRule="auto"/>
              <w:jc w:val="right"/>
              <w:rPr>
                <w:sz w:val="20"/>
              </w:rPr>
            </w:pPr>
            <w:r w:rsidRPr="7A495620">
              <w:rPr>
                <w:sz w:val="20"/>
              </w:rPr>
              <w:t>43,1</w:t>
            </w:r>
          </w:p>
        </w:tc>
        <w:tc>
          <w:tcPr>
            <w:tcW w:w="753" w:type="dxa"/>
            <w:tcBorders>
              <w:top w:val="single" w:sz="4" w:space="0" w:color="auto"/>
              <w:left w:val="nil"/>
              <w:bottom w:val="single" w:sz="4" w:space="0" w:color="auto"/>
              <w:right w:val="single" w:sz="4" w:space="0" w:color="auto"/>
            </w:tcBorders>
            <w:shd w:val="clear" w:color="auto" w:fill="auto"/>
            <w:noWrap/>
            <w:vAlign w:val="bottom"/>
          </w:tcPr>
          <w:p w14:paraId="6D966813" w14:textId="1439D87E" w:rsidR="007A0A81" w:rsidRPr="00DB479B" w:rsidRDefault="7A495620" w:rsidP="7A495620">
            <w:pPr>
              <w:spacing w:after="0" w:line="259" w:lineRule="auto"/>
              <w:jc w:val="right"/>
              <w:rPr>
                <w:sz w:val="20"/>
              </w:rPr>
            </w:pPr>
            <w:r w:rsidRPr="7A495620">
              <w:rPr>
                <w:sz w:val="20"/>
              </w:rPr>
              <w:t>6,5</w:t>
            </w: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3E239E68" w14:textId="18F5F3D2" w:rsidR="007A0A81" w:rsidRPr="00DB479B" w:rsidRDefault="7A495620" w:rsidP="7A495620">
            <w:pPr>
              <w:spacing w:after="0" w:line="259" w:lineRule="auto"/>
              <w:jc w:val="right"/>
              <w:rPr>
                <w:sz w:val="20"/>
              </w:rPr>
            </w:pPr>
            <w:r w:rsidRPr="7A495620">
              <w:rPr>
                <w:sz w:val="20"/>
              </w:rPr>
              <w:t>117,8</w:t>
            </w:r>
          </w:p>
        </w:tc>
      </w:tr>
    </w:tbl>
    <w:p w14:paraId="581775F6" w14:textId="77777777" w:rsidR="00D339FF" w:rsidRDefault="00D339FF" w:rsidP="1CC825AF"/>
    <w:p w14:paraId="0FCDE1A2" w14:textId="55243417" w:rsidR="46BEAA7B" w:rsidRDefault="7A495620" w:rsidP="46BEAA7B">
      <w:r>
        <w:t xml:space="preserve">A </w:t>
      </w:r>
      <w:r w:rsidRPr="7A495620">
        <w:rPr>
          <w:b/>
          <w:bCs/>
        </w:rPr>
        <w:t>gyógyító-megelőző ellátásokra</w:t>
      </w:r>
      <w:r>
        <w:t xml:space="preserve"> fordított kiadás </w:t>
      </w:r>
      <w:r w:rsidR="00084ACD">
        <w:t xml:space="preserve">a </w:t>
      </w:r>
      <w:r>
        <w:t>2021.</w:t>
      </w:r>
      <w:r w:rsidR="00084ACD">
        <w:t xml:space="preserve"> év</w:t>
      </w:r>
      <w:r>
        <w:t xml:space="preserve"> I-III. </w:t>
      </w:r>
      <w:proofErr w:type="gramStart"/>
      <w:r>
        <w:t>hónapjában</w:t>
      </w:r>
      <w:proofErr w:type="gramEnd"/>
      <w:r>
        <w:t xml:space="preserve"> 507,1</w:t>
      </w:r>
      <w:r w:rsidR="001D4938">
        <w:t> </w:t>
      </w:r>
      <w:r>
        <w:t xml:space="preserve">milliárd forintot tett ki a 2020. </w:t>
      </w:r>
      <w:r w:rsidR="001D4938">
        <w:t xml:space="preserve">évi </w:t>
      </w:r>
      <w:r>
        <w:t>azonos időszaki 395,9</w:t>
      </w:r>
      <w:r w:rsidR="001D4938">
        <w:t> </w:t>
      </w:r>
      <w:r>
        <w:t>milliárd forinttal szemben. Az előző évhez viszonyított magasabb összegű kiadás jelentős részben a célelőirányzatoknál (a 2020. januári 14%-os és a 2020. novemberi 20%-os</w:t>
      </w:r>
      <w:r w:rsidR="009D1607">
        <w:t>,</w:t>
      </w:r>
      <w:r>
        <w:t xml:space="preserve"> </w:t>
      </w:r>
      <w:r w:rsidR="009D1607">
        <w:t xml:space="preserve">a </w:t>
      </w:r>
      <w:r>
        <w:t>2018. évi bérhez viszonyított egészségügyi szakdolgozói béremeléssel, valamint a 2021. januártól bevezetett, az állami és önkormányzati fekvő</w:t>
      </w:r>
      <w:r w:rsidR="009D1607">
        <w:t>-</w:t>
      </w:r>
      <w:r>
        <w:t xml:space="preserve"> és </w:t>
      </w:r>
      <w:proofErr w:type="spellStart"/>
      <w:r>
        <w:t>járóbeteg</w:t>
      </w:r>
      <w:proofErr w:type="spellEnd"/>
      <w:r>
        <w:t xml:space="preserve"> ellátásban dolgozó orvosok béremelésével összefüggően), továbbá a </w:t>
      </w:r>
      <w:r w:rsidR="009D1607">
        <w:t>„</w:t>
      </w:r>
      <w:proofErr w:type="spellStart"/>
      <w:r>
        <w:t>Nagyértékű</w:t>
      </w:r>
      <w:proofErr w:type="spellEnd"/>
      <w:r>
        <w:t xml:space="preserve"> gyógyszer</w:t>
      </w:r>
      <w:r w:rsidR="009D1607">
        <w:t>-</w:t>
      </w:r>
      <w:r>
        <w:t>finanszírozásnál</w:t>
      </w:r>
      <w:r w:rsidR="009D1607">
        <w:t>”</w:t>
      </w:r>
      <w:r>
        <w:t xml:space="preserve"> jelentkezik. A munkaszüneti napok torlódása miatt az egészségügyi szolgáltatókat megillető április havi </w:t>
      </w:r>
      <w:proofErr w:type="gramStart"/>
      <w:r>
        <w:t>finanszírozás</w:t>
      </w:r>
      <w:proofErr w:type="gramEnd"/>
      <w:r>
        <w:t xml:space="preserve"> egy jelentős része március végén kifizetésre került.</w:t>
      </w:r>
    </w:p>
    <w:p w14:paraId="4DE1E0BB" w14:textId="2E94C8D1" w:rsidR="46BEAA7B" w:rsidRDefault="7A495620" w:rsidP="46BEAA7B">
      <w:r w:rsidRPr="7A495620">
        <w:rPr>
          <w:b/>
          <w:bCs/>
        </w:rPr>
        <w:t>Gyógyszertámogatásra</w:t>
      </w:r>
      <w:r>
        <w:t xml:space="preserve"> a 2021. év I-III. </w:t>
      </w:r>
      <w:proofErr w:type="gramStart"/>
      <w:r>
        <w:t>hónapjában</w:t>
      </w:r>
      <w:proofErr w:type="gramEnd"/>
      <w:r>
        <w:t xml:space="preserve"> 97,3</w:t>
      </w:r>
      <w:r w:rsidR="00160AFF">
        <w:t> </w:t>
      </w:r>
      <w:r>
        <w:t>milliárd forintot fordítottak, amely 4,1</w:t>
      </w:r>
      <w:r w:rsidR="00160AFF">
        <w:t> </w:t>
      </w:r>
      <w:r>
        <w:t>milliárd forinttal marad</w:t>
      </w:r>
      <w:r w:rsidR="00160AFF">
        <w:t>t el</w:t>
      </w:r>
      <w:r>
        <w:t xml:space="preserve"> az előző év azonos időszakában kifizetett összeg</w:t>
      </w:r>
      <w:r w:rsidR="00160AFF">
        <w:t>től</w:t>
      </w:r>
      <w:r>
        <w:t>.</w:t>
      </w:r>
    </w:p>
    <w:p w14:paraId="25FFF5E2" w14:textId="34BD2A95" w:rsidR="007A0A81" w:rsidRDefault="009F0C4E" w:rsidP="1CC825AF">
      <w:r>
        <w:br w:type="page"/>
      </w:r>
    </w:p>
    <w:p w14:paraId="5D4F03CB" w14:textId="6C116392" w:rsidR="003E5ED6" w:rsidRDefault="7A495620" w:rsidP="7A495620">
      <w:pPr>
        <w:pStyle w:val="Cmsor3"/>
        <w:numPr>
          <w:ilvl w:val="0"/>
          <w:numId w:val="8"/>
        </w:numPr>
        <w:spacing w:before="0" w:after="120"/>
        <w:jc w:val="left"/>
        <w:rPr>
          <w:sz w:val="26"/>
          <w:szCs w:val="26"/>
        </w:rPr>
      </w:pPr>
      <w:r w:rsidRPr="7A495620">
        <w:rPr>
          <w:sz w:val="26"/>
          <w:szCs w:val="26"/>
        </w:rPr>
        <w:lastRenderedPageBreak/>
        <w:t xml:space="preserve">A költségvetési szervek és fejezeti kezelésű előirányzatok alakulása </w:t>
      </w:r>
    </w:p>
    <w:p w14:paraId="2972818C" w14:textId="77777777" w:rsidR="00953258" w:rsidRPr="00953258" w:rsidRDefault="00953258" w:rsidP="00953258"/>
    <w:p w14:paraId="441A5806" w14:textId="77777777" w:rsidR="00377CC6" w:rsidRPr="00377CC6" w:rsidRDefault="7A495620" w:rsidP="00377CC6">
      <w:pPr>
        <w:spacing w:before="120"/>
      </w:pPr>
      <w:r>
        <w:t xml:space="preserve">2021 első három hónapjában a </w:t>
      </w:r>
      <w:r w:rsidRPr="7A495620">
        <w:rPr>
          <w:b/>
          <w:bCs/>
        </w:rPr>
        <w:t>költségvetési szervek bevételei</w:t>
      </w:r>
      <w:r>
        <w:t xml:space="preserve"> összesen 576,9 milliárd forintot tettek ki, amely 14,9%-kal magasabb az előző év azonos időszakához képest. Az intézmények bevételei közül a következő jelentősebb tételek emelhetők ki: 339,0 milliárd forint a Nemzeti Egészségbiztosítási Alapkezelő által az egészségügyi intézményeknek utalt támogatás, mely tartalmazza az április havi támogatásból kifizetett előleget, valamint 64,6 milliárd forint a 2014-2020 közötti kohéziós politikai operatív programok előirányzat-felhasználási számlájáról közvetlenül érkezett bevétel, több intézmény részére, különböző projektek támogatási előlegeként. Mind a két tétel jelentősen meghaladta az egy évvel korábbi összeget.</w:t>
      </w:r>
    </w:p>
    <w:p w14:paraId="181F5CCF" w14:textId="77777777" w:rsidR="009D7FA5" w:rsidRPr="009D7FA5" w:rsidRDefault="7A495620" w:rsidP="009D7FA5">
      <w:pPr>
        <w:spacing w:before="120"/>
      </w:pPr>
      <w:r w:rsidRPr="7A495620">
        <w:rPr>
          <w:b/>
          <w:bCs/>
        </w:rPr>
        <w:t>A „Szakmai fejezeti kezelésű előirányzatok saját bevételei”</w:t>
      </w:r>
      <w:r>
        <w:t xml:space="preserve"> mérlegsoron 2021 első három hónapjában 207,4 milliárd forint bevétel keletkezett, mely 18,4 milliárd forinttal alacsonyabb az előző év azonos időszakának bevételeihez képest. A bevételek meghatározó részét (151,3 milliárd forint) az „Alapok alapja GINOP pénzügyi eszközök” törvényi sorra befolyt összeg teszi ki, mely nem uniós bevételként jóváírt tétel.</w:t>
      </w:r>
    </w:p>
    <w:p w14:paraId="7341921A" w14:textId="51CBB098" w:rsidR="00B654A9" w:rsidRDefault="7A495620" w:rsidP="007D6662">
      <w:pPr>
        <w:spacing w:before="120"/>
      </w:pPr>
      <w:r w:rsidRPr="7A495620">
        <w:rPr>
          <w:b/>
          <w:bCs/>
        </w:rPr>
        <w:t>A 2021. március végi, több mint 784 milliárd forint összegű bevételek</w:t>
      </w:r>
      <w:r>
        <w:t xml:space="preserve"> megoszlását a következő grafikon szemlélteti:</w:t>
      </w:r>
    </w:p>
    <w:p w14:paraId="5BCA9D25" w14:textId="78F038BC" w:rsidR="00065767" w:rsidRDefault="00065767" w:rsidP="007D6662">
      <w:pPr>
        <w:spacing w:before="120"/>
      </w:pPr>
      <w:r>
        <w:rPr>
          <w:noProof/>
        </w:rPr>
        <w:drawing>
          <wp:inline distT="0" distB="0" distL="0" distR="0" wp14:anchorId="32BD8A32" wp14:editId="01D30B68">
            <wp:extent cx="5940425" cy="3140075"/>
            <wp:effectExtent l="0" t="0" r="3175" b="3175"/>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bevételei.png"/>
                    <pic:cNvPicPr/>
                  </pic:nvPicPr>
                  <pic:blipFill>
                    <a:blip r:embed="rId23">
                      <a:extLst>
                        <a:ext uri="{28A0092B-C50C-407E-A947-70E740481C1C}">
                          <a14:useLocalDpi xmlns:a14="http://schemas.microsoft.com/office/drawing/2010/main" val="0"/>
                        </a:ext>
                      </a:extLst>
                    </a:blip>
                    <a:stretch>
                      <a:fillRect/>
                    </a:stretch>
                  </pic:blipFill>
                  <pic:spPr>
                    <a:xfrm>
                      <a:off x="0" y="0"/>
                      <a:ext cx="5940425" cy="3140075"/>
                    </a:xfrm>
                    <a:prstGeom prst="rect">
                      <a:avLst/>
                    </a:prstGeom>
                  </pic:spPr>
                </pic:pic>
              </a:graphicData>
            </a:graphic>
          </wp:inline>
        </w:drawing>
      </w:r>
    </w:p>
    <w:p w14:paraId="36191587" w14:textId="3249EA9E" w:rsidR="00F12457" w:rsidRDefault="00F12457" w:rsidP="00A83A7D">
      <w:pPr>
        <w:rPr>
          <w:szCs w:val="26"/>
        </w:rPr>
      </w:pPr>
      <w:r>
        <w:rPr>
          <w:szCs w:val="26"/>
        </w:rPr>
        <w:br w:type="page"/>
      </w:r>
    </w:p>
    <w:p w14:paraId="10F8C76A" w14:textId="57413261" w:rsidR="00CC7C80" w:rsidRPr="00CC7C80" w:rsidRDefault="7A495620" w:rsidP="00CC7C80">
      <w:r>
        <w:lastRenderedPageBreak/>
        <w:t>A</w:t>
      </w:r>
      <w:r w:rsidRPr="7A495620">
        <w:rPr>
          <w:b/>
          <w:bCs/>
        </w:rPr>
        <w:t xml:space="preserve"> </w:t>
      </w:r>
      <w:r>
        <w:t>„</w:t>
      </w:r>
      <w:r w:rsidRPr="7A495620">
        <w:rPr>
          <w:b/>
          <w:bCs/>
        </w:rPr>
        <w:t>Költségvetési szervek kiadásai</w:t>
      </w:r>
      <w:r>
        <w:t>” mérlegsoron 2021 első három hónapjában 1792,3 milliárd forint kiadás teljesült, mely 8,0%-kal volt magasabb, mint az előző év azonos időszakának a kiadása. Az intézmények forgalmából 1062,7 milliárd forintot tett ki a személyi juttatásokra és munkaadókat terhelő járulékokra kifizetett összeg, mely 234,3 milliárd forinttal magasabb, mint az előző év azonos időszakának kiadása. A kifizetett összeg tartalmazza az április hónapban esedékes március havi bérek kifizetését 149,0 milliárd forint</w:t>
      </w:r>
      <w:r w:rsidR="00425331">
        <w:t xml:space="preserve"> összegben</w:t>
      </w:r>
      <w:r>
        <w:t>. Ezen kívül az alábbi nagyobb összegű kifizetések történtek:</w:t>
      </w:r>
    </w:p>
    <w:p w14:paraId="3306FAE9" w14:textId="77777777" w:rsidR="00CC7C80" w:rsidRPr="00CC7C80" w:rsidRDefault="7A495620" w:rsidP="7A495620">
      <w:pPr>
        <w:spacing w:before="120"/>
        <w:jc w:val="right"/>
        <w:rPr>
          <w:i/>
          <w:iCs/>
          <w:sz w:val="20"/>
        </w:rPr>
      </w:pPr>
      <w:proofErr w:type="gramStart"/>
      <w:r w:rsidRPr="7A495620">
        <w:rPr>
          <w:i/>
          <w:iCs/>
          <w:sz w:val="20"/>
        </w:rPr>
        <w:t>milliárd</w:t>
      </w:r>
      <w:proofErr w:type="gramEnd"/>
      <w:r w:rsidRPr="7A495620">
        <w:rPr>
          <w:i/>
          <w:iCs/>
          <w:sz w:val="20"/>
        </w:rPr>
        <w:t xml:space="preserve"> forint</w:t>
      </w:r>
    </w:p>
    <w:tbl>
      <w:tblPr>
        <w:tblStyle w:val="Rcsostblzat"/>
        <w:tblW w:w="0" w:type="auto"/>
        <w:tblLook w:val="04A0" w:firstRow="1" w:lastRow="0" w:firstColumn="1" w:lastColumn="0" w:noHBand="0" w:noVBand="1"/>
      </w:tblPr>
      <w:tblGrid>
        <w:gridCol w:w="3369"/>
        <w:gridCol w:w="5426"/>
        <w:gridCol w:w="776"/>
      </w:tblGrid>
      <w:tr w:rsidR="00CC7C80" w:rsidRPr="00CC7C80" w14:paraId="405A761B" w14:textId="77777777" w:rsidTr="7A495620">
        <w:tc>
          <w:tcPr>
            <w:tcW w:w="3369" w:type="dxa"/>
          </w:tcPr>
          <w:p w14:paraId="2DD48879" w14:textId="77777777" w:rsidR="00CC7C80" w:rsidRPr="00CC7C80" w:rsidRDefault="7A495620" w:rsidP="7A495620">
            <w:pPr>
              <w:spacing w:before="60" w:after="60"/>
              <w:jc w:val="left"/>
              <w:rPr>
                <w:sz w:val="20"/>
              </w:rPr>
            </w:pPr>
            <w:r w:rsidRPr="7A495620">
              <w:rPr>
                <w:sz w:val="20"/>
              </w:rPr>
              <w:t>Honvédelmi Minisztérium Védelemgazdasági Hivatal Anyagellátó Raktárbázis Központ</w:t>
            </w:r>
          </w:p>
        </w:tc>
        <w:tc>
          <w:tcPr>
            <w:tcW w:w="5426" w:type="dxa"/>
          </w:tcPr>
          <w:p w14:paraId="4D845CE7" w14:textId="77777777" w:rsidR="00CC7C80" w:rsidRPr="00CC7C80" w:rsidRDefault="7A495620" w:rsidP="7A495620">
            <w:pPr>
              <w:spacing w:before="60" w:after="60"/>
              <w:jc w:val="left"/>
              <w:rPr>
                <w:sz w:val="20"/>
              </w:rPr>
            </w:pPr>
            <w:r w:rsidRPr="7A495620">
              <w:rPr>
                <w:sz w:val="20"/>
              </w:rPr>
              <w:t xml:space="preserve">Döntő részben </w:t>
            </w:r>
            <w:proofErr w:type="spellStart"/>
            <w:r w:rsidRPr="7A495620">
              <w:rPr>
                <w:sz w:val="20"/>
              </w:rPr>
              <w:t>Lynx</w:t>
            </w:r>
            <w:proofErr w:type="spellEnd"/>
            <w:r w:rsidRPr="7A495620">
              <w:rPr>
                <w:sz w:val="20"/>
              </w:rPr>
              <w:t xml:space="preserve"> Program (gyalogsági </w:t>
            </w:r>
            <w:proofErr w:type="spellStart"/>
            <w:r w:rsidRPr="7A495620">
              <w:rPr>
                <w:sz w:val="20"/>
              </w:rPr>
              <w:t>harcjárműcsalád</w:t>
            </w:r>
            <w:proofErr w:type="spellEnd"/>
            <w:r w:rsidRPr="7A495620">
              <w:rPr>
                <w:sz w:val="20"/>
              </w:rPr>
              <w:t xml:space="preserve">) és </w:t>
            </w:r>
            <w:proofErr w:type="spellStart"/>
            <w:r w:rsidRPr="7A495620">
              <w:rPr>
                <w:sz w:val="20"/>
              </w:rPr>
              <w:t>helikopterbeszerzés</w:t>
            </w:r>
            <w:proofErr w:type="spellEnd"/>
          </w:p>
        </w:tc>
        <w:tc>
          <w:tcPr>
            <w:tcW w:w="776" w:type="dxa"/>
          </w:tcPr>
          <w:p w14:paraId="69ECE6AD" w14:textId="77777777" w:rsidR="00CC7C80" w:rsidRPr="00CC7C80" w:rsidRDefault="7A495620" w:rsidP="7A495620">
            <w:pPr>
              <w:spacing w:before="60" w:after="60"/>
              <w:jc w:val="right"/>
              <w:rPr>
                <w:sz w:val="20"/>
              </w:rPr>
            </w:pPr>
            <w:r w:rsidRPr="7A495620">
              <w:rPr>
                <w:sz w:val="20"/>
              </w:rPr>
              <w:t>131,8</w:t>
            </w:r>
          </w:p>
        </w:tc>
      </w:tr>
      <w:tr w:rsidR="00CC7C80" w:rsidRPr="00CC7C80" w14:paraId="7C5D78F4" w14:textId="77777777" w:rsidTr="7A495620">
        <w:tc>
          <w:tcPr>
            <w:tcW w:w="3369" w:type="dxa"/>
          </w:tcPr>
          <w:p w14:paraId="6971BBEE" w14:textId="77777777" w:rsidR="00CC7C80" w:rsidRPr="00CC7C80" w:rsidRDefault="7A495620" w:rsidP="7A495620">
            <w:pPr>
              <w:spacing w:before="60" w:after="60"/>
              <w:jc w:val="left"/>
              <w:rPr>
                <w:sz w:val="20"/>
              </w:rPr>
            </w:pPr>
            <w:r w:rsidRPr="7A495620">
              <w:rPr>
                <w:sz w:val="20"/>
              </w:rPr>
              <w:t>Nemzeti Népegészségügyi Központ</w:t>
            </w:r>
          </w:p>
        </w:tc>
        <w:tc>
          <w:tcPr>
            <w:tcW w:w="5426" w:type="dxa"/>
          </w:tcPr>
          <w:p w14:paraId="4B43764C" w14:textId="77777777" w:rsidR="00CC7C80" w:rsidRPr="00CC7C80" w:rsidRDefault="7A495620" w:rsidP="7A495620">
            <w:pPr>
              <w:spacing w:before="60" w:after="60"/>
              <w:jc w:val="left"/>
              <w:rPr>
                <w:sz w:val="20"/>
              </w:rPr>
            </w:pPr>
            <w:r w:rsidRPr="7A495620">
              <w:rPr>
                <w:sz w:val="20"/>
              </w:rPr>
              <w:t>Főként a koronavírus-járványhoz kapcsolódó oltóanyag beszerzése</w:t>
            </w:r>
          </w:p>
        </w:tc>
        <w:tc>
          <w:tcPr>
            <w:tcW w:w="776" w:type="dxa"/>
          </w:tcPr>
          <w:p w14:paraId="761E1D78" w14:textId="77777777" w:rsidR="00CC7C80" w:rsidRPr="00CC7C80" w:rsidRDefault="7A495620" w:rsidP="7A495620">
            <w:pPr>
              <w:spacing w:before="60" w:after="60"/>
              <w:jc w:val="right"/>
              <w:rPr>
                <w:sz w:val="20"/>
              </w:rPr>
            </w:pPr>
            <w:r w:rsidRPr="7A495620">
              <w:rPr>
                <w:sz w:val="20"/>
              </w:rPr>
              <w:t>35,6</w:t>
            </w:r>
          </w:p>
        </w:tc>
      </w:tr>
      <w:tr w:rsidR="00CC7C80" w:rsidRPr="00CC7C80" w14:paraId="42E99B09" w14:textId="77777777" w:rsidTr="7A495620">
        <w:tc>
          <w:tcPr>
            <w:tcW w:w="3369" w:type="dxa"/>
          </w:tcPr>
          <w:p w14:paraId="28F62C4B" w14:textId="77777777" w:rsidR="00CC7C80" w:rsidRPr="00CC7C80" w:rsidRDefault="7A495620" w:rsidP="7A495620">
            <w:pPr>
              <w:spacing w:before="60" w:after="60"/>
              <w:jc w:val="left"/>
              <w:rPr>
                <w:sz w:val="20"/>
              </w:rPr>
            </w:pPr>
            <w:r w:rsidRPr="7A495620">
              <w:rPr>
                <w:sz w:val="20"/>
              </w:rPr>
              <w:t xml:space="preserve">Országos Kórházi Főigazgatóság </w:t>
            </w:r>
          </w:p>
        </w:tc>
        <w:tc>
          <w:tcPr>
            <w:tcW w:w="5426" w:type="dxa"/>
          </w:tcPr>
          <w:p w14:paraId="070DF245" w14:textId="77777777" w:rsidR="00CC7C80" w:rsidRPr="00CC7C80" w:rsidRDefault="7A495620" w:rsidP="7A495620">
            <w:pPr>
              <w:spacing w:before="60" w:after="60"/>
              <w:jc w:val="left"/>
              <w:rPr>
                <w:sz w:val="20"/>
              </w:rPr>
            </w:pPr>
            <w:r w:rsidRPr="7A495620">
              <w:rPr>
                <w:sz w:val="20"/>
              </w:rPr>
              <w:t>Elsősorban a koronavírus-járványhoz kapcsolódó, valamint egyéb egészségügyi eszközbeszerzések</w:t>
            </w:r>
          </w:p>
        </w:tc>
        <w:tc>
          <w:tcPr>
            <w:tcW w:w="776" w:type="dxa"/>
          </w:tcPr>
          <w:p w14:paraId="3D13FD4F" w14:textId="77777777" w:rsidR="00CC7C80" w:rsidRPr="00CC7C80" w:rsidRDefault="7A495620" w:rsidP="7A495620">
            <w:pPr>
              <w:spacing w:before="60" w:after="60"/>
              <w:jc w:val="right"/>
              <w:rPr>
                <w:sz w:val="20"/>
              </w:rPr>
            </w:pPr>
            <w:r w:rsidRPr="7A495620">
              <w:rPr>
                <w:sz w:val="20"/>
              </w:rPr>
              <w:t>32,6</w:t>
            </w:r>
          </w:p>
        </w:tc>
      </w:tr>
      <w:tr w:rsidR="00CC7C80" w:rsidRPr="00CC7C80" w14:paraId="28A201BE" w14:textId="77777777" w:rsidTr="7A495620">
        <w:tc>
          <w:tcPr>
            <w:tcW w:w="3369" w:type="dxa"/>
          </w:tcPr>
          <w:p w14:paraId="16ED9239" w14:textId="77777777" w:rsidR="00CC7C80" w:rsidRPr="00CC7C80" w:rsidRDefault="7A495620" w:rsidP="7A495620">
            <w:pPr>
              <w:spacing w:before="60" w:after="60"/>
              <w:jc w:val="left"/>
              <w:rPr>
                <w:sz w:val="20"/>
              </w:rPr>
            </w:pPr>
            <w:r w:rsidRPr="7A495620">
              <w:rPr>
                <w:sz w:val="20"/>
              </w:rPr>
              <w:t>Külképviseletek Igazgatása</w:t>
            </w:r>
          </w:p>
        </w:tc>
        <w:tc>
          <w:tcPr>
            <w:tcW w:w="5426" w:type="dxa"/>
          </w:tcPr>
          <w:p w14:paraId="330F420A" w14:textId="7B19096F" w:rsidR="00CC7C80" w:rsidRPr="00CC7C80" w:rsidRDefault="7A495620" w:rsidP="7A495620">
            <w:pPr>
              <w:spacing w:before="60" w:after="60"/>
              <w:jc w:val="left"/>
              <w:rPr>
                <w:sz w:val="20"/>
              </w:rPr>
            </w:pPr>
            <w:r w:rsidRPr="7A495620">
              <w:rPr>
                <w:sz w:val="20"/>
              </w:rPr>
              <w:t>Főként a koronavírus-járványhoz kapcsolódó egészségügyi eszközbeszerzések és a 2021. április havi támogatás devizaellátmány</w:t>
            </w:r>
            <w:r w:rsidR="008969FD">
              <w:rPr>
                <w:sz w:val="20"/>
              </w:rPr>
              <w:t>ra</w:t>
            </w:r>
            <w:r w:rsidRPr="7A495620">
              <w:rPr>
                <w:sz w:val="20"/>
              </w:rPr>
              <w:t xml:space="preserve"> és a kihelyezett dolgozók részére munkabér-átutalás</w:t>
            </w:r>
            <w:r w:rsidR="008969FD">
              <w:rPr>
                <w:sz w:val="20"/>
              </w:rPr>
              <w:t>ra</w:t>
            </w:r>
          </w:p>
        </w:tc>
        <w:tc>
          <w:tcPr>
            <w:tcW w:w="776" w:type="dxa"/>
          </w:tcPr>
          <w:p w14:paraId="6B654F59" w14:textId="77777777" w:rsidR="00CC7C80" w:rsidRPr="00CC7C80" w:rsidRDefault="7A495620" w:rsidP="7A495620">
            <w:pPr>
              <w:spacing w:before="60" w:after="60"/>
              <w:jc w:val="right"/>
              <w:rPr>
                <w:sz w:val="20"/>
              </w:rPr>
            </w:pPr>
            <w:r w:rsidRPr="7A495620">
              <w:rPr>
                <w:sz w:val="20"/>
              </w:rPr>
              <w:t>26,5</w:t>
            </w:r>
          </w:p>
        </w:tc>
      </w:tr>
      <w:tr w:rsidR="00CC7C80" w:rsidRPr="00CC7C80" w14:paraId="1E090860" w14:textId="77777777" w:rsidTr="7A495620">
        <w:tc>
          <w:tcPr>
            <w:tcW w:w="3369" w:type="dxa"/>
          </w:tcPr>
          <w:p w14:paraId="6A29ABF7" w14:textId="77777777" w:rsidR="00CC7C80" w:rsidRPr="00CC7C80" w:rsidRDefault="7A495620" w:rsidP="7A495620">
            <w:pPr>
              <w:spacing w:before="60" w:after="60"/>
              <w:jc w:val="left"/>
              <w:rPr>
                <w:sz w:val="20"/>
              </w:rPr>
            </w:pPr>
            <w:r w:rsidRPr="7A495620">
              <w:rPr>
                <w:sz w:val="20"/>
              </w:rPr>
              <w:t>Országos Vérellátó Szolgálat</w:t>
            </w:r>
          </w:p>
        </w:tc>
        <w:tc>
          <w:tcPr>
            <w:tcW w:w="5426" w:type="dxa"/>
          </w:tcPr>
          <w:p w14:paraId="5BB709AE" w14:textId="77777777" w:rsidR="00CC7C80" w:rsidRPr="00CC7C80" w:rsidRDefault="7A495620" w:rsidP="7A495620">
            <w:pPr>
              <w:spacing w:before="60" w:after="60"/>
              <w:jc w:val="left"/>
              <w:rPr>
                <w:sz w:val="20"/>
              </w:rPr>
            </w:pPr>
            <w:r w:rsidRPr="7A495620">
              <w:rPr>
                <w:sz w:val="20"/>
              </w:rPr>
              <w:t>A koronavírus-járványhoz szükséges tesztek beszerzése</w:t>
            </w:r>
          </w:p>
        </w:tc>
        <w:tc>
          <w:tcPr>
            <w:tcW w:w="776" w:type="dxa"/>
          </w:tcPr>
          <w:p w14:paraId="17FB4815" w14:textId="77777777" w:rsidR="00CC7C80" w:rsidRPr="00CC7C80" w:rsidRDefault="7A495620" w:rsidP="7A495620">
            <w:pPr>
              <w:spacing w:before="60" w:after="60"/>
              <w:jc w:val="right"/>
              <w:rPr>
                <w:sz w:val="20"/>
              </w:rPr>
            </w:pPr>
            <w:r w:rsidRPr="7A495620">
              <w:rPr>
                <w:sz w:val="20"/>
              </w:rPr>
              <w:t>9,1</w:t>
            </w:r>
          </w:p>
        </w:tc>
      </w:tr>
    </w:tbl>
    <w:p w14:paraId="5B930DEF" w14:textId="77777777" w:rsidR="00CC7C80" w:rsidRPr="00CC7C80" w:rsidRDefault="00CC7C80" w:rsidP="00CC7C80">
      <w:pPr>
        <w:spacing w:before="120"/>
      </w:pPr>
    </w:p>
    <w:p w14:paraId="338A7978" w14:textId="0C80C7DF" w:rsidR="00CC7C80" w:rsidRPr="00CC7C80" w:rsidRDefault="7A495620" w:rsidP="00CC7C80">
      <w:pPr>
        <w:spacing w:before="120"/>
      </w:pPr>
      <w:r>
        <w:t>A két év azonos hónapjainak kiadásai közötti eltérést okozó számos tényező közül megemlíthetők a személyi juttatásokra és munkaadókat terhelő járulékokra</w:t>
      </w:r>
      <w:r w:rsidR="0079122D">
        <w:t xml:space="preserve"> folyósított összegek</w:t>
      </w:r>
      <w:r>
        <w:t xml:space="preserve">, valamint a </w:t>
      </w:r>
      <w:r w:rsidR="003D5D37">
        <w:t xml:space="preserve">fenti táblában említett </w:t>
      </w:r>
      <w:r w:rsidR="00650D67">
        <w:t xml:space="preserve">honvédelmi </w:t>
      </w:r>
      <w:r w:rsidR="00F9661C">
        <w:t>célú</w:t>
      </w:r>
      <w:r w:rsidR="0079122D">
        <w:t xml:space="preserve"> kifizetések</w:t>
      </w:r>
      <w:r>
        <w:t>.</w:t>
      </w:r>
    </w:p>
    <w:p w14:paraId="583520C2" w14:textId="77777777" w:rsidR="00686099" w:rsidRPr="00686099" w:rsidRDefault="7A495620" w:rsidP="00686099">
      <w:pPr>
        <w:spacing w:before="120"/>
        <w:rPr>
          <w:bCs/>
        </w:rPr>
      </w:pPr>
      <w:r>
        <w:t>A „</w:t>
      </w:r>
      <w:r w:rsidRPr="7A495620">
        <w:rPr>
          <w:b/>
          <w:bCs/>
        </w:rPr>
        <w:t>Szakmai fejezeti kezelésű előirányzatok kiadásai</w:t>
      </w:r>
      <w:r>
        <w:t xml:space="preserve">” mérlegsoron 2021 első három hónapjában 1057,7 milliárd forint kiadás teljesült, mely 235,2 milliárd forinttal magasabb volt, mint az előző év azonos hónapjainak kiadása. Ezen időszak teljesítéséből az alábbi kiadások emelhetők ki: </w:t>
      </w:r>
    </w:p>
    <w:p w14:paraId="093696A9" w14:textId="77777777" w:rsidR="00686099" w:rsidRPr="00686099" w:rsidRDefault="7A495620" w:rsidP="7A495620">
      <w:pPr>
        <w:spacing w:before="120"/>
        <w:jc w:val="right"/>
        <w:rPr>
          <w:i/>
          <w:iCs/>
          <w:sz w:val="20"/>
        </w:rPr>
      </w:pPr>
      <w:proofErr w:type="gramStart"/>
      <w:r w:rsidRPr="7A495620">
        <w:rPr>
          <w:i/>
          <w:iCs/>
          <w:sz w:val="20"/>
        </w:rPr>
        <w:t>milliárd</w:t>
      </w:r>
      <w:proofErr w:type="gramEnd"/>
      <w:r w:rsidRPr="7A495620">
        <w:rPr>
          <w:i/>
          <w:iCs/>
          <w:sz w:val="20"/>
        </w:rPr>
        <w:t xml:space="preserve"> forint</w:t>
      </w:r>
    </w:p>
    <w:tbl>
      <w:tblPr>
        <w:tblStyle w:val="Rcsostblzat"/>
        <w:tblW w:w="0" w:type="auto"/>
        <w:tblLook w:val="04A0" w:firstRow="1" w:lastRow="0" w:firstColumn="1" w:lastColumn="0" w:noHBand="0" w:noVBand="1"/>
      </w:tblPr>
      <w:tblGrid>
        <w:gridCol w:w="8516"/>
        <w:gridCol w:w="772"/>
      </w:tblGrid>
      <w:tr w:rsidR="00686099" w:rsidRPr="00686099" w14:paraId="5BC37D2A" w14:textId="77777777" w:rsidTr="7A495620">
        <w:tc>
          <w:tcPr>
            <w:tcW w:w="8516" w:type="dxa"/>
          </w:tcPr>
          <w:p w14:paraId="0E3E7F41" w14:textId="77777777" w:rsidR="00686099" w:rsidRPr="00686099" w:rsidRDefault="7A495620" w:rsidP="7A495620">
            <w:pPr>
              <w:spacing w:before="60" w:after="60"/>
              <w:jc w:val="left"/>
              <w:rPr>
                <w:sz w:val="20"/>
              </w:rPr>
            </w:pPr>
            <w:r w:rsidRPr="7A495620">
              <w:rPr>
                <w:sz w:val="20"/>
              </w:rPr>
              <w:t xml:space="preserve">Normatív </w:t>
            </w:r>
            <w:proofErr w:type="gramStart"/>
            <w:r w:rsidRPr="7A495620">
              <w:rPr>
                <w:sz w:val="20"/>
              </w:rPr>
              <w:t>finanszírozás</w:t>
            </w:r>
            <w:proofErr w:type="gramEnd"/>
            <w:r w:rsidRPr="7A495620">
              <w:rPr>
                <w:sz w:val="20"/>
              </w:rPr>
              <w:t xml:space="preserve"> (köznevelési célú humánszolgáltatás és működési támogatás, hit- és erkölcstanoktatás és tankönyvtámogatás, szociális, gyermekvédelmi, gyermekjóléti és fogyatékos személyek esélyegyenlőségét elősegítő célelőirányzatok, nem állami felsőoktatási intézmények támogatása)</w:t>
            </w:r>
          </w:p>
        </w:tc>
        <w:tc>
          <w:tcPr>
            <w:tcW w:w="772" w:type="dxa"/>
          </w:tcPr>
          <w:p w14:paraId="0EA49A63" w14:textId="77777777" w:rsidR="00686099" w:rsidRPr="00686099" w:rsidRDefault="7A495620" w:rsidP="7A495620">
            <w:pPr>
              <w:spacing w:before="60" w:after="60"/>
              <w:jc w:val="right"/>
              <w:rPr>
                <w:sz w:val="20"/>
              </w:rPr>
            </w:pPr>
            <w:r w:rsidRPr="7A495620">
              <w:rPr>
                <w:sz w:val="20"/>
              </w:rPr>
              <w:t>140,9</w:t>
            </w:r>
          </w:p>
        </w:tc>
      </w:tr>
      <w:tr w:rsidR="00686099" w:rsidRPr="00686099" w14:paraId="2F6D2179" w14:textId="77777777" w:rsidTr="7A495620">
        <w:tc>
          <w:tcPr>
            <w:tcW w:w="8516" w:type="dxa"/>
          </w:tcPr>
          <w:p w14:paraId="75A58CBF" w14:textId="77777777" w:rsidR="00686099" w:rsidRPr="00686099" w:rsidRDefault="7A495620" w:rsidP="7A495620">
            <w:pPr>
              <w:spacing w:before="60" w:after="60"/>
              <w:jc w:val="left"/>
              <w:rPr>
                <w:sz w:val="20"/>
              </w:rPr>
            </w:pPr>
            <w:r w:rsidRPr="7A495620">
              <w:rPr>
                <w:sz w:val="20"/>
              </w:rPr>
              <w:t>A koronavírus-járvány következtében szükségessé vált versenyképesség-növelő támogatás</w:t>
            </w:r>
          </w:p>
        </w:tc>
        <w:tc>
          <w:tcPr>
            <w:tcW w:w="772" w:type="dxa"/>
          </w:tcPr>
          <w:p w14:paraId="6B156914" w14:textId="77777777" w:rsidR="00686099" w:rsidRPr="00686099" w:rsidRDefault="7A495620" w:rsidP="7A495620">
            <w:pPr>
              <w:spacing w:before="60" w:after="60"/>
              <w:jc w:val="right"/>
              <w:rPr>
                <w:sz w:val="20"/>
              </w:rPr>
            </w:pPr>
            <w:r w:rsidRPr="7A495620">
              <w:rPr>
                <w:sz w:val="20"/>
              </w:rPr>
              <w:t>80,1</w:t>
            </w:r>
          </w:p>
        </w:tc>
      </w:tr>
      <w:tr w:rsidR="00686099" w:rsidRPr="00686099" w14:paraId="210E93BA" w14:textId="77777777" w:rsidTr="7A495620">
        <w:tc>
          <w:tcPr>
            <w:tcW w:w="8516" w:type="dxa"/>
          </w:tcPr>
          <w:p w14:paraId="08A9E684" w14:textId="77777777" w:rsidR="00686099" w:rsidRPr="00686099" w:rsidRDefault="7A495620" w:rsidP="7A495620">
            <w:pPr>
              <w:spacing w:before="60" w:after="60"/>
              <w:jc w:val="left"/>
              <w:rPr>
                <w:sz w:val="20"/>
              </w:rPr>
            </w:pPr>
            <w:r w:rsidRPr="7A495620">
              <w:rPr>
                <w:sz w:val="20"/>
              </w:rPr>
              <w:t>Vasúti fejlesztések</w:t>
            </w:r>
          </w:p>
        </w:tc>
        <w:tc>
          <w:tcPr>
            <w:tcW w:w="772" w:type="dxa"/>
          </w:tcPr>
          <w:p w14:paraId="78FD1B55" w14:textId="77777777" w:rsidR="00686099" w:rsidRPr="00686099" w:rsidRDefault="7A495620" w:rsidP="7A495620">
            <w:pPr>
              <w:spacing w:before="60" w:after="60"/>
              <w:jc w:val="right"/>
              <w:rPr>
                <w:sz w:val="20"/>
              </w:rPr>
            </w:pPr>
            <w:r w:rsidRPr="7A495620">
              <w:rPr>
                <w:sz w:val="20"/>
              </w:rPr>
              <w:t>60,2</w:t>
            </w:r>
          </w:p>
        </w:tc>
      </w:tr>
      <w:tr w:rsidR="00686099" w:rsidRPr="00686099" w14:paraId="08E3BE96" w14:textId="77777777" w:rsidTr="7A495620">
        <w:tc>
          <w:tcPr>
            <w:tcW w:w="8516" w:type="dxa"/>
          </w:tcPr>
          <w:p w14:paraId="4746062F" w14:textId="77777777" w:rsidR="00686099" w:rsidRPr="00686099" w:rsidRDefault="7A495620" w:rsidP="7A495620">
            <w:pPr>
              <w:spacing w:before="60" w:after="60"/>
              <w:jc w:val="left"/>
              <w:rPr>
                <w:sz w:val="20"/>
              </w:rPr>
            </w:pPr>
            <w:r w:rsidRPr="7A495620">
              <w:rPr>
                <w:sz w:val="20"/>
              </w:rPr>
              <w:t>Közúti fejlesztések</w:t>
            </w:r>
          </w:p>
        </w:tc>
        <w:tc>
          <w:tcPr>
            <w:tcW w:w="772" w:type="dxa"/>
          </w:tcPr>
          <w:p w14:paraId="64681B14" w14:textId="77777777" w:rsidR="00686099" w:rsidRPr="00686099" w:rsidRDefault="7A495620" w:rsidP="7A495620">
            <w:pPr>
              <w:spacing w:before="60" w:after="60"/>
              <w:jc w:val="right"/>
              <w:rPr>
                <w:sz w:val="20"/>
              </w:rPr>
            </w:pPr>
            <w:r w:rsidRPr="7A495620">
              <w:rPr>
                <w:sz w:val="20"/>
              </w:rPr>
              <w:t>57,5</w:t>
            </w:r>
          </w:p>
        </w:tc>
      </w:tr>
      <w:tr w:rsidR="00686099" w:rsidRPr="00686099" w14:paraId="0DA398F6" w14:textId="77777777" w:rsidTr="7A495620">
        <w:tc>
          <w:tcPr>
            <w:tcW w:w="8516" w:type="dxa"/>
          </w:tcPr>
          <w:p w14:paraId="24133EAF" w14:textId="77777777" w:rsidR="00686099" w:rsidRPr="00686099" w:rsidRDefault="7A495620" w:rsidP="7A495620">
            <w:pPr>
              <w:spacing w:before="60" w:after="60"/>
              <w:jc w:val="left"/>
              <w:rPr>
                <w:sz w:val="20"/>
              </w:rPr>
            </w:pPr>
            <w:r w:rsidRPr="7A495620">
              <w:rPr>
                <w:sz w:val="20"/>
              </w:rPr>
              <w:t>Közlekedési ágazati programok</w:t>
            </w:r>
          </w:p>
        </w:tc>
        <w:tc>
          <w:tcPr>
            <w:tcW w:w="772" w:type="dxa"/>
          </w:tcPr>
          <w:p w14:paraId="11589046" w14:textId="77777777" w:rsidR="00686099" w:rsidRPr="00686099" w:rsidRDefault="7A495620" w:rsidP="7A495620">
            <w:pPr>
              <w:spacing w:before="60" w:after="60"/>
              <w:jc w:val="right"/>
              <w:rPr>
                <w:sz w:val="20"/>
              </w:rPr>
            </w:pPr>
            <w:r w:rsidRPr="7A495620">
              <w:rPr>
                <w:sz w:val="20"/>
              </w:rPr>
              <w:t>49,0</w:t>
            </w:r>
          </w:p>
        </w:tc>
      </w:tr>
      <w:tr w:rsidR="00686099" w:rsidRPr="00686099" w14:paraId="18FC9139" w14:textId="77777777" w:rsidTr="7A495620">
        <w:tc>
          <w:tcPr>
            <w:tcW w:w="8516" w:type="dxa"/>
          </w:tcPr>
          <w:p w14:paraId="582FCC70" w14:textId="77777777" w:rsidR="00686099" w:rsidRPr="00686099" w:rsidRDefault="7A495620" w:rsidP="7A495620">
            <w:pPr>
              <w:spacing w:before="60" w:after="60"/>
              <w:jc w:val="left"/>
              <w:rPr>
                <w:sz w:val="20"/>
              </w:rPr>
            </w:pPr>
            <w:r w:rsidRPr="7A495620">
              <w:rPr>
                <w:sz w:val="20"/>
              </w:rPr>
              <w:t>Modern Városok Program</w:t>
            </w:r>
          </w:p>
        </w:tc>
        <w:tc>
          <w:tcPr>
            <w:tcW w:w="772" w:type="dxa"/>
          </w:tcPr>
          <w:p w14:paraId="3CC2D1EF" w14:textId="77777777" w:rsidR="00686099" w:rsidRPr="00686099" w:rsidRDefault="7A495620" w:rsidP="7A495620">
            <w:pPr>
              <w:spacing w:before="60" w:after="60"/>
              <w:jc w:val="right"/>
              <w:rPr>
                <w:sz w:val="20"/>
              </w:rPr>
            </w:pPr>
            <w:r w:rsidRPr="7A495620">
              <w:rPr>
                <w:sz w:val="20"/>
              </w:rPr>
              <w:t>42,0</w:t>
            </w:r>
          </w:p>
        </w:tc>
      </w:tr>
      <w:tr w:rsidR="00686099" w:rsidRPr="00686099" w14:paraId="0714107D" w14:textId="77777777" w:rsidTr="7A495620">
        <w:tc>
          <w:tcPr>
            <w:tcW w:w="8516" w:type="dxa"/>
          </w:tcPr>
          <w:p w14:paraId="2C5BF18E" w14:textId="77777777" w:rsidR="00686099" w:rsidRPr="00686099" w:rsidRDefault="7A495620" w:rsidP="7A495620">
            <w:pPr>
              <w:spacing w:before="60" w:after="60"/>
              <w:jc w:val="left"/>
              <w:rPr>
                <w:sz w:val="20"/>
              </w:rPr>
            </w:pPr>
            <w:r w:rsidRPr="7A495620">
              <w:rPr>
                <w:sz w:val="20"/>
              </w:rPr>
              <w:t>Turisztikai fejlesztési célelőirányzat</w:t>
            </w:r>
          </w:p>
        </w:tc>
        <w:tc>
          <w:tcPr>
            <w:tcW w:w="772" w:type="dxa"/>
          </w:tcPr>
          <w:p w14:paraId="5E4E90C0" w14:textId="77777777" w:rsidR="00686099" w:rsidRPr="00686099" w:rsidRDefault="7A495620" w:rsidP="7A495620">
            <w:pPr>
              <w:spacing w:before="60" w:after="60"/>
              <w:jc w:val="right"/>
              <w:rPr>
                <w:sz w:val="20"/>
              </w:rPr>
            </w:pPr>
            <w:r w:rsidRPr="7A495620">
              <w:rPr>
                <w:sz w:val="20"/>
              </w:rPr>
              <w:t>37,5</w:t>
            </w:r>
          </w:p>
        </w:tc>
      </w:tr>
      <w:tr w:rsidR="00686099" w:rsidRPr="00686099" w14:paraId="42116A90" w14:textId="77777777" w:rsidTr="7A495620">
        <w:tc>
          <w:tcPr>
            <w:tcW w:w="8516" w:type="dxa"/>
          </w:tcPr>
          <w:p w14:paraId="27C92CC1" w14:textId="77777777" w:rsidR="00686099" w:rsidRPr="00686099" w:rsidRDefault="7A495620" w:rsidP="7A495620">
            <w:pPr>
              <w:spacing w:before="60" w:after="60"/>
              <w:jc w:val="left"/>
              <w:rPr>
                <w:sz w:val="20"/>
              </w:rPr>
            </w:pPr>
            <w:r w:rsidRPr="7A495620">
              <w:rPr>
                <w:sz w:val="20"/>
              </w:rPr>
              <w:t>Autópálya rendelkezésre állási díj</w:t>
            </w:r>
          </w:p>
        </w:tc>
        <w:tc>
          <w:tcPr>
            <w:tcW w:w="772" w:type="dxa"/>
          </w:tcPr>
          <w:p w14:paraId="6BC6BB6E" w14:textId="77777777" w:rsidR="00686099" w:rsidRPr="00686099" w:rsidRDefault="7A495620" w:rsidP="7A495620">
            <w:pPr>
              <w:spacing w:before="60" w:after="60"/>
              <w:jc w:val="right"/>
              <w:rPr>
                <w:sz w:val="20"/>
              </w:rPr>
            </w:pPr>
            <w:r w:rsidRPr="7A495620">
              <w:rPr>
                <w:sz w:val="20"/>
              </w:rPr>
              <w:t>34,3</w:t>
            </w:r>
          </w:p>
        </w:tc>
      </w:tr>
      <w:tr w:rsidR="00686099" w:rsidRPr="00686099" w14:paraId="5BBF0BB0" w14:textId="77777777" w:rsidTr="7A495620">
        <w:tc>
          <w:tcPr>
            <w:tcW w:w="8516" w:type="dxa"/>
          </w:tcPr>
          <w:p w14:paraId="3131FD0A" w14:textId="77777777" w:rsidR="00686099" w:rsidRPr="00686099" w:rsidRDefault="7A495620" w:rsidP="7A495620">
            <w:pPr>
              <w:spacing w:before="60" w:after="60"/>
              <w:jc w:val="left"/>
              <w:rPr>
                <w:sz w:val="20"/>
              </w:rPr>
            </w:pPr>
            <w:r w:rsidRPr="7A495620">
              <w:rPr>
                <w:sz w:val="20"/>
              </w:rPr>
              <w:t>Egészséges Budapest Program</w:t>
            </w:r>
          </w:p>
        </w:tc>
        <w:tc>
          <w:tcPr>
            <w:tcW w:w="772" w:type="dxa"/>
          </w:tcPr>
          <w:p w14:paraId="65C54398" w14:textId="77777777" w:rsidR="00686099" w:rsidRPr="00686099" w:rsidRDefault="7A495620" w:rsidP="7A495620">
            <w:pPr>
              <w:spacing w:before="60" w:after="60"/>
              <w:jc w:val="right"/>
              <w:rPr>
                <w:sz w:val="20"/>
              </w:rPr>
            </w:pPr>
            <w:r w:rsidRPr="7A495620">
              <w:rPr>
                <w:sz w:val="20"/>
              </w:rPr>
              <w:t>28,7</w:t>
            </w:r>
          </w:p>
        </w:tc>
      </w:tr>
      <w:tr w:rsidR="00686099" w:rsidRPr="00686099" w14:paraId="5B2AE104" w14:textId="77777777" w:rsidTr="7A495620">
        <w:tc>
          <w:tcPr>
            <w:tcW w:w="8516" w:type="dxa"/>
          </w:tcPr>
          <w:p w14:paraId="4B30473D" w14:textId="77777777" w:rsidR="00686099" w:rsidRPr="00686099" w:rsidRDefault="7A495620" w:rsidP="7A495620">
            <w:pPr>
              <w:spacing w:before="60" w:after="60"/>
              <w:jc w:val="left"/>
              <w:rPr>
                <w:sz w:val="20"/>
              </w:rPr>
            </w:pPr>
            <w:r w:rsidRPr="7A495620">
              <w:rPr>
                <w:sz w:val="20"/>
              </w:rPr>
              <w:t>Beruházás ösztönzési célelőirányzat</w:t>
            </w:r>
          </w:p>
        </w:tc>
        <w:tc>
          <w:tcPr>
            <w:tcW w:w="772" w:type="dxa"/>
          </w:tcPr>
          <w:p w14:paraId="1629C302" w14:textId="77777777" w:rsidR="00686099" w:rsidRPr="00686099" w:rsidRDefault="7A495620" w:rsidP="7A495620">
            <w:pPr>
              <w:spacing w:before="60" w:after="60"/>
              <w:jc w:val="right"/>
              <w:rPr>
                <w:sz w:val="20"/>
              </w:rPr>
            </w:pPr>
            <w:r w:rsidRPr="7A495620">
              <w:rPr>
                <w:sz w:val="20"/>
              </w:rPr>
              <w:t>22,0</w:t>
            </w:r>
          </w:p>
        </w:tc>
      </w:tr>
    </w:tbl>
    <w:p w14:paraId="170746A0" w14:textId="1104294F" w:rsidR="00686099" w:rsidRPr="00686099" w:rsidRDefault="00686099" w:rsidP="00686099">
      <w:r>
        <w:lastRenderedPageBreak/>
        <w:br/>
      </w:r>
      <w:r w:rsidR="7A495620">
        <w:t xml:space="preserve">A két év azonos időszakának kiadásai közötti eltérést okozó </w:t>
      </w:r>
      <w:r w:rsidR="0028228D">
        <w:t xml:space="preserve">számos </w:t>
      </w:r>
      <w:r w:rsidR="7A495620">
        <w:t xml:space="preserve">tényező közül </w:t>
      </w:r>
      <w:r w:rsidR="00A36E72">
        <w:t>meg</w:t>
      </w:r>
      <w:r w:rsidR="7A495620">
        <w:t>em</w:t>
      </w:r>
      <w:r w:rsidR="00A36E72">
        <w:t>lít</w:t>
      </w:r>
      <w:r w:rsidR="7A495620">
        <w:t xml:space="preserve">hetők a koronavírus-járvány következtében szükségessé vált versenyképesség-növelő támogatásra, a normatív </w:t>
      </w:r>
      <w:proofErr w:type="gramStart"/>
      <w:r w:rsidR="7A495620">
        <w:t>finanszírozásra</w:t>
      </w:r>
      <w:proofErr w:type="gramEnd"/>
      <w:r w:rsidR="7A495620">
        <w:t xml:space="preserve">, a vasúti fejlesztésekre, </w:t>
      </w:r>
      <w:r w:rsidR="008349CA">
        <w:t>a Turisztikai fejlesztési célelőirányzatból</w:t>
      </w:r>
      <w:r w:rsidR="7A495620">
        <w:t>, valamint az Egészséges Budapest Program céljaira kifizetett összegek.</w:t>
      </w:r>
    </w:p>
    <w:p w14:paraId="7BC4654B" w14:textId="74C83F34" w:rsidR="005608B8" w:rsidRPr="000F2784" w:rsidRDefault="7A495620" w:rsidP="005608B8">
      <w:pPr>
        <w:spacing w:before="240"/>
      </w:pPr>
      <w:r>
        <w:t>Az „</w:t>
      </w:r>
      <w:r w:rsidRPr="7A495620">
        <w:rPr>
          <w:b/>
          <w:bCs/>
        </w:rPr>
        <w:t>Uniós fejezeti kezelésű előirányzatok kiadásai</w:t>
      </w:r>
      <w:r>
        <w:t xml:space="preserve">” mérlegsoron 2021. március végéig </w:t>
      </w:r>
      <w:r w:rsidR="00DA596C">
        <w:t>mindössze 88,1</w:t>
      </w:r>
      <w:r w:rsidR="0003742C">
        <w:t> </w:t>
      </w:r>
      <w:r>
        <w:t>milli</w:t>
      </w:r>
      <w:r w:rsidR="00DA596C">
        <w:t>ó</w:t>
      </w:r>
      <w:r>
        <w:t xml:space="preserve"> forint összegű kifizetés történt. 2021</w:t>
      </w:r>
      <w:r w:rsidR="0003742C">
        <w:t>-től</w:t>
      </w:r>
      <w:r>
        <w:t xml:space="preserve"> az uniós programokhoz kapcsolódó kiadások jelentős része központi kezelésűvé vált, ezért e kiadások már nem a „Költségvetési szervek és fejezeti kezelésű előirányzatok” körében jelennek meg.</w:t>
      </w:r>
    </w:p>
    <w:p w14:paraId="3A09333F" w14:textId="77777777" w:rsidR="009B3EF5" w:rsidRDefault="7A495620" w:rsidP="004D057C">
      <w:r>
        <w:t xml:space="preserve">A </w:t>
      </w:r>
      <w:r w:rsidRPr="7A495620">
        <w:rPr>
          <w:b/>
          <w:bCs/>
        </w:rPr>
        <w:t>2021. március végi, több mint 2850 milliárd forint összegű kiadások</w:t>
      </w:r>
      <w:r>
        <w:t xml:space="preserve"> megoszlását a következő grafikon szemlélteti:</w:t>
      </w:r>
    </w:p>
    <w:p w14:paraId="2ABE9700" w14:textId="45052F96" w:rsidR="009B3EF5" w:rsidRDefault="009B3EF5" w:rsidP="004D057C">
      <w:r>
        <w:rPr>
          <w:noProof/>
        </w:rPr>
        <w:drawing>
          <wp:inline distT="0" distB="0" distL="0" distR="0" wp14:anchorId="72FF7A36" wp14:editId="04185B1A">
            <wp:extent cx="5940425" cy="3096260"/>
            <wp:effectExtent l="0" t="0" r="3175" b="889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ervek_fejkezek_kiadásai.png"/>
                    <pic:cNvPicPr/>
                  </pic:nvPicPr>
                  <pic:blipFill>
                    <a:blip r:embed="rId24">
                      <a:extLst>
                        <a:ext uri="{28A0092B-C50C-407E-A947-70E740481C1C}">
                          <a14:useLocalDpi xmlns:a14="http://schemas.microsoft.com/office/drawing/2010/main" val="0"/>
                        </a:ext>
                      </a:extLst>
                    </a:blip>
                    <a:stretch>
                      <a:fillRect/>
                    </a:stretch>
                  </pic:blipFill>
                  <pic:spPr>
                    <a:xfrm>
                      <a:off x="0" y="0"/>
                      <a:ext cx="5940425" cy="3096260"/>
                    </a:xfrm>
                    <a:prstGeom prst="rect">
                      <a:avLst/>
                    </a:prstGeom>
                  </pic:spPr>
                </pic:pic>
              </a:graphicData>
            </a:graphic>
          </wp:inline>
        </w:drawing>
      </w:r>
    </w:p>
    <w:p w14:paraId="5D4F03D6" w14:textId="0DFFD5ED" w:rsidR="00325D3E" w:rsidRDefault="00325D3E" w:rsidP="004D057C">
      <w:r>
        <w:br w:type="page"/>
      </w:r>
    </w:p>
    <w:p w14:paraId="5D4F03D8" w14:textId="77777777" w:rsidR="00A83A7D" w:rsidRDefault="7A495620" w:rsidP="7A495620">
      <w:pPr>
        <w:pStyle w:val="Cmsor3"/>
        <w:numPr>
          <w:ilvl w:val="0"/>
          <w:numId w:val="8"/>
        </w:numPr>
        <w:spacing w:before="0" w:after="120"/>
        <w:jc w:val="left"/>
        <w:rPr>
          <w:sz w:val="26"/>
          <w:szCs w:val="26"/>
        </w:rPr>
      </w:pPr>
      <w:r w:rsidRPr="7A495620">
        <w:rPr>
          <w:sz w:val="26"/>
          <w:szCs w:val="26"/>
        </w:rPr>
        <w:lastRenderedPageBreak/>
        <w:t>Kamategyenleg</w:t>
      </w:r>
    </w:p>
    <w:p w14:paraId="1827C763" w14:textId="1384A2A3" w:rsidR="003934EA" w:rsidRPr="003934EA" w:rsidRDefault="7A495620" w:rsidP="003934EA">
      <w:r>
        <w:t xml:space="preserve">A bevételek és kiadások egyenlegeként adódó 128,3 milliárd forint összegű </w:t>
      </w:r>
      <w:r w:rsidRPr="7A495620">
        <w:rPr>
          <w:b/>
          <w:bCs/>
        </w:rPr>
        <w:t>nettó kamatkiadás</w:t>
      </w:r>
      <w:r>
        <w:t xml:space="preserve"> 43,0 milliárd forinttal lett kevesebb az előző év azonos időszakához képest, mely a kamatfizetések éven belüli eltérő lefutásával és az előző évitől különböző </w:t>
      </w:r>
      <w:proofErr w:type="gramStart"/>
      <w:r>
        <w:t>finanszírozási</w:t>
      </w:r>
      <w:proofErr w:type="gramEnd"/>
      <w:r>
        <w:t xml:space="preserve"> szerkezettel magyarázható.</w:t>
      </w:r>
    </w:p>
    <w:p w14:paraId="53E1E684" w14:textId="4CD2DD68" w:rsidR="004C30D8" w:rsidRPr="004C30D8" w:rsidRDefault="7A495620" w:rsidP="7A495620">
      <w:pPr>
        <w:tabs>
          <w:tab w:val="left" w:pos="550"/>
        </w:tabs>
        <w:spacing w:before="120"/>
        <w:jc w:val="center"/>
        <w:rPr>
          <w:b/>
          <w:bCs/>
          <w:sz w:val="20"/>
        </w:rPr>
      </w:pPr>
      <w:r w:rsidRPr="7A495620">
        <w:rPr>
          <w:b/>
          <w:bCs/>
          <w:sz w:val="20"/>
        </w:rPr>
        <w:t>A kamategyenleg összetétele (milliárd forintban)</w:t>
      </w:r>
    </w:p>
    <w:tbl>
      <w:tblPr>
        <w:tblW w:w="7165" w:type="dxa"/>
        <w:jc w:val="center"/>
        <w:tblCellMar>
          <w:left w:w="70" w:type="dxa"/>
          <w:right w:w="70" w:type="dxa"/>
        </w:tblCellMar>
        <w:tblLook w:val="04A0" w:firstRow="1" w:lastRow="0" w:firstColumn="1" w:lastColumn="0" w:noHBand="0" w:noVBand="1"/>
      </w:tblPr>
      <w:tblGrid>
        <w:gridCol w:w="195"/>
        <w:gridCol w:w="368"/>
        <w:gridCol w:w="4192"/>
        <w:gridCol w:w="1134"/>
        <w:gridCol w:w="1276"/>
      </w:tblGrid>
      <w:tr w:rsidR="004C30D8" w:rsidRPr="004C30D8" w14:paraId="2B7CD0E6" w14:textId="77777777" w:rsidTr="7A495620">
        <w:trPr>
          <w:trHeight w:val="285"/>
          <w:jc w:val="center"/>
        </w:trPr>
        <w:tc>
          <w:tcPr>
            <w:tcW w:w="4755" w:type="dxa"/>
            <w:gridSpan w:val="3"/>
            <w:vMerge w:val="restart"/>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hideMark/>
          </w:tcPr>
          <w:p w14:paraId="03CB3B67" w14:textId="77777777" w:rsidR="004C30D8" w:rsidRPr="004C30D8" w:rsidRDefault="7A495620" w:rsidP="7A495620">
            <w:pPr>
              <w:spacing w:after="0"/>
              <w:jc w:val="center"/>
              <w:rPr>
                <w:b/>
                <w:bCs/>
                <w:sz w:val="22"/>
                <w:szCs w:val="22"/>
              </w:rPr>
            </w:pPr>
            <w:r w:rsidRPr="7A495620">
              <w:rPr>
                <w:b/>
                <w:bCs/>
                <w:sz w:val="22"/>
                <w:szCs w:val="22"/>
              </w:rPr>
              <w:t> </w:t>
            </w:r>
          </w:p>
        </w:tc>
        <w:tc>
          <w:tcPr>
            <w:tcW w:w="2410" w:type="dxa"/>
            <w:gridSpan w:val="2"/>
            <w:tcBorders>
              <w:top w:val="single" w:sz="4" w:space="0" w:color="auto"/>
              <w:left w:val="nil"/>
              <w:bottom w:val="nil"/>
              <w:right w:val="single" w:sz="4" w:space="0" w:color="000000" w:themeColor="text1"/>
            </w:tcBorders>
            <w:shd w:val="clear" w:color="auto" w:fill="auto"/>
            <w:noWrap/>
            <w:vAlign w:val="bottom"/>
            <w:hideMark/>
          </w:tcPr>
          <w:p w14:paraId="26B2914C" w14:textId="57D0E476" w:rsidR="004C30D8" w:rsidRPr="004C30D8" w:rsidRDefault="7A495620" w:rsidP="7A495620">
            <w:pPr>
              <w:spacing w:after="0"/>
              <w:jc w:val="center"/>
              <w:rPr>
                <w:b/>
                <w:bCs/>
                <w:sz w:val="22"/>
                <w:szCs w:val="22"/>
              </w:rPr>
            </w:pPr>
            <w:r w:rsidRPr="7A495620">
              <w:rPr>
                <w:b/>
                <w:bCs/>
                <w:sz w:val="22"/>
                <w:szCs w:val="22"/>
              </w:rPr>
              <w:t>I-III. hó</w:t>
            </w:r>
          </w:p>
        </w:tc>
      </w:tr>
      <w:tr w:rsidR="004C30D8" w:rsidRPr="004C30D8" w14:paraId="5F451AD5" w14:textId="77777777" w:rsidTr="7A495620">
        <w:trPr>
          <w:trHeight w:val="285"/>
          <w:jc w:val="center"/>
        </w:trPr>
        <w:tc>
          <w:tcPr>
            <w:tcW w:w="4755" w:type="dxa"/>
            <w:gridSpan w:val="3"/>
            <w:vMerge/>
            <w:tcBorders>
              <w:top w:val="single" w:sz="4" w:space="0" w:color="auto"/>
              <w:left w:val="single" w:sz="4" w:space="0" w:color="auto"/>
              <w:bottom w:val="single" w:sz="4" w:space="0" w:color="000000"/>
              <w:right w:val="single" w:sz="4" w:space="0" w:color="auto"/>
            </w:tcBorders>
            <w:vAlign w:val="center"/>
            <w:hideMark/>
          </w:tcPr>
          <w:p w14:paraId="6E66DB8C" w14:textId="77777777" w:rsidR="004C30D8" w:rsidRPr="004C30D8" w:rsidRDefault="004C30D8" w:rsidP="004C30D8">
            <w:pPr>
              <w:spacing w:after="0"/>
              <w:jc w:val="left"/>
              <w:rPr>
                <w:b/>
                <w:bCs/>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017B73" w14:textId="6B91DA66" w:rsidR="004C30D8" w:rsidRPr="004C30D8" w:rsidRDefault="7A495620" w:rsidP="7A495620">
            <w:pPr>
              <w:spacing w:after="0"/>
              <w:jc w:val="center"/>
              <w:rPr>
                <w:b/>
                <w:bCs/>
                <w:sz w:val="22"/>
                <w:szCs w:val="22"/>
              </w:rPr>
            </w:pPr>
            <w:r w:rsidRPr="7A495620">
              <w:rPr>
                <w:b/>
                <w:bCs/>
                <w:sz w:val="22"/>
                <w:szCs w:val="22"/>
              </w:rPr>
              <w:t>2020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E9D2B5" w14:textId="7075A70C" w:rsidR="004C30D8" w:rsidRPr="004C30D8" w:rsidRDefault="7A495620" w:rsidP="7A495620">
            <w:pPr>
              <w:spacing w:after="0"/>
              <w:jc w:val="center"/>
              <w:rPr>
                <w:b/>
                <w:bCs/>
                <w:sz w:val="22"/>
                <w:szCs w:val="22"/>
              </w:rPr>
            </w:pPr>
            <w:r w:rsidRPr="7A495620">
              <w:rPr>
                <w:b/>
                <w:bCs/>
                <w:sz w:val="22"/>
                <w:szCs w:val="22"/>
              </w:rPr>
              <w:t>2021</w:t>
            </w:r>
          </w:p>
        </w:tc>
      </w:tr>
      <w:tr w:rsidR="0020021A" w:rsidRPr="004C30D8" w14:paraId="6DB9F97D" w14:textId="77777777" w:rsidTr="7A495620">
        <w:trPr>
          <w:trHeight w:val="285"/>
          <w:jc w:val="center"/>
        </w:trPr>
        <w:tc>
          <w:tcPr>
            <w:tcW w:w="475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23363E" w14:textId="77777777" w:rsidR="0020021A" w:rsidRPr="004C30D8" w:rsidRDefault="7A495620" w:rsidP="7A495620">
            <w:pPr>
              <w:spacing w:after="0"/>
              <w:jc w:val="left"/>
              <w:rPr>
                <w:b/>
                <w:bCs/>
                <w:sz w:val="22"/>
                <w:szCs w:val="22"/>
              </w:rPr>
            </w:pPr>
            <w:r w:rsidRPr="7A495620">
              <w:rPr>
                <w:b/>
                <w:bCs/>
                <w:sz w:val="22"/>
                <w:szCs w:val="22"/>
              </w:rPr>
              <w:t>1. Bevétel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4E9B3" w14:textId="74C134CA" w:rsidR="0020021A" w:rsidRPr="004C30D8" w:rsidRDefault="7A495620" w:rsidP="7A495620">
            <w:pPr>
              <w:spacing w:after="0"/>
              <w:jc w:val="right"/>
              <w:rPr>
                <w:b/>
                <w:bCs/>
                <w:sz w:val="22"/>
                <w:szCs w:val="22"/>
              </w:rPr>
            </w:pPr>
            <w:r w:rsidRPr="7A495620">
              <w:rPr>
                <w:b/>
                <w:bCs/>
                <w:sz w:val="22"/>
                <w:szCs w:val="22"/>
              </w:rPr>
              <w:t>41,8</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26E65790" w14:textId="7E3E131E" w:rsidR="0020021A" w:rsidRPr="004C30D8" w:rsidRDefault="7A495620" w:rsidP="7A495620">
            <w:pPr>
              <w:spacing w:after="0"/>
              <w:jc w:val="right"/>
              <w:rPr>
                <w:b/>
                <w:bCs/>
                <w:sz w:val="22"/>
                <w:szCs w:val="22"/>
              </w:rPr>
            </w:pPr>
            <w:r w:rsidRPr="7A495620">
              <w:rPr>
                <w:b/>
                <w:bCs/>
                <w:sz w:val="22"/>
                <w:szCs w:val="22"/>
              </w:rPr>
              <w:t>27,8</w:t>
            </w:r>
          </w:p>
        </w:tc>
      </w:tr>
      <w:tr w:rsidR="0020021A" w:rsidRPr="004C30D8" w14:paraId="18A0C2F2" w14:textId="77777777" w:rsidTr="7A495620">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12A529DF" w14:textId="54FF5E60" w:rsidR="0020021A" w:rsidRPr="004C30D8" w:rsidRDefault="7A495620" w:rsidP="7A495620">
            <w:pPr>
              <w:spacing w:after="0"/>
              <w:jc w:val="left"/>
              <w:rPr>
                <w:sz w:val="22"/>
                <w:szCs w:val="22"/>
              </w:rPr>
            </w:pPr>
            <w:r w:rsidRPr="7A495620">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6544146B" w14:textId="77777777" w:rsidR="0020021A" w:rsidRPr="004C30D8" w:rsidRDefault="7A495620" w:rsidP="7A495620">
            <w:pPr>
              <w:spacing w:after="0"/>
              <w:jc w:val="left"/>
              <w:rPr>
                <w:b/>
                <w:bCs/>
                <w:sz w:val="22"/>
                <w:szCs w:val="22"/>
              </w:rPr>
            </w:pPr>
            <w:r w:rsidRPr="7A495620">
              <w:rPr>
                <w:b/>
                <w:bCs/>
                <w:sz w:val="22"/>
                <w:szCs w:val="22"/>
              </w:rPr>
              <w:t>1.1. Forint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D046DA" w14:textId="5EF00EEF" w:rsidR="0020021A" w:rsidRPr="004C30D8" w:rsidRDefault="7A495620" w:rsidP="7A495620">
            <w:pPr>
              <w:spacing w:after="0"/>
              <w:jc w:val="right"/>
              <w:rPr>
                <w:b/>
                <w:bCs/>
                <w:sz w:val="22"/>
                <w:szCs w:val="22"/>
              </w:rPr>
            </w:pPr>
            <w:r w:rsidRPr="7A495620">
              <w:rPr>
                <w:b/>
                <w:bCs/>
                <w:sz w:val="22"/>
                <w:szCs w:val="22"/>
              </w:rPr>
              <w:t>42,0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43B0E4E" w14:textId="6CD28090" w:rsidR="0020021A" w:rsidRPr="004C30D8" w:rsidRDefault="7A495620" w:rsidP="7A495620">
            <w:pPr>
              <w:spacing w:after="0"/>
              <w:jc w:val="right"/>
              <w:rPr>
                <w:b/>
                <w:bCs/>
                <w:sz w:val="22"/>
                <w:szCs w:val="22"/>
              </w:rPr>
            </w:pPr>
            <w:r w:rsidRPr="7A495620">
              <w:rPr>
                <w:b/>
                <w:bCs/>
                <w:sz w:val="22"/>
                <w:szCs w:val="22"/>
              </w:rPr>
              <w:t>25,2</w:t>
            </w:r>
          </w:p>
        </w:tc>
      </w:tr>
      <w:tr w:rsidR="0020021A" w:rsidRPr="004C30D8" w14:paraId="070AC738" w14:textId="77777777" w:rsidTr="7A49562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6A637416" w14:textId="1C4BA02F" w:rsidR="0020021A" w:rsidRPr="004C30D8" w:rsidRDefault="7A495620" w:rsidP="7A495620">
            <w:pPr>
              <w:spacing w:after="0"/>
              <w:jc w:val="left"/>
              <w:rPr>
                <w:sz w:val="22"/>
                <w:szCs w:val="22"/>
              </w:rPr>
            </w:pPr>
            <w:r w:rsidRPr="7A495620">
              <w:rPr>
                <w:sz w:val="22"/>
                <w:szCs w:val="22"/>
              </w:rPr>
              <w:t> </w:t>
            </w:r>
          </w:p>
        </w:tc>
        <w:tc>
          <w:tcPr>
            <w:tcW w:w="368" w:type="dxa"/>
            <w:tcBorders>
              <w:top w:val="nil"/>
              <w:left w:val="nil"/>
              <w:bottom w:val="nil"/>
              <w:right w:val="nil"/>
            </w:tcBorders>
            <w:shd w:val="clear" w:color="auto" w:fill="FFFFFF" w:themeFill="background1"/>
            <w:noWrap/>
            <w:vAlign w:val="bottom"/>
            <w:hideMark/>
          </w:tcPr>
          <w:p w14:paraId="04695659" w14:textId="77777777" w:rsidR="0020021A" w:rsidRPr="004C30D8" w:rsidRDefault="7A495620" w:rsidP="7A495620">
            <w:pPr>
              <w:spacing w:after="0"/>
              <w:jc w:val="left"/>
              <w:rPr>
                <w:sz w:val="22"/>
                <w:szCs w:val="22"/>
              </w:rPr>
            </w:pPr>
            <w:r w:rsidRPr="7A49562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58224C74" w14:textId="77777777" w:rsidR="0020021A" w:rsidRPr="004C30D8" w:rsidRDefault="7A495620" w:rsidP="7A495620">
            <w:pPr>
              <w:spacing w:after="0"/>
              <w:jc w:val="left"/>
              <w:rPr>
                <w:i/>
                <w:iCs/>
                <w:sz w:val="22"/>
                <w:szCs w:val="22"/>
              </w:rPr>
            </w:pPr>
            <w:r w:rsidRPr="7A495620">
              <w:rPr>
                <w:i/>
                <w:iCs/>
                <w:sz w:val="22"/>
                <w:szCs w:val="22"/>
              </w:rPr>
              <w:t>1.1.1.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36DBD9DB" w14:textId="2D1C25E4" w:rsidR="0020021A" w:rsidRPr="004C30D8" w:rsidRDefault="7A495620" w:rsidP="7A495620">
            <w:pPr>
              <w:spacing w:after="0"/>
              <w:jc w:val="right"/>
              <w:rPr>
                <w:i/>
                <w:iCs/>
                <w:sz w:val="22"/>
                <w:szCs w:val="22"/>
              </w:rPr>
            </w:pPr>
            <w:r w:rsidRPr="7A495620">
              <w:rPr>
                <w:i/>
                <w:iCs/>
                <w:sz w:val="22"/>
                <w:szCs w:val="22"/>
              </w:rPr>
              <w:t>41,7</w:t>
            </w:r>
          </w:p>
        </w:tc>
        <w:tc>
          <w:tcPr>
            <w:tcW w:w="1276" w:type="dxa"/>
            <w:tcBorders>
              <w:top w:val="nil"/>
              <w:left w:val="nil"/>
              <w:bottom w:val="nil"/>
              <w:right w:val="single" w:sz="4" w:space="0" w:color="auto"/>
            </w:tcBorders>
            <w:shd w:val="clear" w:color="auto" w:fill="auto"/>
            <w:noWrap/>
            <w:vAlign w:val="bottom"/>
          </w:tcPr>
          <w:p w14:paraId="2B4166A0" w14:textId="419FEFF0" w:rsidR="0020021A" w:rsidRPr="004C30D8" w:rsidRDefault="7A495620" w:rsidP="7A495620">
            <w:pPr>
              <w:spacing w:after="0"/>
              <w:jc w:val="right"/>
              <w:rPr>
                <w:i/>
                <w:iCs/>
                <w:sz w:val="22"/>
                <w:szCs w:val="22"/>
              </w:rPr>
            </w:pPr>
            <w:r w:rsidRPr="7A495620">
              <w:rPr>
                <w:i/>
                <w:iCs/>
                <w:sz w:val="22"/>
                <w:szCs w:val="22"/>
              </w:rPr>
              <w:t>22,9</w:t>
            </w:r>
          </w:p>
        </w:tc>
      </w:tr>
      <w:tr w:rsidR="0020021A" w:rsidRPr="004C30D8" w14:paraId="48DED23A" w14:textId="77777777" w:rsidTr="7A49562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43896092" w14:textId="7EFAD314" w:rsidR="0020021A" w:rsidRPr="004C30D8" w:rsidRDefault="7A495620" w:rsidP="7A495620">
            <w:pPr>
              <w:spacing w:after="0"/>
              <w:jc w:val="left"/>
              <w:rPr>
                <w:sz w:val="22"/>
                <w:szCs w:val="22"/>
              </w:rPr>
            </w:pPr>
            <w:r w:rsidRPr="7A495620">
              <w:rPr>
                <w:sz w:val="22"/>
                <w:szCs w:val="22"/>
              </w:rPr>
              <w:t> </w:t>
            </w:r>
          </w:p>
        </w:tc>
        <w:tc>
          <w:tcPr>
            <w:tcW w:w="368" w:type="dxa"/>
            <w:tcBorders>
              <w:top w:val="nil"/>
              <w:left w:val="nil"/>
              <w:bottom w:val="nil"/>
              <w:right w:val="nil"/>
            </w:tcBorders>
            <w:shd w:val="clear" w:color="auto" w:fill="FFFFFF" w:themeFill="background1"/>
            <w:noWrap/>
            <w:vAlign w:val="bottom"/>
            <w:hideMark/>
          </w:tcPr>
          <w:p w14:paraId="084AA7D8" w14:textId="77777777" w:rsidR="0020021A" w:rsidRPr="004C30D8" w:rsidRDefault="7A495620" w:rsidP="7A495620">
            <w:pPr>
              <w:spacing w:after="0"/>
              <w:jc w:val="left"/>
              <w:rPr>
                <w:sz w:val="22"/>
                <w:szCs w:val="22"/>
              </w:rPr>
            </w:pPr>
            <w:r w:rsidRPr="7A49562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315C50A" w14:textId="77777777" w:rsidR="0020021A" w:rsidRPr="004C30D8" w:rsidRDefault="7A495620" w:rsidP="7A495620">
            <w:pPr>
              <w:spacing w:after="0"/>
              <w:jc w:val="left"/>
              <w:rPr>
                <w:i/>
                <w:iCs/>
                <w:sz w:val="22"/>
                <w:szCs w:val="22"/>
              </w:rPr>
            </w:pPr>
            <w:r w:rsidRPr="7A495620">
              <w:rPr>
                <w:i/>
                <w:iCs/>
                <w:sz w:val="22"/>
                <w:szCs w:val="22"/>
              </w:rPr>
              <w:t>1.1.2.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6534D39E" w14:textId="277BFF35" w:rsidR="0020021A" w:rsidRPr="004C30D8" w:rsidRDefault="7A495620" w:rsidP="7A495620">
            <w:pPr>
              <w:spacing w:after="0"/>
              <w:jc w:val="right"/>
              <w:rPr>
                <w:i/>
                <w:iCs/>
                <w:sz w:val="22"/>
                <w:szCs w:val="22"/>
              </w:rPr>
            </w:pPr>
            <w:r w:rsidRPr="7A495620">
              <w:rPr>
                <w:i/>
                <w:iCs/>
                <w:sz w:val="22"/>
                <w:szCs w:val="22"/>
              </w:rPr>
              <w:t>0,</w:t>
            </w:r>
            <w:proofErr w:type="spellStart"/>
            <w:r w:rsidRPr="7A495620">
              <w:rPr>
                <w:i/>
                <w:iCs/>
                <w:sz w:val="22"/>
                <w:szCs w:val="22"/>
              </w:rPr>
              <w:t>0</w:t>
            </w:r>
            <w:proofErr w:type="spellEnd"/>
          </w:p>
        </w:tc>
        <w:tc>
          <w:tcPr>
            <w:tcW w:w="1276" w:type="dxa"/>
            <w:tcBorders>
              <w:top w:val="nil"/>
              <w:left w:val="nil"/>
              <w:bottom w:val="nil"/>
              <w:right w:val="single" w:sz="4" w:space="0" w:color="auto"/>
            </w:tcBorders>
            <w:shd w:val="clear" w:color="auto" w:fill="auto"/>
            <w:noWrap/>
            <w:vAlign w:val="bottom"/>
          </w:tcPr>
          <w:p w14:paraId="36A73D13" w14:textId="4FC0F58B" w:rsidR="0020021A" w:rsidRPr="004C30D8" w:rsidRDefault="7A495620" w:rsidP="7A495620">
            <w:pPr>
              <w:spacing w:after="0"/>
              <w:jc w:val="right"/>
              <w:rPr>
                <w:i/>
                <w:iCs/>
                <w:sz w:val="22"/>
                <w:szCs w:val="22"/>
              </w:rPr>
            </w:pPr>
            <w:r w:rsidRPr="7A495620">
              <w:rPr>
                <w:i/>
                <w:iCs/>
                <w:sz w:val="22"/>
                <w:szCs w:val="22"/>
              </w:rPr>
              <w:t>0,</w:t>
            </w:r>
            <w:proofErr w:type="spellStart"/>
            <w:r w:rsidRPr="7A495620">
              <w:rPr>
                <w:i/>
                <w:iCs/>
                <w:sz w:val="22"/>
                <w:szCs w:val="22"/>
              </w:rPr>
              <w:t>0</w:t>
            </w:r>
            <w:proofErr w:type="spellEnd"/>
          </w:p>
        </w:tc>
      </w:tr>
      <w:tr w:rsidR="0020021A" w:rsidRPr="004C30D8" w14:paraId="5E8B8A2F" w14:textId="77777777" w:rsidTr="7A49562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733CA1F" w14:textId="22DC9139" w:rsidR="0020021A" w:rsidRPr="004C30D8" w:rsidRDefault="7A495620" w:rsidP="7A495620">
            <w:pPr>
              <w:spacing w:after="0"/>
              <w:jc w:val="left"/>
              <w:rPr>
                <w:sz w:val="22"/>
                <w:szCs w:val="22"/>
              </w:rPr>
            </w:pPr>
            <w:r w:rsidRPr="7A495620">
              <w:rPr>
                <w:sz w:val="22"/>
                <w:szCs w:val="22"/>
              </w:rPr>
              <w:t> </w:t>
            </w:r>
          </w:p>
        </w:tc>
        <w:tc>
          <w:tcPr>
            <w:tcW w:w="368" w:type="dxa"/>
            <w:tcBorders>
              <w:top w:val="nil"/>
              <w:left w:val="nil"/>
              <w:bottom w:val="nil"/>
              <w:right w:val="nil"/>
            </w:tcBorders>
            <w:shd w:val="clear" w:color="auto" w:fill="FFFFFF" w:themeFill="background1"/>
            <w:noWrap/>
            <w:vAlign w:val="bottom"/>
            <w:hideMark/>
          </w:tcPr>
          <w:p w14:paraId="08DDD2F1" w14:textId="77777777" w:rsidR="0020021A" w:rsidRPr="004C30D8" w:rsidRDefault="7A495620" w:rsidP="7A495620">
            <w:pPr>
              <w:spacing w:after="0"/>
              <w:jc w:val="left"/>
              <w:rPr>
                <w:sz w:val="22"/>
                <w:szCs w:val="22"/>
              </w:rPr>
            </w:pPr>
            <w:r w:rsidRPr="7A49562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0F22C8F" w14:textId="77777777" w:rsidR="0020021A" w:rsidRPr="004C30D8" w:rsidRDefault="7A495620" w:rsidP="7A495620">
            <w:pPr>
              <w:spacing w:after="0"/>
              <w:jc w:val="left"/>
              <w:rPr>
                <w:i/>
                <w:iCs/>
                <w:sz w:val="22"/>
                <w:szCs w:val="22"/>
              </w:rPr>
            </w:pPr>
            <w:r w:rsidRPr="7A495620">
              <w:rPr>
                <w:i/>
                <w:iCs/>
                <w:sz w:val="22"/>
                <w:szCs w:val="22"/>
              </w:rPr>
              <w:t xml:space="preserve">1.1.3. </w:t>
            </w:r>
            <w:proofErr w:type="spellStart"/>
            <w:r w:rsidRPr="7A495620">
              <w:rPr>
                <w:i/>
                <w:iCs/>
                <w:sz w:val="22"/>
                <w:szCs w:val="22"/>
              </w:rPr>
              <w:t>Repóügyletek</w:t>
            </w:r>
            <w:proofErr w:type="spellEnd"/>
            <w:r w:rsidRPr="7A495620">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25A44EF4" w14:textId="55575EBB" w:rsidR="0020021A" w:rsidRPr="004C30D8" w:rsidRDefault="7A495620" w:rsidP="7A495620">
            <w:pPr>
              <w:spacing w:after="0"/>
              <w:jc w:val="right"/>
              <w:rPr>
                <w:i/>
                <w:iCs/>
                <w:sz w:val="22"/>
                <w:szCs w:val="22"/>
              </w:rPr>
            </w:pPr>
            <w:r w:rsidRPr="7A495620">
              <w:rPr>
                <w:i/>
                <w:iCs/>
                <w:sz w:val="22"/>
                <w:szCs w:val="22"/>
              </w:rPr>
              <w:t>0,1</w:t>
            </w:r>
          </w:p>
        </w:tc>
        <w:tc>
          <w:tcPr>
            <w:tcW w:w="1276" w:type="dxa"/>
            <w:tcBorders>
              <w:top w:val="nil"/>
              <w:left w:val="nil"/>
              <w:bottom w:val="nil"/>
              <w:right w:val="single" w:sz="4" w:space="0" w:color="auto"/>
            </w:tcBorders>
            <w:shd w:val="clear" w:color="auto" w:fill="auto"/>
            <w:noWrap/>
            <w:vAlign w:val="bottom"/>
          </w:tcPr>
          <w:p w14:paraId="2B75BAC9" w14:textId="303016AD" w:rsidR="0020021A" w:rsidRPr="004C30D8" w:rsidRDefault="7A495620" w:rsidP="7A495620">
            <w:pPr>
              <w:spacing w:after="0"/>
              <w:jc w:val="right"/>
              <w:rPr>
                <w:i/>
                <w:iCs/>
                <w:sz w:val="22"/>
                <w:szCs w:val="22"/>
              </w:rPr>
            </w:pPr>
            <w:r w:rsidRPr="7A495620">
              <w:rPr>
                <w:i/>
                <w:iCs/>
                <w:sz w:val="22"/>
                <w:szCs w:val="22"/>
              </w:rPr>
              <w:t>0,3</w:t>
            </w:r>
          </w:p>
        </w:tc>
      </w:tr>
      <w:tr w:rsidR="0020021A" w:rsidRPr="004C30D8" w14:paraId="68D79656" w14:textId="77777777" w:rsidTr="7A495620">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2A410CC2" w14:textId="4C0FDA20" w:rsidR="0020021A" w:rsidRPr="004C30D8" w:rsidRDefault="7A495620" w:rsidP="7A495620">
            <w:pPr>
              <w:spacing w:after="0"/>
              <w:jc w:val="left"/>
              <w:rPr>
                <w:sz w:val="22"/>
                <w:szCs w:val="22"/>
              </w:rPr>
            </w:pPr>
            <w:r w:rsidRPr="7A495620">
              <w:rPr>
                <w:sz w:val="22"/>
                <w:szCs w:val="22"/>
              </w:rPr>
              <w:t> </w:t>
            </w:r>
          </w:p>
        </w:tc>
        <w:tc>
          <w:tcPr>
            <w:tcW w:w="368" w:type="dxa"/>
            <w:tcBorders>
              <w:top w:val="nil"/>
              <w:left w:val="nil"/>
              <w:bottom w:val="single" w:sz="4" w:space="0" w:color="auto"/>
              <w:right w:val="nil"/>
            </w:tcBorders>
            <w:shd w:val="clear" w:color="auto" w:fill="FFFFFF" w:themeFill="background1"/>
            <w:noWrap/>
            <w:vAlign w:val="bottom"/>
            <w:hideMark/>
          </w:tcPr>
          <w:p w14:paraId="1C934698" w14:textId="77777777" w:rsidR="0020021A" w:rsidRPr="004C30D8" w:rsidRDefault="7A495620" w:rsidP="7A495620">
            <w:pPr>
              <w:spacing w:after="0"/>
              <w:jc w:val="left"/>
              <w:rPr>
                <w:sz w:val="22"/>
                <w:szCs w:val="22"/>
              </w:rPr>
            </w:pPr>
            <w:r w:rsidRPr="7A495620">
              <w:rPr>
                <w:sz w:val="22"/>
                <w:szCs w:val="22"/>
              </w:rPr>
              <w:t> </w:t>
            </w:r>
          </w:p>
        </w:tc>
        <w:tc>
          <w:tcPr>
            <w:tcW w:w="4192" w:type="dxa"/>
            <w:tcBorders>
              <w:top w:val="nil"/>
              <w:left w:val="nil"/>
              <w:bottom w:val="single" w:sz="4" w:space="0" w:color="auto"/>
              <w:right w:val="single" w:sz="4" w:space="0" w:color="auto"/>
            </w:tcBorders>
            <w:shd w:val="clear" w:color="auto" w:fill="FFFFFF" w:themeFill="background1"/>
            <w:noWrap/>
            <w:vAlign w:val="bottom"/>
            <w:hideMark/>
          </w:tcPr>
          <w:p w14:paraId="59080012" w14:textId="77777777" w:rsidR="0020021A" w:rsidRPr="004C30D8" w:rsidRDefault="7A495620" w:rsidP="7A495620">
            <w:pPr>
              <w:spacing w:after="0"/>
              <w:jc w:val="left"/>
              <w:rPr>
                <w:i/>
                <w:iCs/>
                <w:sz w:val="22"/>
                <w:szCs w:val="22"/>
              </w:rPr>
            </w:pPr>
            <w:r w:rsidRPr="7A495620">
              <w:rPr>
                <w:i/>
                <w:iCs/>
                <w:sz w:val="22"/>
                <w:szCs w:val="22"/>
              </w:rPr>
              <w:t>1.1.4. KESZ forint-betét kamata</w:t>
            </w:r>
          </w:p>
        </w:tc>
        <w:tc>
          <w:tcPr>
            <w:tcW w:w="1134" w:type="dxa"/>
            <w:tcBorders>
              <w:top w:val="nil"/>
              <w:left w:val="single" w:sz="4" w:space="0" w:color="auto"/>
              <w:bottom w:val="nil"/>
              <w:right w:val="single" w:sz="4" w:space="0" w:color="auto"/>
            </w:tcBorders>
            <w:shd w:val="clear" w:color="auto" w:fill="auto"/>
            <w:noWrap/>
            <w:vAlign w:val="bottom"/>
          </w:tcPr>
          <w:p w14:paraId="22F79DFD" w14:textId="7A49FDFA" w:rsidR="0020021A" w:rsidRPr="004C30D8" w:rsidRDefault="7A495620" w:rsidP="7A495620">
            <w:pPr>
              <w:spacing w:after="0"/>
              <w:jc w:val="right"/>
              <w:rPr>
                <w:i/>
                <w:iCs/>
                <w:sz w:val="22"/>
                <w:szCs w:val="22"/>
              </w:rPr>
            </w:pPr>
            <w:r w:rsidRPr="7A495620">
              <w:rPr>
                <w:i/>
                <w:iCs/>
                <w:sz w:val="22"/>
                <w:szCs w:val="22"/>
              </w:rPr>
              <w:t>0,2</w:t>
            </w:r>
          </w:p>
        </w:tc>
        <w:tc>
          <w:tcPr>
            <w:tcW w:w="1276" w:type="dxa"/>
            <w:tcBorders>
              <w:top w:val="nil"/>
              <w:left w:val="nil"/>
              <w:bottom w:val="nil"/>
              <w:right w:val="single" w:sz="4" w:space="0" w:color="auto"/>
            </w:tcBorders>
            <w:shd w:val="clear" w:color="auto" w:fill="auto"/>
            <w:noWrap/>
            <w:vAlign w:val="bottom"/>
          </w:tcPr>
          <w:p w14:paraId="1074B886" w14:textId="5EEB0F00" w:rsidR="0020021A" w:rsidRPr="004C30D8" w:rsidRDefault="7A495620" w:rsidP="7A495620">
            <w:pPr>
              <w:spacing w:after="0"/>
              <w:jc w:val="right"/>
              <w:rPr>
                <w:i/>
                <w:iCs/>
                <w:sz w:val="22"/>
                <w:szCs w:val="22"/>
              </w:rPr>
            </w:pPr>
            <w:r w:rsidRPr="7A495620">
              <w:rPr>
                <w:i/>
                <w:iCs/>
                <w:sz w:val="22"/>
                <w:szCs w:val="22"/>
              </w:rPr>
              <w:t>2,0</w:t>
            </w:r>
          </w:p>
        </w:tc>
      </w:tr>
      <w:tr w:rsidR="0020021A" w:rsidRPr="004C30D8" w14:paraId="3D745D4B" w14:textId="77777777" w:rsidTr="7A495620">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31AF6125" w14:textId="2A92472B" w:rsidR="0020021A" w:rsidRPr="004C30D8" w:rsidRDefault="7A495620" w:rsidP="7A495620">
            <w:pPr>
              <w:spacing w:after="0"/>
              <w:jc w:val="left"/>
              <w:rPr>
                <w:sz w:val="22"/>
                <w:szCs w:val="22"/>
              </w:rPr>
            </w:pPr>
            <w:r w:rsidRPr="7A495620">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302EA49B" w14:textId="77777777" w:rsidR="0020021A" w:rsidRPr="004C30D8" w:rsidRDefault="7A495620" w:rsidP="7A495620">
            <w:pPr>
              <w:spacing w:after="0"/>
              <w:jc w:val="left"/>
              <w:rPr>
                <w:b/>
                <w:bCs/>
                <w:sz w:val="22"/>
                <w:szCs w:val="22"/>
              </w:rPr>
            </w:pPr>
            <w:r w:rsidRPr="7A495620">
              <w:rPr>
                <w:b/>
                <w:bCs/>
                <w:sz w:val="22"/>
                <w:szCs w:val="22"/>
              </w:rPr>
              <w:t>1.2. Deviza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D91D3" w14:textId="12B44A51" w:rsidR="0020021A" w:rsidRPr="004C30D8" w:rsidRDefault="7A495620" w:rsidP="7A495620">
            <w:pPr>
              <w:spacing w:after="0"/>
              <w:jc w:val="right"/>
              <w:rPr>
                <w:b/>
                <w:bCs/>
                <w:sz w:val="22"/>
                <w:szCs w:val="22"/>
              </w:rPr>
            </w:pPr>
            <w:r w:rsidRPr="7A495620">
              <w:rPr>
                <w:b/>
                <w:bCs/>
                <w:sz w:val="22"/>
                <w:szCs w:val="22"/>
              </w:rPr>
              <w:t>-0,2</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E7FF203" w14:textId="250F11BC" w:rsidR="0020021A" w:rsidRPr="004C30D8" w:rsidRDefault="7A495620" w:rsidP="7A495620">
            <w:pPr>
              <w:spacing w:after="0"/>
              <w:jc w:val="right"/>
              <w:rPr>
                <w:b/>
                <w:bCs/>
                <w:sz w:val="22"/>
                <w:szCs w:val="22"/>
              </w:rPr>
            </w:pPr>
            <w:r w:rsidRPr="7A495620">
              <w:rPr>
                <w:b/>
                <w:bCs/>
                <w:sz w:val="22"/>
                <w:szCs w:val="22"/>
              </w:rPr>
              <w:t>2,6</w:t>
            </w:r>
          </w:p>
        </w:tc>
      </w:tr>
      <w:tr w:rsidR="0020021A" w:rsidRPr="004C30D8" w14:paraId="3C5A578D" w14:textId="77777777" w:rsidTr="7A495620">
        <w:trPr>
          <w:trHeight w:val="300"/>
          <w:jc w:val="center"/>
        </w:trPr>
        <w:tc>
          <w:tcPr>
            <w:tcW w:w="195" w:type="dxa"/>
            <w:tcBorders>
              <w:top w:val="single" w:sz="4" w:space="0" w:color="auto"/>
              <w:left w:val="single" w:sz="4" w:space="0" w:color="auto"/>
              <w:right w:val="nil"/>
            </w:tcBorders>
            <w:shd w:val="clear" w:color="auto" w:fill="FFFFFF" w:themeFill="background1"/>
            <w:noWrap/>
            <w:vAlign w:val="bottom"/>
            <w:hideMark/>
          </w:tcPr>
          <w:p w14:paraId="342BD7FE" w14:textId="5E170DD7" w:rsidR="0020021A" w:rsidRPr="004C30D8" w:rsidRDefault="7A495620" w:rsidP="7A495620">
            <w:pPr>
              <w:spacing w:after="0"/>
              <w:jc w:val="left"/>
              <w:rPr>
                <w:sz w:val="22"/>
                <w:szCs w:val="22"/>
              </w:rPr>
            </w:pPr>
            <w:r w:rsidRPr="7A495620">
              <w:rPr>
                <w:sz w:val="22"/>
                <w:szCs w:val="22"/>
              </w:rPr>
              <w:t> </w:t>
            </w:r>
          </w:p>
        </w:tc>
        <w:tc>
          <w:tcPr>
            <w:tcW w:w="368" w:type="dxa"/>
            <w:tcBorders>
              <w:top w:val="single" w:sz="4" w:space="0" w:color="auto"/>
              <w:left w:val="nil"/>
              <w:right w:val="nil"/>
            </w:tcBorders>
            <w:shd w:val="clear" w:color="auto" w:fill="FFFFFF" w:themeFill="background1"/>
            <w:noWrap/>
            <w:vAlign w:val="bottom"/>
            <w:hideMark/>
          </w:tcPr>
          <w:p w14:paraId="110A0BA2" w14:textId="77777777" w:rsidR="0020021A" w:rsidRPr="004C30D8" w:rsidRDefault="7A495620" w:rsidP="7A495620">
            <w:pPr>
              <w:spacing w:after="0"/>
              <w:jc w:val="left"/>
              <w:rPr>
                <w:sz w:val="22"/>
                <w:szCs w:val="22"/>
              </w:rPr>
            </w:pPr>
            <w:r w:rsidRPr="7A495620">
              <w:rPr>
                <w:sz w:val="22"/>
                <w:szCs w:val="22"/>
              </w:rPr>
              <w:t> </w:t>
            </w:r>
          </w:p>
        </w:tc>
        <w:tc>
          <w:tcPr>
            <w:tcW w:w="4192" w:type="dxa"/>
            <w:tcBorders>
              <w:top w:val="single" w:sz="4" w:space="0" w:color="auto"/>
              <w:left w:val="nil"/>
              <w:right w:val="single" w:sz="4" w:space="0" w:color="auto"/>
            </w:tcBorders>
            <w:shd w:val="clear" w:color="auto" w:fill="FFFFFF" w:themeFill="background1"/>
            <w:noWrap/>
            <w:vAlign w:val="bottom"/>
            <w:hideMark/>
          </w:tcPr>
          <w:p w14:paraId="496D0FF5" w14:textId="77777777" w:rsidR="0020021A" w:rsidRPr="004C30D8" w:rsidRDefault="7A495620" w:rsidP="7A495620">
            <w:pPr>
              <w:spacing w:after="0"/>
              <w:jc w:val="left"/>
              <w:rPr>
                <w:i/>
                <w:iCs/>
                <w:sz w:val="22"/>
                <w:szCs w:val="22"/>
              </w:rPr>
            </w:pPr>
            <w:r w:rsidRPr="7A495620">
              <w:rPr>
                <w:i/>
                <w:iCs/>
                <w:sz w:val="22"/>
                <w:szCs w:val="22"/>
              </w:rPr>
              <w:t>1.2.1. Devizaműveletek kamatelszámolásai</w:t>
            </w:r>
          </w:p>
        </w:tc>
        <w:tc>
          <w:tcPr>
            <w:tcW w:w="1134" w:type="dxa"/>
            <w:tcBorders>
              <w:top w:val="nil"/>
              <w:left w:val="single" w:sz="4" w:space="0" w:color="auto"/>
              <w:right w:val="single" w:sz="4" w:space="0" w:color="auto"/>
            </w:tcBorders>
            <w:shd w:val="clear" w:color="auto" w:fill="auto"/>
            <w:noWrap/>
            <w:vAlign w:val="bottom"/>
          </w:tcPr>
          <w:p w14:paraId="7809F621" w14:textId="3BBD396B" w:rsidR="0020021A" w:rsidRPr="004C30D8" w:rsidRDefault="7A495620" w:rsidP="7A495620">
            <w:pPr>
              <w:spacing w:after="0"/>
              <w:jc w:val="right"/>
              <w:rPr>
                <w:i/>
                <w:iCs/>
                <w:sz w:val="22"/>
                <w:szCs w:val="22"/>
              </w:rPr>
            </w:pPr>
            <w:r w:rsidRPr="7A495620">
              <w:rPr>
                <w:i/>
                <w:iCs/>
                <w:sz w:val="22"/>
                <w:szCs w:val="22"/>
              </w:rPr>
              <w:t>-0,2</w:t>
            </w:r>
          </w:p>
        </w:tc>
        <w:tc>
          <w:tcPr>
            <w:tcW w:w="1276" w:type="dxa"/>
            <w:tcBorders>
              <w:top w:val="nil"/>
              <w:left w:val="nil"/>
              <w:right w:val="single" w:sz="4" w:space="0" w:color="auto"/>
            </w:tcBorders>
            <w:shd w:val="clear" w:color="auto" w:fill="auto"/>
            <w:noWrap/>
            <w:vAlign w:val="bottom"/>
          </w:tcPr>
          <w:p w14:paraId="31343ECF" w14:textId="5FD612EB" w:rsidR="0020021A" w:rsidRPr="004C30D8" w:rsidRDefault="7A495620" w:rsidP="7A495620">
            <w:pPr>
              <w:spacing w:after="0"/>
              <w:jc w:val="right"/>
              <w:rPr>
                <w:i/>
                <w:iCs/>
                <w:sz w:val="22"/>
                <w:szCs w:val="22"/>
              </w:rPr>
            </w:pPr>
            <w:r w:rsidRPr="7A495620">
              <w:rPr>
                <w:i/>
                <w:iCs/>
                <w:sz w:val="22"/>
                <w:szCs w:val="22"/>
              </w:rPr>
              <w:t>-1,8</w:t>
            </w:r>
          </w:p>
        </w:tc>
      </w:tr>
      <w:tr w:rsidR="0020021A" w:rsidRPr="004C30D8" w14:paraId="73CD69D7" w14:textId="77777777" w:rsidTr="7A495620">
        <w:trPr>
          <w:trHeight w:val="300"/>
          <w:jc w:val="center"/>
        </w:trPr>
        <w:tc>
          <w:tcPr>
            <w:tcW w:w="195" w:type="dxa"/>
            <w:tcBorders>
              <w:left w:val="single" w:sz="4" w:space="0" w:color="auto"/>
              <w:bottom w:val="single" w:sz="4" w:space="0" w:color="auto"/>
              <w:right w:val="nil"/>
            </w:tcBorders>
            <w:shd w:val="clear" w:color="auto" w:fill="FFFFFF" w:themeFill="background1"/>
            <w:noWrap/>
            <w:vAlign w:val="bottom"/>
            <w:hideMark/>
          </w:tcPr>
          <w:p w14:paraId="70DD9995" w14:textId="2B28DC5D" w:rsidR="0020021A" w:rsidRPr="004C30D8" w:rsidRDefault="7A495620" w:rsidP="7A495620">
            <w:pPr>
              <w:spacing w:after="0"/>
              <w:jc w:val="left"/>
              <w:rPr>
                <w:sz w:val="22"/>
                <w:szCs w:val="22"/>
              </w:rPr>
            </w:pPr>
            <w:r w:rsidRPr="7A495620">
              <w:rPr>
                <w:sz w:val="22"/>
                <w:szCs w:val="22"/>
              </w:rPr>
              <w:t> </w:t>
            </w:r>
          </w:p>
        </w:tc>
        <w:tc>
          <w:tcPr>
            <w:tcW w:w="368" w:type="dxa"/>
            <w:tcBorders>
              <w:left w:val="nil"/>
              <w:bottom w:val="single" w:sz="4" w:space="0" w:color="auto"/>
              <w:right w:val="nil"/>
            </w:tcBorders>
            <w:shd w:val="clear" w:color="auto" w:fill="FFFFFF" w:themeFill="background1"/>
            <w:noWrap/>
            <w:vAlign w:val="bottom"/>
            <w:hideMark/>
          </w:tcPr>
          <w:p w14:paraId="0059CF69" w14:textId="77777777" w:rsidR="0020021A" w:rsidRPr="004C30D8" w:rsidRDefault="7A495620" w:rsidP="7A495620">
            <w:pPr>
              <w:spacing w:after="0"/>
              <w:jc w:val="left"/>
              <w:rPr>
                <w:sz w:val="22"/>
                <w:szCs w:val="22"/>
              </w:rPr>
            </w:pPr>
            <w:r w:rsidRPr="7A495620">
              <w:rPr>
                <w:sz w:val="22"/>
                <w:szCs w:val="22"/>
              </w:rPr>
              <w:t> </w:t>
            </w:r>
          </w:p>
        </w:tc>
        <w:tc>
          <w:tcPr>
            <w:tcW w:w="4192" w:type="dxa"/>
            <w:tcBorders>
              <w:left w:val="nil"/>
              <w:bottom w:val="single" w:sz="4" w:space="0" w:color="auto"/>
              <w:right w:val="single" w:sz="4" w:space="0" w:color="auto"/>
            </w:tcBorders>
            <w:shd w:val="clear" w:color="auto" w:fill="FFFFFF" w:themeFill="background1"/>
            <w:noWrap/>
            <w:vAlign w:val="bottom"/>
            <w:hideMark/>
          </w:tcPr>
          <w:p w14:paraId="1076A060" w14:textId="19A99876" w:rsidR="0020021A" w:rsidRPr="004C30D8" w:rsidRDefault="7A495620" w:rsidP="7A495620">
            <w:pPr>
              <w:spacing w:after="0"/>
              <w:jc w:val="left"/>
              <w:rPr>
                <w:i/>
                <w:iCs/>
                <w:sz w:val="22"/>
                <w:szCs w:val="22"/>
              </w:rPr>
            </w:pPr>
            <w:r w:rsidRPr="7A495620">
              <w:rPr>
                <w:i/>
                <w:iCs/>
                <w:sz w:val="22"/>
                <w:szCs w:val="22"/>
              </w:rPr>
              <w:t>1.2.2. Felvett hitel kamatjellegű bevétele</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1F34351" w14:textId="56FC11F3" w:rsidR="0020021A" w:rsidRPr="004C30D8" w:rsidRDefault="7A495620" w:rsidP="7A495620">
            <w:pPr>
              <w:spacing w:after="0"/>
              <w:jc w:val="right"/>
              <w:rPr>
                <w:i/>
                <w:iCs/>
                <w:sz w:val="22"/>
                <w:szCs w:val="22"/>
              </w:rPr>
            </w:pPr>
            <w:r w:rsidRPr="7A495620">
              <w:rPr>
                <w:i/>
                <w:iCs/>
                <w:sz w:val="22"/>
                <w:szCs w:val="22"/>
              </w:rPr>
              <w:t>0,</w:t>
            </w:r>
            <w:proofErr w:type="spellStart"/>
            <w:r w:rsidRPr="7A495620">
              <w:rPr>
                <w:i/>
                <w:iCs/>
                <w:sz w:val="22"/>
                <w:szCs w:val="22"/>
              </w:rPr>
              <w:t>0</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5C6A445C" w14:textId="69978854" w:rsidR="0020021A" w:rsidRPr="004C30D8" w:rsidRDefault="7A495620" w:rsidP="7A495620">
            <w:pPr>
              <w:spacing w:after="0"/>
              <w:jc w:val="right"/>
              <w:rPr>
                <w:i/>
                <w:iCs/>
                <w:sz w:val="22"/>
                <w:szCs w:val="22"/>
              </w:rPr>
            </w:pPr>
            <w:r w:rsidRPr="7A495620">
              <w:rPr>
                <w:i/>
                <w:iCs/>
                <w:sz w:val="22"/>
                <w:szCs w:val="22"/>
              </w:rPr>
              <w:t>4,</w:t>
            </w:r>
            <w:proofErr w:type="spellStart"/>
            <w:r w:rsidRPr="7A495620">
              <w:rPr>
                <w:i/>
                <w:iCs/>
                <w:sz w:val="22"/>
                <w:szCs w:val="22"/>
              </w:rPr>
              <w:t>4</w:t>
            </w:r>
            <w:proofErr w:type="spellEnd"/>
          </w:p>
        </w:tc>
      </w:tr>
      <w:tr w:rsidR="0020021A" w:rsidRPr="004C30D8" w14:paraId="06C524E9" w14:textId="77777777" w:rsidTr="7A495620">
        <w:trPr>
          <w:trHeight w:val="285"/>
          <w:jc w:val="center"/>
        </w:trPr>
        <w:tc>
          <w:tcPr>
            <w:tcW w:w="4755" w:type="dxa"/>
            <w:gridSpan w:val="3"/>
            <w:tcBorders>
              <w:top w:val="nil"/>
              <w:left w:val="single" w:sz="4" w:space="0" w:color="auto"/>
              <w:bottom w:val="single" w:sz="4" w:space="0" w:color="auto"/>
              <w:right w:val="single" w:sz="4" w:space="0" w:color="auto"/>
            </w:tcBorders>
            <w:shd w:val="clear" w:color="auto" w:fill="FFFFFF" w:themeFill="background1"/>
            <w:noWrap/>
            <w:vAlign w:val="bottom"/>
            <w:hideMark/>
          </w:tcPr>
          <w:p w14:paraId="2A6256F1" w14:textId="2E0C10C1" w:rsidR="0020021A" w:rsidRPr="004C30D8" w:rsidRDefault="7A495620" w:rsidP="7A495620">
            <w:pPr>
              <w:spacing w:after="0"/>
              <w:jc w:val="left"/>
              <w:rPr>
                <w:b/>
                <w:bCs/>
                <w:sz w:val="22"/>
                <w:szCs w:val="22"/>
              </w:rPr>
            </w:pPr>
            <w:r w:rsidRPr="7A495620">
              <w:rPr>
                <w:b/>
                <w:bCs/>
                <w:sz w:val="22"/>
                <w:szCs w:val="22"/>
              </w:rPr>
              <w:t>2. Kiadás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AE1C5E" w14:textId="662AF24A" w:rsidR="0020021A" w:rsidRPr="004C30D8" w:rsidRDefault="7A495620" w:rsidP="7A495620">
            <w:pPr>
              <w:spacing w:after="0"/>
              <w:jc w:val="right"/>
              <w:rPr>
                <w:b/>
                <w:bCs/>
                <w:sz w:val="22"/>
                <w:szCs w:val="22"/>
              </w:rPr>
            </w:pPr>
            <w:r w:rsidRPr="7A495620">
              <w:rPr>
                <w:b/>
                <w:bCs/>
                <w:sz w:val="22"/>
                <w:szCs w:val="22"/>
              </w:rPr>
              <w:t>213,1</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782FA32" w14:textId="7BFC2FF1" w:rsidR="0020021A" w:rsidRPr="004C30D8" w:rsidRDefault="7A495620" w:rsidP="7A495620">
            <w:pPr>
              <w:spacing w:after="0"/>
              <w:jc w:val="right"/>
              <w:rPr>
                <w:b/>
                <w:bCs/>
                <w:sz w:val="22"/>
                <w:szCs w:val="22"/>
              </w:rPr>
            </w:pPr>
            <w:r w:rsidRPr="7A495620">
              <w:rPr>
                <w:b/>
                <w:bCs/>
                <w:sz w:val="22"/>
                <w:szCs w:val="22"/>
              </w:rPr>
              <w:t>156,1</w:t>
            </w:r>
          </w:p>
        </w:tc>
      </w:tr>
      <w:tr w:rsidR="0020021A" w:rsidRPr="004C30D8" w14:paraId="7F40CE4A" w14:textId="77777777" w:rsidTr="7A495620">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425C2D4" w14:textId="3E37B0F8" w:rsidR="0020021A" w:rsidRPr="004C30D8" w:rsidRDefault="7A495620" w:rsidP="7A495620">
            <w:pPr>
              <w:spacing w:after="0"/>
              <w:jc w:val="left"/>
              <w:rPr>
                <w:sz w:val="22"/>
                <w:szCs w:val="22"/>
              </w:rPr>
            </w:pPr>
            <w:r w:rsidRPr="7A495620">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47B02418" w14:textId="77777777" w:rsidR="0020021A" w:rsidRPr="004C30D8" w:rsidRDefault="7A495620" w:rsidP="7A495620">
            <w:pPr>
              <w:spacing w:after="0"/>
              <w:jc w:val="left"/>
              <w:rPr>
                <w:b/>
                <w:bCs/>
                <w:sz w:val="22"/>
                <w:szCs w:val="22"/>
              </w:rPr>
            </w:pPr>
            <w:r w:rsidRPr="7A495620">
              <w:rPr>
                <w:b/>
                <w:bCs/>
                <w:sz w:val="22"/>
                <w:szCs w:val="22"/>
              </w:rPr>
              <w:t>2.1 Forint</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B6587D5" w14:textId="727145F9" w:rsidR="0020021A" w:rsidRPr="004C30D8" w:rsidRDefault="7A495620" w:rsidP="7A495620">
            <w:pPr>
              <w:spacing w:after="0"/>
              <w:jc w:val="right"/>
              <w:rPr>
                <w:b/>
                <w:bCs/>
                <w:sz w:val="22"/>
                <w:szCs w:val="22"/>
              </w:rPr>
            </w:pPr>
            <w:r w:rsidRPr="7A495620">
              <w:rPr>
                <w:b/>
                <w:bCs/>
                <w:sz w:val="22"/>
                <w:szCs w:val="22"/>
              </w:rPr>
              <w:t>123,4</w:t>
            </w:r>
          </w:p>
        </w:tc>
        <w:tc>
          <w:tcPr>
            <w:tcW w:w="1276" w:type="dxa"/>
            <w:tcBorders>
              <w:top w:val="nil"/>
              <w:left w:val="nil"/>
              <w:bottom w:val="single" w:sz="4" w:space="0" w:color="auto"/>
              <w:right w:val="single" w:sz="4" w:space="0" w:color="auto"/>
            </w:tcBorders>
            <w:shd w:val="clear" w:color="auto" w:fill="auto"/>
            <w:noWrap/>
            <w:vAlign w:val="bottom"/>
          </w:tcPr>
          <w:p w14:paraId="1118CB6D" w14:textId="5AB31937" w:rsidR="0020021A" w:rsidRPr="004C30D8" w:rsidRDefault="7A495620" w:rsidP="7A495620">
            <w:pPr>
              <w:spacing w:after="0"/>
              <w:jc w:val="right"/>
              <w:rPr>
                <w:b/>
                <w:bCs/>
                <w:sz w:val="22"/>
                <w:szCs w:val="22"/>
              </w:rPr>
            </w:pPr>
            <w:r w:rsidRPr="7A495620">
              <w:rPr>
                <w:b/>
                <w:bCs/>
                <w:sz w:val="22"/>
                <w:szCs w:val="22"/>
              </w:rPr>
              <w:t>106,8</w:t>
            </w:r>
          </w:p>
        </w:tc>
      </w:tr>
      <w:tr w:rsidR="0020021A" w:rsidRPr="004C30D8" w14:paraId="3182E062" w14:textId="77777777" w:rsidTr="7A49562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436E7D6" w14:textId="62003125" w:rsidR="0020021A" w:rsidRPr="004C30D8" w:rsidRDefault="7A495620" w:rsidP="7A495620">
            <w:pPr>
              <w:spacing w:after="0"/>
              <w:jc w:val="left"/>
              <w:rPr>
                <w:sz w:val="22"/>
                <w:szCs w:val="22"/>
              </w:rPr>
            </w:pPr>
            <w:r w:rsidRPr="7A495620">
              <w:rPr>
                <w:sz w:val="22"/>
                <w:szCs w:val="22"/>
              </w:rPr>
              <w:t> </w:t>
            </w:r>
          </w:p>
        </w:tc>
        <w:tc>
          <w:tcPr>
            <w:tcW w:w="368" w:type="dxa"/>
            <w:tcBorders>
              <w:top w:val="nil"/>
              <w:left w:val="nil"/>
              <w:bottom w:val="nil"/>
              <w:right w:val="nil"/>
            </w:tcBorders>
            <w:shd w:val="clear" w:color="auto" w:fill="FFFFFF" w:themeFill="background1"/>
            <w:noWrap/>
            <w:vAlign w:val="bottom"/>
            <w:hideMark/>
          </w:tcPr>
          <w:p w14:paraId="7968FFCA" w14:textId="77777777" w:rsidR="0020021A" w:rsidRPr="004C30D8" w:rsidRDefault="7A495620" w:rsidP="7A495620">
            <w:pPr>
              <w:spacing w:after="0"/>
              <w:jc w:val="left"/>
              <w:rPr>
                <w:sz w:val="22"/>
                <w:szCs w:val="22"/>
              </w:rPr>
            </w:pPr>
            <w:r w:rsidRPr="7A49562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C29DCBF" w14:textId="77777777" w:rsidR="0020021A" w:rsidRPr="004C30D8" w:rsidRDefault="7A495620" w:rsidP="7A495620">
            <w:pPr>
              <w:spacing w:after="0"/>
              <w:jc w:val="left"/>
              <w:rPr>
                <w:i/>
                <w:iCs/>
                <w:sz w:val="22"/>
                <w:szCs w:val="22"/>
              </w:rPr>
            </w:pPr>
            <w:r w:rsidRPr="7A495620">
              <w:rPr>
                <w:i/>
                <w:iCs/>
                <w:sz w:val="22"/>
                <w:szCs w:val="22"/>
              </w:rPr>
              <w:t>2.1.1. Forinthitelek kamata</w:t>
            </w:r>
          </w:p>
        </w:tc>
        <w:tc>
          <w:tcPr>
            <w:tcW w:w="1134" w:type="dxa"/>
            <w:tcBorders>
              <w:top w:val="nil"/>
              <w:left w:val="single" w:sz="4" w:space="0" w:color="auto"/>
              <w:bottom w:val="nil"/>
              <w:right w:val="single" w:sz="4" w:space="0" w:color="auto"/>
            </w:tcBorders>
            <w:shd w:val="clear" w:color="auto" w:fill="auto"/>
            <w:noWrap/>
            <w:vAlign w:val="bottom"/>
          </w:tcPr>
          <w:p w14:paraId="7D0668AB" w14:textId="5133AD15" w:rsidR="0020021A" w:rsidRPr="004C30D8" w:rsidRDefault="7A495620" w:rsidP="7A495620">
            <w:pPr>
              <w:spacing w:after="0"/>
              <w:jc w:val="right"/>
              <w:rPr>
                <w:i/>
                <w:iCs/>
                <w:sz w:val="22"/>
                <w:szCs w:val="22"/>
              </w:rPr>
            </w:pPr>
            <w:r w:rsidRPr="7A495620">
              <w:rPr>
                <w:i/>
                <w:iCs/>
                <w:sz w:val="22"/>
                <w:szCs w:val="22"/>
              </w:rPr>
              <w:t>10,1</w:t>
            </w:r>
          </w:p>
        </w:tc>
        <w:tc>
          <w:tcPr>
            <w:tcW w:w="1276" w:type="dxa"/>
            <w:tcBorders>
              <w:top w:val="nil"/>
              <w:left w:val="nil"/>
              <w:bottom w:val="nil"/>
              <w:right w:val="single" w:sz="4" w:space="0" w:color="auto"/>
            </w:tcBorders>
            <w:shd w:val="clear" w:color="auto" w:fill="auto"/>
            <w:noWrap/>
            <w:vAlign w:val="bottom"/>
          </w:tcPr>
          <w:p w14:paraId="79EA6DCA" w14:textId="4C4AB74C" w:rsidR="0020021A" w:rsidRPr="004C30D8" w:rsidRDefault="7A495620" w:rsidP="7A495620">
            <w:pPr>
              <w:spacing w:after="0"/>
              <w:jc w:val="right"/>
              <w:rPr>
                <w:i/>
                <w:iCs/>
                <w:sz w:val="22"/>
                <w:szCs w:val="22"/>
              </w:rPr>
            </w:pPr>
            <w:r w:rsidRPr="7A495620">
              <w:rPr>
                <w:i/>
                <w:iCs/>
                <w:sz w:val="22"/>
                <w:szCs w:val="22"/>
              </w:rPr>
              <w:t>6,4</w:t>
            </w:r>
          </w:p>
        </w:tc>
      </w:tr>
      <w:tr w:rsidR="0020021A" w:rsidRPr="004C30D8" w14:paraId="54BAEB82" w14:textId="77777777" w:rsidTr="7A49562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4E6EF24" w14:textId="13588766" w:rsidR="0020021A" w:rsidRPr="004C30D8" w:rsidRDefault="7A495620" w:rsidP="7A495620">
            <w:pPr>
              <w:spacing w:after="0"/>
              <w:jc w:val="left"/>
              <w:rPr>
                <w:sz w:val="22"/>
                <w:szCs w:val="22"/>
              </w:rPr>
            </w:pPr>
            <w:r w:rsidRPr="7A495620">
              <w:rPr>
                <w:sz w:val="22"/>
                <w:szCs w:val="22"/>
              </w:rPr>
              <w:t> </w:t>
            </w:r>
          </w:p>
        </w:tc>
        <w:tc>
          <w:tcPr>
            <w:tcW w:w="368" w:type="dxa"/>
            <w:tcBorders>
              <w:top w:val="nil"/>
              <w:left w:val="nil"/>
              <w:bottom w:val="nil"/>
              <w:right w:val="nil"/>
            </w:tcBorders>
            <w:shd w:val="clear" w:color="auto" w:fill="FFFFFF" w:themeFill="background1"/>
            <w:noWrap/>
            <w:vAlign w:val="bottom"/>
            <w:hideMark/>
          </w:tcPr>
          <w:p w14:paraId="2A70DBE5" w14:textId="77777777" w:rsidR="0020021A" w:rsidRPr="004C30D8" w:rsidRDefault="7A495620" w:rsidP="7A495620">
            <w:pPr>
              <w:spacing w:after="0"/>
              <w:jc w:val="left"/>
              <w:rPr>
                <w:sz w:val="22"/>
                <w:szCs w:val="22"/>
              </w:rPr>
            </w:pPr>
            <w:r w:rsidRPr="7A49562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46B0B349" w14:textId="77777777" w:rsidR="0020021A" w:rsidRPr="004C30D8" w:rsidRDefault="7A495620" w:rsidP="7A495620">
            <w:pPr>
              <w:spacing w:after="0"/>
              <w:jc w:val="left"/>
              <w:rPr>
                <w:i/>
                <w:iCs/>
                <w:sz w:val="22"/>
                <w:szCs w:val="22"/>
              </w:rPr>
            </w:pPr>
            <w:r w:rsidRPr="7A495620">
              <w:rPr>
                <w:i/>
                <w:iCs/>
                <w:sz w:val="22"/>
                <w:szCs w:val="22"/>
              </w:rPr>
              <w:t>2.1.2. Államkötvények kamata</w:t>
            </w:r>
          </w:p>
        </w:tc>
        <w:tc>
          <w:tcPr>
            <w:tcW w:w="1134" w:type="dxa"/>
            <w:tcBorders>
              <w:top w:val="nil"/>
              <w:left w:val="single" w:sz="4" w:space="0" w:color="auto"/>
              <w:bottom w:val="nil"/>
              <w:right w:val="single" w:sz="4" w:space="0" w:color="auto"/>
            </w:tcBorders>
            <w:shd w:val="clear" w:color="auto" w:fill="auto"/>
            <w:noWrap/>
            <w:vAlign w:val="bottom"/>
          </w:tcPr>
          <w:p w14:paraId="03DAE239" w14:textId="26F80BD8" w:rsidR="0020021A" w:rsidRPr="004C30D8" w:rsidRDefault="7A495620" w:rsidP="7A495620">
            <w:pPr>
              <w:spacing w:after="0"/>
              <w:jc w:val="right"/>
              <w:rPr>
                <w:i/>
                <w:iCs/>
                <w:sz w:val="22"/>
                <w:szCs w:val="22"/>
              </w:rPr>
            </w:pPr>
            <w:r w:rsidRPr="7A495620">
              <w:rPr>
                <w:i/>
                <w:iCs/>
                <w:sz w:val="22"/>
                <w:szCs w:val="22"/>
              </w:rPr>
              <w:t>91,6</w:t>
            </w:r>
          </w:p>
        </w:tc>
        <w:tc>
          <w:tcPr>
            <w:tcW w:w="1276" w:type="dxa"/>
            <w:tcBorders>
              <w:top w:val="nil"/>
              <w:left w:val="nil"/>
              <w:bottom w:val="nil"/>
              <w:right w:val="single" w:sz="4" w:space="0" w:color="auto"/>
            </w:tcBorders>
            <w:shd w:val="clear" w:color="auto" w:fill="auto"/>
            <w:noWrap/>
            <w:vAlign w:val="bottom"/>
          </w:tcPr>
          <w:p w14:paraId="7F254AFE" w14:textId="1D17B5FF" w:rsidR="0020021A" w:rsidRPr="004C30D8" w:rsidRDefault="7A495620" w:rsidP="7A495620">
            <w:pPr>
              <w:spacing w:after="0"/>
              <w:jc w:val="right"/>
              <w:rPr>
                <w:i/>
                <w:iCs/>
                <w:sz w:val="22"/>
                <w:szCs w:val="22"/>
              </w:rPr>
            </w:pPr>
            <w:r w:rsidRPr="7A495620">
              <w:rPr>
                <w:i/>
                <w:iCs/>
                <w:sz w:val="22"/>
                <w:szCs w:val="22"/>
              </w:rPr>
              <w:t>92,0</w:t>
            </w:r>
          </w:p>
        </w:tc>
      </w:tr>
      <w:tr w:rsidR="0020021A" w:rsidRPr="004C30D8" w14:paraId="51F007CB" w14:textId="77777777" w:rsidTr="7A49562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21E9B006" w14:textId="2D38D2B7" w:rsidR="0020021A" w:rsidRPr="004C30D8" w:rsidRDefault="7A495620" w:rsidP="7A495620">
            <w:pPr>
              <w:spacing w:after="0"/>
              <w:jc w:val="left"/>
              <w:rPr>
                <w:sz w:val="22"/>
                <w:szCs w:val="22"/>
              </w:rPr>
            </w:pPr>
            <w:r w:rsidRPr="7A495620">
              <w:rPr>
                <w:sz w:val="22"/>
                <w:szCs w:val="22"/>
              </w:rPr>
              <w:t> </w:t>
            </w:r>
          </w:p>
        </w:tc>
        <w:tc>
          <w:tcPr>
            <w:tcW w:w="368" w:type="dxa"/>
            <w:tcBorders>
              <w:top w:val="nil"/>
              <w:left w:val="nil"/>
              <w:bottom w:val="nil"/>
              <w:right w:val="nil"/>
            </w:tcBorders>
            <w:shd w:val="clear" w:color="auto" w:fill="FFFFFF" w:themeFill="background1"/>
            <w:noWrap/>
            <w:vAlign w:val="bottom"/>
            <w:hideMark/>
          </w:tcPr>
          <w:p w14:paraId="1D1288D5" w14:textId="77777777" w:rsidR="0020021A" w:rsidRPr="004C30D8" w:rsidRDefault="7A495620" w:rsidP="7A495620">
            <w:pPr>
              <w:spacing w:after="0"/>
              <w:jc w:val="left"/>
              <w:rPr>
                <w:sz w:val="22"/>
                <w:szCs w:val="22"/>
              </w:rPr>
            </w:pPr>
            <w:r w:rsidRPr="7A49562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6B182520" w14:textId="77777777" w:rsidR="0020021A" w:rsidRPr="004C30D8" w:rsidRDefault="7A495620" w:rsidP="7A495620">
            <w:pPr>
              <w:spacing w:after="0"/>
              <w:jc w:val="left"/>
              <w:rPr>
                <w:i/>
                <w:iCs/>
                <w:sz w:val="22"/>
                <w:szCs w:val="22"/>
              </w:rPr>
            </w:pPr>
            <w:r w:rsidRPr="7A495620">
              <w:rPr>
                <w:i/>
                <w:iCs/>
                <w:sz w:val="22"/>
                <w:szCs w:val="22"/>
              </w:rPr>
              <w:t>2.1.3. Kincstárjegyek kamata</w:t>
            </w:r>
          </w:p>
        </w:tc>
        <w:tc>
          <w:tcPr>
            <w:tcW w:w="1134" w:type="dxa"/>
            <w:tcBorders>
              <w:top w:val="nil"/>
              <w:left w:val="single" w:sz="4" w:space="0" w:color="auto"/>
              <w:bottom w:val="nil"/>
              <w:right w:val="single" w:sz="4" w:space="0" w:color="auto"/>
            </w:tcBorders>
            <w:shd w:val="clear" w:color="auto" w:fill="auto"/>
            <w:noWrap/>
            <w:vAlign w:val="bottom"/>
          </w:tcPr>
          <w:p w14:paraId="18551CFC" w14:textId="712AEAF1" w:rsidR="0020021A" w:rsidRPr="004C30D8" w:rsidRDefault="7A495620" w:rsidP="7A495620">
            <w:pPr>
              <w:spacing w:after="0"/>
              <w:jc w:val="right"/>
              <w:rPr>
                <w:i/>
                <w:iCs/>
                <w:sz w:val="22"/>
                <w:szCs w:val="22"/>
              </w:rPr>
            </w:pPr>
            <w:r w:rsidRPr="7A495620">
              <w:rPr>
                <w:i/>
                <w:iCs/>
                <w:sz w:val="22"/>
                <w:szCs w:val="22"/>
              </w:rPr>
              <w:t>21,7</w:t>
            </w:r>
          </w:p>
        </w:tc>
        <w:tc>
          <w:tcPr>
            <w:tcW w:w="1276" w:type="dxa"/>
            <w:tcBorders>
              <w:top w:val="nil"/>
              <w:left w:val="nil"/>
              <w:bottom w:val="nil"/>
              <w:right w:val="single" w:sz="4" w:space="0" w:color="auto"/>
            </w:tcBorders>
            <w:shd w:val="clear" w:color="auto" w:fill="auto"/>
            <w:noWrap/>
            <w:vAlign w:val="bottom"/>
          </w:tcPr>
          <w:p w14:paraId="1445B9A7" w14:textId="64E88AB0" w:rsidR="0020021A" w:rsidRPr="004C30D8" w:rsidRDefault="7A495620" w:rsidP="7A495620">
            <w:pPr>
              <w:spacing w:after="0"/>
              <w:jc w:val="right"/>
              <w:rPr>
                <w:i/>
                <w:iCs/>
                <w:sz w:val="22"/>
                <w:szCs w:val="22"/>
              </w:rPr>
            </w:pPr>
            <w:r w:rsidRPr="7A495620">
              <w:rPr>
                <w:i/>
                <w:iCs/>
                <w:sz w:val="22"/>
                <w:szCs w:val="22"/>
              </w:rPr>
              <w:t>8,3</w:t>
            </w:r>
          </w:p>
        </w:tc>
      </w:tr>
      <w:tr w:rsidR="0020021A" w:rsidRPr="004C30D8" w14:paraId="3B42D0AF" w14:textId="77777777" w:rsidTr="7A49562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067E592" w14:textId="27E48173" w:rsidR="0020021A" w:rsidRPr="004C30D8" w:rsidRDefault="7A495620" w:rsidP="7A495620">
            <w:pPr>
              <w:spacing w:after="0"/>
              <w:jc w:val="left"/>
              <w:rPr>
                <w:sz w:val="22"/>
                <w:szCs w:val="22"/>
              </w:rPr>
            </w:pPr>
            <w:r w:rsidRPr="7A495620">
              <w:rPr>
                <w:sz w:val="22"/>
                <w:szCs w:val="22"/>
              </w:rPr>
              <w:t> </w:t>
            </w:r>
          </w:p>
        </w:tc>
        <w:tc>
          <w:tcPr>
            <w:tcW w:w="368" w:type="dxa"/>
            <w:tcBorders>
              <w:top w:val="nil"/>
              <w:left w:val="nil"/>
              <w:bottom w:val="nil"/>
              <w:right w:val="nil"/>
            </w:tcBorders>
            <w:shd w:val="clear" w:color="auto" w:fill="FFFFFF" w:themeFill="background1"/>
            <w:noWrap/>
            <w:vAlign w:val="bottom"/>
            <w:hideMark/>
          </w:tcPr>
          <w:p w14:paraId="2CDEB7F4" w14:textId="77777777" w:rsidR="0020021A" w:rsidRPr="004C30D8" w:rsidRDefault="7A495620" w:rsidP="7A495620">
            <w:pPr>
              <w:spacing w:after="0"/>
              <w:jc w:val="left"/>
              <w:rPr>
                <w:sz w:val="22"/>
                <w:szCs w:val="22"/>
              </w:rPr>
            </w:pPr>
            <w:r w:rsidRPr="7A49562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7743E208" w14:textId="77777777" w:rsidR="0020021A" w:rsidRPr="004C30D8" w:rsidRDefault="7A495620" w:rsidP="7A495620">
            <w:pPr>
              <w:spacing w:after="0"/>
              <w:jc w:val="left"/>
              <w:rPr>
                <w:i/>
                <w:iCs/>
                <w:sz w:val="22"/>
                <w:szCs w:val="22"/>
              </w:rPr>
            </w:pPr>
            <w:r w:rsidRPr="7A495620">
              <w:rPr>
                <w:i/>
                <w:iCs/>
                <w:sz w:val="22"/>
                <w:szCs w:val="22"/>
              </w:rPr>
              <w:t xml:space="preserve">2.1.4. </w:t>
            </w:r>
            <w:proofErr w:type="spellStart"/>
            <w:r w:rsidRPr="7A495620">
              <w:rPr>
                <w:i/>
                <w:iCs/>
                <w:sz w:val="22"/>
                <w:szCs w:val="22"/>
              </w:rPr>
              <w:t>Repóügyletek</w:t>
            </w:r>
            <w:proofErr w:type="spellEnd"/>
            <w:r w:rsidRPr="7A495620">
              <w:rPr>
                <w:i/>
                <w:iCs/>
                <w:sz w:val="22"/>
                <w:szCs w:val="22"/>
              </w:rPr>
              <w:t xml:space="preserve"> kamata</w:t>
            </w:r>
          </w:p>
        </w:tc>
        <w:tc>
          <w:tcPr>
            <w:tcW w:w="1134" w:type="dxa"/>
            <w:tcBorders>
              <w:top w:val="nil"/>
              <w:left w:val="single" w:sz="4" w:space="0" w:color="auto"/>
              <w:bottom w:val="nil"/>
              <w:right w:val="single" w:sz="4" w:space="0" w:color="auto"/>
            </w:tcBorders>
            <w:shd w:val="clear" w:color="auto" w:fill="auto"/>
            <w:noWrap/>
            <w:vAlign w:val="bottom"/>
          </w:tcPr>
          <w:p w14:paraId="024345B2" w14:textId="2B423CDA" w:rsidR="0020021A" w:rsidRPr="004C30D8" w:rsidRDefault="7A495620" w:rsidP="7A495620">
            <w:pPr>
              <w:spacing w:after="0"/>
              <w:jc w:val="right"/>
              <w:rPr>
                <w:i/>
                <w:iCs/>
                <w:sz w:val="22"/>
                <w:szCs w:val="22"/>
              </w:rPr>
            </w:pPr>
            <w:r w:rsidRPr="7A495620">
              <w:rPr>
                <w:i/>
                <w:iCs/>
                <w:sz w:val="22"/>
                <w:szCs w:val="22"/>
              </w:rPr>
              <w:t>0,</w:t>
            </w:r>
            <w:proofErr w:type="spellStart"/>
            <w:r w:rsidRPr="7A495620">
              <w:rPr>
                <w:i/>
                <w:iCs/>
                <w:sz w:val="22"/>
                <w:szCs w:val="22"/>
              </w:rPr>
              <w:t>0</w:t>
            </w:r>
            <w:proofErr w:type="spellEnd"/>
          </w:p>
        </w:tc>
        <w:tc>
          <w:tcPr>
            <w:tcW w:w="1276" w:type="dxa"/>
            <w:tcBorders>
              <w:top w:val="nil"/>
              <w:left w:val="nil"/>
              <w:bottom w:val="nil"/>
              <w:right w:val="single" w:sz="4" w:space="0" w:color="auto"/>
            </w:tcBorders>
            <w:shd w:val="clear" w:color="auto" w:fill="auto"/>
            <w:noWrap/>
            <w:vAlign w:val="bottom"/>
          </w:tcPr>
          <w:p w14:paraId="69D569A5" w14:textId="5B721129" w:rsidR="0020021A" w:rsidRPr="004C30D8" w:rsidRDefault="7A495620" w:rsidP="7A495620">
            <w:pPr>
              <w:spacing w:after="0"/>
              <w:jc w:val="right"/>
              <w:rPr>
                <w:i/>
                <w:iCs/>
                <w:sz w:val="22"/>
                <w:szCs w:val="22"/>
              </w:rPr>
            </w:pPr>
            <w:r w:rsidRPr="7A495620">
              <w:rPr>
                <w:i/>
                <w:iCs/>
                <w:sz w:val="22"/>
                <w:szCs w:val="22"/>
              </w:rPr>
              <w:t>0,1</w:t>
            </w:r>
          </w:p>
        </w:tc>
      </w:tr>
      <w:tr w:rsidR="0020021A" w:rsidRPr="004C30D8" w14:paraId="3CDF4154" w14:textId="77777777" w:rsidTr="7A495620">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0D4CB014" w14:textId="2F3914BB" w:rsidR="0020021A" w:rsidRPr="0026157A" w:rsidRDefault="0020021A" w:rsidP="0020021A">
            <w:pPr>
              <w:spacing w:after="0"/>
              <w:jc w:val="left"/>
              <w:rPr>
                <w:i/>
                <w:sz w:val="22"/>
                <w:szCs w:val="22"/>
              </w:rPr>
            </w:pPr>
          </w:p>
        </w:tc>
        <w:tc>
          <w:tcPr>
            <w:tcW w:w="368" w:type="dxa"/>
            <w:tcBorders>
              <w:top w:val="nil"/>
              <w:left w:val="nil"/>
              <w:bottom w:val="single" w:sz="4" w:space="0" w:color="auto"/>
              <w:right w:val="nil"/>
            </w:tcBorders>
            <w:shd w:val="clear" w:color="auto" w:fill="FFFFFF" w:themeFill="background1"/>
            <w:noWrap/>
            <w:vAlign w:val="bottom"/>
            <w:hideMark/>
          </w:tcPr>
          <w:p w14:paraId="520BB553" w14:textId="77777777" w:rsidR="0020021A" w:rsidRPr="0026157A" w:rsidRDefault="7A495620" w:rsidP="7A495620">
            <w:pPr>
              <w:spacing w:after="0"/>
              <w:jc w:val="left"/>
              <w:rPr>
                <w:i/>
                <w:iCs/>
                <w:sz w:val="22"/>
                <w:szCs w:val="22"/>
              </w:rPr>
            </w:pPr>
            <w:r w:rsidRPr="7A495620">
              <w:rPr>
                <w:i/>
                <w:iCs/>
                <w:sz w:val="22"/>
                <w:szCs w:val="22"/>
              </w:rPr>
              <w:t> </w:t>
            </w:r>
          </w:p>
        </w:tc>
        <w:tc>
          <w:tcPr>
            <w:tcW w:w="4192" w:type="dxa"/>
            <w:tcBorders>
              <w:top w:val="nil"/>
              <w:left w:val="nil"/>
              <w:bottom w:val="single" w:sz="4" w:space="0" w:color="auto"/>
              <w:right w:val="single" w:sz="4" w:space="0" w:color="auto"/>
            </w:tcBorders>
            <w:shd w:val="clear" w:color="auto" w:fill="FFFFFF" w:themeFill="background1"/>
            <w:noWrap/>
            <w:vAlign w:val="bottom"/>
            <w:hideMark/>
          </w:tcPr>
          <w:p w14:paraId="263804A0" w14:textId="77777777" w:rsidR="0020021A" w:rsidRPr="0026157A" w:rsidRDefault="7A495620" w:rsidP="7A495620">
            <w:pPr>
              <w:spacing w:after="0"/>
              <w:jc w:val="left"/>
              <w:rPr>
                <w:i/>
                <w:iCs/>
                <w:sz w:val="22"/>
                <w:szCs w:val="22"/>
              </w:rPr>
            </w:pPr>
            <w:r w:rsidRPr="7A495620">
              <w:rPr>
                <w:i/>
                <w:iCs/>
                <w:sz w:val="22"/>
                <w:szCs w:val="22"/>
              </w:rPr>
              <w:t>2.1.5. Egyéb függő tételek</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4E162EF0" w14:textId="7480C13C" w:rsidR="0020021A" w:rsidRPr="004C30D8" w:rsidRDefault="7A495620" w:rsidP="7A495620">
            <w:pPr>
              <w:spacing w:after="0"/>
              <w:jc w:val="right"/>
              <w:rPr>
                <w:i/>
                <w:iCs/>
                <w:sz w:val="22"/>
                <w:szCs w:val="22"/>
              </w:rPr>
            </w:pPr>
            <w:r w:rsidRPr="7A495620">
              <w:rPr>
                <w:i/>
                <w:iCs/>
                <w:sz w:val="22"/>
                <w:szCs w:val="22"/>
              </w:rPr>
              <w:t>0,</w:t>
            </w:r>
            <w:proofErr w:type="spellStart"/>
            <w:r w:rsidRPr="7A495620">
              <w:rPr>
                <w:i/>
                <w:iCs/>
                <w:sz w:val="22"/>
                <w:szCs w:val="22"/>
              </w:rPr>
              <w:t>0</w:t>
            </w:r>
            <w:proofErr w:type="spellEnd"/>
          </w:p>
        </w:tc>
        <w:tc>
          <w:tcPr>
            <w:tcW w:w="1276" w:type="dxa"/>
            <w:tcBorders>
              <w:top w:val="nil"/>
              <w:left w:val="nil"/>
              <w:bottom w:val="single" w:sz="4" w:space="0" w:color="auto"/>
              <w:right w:val="single" w:sz="4" w:space="0" w:color="auto"/>
            </w:tcBorders>
            <w:shd w:val="clear" w:color="auto" w:fill="auto"/>
            <w:noWrap/>
            <w:vAlign w:val="bottom"/>
          </w:tcPr>
          <w:p w14:paraId="44138B99" w14:textId="39A39F95" w:rsidR="0020021A" w:rsidRPr="004C30D8" w:rsidRDefault="7A495620" w:rsidP="7A495620">
            <w:pPr>
              <w:spacing w:after="0"/>
              <w:jc w:val="right"/>
              <w:rPr>
                <w:i/>
                <w:iCs/>
                <w:sz w:val="22"/>
                <w:szCs w:val="22"/>
              </w:rPr>
            </w:pPr>
            <w:r w:rsidRPr="7A495620">
              <w:rPr>
                <w:i/>
                <w:iCs/>
                <w:sz w:val="22"/>
                <w:szCs w:val="22"/>
              </w:rPr>
              <w:t>0,</w:t>
            </w:r>
            <w:proofErr w:type="spellStart"/>
            <w:r w:rsidRPr="7A495620">
              <w:rPr>
                <w:i/>
                <w:iCs/>
                <w:sz w:val="22"/>
                <w:szCs w:val="22"/>
              </w:rPr>
              <w:t>0</w:t>
            </w:r>
            <w:proofErr w:type="spellEnd"/>
          </w:p>
        </w:tc>
      </w:tr>
      <w:tr w:rsidR="0020021A" w:rsidRPr="004C30D8" w14:paraId="3E05B15A" w14:textId="77777777" w:rsidTr="7A495620">
        <w:trPr>
          <w:trHeight w:val="300"/>
          <w:jc w:val="center"/>
        </w:trPr>
        <w:tc>
          <w:tcPr>
            <w:tcW w:w="195" w:type="dxa"/>
            <w:tcBorders>
              <w:top w:val="nil"/>
              <w:left w:val="single" w:sz="4" w:space="0" w:color="auto"/>
              <w:bottom w:val="single" w:sz="4" w:space="0" w:color="auto"/>
              <w:right w:val="nil"/>
            </w:tcBorders>
            <w:shd w:val="clear" w:color="auto" w:fill="FFFFFF" w:themeFill="background1"/>
            <w:noWrap/>
            <w:vAlign w:val="bottom"/>
            <w:hideMark/>
          </w:tcPr>
          <w:p w14:paraId="5BD9F7B3" w14:textId="0A82A650" w:rsidR="0020021A" w:rsidRPr="004C30D8" w:rsidRDefault="7A495620" w:rsidP="7A495620">
            <w:pPr>
              <w:spacing w:after="0"/>
              <w:jc w:val="left"/>
              <w:rPr>
                <w:sz w:val="22"/>
                <w:szCs w:val="22"/>
              </w:rPr>
            </w:pPr>
            <w:r w:rsidRPr="7A495620">
              <w:rPr>
                <w:sz w:val="22"/>
                <w:szCs w:val="22"/>
              </w:rPr>
              <w:t> </w:t>
            </w:r>
          </w:p>
        </w:tc>
        <w:tc>
          <w:tcPr>
            <w:tcW w:w="4560"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14:paraId="5400731B" w14:textId="77777777" w:rsidR="0020021A" w:rsidRPr="004C30D8" w:rsidRDefault="7A495620" w:rsidP="7A495620">
            <w:pPr>
              <w:spacing w:after="0"/>
              <w:jc w:val="left"/>
              <w:rPr>
                <w:b/>
                <w:bCs/>
                <w:sz w:val="22"/>
                <w:szCs w:val="22"/>
              </w:rPr>
            </w:pPr>
            <w:r w:rsidRPr="7A495620">
              <w:rPr>
                <w:b/>
                <w:bCs/>
                <w:sz w:val="22"/>
                <w:szCs w:val="22"/>
              </w:rPr>
              <w:t>2.2. Deviza</w:t>
            </w:r>
          </w:p>
        </w:tc>
        <w:tc>
          <w:tcPr>
            <w:tcW w:w="1134" w:type="dxa"/>
            <w:tcBorders>
              <w:top w:val="nil"/>
              <w:left w:val="single" w:sz="4" w:space="0" w:color="auto"/>
              <w:bottom w:val="single" w:sz="4" w:space="0" w:color="auto"/>
              <w:right w:val="single" w:sz="4" w:space="0" w:color="auto"/>
            </w:tcBorders>
            <w:shd w:val="clear" w:color="auto" w:fill="auto"/>
            <w:noWrap/>
            <w:vAlign w:val="bottom"/>
          </w:tcPr>
          <w:p w14:paraId="304CADEC" w14:textId="6DB4381B" w:rsidR="0020021A" w:rsidRPr="004C30D8" w:rsidRDefault="7A495620" w:rsidP="7A495620">
            <w:pPr>
              <w:spacing w:after="0"/>
              <w:jc w:val="right"/>
              <w:rPr>
                <w:b/>
                <w:bCs/>
                <w:sz w:val="22"/>
                <w:szCs w:val="22"/>
              </w:rPr>
            </w:pPr>
            <w:r w:rsidRPr="7A495620">
              <w:rPr>
                <w:b/>
                <w:bCs/>
                <w:sz w:val="22"/>
                <w:szCs w:val="22"/>
              </w:rPr>
              <w:t>89,7</w:t>
            </w:r>
          </w:p>
        </w:tc>
        <w:tc>
          <w:tcPr>
            <w:tcW w:w="1276" w:type="dxa"/>
            <w:tcBorders>
              <w:top w:val="nil"/>
              <w:left w:val="nil"/>
              <w:bottom w:val="single" w:sz="4" w:space="0" w:color="auto"/>
              <w:right w:val="single" w:sz="4" w:space="0" w:color="auto"/>
            </w:tcBorders>
            <w:shd w:val="clear" w:color="auto" w:fill="auto"/>
            <w:noWrap/>
            <w:vAlign w:val="bottom"/>
          </w:tcPr>
          <w:p w14:paraId="08B90BC8" w14:textId="6F96BC24" w:rsidR="0020021A" w:rsidRPr="004C30D8" w:rsidRDefault="7A495620" w:rsidP="7A495620">
            <w:pPr>
              <w:spacing w:after="0"/>
              <w:jc w:val="right"/>
              <w:rPr>
                <w:b/>
                <w:bCs/>
                <w:sz w:val="22"/>
                <w:szCs w:val="22"/>
              </w:rPr>
            </w:pPr>
            <w:r w:rsidRPr="7A495620">
              <w:rPr>
                <w:b/>
                <w:bCs/>
                <w:sz w:val="22"/>
                <w:szCs w:val="22"/>
              </w:rPr>
              <w:t>49,3</w:t>
            </w:r>
          </w:p>
        </w:tc>
      </w:tr>
      <w:tr w:rsidR="0020021A" w:rsidRPr="004C30D8" w14:paraId="3DD0AB63" w14:textId="77777777" w:rsidTr="7A49562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7B719E49" w14:textId="3110D33F" w:rsidR="0020021A" w:rsidRPr="004C30D8" w:rsidRDefault="7A495620" w:rsidP="7A495620">
            <w:pPr>
              <w:spacing w:after="0"/>
              <w:jc w:val="left"/>
              <w:rPr>
                <w:sz w:val="22"/>
                <w:szCs w:val="22"/>
              </w:rPr>
            </w:pPr>
            <w:r w:rsidRPr="7A495620">
              <w:rPr>
                <w:sz w:val="22"/>
                <w:szCs w:val="22"/>
              </w:rPr>
              <w:t> </w:t>
            </w:r>
          </w:p>
        </w:tc>
        <w:tc>
          <w:tcPr>
            <w:tcW w:w="368" w:type="dxa"/>
            <w:tcBorders>
              <w:top w:val="nil"/>
              <w:left w:val="nil"/>
              <w:bottom w:val="nil"/>
              <w:right w:val="nil"/>
            </w:tcBorders>
            <w:shd w:val="clear" w:color="auto" w:fill="FFFFFF" w:themeFill="background1"/>
            <w:noWrap/>
            <w:vAlign w:val="bottom"/>
            <w:hideMark/>
          </w:tcPr>
          <w:p w14:paraId="50D2597E" w14:textId="77777777" w:rsidR="0020021A" w:rsidRPr="004C30D8" w:rsidRDefault="7A495620" w:rsidP="7A495620">
            <w:pPr>
              <w:spacing w:after="0"/>
              <w:jc w:val="left"/>
              <w:rPr>
                <w:sz w:val="22"/>
                <w:szCs w:val="22"/>
              </w:rPr>
            </w:pPr>
            <w:r w:rsidRPr="7A49562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0C02418" w14:textId="77777777" w:rsidR="0020021A" w:rsidRPr="004C30D8" w:rsidRDefault="7A495620" w:rsidP="7A495620">
            <w:pPr>
              <w:spacing w:after="0"/>
              <w:jc w:val="left"/>
              <w:rPr>
                <w:i/>
                <w:iCs/>
                <w:sz w:val="22"/>
                <w:szCs w:val="22"/>
              </w:rPr>
            </w:pPr>
            <w:r w:rsidRPr="7A495620">
              <w:rPr>
                <w:i/>
                <w:iCs/>
                <w:sz w:val="22"/>
                <w:szCs w:val="22"/>
              </w:rPr>
              <w:t>2.2.1. Devizahitelek kamata</w:t>
            </w:r>
          </w:p>
        </w:tc>
        <w:tc>
          <w:tcPr>
            <w:tcW w:w="1134" w:type="dxa"/>
            <w:tcBorders>
              <w:top w:val="nil"/>
              <w:left w:val="single" w:sz="4" w:space="0" w:color="auto"/>
              <w:bottom w:val="nil"/>
              <w:right w:val="single" w:sz="4" w:space="0" w:color="auto"/>
            </w:tcBorders>
            <w:shd w:val="clear" w:color="auto" w:fill="auto"/>
            <w:noWrap/>
            <w:vAlign w:val="bottom"/>
          </w:tcPr>
          <w:p w14:paraId="56358715" w14:textId="193F09A4" w:rsidR="0020021A" w:rsidRPr="004C30D8" w:rsidRDefault="7A495620" w:rsidP="7A495620">
            <w:pPr>
              <w:spacing w:after="0"/>
              <w:jc w:val="right"/>
              <w:rPr>
                <w:i/>
                <w:iCs/>
                <w:sz w:val="22"/>
                <w:szCs w:val="22"/>
              </w:rPr>
            </w:pPr>
            <w:r w:rsidRPr="7A495620">
              <w:rPr>
                <w:i/>
                <w:iCs/>
                <w:sz w:val="22"/>
                <w:szCs w:val="22"/>
              </w:rPr>
              <w:t>3,6</w:t>
            </w:r>
          </w:p>
        </w:tc>
        <w:tc>
          <w:tcPr>
            <w:tcW w:w="1276" w:type="dxa"/>
            <w:tcBorders>
              <w:top w:val="nil"/>
              <w:left w:val="nil"/>
              <w:bottom w:val="nil"/>
              <w:right w:val="single" w:sz="4" w:space="0" w:color="auto"/>
            </w:tcBorders>
            <w:shd w:val="clear" w:color="auto" w:fill="auto"/>
            <w:noWrap/>
            <w:vAlign w:val="bottom"/>
          </w:tcPr>
          <w:p w14:paraId="5E8C0CB7" w14:textId="170F922E" w:rsidR="0020021A" w:rsidRPr="004C30D8" w:rsidRDefault="7A495620" w:rsidP="7A495620">
            <w:pPr>
              <w:spacing w:after="0"/>
              <w:jc w:val="right"/>
              <w:rPr>
                <w:i/>
                <w:iCs/>
                <w:sz w:val="22"/>
                <w:szCs w:val="22"/>
              </w:rPr>
            </w:pPr>
            <w:r w:rsidRPr="7A495620">
              <w:rPr>
                <w:i/>
                <w:iCs/>
                <w:sz w:val="22"/>
                <w:szCs w:val="22"/>
              </w:rPr>
              <w:t>3,8</w:t>
            </w:r>
          </w:p>
        </w:tc>
      </w:tr>
      <w:tr w:rsidR="0020021A" w:rsidRPr="004C30D8" w14:paraId="127E54F2" w14:textId="77777777" w:rsidTr="7A495620">
        <w:trPr>
          <w:trHeight w:val="300"/>
          <w:jc w:val="center"/>
        </w:trPr>
        <w:tc>
          <w:tcPr>
            <w:tcW w:w="195" w:type="dxa"/>
            <w:tcBorders>
              <w:top w:val="nil"/>
              <w:left w:val="single" w:sz="4" w:space="0" w:color="auto"/>
              <w:bottom w:val="nil"/>
              <w:right w:val="nil"/>
            </w:tcBorders>
            <w:shd w:val="clear" w:color="auto" w:fill="FFFFFF" w:themeFill="background1"/>
            <w:noWrap/>
            <w:vAlign w:val="bottom"/>
            <w:hideMark/>
          </w:tcPr>
          <w:p w14:paraId="094BC5D1" w14:textId="593BE509" w:rsidR="0020021A" w:rsidRPr="004C30D8" w:rsidRDefault="7A495620" w:rsidP="7A495620">
            <w:pPr>
              <w:spacing w:after="0"/>
              <w:jc w:val="left"/>
              <w:rPr>
                <w:sz w:val="22"/>
                <w:szCs w:val="22"/>
              </w:rPr>
            </w:pPr>
            <w:r w:rsidRPr="7A495620">
              <w:rPr>
                <w:sz w:val="22"/>
                <w:szCs w:val="22"/>
              </w:rPr>
              <w:t> </w:t>
            </w:r>
          </w:p>
        </w:tc>
        <w:tc>
          <w:tcPr>
            <w:tcW w:w="368" w:type="dxa"/>
            <w:tcBorders>
              <w:top w:val="nil"/>
              <w:left w:val="nil"/>
              <w:bottom w:val="nil"/>
              <w:right w:val="nil"/>
            </w:tcBorders>
            <w:shd w:val="clear" w:color="auto" w:fill="FFFFFF" w:themeFill="background1"/>
            <w:noWrap/>
            <w:vAlign w:val="bottom"/>
            <w:hideMark/>
          </w:tcPr>
          <w:p w14:paraId="3AF09607" w14:textId="77777777" w:rsidR="0020021A" w:rsidRPr="004C30D8" w:rsidRDefault="7A495620" w:rsidP="7A495620">
            <w:pPr>
              <w:spacing w:after="0"/>
              <w:jc w:val="left"/>
              <w:rPr>
                <w:sz w:val="22"/>
                <w:szCs w:val="22"/>
              </w:rPr>
            </w:pPr>
            <w:r w:rsidRPr="7A495620">
              <w:rPr>
                <w:sz w:val="22"/>
                <w:szCs w:val="22"/>
              </w:rPr>
              <w:t> </w:t>
            </w:r>
          </w:p>
        </w:tc>
        <w:tc>
          <w:tcPr>
            <w:tcW w:w="4192" w:type="dxa"/>
            <w:tcBorders>
              <w:top w:val="nil"/>
              <w:left w:val="nil"/>
              <w:bottom w:val="nil"/>
              <w:right w:val="single" w:sz="4" w:space="0" w:color="auto"/>
            </w:tcBorders>
            <w:shd w:val="clear" w:color="auto" w:fill="FFFFFF" w:themeFill="background1"/>
            <w:noWrap/>
            <w:vAlign w:val="bottom"/>
            <w:hideMark/>
          </w:tcPr>
          <w:p w14:paraId="3AB85FBD" w14:textId="77777777" w:rsidR="0020021A" w:rsidRPr="004C30D8" w:rsidRDefault="7A495620" w:rsidP="7A495620">
            <w:pPr>
              <w:spacing w:after="0"/>
              <w:jc w:val="left"/>
              <w:rPr>
                <w:i/>
                <w:iCs/>
                <w:sz w:val="22"/>
                <w:szCs w:val="22"/>
              </w:rPr>
            </w:pPr>
            <w:r w:rsidRPr="7A495620">
              <w:rPr>
                <w:i/>
                <w:iCs/>
                <w:sz w:val="22"/>
                <w:szCs w:val="22"/>
              </w:rPr>
              <w:t>2.2.2. Devizakötvények kamata</w:t>
            </w:r>
          </w:p>
        </w:tc>
        <w:tc>
          <w:tcPr>
            <w:tcW w:w="1134" w:type="dxa"/>
            <w:tcBorders>
              <w:top w:val="nil"/>
              <w:left w:val="single" w:sz="4" w:space="0" w:color="auto"/>
              <w:bottom w:val="nil"/>
              <w:right w:val="single" w:sz="4" w:space="0" w:color="auto"/>
            </w:tcBorders>
            <w:shd w:val="clear" w:color="auto" w:fill="auto"/>
            <w:noWrap/>
            <w:vAlign w:val="bottom"/>
          </w:tcPr>
          <w:p w14:paraId="4E3D9D4B" w14:textId="64F078A3" w:rsidR="0020021A" w:rsidRPr="004C30D8" w:rsidRDefault="7A495620" w:rsidP="7A495620">
            <w:pPr>
              <w:spacing w:after="0"/>
              <w:jc w:val="right"/>
              <w:rPr>
                <w:i/>
                <w:iCs/>
                <w:sz w:val="22"/>
                <w:szCs w:val="22"/>
              </w:rPr>
            </w:pPr>
            <w:r w:rsidRPr="7A495620">
              <w:rPr>
                <w:i/>
                <w:iCs/>
                <w:sz w:val="22"/>
                <w:szCs w:val="22"/>
              </w:rPr>
              <w:t>86,1</w:t>
            </w:r>
          </w:p>
        </w:tc>
        <w:tc>
          <w:tcPr>
            <w:tcW w:w="1276" w:type="dxa"/>
            <w:tcBorders>
              <w:top w:val="nil"/>
              <w:left w:val="nil"/>
              <w:bottom w:val="nil"/>
              <w:right w:val="single" w:sz="4" w:space="0" w:color="auto"/>
            </w:tcBorders>
            <w:shd w:val="clear" w:color="auto" w:fill="auto"/>
            <w:noWrap/>
            <w:vAlign w:val="bottom"/>
          </w:tcPr>
          <w:p w14:paraId="2CC81299" w14:textId="55893FB7" w:rsidR="0020021A" w:rsidRPr="004C30D8" w:rsidRDefault="7A495620" w:rsidP="7A495620">
            <w:pPr>
              <w:spacing w:after="0"/>
              <w:jc w:val="right"/>
              <w:rPr>
                <w:i/>
                <w:iCs/>
                <w:sz w:val="22"/>
                <w:szCs w:val="22"/>
              </w:rPr>
            </w:pPr>
            <w:r w:rsidRPr="7A495620">
              <w:rPr>
                <w:i/>
                <w:iCs/>
                <w:sz w:val="22"/>
                <w:szCs w:val="22"/>
              </w:rPr>
              <w:t>45,5</w:t>
            </w:r>
          </w:p>
        </w:tc>
      </w:tr>
      <w:tr w:rsidR="00C2195F" w:rsidRPr="004C30D8" w14:paraId="123C030E" w14:textId="77777777" w:rsidTr="7A495620">
        <w:trPr>
          <w:trHeight w:val="300"/>
          <w:jc w:val="center"/>
        </w:trPr>
        <w:tc>
          <w:tcPr>
            <w:tcW w:w="195" w:type="dxa"/>
            <w:tcBorders>
              <w:top w:val="single" w:sz="4" w:space="0" w:color="auto"/>
              <w:left w:val="single" w:sz="4" w:space="0" w:color="auto"/>
              <w:bottom w:val="single" w:sz="4" w:space="0" w:color="auto"/>
              <w:right w:val="nil"/>
            </w:tcBorders>
            <w:shd w:val="clear" w:color="auto" w:fill="FFFFFF" w:themeFill="background1"/>
            <w:noWrap/>
            <w:vAlign w:val="bottom"/>
            <w:hideMark/>
          </w:tcPr>
          <w:p w14:paraId="138D87D5" w14:textId="44036FC5" w:rsidR="00C2195F" w:rsidRPr="004C30D8" w:rsidRDefault="7A495620" w:rsidP="7A495620">
            <w:pPr>
              <w:spacing w:after="0"/>
              <w:jc w:val="left"/>
              <w:rPr>
                <w:sz w:val="22"/>
                <w:szCs w:val="22"/>
              </w:rPr>
            </w:pPr>
            <w:r w:rsidRPr="7A495620">
              <w:rPr>
                <w:sz w:val="22"/>
                <w:szCs w:val="22"/>
              </w:rPr>
              <w:t> </w:t>
            </w:r>
          </w:p>
        </w:tc>
        <w:tc>
          <w:tcPr>
            <w:tcW w:w="368" w:type="dxa"/>
            <w:tcBorders>
              <w:top w:val="single" w:sz="4" w:space="0" w:color="auto"/>
              <w:left w:val="nil"/>
              <w:bottom w:val="single" w:sz="4" w:space="0" w:color="auto"/>
              <w:right w:val="nil"/>
            </w:tcBorders>
            <w:shd w:val="clear" w:color="auto" w:fill="FFFFFF" w:themeFill="background1"/>
            <w:noWrap/>
            <w:vAlign w:val="bottom"/>
            <w:hideMark/>
          </w:tcPr>
          <w:p w14:paraId="37A0A788" w14:textId="77777777" w:rsidR="00C2195F" w:rsidRPr="004C30D8" w:rsidRDefault="7A495620" w:rsidP="7A495620">
            <w:pPr>
              <w:spacing w:after="0"/>
              <w:jc w:val="left"/>
              <w:rPr>
                <w:sz w:val="22"/>
                <w:szCs w:val="22"/>
              </w:rPr>
            </w:pPr>
            <w:r w:rsidRPr="7A495620">
              <w:rPr>
                <w:sz w:val="22"/>
                <w:szCs w:val="22"/>
              </w:rPr>
              <w:t> </w:t>
            </w:r>
          </w:p>
        </w:tc>
        <w:tc>
          <w:tcPr>
            <w:tcW w:w="4192"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947EC3E" w14:textId="77777777" w:rsidR="00C2195F" w:rsidRPr="004C30D8" w:rsidRDefault="7A495620" w:rsidP="7A495620">
            <w:pPr>
              <w:spacing w:after="0"/>
              <w:jc w:val="left"/>
              <w:rPr>
                <w:sz w:val="22"/>
                <w:szCs w:val="22"/>
              </w:rPr>
            </w:pPr>
            <w:r w:rsidRPr="7A495620">
              <w:rPr>
                <w:sz w:val="22"/>
                <w:szCs w:val="22"/>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3EC636" w14:textId="6D850F3C" w:rsidR="00C2195F" w:rsidRPr="004C30D8" w:rsidRDefault="00C2195F" w:rsidP="00C2195F">
            <w:pPr>
              <w:spacing w:after="0"/>
              <w:jc w:val="left"/>
              <w:rPr>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E46EE97" w14:textId="5DA2A792" w:rsidR="00C2195F" w:rsidRPr="004C30D8" w:rsidRDefault="00C2195F" w:rsidP="00C2195F">
            <w:pPr>
              <w:spacing w:after="0"/>
              <w:jc w:val="left"/>
              <w:rPr>
                <w:sz w:val="22"/>
                <w:szCs w:val="22"/>
              </w:rPr>
            </w:pPr>
          </w:p>
        </w:tc>
      </w:tr>
      <w:tr w:rsidR="0020021A" w:rsidRPr="004C30D8" w14:paraId="18498B80" w14:textId="77777777" w:rsidTr="7A495620">
        <w:trPr>
          <w:trHeight w:val="285"/>
          <w:jc w:val="center"/>
        </w:trPr>
        <w:tc>
          <w:tcPr>
            <w:tcW w:w="4755" w:type="dxa"/>
            <w:gridSpan w:val="3"/>
            <w:tcBorders>
              <w:top w:val="nil"/>
              <w:left w:val="single" w:sz="4" w:space="0" w:color="auto"/>
              <w:bottom w:val="single" w:sz="4" w:space="0" w:color="auto"/>
              <w:right w:val="single" w:sz="4" w:space="0" w:color="auto"/>
            </w:tcBorders>
            <w:shd w:val="clear" w:color="auto" w:fill="FFFFFF" w:themeFill="background1"/>
            <w:noWrap/>
            <w:vAlign w:val="center"/>
            <w:hideMark/>
          </w:tcPr>
          <w:p w14:paraId="234DEEA7" w14:textId="24F23E32" w:rsidR="0020021A" w:rsidRPr="004C30D8" w:rsidRDefault="7A495620" w:rsidP="7A495620">
            <w:pPr>
              <w:spacing w:after="0"/>
              <w:jc w:val="left"/>
              <w:rPr>
                <w:b/>
                <w:bCs/>
                <w:sz w:val="22"/>
                <w:szCs w:val="22"/>
              </w:rPr>
            </w:pPr>
            <w:r w:rsidRPr="7A495620">
              <w:rPr>
                <w:b/>
                <w:bCs/>
                <w:sz w:val="22"/>
                <w:szCs w:val="22"/>
              </w:rPr>
              <w:t>3. Kamategyenleg</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7FC949D7" w14:textId="4881360A" w:rsidR="0020021A" w:rsidRPr="004C30D8" w:rsidRDefault="7A495620" w:rsidP="7A495620">
            <w:pPr>
              <w:spacing w:after="0"/>
              <w:jc w:val="right"/>
              <w:rPr>
                <w:b/>
                <w:bCs/>
                <w:sz w:val="22"/>
                <w:szCs w:val="22"/>
              </w:rPr>
            </w:pPr>
            <w:r w:rsidRPr="7A495620">
              <w:rPr>
                <w:b/>
                <w:bCs/>
                <w:sz w:val="22"/>
                <w:szCs w:val="22"/>
              </w:rPr>
              <w:t>171,3</w:t>
            </w:r>
          </w:p>
        </w:tc>
        <w:tc>
          <w:tcPr>
            <w:tcW w:w="1276" w:type="dxa"/>
            <w:tcBorders>
              <w:top w:val="nil"/>
              <w:left w:val="nil"/>
              <w:bottom w:val="single" w:sz="4" w:space="0" w:color="auto"/>
              <w:right w:val="single" w:sz="4" w:space="0" w:color="auto"/>
            </w:tcBorders>
            <w:shd w:val="clear" w:color="auto" w:fill="auto"/>
            <w:noWrap/>
            <w:vAlign w:val="center"/>
          </w:tcPr>
          <w:p w14:paraId="6822C0C1" w14:textId="2AEE44E0" w:rsidR="0020021A" w:rsidRPr="004C30D8" w:rsidRDefault="7A495620" w:rsidP="7A495620">
            <w:pPr>
              <w:spacing w:after="0"/>
              <w:jc w:val="right"/>
              <w:rPr>
                <w:b/>
                <w:bCs/>
                <w:sz w:val="22"/>
                <w:szCs w:val="22"/>
              </w:rPr>
            </w:pPr>
            <w:r w:rsidRPr="7A495620">
              <w:rPr>
                <w:b/>
                <w:bCs/>
                <w:sz w:val="22"/>
                <w:szCs w:val="22"/>
              </w:rPr>
              <w:t>128,3</w:t>
            </w:r>
          </w:p>
        </w:tc>
      </w:tr>
    </w:tbl>
    <w:p w14:paraId="5D4F03D9" w14:textId="07AF30E8" w:rsidR="00D52A69" w:rsidRPr="29F45AC7" w:rsidRDefault="00E4079D" w:rsidP="00D52A69">
      <w:pPr>
        <w:tabs>
          <w:tab w:val="left" w:pos="550"/>
        </w:tabs>
        <w:spacing w:before="120"/>
        <w:rPr>
          <w:caps/>
        </w:rPr>
      </w:pPr>
      <w:r w:rsidRPr="113728CE">
        <w:rPr>
          <w:caps/>
        </w:rPr>
        <w:br w:type="page"/>
      </w:r>
    </w:p>
    <w:p w14:paraId="5D4F0440" w14:textId="417C1316" w:rsidR="00B93477" w:rsidRDefault="7A495620" w:rsidP="7A495620">
      <w:pPr>
        <w:pStyle w:val="Cmsor4"/>
        <w:ind w:right="-1"/>
        <w:jc w:val="center"/>
        <w:rPr>
          <w:caps/>
        </w:rPr>
      </w:pPr>
      <w:r w:rsidRPr="7A495620">
        <w:rPr>
          <w:caps/>
        </w:rPr>
        <w:lastRenderedPageBreak/>
        <w:t>II.</w:t>
      </w:r>
      <w:r w:rsidR="30891728">
        <w:br/>
      </w:r>
      <w:r w:rsidRPr="7A495620">
        <w:rPr>
          <w:caps/>
        </w:rPr>
        <w:t>Az államháztartás központi alrendszerének finanszírozása</w:t>
      </w:r>
    </w:p>
    <w:p w14:paraId="64D3034E" w14:textId="77777777" w:rsidR="00650CB3" w:rsidRPr="00650CB3" w:rsidRDefault="00650CB3" w:rsidP="00650CB3"/>
    <w:p w14:paraId="5D4F0441" w14:textId="77777777" w:rsidR="006E2559" w:rsidRDefault="7A495620" w:rsidP="27083F14">
      <w:pPr>
        <w:pStyle w:val="Cmsor4"/>
        <w:numPr>
          <w:ilvl w:val="0"/>
          <w:numId w:val="5"/>
        </w:numPr>
        <w:spacing w:before="120"/>
        <w:ind w:left="567" w:hanging="567"/>
      </w:pPr>
      <w:r>
        <w:t xml:space="preserve">Állományi adatok </w:t>
      </w:r>
    </w:p>
    <w:p w14:paraId="589C55E4" w14:textId="77777777" w:rsidR="005D009C" w:rsidRDefault="005D009C" w:rsidP="005D009C"/>
    <w:p w14:paraId="3CDA7909" w14:textId="77777777" w:rsidR="00A1626E" w:rsidRPr="00BB1D28" w:rsidRDefault="7A495620" w:rsidP="00A1626E">
      <w:pPr>
        <w:spacing w:after="240"/>
        <w:ind w:right="23"/>
        <w:rPr>
          <w:bCs/>
          <w:szCs w:val="26"/>
        </w:rPr>
      </w:pPr>
      <w:r w:rsidRPr="7A495620">
        <w:rPr>
          <w:b/>
          <w:bCs/>
        </w:rPr>
        <w:t xml:space="preserve">A központi költségvetés adóssága március </w:t>
      </w:r>
      <w:r>
        <w:t xml:space="preserve">végéig 588,7 milliárd forinttal </w:t>
      </w:r>
      <w:r w:rsidRPr="7A495620">
        <w:rPr>
          <w:b/>
          <w:bCs/>
        </w:rPr>
        <w:t xml:space="preserve">növekedett </w:t>
      </w:r>
      <w:r>
        <w:t>a következő négy tényező eredményeképpen:</w:t>
      </w:r>
    </w:p>
    <w:p w14:paraId="24622DA8" w14:textId="77777777" w:rsidR="00A1626E" w:rsidRPr="00BB1D28" w:rsidRDefault="7A495620" w:rsidP="7A495620">
      <w:pPr>
        <w:numPr>
          <w:ilvl w:val="0"/>
          <w:numId w:val="7"/>
        </w:numPr>
        <w:spacing w:before="120" w:after="240"/>
        <w:ind w:left="714" w:right="23" w:hanging="357"/>
        <w:rPr>
          <w:b/>
          <w:bCs/>
        </w:rPr>
      </w:pPr>
      <w:r w:rsidRPr="7A495620">
        <w:rPr>
          <w:b/>
          <w:bCs/>
        </w:rPr>
        <w:t>Az első tényező</w:t>
      </w:r>
      <w:r>
        <w:t xml:space="preserve"> a nettó forintkibocsátás 992,4 milliárd forint összegben, ami a költségvetés hiányát </w:t>
      </w:r>
      <w:proofErr w:type="gramStart"/>
      <w:r>
        <w:t>finanszírozza</w:t>
      </w:r>
      <w:proofErr w:type="gramEnd"/>
      <w:r>
        <w:t>.</w:t>
      </w:r>
    </w:p>
    <w:p w14:paraId="657E4246" w14:textId="77777777" w:rsidR="00A1626E" w:rsidRPr="00BB1D28" w:rsidRDefault="7A495620" w:rsidP="30891728">
      <w:pPr>
        <w:numPr>
          <w:ilvl w:val="0"/>
          <w:numId w:val="7"/>
        </w:numPr>
        <w:spacing w:after="240"/>
        <w:ind w:right="23"/>
      </w:pPr>
      <w:r w:rsidRPr="7A495620">
        <w:rPr>
          <w:b/>
          <w:bCs/>
        </w:rPr>
        <w:t xml:space="preserve">A második – szintén növelő hatású – tényező </w:t>
      </w:r>
      <w:r>
        <w:t xml:space="preserve">a deviza-keresztárfolyamok változása és egyéb tényezők miatt bekövetkezett </w:t>
      </w:r>
      <w:proofErr w:type="spellStart"/>
      <w:r>
        <w:t>mark-to-market</w:t>
      </w:r>
      <w:proofErr w:type="spellEnd"/>
      <w:r>
        <w:t xml:space="preserve"> betétállományok növekedése 7,2 milliárd forint összegben.</w:t>
      </w:r>
    </w:p>
    <w:p w14:paraId="37C152C5" w14:textId="77777777" w:rsidR="00A1626E" w:rsidRPr="00BB1D28" w:rsidRDefault="7A495620" w:rsidP="7A495620">
      <w:pPr>
        <w:numPr>
          <w:ilvl w:val="0"/>
          <w:numId w:val="7"/>
        </w:numPr>
        <w:spacing w:before="120" w:after="240"/>
        <w:ind w:left="714" w:right="23" w:hanging="357"/>
        <w:rPr>
          <w:b/>
          <w:bCs/>
        </w:rPr>
      </w:pPr>
      <w:r w:rsidRPr="7A495620">
        <w:rPr>
          <w:b/>
          <w:bCs/>
        </w:rPr>
        <w:t xml:space="preserve">A harmadik – fentiekkel ellentétes, csökkentő hatású – tényező </w:t>
      </w:r>
      <w:r>
        <w:t xml:space="preserve">a nettó </w:t>
      </w:r>
      <w:proofErr w:type="spellStart"/>
      <w:r>
        <w:t>devizakibocsátás</w:t>
      </w:r>
      <w:proofErr w:type="spellEnd"/>
      <w:r>
        <w:t>, amely 386,4 milliárd forinttal csökkentette a költségvetés adósságát.</w:t>
      </w:r>
    </w:p>
    <w:p w14:paraId="0E911328" w14:textId="77777777" w:rsidR="00A1626E" w:rsidRPr="00BB1D28" w:rsidRDefault="7A495620" w:rsidP="30891728">
      <w:pPr>
        <w:numPr>
          <w:ilvl w:val="0"/>
          <w:numId w:val="7"/>
        </w:numPr>
        <w:spacing w:before="120" w:after="240"/>
        <w:ind w:left="714" w:right="23" w:hanging="357"/>
      </w:pPr>
      <w:r w:rsidRPr="7A495620">
        <w:rPr>
          <w:b/>
          <w:bCs/>
        </w:rPr>
        <w:t xml:space="preserve">A negyedik – további csökkentő hatású – tényező </w:t>
      </w:r>
      <w:r>
        <w:t>a forint árfolyamának az elmúlt év végéhez képest bekövetkezett erősödése, amely az adósság devizában fennálló részének forintban számított nyilvántartási értékét 24,5 milliárd forinttal csökkentette.</w:t>
      </w:r>
    </w:p>
    <w:p w14:paraId="62DBEE8B" w14:textId="77777777" w:rsidR="005D009C" w:rsidRDefault="005D009C" w:rsidP="005D009C"/>
    <w:p w14:paraId="2A5B3AF7" w14:textId="77777777" w:rsidR="005D009C" w:rsidRPr="005D009C" w:rsidRDefault="005D009C" w:rsidP="005D009C"/>
    <w:p w14:paraId="509339C9" w14:textId="77777777" w:rsidR="00427794" w:rsidRDefault="00427794" w:rsidP="005D009C">
      <w:pPr>
        <w:spacing w:before="120"/>
        <w:ind w:right="23"/>
        <w:rPr>
          <w:bCs/>
          <w:szCs w:val="26"/>
        </w:rPr>
        <w:sectPr w:rsidR="00427794" w:rsidSect="00D46179">
          <w:headerReference w:type="default" r:id="rId25"/>
          <w:headerReference w:type="first" r:id="rId26"/>
          <w:footnotePr>
            <w:numRestart w:val="eachPage"/>
          </w:footnotePr>
          <w:pgSz w:w="11907" w:h="16840" w:code="9"/>
          <w:pgMar w:top="1134" w:right="1134" w:bottom="1418" w:left="1418" w:header="709" w:footer="709" w:gutter="0"/>
          <w:pgNumType w:start="1"/>
          <w:cols w:space="708"/>
          <w:docGrid w:linePitch="354"/>
        </w:sectPr>
      </w:pPr>
    </w:p>
    <w:p w14:paraId="405D8FE5" w14:textId="5CE61816" w:rsidR="00256EE8" w:rsidRPr="00256EE8" w:rsidRDefault="7A495620" w:rsidP="00D94F6F">
      <w:pPr>
        <w:ind w:right="23"/>
        <w:rPr>
          <w:bCs/>
          <w:szCs w:val="26"/>
        </w:rPr>
      </w:pPr>
      <w:r>
        <w:lastRenderedPageBreak/>
        <w:t xml:space="preserve">Az előzetes adatok szerint március végén a </w:t>
      </w:r>
      <w:r w:rsidRPr="7A495620">
        <w:rPr>
          <w:b/>
          <w:bCs/>
        </w:rPr>
        <w:t xml:space="preserve">központi költségvetés forint- és devizaadóssága </w:t>
      </w:r>
      <w:r>
        <w:t>az alábbiak szerint alakult:</w:t>
      </w:r>
    </w:p>
    <w:p w14:paraId="45726EA9" w14:textId="0C270895" w:rsidR="00BF18EE" w:rsidRDefault="7A495620" w:rsidP="00D94F6F">
      <w:pPr>
        <w:overflowPunct w:val="0"/>
        <w:autoSpaceDE w:val="0"/>
        <w:autoSpaceDN w:val="0"/>
        <w:adjustRightInd w:val="0"/>
        <w:spacing w:before="240" w:after="240"/>
        <w:ind w:right="23"/>
        <w:jc w:val="center"/>
        <w:textAlignment w:val="baseline"/>
      </w:pPr>
      <w:r>
        <w:t>A központi költségvetés adósságának alakulása 2021-ben, milliárd forint</w:t>
      </w:r>
    </w:p>
    <w:p w14:paraId="689D04B3" w14:textId="4FA79AA6" w:rsidR="009773BE" w:rsidRDefault="0065776C" w:rsidP="00D94F6F">
      <w:pPr>
        <w:overflowPunct w:val="0"/>
        <w:autoSpaceDE w:val="0"/>
        <w:autoSpaceDN w:val="0"/>
        <w:adjustRightInd w:val="0"/>
        <w:ind w:right="23"/>
        <w:jc w:val="center"/>
        <w:textAlignment w:val="baseline"/>
      </w:pPr>
      <w:r w:rsidRPr="0065776C">
        <w:rPr>
          <w:noProof/>
        </w:rPr>
        <w:drawing>
          <wp:inline distT="0" distB="0" distL="0" distR="0" wp14:anchorId="579639CC" wp14:editId="40298E46">
            <wp:extent cx="8992209" cy="3914775"/>
            <wp:effectExtent l="0" t="0" r="0" b="0"/>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r="33009" b="32312"/>
                    <a:stretch/>
                  </pic:blipFill>
                  <pic:spPr bwMode="auto">
                    <a:xfrm>
                      <a:off x="0" y="0"/>
                      <a:ext cx="9029360" cy="3930949"/>
                    </a:xfrm>
                    <a:prstGeom prst="rect">
                      <a:avLst/>
                    </a:prstGeom>
                    <a:noFill/>
                    <a:ln>
                      <a:noFill/>
                    </a:ln>
                    <a:extLst>
                      <a:ext uri="{53640926-AAD7-44D8-BBD7-CCE9431645EC}">
                        <a14:shadowObscured xmlns:a14="http://schemas.microsoft.com/office/drawing/2010/main"/>
                      </a:ext>
                    </a:extLst>
                  </pic:spPr>
                </pic:pic>
              </a:graphicData>
            </a:graphic>
          </wp:inline>
        </w:drawing>
      </w:r>
    </w:p>
    <w:p w14:paraId="6ECE2FDE" w14:textId="12A9786E" w:rsidR="00E6275A" w:rsidRPr="00DB479B" w:rsidRDefault="7A495620" w:rsidP="7A495620">
      <w:pPr>
        <w:rPr>
          <w:sz w:val="20"/>
        </w:rPr>
      </w:pPr>
      <w:r w:rsidRPr="7A495620">
        <w:rPr>
          <w:i/>
          <w:iCs/>
          <w:sz w:val="20"/>
        </w:rPr>
        <w:t>Megjegyzés: a táblában szereplő tizedes eltérések kerekítésből adódnak.</w:t>
      </w:r>
    </w:p>
    <w:p w14:paraId="5D4F044B" w14:textId="77777777" w:rsidR="00881044" w:rsidRDefault="00881044" w:rsidP="00694CFA">
      <w:pPr>
        <w:overflowPunct w:val="0"/>
        <w:autoSpaceDE w:val="0"/>
        <w:autoSpaceDN w:val="0"/>
        <w:adjustRightInd w:val="0"/>
        <w:spacing w:before="120"/>
        <w:ind w:right="23"/>
        <w:textAlignment w:val="baseline"/>
        <w:rPr>
          <w:b/>
          <w:bCs/>
          <w:szCs w:val="26"/>
        </w:rPr>
        <w:sectPr w:rsidR="00881044" w:rsidSect="00D46179">
          <w:headerReference w:type="default" r:id="rId28"/>
          <w:headerReference w:type="first" r:id="rId29"/>
          <w:footnotePr>
            <w:numRestart w:val="eachPage"/>
          </w:footnotePr>
          <w:pgSz w:w="16840" w:h="11907" w:orient="landscape" w:code="9"/>
          <w:pgMar w:top="993" w:right="1134" w:bottom="1134" w:left="1418" w:header="709" w:footer="709" w:gutter="0"/>
          <w:cols w:space="708"/>
          <w:titlePg/>
        </w:sectPr>
      </w:pPr>
    </w:p>
    <w:p w14:paraId="012E4C08" w14:textId="5C7EE779" w:rsidR="00783FB5" w:rsidRPr="00A1626E" w:rsidRDefault="7A495620" w:rsidP="7A495620">
      <w:pPr>
        <w:pStyle w:val="Szvegtrzs"/>
        <w:rPr>
          <w:rFonts w:eastAsiaTheme="minorEastAsia"/>
          <w:color w:val="auto"/>
          <w:lang w:eastAsia="en-US"/>
        </w:rPr>
      </w:pPr>
      <w:r w:rsidRPr="7A495620">
        <w:rPr>
          <w:rFonts w:eastAsiaTheme="minorEastAsia"/>
          <w:b/>
          <w:bCs/>
          <w:color w:val="auto"/>
          <w:lang w:eastAsia="en-US"/>
        </w:rPr>
        <w:lastRenderedPageBreak/>
        <w:t>A központi költségvetés devizaadóssága</w:t>
      </w:r>
      <w:r w:rsidRPr="7A495620">
        <w:rPr>
          <w:rFonts w:eastAsiaTheme="minorEastAsia"/>
          <w:color w:val="auto"/>
          <w:lang w:eastAsia="en-US"/>
        </w:rPr>
        <w:t xml:space="preserve"> 2021-ben </w:t>
      </w:r>
      <w:r w:rsidRPr="7A495620">
        <w:rPr>
          <w:color w:val="auto"/>
        </w:rPr>
        <w:t>410,8</w:t>
      </w:r>
      <w:r w:rsidRPr="7A495620">
        <w:rPr>
          <w:rFonts w:eastAsiaTheme="minorEastAsia"/>
          <w:color w:val="auto"/>
          <w:lang w:eastAsia="en-US"/>
        </w:rPr>
        <w:t xml:space="preserve"> milliárd forinttal </w:t>
      </w:r>
      <w:r w:rsidRPr="7A495620">
        <w:rPr>
          <w:color w:val="auto"/>
        </w:rPr>
        <w:t>6907,4</w:t>
      </w:r>
      <w:r w:rsidRPr="7A495620">
        <w:rPr>
          <w:rFonts w:eastAsiaTheme="minorEastAsia"/>
          <w:color w:val="auto"/>
          <w:lang w:eastAsia="en-US"/>
        </w:rPr>
        <w:t xml:space="preserve"> milliárd forintra </w:t>
      </w:r>
      <w:r w:rsidRPr="7A495620">
        <w:rPr>
          <w:color w:val="auto"/>
        </w:rPr>
        <w:t>csökkent</w:t>
      </w:r>
      <w:r w:rsidRPr="7A495620">
        <w:rPr>
          <w:rFonts w:eastAsiaTheme="minorEastAsia"/>
          <w:color w:val="auto"/>
          <w:lang w:eastAsia="en-US"/>
        </w:rPr>
        <w:t xml:space="preserve"> az elmúlt év végéhez képest. A devizaadósság részaránya a 2020. év végi 19,9%-os szintről </w:t>
      </w:r>
      <w:r w:rsidRPr="7A495620">
        <w:rPr>
          <w:color w:val="auto"/>
        </w:rPr>
        <w:t>18,5</w:t>
      </w:r>
      <w:r w:rsidRPr="7A495620">
        <w:rPr>
          <w:rFonts w:eastAsiaTheme="minorEastAsia"/>
          <w:color w:val="auto"/>
          <w:lang w:eastAsia="en-US"/>
        </w:rPr>
        <w:t>%-os szintre mérséklődött a teljes adósságon belül.</w:t>
      </w:r>
    </w:p>
    <w:p w14:paraId="1B0E9A98" w14:textId="7648468A" w:rsidR="00776617" w:rsidRPr="00DA3019" w:rsidRDefault="7A495620" w:rsidP="00A1626E">
      <w:pPr>
        <w:spacing w:before="120"/>
        <w:rPr>
          <w:szCs w:val="26"/>
        </w:rPr>
      </w:pPr>
      <w:r w:rsidRPr="7A495620">
        <w:rPr>
          <w:b/>
          <w:bCs/>
        </w:rPr>
        <w:t>A költségvetés forintadóssága</w:t>
      </w:r>
      <w:r>
        <w:t xml:space="preserve"> március végéig 992,4 milliárd forinttal növekedett, és 30 229,6 milliárd forintot ért el, a forint részarány a teljes államadósság 81,1%-át teszi ki. 2020 decemberében ez az arány 79,7% volt.</w:t>
      </w:r>
    </w:p>
    <w:p w14:paraId="023BAFEB" w14:textId="0B31A8F2" w:rsidR="00A1626E" w:rsidRPr="00BB1D28" w:rsidRDefault="7A495620" w:rsidP="00A1626E">
      <w:pPr>
        <w:spacing w:before="120"/>
        <w:rPr>
          <w:bCs/>
          <w:szCs w:val="26"/>
        </w:rPr>
      </w:pPr>
      <w:r>
        <w:t xml:space="preserve">2021. március végén a lakossági állampapírok állománya 9475,6 milliárd forintot tett ki, ami 303,9 milliárd </w:t>
      </w:r>
      <w:proofErr w:type="gramStart"/>
      <w:r>
        <w:t>forint növekedést</w:t>
      </w:r>
      <w:proofErr w:type="gramEnd"/>
      <w:r>
        <w:t xml:space="preserve"> jelent 2020. december vége óta. A havi több mint 100 milliárd forintos nettó állománynövekedés meghaladja a 2020-as átlagos lakossági állománynövekedést.</w:t>
      </w:r>
    </w:p>
    <w:p w14:paraId="46D86F03" w14:textId="14E1B617" w:rsidR="00A1626E" w:rsidRPr="00BB1D28" w:rsidRDefault="7A495620" w:rsidP="00A1626E">
      <w:pPr>
        <w:spacing w:before="120"/>
        <w:rPr>
          <w:szCs w:val="26"/>
        </w:rPr>
      </w:pPr>
      <w:r>
        <w:t xml:space="preserve">A lakossági </w:t>
      </w:r>
      <w:proofErr w:type="gramStart"/>
      <w:r>
        <w:t>állampapír</w:t>
      </w:r>
      <w:r w:rsidR="00851A38">
        <w:t>-</w:t>
      </w:r>
      <w:r>
        <w:t>kereslet döntő</w:t>
      </w:r>
      <w:proofErr w:type="gramEnd"/>
      <w:r>
        <w:t xml:space="preserve"> hányadát a Magyar Állampapír Plusz értékesítése képezte. A kizárólag lakossági ügyfelek által vásárolható Magyar Állampapír Plusz állomány március végéig 261,3 milliárd forinttal 5223,5 milliárd forintra növekedett. A nyomdai úton előállított Magyar Állampapír Plusz állománya 36,3 milliárd </w:t>
      </w:r>
      <w:proofErr w:type="gramStart"/>
      <w:r>
        <w:t>forint növekedés</w:t>
      </w:r>
      <w:proofErr w:type="gramEnd"/>
      <w:r>
        <w:t xml:space="preserve"> következtében 295,4 milliárd forint volt hó végén. Az egy évnél hosszabb futamidejű Prémium Magyar Állampapír állománya 2021-ben újra növekedni kezdett, 2021. március végére 71,2 milliárd forinttal növekedett, amely így 2381,2 milliárd forintot tett ki.</w:t>
      </w:r>
    </w:p>
    <w:p w14:paraId="7827991C" w14:textId="6237C2BA" w:rsidR="00A1626E" w:rsidRPr="00BB1D28" w:rsidRDefault="7A495620" w:rsidP="7A495620">
      <w:pPr>
        <w:pStyle w:val="Default"/>
        <w:spacing w:before="120"/>
        <w:jc w:val="both"/>
        <w:rPr>
          <w:rFonts w:ascii="Times New Roman" w:hAnsi="Times New Roman" w:cs="Times New Roman"/>
          <w:sz w:val="26"/>
          <w:szCs w:val="26"/>
        </w:rPr>
      </w:pPr>
      <w:r w:rsidRPr="7A495620">
        <w:rPr>
          <w:rFonts w:ascii="Times New Roman" w:hAnsi="Times New Roman" w:cs="Times New Roman"/>
          <w:sz w:val="26"/>
          <w:szCs w:val="26"/>
        </w:rPr>
        <w:t>Az Egyéves Magyar Állampapír állománya 1077,8 milliárd forint volt március végén, ami 10,6 milliárd forinttal alacsonyabb a 2020. év végi állománynál. Az Egyéves Magyar Állampapír állománycsökkenés</w:t>
      </w:r>
      <w:r w:rsidR="00131848">
        <w:rPr>
          <w:rFonts w:ascii="Times New Roman" w:hAnsi="Times New Roman" w:cs="Times New Roman"/>
          <w:sz w:val="26"/>
          <w:szCs w:val="26"/>
        </w:rPr>
        <w:t>e azt</w:t>
      </w:r>
      <w:r w:rsidRPr="7A495620">
        <w:rPr>
          <w:rFonts w:ascii="Times New Roman" w:hAnsi="Times New Roman" w:cs="Times New Roman"/>
          <w:sz w:val="26"/>
          <w:szCs w:val="26"/>
        </w:rPr>
        <w:t xml:space="preserve"> mutatja, hogy a lakossági befektetők lejáró értékpapírjaik egy részéből Magyar Állampapír Pluszt vásárolnak, azonban ennek mértéke jóval kisebb a 2020-as évben tapasztaltnál. A már nem értékesített értékpapírok, a Bónusz Magyar Állampapír és a Kétéves Magyar Állampapír 46,5 milliárd forint csökkenést követően, együttesen 74,3 milliárd forintos állománnyal zártak március végén.</w:t>
      </w:r>
    </w:p>
    <w:p w14:paraId="2229C1E8" w14:textId="77777777" w:rsidR="00A1626E" w:rsidRPr="00BB1D28" w:rsidRDefault="7A495620" w:rsidP="7A495620">
      <w:pPr>
        <w:pStyle w:val="Default"/>
        <w:spacing w:before="120"/>
        <w:jc w:val="both"/>
        <w:rPr>
          <w:rFonts w:ascii="Times New Roman" w:hAnsi="Times New Roman" w:cs="Times New Roman"/>
          <w:sz w:val="26"/>
          <w:szCs w:val="26"/>
        </w:rPr>
      </w:pPr>
      <w:r w:rsidRPr="7A495620">
        <w:rPr>
          <w:rFonts w:ascii="Times New Roman" w:hAnsi="Times New Roman" w:cs="Times New Roman"/>
          <w:sz w:val="26"/>
          <w:szCs w:val="26"/>
        </w:rPr>
        <w:t xml:space="preserve">Az ÁKK </w:t>
      </w:r>
      <w:proofErr w:type="spellStart"/>
      <w:r w:rsidRPr="7A495620">
        <w:rPr>
          <w:rFonts w:ascii="Times New Roman" w:hAnsi="Times New Roman" w:cs="Times New Roman"/>
          <w:sz w:val="26"/>
          <w:szCs w:val="26"/>
        </w:rPr>
        <w:t>Zrt</w:t>
      </w:r>
      <w:proofErr w:type="spellEnd"/>
      <w:r w:rsidRPr="7A495620">
        <w:rPr>
          <w:rFonts w:ascii="Times New Roman" w:hAnsi="Times New Roman" w:cs="Times New Roman"/>
          <w:sz w:val="26"/>
          <w:szCs w:val="26"/>
        </w:rPr>
        <w:t>. március hó folyamán összesen 64,2 milliárd forint összegben vásárolt vissza lakossági állampapírokat a forgalmazó bankoktól.</w:t>
      </w:r>
    </w:p>
    <w:p w14:paraId="3700A923" w14:textId="05432E7F" w:rsidR="00A1626E" w:rsidRPr="00BB1D28" w:rsidRDefault="7A495620" w:rsidP="00A1626E">
      <w:pPr>
        <w:spacing w:before="120"/>
        <w:ind w:right="23"/>
        <w:rPr>
          <w:szCs w:val="26"/>
        </w:rPr>
      </w:pPr>
      <w:r>
        <w:t>A külföldi befektetők állampapír</w:t>
      </w:r>
      <w:r w:rsidR="0026610C">
        <w:t>-</w:t>
      </w:r>
      <w:r>
        <w:t>állománya márciusban 274,0 milliárd forinttal csökkent az előző hónaphoz képest. A külföldi állomány 99,9%-</w:t>
      </w:r>
      <w:proofErr w:type="gramStart"/>
      <w:r>
        <w:t>a</w:t>
      </w:r>
      <w:proofErr w:type="gramEnd"/>
      <w:r>
        <w:t>, 4565,9 milliárd forint államkötvény és 0,1%-a, 4,2 milliárd forint diszkontkincstárjegy. A külföldi állomány átlagos hátralévő futamideje március végén 5,8 év volt, amely nem változott az előző hónap végéhez képest.</w:t>
      </w:r>
    </w:p>
    <w:p w14:paraId="35876082" w14:textId="75A7BD94" w:rsidR="00783FB5" w:rsidRPr="00E16729" w:rsidRDefault="7A495620" w:rsidP="00A1626E">
      <w:pPr>
        <w:spacing w:before="120"/>
        <w:ind w:right="23"/>
        <w:rPr>
          <w:szCs w:val="26"/>
        </w:rPr>
      </w:pPr>
      <w:r>
        <w:t xml:space="preserve">A deviza-államadósság kockázatainak csökkentése érdekében az ÁKK </w:t>
      </w:r>
      <w:proofErr w:type="spellStart"/>
      <w:r>
        <w:t>Zrt</w:t>
      </w:r>
      <w:proofErr w:type="spellEnd"/>
      <w:r>
        <w:t xml:space="preserve">. </w:t>
      </w:r>
      <w:proofErr w:type="spellStart"/>
      <w:r>
        <w:t>swapműveleteket</w:t>
      </w:r>
      <w:proofErr w:type="spellEnd"/>
      <w:r>
        <w:t xml:space="preserve"> köt, amiből az adósságállomány részét képezik az ezen ügyletek után az ÁKK </w:t>
      </w:r>
      <w:proofErr w:type="spellStart"/>
      <w:r>
        <w:t>Zrt.-nél</w:t>
      </w:r>
      <w:proofErr w:type="spellEnd"/>
      <w:r>
        <w:t xml:space="preserve"> elhelyezésre kerülő fedezeti összegek (az ún. </w:t>
      </w:r>
      <w:proofErr w:type="spellStart"/>
      <w:r>
        <w:t>mark-to-market</w:t>
      </w:r>
      <w:proofErr w:type="spellEnd"/>
      <w:r>
        <w:t xml:space="preserve"> betétek) az egyéb kötelezettségek soron. Az elmúlt években az egyéb devizák (főként az USD) jelentősen felértékelődtek az euróhoz képest, az emiatt keletkező többletadósságot viszont a </w:t>
      </w:r>
      <w:proofErr w:type="spellStart"/>
      <w:r>
        <w:t>swapkötéssel</w:t>
      </w:r>
      <w:proofErr w:type="spellEnd"/>
      <w:r>
        <w:t xml:space="preserve"> sikerült kizárni. A vizsgált időszakban az egyéb kötelezettségek állománya 7,2 milliárd forinttal növekedett. Március végén az állomány 136,0 milliárd forintot tett ki, ami a teljes államadósság 0,4%-</w:t>
      </w:r>
      <w:proofErr w:type="gramStart"/>
      <w:r w:rsidR="00C42541">
        <w:t>a</w:t>
      </w:r>
      <w:r>
        <w:t>.</w:t>
      </w:r>
      <w:proofErr w:type="gramEnd"/>
    </w:p>
    <w:sectPr w:rsidR="00783FB5" w:rsidRPr="00E16729" w:rsidSect="00730878">
      <w:footnotePr>
        <w:numRestart w:val="eachPage"/>
      </w:footnotePr>
      <w:pgSz w:w="11907" w:h="16840" w:code="9"/>
      <w:pgMar w:top="1134" w:right="1134" w:bottom="1418" w:left="1418" w:header="709" w:footer="283"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07722" w14:textId="77777777" w:rsidR="006E5080" w:rsidRDefault="006E5080">
      <w:r>
        <w:separator/>
      </w:r>
    </w:p>
  </w:endnote>
  <w:endnote w:type="continuationSeparator" w:id="0">
    <w:p w14:paraId="736B6572" w14:textId="77777777" w:rsidR="006E5080" w:rsidRDefault="006E5080">
      <w:r>
        <w:continuationSeparator/>
      </w:r>
    </w:p>
  </w:endnote>
  <w:endnote w:type="continuationNotice" w:id="1">
    <w:p w14:paraId="2CF7310B" w14:textId="77777777" w:rsidR="006E5080" w:rsidRDefault="006E50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488387"/>
      <w:docPartObj>
        <w:docPartGallery w:val="Page Numbers (Bottom of Page)"/>
        <w:docPartUnique/>
      </w:docPartObj>
    </w:sdtPr>
    <w:sdtEndPr/>
    <w:sdtContent>
      <w:p w14:paraId="47A602DE" w14:textId="68ED254C" w:rsidR="006E5080" w:rsidRDefault="006E5080">
        <w:pPr>
          <w:pStyle w:val="llb"/>
          <w:jc w:val="center"/>
        </w:pPr>
        <w:r>
          <w:fldChar w:fldCharType="begin"/>
        </w:r>
        <w:r>
          <w:instrText>PAGE   \* MERGEFORMAT</w:instrText>
        </w:r>
        <w:r>
          <w:fldChar w:fldCharType="separate"/>
        </w:r>
        <w:r w:rsidR="0020181C">
          <w:rPr>
            <w:noProof/>
          </w:rPr>
          <w:t>14</w:t>
        </w:r>
        <w:r>
          <w:fldChar w:fldCharType="end"/>
        </w:r>
      </w:p>
    </w:sdtContent>
  </w:sdt>
  <w:p w14:paraId="5D4F0473" w14:textId="77777777" w:rsidR="006E5080" w:rsidRPr="00B65D56" w:rsidRDefault="006E5080" w:rsidP="00B65D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520635"/>
      <w:docPartObj>
        <w:docPartGallery w:val="Page Numbers (Bottom of Page)"/>
        <w:docPartUnique/>
      </w:docPartObj>
    </w:sdtPr>
    <w:sdtEndPr/>
    <w:sdtContent>
      <w:p w14:paraId="5FB57992" w14:textId="25467ADB" w:rsidR="006E5080" w:rsidRDefault="006E5080">
        <w:pPr>
          <w:pStyle w:val="llb"/>
          <w:jc w:val="center"/>
        </w:pPr>
        <w:r>
          <w:fldChar w:fldCharType="begin"/>
        </w:r>
        <w:r>
          <w:instrText>PAGE   \* MERGEFORMAT</w:instrText>
        </w:r>
        <w:r>
          <w:fldChar w:fldCharType="separate"/>
        </w:r>
        <w:r w:rsidR="0020181C">
          <w:rPr>
            <w:noProof/>
          </w:rPr>
          <w:t>24</w:t>
        </w:r>
        <w:r>
          <w:fldChar w:fldCharType="end"/>
        </w:r>
      </w:p>
    </w:sdtContent>
  </w:sdt>
  <w:p w14:paraId="2F25FF07" w14:textId="77777777" w:rsidR="006E5080" w:rsidRDefault="006E508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A329C" w14:textId="77777777" w:rsidR="006E5080" w:rsidRDefault="006E5080">
      <w:r>
        <w:separator/>
      </w:r>
    </w:p>
  </w:footnote>
  <w:footnote w:type="continuationSeparator" w:id="0">
    <w:p w14:paraId="6CA3F800" w14:textId="77777777" w:rsidR="006E5080" w:rsidRDefault="006E5080">
      <w:r>
        <w:continuationSeparator/>
      </w:r>
    </w:p>
  </w:footnote>
  <w:footnote w:type="continuationNotice" w:id="1">
    <w:p w14:paraId="3BAF8229" w14:textId="77777777" w:rsidR="006E5080" w:rsidRDefault="006E5080">
      <w:pPr>
        <w:spacing w:after="0"/>
      </w:pPr>
    </w:p>
  </w:footnote>
  <w:footnote w:id="2">
    <w:p w14:paraId="5D4F0478" w14:textId="77777777" w:rsidR="006E5080" w:rsidRDefault="006E5080" w:rsidP="7A495620">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CC22A" w14:textId="77777777" w:rsidR="006E5080" w:rsidRPr="00881044" w:rsidRDefault="006E5080" w:rsidP="00881044">
    <w:pPr>
      <w:pStyle w:val="lfej"/>
      <w:rPr>
        <w:rStyle w:val="Oldalsz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292FB" w14:textId="77777777" w:rsidR="006E5080" w:rsidRPr="00FE4DD1" w:rsidRDefault="006E5080" w:rsidP="00FE4DD1">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6" w14:textId="77777777" w:rsidR="006E5080" w:rsidRPr="00881044" w:rsidRDefault="006E5080" w:rsidP="00881044">
    <w:pPr>
      <w:pStyle w:val="lfej"/>
      <w:rPr>
        <w:rStyle w:val="Oldalszm"/>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F0477" w14:textId="77777777" w:rsidR="006E5080" w:rsidRPr="00FE4DD1" w:rsidRDefault="006E5080" w:rsidP="00FE4DD1">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66A2F41"/>
    <w:multiLevelType w:val="hybridMultilevel"/>
    <w:tmpl w:val="1D885B00"/>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4"/>
  </w:num>
  <w:num w:numId="6">
    <w:abstractNumId w:val="8"/>
  </w:num>
  <w:num w:numId="7">
    <w:abstractNumId w:val="7"/>
  </w:num>
  <w:num w:numId="8">
    <w:abstractNumId w:val="0"/>
  </w:num>
  <w:num w:numId="9">
    <w:abstractNumId w:val="10"/>
  </w:num>
  <w:num w:numId="10">
    <w:abstractNumId w:val="12"/>
  </w:num>
  <w:num w:numId="11">
    <w:abstractNumId w:val="2"/>
  </w:num>
  <w:num w:numId="12">
    <w:abstractNumId w:val="9"/>
  </w:num>
  <w:num w:numId="1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movePersonalInformation/>
  <w:removeDateAndTime/>
  <w:activeWritingStyle w:appName="MSWord" w:lang="hu-HU" w:vendorID="7" w:dllVersion="513" w:checkStyle="0"/>
  <w:activeWritingStyle w:appName="MSWord" w:lang="hu-HU" w:vendorID="7" w:dllVersion="52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104449"/>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9A"/>
    <w:rsid w:val="00000262"/>
    <w:rsid w:val="0000053E"/>
    <w:rsid w:val="00000779"/>
    <w:rsid w:val="000007F2"/>
    <w:rsid w:val="00000BD9"/>
    <w:rsid w:val="00000C70"/>
    <w:rsid w:val="00000FA7"/>
    <w:rsid w:val="0000167C"/>
    <w:rsid w:val="00001A1C"/>
    <w:rsid w:val="00001A2F"/>
    <w:rsid w:val="000024F5"/>
    <w:rsid w:val="00002D44"/>
    <w:rsid w:val="00002EBA"/>
    <w:rsid w:val="00002F1F"/>
    <w:rsid w:val="00002F32"/>
    <w:rsid w:val="0000319C"/>
    <w:rsid w:val="000031E7"/>
    <w:rsid w:val="0000346F"/>
    <w:rsid w:val="0000366C"/>
    <w:rsid w:val="00003860"/>
    <w:rsid w:val="000039C4"/>
    <w:rsid w:val="00003A0A"/>
    <w:rsid w:val="00003AB5"/>
    <w:rsid w:val="00003BDF"/>
    <w:rsid w:val="00003D71"/>
    <w:rsid w:val="00003DAA"/>
    <w:rsid w:val="00003E72"/>
    <w:rsid w:val="000040A1"/>
    <w:rsid w:val="000041CC"/>
    <w:rsid w:val="0000447C"/>
    <w:rsid w:val="00004A2B"/>
    <w:rsid w:val="00004B11"/>
    <w:rsid w:val="00004C60"/>
    <w:rsid w:val="000050A4"/>
    <w:rsid w:val="00005414"/>
    <w:rsid w:val="00005653"/>
    <w:rsid w:val="00006BEB"/>
    <w:rsid w:val="00006E83"/>
    <w:rsid w:val="00007429"/>
    <w:rsid w:val="0000786D"/>
    <w:rsid w:val="00007C32"/>
    <w:rsid w:val="00010472"/>
    <w:rsid w:val="00010851"/>
    <w:rsid w:val="00010E9B"/>
    <w:rsid w:val="00010EF9"/>
    <w:rsid w:val="00010FD3"/>
    <w:rsid w:val="00010FED"/>
    <w:rsid w:val="000111EE"/>
    <w:rsid w:val="000115A7"/>
    <w:rsid w:val="00011735"/>
    <w:rsid w:val="000118A8"/>
    <w:rsid w:val="00011A1C"/>
    <w:rsid w:val="00011AEC"/>
    <w:rsid w:val="00011CA1"/>
    <w:rsid w:val="000122E0"/>
    <w:rsid w:val="00012954"/>
    <w:rsid w:val="00012962"/>
    <w:rsid w:val="00012FB0"/>
    <w:rsid w:val="00012FE4"/>
    <w:rsid w:val="00013057"/>
    <w:rsid w:val="000133DD"/>
    <w:rsid w:val="000134F5"/>
    <w:rsid w:val="00013907"/>
    <w:rsid w:val="00013A33"/>
    <w:rsid w:val="00013CD2"/>
    <w:rsid w:val="000140C0"/>
    <w:rsid w:val="00014401"/>
    <w:rsid w:val="000148D6"/>
    <w:rsid w:val="00014A69"/>
    <w:rsid w:val="00014D97"/>
    <w:rsid w:val="000150A0"/>
    <w:rsid w:val="00015137"/>
    <w:rsid w:val="000158B9"/>
    <w:rsid w:val="000159D2"/>
    <w:rsid w:val="00015C76"/>
    <w:rsid w:val="000162DD"/>
    <w:rsid w:val="00016501"/>
    <w:rsid w:val="000171BE"/>
    <w:rsid w:val="0001738B"/>
    <w:rsid w:val="000173CF"/>
    <w:rsid w:val="00017505"/>
    <w:rsid w:val="000176FF"/>
    <w:rsid w:val="00017AB9"/>
    <w:rsid w:val="00017D30"/>
    <w:rsid w:val="00017D97"/>
    <w:rsid w:val="0002048B"/>
    <w:rsid w:val="00020553"/>
    <w:rsid w:val="0002080A"/>
    <w:rsid w:val="000208DE"/>
    <w:rsid w:val="0002092A"/>
    <w:rsid w:val="000209F2"/>
    <w:rsid w:val="00021491"/>
    <w:rsid w:val="00021768"/>
    <w:rsid w:val="00021A79"/>
    <w:rsid w:val="00022190"/>
    <w:rsid w:val="0002269C"/>
    <w:rsid w:val="0002286F"/>
    <w:rsid w:val="000228D4"/>
    <w:rsid w:val="00022C6B"/>
    <w:rsid w:val="00022FBD"/>
    <w:rsid w:val="000230A1"/>
    <w:rsid w:val="0002313D"/>
    <w:rsid w:val="00023277"/>
    <w:rsid w:val="00023497"/>
    <w:rsid w:val="00023517"/>
    <w:rsid w:val="000235DE"/>
    <w:rsid w:val="00023977"/>
    <w:rsid w:val="00023B1E"/>
    <w:rsid w:val="00023D4A"/>
    <w:rsid w:val="000244AA"/>
    <w:rsid w:val="000249CF"/>
    <w:rsid w:val="00024A56"/>
    <w:rsid w:val="00024F61"/>
    <w:rsid w:val="00025088"/>
    <w:rsid w:val="0002532C"/>
    <w:rsid w:val="0002542B"/>
    <w:rsid w:val="00025486"/>
    <w:rsid w:val="00025629"/>
    <w:rsid w:val="00025BA3"/>
    <w:rsid w:val="00025C6B"/>
    <w:rsid w:val="0002604D"/>
    <w:rsid w:val="00026280"/>
    <w:rsid w:val="000264E2"/>
    <w:rsid w:val="000266DF"/>
    <w:rsid w:val="00026701"/>
    <w:rsid w:val="000267A2"/>
    <w:rsid w:val="000268B5"/>
    <w:rsid w:val="00026C3E"/>
    <w:rsid w:val="00026CF8"/>
    <w:rsid w:val="00026D90"/>
    <w:rsid w:val="00027046"/>
    <w:rsid w:val="0002735F"/>
    <w:rsid w:val="00027464"/>
    <w:rsid w:val="000274E3"/>
    <w:rsid w:val="000278D7"/>
    <w:rsid w:val="000301B5"/>
    <w:rsid w:val="000302F7"/>
    <w:rsid w:val="0003042E"/>
    <w:rsid w:val="00031079"/>
    <w:rsid w:val="00031114"/>
    <w:rsid w:val="00031212"/>
    <w:rsid w:val="00031A7F"/>
    <w:rsid w:val="00031EE0"/>
    <w:rsid w:val="00032036"/>
    <w:rsid w:val="0003206C"/>
    <w:rsid w:val="0003279A"/>
    <w:rsid w:val="000327EC"/>
    <w:rsid w:val="00032981"/>
    <w:rsid w:val="000329B0"/>
    <w:rsid w:val="000329C3"/>
    <w:rsid w:val="00032B54"/>
    <w:rsid w:val="00032F08"/>
    <w:rsid w:val="000336BA"/>
    <w:rsid w:val="00033817"/>
    <w:rsid w:val="00033B0A"/>
    <w:rsid w:val="000341D4"/>
    <w:rsid w:val="00034A1C"/>
    <w:rsid w:val="00034E9F"/>
    <w:rsid w:val="0003506A"/>
    <w:rsid w:val="000356B8"/>
    <w:rsid w:val="00035846"/>
    <w:rsid w:val="000359D1"/>
    <w:rsid w:val="00035B72"/>
    <w:rsid w:val="00035DFD"/>
    <w:rsid w:val="00035E6C"/>
    <w:rsid w:val="00035FC8"/>
    <w:rsid w:val="00036A80"/>
    <w:rsid w:val="00036B13"/>
    <w:rsid w:val="00036CEF"/>
    <w:rsid w:val="000371AA"/>
    <w:rsid w:val="0003742C"/>
    <w:rsid w:val="000374B0"/>
    <w:rsid w:val="000374D9"/>
    <w:rsid w:val="000375DB"/>
    <w:rsid w:val="0003779F"/>
    <w:rsid w:val="00037A25"/>
    <w:rsid w:val="00037DE9"/>
    <w:rsid w:val="00037E5D"/>
    <w:rsid w:val="00040071"/>
    <w:rsid w:val="00040819"/>
    <w:rsid w:val="00040D56"/>
    <w:rsid w:val="000411F7"/>
    <w:rsid w:val="00041242"/>
    <w:rsid w:val="00041496"/>
    <w:rsid w:val="000415D6"/>
    <w:rsid w:val="00041712"/>
    <w:rsid w:val="00041DA5"/>
    <w:rsid w:val="00041E51"/>
    <w:rsid w:val="00041F52"/>
    <w:rsid w:val="000424F9"/>
    <w:rsid w:val="0004255E"/>
    <w:rsid w:val="00042AAC"/>
    <w:rsid w:val="00042E08"/>
    <w:rsid w:val="00042F3F"/>
    <w:rsid w:val="0004309A"/>
    <w:rsid w:val="0004312B"/>
    <w:rsid w:val="000433B5"/>
    <w:rsid w:val="00043F64"/>
    <w:rsid w:val="000444EE"/>
    <w:rsid w:val="0004453C"/>
    <w:rsid w:val="0004489D"/>
    <w:rsid w:val="00044996"/>
    <w:rsid w:val="00044B91"/>
    <w:rsid w:val="00044E9F"/>
    <w:rsid w:val="000450BB"/>
    <w:rsid w:val="00045390"/>
    <w:rsid w:val="0004560C"/>
    <w:rsid w:val="000459B0"/>
    <w:rsid w:val="00045EDE"/>
    <w:rsid w:val="00046118"/>
    <w:rsid w:val="00046204"/>
    <w:rsid w:val="00046229"/>
    <w:rsid w:val="0004639A"/>
    <w:rsid w:val="000463F7"/>
    <w:rsid w:val="000464B0"/>
    <w:rsid w:val="000464EB"/>
    <w:rsid w:val="00046834"/>
    <w:rsid w:val="000468C4"/>
    <w:rsid w:val="000468D4"/>
    <w:rsid w:val="00046908"/>
    <w:rsid w:val="00046D1C"/>
    <w:rsid w:val="0004748D"/>
    <w:rsid w:val="0004754D"/>
    <w:rsid w:val="0004788F"/>
    <w:rsid w:val="000478D9"/>
    <w:rsid w:val="00047986"/>
    <w:rsid w:val="00047A20"/>
    <w:rsid w:val="00050055"/>
    <w:rsid w:val="00050561"/>
    <w:rsid w:val="00050A93"/>
    <w:rsid w:val="00050BE9"/>
    <w:rsid w:val="00050C3F"/>
    <w:rsid w:val="00050CE4"/>
    <w:rsid w:val="00050E7F"/>
    <w:rsid w:val="000513D6"/>
    <w:rsid w:val="00051653"/>
    <w:rsid w:val="00051D83"/>
    <w:rsid w:val="00051E51"/>
    <w:rsid w:val="00051F8F"/>
    <w:rsid w:val="000521E9"/>
    <w:rsid w:val="00052378"/>
    <w:rsid w:val="0005257C"/>
    <w:rsid w:val="00052889"/>
    <w:rsid w:val="0005295B"/>
    <w:rsid w:val="00052C8F"/>
    <w:rsid w:val="00052DE7"/>
    <w:rsid w:val="00052E9D"/>
    <w:rsid w:val="00052F73"/>
    <w:rsid w:val="00053202"/>
    <w:rsid w:val="00053627"/>
    <w:rsid w:val="00053733"/>
    <w:rsid w:val="000538D8"/>
    <w:rsid w:val="00053930"/>
    <w:rsid w:val="00053BEC"/>
    <w:rsid w:val="00053CEC"/>
    <w:rsid w:val="0005407D"/>
    <w:rsid w:val="000540CA"/>
    <w:rsid w:val="000540E7"/>
    <w:rsid w:val="00054213"/>
    <w:rsid w:val="0005467E"/>
    <w:rsid w:val="00054697"/>
    <w:rsid w:val="00054721"/>
    <w:rsid w:val="000547CF"/>
    <w:rsid w:val="00054FE3"/>
    <w:rsid w:val="00055097"/>
    <w:rsid w:val="000551F1"/>
    <w:rsid w:val="000552D1"/>
    <w:rsid w:val="000556FC"/>
    <w:rsid w:val="000557AC"/>
    <w:rsid w:val="00055A48"/>
    <w:rsid w:val="00055D3F"/>
    <w:rsid w:val="00056922"/>
    <w:rsid w:val="00056BC3"/>
    <w:rsid w:val="00056FDD"/>
    <w:rsid w:val="00057672"/>
    <w:rsid w:val="0005769C"/>
    <w:rsid w:val="000577AA"/>
    <w:rsid w:val="00057912"/>
    <w:rsid w:val="00057F9F"/>
    <w:rsid w:val="0006001E"/>
    <w:rsid w:val="00060784"/>
    <w:rsid w:val="00060826"/>
    <w:rsid w:val="00060844"/>
    <w:rsid w:val="00060866"/>
    <w:rsid w:val="00060AF3"/>
    <w:rsid w:val="00060D40"/>
    <w:rsid w:val="000610CB"/>
    <w:rsid w:val="000612EA"/>
    <w:rsid w:val="00061530"/>
    <w:rsid w:val="00061C42"/>
    <w:rsid w:val="00061DFB"/>
    <w:rsid w:val="00061E39"/>
    <w:rsid w:val="000621F4"/>
    <w:rsid w:val="000622F9"/>
    <w:rsid w:val="00062332"/>
    <w:rsid w:val="000625BF"/>
    <w:rsid w:val="00062A7C"/>
    <w:rsid w:val="0006326A"/>
    <w:rsid w:val="00063356"/>
    <w:rsid w:val="0006342C"/>
    <w:rsid w:val="000636B7"/>
    <w:rsid w:val="00063730"/>
    <w:rsid w:val="0006386C"/>
    <w:rsid w:val="000639D7"/>
    <w:rsid w:val="00063B10"/>
    <w:rsid w:val="00063BB3"/>
    <w:rsid w:val="00063D43"/>
    <w:rsid w:val="000640FE"/>
    <w:rsid w:val="0006470B"/>
    <w:rsid w:val="0006483D"/>
    <w:rsid w:val="00064A55"/>
    <w:rsid w:val="00064E97"/>
    <w:rsid w:val="00065234"/>
    <w:rsid w:val="000652D1"/>
    <w:rsid w:val="00065767"/>
    <w:rsid w:val="00065AAD"/>
    <w:rsid w:val="00065B27"/>
    <w:rsid w:val="00065B4D"/>
    <w:rsid w:val="00065C49"/>
    <w:rsid w:val="00065CEB"/>
    <w:rsid w:val="0006642A"/>
    <w:rsid w:val="0006644F"/>
    <w:rsid w:val="0006662A"/>
    <w:rsid w:val="00066A73"/>
    <w:rsid w:val="00066F74"/>
    <w:rsid w:val="000676EC"/>
    <w:rsid w:val="0006777F"/>
    <w:rsid w:val="00067BCE"/>
    <w:rsid w:val="00067C20"/>
    <w:rsid w:val="000702D0"/>
    <w:rsid w:val="00070362"/>
    <w:rsid w:val="000704E9"/>
    <w:rsid w:val="00071166"/>
    <w:rsid w:val="000712BF"/>
    <w:rsid w:val="0007134D"/>
    <w:rsid w:val="00071668"/>
    <w:rsid w:val="00071860"/>
    <w:rsid w:val="00071BE9"/>
    <w:rsid w:val="000720C3"/>
    <w:rsid w:val="0007223D"/>
    <w:rsid w:val="00072FC7"/>
    <w:rsid w:val="00073031"/>
    <w:rsid w:val="00073170"/>
    <w:rsid w:val="00073450"/>
    <w:rsid w:val="000736A3"/>
    <w:rsid w:val="000738A3"/>
    <w:rsid w:val="00073991"/>
    <w:rsid w:val="00073A61"/>
    <w:rsid w:val="00073D4B"/>
    <w:rsid w:val="00073EB1"/>
    <w:rsid w:val="00074329"/>
    <w:rsid w:val="00074544"/>
    <w:rsid w:val="0007454D"/>
    <w:rsid w:val="00074742"/>
    <w:rsid w:val="00074C6F"/>
    <w:rsid w:val="00074D2D"/>
    <w:rsid w:val="0007523F"/>
    <w:rsid w:val="000754B7"/>
    <w:rsid w:val="000756AB"/>
    <w:rsid w:val="00075A68"/>
    <w:rsid w:val="00075B4B"/>
    <w:rsid w:val="00075EA6"/>
    <w:rsid w:val="00075FCE"/>
    <w:rsid w:val="00076374"/>
    <w:rsid w:val="00076937"/>
    <w:rsid w:val="00076F7E"/>
    <w:rsid w:val="0007709B"/>
    <w:rsid w:val="000772FD"/>
    <w:rsid w:val="0007731E"/>
    <w:rsid w:val="000774D1"/>
    <w:rsid w:val="000806E9"/>
    <w:rsid w:val="00080A8A"/>
    <w:rsid w:val="00080BF9"/>
    <w:rsid w:val="00080C35"/>
    <w:rsid w:val="00080E92"/>
    <w:rsid w:val="0008118D"/>
    <w:rsid w:val="0008129E"/>
    <w:rsid w:val="0008147F"/>
    <w:rsid w:val="000818EC"/>
    <w:rsid w:val="00081900"/>
    <w:rsid w:val="00081A82"/>
    <w:rsid w:val="00081FB2"/>
    <w:rsid w:val="0008235E"/>
    <w:rsid w:val="0008236A"/>
    <w:rsid w:val="000827C1"/>
    <w:rsid w:val="000828B9"/>
    <w:rsid w:val="00082A5E"/>
    <w:rsid w:val="00083625"/>
    <w:rsid w:val="00083647"/>
    <w:rsid w:val="00083873"/>
    <w:rsid w:val="000838E8"/>
    <w:rsid w:val="00083928"/>
    <w:rsid w:val="000839C4"/>
    <w:rsid w:val="00083D48"/>
    <w:rsid w:val="00083DB7"/>
    <w:rsid w:val="000841DC"/>
    <w:rsid w:val="0008442C"/>
    <w:rsid w:val="000846B0"/>
    <w:rsid w:val="00084ACD"/>
    <w:rsid w:val="00084C35"/>
    <w:rsid w:val="00084E94"/>
    <w:rsid w:val="00084F8F"/>
    <w:rsid w:val="0008512A"/>
    <w:rsid w:val="00085183"/>
    <w:rsid w:val="000851FF"/>
    <w:rsid w:val="00086040"/>
    <w:rsid w:val="0008659E"/>
    <w:rsid w:val="000865F4"/>
    <w:rsid w:val="00086785"/>
    <w:rsid w:val="00086830"/>
    <w:rsid w:val="00086F21"/>
    <w:rsid w:val="00086F64"/>
    <w:rsid w:val="00087150"/>
    <w:rsid w:val="00087423"/>
    <w:rsid w:val="00087444"/>
    <w:rsid w:val="000875CA"/>
    <w:rsid w:val="000876A5"/>
    <w:rsid w:val="00087987"/>
    <w:rsid w:val="00087CD3"/>
    <w:rsid w:val="00087DB4"/>
    <w:rsid w:val="0009025B"/>
    <w:rsid w:val="00090271"/>
    <w:rsid w:val="0009055D"/>
    <w:rsid w:val="0009067F"/>
    <w:rsid w:val="000908E7"/>
    <w:rsid w:val="00090AB4"/>
    <w:rsid w:val="00090C97"/>
    <w:rsid w:val="00090CE7"/>
    <w:rsid w:val="00091084"/>
    <w:rsid w:val="0009121C"/>
    <w:rsid w:val="00091B8D"/>
    <w:rsid w:val="00091B97"/>
    <w:rsid w:val="00091C45"/>
    <w:rsid w:val="00091E96"/>
    <w:rsid w:val="0009222C"/>
    <w:rsid w:val="0009228A"/>
    <w:rsid w:val="00092529"/>
    <w:rsid w:val="00092834"/>
    <w:rsid w:val="00092B62"/>
    <w:rsid w:val="0009307E"/>
    <w:rsid w:val="00093352"/>
    <w:rsid w:val="000933D7"/>
    <w:rsid w:val="0009352F"/>
    <w:rsid w:val="00093854"/>
    <w:rsid w:val="000938C6"/>
    <w:rsid w:val="00093B1E"/>
    <w:rsid w:val="00093CEC"/>
    <w:rsid w:val="00093D38"/>
    <w:rsid w:val="00094808"/>
    <w:rsid w:val="00094843"/>
    <w:rsid w:val="000950E4"/>
    <w:rsid w:val="00095E87"/>
    <w:rsid w:val="000961B9"/>
    <w:rsid w:val="00096B6E"/>
    <w:rsid w:val="00096BD2"/>
    <w:rsid w:val="00096D11"/>
    <w:rsid w:val="00096FF2"/>
    <w:rsid w:val="0009729E"/>
    <w:rsid w:val="00097EC8"/>
    <w:rsid w:val="00097ED1"/>
    <w:rsid w:val="000A0825"/>
    <w:rsid w:val="000A0852"/>
    <w:rsid w:val="000A0935"/>
    <w:rsid w:val="000A0A12"/>
    <w:rsid w:val="000A0A38"/>
    <w:rsid w:val="000A10BA"/>
    <w:rsid w:val="000A10BD"/>
    <w:rsid w:val="000A1E01"/>
    <w:rsid w:val="000A1EE8"/>
    <w:rsid w:val="000A1FC2"/>
    <w:rsid w:val="000A209E"/>
    <w:rsid w:val="000A271A"/>
    <w:rsid w:val="000A30EA"/>
    <w:rsid w:val="000A3113"/>
    <w:rsid w:val="000A3214"/>
    <w:rsid w:val="000A3327"/>
    <w:rsid w:val="000A38EF"/>
    <w:rsid w:val="000A3BEE"/>
    <w:rsid w:val="000A3E99"/>
    <w:rsid w:val="000A41AF"/>
    <w:rsid w:val="000A42B7"/>
    <w:rsid w:val="000A45CB"/>
    <w:rsid w:val="000A4F88"/>
    <w:rsid w:val="000A55BD"/>
    <w:rsid w:val="000A5E92"/>
    <w:rsid w:val="000A64D5"/>
    <w:rsid w:val="000A683F"/>
    <w:rsid w:val="000A6F73"/>
    <w:rsid w:val="000A741E"/>
    <w:rsid w:val="000A74A9"/>
    <w:rsid w:val="000A7E87"/>
    <w:rsid w:val="000B0157"/>
    <w:rsid w:val="000B0206"/>
    <w:rsid w:val="000B068E"/>
    <w:rsid w:val="000B0A30"/>
    <w:rsid w:val="000B0CF3"/>
    <w:rsid w:val="000B0E2B"/>
    <w:rsid w:val="000B0FC9"/>
    <w:rsid w:val="000B1186"/>
    <w:rsid w:val="000B11F1"/>
    <w:rsid w:val="000B13EA"/>
    <w:rsid w:val="000B15CB"/>
    <w:rsid w:val="000B18F1"/>
    <w:rsid w:val="000B1EEB"/>
    <w:rsid w:val="000B2692"/>
    <w:rsid w:val="000B2ED2"/>
    <w:rsid w:val="000B379C"/>
    <w:rsid w:val="000B3C1C"/>
    <w:rsid w:val="000B3DC8"/>
    <w:rsid w:val="000B3EC9"/>
    <w:rsid w:val="000B427F"/>
    <w:rsid w:val="000B459B"/>
    <w:rsid w:val="000B4653"/>
    <w:rsid w:val="000B4A7E"/>
    <w:rsid w:val="000B594E"/>
    <w:rsid w:val="000B5BB2"/>
    <w:rsid w:val="000B615B"/>
    <w:rsid w:val="000B65B0"/>
    <w:rsid w:val="000B66DA"/>
    <w:rsid w:val="000B6A3F"/>
    <w:rsid w:val="000B6AC4"/>
    <w:rsid w:val="000B6C0E"/>
    <w:rsid w:val="000B6C94"/>
    <w:rsid w:val="000B6ECD"/>
    <w:rsid w:val="000B6FDC"/>
    <w:rsid w:val="000B72A3"/>
    <w:rsid w:val="000B74D4"/>
    <w:rsid w:val="000B7925"/>
    <w:rsid w:val="000B79EC"/>
    <w:rsid w:val="000B7D3E"/>
    <w:rsid w:val="000C0263"/>
    <w:rsid w:val="000C037A"/>
    <w:rsid w:val="000C040F"/>
    <w:rsid w:val="000C0E4E"/>
    <w:rsid w:val="000C10AD"/>
    <w:rsid w:val="000C1110"/>
    <w:rsid w:val="000C11C6"/>
    <w:rsid w:val="000C17B1"/>
    <w:rsid w:val="000C18B6"/>
    <w:rsid w:val="000C22FD"/>
    <w:rsid w:val="000C23BC"/>
    <w:rsid w:val="000C243D"/>
    <w:rsid w:val="000C2553"/>
    <w:rsid w:val="000C25CA"/>
    <w:rsid w:val="000C2C75"/>
    <w:rsid w:val="000C3448"/>
    <w:rsid w:val="000C398C"/>
    <w:rsid w:val="000C3E03"/>
    <w:rsid w:val="000C3E3E"/>
    <w:rsid w:val="000C41ED"/>
    <w:rsid w:val="000C45BE"/>
    <w:rsid w:val="000C463E"/>
    <w:rsid w:val="000C4664"/>
    <w:rsid w:val="000C4867"/>
    <w:rsid w:val="000C508F"/>
    <w:rsid w:val="000C5241"/>
    <w:rsid w:val="000C549B"/>
    <w:rsid w:val="000C5604"/>
    <w:rsid w:val="000C56CA"/>
    <w:rsid w:val="000C58F6"/>
    <w:rsid w:val="000C5968"/>
    <w:rsid w:val="000C5B66"/>
    <w:rsid w:val="000C6061"/>
    <w:rsid w:val="000C624F"/>
    <w:rsid w:val="000C6929"/>
    <w:rsid w:val="000C6BCD"/>
    <w:rsid w:val="000C6BD0"/>
    <w:rsid w:val="000C6FB4"/>
    <w:rsid w:val="000C733A"/>
    <w:rsid w:val="000C7391"/>
    <w:rsid w:val="000C73AD"/>
    <w:rsid w:val="000C7453"/>
    <w:rsid w:val="000C76A6"/>
    <w:rsid w:val="000C794C"/>
    <w:rsid w:val="000C7B8F"/>
    <w:rsid w:val="000D0012"/>
    <w:rsid w:val="000D02C7"/>
    <w:rsid w:val="000D0735"/>
    <w:rsid w:val="000D07ED"/>
    <w:rsid w:val="000D0B9E"/>
    <w:rsid w:val="000D0BC6"/>
    <w:rsid w:val="000D0CCF"/>
    <w:rsid w:val="000D0EC8"/>
    <w:rsid w:val="000D1080"/>
    <w:rsid w:val="000D143E"/>
    <w:rsid w:val="000D1AEC"/>
    <w:rsid w:val="000D20D0"/>
    <w:rsid w:val="000D2162"/>
    <w:rsid w:val="000D2222"/>
    <w:rsid w:val="000D22DD"/>
    <w:rsid w:val="000D2A91"/>
    <w:rsid w:val="000D2ACD"/>
    <w:rsid w:val="000D2BFD"/>
    <w:rsid w:val="000D3AF7"/>
    <w:rsid w:val="000D3CDF"/>
    <w:rsid w:val="000D3EB0"/>
    <w:rsid w:val="000D3F95"/>
    <w:rsid w:val="000D46AE"/>
    <w:rsid w:val="000D4BD6"/>
    <w:rsid w:val="000D4EF1"/>
    <w:rsid w:val="000D51E1"/>
    <w:rsid w:val="000D542F"/>
    <w:rsid w:val="000D54C4"/>
    <w:rsid w:val="000D577A"/>
    <w:rsid w:val="000D5CCD"/>
    <w:rsid w:val="000D5D99"/>
    <w:rsid w:val="000D6810"/>
    <w:rsid w:val="000D6C76"/>
    <w:rsid w:val="000D6E2E"/>
    <w:rsid w:val="000D6E87"/>
    <w:rsid w:val="000D6FE6"/>
    <w:rsid w:val="000D75C1"/>
    <w:rsid w:val="000D79F5"/>
    <w:rsid w:val="000D7C17"/>
    <w:rsid w:val="000D7D3C"/>
    <w:rsid w:val="000E0020"/>
    <w:rsid w:val="000E05E5"/>
    <w:rsid w:val="000E07AE"/>
    <w:rsid w:val="000E0B80"/>
    <w:rsid w:val="000E0F46"/>
    <w:rsid w:val="000E12F9"/>
    <w:rsid w:val="000E1AFF"/>
    <w:rsid w:val="000E1DE7"/>
    <w:rsid w:val="000E20B0"/>
    <w:rsid w:val="000E223E"/>
    <w:rsid w:val="000E2466"/>
    <w:rsid w:val="000E26F1"/>
    <w:rsid w:val="000E2940"/>
    <w:rsid w:val="000E29A2"/>
    <w:rsid w:val="000E2DA0"/>
    <w:rsid w:val="000E312F"/>
    <w:rsid w:val="000E3278"/>
    <w:rsid w:val="000E3420"/>
    <w:rsid w:val="000E3430"/>
    <w:rsid w:val="000E3D46"/>
    <w:rsid w:val="000E41DC"/>
    <w:rsid w:val="000E420F"/>
    <w:rsid w:val="000E4277"/>
    <w:rsid w:val="000E47AC"/>
    <w:rsid w:val="000E49CE"/>
    <w:rsid w:val="000E503A"/>
    <w:rsid w:val="000E5591"/>
    <w:rsid w:val="000E5A34"/>
    <w:rsid w:val="000E5F7D"/>
    <w:rsid w:val="000E6041"/>
    <w:rsid w:val="000E62B5"/>
    <w:rsid w:val="000E662E"/>
    <w:rsid w:val="000E6721"/>
    <w:rsid w:val="000E6909"/>
    <w:rsid w:val="000E6B85"/>
    <w:rsid w:val="000E6E60"/>
    <w:rsid w:val="000E6F1C"/>
    <w:rsid w:val="000E6FB7"/>
    <w:rsid w:val="000E7350"/>
    <w:rsid w:val="000E745B"/>
    <w:rsid w:val="000E7B7C"/>
    <w:rsid w:val="000E7BAC"/>
    <w:rsid w:val="000F098D"/>
    <w:rsid w:val="000F0C80"/>
    <w:rsid w:val="000F0E46"/>
    <w:rsid w:val="000F154F"/>
    <w:rsid w:val="000F184F"/>
    <w:rsid w:val="000F1BD8"/>
    <w:rsid w:val="000F1E65"/>
    <w:rsid w:val="000F24A1"/>
    <w:rsid w:val="000F24A3"/>
    <w:rsid w:val="000F2784"/>
    <w:rsid w:val="000F2FB7"/>
    <w:rsid w:val="000F341F"/>
    <w:rsid w:val="000F363A"/>
    <w:rsid w:val="000F366E"/>
    <w:rsid w:val="000F3838"/>
    <w:rsid w:val="000F3C2E"/>
    <w:rsid w:val="000F3DCE"/>
    <w:rsid w:val="000F3E1A"/>
    <w:rsid w:val="000F3F4D"/>
    <w:rsid w:val="000F4030"/>
    <w:rsid w:val="000F43D9"/>
    <w:rsid w:val="000F49B7"/>
    <w:rsid w:val="000F5CD3"/>
    <w:rsid w:val="000F5DF9"/>
    <w:rsid w:val="000F5FF7"/>
    <w:rsid w:val="000F6073"/>
    <w:rsid w:val="000F63E3"/>
    <w:rsid w:val="000F6D0F"/>
    <w:rsid w:val="000F7060"/>
    <w:rsid w:val="000F7170"/>
    <w:rsid w:val="000F744F"/>
    <w:rsid w:val="000F7849"/>
    <w:rsid w:val="000F7A1F"/>
    <w:rsid w:val="000F7B58"/>
    <w:rsid w:val="000F7F23"/>
    <w:rsid w:val="001006F2"/>
    <w:rsid w:val="00100AED"/>
    <w:rsid w:val="00100E92"/>
    <w:rsid w:val="00101701"/>
    <w:rsid w:val="0010181C"/>
    <w:rsid w:val="0010199E"/>
    <w:rsid w:val="00101B9B"/>
    <w:rsid w:val="00101BC2"/>
    <w:rsid w:val="00101FDA"/>
    <w:rsid w:val="0010208B"/>
    <w:rsid w:val="00102255"/>
    <w:rsid w:val="00102343"/>
    <w:rsid w:val="001024C6"/>
    <w:rsid w:val="001027C3"/>
    <w:rsid w:val="00102ABC"/>
    <w:rsid w:val="00102D54"/>
    <w:rsid w:val="00103AF9"/>
    <w:rsid w:val="00104479"/>
    <w:rsid w:val="00104728"/>
    <w:rsid w:val="0010496A"/>
    <w:rsid w:val="00104AEE"/>
    <w:rsid w:val="00104BAF"/>
    <w:rsid w:val="00104D97"/>
    <w:rsid w:val="00105314"/>
    <w:rsid w:val="00105777"/>
    <w:rsid w:val="00105951"/>
    <w:rsid w:val="00105CA3"/>
    <w:rsid w:val="00105D1F"/>
    <w:rsid w:val="001063AD"/>
    <w:rsid w:val="00106752"/>
    <w:rsid w:val="00106791"/>
    <w:rsid w:val="001069E7"/>
    <w:rsid w:val="00106BC7"/>
    <w:rsid w:val="00106CDC"/>
    <w:rsid w:val="00106F31"/>
    <w:rsid w:val="00107058"/>
    <w:rsid w:val="001071AB"/>
    <w:rsid w:val="0010724A"/>
    <w:rsid w:val="00107827"/>
    <w:rsid w:val="00110091"/>
    <w:rsid w:val="0011034D"/>
    <w:rsid w:val="00110748"/>
    <w:rsid w:val="00110B6A"/>
    <w:rsid w:val="00111517"/>
    <w:rsid w:val="00111635"/>
    <w:rsid w:val="00111904"/>
    <w:rsid w:val="00111B0B"/>
    <w:rsid w:val="001121BA"/>
    <w:rsid w:val="001121FA"/>
    <w:rsid w:val="001127E1"/>
    <w:rsid w:val="00112BAF"/>
    <w:rsid w:val="00112BB6"/>
    <w:rsid w:val="00112BE5"/>
    <w:rsid w:val="001136A2"/>
    <w:rsid w:val="001136F6"/>
    <w:rsid w:val="001139C5"/>
    <w:rsid w:val="00113ABD"/>
    <w:rsid w:val="00113B53"/>
    <w:rsid w:val="00113BAF"/>
    <w:rsid w:val="00113C91"/>
    <w:rsid w:val="001149F9"/>
    <w:rsid w:val="0011508B"/>
    <w:rsid w:val="001150A8"/>
    <w:rsid w:val="00115546"/>
    <w:rsid w:val="00115750"/>
    <w:rsid w:val="0011595F"/>
    <w:rsid w:val="00115D33"/>
    <w:rsid w:val="00116066"/>
    <w:rsid w:val="00116176"/>
    <w:rsid w:val="00116427"/>
    <w:rsid w:val="00116AB1"/>
    <w:rsid w:val="00116DAD"/>
    <w:rsid w:val="00116DBB"/>
    <w:rsid w:val="00116E10"/>
    <w:rsid w:val="00116FB4"/>
    <w:rsid w:val="00117574"/>
    <w:rsid w:val="00117717"/>
    <w:rsid w:val="00117C41"/>
    <w:rsid w:val="0012048C"/>
    <w:rsid w:val="001204FC"/>
    <w:rsid w:val="00120A2C"/>
    <w:rsid w:val="00120F4A"/>
    <w:rsid w:val="00120FEB"/>
    <w:rsid w:val="001210AF"/>
    <w:rsid w:val="001212C9"/>
    <w:rsid w:val="0012135A"/>
    <w:rsid w:val="00121410"/>
    <w:rsid w:val="00121619"/>
    <w:rsid w:val="001217A5"/>
    <w:rsid w:val="00121DE4"/>
    <w:rsid w:val="00121E1C"/>
    <w:rsid w:val="0012263B"/>
    <w:rsid w:val="001226AA"/>
    <w:rsid w:val="00122EB2"/>
    <w:rsid w:val="00122F03"/>
    <w:rsid w:val="001239CC"/>
    <w:rsid w:val="00123CD0"/>
    <w:rsid w:val="00124225"/>
    <w:rsid w:val="00124607"/>
    <w:rsid w:val="0012462D"/>
    <w:rsid w:val="0012476B"/>
    <w:rsid w:val="0012477D"/>
    <w:rsid w:val="00124897"/>
    <w:rsid w:val="00124967"/>
    <w:rsid w:val="00125076"/>
    <w:rsid w:val="0012513D"/>
    <w:rsid w:val="00125141"/>
    <w:rsid w:val="00125AC8"/>
    <w:rsid w:val="00125B76"/>
    <w:rsid w:val="00125D2F"/>
    <w:rsid w:val="00125D90"/>
    <w:rsid w:val="00125EE5"/>
    <w:rsid w:val="0012618A"/>
    <w:rsid w:val="00126262"/>
    <w:rsid w:val="00126620"/>
    <w:rsid w:val="00126867"/>
    <w:rsid w:val="00126945"/>
    <w:rsid w:val="00126A1B"/>
    <w:rsid w:val="00126E66"/>
    <w:rsid w:val="00127139"/>
    <w:rsid w:val="0012794E"/>
    <w:rsid w:val="00127C84"/>
    <w:rsid w:val="0013003B"/>
    <w:rsid w:val="00130ABA"/>
    <w:rsid w:val="00130B55"/>
    <w:rsid w:val="001312D1"/>
    <w:rsid w:val="0013137D"/>
    <w:rsid w:val="00131485"/>
    <w:rsid w:val="00131848"/>
    <w:rsid w:val="00131900"/>
    <w:rsid w:val="00131A61"/>
    <w:rsid w:val="00131DFB"/>
    <w:rsid w:val="0013241C"/>
    <w:rsid w:val="00132592"/>
    <w:rsid w:val="00133100"/>
    <w:rsid w:val="00133101"/>
    <w:rsid w:val="00133884"/>
    <w:rsid w:val="00133D79"/>
    <w:rsid w:val="0013409A"/>
    <w:rsid w:val="0013447D"/>
    <w:rsid w:val="00134C90"/>
    <w:rsid w:val="00134F0C"/>
    <w:rsid w:val="00134F63"/>
    <w:rsid w:val="0013513D"/>
    <w:rsid w:val="0013527B"/>
    <w:rsid w:val="00135388"/>
    <w:rsid w:val="00135696"/>
    <w:rsid w:val="00135AEC"/>
    <w:rsid w:val="00135B77"/>
    <w:rsid w:val="00135D7A"/>
    <w:rsid w:val="00135E8F"/>
    <w:rsid w:val="00136092"/>
    <w:rsid w:val="0013609D"/>
    <w:rsid w:val="00136531"/>
    <w:rsid w:val="001365AE"/>
    <w:rsid w:val="0013661D"/>
    <w:rsid w:val="00136AEA"/>
    <w:rsid w:val="00136DD0"/>
    <w:rsid w:val="00136DD3"/>
    <w:rsid w:val="00136EB9"/>
    <w:rsid w:val="00137097"/>
    <w:rsid w:val="001376D7"/>
    <w:rsid w:val="00137A21"/>
    <w:rsid w:val="00137B29"/>
    <w:rsid w:val="00137C45"/>
    <w:rsid w:val="00137D4B"/>
    <w:rsid w:val="00140219"/>
    <w:rsid w:val="001402FD"/>
    <w:rsid w:val="00140314"/>
    <w:rsid w:val="0014031C"/>
    <w:rsid w:val="0014082F"/>
    <w:rsid w:val="00140F6E"/>
    <w:rsid w:val="00141062"/>
    <w:rsid w:val="001411DD"/>
    <w:rsid w:val="0014126A"/>
    <w:rsid w:val="0014129D"/>
    <w:rsid w:val="0014148F"/>
    <w:rsid w:val="00142069"/>
    <w:rsid w:val="001423BA"/>
    <w:rsid w:val="0014298A"/>
    <w:rsid w:val="00142E30"/>
    <w:rsid w:val="00142F34"/>
    <w:rsid w:val="00142F57"/>
    <w:rsid w:val="0014316A"/>
    <w:rsid w:val="00143392"/>
    <w:rsid w:val="00143671"/>
    <w:rsid w:val="001437F8"/>
    <w:rsid w:val="001438EA"/>
    <w:rsid w:val="001439FE"/>
    <w:rsid w:val="00143A35"/>
    <w:rsid w:val="00143C04"/>
    <w:rsid w:val="00143C5A"/>
    <w:rsid w:val="00143DD0"/>
    <w:rsid w:val="00143E8D"/>
    <w:rsid w:val="0014446E"/>
    <w:rsid w:val="0014479F"/>
    <w:rsid w:val="00144B94"/>
    <w:rsid w:val="0014569E"/>
    <w:rsid w:val="00145A32"/>
    <w:rsid w:val="00145D01"/>
    <w:rsid w:val="00145D9D"/>
    <w:rsid w:val="00145F80"/>
    <w:rsid w:val="00145FF7"/>
    <w:rsid w:val="00146A4C"/>
    <w:rsid w:val="00146AE4"/>
    <w:rsid w:val="00146F36"/>
    <w:rsid w:val="001473C4"/>
    <w:rsid w:val="00147585"/>
    <w:rsid w:val="00147A25"/>
    <w:rsid w:val="00147C45"/>
    <w:rsid w:val="00147CB3"/>
    <w:rsid w:val="001501D7"/>
    <w:rsid w:val="0015045E"/>
    <w:rsid w:val="00150A96"/>
    <w:rsid w:val="00150EC6"/>
    <w:rsid w:val="00150ECC"/>
    <w:rsid w:val="00151165"/>
    <w:rsid w:val="00151DFA"/>
    <w:rsid w:val="00151E44"/>
    <w:rsid w:val="0015205B"/>
    <w:rsid w:val="00152292"/>
    <w:rsid w:val="001522F1"/>
    <w:rsid w:val="001526E0"/>
    <w:rsid w:val="00152B78"/>
    <w:rsid w:val="00152C6F"/>
    <w:rsid w:val="00152E35"/>
    <w:rsid w:val="00152EB0"/>
    <w:rsid w:val="00153027"/>
    <w:rsid w:val="0015307F"/>
    <w:rsid w:val="001532A4"/>
    <w:rsid w:val="0015383C"/>
    <w:rsid w:val="00153905"/>
    <w:rsid w:val="00154FFA"/>
    <w:rsid w:val="00155223"/>
    <w:rsid w:val="0015540C"/>
    <w:rsid w:val="00155ED0"/>
    <w:rsid w:val="00155F30"/>
    <w:rsid w:val="001560DC"/>
    <w:rsid w:val="0015681C"/>
    <w:rsid w:val="00156D2A"/>
    <w:rsid w:val="0015742E"/>
    <w:rsid w:val="00157964"/>
    <w:rsid w:val="00157E6F"/>
    <w:rsid w:val="00157ECB"/>
    <w:rsid w:val="00160175"/>
    <w:rsid w:val="0016092E"/>
    <w:rsid w:val="00160AFF"/>
    <w:rsid w:val="00160CEB"/>
    <w:rsid w:val="00160D8C"/>
    <w:rsid w:val="0016103C"/>
    <w:rsid w:val="001615B7"/>
    <w:rsid w:val="001616CB"/>
    <w:rsid w:val="001619E6"/>
    <w:rsid w:val="00161DA4"/>
    <w:rsid w:val="00161E2D"/>
    <w:rsid w:val="001621EF"/>
    <w:rsid w:val="001624B0"/>
    <w:rsid w:val="0016263B"/>
    <w:rsid w:val="00162ABA"/>
    <w:rsid w:val="00162AC3"/>
    <w:rsid w:val="00162D32"/>
    <w:rsid w:val="00162F2A"/>
    <w:rsid w:val="001631A9"/>
    <w:rsid w:val="00163243"/>
    <w:rsid w:val="001637A1"/>
    <w:rsid w:val="001637DC"/>
    <w:rsid w:val="00163BF1"/>
    <w:rsid w:val="00163C01"/>
    <w:rsid w:val="00163D1F"/>
    <w:rsid w:val="00163E20"/>
    <w:rsid w:val="0016436C"/>
    <w:rsid w:val="0016444F"/>
    <w:rsid w:val="0016451C"/>
    <w:rsid w:val="00164878"/>
    <w:rsid w:val="00164A1E"/>
    <w:rsid w:val="00164F57"/>
    <w:rsid w:val="00164FAC"/>
    <w:rsid w:val="00165003"/>
    <w:rsid w:val="00166196"/>
    <w:rsid w:val="001664BB"/>
    <w:rsid w:val="00166F66"/>
    <w:rsid w:val="00167475"/>
    <w:rsid w:val="001674CB"/>
    <w:rsid w:val="00167B8E"/>
    <w:rsid w:val="00167EA0"/>
    <w:rsid w:val="00167FF6"/>
    <w:rsid w:val="00170138"/>
    <w:rsid w:val="001701CA"/>
    <w:rsid w:val="001702A3"/>
    <w:rsid w:val="00170361"/>
    <w:rsid w:val="0017042D"/>
    <w:rsid w:val="0017045C"/>
    <w:rsid w:val="0017098E"/>
    <w:rsid w:val="00171261"/>
    <w:rsid w:val="00171283"/>
    <w:rsid w:val="00171427"/>
    <w:rsid w:val="00171C3F"/>
    <w:rsid w:val="00171DAF"/>
    <w:rsid w:val="00171E2F"/>
    <w:rsid w:val="00171F73"/>
    <w:rsid w:val="0017229E"/>
    <w:rsid w:val="0017242D"/>
    <w:rsid w:val="0017256B"/>
    <w:rsid w:val="00172BE9"/>
    <w:rsid w:val="00172E1B"/>
    <w:rsid w:val="00173014"/>
    <w:rsid w:val="00173160"/>
    <w:rsid w:val="00173290"/>
    <w:rsid w:val="0017353F"/>
    <w:rsid w:val="001735E5"/>
    <w:rsid w:val="001736C2"/>
    <w:rsid w:val="00173BFB"/>
    <w:rsid w:val="00173F4F"/>
    <w:rsid w:val="00174315"/>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7104"/>
    <w:rsid w:val="00177593"/>
    <w:rsid w:val="00177711"/>
    <w:rsid w:val="00177B0B"/>
    <w:rsid w:val="00177C38"/>
    <w:rsid w:val="00177CFE"/>
    <w:rsid w:val="00177E5D"/>
    <w:rsid w:val="00177EE6"/>
    <w:rsid w:val="001808E8"/>
    <w:rsid w:val="0018091B"/>
    <w:rsid w:val="00180932"/>
    <w:rsid w:val="00180A1B"/>
    <w:rsid w:val="00180C76"/>
    <w:rsid w:val="00180CB2"/>
    <w:rsid w:val="00181096"/>
    <w:rsid w:val="001812A7"/>
    <w:rsid w:val="001813A7"/>
    <w:rsid w:val="001819C2"/>
    <w:rsid w:val="00181F9E"/>
    <w:rsid w:val="0018208B"/>
    <w:rsid w:val="00182593"/>
    <w:rsid w:val="00182747"/>
    <w:rsid w:val="001828D0"/>
    <w:rsid w:val="00182E26"/>
    <w:rsid w:val="00182EAC"/>
    <w:rsid w:val="00182F8D"/>
    <w:rsid w:val="00182FAF"/>
    <w:rsid w:val="00183087"/>
    <w:rsid w:val="0018317F"/>
    <w:rsid w:val="001831E4"/>
    <w:rsid w:val="001834FC"/>
    <w:rsid w:val="00183501"/>
    <w:rsid w:val="00183580"/>
    <w:rsid w:val="001835EC"/>
    <w:rsid w:val="00183C61"/>
    <w:rsid w:val="00184119"/>
    <w:rsid w:val="001844D8"/>
    <w:rsid w:val="00184754"/>
    <w:rsid w:val="001848FF"/>
    <w:rsid w:val="00184C77"/>
    <w:rsid w:val="00184CFF"/>
    <w:rsid w:val="00184D31"/>
    <w:rsid w:val="00184D61"/>
    <w:rsid w:val="00184FA0"/>
    <w:rsid w:val="00185114"/>
    <w:rsid w:val="001855AD"/>
    <w:rsid w:val="00185792"/>
    <w:rsid w:val="00185957"/>
    <w:rsid w:val="00185C47"/>
    <w:rsid w:val="0018608A"/>
    <w:rsid w:val="001863D5"/>
    <w:rsid w:val="00186629"/>
    <w:rsid w:val="00186FB8"/>
    <w:rsid w:val="00186FD4"/>
    <w:rsid w:val="001871F1"/>
    <w:rsid w:val="001872BD"/>
    <w:rsid w:val="0018754E"/>
    <w:rsid w:val="00187693"/>
    <w:rsid w:val="0018779E"/>
    <w:rsid w:val="00187A34"/>
    <w:rsid w:val="00187DFE"/>
    <w:rsid w:val="001907A0"/>
    <w:rsid w:val="001909EA"/>
    <w:rsid w:val="00190A7E"/>
    <w:rsid w:val="00190BAC"/>
    <w:rsid w:val="00190F89"/>
    <w:rsid w:val="00191196"/>
    <w:rsid w:val="00191462"/>
    <w:rsid w:val="001916BE"/>
    <w:rsid w:val="00191925"/>
    <w:rsid w:val="00191C2B"/>
    <w:rsid w:val="00192427"/>
    <w:rsid w:val="00192667"/>
    <w:rsid w:val="001927BA"/>
    <w:rsid w:val="00193225"/>
    <w:rsid w:val="00193579"/>
    <w:rsid w:val="00193C6A"/>
    <w:rsid w:val="00194256"/>
    <w:rsid w:val="001943CB"/>
    <w:rsid w:val="00194B05"/>
    <w:rsid w:val="00194B3F"/>
    <w:rsid w:val="00195214"/>
    <w:rsid w:val="00195236"/>
    <w:rsid w:val="0019548C"/>
    <w:rsid w:val="001956D7"/>
    <w:rsid w:val="001960A1"/>
    <w:rsid w:val="001960EB"/>
    <w:rsid w:val="00196207"/>
    <w:rsid w:val="00196366"/>
    <w:rsid w:val="001963B1"/>
    <w:rsid w:val="001966C8"/>
    <w:rsid w:val="0019688A"/>
    <w:rsid w:val="00196C0C"/>
    <w:rsid w:val="00196EB7"/>
    <w:rsid w:val="0019705B"/>
    <w:rsid w:val="0019732A"/>
    <w:rsid w:val="001973AC"/>
    <w:rsid w:val="00197428"/>
    <w:rsid w:val="0019766B"/>
    <w:rsid w:val="00197758"/>
    <w:rsid w:val="0019780A"/>
    <w:rsid w:val="00197BF4"/>
    <w:rsid w:val="00197E5D"/>
    <w:rsid w:val="001A0137"/>
    <w:rsid w:val="001A0367"/>
    <w:rsid w:val="001A084F"/>
    <w:rsid w:val="001A11AE"/>
    <w:rsid w:val="001A1324"/>
    <w:rsid w:val="001A1354"/>
    <w:rsid w:val="001A13B2"/>
    <w:rsid w:val="001A143D"/>
    <w:rsid w:val="001A1B7A"/>
    <w:rsid w:val="001A20AE"/>
    <w:rsid w:val="001A22C7"/>
    <w:rsid w:val="001A2601"/>
    <w:rsid w:val="001A27D2"/>
    <w:rsid w:val="001A2CC7"/>
    <w:rsid w:val="001A2E56"/>
    <w:rsid w:val="001A3540"/>
    <w:rsid w:val="001A3624"/>
    <w:rsid w:val="001A3CC8"/>
    <w:rsid w:val="001A3DC7"/>
    <w:rsid w:val="001A3E96"/>
    <w:rsid w:val="001A3EFD"/>
    <w:rsid w:val="001A40BE"/>
    <w:rsid w:val="001A42A0"/>
    <w:rsid w:val="001A4555"/>
    <w:rsid w:val="001A51C1"/>
    <w:rsid w:val="001A5268"/>
    <w:rsid w:val="001A541E"/>
    <w:rsid w:val="001A56D0"/>
    <w:rsid w:val="001A570B"/>
    <w:rsid w:val="001A5A54"/>
    <w:rsid w:val="001A5F47"/>
    <w:rsid w:val="001A6102"/>
    <w:rsid w:val="001A72C9"/>
    <w:rsid w:val="001A7A0E"/>
    <w:rsid w:val="001A7A40"/>
    <w:rsid w:val="001A7E52"/>
    <w:rsid w:val="001A7E84"/>
    <w:rsid w:val="001A7ECE"/>
    <w:rsid w:val="001B0B96"/>
    <w:rsid w:val="001B0F06"/>
    <w:rsid w:val="001B1635"/>
    <w:rsid w:val="001B188F"/>
    <w:rsid w:val="001B1A2F"/>
    <w:rsid w:val="001B1E31"/>
    <w:rsid w:val="001B20B6"/>
    <w:rsid w:val="001B21EB"/>
    <w:rsid w:val="001B22DA"/>
    <w:rsid w:val="001B2540"/>
    <w:rsid w:val="001B2574"/>
    <w:rsid w:val="001B26F3"/>
    <w:rsid w:val="001B2772"/>
    <w:rsid w:val="001B27E4"/>
    <w:rsid w:val="001B2AA1"/>
    <w:rsid w:val="001B35F2"/>
    <w:rsid w:val="001B3F9A"/>
    <w:rsid w:val="001B40BB"/>
    <w:rsid w:val="001B4158"/>
    <w:rsid w:val="001B4207"/>
    <w:rsid w:val="001B425B"/>
    <w:rsid w:val="001B474F"/>
    <w:rsid w:val="001B47A9"/>
    <w:rsid w:val="001B495D"/>
    <w:rsid w:val="001B4BE2"/>
    <w:rsid w:val="001B4E0E"/>
    <w:rsid w:val="001B4E58"/>
    <w:rsid w:val="001B5764"/>
    <w:rsid w:val="001B59C2"/>
    <w:rsid w:val="001B59DA"/>
    <w:rsid w:val="001B5D7C"/>
    <w:rsid w:val="001B609D"/>
    <w:rsid w:val="001B6293"/>
    <w:rsid w:val="001B64BC"/>
    <w:rsid w:val="001B64E6"/>
    <w:rsid w:val="001B667D"/>
    <w:rsid w:val="001B7291"/>
    <w:rsid w:val="001B79C0"/>
    <w:rsid w:val="001B7AE9"/>
    <w:rsid w:val="001B7B2E"/>
    <w:rsid w:val="001B7EC3"/>
    <w:rsid w:val="001C00FC"/>
    <w:rsid w:val="001C0822"/>
    <w:rsid w:val="001C097A"/>
    <w:rsid w:val="001C09F1"/>
    <w:rsid w:val="001C160A"/>
    <w:rsid w:val="001C185F"/>
    <w:rsid w:val="001C189D"/>
    <w:rsid w:val="001C196C"/>
    <w:rsid w:val="001C1A94"/>
    <w:rsid w:val="001C1EF5"/>
    <w:rsid w:val="001C202A"/>
    <w:rsid w:val="001C230B"/>
    <w:rsid w:val="001C255B"/>
    <w:rsid w:val="001C27A9"/>
    <w:rsid w:val="001C2D9E"/>
    <w:rsid w:val="001C2EA3"/>
    <w:rsid w:val="001C301E"/>
    <w:rsid w:val="001C4050"/>
    <w:rsid w:val="001C4384"/>
    <w:rsid w:val="001C4AF1"/>
    <w:rsid w:val="001C4BE4"/>
    <w:rsid w:val="001C4D7A"/>
    <w:rsid w:val="001C505A"/>
    <w:rsid w:val="001C5E20"/>
    <w:rsid w:val="001C5E6E"/>
    <w:rsid w:val="001C5F2E"/>
    <w:rsid w:val="001C694B"/>
    <w:rsid w:val="001C6C81"/>
    <w:rsid w:val="001C6EC0"/>
    <w:rsid w:val="001C714E"/>
    <w:rsid w:val="001C7188"/>
    <w:rsid w:val="001C7231"/>
    <w:rsid w:val="001C77AE"/>
    <w:rsid w:val="001C7834"/>
    <w:rsid w:val="001D0049"/>
    <w:rsid w:val="001D01AE"/>
    <w:rsid w:val="001D024E"/>
    <w:rsid w:val="001D046D"/>
    <w:rsid w:val="001D0563"/>
    <w:rsid w:val="001D1C7F"/>
    <w:rsid w:val="001D21DA"/>
    <w:rsid w:val="001D3178"/>
    <w:rsid w:val="001D351B"/>
    <w:rsid w:val="001D3702"/>
    <w:rsid w:val="001D3709"/>
    <w:rsid w:val="001D3C35"/>
    <w:rsid w:val="001D42BF"/>
    <w:rsid w:val="001D48C1"/>
    <w:rsid w:val="001D4938"/>
    <w:rsid w:val="001D4A12"/>
    <w:rsid w:val="001D4C9B"/>
    <w:rsid w:val="001D51CE"/>
    <w:rsid w:val="001D5317"/>
    <w:rsid w:val="001D5468"/>
    <w:rsid w:val="001D5C19"/>
    <w:rsid w:val="001D5C83"/>
    <w:rsid w:val="001D603C"/>
    <w:rsid w:val="001D67C4"/>
    <w:rsid w:val="001D67FE"/>
    <w:rsid w:val="001D6B71"/>
    <w:rsid w:val="001D6C5B"/>
    <w:rsid w:val="001D6CAE"/>
    <w:rsid w:val="001D6DF6"/>
    <w:rsid w:val="001D6F83"/>
    <w:rsid w:val="001D70A4"/>
    <w:rsid w:val="001D73E3"/>
    <w:rsid w:val="001D758F"/>
    <w:rsid w:val="001D75F1"/>
    <w:rsid w:val="001D7682"/>
    <w:rsid w:val="001D7A65"/>
    <w:rsid w:val="001D7B57"/>
    <w:rsid w:val="001D7BE0"/>
    <w:rsid w:val="001D7E9D"/>
    <w:rsid w:val="001D7EBA"/>
    <w:rsid w:val="001E0026"/>
    <w:rsid w:val="001E005B"/>
    <w:rsid w:val="001E0447"/>
    <w:rsid w:val="001E053A"/>
    <w:rsid w:val="001E0CA7"/>
    <w:rsid w:val="001E1334"/>
    <w:rsid w:val="001E142E"/>
    <w:rsid w:val="001E144D"/>
    <w:rsid w:val="001E155D"/>
    <w:rsid w:val="001E19AD"/>
    <w:rsid w:val="001E20FE"/>
    <w:rsid w:val="001E259E"/>
    <w:rsid w:val="001E2C86"/>
    <w:rsid w:val="001E2DF0"/>
    <w:rsid w:val="001E3297"/>
    <w:rsid w:val="001E33F7"/>
    <w:rsid w:val="001E35C3"/>
    <w:rsid w:val="001E37AA"/>
    <w:rsid w:val="001E37D3"/>
    <w:rsid w:val="001E43E5"/>
    <w:rsid w:val="001E4959"/>
    <w:rsid w:val="001E4AB1"/>
    <w:rsid w:val="001E4B09"/>
    <w:rsid w:val="001E4CCC"/>
    <w:rsid w:val="001E4DA2"/>
    <w:rsid w:val="001E4F63"/>
    <w:rsid w:val="001E5D38"/>
    <w:rsid w:val="001E5EA9"/>
    <w:rsid w:val="001E677B"/>
    <w:rsid w:val="001E6840"/>
    <w:rsid w:val="001E6BD1"/>
    <w:rsid w:val="001E6EDC"/>
    <w:rsid w:val="001E6F96"/>
    <w:rsid w:val="001E73DE"/>
    <w:rsid w:val="001F0049"/>
    <w:rsid w:val="001F06B9"/>
    <w:rsid w:val="001F0997"/>
    <w:rsid w:val="001F0A97"/>
    <w:rsid w:val="001F0A99"/>
    <w:rsid w:val="001F0DC5"/>
    <w:rsid w:val="001F1095"/>
    <w:rsid w:val="001F1299"/>
    <w:rsid w:val="001F14DF"/>
    <w:rsid w:val="001F1507"/>
    <w:rsid w:val="001F207C"/>
    <w:rsid w:val="001F22F3"/>
    <w:rsid w:val="001F29AE"/>
    <w:rsid w:val="001F2CEA"/>
    <w:rsid w:val="001F2D4F"/>
    <w:rsid w:val="001F32A7"/>
    <w:rsid w:val="001F3BFF"/>
    <w:rsid w:val="001F3CD9"/>
    <w:rsid w:val="001F3F4E"/>
    <w:rsid w:val="001F4520"/>
    <w:rsid w:val="001F4A79"/>
    <w:rsid w:val="001F4BF3"/>
    <w:rsid w:val="001F4C6C"/>
    <w:rsid w:val="001F4E40"/>
    <w:rsid w:val="001F57E2"/>
    <w:rsid w:val="001F5CC3"/>
    <w:rsid w:val="001F5DB3"/>
    <w:rsid w:val="001F5F28"/>
    <w:rsid w:val="001F63F8"/>
    <w:rsid w:val="001F6543"/>
    <w:rsid w:val="001F6889"/>
    <w:rsid w:val="001F6E41"/>
    <w:rsid w:val="001F70CF"/>
    <w:rsid w:val="001F7206"/>
    <w:rsid w:val="001F7308"/>
    <w:rsid w:val="001F7461"/>
    <w:rsid w:val="001F7742"/>
    <w:rsid w:val="001F78F1"/>
    <w:rsid w:val="001F7CAF"/>
    <w:rsid w:val="001F7E56"/>
    <w:rsid w:val="001F7F01"/>
    <w:rsid w:val="001F7FE0"/>
    <w:rsid w:val="0020021A"/>
    <w:rsid w:val="002003B0"/>
    <w:rsid w:val="00200654"/>
    <w:rsid w:val="002009DE"/>
    <w:rsid w:val="00200A15"/>
    <w:rsid w:val="0020136C"/>
    <w:rsid w:val="0020142B"/>
    <w:rsid w:val="00201628"/>
    <w:rsid w:val="00201781"/>
    <w:rsid w:val="0020181C"/>
    <w:rsid w:val="0020185F"/>
    <w:rsid w:val="00201A65"/>
    <w:rsid w:val="00201D02"/>
    <w:rsid w:val="00201F00"/>
    <w:rsid w:val="00203303"/>
    <w:rsid w:val="0020334E"/>
    <w:rsid w:val="00203483"/>
    <w:rsid w:val="002037B2"/>
    <w:rsid w:val="00203AAD"/>
    <w:rsid w:val="00203BC0"/>
    <w:rsid w:val="00203FE0"/>
    <w:rsid w:val="00204100"/>
    <w:rsid w:val="00204621"/>
    <w:rsid w:val="00204CE2"/>
    <w:rsid w:val="00205693"/>
    <w:rsid w:val="00205950"/>
    <w:rsid w:val="00205A89"/>
    <w:rsid w:val="00205C0D"/>
    <w:rsid w:val="00205DA5"/>
    <w:rsid w:val="0020650C"/>
    <w:rsid w:val="00206AF2"/>
    <w:rsid w:val="00206F45"/>
    <w:rsid w:val="00207D62"/>
    <w:rsid w:val="00207E25"/>
    <w:rsid w:val="00207F81"/>
    <w:rsid w:val="00210147"/>
    <w:rsid w:val="002105C1"/>
    <w:rsid w:val="0021062E"/>
    <w:rsid w:val="002106A7"/>
    <w:rsid w:val="0021079F"/>
    <w:rsid w:val="00210948"/>
    <w:rsid w:val="002109BE"/>
    <w:rsid w:val="002109C0"/>
    <w:rsid w:val="002109F5"/>
    <w:rsid w:val="00210A98"/>
    <w:rsid w:val="00210C92"/>
    <w:rsid w:val="00211167"/>
    <w:rsid w:val="0021130F"/>
    <w:rsid w:val="002113A3"/>
    <w:rsid w:val="00211A60"/>
    <w:rsid w:val="00212185"/>
    <w:rsid w:val="00212205"/>
    <w:rsid w:val="00212432"/>
    <w:rsid w:val="0021243C"/>
    <w:rsid w:val="00212752"/>
    <w:rsid w:val="00212784"/>
    <w:rsid w:val="00212A87"/>
    <w:rsid w:val="00212AA3"/>
    <w:rsid w:val="00212BFA"/>
    <w:rsid w:val="00212E05"/>
    <w:rsid w:val="00213791"/>
    <w:rsid w:val="002139BD"/>
    <w:rsid w:val="00213A05"/>
    <w:rsid w:val="00214548"/>
    <w:rsid w:val="00214BF3"/>
    <w:rsid w:val="002153E3"/>
    <w:rsid w:val="002153EF"/>
    <w:rsid w:val="00215474"/>
    <w:rsid w:val="002154AB"/>
    <w:rsid w:val="00215514"/>
    <w:rsid w:val="00215716"/>
    <w:rsid w:val="002163E0"/>
    <w:rsid w:val="00216571"/>
    <w:rsid w:val="00216A25"/>
    <w:rsid w:val="00216B10"/>
    <w:rsid w:val="00216BC3"/>
    <w:rsid w:val="00216FEB"/>
    <w:rsid w:val="00216FFE"/>
    <w:rsid w:val="002173DB"/>
    <w:rsid w:val="00217903"/>
    <w:rsid w:val="002179B2"/>
    <w:rsid w:val="00217BE8"/>
    <w:rsid w:val="00217F2A"/>
    <w:rsid w:val="00220093"/>
    <w:rsid w:val="0022065B"/>
    <w:rsid w:val="00220AFD"/>
    <w:rsid w:val="00220BB8"/>
    <w:rsid w:val="002210F4"/>
    <w:rsid w:val="00221615"/>
    <w:rsid w:val="0022162F"/>
    <w:rsid w:val="002216E0"/>
    <w:rsid w:val="0022178D"/>
    <w:rsid w:val="0022179D"/>
    <w:rsid w:val="0022185C"/>
    <w:rsid w:val="002218A2"/>
    <w:rsid w:val="002218A4"/>
    <w:rsid w:val="002219C4"/>
    <w:rsid w:val="00221DB6"/>
    <w:rsid w:val="00221ED8"/>
    <w:rsid w:val="0022223D"/>
    <w:rsid w:val="002227D9"/>
    <w:rsid w:val="00222A7E"/>
    <w:rsid w:val="00222B24"/>
    <w:rsid w:val="00222F82"/>
    <w:rsid w:val="00223142"/>
    <w:rsid w:val="00223956"/>
    <w:rsid w:val="00223AD3"/>
    <w:rsid w:val="00223BA0"/>
    <w:rsid w:val="0022431D"/>
    <w:rsid w:val="002251C6"/>
    <w:rsid w:val="002254D0"/>
    <w:rsid w:val="00225793"/>
    <w:rsid w:val="00225967"/>
    <w:rsid w:val="002259F3"/>
    <w:rsid w:val="00226188"/>
    <w:rsid w:val="002264DD"/>
    <w:rsid w:val="00226C21"/>
    <w:rsid w:val="00226C84"/>
    <w:rsid w:val="002272CF"/>
    <w:rsid w:val="00227320"/>
    <w:rsid w:val="00227424"/>
    <w:rsid w:val="00227549"/>
    <w:rsid w:val="002276C4"/>
    <w:rsid w:val="00230033"/>
    <w:rsid w:val="002300BB"/>
    <w:rsid w:val="002309A7"/>
    <w:rsid w:val="00230CE2"/>
    <w:rsid w:val="002311B8"/>
    <w:rsid w:val="002314D5"/>
    <w:rsid w:val="00231664"/>
    <w:rsid w:val="00231949"/>
    <w:rsid w:val="00231B39"/>
    <w:rsid w:val="00231BFE"/>
    <w:rsid w:val="00231F22"/>
    <w:rsid w:val="00231FBD"/>
    <w:rsid w:val="0023231A"/>
    <w:rsid w:val="002324E8"/>
    <w:rsid w:val="00232763"/>
    <w:rsid w:val="00232A2E"/>
    <w:rsid w:val="00232FA9"/>
    <w:rsid w:val="00233082"/>
    <w:rsid w:val="00233180"/>
    <w:rsid w:val="00233474"/>
    <w:rsid w:val="00233674"/>
    <w:rsid w:val="002336C5"/>
    <w:rsid w:val="002339F0"/>
    <w:rsid w:val="00233D8E"/>
    <w:rsid w:val="00233E42"/>
    <w:rsid w:val="00233E7F"/>
    <w:rsid w:val="00234110"/>
    <w:rsid w:val="00234437"/>
    <w:rsid w:val="002349CF"/>
    <w:rsid w:val="002349ED"/>
    <w:rsid w:val="00234F4A"/>
    <w:rsid w:val="0023538F"/>
    <w:rsid w:val="002355D3"/>
    <w:rsid w:val="002358F8"/>
    <w:rsid w:val="00235AE2"/>
    <w:rsid w:val="00236294"/>
    <w:rsid w:val="002368F6"/>
    <w:rsid w:val="00236F99"/>
    <w:rsid w:val="0023716E"/>
    <w:rsid w:val="0023731C"/>
    <w:rsid w:val="00237681"/>
    <w:rsid w:val="002377C2"/>
    <w:rsid w:val="002378CB"/>
    <w:rsid w:val="00237963"/>
    <w:rsid w:val="00240682"/>
    <w:rsid w:val="002406E0"/>
    <w:rsid w:val="00240D1D"/>
    <w:rsid w:val="0024119A"/>
    <w:rsid w:val="002414B9"/>
    <w:rsid w:val="00241A63"/>
    <w:rsid w:val="00241C3E"/>
    <w:rsid w:val="00241CF4"/>
    <w:rsid w:val="00241E2B"/>
    <w:rsid w:val="00241E82"/>
    <w:rsid w:val="00241FB3"/>
    <w:rsid w:val="00242439"/>
    <w:rsid w:val="00242A5F"/>
    <w:rsid w:val="00242BC3"/>
    <w:rsid w:val="00242C51"/>
    <w:rsid w:val="00242D3A"/>
    <w:rsid w:val="00242D74"/>
    <w:rsid w:val="002434A9"/>
    <w:rsid w:val="00243535"/>
    <w:rsid w:val="0024442A"/>
    <w:rsid w:val="00244709"/>
    <w:rsid w:val="00244AE7"/>
    <w:rsid w:val="002452CA"/>
    <w:rsid w:val="00245571"/>
    <w:rsid w:val="00245DB2"/>
    <w:rsid w:val="00245F5B"/>
    <w:rsid w:val="002469EA"/>
    <w:rsid w:val="00246D63"/>
    <w:rsid w:val="00246DC2"/>
    <w:rsid w:val="0024709B"/>
    <w:rsid w:val="00247638"/>
    <w:rsid w:val="0024776A"/>
    <w:rsid w:val="0024778E"/>
    <w:rsid w:val="0024784E"/>
    <w:rsid w:val="002479A4"/>
    <w:rsid w:val="002479B9"/>
    <w:rsid w:val="00247BCC"/>
    <w:rsid w:val="00247D0F"/>
    <w:rsid w:val="00247F3C"/>
    <w:rsid w:val="002504FE"/>
    <w:rsid w:val="002508E0"/>
    <w:rsid w:val="00250A11"/>
    <w:rsid w:val="00250C9F"/>
    <w:rsid w:val="00251099"/>
    <w:rsid w:val="0025172B"/>
    <w:rsid w:val="00251984"/>
    <w:rsid w:val="00251A60"/>
    <w:rsid w:val="00251CDB"/>
    <w:rsid w:val="00251D1C"/>
    <w:rsid w:val="0025220B"/>
    <w:rsid w:val="002525C6"/>
    <w:rsid w:val="00252662"/>
    <w:rsid w:val="00252696"/>
    <w:rsid w:val="002528F9"/>
    <w:rsid w:val="00252B28"/>
    <w:rsid w:val="00252BAF"/>
    <w:rsid w:val="00252CF7"/>
    <w:rsid w:val="00252D36"/>
    <w:rsid w:val="002530F8"/>
    <w:rsid w:val="0025390E"/>
    <w:rsid w:val="002539B2"/>
    <w:rsid w:val="002539C0"/>
    <w:rsid w:val="00253E19"/>
    <w:rsid w:val="00253F11"/>
    <w:rsid w:val="002542CD"/>
    <w:rsid w:val="00254597"/>
    <w:rsid w:val="00254AD2"/>
    <w:rsid w:val="00254E63"/>
    <w:rsid w:val="0025508A"/>
    <w:rsid w:val="002551C0"/>
    <w:rsid w:val="002551D2"/>
    <w:rsid w:val="002554F4"/>
    <w:rsid w:val="0025560B"/>
    <w:rsid w:val="002557C7"/>
    <w:rsid w:val="00255BC0"/>
    <w:rsid w:val="00256069"/>
    <w:rsid w:val="002562B9"/>
    <w:rsid w:val="00256495"/>
    <w:rsid w:val="002564EE"/>
    <w:rsid w:val="00256E1E"/>
    <w:rsid w:val="00256EE8"/>
    <w:rsid w:val="00257080"/>
    <w:rsid w:val="002577A0"/>
    <w:rsid w:val="00257DF6"/>
    <w:rsid w:val="00257FF2"/>
    <w:rsid w:val="002601E8"/>
    <w:rsid w:val="00260386"/>
    <w:rsid w:val="00260651"/>
    <w:rsid w:val="00260742"/>
    <w:rsid w:val="0026078A"/>
    <w:rsid w:val="002609BB"/>
    <w:rsid w:val="002610F3"/>
    <w:rsid w:val="00261261"/>
    <w:rsid w:val="00261279"/>
    <w:rsid w:val="0026157A"/>
    <w:rsid w:val="0026187B"/>
    <w:rsid w:val="00261B90"/>
    <w:rsid w:val="00261C2C"/>
    <w:rsid w:val="0026201C"/>
    <w:rsid w:val="00262460"/>
    <w:rsid w:val="0026266D"/>
    <w:rsid w:val="0026278D"/>
    <w:rsid w:val="0026289F"/>
    <w:rsid w:val="00262EC5"/>
    <w:rsid w:val="002630DF"/>
    <w:rsid w:val="002637FC"/>
    <w:rsid w:val="00263A57"/>
    <w:rsid w:val="00263DC4"/>
    <w:rsid w:val="00263E15"/>
    <w:rsid w:val="00264679"/>
    <w:rsid w:val="00264A3D"/>
    <w:rsid w:val="00264A5E"/>
    <w:rsid w:val="00264B01"/>
    <w:rsid w:val="00265193"/>
    <w:rsid w:val="00265249"/>
    <w:rsid w:val="002652EE"/>
    <w:rsid w:val="002656F3"/>
    <w:rsid w:val="00265736"/>
    <w:rsid w:val="00265739"/>
    <w:rsid w:val="00265830"/>
    <w:rsid w:val="00265B2D"/>
    <w:rsid w:val="00265B74"/>
    <w:rsid w:val="00265CF4"/>
    <w:rsid w:val="00265D82"/>
    <w:rsid w:val="002660E7"/>
    <w:rsid w:val="0026610C"/>
    <w:rsid w:val="00266436"/>
    <w:rsid w:val="002665F7"/>
    <w:rsid w:val="002665F8"/>
    <w:rsid w:val="00266749"/>
    <w:rsid w:val="00266816"/>
    <w:rsid w:val="00266AE8"/>
    <w:rsid w:val="00266B7D"/>
    <w:rsid w:val="00266CF4"/>
    <w:rsid w:val="00266D0B"/>
    <w:rsid w:val="002674CE"/>
    <w:rsid w:val="0026790D"/>
    <w:rsid w:val="00267B57"/>
    <w:rsid w:val="00267F66"/>
    <w:rsid w:val="0027009D"/>
    <w:rsid w:val="00270562"/>
    <w:rsid w:val="002706AA"/>
    <w:rsid w:val="002708D5"/>
    <w:rsid w:val="00270C7F"/>
    <w:rsid w:val="002711E2"/>
    <w:rsid w:val="00271439"/>
    <w:rsid w:val="002724A5"/>
    <w:rsid w:val="00272916"/>
    <w:rsid w:val="00272C18"/>
    <w:rsid w:val="00272EF5"/>
    <w:rsid w:val="002736CA"/>
    <w:rsid w:val="0027391A"/>
    <w:rsid w:val="00273B49"/>
    <w:rsid w:val="00273C12"/>
    <w:rsid w:val="00273D39"/>
    <w:rsid w:val="00273D64"/>
    <w:rsid w:val="00274014"/>
    <w:rsid w:val="002741B7"/>
    <w:rsid w:val="00274470"/>
    <w:rsid w:val="00274500"/>
    <w:rsid w:val="00274787"/>
    <w:rsid w:val="00274B2C"/>
    <w:rsid w:val="00274E5F"/>
    <w:rsid w:val="00275201"/>
    <w:rsid w:val="0027531C"/>
    <w:rsid w:val="00275977"/>
    <w:rsid w:val="00275D02"/>
    <w:rsid w:val="00275D19"/>
    <w:rsid w:val="002764A8"/>
    <w:rsid w:val="002765B4"/>
    <w:rsid w:val="00276C52"/>
    <w:rsid w:val="00276FA2"/>
    <w:rsid w:val="002770BA"/>
    <w:rsid w:val="00277507"/>
    <w:rsid w:val="002776A7"/>
    <w:rsid w:val="002776F1"/>
    <w:rsid w:val="00277764"/>
    <w:rsid w:val="00277AC3"/>
    <w:rsid w:val="00277B59"/>
    <w:rsid w:val="00277D42"/>
    <w:rsid w:val="00277FE2"/>
    <w:rsid w:val="0028000B"/>
    <w:rsid w:val="00280129"/>
    <w:rsid w:val="002801BE"/>
    <w:rsid w:val="002803D4"/>
    <w:rsid w:val="0028055C"/>
    <w:rsid w:val="00280AFB"/>
    <w:rsid w:val="00280E19"/>
    <w:rsid w:val="00280EE2"/>
    <w:rsid w:val="0028121E"/>
    <w:rsid w:val="002812DE"/>
    <w:rsid w:val="0028150E"/>
    <w:rsid w:val="00281636"/>
    <w:rsid w:val="0028181E"/>
    <w:rsid w:val="00281A9D"/>
    <w:rsid w:val="00281C3B"/>
    <w:rsid w:val="00281D7B"/>
    <w:rsid w:val="0028228D"/>
    <w:rsid w:val="002822F7"/>
    <w:rsid w:val="002829AF"/>
    <w:rsid w:val="00282A0E"/>
    <w:rsid w:val="00282B45"/>
    <w:rsid w:val="0028325B"/>
    <w:rsid w:val="00283527"/>
    <w:rsid w:val="00283599"/>
    <w:rsid w:val="002835EB"/>
    <w:rsid w:val="00283EC1"/>
    <w:rsid w:val="00284188"/>
    <w:rsid w:val="00284219"/>
    <w:rsid w:val="002842B4"/>
    <w:rsid w:val="002846D2"/>
    <w:rsid w:val="00284D48"/>
    <w:rsid w:val="00285259"/>
    <w:rsid w:val="00285296"/>
    <w:rsid w:val="002854A2"/>
    <w:rsid w:val="002859E6"/>
    <w:rsid w:val="00286081"/>
    <w:rsid w:val="00286186"/>
    <w:rsid w:val="002861AF"/>
    <w:rsid w:val="00286A48"/>
    <w:rsid w:val="00286FA6"/>
    <w:rsid w:val="00287165"/>
    <w:rsid w:val="00287236"/>
    <w:rsid w:val="0028723D"/>
    <w:rsid w:val="00287749"/>
    <w:rsid w:val="00287F4C"/>
    <w:rsid w:val="00290547"/>
    <w:rsid w:val="00290623"/>
    <w:rsid w:val="002908C3"/>
    <w:rsid w:val="00290921"/>
    <w:rsid w:val="00290D74"/>
    <w:rsid w:val="002913E1"/>
    <w:rsid w:val="00291D28"/>
    <w:rsid w:val="00291D78"/>
    <w:rsid w:val="00291E7F"/>
    <w:rsid w:val="00291FFE"/>
    <w:rsid w:val="00292187"/>
    <w:rsid w:val="0029230C"/>
    <w:rsid w:val="0029270C"/>
    <w:rsid w:val="00292763"/>
    <w:rsid w:val="00293002"/>
    <w:rsid w:val="0029331F"/>
    <w:rsid w:val="00293377"/>
    <w:rsid w:val="002933D6"/>
    <w:rsid w:val="002933DF"/>
    <w:rsid w:val="002934DC"/>
    <w:rsid w:val="0029355C"/>
    <w:rsid w:val="00293838"/>
    <w:rsid w:val="002938B3"/>
    <w:rsid w:val="00293C73"/>
    <w:rsid w:val="00293E30"/>
    <w:rsid w:val="00294001"/>
    <w:rsid w:val="00294019"/>
    <w:rsid w:val="002946B9"/>
    <w:rsid w:val="00294888"/>
    <w:rsid w:val="002949D6"/>
    <w:rsid w:val="00294B4F"/>
    <w:rsid w:val="00294B9E"/>
    <w:rsid w:val="00295095"/>
    <w:rsid w:val="00295E02"/>
    <w:rsid w:val="00295F5D"/>
    <w:rsid w:val="0029601F"/>
    <w:rsid w:val="00296320"/>
    <w:rsid w:val="00296476"/>
    <w:rsid w:val="00296BB7"/>
    <w:rsid w:val="0029743E"/>
    <w:rsid w:val="002974BF"/>
    <w:rsid w:val="002977F4"/>
    <w:rsid w:val="00297BE8"/>
    <w:rsid w:val="00297C51"/>
    <w:rsid w:val="00297D2B"/>
    <w:rsid w:val="002A0DBF"/>
    <w:rsid w:val="002A11CD"/>
    <w:rsid w:val="002A1607"/>
    <w:rsid w:val="002A1668"/>
    <w:rsid w:val="002A187F"/>
    <w:rsid w:val="002A2116"/>
    <w:rsid w:val="002A285F"/>
    <w:rsid w:val="002A2D70"/>
    <w:rsid w:val="002A343D"/>
    <w:rsid w:val="002A348C"/>
    <w:rsid w:val="002A3624"/>
    <w:rsid w:val="002A3678"/>
    <w:rsid w:val="002A381F"/>
    <w:rsid w:val="002A3DBC"/>
    <w:rsid w:val="002A4297"/>
    <w:rsid w:val="002A462A"/>
    <w:rsid w:val="002A4F06"/>
    <w:rsid w:val="002A536A"/>
    <w:rsid w:val="002A5CFF"/>
    <w:rsid w:val="002A5E7F"/>
    <w:rsid w:val="002A5F7A"/>
    <w:rsid w:val="002A66F5"/>
    <w:rsid w:val="002A6760"/>
    <w:rsid w:val="002A6CAB"/>
    <w:rsid w:val="002A6E34"/>
    <w:rsid w:val="002A71A3"/>
    <w:rsid w:val="002A77DD"/>
    <w:rsid w:val="002A7D24"/>
    <w:rsid w:val="002B02B6"/>
    <w:rsid w:val="002B02C9"/>
    <w:rsid w:val="002B0473"/>
    <w:rsid w:val="002B0504"/>
    <w:rsid w:val="002B055D"/>
    <w:rsid w:val="002B05D4"/>
    <w:rsid w:val="002B0A1C"/>
    <w:rsid w:val="002B0D00"/>
    <w:rsid w:val="002B118B"/>
    <w:rsid w:val="002B122F"/>
    <w:rsid w:val="002B138A"/>
    <w:rsid w:val="002B1646"/>
    <w:rsid w:val="002B1811"/>
    <w:rsid w:val="002B190B"/>
    <w:rsid w:val="002B1E21"/>
    <w:rsid w:val="002B24E1"/>
    <w:rsid w:val="002B2CA1"/>
    <w:rsid w:val="002B2D5E"/>
    <w:rsid w:val="002B316D"/>
    <w:rsid w:val="002B3201"/>
    <w:rsid w:val="002B37DA"/>
    <w:rsid w:val="002B3B31"/>
    <w:rsid w:val="002B400C"/>
    <w:rsid w:val="002B40E3"/>
    <w:rsid w:val="002B422A"/>
    <w:rsid w:val="002B4431"/>
    <w:rsid w:val="002B48C2"/>
    <w:rsid w:val="002B5037"/>
    <w:rsid w:val="002B51F5"/>
    <w:rsid w:val="002B5504"/>
    <w:rsid w:val="002B5A80"/>
    <w:rsid w:val="002B6141"/>
    <w:rsid w:val="002B6B28"/>
    <w:rsid w:val="002C0826"/>
    <w:rsid w:val="002C0985"/>
    <w:rsid w:val="002C0BEF"/>
    <w:rsid w:val="002C0D29"/>
    <w:rsid w:val="002C109F"/>
    <w:rsid w:val="002C157F"/>
    <w:rsid w:val="002C1817"/>
    <w:rsid w:val="002C18AD"/>
    <w:rsid w:val="002C1E64"/>
    <w:rsid w:val="002C201C"/>
    <w:rsid w:val="002C216E"/>
    <w:rsid w:val="002C21B6"/>
    <w:rsid w:val="002C23EF"/>
    <w:rsid w:val="002C27F3"/>
    <w:rsid w:val="002C298C"/>
    <w:rsid w:val="002C29D1"/>
    <w:rsid w:val="002C2B8C"/>
    <w:rsid w:val="002C2BF9"/>
    <w:rsid w:val="002C2C23"/>
    <w:rsid w:val="002C30D0"/>
    <w:rsid w:val="002C3122"/>
    <w:rsid w:val="002C31DD"/>
    <w:rsid w:val="002C340D"/>
    <w:rsid w:val="002C350A"/>
    <w:rsid w:val="002C3F27"/>
    <w:rsid w:val="002C459B"/>
    <w:rsid w:val="002C4A86"/>
    <w:rsid w:val="002C4DA2"/>
    <w:rsid w:val="002C4E4B"/>
    <w:rsid w:val="002C4E50"/>
    <w:rsid w:val="002C4FA3"/>
    <w:rsid w:val="002C5092"/>
    <w:rsid w:val="002C50F7"/>
    <w:rsid w:val="002C5187"/>
    <w:rsid w:val="002C5996"/>
    <w:rsid w:val="002C5F6E"/>
    <w:rsid w:val="002C653C"/>
    <w:rsid w:val="002C66A5"/>
    <w:rsid w:val="002C6A04"/>
    <w:rsid w:val="002C6B51"/>
    <w:rsid w:val="002C6F4F"/>
    <w:rsid w:val="002C6F6E"/>
    <w:rsid w:val="002C7014"/>
    <w:rsid w:val="002C7175"/>
    <w:rsid w:val="002C7621"/>
    <w:rsid w:val="002C7A6E"/>
    <w:rsid w:val="002C7CC1"/>
    <w:rsid w:val="002C7ED6"/>
    <w:rsid w:val="002C7EFD"/>
    <w:rsid w:val="002D029A"/>
    <w:rsid w:val="002D0407"/>
    <w:rsid w:val="002D0480"/>
    <w:rsid w:val="002D0606"/>
    <w:rsid w:val="002D07BD"/>
    <w:rsid w:val="002D0C6C"/>
    <w:rsid w:val="002D0CC9"/>
    <w:rsid w:val="002D0D9F"/>
    <w:rsid w:val="002D0E1C"/>
    <w:rsid w:val="002D10E8"/>
    <w:rsid w:val="002D17C2"/>
    <w:rsid w:val="002D1BA4"/>
    <w:rsid w:val="002D1E69"/>
    <w:rsid w:val="002D211F"/>
    <w:rsid w:val="002D2222"/>
    <w:rsid w:val="002D22FB"/>
    <w:rsid w:val="002D23D5"/>
    <w:rsid w:val="002D26E7"/>
    <w:rsid w:val="002D2918"/>
    <w:rsid w:val="002D2B2C"/>
    <w:rsid w:val="002D30B3"/>
    <w:rsid w:val="002D328A"/>
    <w:rsid w:val="002D3E79"/>
    <w:rsid w:val="002D4087"/>
    <w:rsid w:val="002D40C3"/>
    <w:rsid w:val="002D512D"/>
    <w:rsid w:val="002D550F"/>
    <w:rsid w:val="002D5790"/>
    <w:rsid w:val="002D5A48"/>
    <w:rsid w:val="002D5E76"/>
    <w:rsid w:val="002D5F18"/>
    <w:rsid w:val="002D6296"/>
    <w:rsid w:val="002D659B"/>
    <w:rsid w:val="002D666A"/>
    <w:rsid w:val="002D683A"/>
    <w:rsid w:val="002D69FC"/>
    <w:rsid w:val="002D6B72"/>
    <w:rsid w:val="002D6D39"/>
    <w:rsid w:val="002D6FD7"/>
    <w:rsid w:val="002D72DF"/>
    <w:rsid w:val="002D7306"/>
    <w:rsid w:val="002D748D"/>
    <w:rsid w:val="002D7D04"/>
    <w:rsid w:val="002D7E68"/>
    <w:rsid w:val="002E0082"/>
    <w:rsid w:val="002E058F"/>
    <w:rsid w:val="002E0617"/>
    <w:rsid w:val="002E0925"/>
    <w:rsid w:val="002E09EC"/>
    <w:rsid w:val="002E0D51"/>
    <w:rsid w:val="002E16BA"/>
    <w:rsid w:val="002E1772"/>
    <w:rsid w:val="002E1808"/>
    <w:rsid w:val="002E1DF6"/>
    <w:rsid w:val="002E2818"/>
    <w:rsid w:val="002E300F"/>
    <w:rsid w:val="002E3DAA"/>
    <w:rsid w:val="002E47B9"/>
    <w:rsid w:val="002E495B"/>
    <w:rsid w:val="002E53E0"/>
    <w:rsid w:val="002E5A13"/>
    <w:rsid w:val="002E5C94"/>
    <w:rsid w:val="002E5FED"/>
    <w:rsid w:val="002E615D"/>
    <w:rsid w:val="002E61E6"/>
    <w:rsid w:val="002E67C3"/>
    <w:rsid w:val="002E6851"/>
    <w:rsid w:val="002E6907"/>
    <w:rsid w:val="002E6916"/>
    <w:rsid w:val="002E6B2D"/>
    <w:rsid w:val="002E6CC7"/>
    <w:rsid w:val="002E7220"/>
    <w:rsid w:val="002E7BDC"/>
    <w:rsid w:val="002E7D35"/>
    <w:rsid w:val="002E7DD9"/>
    <w:rsid w:val="002E7E02"/>
    <w:rsid w:val="002F08A7"/>
    <w:rsid w:val="002F0999"/>
    <w:rsid w:val="002F0B40"/>
    <w:rsid w:val="002F0BFE"/>
    <w:rsid w:val="002F1AC3"/>
    <w:rsid w:val="002F1E10"/>
    <w:rsid w:val="002F1E9E"/>
    <w:rsid w:val="002F23EF"/>
    <w:rsid w:val="002F2404"/>
    <w:rsid w:val="002F25E1"/>
    <w:rsid w:val="002F272E"/>
    <w:rsid w:val="002F278B"/>
    <w:rsid w:val="002F2A64"/>
    <w:rsid w:val="002F2B19"/>
    <w:rsid w:val="002F2B88"/>
    <w:rsid w:val="002F2F47"/>
    <w:rsid w:val="002F33C4"/>
    <w:rsid w:val="002F3C17"/>
    <w:rsid w:val="002F3EC7"/>
    <w:rsid w:val="002F4C2F"/>
    <w:rsid w:val="002F4DCA"/>
    <w:rsid w:val="002F4FA7"/>
    <w:rsid w:val="002F5538"/>
    <w:rsid w:val="002F5588"/>
    <w:rsid w:val="002F5772"/>
    <w:rsid w:val="002F5779"/>
    <w:rsid w:val="002F6032"/>
    <w:rsid w:val="002F60D8"/>
    <w:rsid w:val="002F613E"/>
    <w:rsid w:val="002F62F7"/>
    <w:rsid w:val="002F6378"/>
    <w:rsid w:val="002F667D"/>
    <w:rsid w:val="002F669D"/>
    <w:rsid w:val="002F66C8"/>
    <w:rsid w:val="002F6AEE"/>
    <w:rsid w:val="002F6C17"/>
    <w:rsid w:val="002F7366"/>
    <w:rsid w:val="002F7AE1"/>
    <w:rsid w:val="003004AE"/>
    <w:rsid w:val="00300646"/>
    <w:rsid w:val="00300C12"/>
    <w:rsid w:val="00300C27"/>
    <w:rsid w:val="00300D25"/>
    <w:rsid w:val="00300D96"/>
    <w:rsid w:val="00300E6A"/>
    <w:rsid w:val="003013FF"/>
    <w:rsid w:val="00301498"/>
    <w:rsid w:val="00301767"/>
    <w:rsid w:val="00301FF1"/>
    <w:rsid w:val="00302031"/>
    <w:rsid w:val="00302521"/>
    <w:rsid w:val="0030270D"/>
    <w:rsid w:val="00302B9E"/>
    <w:rsid w:val="00302C30"/>
    <w:rsid w:val="00302DEA"/>
    <w:rsid w:val="0030303F"/>
    <w:rsid w:val="00303333"/>
    <w:rsid w:val="00303513"/>
    <w:rsid w:val="00303A4F"/>
    <w:rsid w:val="00303BDC"/>
    <w:rsid w:val="00303DB8"/>
    <w:rsid w:val="0030405E"/>
    <w:rsid w:val="0030452B"/>
    <w:rsid w:val="0030455D"/>
    <w:rsid w:val="00304666"/>
    <w:rsid w:val="00304835"/>
    <w:rsid w:val="0030487D"/>
    <w:rsid w:val="00304B91"/>
    <w:rsid w:val="00304FB8"/>
    <w:rsid w:val="003051DB"/>
    <w:rsid w:val="00305892"/>
    <w:rsid w:val="00305957"/>
    <w:rsid w:val="00305E1F"/>
    <w:rsid w:val="003061CB"/>
    <w:rsid w:val="0030623C"/>
    <w:rsid w:val="00306842"/>
    <w:rsid w:val="00306958"/>
    <w:rsid w:val="00306A87"/>
    <w:rsid w:val="00306B2C"/>
    <w:rsid w:val="0030702F"/>
    <w:rsid w:val="003070F7"/>
    <w:rsid w:val="00307153"/>
    <w:rsid w:val="0030796F"/>
    <w:rsid w:val="00307D41"/>
    <w:rsid w:val="00307D93"/>
    <w:rsid w:val="00310063"/>
    <w:rsid w:val="003100FD"/>
    <w:rsid w:val="0031067F"/>
    <w:rsid w:val="00311013"/>
    <w:rsid w:val="00311152"/>
    <w:rsid w:val="00311186"/>
    <w:rsid w:val="003113C0"/>
    <w:rsid w:val="003116E8"/>
    <w:rsid w:val="003116E9"/>
    <w:rsid w:val="003117B1"/>
    <w:rsid w:val="00311851"/>
    <w:rsid w:val="00311AAA"/>
    <w:rsid w:val="00311E0B"/>
    <w:rsid w:val="003121B8"/>
    <w:rsid w:val="003122E3"/>
    <w:rsid w:val="003125B7"/>
    <w:rsid w:val="003126D8"/>
    <w:rsid w:val="003129FE"/>
    <w:rsid w:val="00312BE0"/>
    <w:rsid w:val="00312E0C"/>
    <w:rsid w:val="00312EC5"/>
    <w:rsid w:val="00312F98"/>
    <w:rsid w:val="00313119"/>
    <w:rsid w:val="003131B9"/>
    <w:rsid w:val="00313341"/>
    <w:rsid w:val="0031341A"/>
    <w:rsid w:val="00313A5F"/>
    <w:rsid w:val="00313C49"/>
    <w:rsid w:val="0031426C"/>
    <w:rsid w:val="0031454E"/>
    <w:rsid w:val="003145E4"/>
    <w:rsid w:val="003149E2"/>
    <w:rsid w:val="00314F8B"/>
    <w:rsid w:val="00315781"/>
    <w:rsid w:val="00315A8A"/>
    <w:rsid w:val="00315B33"/>
    <w:rsid w:val="00315E92"/>
    <w:rsid w:val="003160D7"/>
    <w:rsid w:val="003165F7"/>
    <w:rsid w:val="003166A8"/>
    <w:rsid w:val="00316759"/>
    <w:rsid w:val="003169A3"/>
    <w:rsid w:val="00316D5C"/>
    <w:rsid w:val="00316DDA"/>
    <w:rsid w:val="00316EBC"/>
    <w:rsid w:val="00316F22"/>
    <w:rsid w:val="003172E1"/>
    <w:rsid w:val="00317430"/>
    <w:rsid w:val="00317BA8"/>
    <w:rsid w:val="00317C77"/>
    <w:rsid w:val="00317D3C"/>
    <w:rsid w:val="00317DC6"/>
    <w:rsid w:val="00317F0D"/>
    <w:rsid w:val="00317F2F"/>
    <w:rsid w:val="00317F7C"/>
    <w:rsid w:val="00320102"/>
    <w:rsid w:val="00320651"/>
    <w:rsid w:val="00320923"/>
    <w:rsid w:val="003210FA"/>
    <w:rsid w:val="0032142C"/>
    <w:rsid w:val="00321527"/>
    <w:rsid w:val="00321A47"/>
    <w:rsid w:val="00321DC5"/>
    <w:rsid w:val="00322382"/>
    <w:rsid w:val="003223DA"/>
    <w:rsid w:val="00322433"/>
    <w:rsid w:val="00322462"/>
    <w:rsid w:val="0032263A"/>
    <w:rsid w:val="0032276E"/>
    <w:rsid w:val="003228CB"/>
    <w:rsid w:val="003229EC"/>
    <w:rsid w:val="00322CF5"/>
    <w:rsid w:val="003232D1"/>
    <w:rsid w:val="0032342F"/>
    <w:rsid w:val="00323533"/>
    <w:rsid w:val="00323ECC"/>
    <w:rsid w:val="00324111"/>
    <w:rsid w:val="00324162"/>
    <w:rsid w:val="003243CE"/>
    <w:rsid w:val="0032444A"/>
    <w:rsid w:val="00324582"/>
    <w:rsid w:val="0032466A"/>
    <w:rsid w:val="003248AA"/>
    <w:rsid w:val="00324A87"/>
    <w:rsid w:val="00324C63"/>
    <w:rsid w:val="00324D7D"/>
    <w:rsid w:val="00325292"/>
    <w:rsid w:val="00325395"/>
    <w:rsid w:val="00325576"/>
    <w:rsid w:val="00325B64"/>
    <w:rsid w:val="00325C41"/>
    <w:rsid w:val="00325D3E"/>
    <w:rsid w:val="00325E85"/>
    <w:rsid w:val="00325F83"/>
    <w:rsid w:val="003265F4"/>
    <w:rsid w:val="00327069"/>
    <w:rsid w:val="003272D6"/>
    <w:rsid w:val="00327457"/>
    <w:rsid w:val="00327476"/>
    <w:rsid w:val="003275F1"/>
    <w:rsid w:val="0032774E"/>
    <w:rsid w:val="00327A5F"/>
    <w:rsid w:val="00327F83"/>
    <w:rsid w:val="003302DF"/>
    <w:rsid w:val="00330640"/>
    <w:rsid w:val="00330655"/>
    <w:rsid w:val="003313F2"/>
    <w:rsid w:val="00331524"/>
    <w:rsid w:val="003315AE"/>
    <w:rsid w:val="003316FA"/>
    <w:rsid w:val="00332462"/>
    <w:rsid w:val="00332704"/>
    <w:rsid w:val="00332ADB"/>
    <w:rsid w:val="00332B8F"/>
    <w:rsid w:val="00333841"/>
    <w:rsid w:val="003343DE"/>
    <w:rsid w:val="00335205"/>
    <w:rsid w:val="0033560D"/>
    <w:rsid w:val="00335A5F"/>
    <w:rsid w:val="00335D7A"/>
    <w:rsid w:val="00335F09"/>
    <w:rsid w:val="00336169"/>
    <w:rsid w:val="00336247"/>
    <w:rsid w:val="0033647B"/>
    <w:rsid w:val="003365D7"/>
    <w:rsid w:val="00336992"/>
    <w:rsid w:val="00336EE1"/>
    <w:rsid w:val="003373FA"/>
    <w:rsid w:val="003374A5"/>
    <w:rsid w:val="00337529"/>
    <w:rsid w:val="003378F7"/>
    <w:rsid w:val="003379EB"/>
    <w:rsid w:val="00337F6F"/>
    <w:rsid w:val="00337FB8"/>
    <w:rsid w:val="0034045D"/>
    <w:rsid w:val="003405DF"/>
    <w:rsid w:val="00340733"/>
    <w:rsid w:val="00340911"/>
    <w:rsid w:val="00340F30"/>
    <w:rsid w:val="003413EA"/>
    <w:rsid w:val="003420F2"/>
    <w:rsid w:val="00342590"/>
    <w:rsid w:val="00342A8D"/>
    <w:rsid w:val="00342DCF"/>
    <w:rsid w:val="003434C1"/>
    <w:rsid w:val="00343551"/>
    <w:rsid w:val="00344565"/>
    <w:rsid w:val="0034467A"/>
    <w:rsid w:val="0034474A"/>
    <w:rsid w:val="00344BD2"/>
    <w:rsid w:val="00344E92"/>
    <w:rsid w:val="00344EEA"/>
    <w:rsid w:val="00345043"/>
    <w:rsid w:val="0034510C"/>
    <w:rsid w:val="003454DD"/>
    <w:rsid w:val="00345B3F"/>
    <w:rsid w:val="0034663B"/>
    <w:rsid w:val="00346B3C"/>
    <w:rsid w:val="00346D8F"/>
    <w:rsid w:val="00346F5A"/>
    <w:rsid w:val="00347012"/>
    <w:rsid w:val="003470B4"/>
    <w:rsid w:val="00347BA9"/>
    <w:rsid w:val="00350451"/>
    <w:rsid w:val="00350A71"/>
    <w:rsid w:val="00350D4C"/>
    <w:rsid w:val="00351170"/>
    <w:rsid w:val="0035166B"/>
    <w:rsid w:val="00351C81"/>
    <w:rsid w:val="00352499"/>
    <w:rsid w:val="00352863"/>
    <w:rsid w:val="003528B5"/>
    <w:rsid w:val="00352AD3"/>
    <w:rsid w:val="00352F8E"/>
    <w:rsid w:val="00352FCF"/>
    <w:rsid w:val="003532A6"/>
    <w:rsid w:val="00353318"/>
    <w:rsid w:val="00353909"/>
    <w:rsid w:val="00353ACA"/>
    <w:rsid w:val="00353B7E"/>
    <w:rsid w:val="0035402B"/>
    <w:rsid w:val="00354443"/>
    <w:rsid w:val="00354CD5"/>
    <w:rsid w:val="00354E31"/>
    <w:rsid w:val="00354F11"/>
    <w:rsid w:val="0035500F"/>
    <w:rsid w:val="00355772"/>
    <w:rsid w:val="003559EA"/>
    <w:rsid w:val="00355DB0"/>
    <w:rsid w:val="00355DBF"/>
    <w:rsid w:val="00355F23"/>
    <w:rsid w:val="003561B8"/>
    <w:rsid w:val="00356260"/>
    <w:rsid w:val="0035628B"/>
    <w:rsid w:val="0035666F"/>
    <w:rsid w:val="0035679D"/>
    <w:rsid w:val="00356841"/>
    <w:rsid w:val="00356CE1"/>
    <w:rsid w:val="00356ED7"/>
    <w:rsid w:val="00357114"/>
    <w:rsid w:val="00357588"/>
    <w:rsid w:val="003577A5"/>
    <w:rsid w:val="0036011E"/>
    <w:rsid w:val="00360714"/>
    <w:rsid w:val="00360928"/>
    <w:rsid w:val="00360C33"/>
    <w:rsid w:val="00360DE2"/>
    <w:rsid w:val="00360ECE"/>
    <w:rsid w:val="00361272"/>
    <w:rsid w:val="00361522"/>
    <w:rsid w:val="003617E9"/>
    <w:rsid w:val="00361AAA"/>
    <w:rsid w:val="00361AFB"/>
    <w:rsid w:val="00362333"/>
    <w:rsid w:val="00362373"/>
    <w:rsid w:val="003626EA"/>
    <w:rsid w:val="00362BA1"/>
    <w:rsid w:val="00362F33"/>
    <w:rsid w:val="00363A81"/>
    <w:rsid w:val="00363B34"/>
    <w:rsid w:val="00363B51"/>
    <w:rsid w:val="00363DEE"/>
    <w:rsid w:val="00363EEE"/>
    <w:rsid w:val="00364032"/>
    <w:rsid w:val="00364670"/>
    <w:rsid w:val="00365118"/>
    <w:rsid w:val="0036524A"/>
    <w:rsid w:val="00365F9C"/>
    <w:rsid w:val="00366186"/>
    <w:rsid w:val="00366543"/>
    <w:rsid w:val="0036677B"/>
    <w:rsid w:val="0036688C"/>
    <w:rsid w:val="00366F22"/>
    <w:rsid w:val="00367395"/>
    <w:rsid w:val="0036777E"/>
    <w:rsid w:val="00367990"/>
    <w:rsid w:val="00367DF1"/>
    <w:rsid w:val="003703D6"/>
    <w:rsid w:val="0037040D"/>
    <w:rsid w:val="003708A7"/>
    <w:rsid w:val="0037140F"/>
    <w:rsid w:val="00372100"/>
    <w:rsid w:val="0037223B"/>
    <w:rsid w:val="00372468"/>
    <w:rsid w:val="00372475"/>
    <w:rsid w:val="0037248B"/>
    <w:rsid w:val="00372605"/>
    <w:rsid w:val="003726C1"/>
    <w:rsid w:val="003727F6"/>
    <w:rsid w:val="00372ACF"/>
    <w:rsid w:val="00372DCB"/>
    <w:rsid w:val="00373151"/>
    <w:rsid w:val="00373294"/>
    <w:rsid w:val="003734EE"/>
    <w:rsid w:val="003737C0"/>
    <w:rsid w:val="00373A77"/>
    <w:rsid w:val="00373B0D"/>
    <w:rsid w:val="00373CF0"/>
    <w:rsid w:val="00373E66"/>
    <w:rsid w:val="00373F12"/>
    <w:rsid w:val="00374107"/>
    <w:rsid w:val="00374317"/>
    <w:rsid w:val="003744C9"/>
    <w:rsid w:val="00374655"/>
    <w:rsid w:val="0037521B"/>
    <w:rsid w:val="0037535E"/>
    <w:rsid w:val="00375454"/>
    <w:rsid w:val="003759CE"/>
    <w:rsid w:val="00375AE9"/>
    <w:rsid w:val="00375BB0"/>
    <w:rsid w:val="003762B3"/>
    <w:rsid w:val="003771B4"/>
    <w:rsid w:val="00377379"/>
    <w:rsid w:val="00377460"/>
    <w:rsid w:val="003776B8"/>
    <w:rsid w:val="003778D9"/>
    <w:rsid w:val="0037792D"/>
    <w:rsid w:val="003779C3"/>
    <w:rsid w:val="00377CC6"/>
    <w:rsid w:val="0038031E"/>
    <w:rsid w:val="003805D1"/>
    <w:rsid w:val="00380BC8"/>
    <w:rsid w:val="0038103B"/>
    <w:rsid w:val="0038113C"/>
    <w:rsid w:val="0038139F"/>
    <w:rsid w:val="00381C53"/>
    <w:rsid w:val="00381E75"/>
    <w:rsid w:val="0038217C"/>
    <w:rsid w:val="0038229E"/>
    <w:rsid w:val="00382311"/>
    <w:rsid w:val="00382729"/>
    <w:rsid w:val="00382CE0"/>
    <w:rsid w:val="003832DB"/>
    <w:rsid w:val="0038333B"/>
    <w:rsid w:val="00383999"/>
    <w:rsid w:val="00383AEB"/>
    <w:rsid w:val="00383AF2"/>
    <w:rsid w:val="00383DB0"/>
    <w:rsid w:val="00383FC4"/>
    <w:rsid w:val="00384101"/>
    <w:rsid w:val="003842E0"/>
    <w:rsid w:val="0038464F"/>
    <w:rsid w:val="003846CD"/>
    <w:rsid w:val="00384807"/>
    <w:rsid w:val="003848E8"/>
    <w:rsid w:val="00384A2B"/>
    <w:rsid w:val="00385C0A"/>
    <w:rsid w:val="00385CF6"/>
    <w:rsid w:val="00385D82"/>
    <w:rsid w:val="00385E6F"/>
    <w:rsid w:val="00385FD8"/>
    <w:rsid w:val="00385FFB"/>
    <w:rsid w:val="0038600B"/>
    <w:rsid w:val="003869C6"/>
    <w:rsid w:val="00386BC5"/>
    <w:rsid w:val="00387A85"/>
    <w:rsid w:val="00387B10"/>
    <w:rsid w:val="003900D2"/>
    <w:rsid w:val="0039030A"/>
    <w:rsid w:val="00390493"/>
    <w:rsid w:val="00390575"/>
    <w:rsid w:val="003908B8"/>
    <w:rsid w:val="00390984"/>
    <w:rsid w:val="00390B1B"/>
    <w:rsid w:val="00390DCB"/>
    <w:rsid w:val="00390FEA"/>
    <w:rsid w:val="00391232"/>
    <w:rsid w:val="00391B3B"/>
    <w:rsid w:val="00391D38"/>
    <w:rsid w:val="0039211A"/>
    <w:rsid w:val="0039241B"/>
    <w:rsid w:val="00392713"/>
    <w:rsid w:val="00392948"/>
    <w:rsid w:val="00392B55"/>
    <w:rsid w:val="00392B5A"/>
    <w:rsid w:val="00392C84"/>
    <w:rsid w:val="00392CDD"/>
    <w:rsid w:val="003933A8"/>
    <w:rsid w:val="003934EA"/>
    <w:rsid w:val="00393567"/>
    <w:rsid w:val="0039356D"/>
    <w:rsid w:val="003937A8"/>
    <w:rsid w:val="00393B66"/>
    <w:rsid w:val="00394D69"/>
    <w:rsid w:val="00394E50"/>
    <w:rsid w:val="0039503A"/>
    <w:rsid w:val="00395135"/>
    <w:rsid w:val="003958D7"/>
    <w:rsid w:val="00395CE9"/>
    <w:rsid w:val="00395D64"/>
    <w:rsid w:val="0039604C"/>
    <w:rsid w:val="003960D4"/>
    <w:rsid w:val="003963F2"/>
    <w:rsid w:val="0039680F"/>
    <w:rsid w:val="00396AC0"/>
    <w:rsid w:val="00396AEA"/>
    <w:rsid w:val="00396C09"/>
    <w:rsid w:val="00396C54"/>
    <w:rsid w:val="00396D31"/>
    <w:rsid w:val="00396FB0"/>
    <w:rsid w:val="00397379"/>
    <w:rsid w:val="0039753B"/>
    <w:rsid w:val="00397B76"/>
    <w:rsid w:val="00397CF1"/>
    <w:rsid w:val="003A027F"/>
    <w:rsid w:val="003A03D9"/>
    <w:rsid w:val="003A0415"/>
    <w:rsid w:val="003A0438"/>
    <w:rsid w:val="003A0533"/>
    <w:rsid w:val="003A07D0"/>
    <w:rsid w:val="003A0B63"/>
    <w:rsid w:val="003A0E17"/>
    <w:rsid w:val="003A1352"/>
    <w:rsid w:val="003A14FC"/>
    <w:rsid w:val="003A17E5"/>
    <w:rsid w:val="003A1A21"/>
    <w:rsid w:val="003A1D91"/>
    <w:rsid w:val="003A1FA6"/>
    <w:rsid w:val="003A2331"/>
    <w:rsid w:val="003A23EF"/>
    <w:rsid w:val="003A2877"/>
    <w:rsid w:val="003A2A86"/>
    <w:rsid w:val="003A2B97"/>
    <w:rsid w:val="003A2CBC"/>
    <w:rsid w:val="003A3B71"/>
    <w:rsid w:val="003A4581"/>
    <w:rsid w:val="003A4A96"/>
    <w:rsid w:val="003A4AF3"/>
    <w:rsid w:val="003A4C92"/>
    <w:rsid w:val="003A4EF6"/>
    <w:rsid w:val="003A511F"/>
    <w:rsid w:val="003A52D9"/>
    <w:rsid w:val="003A53FE"/>
    <w:rsid w:val="003A5522"/>
    <w:rsid w:val="003A5902"/>
    <w:rsid w:val="003A5ACB"/>
    <w:rsid w:val="003A5B1C"/>
    <w:rsid w:val="003A5B9E"/>
    <w:rsid w:val="003A5F5A"/>
    <w:rsid w:val="003A5FBA"/>
    <w:rsid w:val="003A61C2"/>
    <w:rsid w:val="003A61C5"/>
    <w:rsid w:val="003A652C"/>
    <w:rsid w:val="003A66C1"/>
    <w:rsid w:val="003A6860"/>
    <w:rsid w:val="003A6A40"/>
    <w:rsid w:val="003A6BAB"/>
    <w:rsid w:val="003A71E6"/>
    <w:rsid w:val="003A74A3"/>
    <w:rsid w:val="003A7CCC"/>
    <w:rsid w:val="003A7CF9"/>
    <w:rsid w:val="003B00C2"/>
    <w:rsid w:val="003B0174"/>
    <w:rsid w:val="003B03E1"/>
    <w:rsid w:val="003B07B3"/>
    <w:rsid w:val="003B0918"/>
    <w:rsid w:val="003B0AEC"/>
    <w:rsid w:val="003B0DD1"/>
    <w:rsid w:val="003B0ED6"/>
    <w:rsid w:val="003B12EF"/>
    <w:rsid w:val="003B14E3"/>
    <w:rsid w:val="003B1698"/>
    <w:rsid w:val="003B1861"/>
    <w:rsid w:val="003B190B"/>
    <w:rsid w:val="003B1C2D"/>
    <w:rsid w:val="003B1C34"/>
    <w:rsid w:val="003B2164"/>
    <w:rsid w:val="003B25E5"/>
    <w:rsid w:val="003B2816"/>
    <w:rsid w:val="003B2901"/>
    <w:rsid w:val="003B2B28"/>
    <w:rsid w:val="003B2D76"/>
    <w:rsid w:val="003B3220"/>
    <w:rsid w:val="003B328D"/>
    <w:rsid w:val="003B39BE"/>
    <w:rsid w:val="003B3A8D"/>
    <w:rsid w:val="003B3C6D"/>
    <w:rsid w:val="003B3E95"/>
    <w:rsid w:val="003B4422"/>
    <w:rsid w:val="003B45AE"/>
    <w:rsid w:val="003B47B1"/>
    <w:rsid w:val="003B48D5"/>
    <w:rsid w:val="003B4A5D"/>
    <w:rsid w:val="003B4A7A"/>
    <w:rsid w:val="003B4B20"/>
    <w:rsid w:val="003B4CDD"/>
    <w:rsid w:val="003B5133"/>
    <w:rsid w:val="003B515D"/>
    <w:rsid w:val="003B59BE"/>
    <w:rsid w:val="003B5B99"/>
    <w:rsid w:val="003B5B9E"/>
    <w:rsid w:val="003B5DC3"/>
    <w:rsid w:val="003B674C"/>
    <w:rsid w:val="003B6A06"/>
    <w:rsid w:val="003B6A60"/>
    <w:rsid w:val="003B6DC7"/>
    <w:rsid w:val="003B6E7F"/>
    <w:rsid w:val="003B6E95"/>
    <w:rsid w:val="003B7723"/>
    <w:rsid w:val="003B7847"/>
    <w:rsid w:val="003B7DC4"/>
    <w:rsid w:val="003B7E2D"/>
    <w:rsid w:val="003C0658"/>
    <w:rsid w:val="003C09DC"/>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F8B"/>
    <w:rsid w:val="003C30C4"/>
    <w:rsid w:val="003C3310"/>
    <w:rsid w:val="003C3333"/>
    <w:rsid w:val="003C353F"/>
    <w:rsid w:val="003C3E6F"/>
    <w:rsid w:val="003C3F4D"/>
    <w:rsid w:val="003C416A"/>
    <w:rsid w:val="003C50E3"/>
    <w:rsid w:val="003C5135"/>
    <w:rsid w:val="003C59B9"/>
    <w:rsid w:val="003C5DA5"/>
    <w:rsid w:val="003C5ED6"/>
    <w:rsid w:val="003C638B"/>
    <w:rsid w:val="003C6549"/>
    <w:rsid w:val="003C665F"/>
    <w:rsid w:val="003C676E"/>
    <w:rsid w:val="003C67EA"/>
    <w:rsid w:val="003C6CC4"/>
    <w:rsid w:val="003C6DB8"/>
    <w:rsid w:val="003C6F30"/>
    <w:rsid w:val="003C73A6"/>
    <w:rsid w:val="003C7779"/>
    <w:rsid w:val="003C7785"/>
    <w:rsid w:val="003C77B4"/>
    <w:rsid w:val="003C790E"/>
    <w:rsid w:val="003C7A26"/>
    <w:rsid w:val="003C7BA2"/>
    <w:rsid w:val="003C7C11"/>
    <w:rsid w:val="003D037A"/>
    <w:rsid w:val="003D03E0"/>
    <w:rsid w:val="003D04E8"/>
    <w:rsid w:val="003D0699"/>
    <w:rsid w:val="003D08B0"/>
    <w:rsid w:val="003D09E1"/>
    <w:rsid w:val="003D0B03"/>
    <w:rsid w:val="003D0BEC"/>
    <w:rsid w:val="003D0F0B"/>
    <w:rsid w:val="003D11A9"/>
    <w:rsid w:val="003D12E0"/>
    <w:rsid w:val="003D12ED"/>
    <w:rsid w:val="003D1F22"/>
    <w:rsid w:val="003D2835"/>
    <w:rsid w:val="003D28F1"/>
    <w:rsid w:val="003D2DA7"/>
    <w:rsid w:val="003D2F5C"/>
    <w:rsid w:val="003D344E"/>
    <w:rsid w:val="003D3A51"/>
    <w:rsid w:val="003D3DCF"/>
    <w:rsid w:val="003D432F"/>
    <w:rsid w:val="003D4411"/>
    <w:rsid w:val="003D4548"/>
    <w:rsid w:val="003D4B83"/>
    <w:rsid w:val="003D5238"/>
    <w:rsid w:val="003D52F8"/>
    <w:rsid w:val="003D5782"/>
    <w:rsid w:val="003D59F4"/>
    <w:rsid w:val="003D5D37"/>
    <w:rsid w:val="003D5D7C"/>
    <w:rsid w:val="003D5E7B"/>
    <w:rsid w:val="003D5F4B"/>
    <w:rsid w:val="003D601A"/>
    <w:rsid w:val="003D6246"/>
    <w:rsid w:val="003D686F"/>
    <w:rsid w:val="003D6A64"/>
    <w:rsid w:val="003D759B"/>
    <w:rsid w:val="003D78A5"/>
    <w:rsid w:val="003D7F6E"/>
    <w:rsid w:val="003E0025"/>
    <w:rsid w:val="003E0337"/>
    <w:rsid w:val="003E033D"/>
    <w:rsid w:val="003E03BB"/>
    <w:rsid w:val="003E03DC"/>
    <w:rsid w:val="003E068B"/>
    <w:rsid w:val="003E07DF"/>
    <w:rsid w:val="003E0BCE"/>
    <w:rsid w:val="003E0D11"/>
    <w:rsid w:val="003E0F89"/>
    <w:rsid w:val="003E11E0"/>
    <w:rsid w:val="003E16C4"/>
    <w:rsid w:val="003E16FC"/>
    <w:rsid w:val="003E1C37"/>
    <w:rsid w:val="003E1D30"/>
    <w:rsid w:val="003E1EBB"/>
    <w:rsid w:val="003E205A"/>
    <w:rsid w:val="003E2C08"/>
    <w:rsid w:val="003E2CB5"/>
    <w:rsid w:val="003E2D84"/>
    <w:rsid w:val="003E341E"/>
    <w:rsid w:val="003E3D6A"/>
    <w:rsid w:val="003E3E72"/>
    <w:rsid w:val="003E416F"/>
    <w:rsid w:val="003E4220"/>
    <w:rsid w:val="003E42C4"/>
    <w:rsid w:val="003E42E8"/>
    <w:rsid w:val="003E44D4"/>
    <w:rsid w:val="003E4AAF"/>
    <w:rsid w:val="003E4D6D"/>
    <w:rsid w:val="003E51C3"/>
    <w:rsid w:val="003E5985"/>
    <w:rsid w:val="003E5CD0"/>
    <w:rsid w:val="003E5ED6"/>
    <w:rsid w:val="003E6044"/>
    <w:rsid w:val="003E6120"/>
    <w:rsid w:val="003E66BC"/>
    <w:rsid w:val="003E6725"/>
    <w:rsid w:val="003E6FCE"/>
    <w:rsid w:val="003E7143"/>
    <w:rsid w:val="003E72F7"/>
    <w:rsid w:val="003E7569"/>
    <w:rsid w:val="003E7693"/>
    <w:rsid w:val="003E76D9"/>
    <w:rsid w:val="003E771A"/>
    <w:rsid w:val="003E77BC"/>
    <w:rsid w:val="003E7A02"/>
    <w:rsid w:val="003E7BF6"/>
    <w:rsid w:val="003E7C51"/>
    <w:rsid w:val="003E7E1D"/>
    <w:rsid w:val="003E7FDA"/>
    <w:rsid w:val="003F06E0"/>
    <w:rsid w:val="003F0722"/>
    <w:rsid w:val="003F0957"/>
    <w:rsid w:val="003F0B64"/>
    <w:rsid w:val="003F0B80"/>
    <w:rsid w:val="003F0C86"/>
    <w:rsid w:val="003F12BD"/>
    <w:rsid w:val="003F1341"/>
    <w:rsid w:val="003F1352"/>
    <w:rsid w:val="003F1CB2"/>
    <w:rsid w:val="003F1F70"/>
    <w:rsid w:val="003F20FD"/>
    <w:rsid w:val="003F2580"/>
    <w:rsid w:val="003F2787"/>
    <w:rsid w:val="003F2FB9"/>
    <w:rsid w:val="003F3257"/>
    <w:rsid w:val="003F32F0"/>
    <w:rsid w:val="003F33B9"/>
    <w:rsid w:val="003F34B5"/>
    <w:rsid w:val="003F34B7"/>
    <w:rsid w:val="003F365C"/>
    <w:rsid w:val="003F36DA"/>
    <w:rsid w:val="003F36E5"/>
    <w:rsid w:val="003F38DE"/>
    <w:rsid w:val="003F4ABF"/>
    <w:rsid w:val="003F4C65"/>
    <w:rsid w:val="003F4FD5"/>
    <w:rsid w:val="003F514D"/>
    <w:rsid w:val="003F5839"/>
    <w:rsid w:val="003F6175"/>
    <w:rsid w:val="003F66E5"/>
    <w:rsid w:val="003F66EB"/>
    <w:rsid w:val="003F6B2B"/>
    <w:rsid w:val="003F6CAC"/>
    <w:rsid w:val="003F702F"/>
    <w:rsid w:val="003F7347"/>
    <w:rsid w:val="003F76B0"/>
    <w:rsid w:val="003F76CB"/>
    <w:rsid w:val="003F7A55"/>
    <w:rsid w:val="003F7F61"/>
    <w:rsid w:val="0040000D"/>
    <w:rsid w:val="004000A1"/>
    <w:rsid w:val="004001FF"/>
    <w:rsid w:val="00400482"/>
    <w:rsid w:val="00400522"/>
    <w:rsid w:val="0040066B"/>
    <w:rsid w:val="004007A7"/>
    <w:rsid w:val="0040097D"/>
    <w:rsid w:val="00400A7F"/>
    <w:rsid w:val="00400CB6"/>
    <w:rsid w:val="00400DA4"/>
    <w:rsid w:val="00400EF8"/>
    <w:rsid w:val="0040107A"/>
    <w:rsid w:val="0040120C"/>
    <w:rsid w:val="004012B4"/>
    <w:rsid w:val="004014FF"/>
    <w:rsid w:val="00401798"/>
    <w:rsid w:val="004017C0"/>
    <w:rsid w:val="00401EA7"/>
    <w:rsid w:val="00402139"/>
    <w:rsid w:val="00402601"/>
    <w:rsid w:val="004026C5"/>
    <w:rsid w:val="004026D3"/>
    <w:rsid w:val="00402AC5"/>
    <w:rsid w:val="00402F9C"/>
    <w:rsid w:val="00403014"/>
    <w:rsid w:val="004036D0"/>
    <w:rsid w:val="00403D99"/>
    <w:rsid w:val="00404061"/>
    <w:rsid w:val="00404518"/>
    <w:rsid w:val="00404845"/>
    <w:rsid w:val="00404DFC"/>
    <w:rsid w:val="0040524C"/>
    <w:rsid w:val="00405258"/>
    <w:rsid w:val="0040563A"/>
    <w:rsid w:val="00405B50"/>
    <w:rsid w:val="00406144"/>
    <w:rsid w:val="004064FF"/>
    <w:rsid w:val="0040666D"/>
    <w:rsid w:val="00406786"/>
    <w:rsid w:val="004069E6"/>
    <w:rsid w:val="00406A98"/>
    <w:rsid w:val="00406B87"/>
    <w:rsid w:val="00406D3F"/>
    <w:rsid w:val="004078AB"/>
    <w:rsid w:val="00410263"/>
    <w:rsid w:val="0041038D"/>
    <w:rsid w:val="004103CB"/>
    <w:rsid w:val="004104FC"/>
    <w:rsid w:val="0041050B"/>
    <w:rsid w:val="00410B6B"/>
    <w:rsid w:val="00410FAC"/>
    <w:rsid w:val="0041107F"/>
    <w:rsid w:val="004111D3"/>
    <w:rsid w:val="004111F9"/>
    <w:rsid w:val="00411B3B"/>
    <w:rsid w:val="00411D7C"/>
    <w:rsid w:val="00412219"/>
    <w:rsid w:val="004122A9"/>
    <w:rsid w:val="00412319"/>
    <w:rsid w:val="00412476"/>
    <w:rsid w:val="00412B19"/>
    <w:rsid w:val="00413183"/>
    <w:rsid w:val="00413712"/>
    <w:rsid w:val="004137CB"/>
    <w:rsid w:val="004138D7"/>
    <w:rsid w:val="00413AD3"/>
    <w:rsid w:val="00413FEB"/>
    <w:rsid w:val="00414162"/>
    <w:rsid w:val="00414E7B"/>
    <w:rsid w:val="00414EF6"/>
    <w:rsid w:val="00414F4F"/>
    <w:rsid w:val="0041536F"/>
    <w:rsid w:val="00415634"/>
    <w:rsid w:val="00415E52"/>
    <w:rsid w:val="00415F9B"/>
    <w:rsid w:val="004160BD"/>
    <w:rsid w:val="004164B9"/>
    <w:rsid w:val="0041657E"/>
    <w:rsid w:val="004167FC"/>
    <w:rsid w:val="0041713E"/>
    <w:rsid w:val="004172E9"/>
    <w:rsid w:val="004174CF"/>
    <w:rsid w:val="00417924"/>
    <w:rsid w:val="00417E5C"/>
    <w:rsid w:val="00417FC4"/>
    <w:rsid w:val="00417FD4"/>
    <w:rsid w:val="00420025"/>
    <w:rsid w:val="0042080C"/>
    <w:rsid w:val="0042086B"/>
    <w:rsid w:val="00420B88"/>
    <w:rsid w:val="0042110A"/>
    <w:rsid w:val="0042127C"/>
    <w:rsid w:val="004212BF"/>
    <w:rsid w:val="00421756"/>
    <w:rsid w:val="004218EF"/>
    <w:rsid w:val="0042195B"/>
    <w:rsid w:val="00422054"/>
    <w:rsid w:val="0042217D"/>
    <w:rsid w:val="004221DA"/>
    <w:rsid w:val="00422304"/>
    <w:rsid w:val="00422EED"/>
    <w:rsid w:val="0042316A"/>
    <w:rsid w:val="00423230"/>
    <w:rsid w:val="0042382F"/>
    <w:rsid w:val="0042386C"/>
    <w:rsid w:val="00423B28"/>
    <w:rsid w:val="00423C94"/>
    <w:rsid w:val="00423DF5"/>
    <w:rsid w:val="00424007"/>
    <w:rsid w:val="00424156"/>
    <w:rsid w:val="00424499"/>
    <w:rsid w:val="0042467C"/>
    <w:rsid w:val="00424834"/>
    <w:rsid w:val="004249F9"/>
    <w:rsid w:val="00425331"/>
    <w:rsid w:val="0042564B"/>
    <w:rsid w:val="00425770"/>
    <w:rsid w:val="00425818"/>
    <w:rsid w:val="004258A8"/>
    <w:rsid w:val="004258D7"/>
    <w:rsid w:val="00425BBC"/>
    <w:rsid w:val="00425E07"/>
    <w:rsid w:val="00426200"/>
    <w:rsid w:val="00426469"/>
    <w:rsid w:val="0042664D"/>
    <w:rsid w:val="00426752"/>
    <w:rsid w:val="00426B0A"/>
    <w:rsid w:val="00426BD3"/>
    <w:rsid w:val="0042712E"/>
    <w:rsid w:val="00427411"/>
    <w:rsid w:val="00427696"/>
    <w:rsid w:val="00427794"/>
    <w:rsid w:val="004277EE"/>
    <w:rsid w:val="00427EDA"/>
    <w:rsid w:val="00430348"/>
    <w:rsid w:val="004303C7"/>
    <w:rsid w:val="004307AD"/>
    <w:rsid w:val="0043092A"/>
    <w:rsid w:val="00430F07"/>
    <w:rsid w:val="00430F78"/>
    <w:rsid w:val="004311A0"/>
    <w:rsid w:val="0043189E"/>
    <w:rsid w:val="00431C28"/>
    <w:rsid w:val="00431D3B"/>
    <w:rsid w:val="00431E56"/>
    <w:rsid w:val="00432356"/>
    <w:rsid w:val="00432379"/>
    <w:rsid w:val="0043254A"/>
    <w:rsid w:val="00432984"/>
    <w:rsid w:val="00432A08"/>
    <w:rsid w:val="004332F6"/>
    <w:rsid w:val="00433365"/>
    <w:rsid w:val="0043382A"/>
    <w:rsid w:val="00433D8F"/>
    <w:rsid w:val="00433F60"/>
    <w:rsid w:val="00434102"/>
    <w:rsid w:val="0043434C"/>
    <w:rsid w:val="00434613"/>
    <w:rsid w:val="00434A24"/>
    <w:rsid w:val="004358C4"/>
    <w:rsid w:val="00435C49"/>
    <w:rsid w:val="00436349"/>
    <w:rsid w:val="00436463"/>
    <w:rsid w:val="004365E3"/>
    <w:rsid w:val="004368C3"/>
    <w:rsid w:val="00436CA9"/>
    <w:rsid w:val="004374ED"/>
    <w:rsid w:val="004376B2"/>
    <w:rsid w:val="004407D5"/>
    <w:rsid w:val="00441BF2"/>
    <w:rsid w:val="00441ED1"/>
    <w:rsid w:val="004423F8"/>
    <w:rsid w:val="004432D2"/>
    <w:rsid w:val="004438E3"/>
    <w:rsid w:val="0044392D"/>
    <w:rsid w:val="00443E58"/>
    <w:rsid w:val="004442E2"/>
    <w:rsid w:val="0044465C"/>
    <w:rsid w:val="004448B3"/>
    <w:rsid w:val="004448CD"/>
    <w:rsid w:val="00444921"/>
    <w:rsid w:val="00444A34"/>
    <w:rsid w:val="00444F31"/>
    <w:rsid w:val="004453FD"/>
    <w:rsid w:val="00445895"/>
    <w:rsid w:val="00445AA5"/>
    <w:rsid w:val="00445D0B"/>
    <w:rsid w:val="00445D50"/>
    <w:rsid w:val="00445E4D"/>
    <w:rsid w:val="00446060"/>
    <w:rsid w:val="004461E9"/>
    <w:rsid w:val="0044643B"/>
    <w:rsid w:val="00446938"/>
    <w:rsid w:val="00446CCE"/>
    <w:rsid w:val="004470B1"/>
    <w:rsid w:val="00447AE9"/>
    <w:rsid w:val="00447D2B"/>
    <w:rsid w:val="0045003B"/>
    <w:rsid w:val="004500FC"/>
    <w:rsid w:val="00450791"/>
    <w:rsid w:val="00450A34"/>
    <w:rsid w:val="00450F11"/>
    <w:rsid w:val="004513CB"/>
    <w:rsid w:val="00451601"/>
    <w:rsid w:val="0045180E"/>
    <w:rsid w:val="00451B7A"/>
    <w:rsid w:val="00452218"/>
    <w:rsid w:val="00452413"/>
    <w:rsid w:val="0045257F"/>
    <w:rsid w:val="00452A10"/>
    <w:rsid w:val="00452DF6"/>
    <w:rsid w:val="00452F82"/>
    <w:rsid w:val="00453007"/>
    <w:rsid w:val="004530CD"/>
    <w:rsid w:val="0045374D"/>
    <w:rsid w:val="00454145"/>
    <w:rsid w:val="004541C4"/>
    <w:rsid w:val="00454553"/>
    <w:rsid w:val="00454974"/>
    <w:rsid w:val="00454D13"/>
    <w:rsid w:val="00454E4D"/>
    <w:rsid w:val="00454ECC"/>
    <w:rsid w:val="00454F56"/>
    <w:rsid w:val="00455189"/>
    <w:rsid w:val="0045530E"/>
    <w:rsid w:val="00455477"/>
    <w:rsid w:val="00455569"/>
    <w:rsid w:val="00455B50"/>
    <w:rsid w:val="00455E7A"/>
    <w:rsid w:val="00455F14"/>
    <w:rsid w:val="00456935"/>
    <w:rsid w:val="00456FA7"/>
    <w:rsid w:val="004576D0"/>
    <w:rsid w:val="0045790C"/>
    <w:rsid w:val="00457ECB"/>
    <w:rsid w:val="00460237"/>
    <w:rsid w:val="00460492"/>
    <w:rsid w:val="00460543"/>
    <w:rsid w:val="0046067F"/>
    <w:rsid w:val="004607AA"/>
    <w:rsid w:val="004608FB"/>
    <w:rsid w:val="004609D1"/>
    <w:rsid w:val="00460B56"/>
    <w:rsid w:val="00460CE1"/>
    <w:rsid w:val="00460E72"/>
    <w:rsid w:val="00460FC2"/>
    <w:rsid w:val="004610D8"/>
    <w:rsid w:val="004616A1"/>
    <w:rsid w:val="00461A02"/>
    <w:rsid w:val="004624E2"/>
    <w:rsid w:val="00462755"/>
    <w:rsid w:val="00463182"/>
    <w:rsid w:val="004633BA"/>
    <w:rsid w:val="00463924"/>
    <w:rsid w:val="00463B47"/>
    <w:rsid w:val="00463E6A"/>
    <w:rsid w:val="0046437C"/>
    <w:rsid w:val="0046438A"/>
    <w:rsid w:val="00464B4B"/>
    <w:rsid w:val="00464C76"/>
    <w:rsid w:val="00464E2B"/>
    <w:rsid w:val="00464F08"/>
    <w:rsid w:val="0046500C"/>
    <w:rsid w:val="00465154"/>
    <w:rsid w:val="004653F2"/>
    <w:rsid w:val="0046547C"/>
    <w:rsid w:val="00465ADF"/>
    <w:rsid w:val="00465BAD"/>
    <w:rsid w:val="00465BE6"/>
    <w:rsid w:val="00465F7C"/>
    <w:rsid w:val="004660EF"/>
    <w:rsid w:val="00466281"/>
    <w:rsid w:val="004665C7"/>
    <w:rsid w:val="00466B0F"/>
    <w:rsid w:val="00466C67"/>
    <w:rsid w:val="00466D70"/>
    <w:rsid w:val="00467148"/>
    <w:rsid w:val="0046783F"/>
    <w:rsid w:val="00467B6B"/>
    <w:rsid w:val="00467E17"/>
    <w:rsid w:val="00467EAF"/>
    <w:rsid w:val="004702E7"/>
    <w:rsid w:val="004704CF"/>
    <w:rsid w:val="00470811"/>
    <w:rsid w:val="00470EB5"/>
    <w:rsid w:val="004711B2"/>
    <w:rsid w:val="004713AB"/>
    <w:rsid w:val="004716E4"/>
    <w:rsid w:val="00471D0C"/>
    <w:rsid w:val="00471D78"/>
    <w:rsid w:val="00471F27"/>
    <w:rsid w:val="0047263B"/>
    <w:rsid w:val="0047279A"/>
    <w:rsid w:val="00472C25"/>
    <w:rsid w:val="00473070"/>
    <w:rsid w:val="00473071"/>
    <w:rsid w:val="0047336E"/>
    <w:rsid w:val="004737B7"/>
    <w:rsid w:val="00473B72"/>
    <w:rsid w:val="00473C85"/>
    <w:rsid w:val="004740CB"/>
    <w:rsid w:val="004742BB"/>
    <w:rsid w:val="00474E06"/>
    <w:rsid w:val="00474F7B"/>
    <w:rsid w:val="0047501D"/>
    <w:rsid w:val="0047595C"/>
    <w:rsid w:val="004759D3"/>
    <w:rsid w:val="00475BA4"/>
    <w:rsid w:val="00475C23"/>
    <w:rsid w:val="00475E0D"/>
    <w:rsid w:val="00475EB2"/>
    <w:rsid w:val="0047607E"/>
    <w:rsid w:val="0047610F"/>
    <w:rsid w:val="004764C7"/>
    <w:rsid w:val="0047671B"/>
    <w:rsid w:val="00476CE7"/>
    <w:rsid w:val="00476FB5"/>
    <w:rsid w:val="00477238"/>
    <w:rsid w:val="00477411"/>
    <w:rsid w:val="0047758F"/>
    <w:rsid w:val="004776F8"/>
    <w:rsid w:val="00477CDE"/>
    <w:rsid w:val="00477DB5"/>
    <w:rsid w:val="0048007C"/>
    <w:rsid w:val="004808BF"/>
    <w:rsid w:val="00481265"/>
    <w:rsid w:val="004813CF"/>
    <w:rsid w:val="004814B2"/>
    <w:rsid w:val="004814ED"/>
    <w:rsid w:val="004815B4"/>
    <w:rsid w:val="0048167D"/>
    <w:rsid w:val="0048193C"/>
    <w:rsid w:val="00481A37"/>
    <w:rsid w:val="00481BD0"/>
    <w:rsid w:val="00481C9A"/>
    <w:rsid w:val="00481FE7"/>
    <w:rsid w:val="004825F3"/>
    <w:rsid w:val="00482625"/>
    <w:rsid w:val="004828B1"/>
    <w:rsid w:val="004831CF"/>
    <w:rsid w:val="004834C6"/>
    <w:rsid w:val="0048363E"/>
    <w:rsid w:val="00483A53"/>
    <w:rsid w:val="00483DB0"/>
    <w:rsid w:val="00484034"/>
    <w:rsid w:val="0048489A"/>
    <w:rsid w:val="00484B01"/>
    <w:rsid w:val="00484E3C"/>
    <w:rsid w:val="00484FD1"/>
    <w:rsid w:val="00485273"/>
    <w:rsid w:val="00485605"/>
    <w:rsid w:val="0048564B"/>
    <w:rsid w:val="00485788"/>
    <w:rsid w:val="004857A2"/>
    <w:rsid w:val="00485A0A"/>
    <w:rsid w:val="00485A92"/>
    <w:rsid w:val="00485CEE"/>
    <w:rsid w:val="00485E28"/>
    <w:rsid w:val="004866EA"/>
    <w:rsid w:val="0048677C"/>
    <w:rsid w:val="00486CED"/>
    <w:rsid w:val="00487259"/>
    <w:rsid w:val="0048741B"/>
    <w:rsid w:val="004875A8"/>
    <w:rsid w:val="0048760A"/>
    <w:rsid w:val="00487626"/>
    <w:rsid w:val="004876CE"/>
    <w:rsid w:val="004876EC"/>
    <w:rsid w:val="004905CE"/>
    <w:rsid w:val="004908A4"/>
    <w:rsid w:val="00490961"/>
    <w:rsid w:val="00490BB0"/>
    <w:rsid w:val="00491215"/>
    <w:rsid w:val="0049121D"/>
    <w:rsid w:val="00491373"/>
    <w:rsid w:val="00491599"/>
    <w:rsid w:val="0049182C"/>
    <w:rsid w:val="004927A8"/>
    <w:rsid w:val="004929BD"/>
    <w:rsid w:val="00493588"/>
    <w:rsid w:val="00493707"/>
    <w:rsid w:val="004939B6"/>
    <w:rsid w:val="00493C16"/>
    <w:rsid w:val="0049408C"/>
    <w:rsid w:val="004943C1"/>
    <w:rsid w:val="0049455C"/>
    <w:rsid w:val="00494788"/>
    <w:rsid w:val="00494A5F"/>
    <w:rsid w:val="00494E3A"/>
    <w:rsid w:val="004957D9"/>
    <w:rsid w:val="0049580B"/>
    <w:rsid w:val="00495C16"/>
    <w:rsid w:val="00495F2D"/>
    <w:rsid w:val="004964B5"/>
    <w:rsid w:val="004967A0"/>
    <w:rsid w:val="00496CB3"/>
    <w:rsid w:val="004970FC"/>
    <w:rsid w:val="0049778F"/>
    <w:rsid w:val="004978BE"/>
    <w:rsid w:val="004978DD"/>
    <w:rsid w:val="004979D2"/>
    <w:rsid w:val="00497B99"/>
    <w:rsid w:val="00497C8B"/>
    <w:rsid w:val="00497CCD"/>
    <w:rsid w:val="004A0129"/>
    <w:rsid w:val="004A0166"/>
    <w:rsid w:val="004A025D"/>
    <w:rsid w:val="004A068D"/>
    <w:rsid w:val="004A0937"/>
    <w:rsid w:val="004A0C18"/>
    <w:rsid w:val="004A0D9B"/>
    <w:rsid w:val="004A0F65"/>
    <w:rsid w:val="004A11A2"/>
    <w:rsid w:val="004A157E"/>
    <w:rsid w:val="004A1BEA"/>
    <w:rsid w:val="004A1FF2"/>
    <w:rsid w:val="004A21C2"/>
    <w:rsid w:val="004A2207"/>
    <w:rsid w:val="004A29F9"/>
    <w:rsid w:val="004A2F5A"/>
    <w:rsid w:val="004A2F7D"/>
    <w:rsid w:val="004A2FC6"/>
    <w:rsid w:val="004A352E"/>
    <w:rsid w:val="004A42CA"/>
    <w:rsid w:val="004A4D8C"/>
    <w:rsid w:val="004A4F4B"/>
    <w:rsid w:val="004A518A"/>
    <w:rsid w:val="004A52D2"/>
    <w:rsid w:val="004A5774"/>
    <w:rsid w:val="004A609B"/>
    <w:rsid w:val="004A649E"/>
    <w:rsid w:val="004A64FB"/>
    <w:rsid w:val="004A6A0E"/>
    <w:rsid w:val="004A6C08"/>
    <w:rsid w:val="004A6C93"/>
    <w:rsid w:val="004A6F86"/>
    <w:rsid w:val="004A700F"/>
    <w:rsid w:val="004A713C"/>
    <w:rsid w:val="004A7167"/>
    <w:rsid w:val="004A7554"/>
    <w:rsid w:val="004A7602"/>
    <w:rsid w:val="004A77A9"/>
    <w:rsid w:val="004A7CC8"/>
    <w:rsid w:val="004A7DFF"/>
    <w:rsid w:val="004B0075"/>
    <w:rsid w:val="004B00C0"/>
    <w:rsid w:val="004B03FB"/>
    <w:rsid w:val="004B0866"/>
    <w:rsid w:val="004B14B0"/>
    <w:rsid w:val="004B15F3"/>
    <w:rsid w:val="004B18B5"/>
    <w:rsid w:val="004B1960"/>
    <w:rsid w:val="004B1F75"/>
    <w:rsid w:val="004B2194"/>
    <w:rsid w:val="004B22C0"/>
    <w:rsid w:val="004B22CE"/>
    <w:rsid w:val="004B2379"/>
    <w:rsid w:val="004B23A8"/>
    <w:rsid w:val="004B243D"/>
    <w:rsid w:val="004B2642"/>
    <w:rsid w:val="004B2AAA"/>
    <w:rsid w:val="004B2AD9"/>
    <w:rsid w:val="004B2D10"/>
    <w:rsid w:val="004B2D49"/>
    <w:rsid w:val="004B2E03"/>
    <w:rsid w:val="004B34B5"/>
    <w:rsid w:val="004B362B"/>
    <w:rsid w:val="004B3784"/>
    <w:rsid w:val="004B3994"/>
    <w:rsid w:val="004B3FA5"/>
    <w:rsid w:val="004B43BF"/>
    <w:rsid w:val="004B4551"/>
    <w:rsid w:val="004B499C"/>
    <w:rsid w:val="004B4C2B"/>
    <w:rsid w:val="004B4C6D"/>
    <w:rsid w:val="004B56DF"/>
    <w:rsid w:val="004B58F3"/>
    <w:rsid w:val="004B5A00"/>
    <w:rsid w:val="004B5C55"/>
    <w:rsid w:val="004B612E"/>
    <w:rsid w:val="004B6130"/>
    <w:rsid w:val="004B6313"/>
    <w:rsid w:val="004B697B"/>
    <w:rsid w:val="004B6A83"/>
    <w:rsid w:val="004B6F89"/>
    <w:rsid w:val="004B74BC"/>
    <w:rsid w:val="004B75E0"/>
    <w:rsid w:val="004B76CD"/>
    <w:rsid w:val="004B776E"/>
    <w:rsid w:val="004B79FE"/>
    <w:rsid w:val="004B7F62"/>
    <w:rsid w:val="004C0416"/>
    <w:rsid w:val="004C04D3"/>
    <w:rsid w:val="004C0702"/>
    <w:rsid w:val="004C099E"/>
    <w:rsid w:val="004C0BC5"/>
    <w:rsid w:val="004C12AE"/>
    <w:rsid w:val="004C1410"/>
    <w:rsid w:val="004C1494"/>
    <w:rsid w:val="004C1849"/>
    <w:rsid w:val="004C1E6C"/>
    <w:rsid w:val="004C1FE6"/>
    <w:rsid w:val="004C203B"/>
    <w:rsid w:val="004C22C1"/>
    <w:rsid w:val="004C257D"/>
    <w:rsid w:val="004C2D71"/>
    <w:rsid w:val="004C3033"/>
    <w:rsid w:val="004C30D8"/>
    <w:rsid w:val="004C30F8"/>
    <w:rsid w:val="004C356F"/>
    <w:rsid w:val="004C3C2D"/>
    <w:rsid w:val="004C3C8E"/>
    <w:rsid w:val="004C3D0C"/>
    <w:rsid w:val="004C3D69"/>
    <w:rsid w:val="004C4442"/>
    <w:rsid w:val="004C497C"/>
    <w:rsid w:val="004C4BC1"/>
    <w:rsid w:val="004C4F28"/>
    <w:rsid w:val="004C563A"/>
    <w:rsid w:val="004C5FDC"/>
    <w:rsid w:val="004C61AE"/>
    <w:rsid w:val="004C6275"/>
    <w:rsid w:val="004C6347"/>
    <w:rsid w:val="004C63DF"/>
    <w:rsid w:val="004C6578"/>
    <w:rsid w:val="004C68F7"/>
    <w:rsid w:val="004C6D17"/>
    <w:rsid w:val="004C6EBA"/>
    <w:rsid w:val="004C7955"/>
    <w:rsid w:val="004D057C"/>
    <w:rsid w:val="004D0801"/>
    <w:rsid w:val="004D0CC3"/>
    <w:rsid w:val="004D1474"/>
    <w:rsid w:val="004D1589"/>
    <w:rsid w:val="004D207B"/>
    <w:rsid w:val="004D20D3"/>
    <w:rsid w:val="004D23C2"/>
    <w:rsid w:val="004D2803"/>
    <w:rsid w:val="004D2D53"/>
    <w:rsid w:val="004D3195"/>
    <w:rsid w:val="004D32AD"/>
    <w:rsid w:val="004D3A79"/>
    <w:rsid w:val="004D3E95"/>
    <w:rsid w:val="004D3ECD"/>
    <w:rsid w:val="004D43BF"/>
    <w:rsid w:val="004D4685"/>
    <w:rsid w:val="004D4A7D"/>
    <w:rsid w:val="004D51DF"/>
    <w:rsid w:val="004D52AE"/>
    <w:rsid w:val="004D52EC"/>
    <w:rsid w:val="004D5483"/>
    <w:rsid w:val="004D5569"/>
    <w:rsid w:val="004D568D"/>
    <w:rsid w:val="004D5821"/>
    <w:rsid w:val="004D5CC2"/>
    <w:rsid w:val="004D5E3F"/>
    <w:rsid w:val="004D5E43"/>
    <w:rsid w:val="004D5F02"/>
    <w:rsid w:val="004D6247"/>
    <w:rsid w:val="004D6353"/>
    <w:rsid w:val="004D638A"/>
    <w:rsid w:val="004D6682"/>
    <w:rsid w:val="004D7005"/>
    <w:rsid w:val="004D7462"/>
    <w:rsid w:val="004D765B"/>
    <w:rsid w:val="004D7677"/>
    <w:rsid w:val="004D7809"/>
    <w:rsid w:val="004D7A46"/>
    <w:rsid w:val="004D7F5E"/>
    <w:rsid w:val="004E02DE"/>
    <w:rsid w:val="004E0640"/>
    <w:rsid w:val="004E0772"/>
    <w:rsid w:val="004E143B"/>
    <w:rsid w:val="004E161A"/>
    <w:rsid w:val="004E1A76"/>
    <w:rsid w:val="004E1D8B"/>
    <w:rsid w:val="004E1E71"/>
    <w:rsid w:val="004E1F4C"/>
    <w:rsid w:val="004E226D"/>
    <w:rsid w:val="004E2272"/>
    <w:rsid w:val="004E2329"/>
    <w:rsid w:val="004E245C"/>
    <w:rsid w:val="004E251E"/>
    <w:rsid w:val="004E25F8"/>
    <w:rsid w:val="004E26F1"/>
    <w:rsid w:val="004E2944"/>
    <w:rsid w:val="004E2AAE"/>
    <w:rsid w:val="004E3479"/>
    <w:rsid w:val="004E3C6C"/>
    <w:rsid w:val="004E4492"/>
    <w:rsid w:val="004E4890"/>
    <w:rsid w:val="004E4C7C"/>
    <w:rsid w:val="004E4CBB"/>
    <w:rsid w:val="004E4CFB"/>
    <w:rsid w:val="004E4FA3"/>
    <w:rsid w:val="004E4FCA"/>
    <w:rsid w:val="004E5274"/>
    <w:rsid w:val="004E5B43"/>
    <w:rsid w:val="004E5C56"/>
    <w:rsid w:val="004E5C67"/>
    <w:rsid w:val="004E633E"/>
    <w:rsid w:val="004E67EC"/>
    <w:rsid w:val="004E6978"/>
    <w:rsid w:val="004E69C6"/>
    <w:rsid w:val="004E7442"/>
    <w:rsid w:val="004E77F4"/>
    <w:rsid w:val="004E78A5"/>
    <w:rsid w:val="004F003C"/>
    <w:rsid w:val="004F0393"/>
    <w:rsid w:val="004F0416"/>
    <w:rsid w:val="004F09ED"/>
    <w:rsid w:val="004F0D19"/>
    <w:rsid w:val="004F0EBB"/>
    <w:rsid w:val="004F10CA"/>
    <w:rsid w:val="004F1256"/>
    <w:rsid w:val="004F12FC"/>
    <w:rsid w:val="004F13E9"/>
    <w:rsid w:val="004F1411"/>
    <w:rsid w:val="004F1527"/>
    <w:rsid w:val="004F2272"/>
    <w:rsid w:val="004F2401"/>
    <w:rsid w:val="004F25E7"/>
    <w:rsid w:val="004F2681"/>
    <w:rsid w:val="004F289D"/>
    <w:rsid w:val="004F2A2A"/>
    <w:rsid w:val="004F2B8B"/>
    <w:rsid w:val="004F3000"/>
    <w:rsid w:val="004F3061"/>
    <w:rsid w:val="004F38B6"/>
    <w:rsid w:val="004F396D"/>
    <w:rsid w:val="004F3A18"/>
    <w:rsid w:val="004F3ABF"/>
    <w:rsid w:val="004F3D72"/>
    <w:rsid w:val="004F3FB5"/>
    <w:rsid w:val="004F4633"/>
    <w:rsid w:val="004F4638"/>
    <w:rsid w:val="004F47D2"/>
    <w:rsid w:val="004F49FE"/>
    <w:rsid w:val="004F4C2A"/>
    <w:rsid w:val="004F53BF"/>
    <w:rsid w:val="004F54B6"/>
    <w:rsid w:val="004F5FAB"/>
    <w:rsid w:val="004F5FFF"/>
    <w:rsid w:val="004F606A"/>
    <w:rsid w:val="004F649E"/>
    <w:rsid w:val="004F7094"/>
    <w:rsid w:val="004F7638"/>
    <w:rsid w:val="004F77AB"/>
    <w:rsid w:val="005001E2"/>
    <w:rsid w:val="00500678"/>
    <w:rsid w:val="00500C21"/>
    <w:rsid w:val="00501E8F"/>
    <w:rsid w:val="00502065"/>
    <w:rsid w:val="0050258A"/>
    <w:rsid w:val="005025BE"/>
    <w:rsid w:val="005029DF"/>
    <w:rsid w:val="00502A1E"/>
    <w:rsid w:val="0050309B"/>
    <w:rsid w:val="00503366"/>
    <w:rsid w:val="005039F7"/>
    <w:rsid w:val="005039F8"/>
    <w:rsid w:val="00503B90"/>
    <w:rsid w:val="00503CF4"/>
    <w:rsid w:val="005040A6"/>
    <w:rsid w:val="005043A8"/>
    <w:rsid w:val="00504841"/>
    <w:rsid w:val="00504887"/>
    <w:rsid w:val="00504D34"/>
    <w:rsid w:val="00504D92"/>
    <w:rsid w:val="00504F9E"/>
    <w:rsid w:val="00505163"/>
    <w:rsid w:val="005053A0"/>
    <w:rsid w:val="005053DB"/>
    <w:rsid w:val="0050580C"/>
    <w:rsid w:val="005058F8"/>
    <w:rsid w:val="00505D1C"/>
    <w:rsid w:val="00505DBB"/>
    <w:rsid w:val="005060C9"/>
    <w:rsid w:val="00506293"/>
    <w:rsid w:val="005062C7"/>
    <w:rsid w:val="00506504"/>
    <w:rsid w:val="00506A9B"/>
    <w:rsid w:val="005072A1"/>
    <w:rsid w:val="00507967"/>
    <w:rsid w:val="00507C3E"/>
    <w:rsid w:val="00510079"/>
    <w:rsid w:val="00510352"/>
    <w:rsid w:val="00510F20"/>
    <w:rsid w:val="00510FB0"/>
    <w:rsid w:val="0051102F"/>
    <w:rsid w:val="005112F3"/>
    <w:rsid w:val="005126BA"/>
    <w:rsid w:val="005128DA"/>
    <w:rsid w:val="00512917"/>
    <w:rsid w:val="00512950"/>
    <w:rsid w:val="00512F40"/>
    <w:rsid w:val="00513061"/>
    <w:rsid w:val="005134F9"/>
    <w:rsid w:val="00513C2E"/>
    <w:rsid w:val="00513C33"/>
    <w:rsid w:val="005140D8"/>
    <w:rsid w:val="0051419C"/>
    <w:rsid w:val="00514880"/>
    <w:rsid w:val="00514E2C"/>
    <w:rsid w:val="00515AA8"/>
    <w:rsid w:val="00515EB8"/>
    <w:rsid w:val="00515F98"/>
    <w:rsid w:val="00516127"/>
    <w:rsid w:val="0051639D"/>
    <w:rsid w:val="00516621"/>
    <w:rsid w:val="00516CA7"/>
    <w:rsid w:val="00516E18"/>
    <w:rsid w:val="005175E2"/>
    <w:rsid w:val="00517D58"/>
    <w:rsid w:val="00517DDF"/>
    <w:rsid w:val="00517DE4"/>
    <w:rsid w:val="0052016B"/>
    <w:rsid w:val="0052092D"/>
    <w:rsid w:val="00520C21"/>
    <w:rsid w:val="00520D35"/>
    <w:rsid w:val="00520D6F"/>
    <w:rsid w:val="00520E4C"/>
    <w:rsid w:val="00521005"/>
    <w:rsid w:val="00521231"/>
    <w:rsid w:val="005213C0"/>
    <w:rsid w:val="005216B1"/>
    <w:rsid w:val="005216E1"/>
    <w:rsid w:val="00521706"/>
    <w:rsid w:val="00521897"/>
    <w:rsid w:val="00521E81"/>
    <w:rsid w:val="00521FA1"/>
    <w:rsid w:val="005224D3"/>
    <w:rsid w:val="00522A4D"/>
    <w:rsid w:val="00522CE7"/>
    <w:rsid w:val="00522E15"/>
    <w:rsid w:val="00522E26"/>
    <w:rsid w:val="00523122"/>
    <w:rsid w:val="00523250"/>
    <w:rsid w:val="00523320"/>
    <w:rsid w:val="00523691"/>
    <w:rsid w:val="00523A8B"/>
    <w:rsid w:val="00523E22"/>
    <w:rsid w:val="00523F14"/>
    <w:rsid w:val="00524324"/>
    <w:rsid w:val="005243EE"/>
    <w:rsid w:val="0052449A"/>
    <w:rsid w:val="0052454C"/>
    <w:rsid w:val="00524A80"/>
    <w:rsid w:val="00524D09"/>
    <w:rsid w:val="00524DC7"/>
    <w:rsid w:val="00524E32"/>
    <w:rsid w:val="00524F29"/>
    <w:rsid w:val="005256AA"/>
    <w:rsid w:val="0052575A"/>
    <w:rsid w:val="0052586C"/>
    <w:rsid w:val="00525ACE"/>
    <w:rsid w:val="00526194"/>
    <w:rsid w:val="005264BF"/>
    <w:rsid w:val="00526AC9"/>
    <w:rsid w:val="00526B3A"/>
    <w:rsid w:val="00526BBF"/>
    <w:rsid w:val="00526BFA"/>
    <w:rsid w:val="005271A4"/>
    <w:rsid w:val="005273FB"/>
    <w:rsid w:val="00527660"/>
    <w:rsid w:val="005276A9"/>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463"/>
    <w:rsid w:val="005317CD"/>
    <w:rsid w:val="0053190D"/>
    <w:rsid w:val="00532772"/>
    <w:rsid w:val="0053287D"/>
    <w:rsid w:val="00532A8C"/>
    <w:rsid w:val="00532B71"/>
    <w:rsid w:val="00532B89"/>
    <w:rsid w:val="00532ECE"/>
    <w:rsid w:val="0053344F"/>
    <w:rsid w:val="00533C62"/>
    <w:rsid w:val="00533D59"/>
    <w:rsid w:val="00534342"/>
    <w:rsid w:val="0053452B"/>
    <w:rsid w:val="005346DA"/>
    <w:rsid w:val="00534E0A"/>
    <w:rsid w:val="00534E79"/>
    <w:rsid w:val="00535015"/>
    <w:rsid w:val="0053505E"/>
    <w:rsid w:val="005353AA"/>
    <w:rsid w:val="00535542"/>
    <w:rsid w:val="00535678"/>
    <w:rsid w:val="005358CD"/>
    <w:rsid w:val="00535E5B"/>
    <w:rsid w:val="00535F5B"/>
    <w:rsid w:val="00535F87"/>
    <w:rsid w:val="00535FDF"/>
    <w:rsid w:val="0053636A"/>
    <w:rsid w:val="00536A89"/>
    <w:rsid w:val="00536EAC"/>
    <w:rsid w:val="00537179"/>
    <w:rsid w:val="005371D8"/>
    <w:rsid w:val="00540808"/>
    <w:rsid w:val="00540870"/>
    <w:rsid w:val="00540935"/>
    <w:rsid w:val="00540961"/>
    <w:rsid w:val="00540BFD"/>
    <w:rsid w:val="00540F31"/>
    <w:rsid w:val="00540F39"/>
    <w:rsid w:val="0054121C"/>
    <w:rsid w:val="00541235"/>
    <w:rsid w:val="0054125C"/>
    <w:rsid w:val="005417D0"/>
    <w:rsid w:val="00542276"/>
    <w:rsid w:val="00542409"/>
    <w:rsid w:val="0054305F"/>
    <w:rsid w:val="00543976"/>
    <w:rsid w:val="005439B7"/>
    <w:rsid w:val="00543B3F"/>
    <w:rsid w:val="00543B97"/>
    <w:rsid w:val="0054403B"/>
    <w:rsid w:val="0054412D"/>
    <w:rsid w:val="00544268"/>
    <w:rsid w:val="005442DF"/>
    <w:rsid w:val="0054434A"/>
    <w:rsid w:val="0054437E"/>
    <w:rsid w:val="005443C3"/>
    <w:rsid w:val="0054443C"/>
    <w:rsid w:val="005448C9"/>
    <w:rsid w:val="00544DC0"/>
    <w:rsid w:val="00545085"/>
    <w:rsid w:val="005454C8"/>
    <w:rsid w:val="00545626"/>
    <w:rsid w:val="0054633C"/>
    <w:rsid w:val="00546345"/>
    <w:rsid w:val="0054636E"/>
    <w:rsid w:val="00546700"/>
    <w:rsid w:val="00546A40"/>
    <w:rsid w:val="00546A86"/>
    <w:rsid w:val="00546CA1"/>
    <w:rsid w:val="00546DF1"/>
    <w:rsid w:val="00546EA7"/>
    <w:rsid w:val="0054786F"/>
    <w:rsid w:val="00547B82"/>
    <w:rsid w:val="00547BD9"/>
    <w:rsid w:val="00547D49"/>
    <w:rsid w:val="00550213"/>
    <w:rsid w:val="00550DB8"/>
    <w:rsid w:val="00551291"/>
    <w:rsid w:val="005513F9"/>
    <w:rsid w:val="00551563"/>
    <w:rsid w:val="0055187A"/>
    <w:rsid w:val="00551892"/>
    <w:rsid w:val="00551BE9"/>
    <w:rsid w:val="0055200A"/>
    <w:rsid w:val="0055214C"/>
    <w:rsid w:val="005523A5"/>
    <w:rsid w:val="00552BAD"/>
    <w:rsid w:val="005533C5"/>
    <w:rsid w:val="0055359B"/>
    <w:rsid w:val="0055391C"/>
    <w:rsid w:val="00554205"/>
    <w:rsid w:val="00554325"/>
    <w:rsid w:val="005543D5"/>
    <w:rsid w:val="005547B1"/>
    <w:rsid w:val="00554810"/>
    <w:rsid w:val="00554F38"/>
    <w:rsid w:val="00555153"/>
    <w:rsid w:val="005551B0"/>
    <w:rsid w:val="00555628"/>
    <w:rsid w:val="005558CC"/>
    <w:rsid w:val="00555D19"/>
    <w:rsid w:val="00555EB2"/>
    <w:rsid w:val="00556A44"/>
    <w:rsid w:val="00556E1D"/>
    <w:rsid w:val="00556E89"/>
    <w:rsid w:val="00557074"/>
    <w:rsid w:val="005572E6"/>
    <w:rsid w:val="0055747D"/>
    <w:rsid w:val="005576BE"/>
    <w:rsid w:val="00557706"/>
    <w:rsid w:val="00557BA4"/>
    <w:rsid w:val="00557D2B"/>
    <w:rsid w:val="00557DF1"/>
    <w:rsid w:val="00560197"/>
    <w:rsid w:val="00560618"/>
    <w:rsid w:val="00560725"/>
    <w:rsid w:val="005608B8"/>
    <w:rsid w:val="00560C55"/>
    <w:rsid w:val="00560D46"/>
    <w:rsid w:val="00560D75"/>
    <w:rsid w:val="00560EDF"/>
    <w:rsid w:val="00560F64"/>
    <w:rsid w:val="00560FAE"/>
    <w:rsid w:val="00561232"/>
    <w:rsid w:val="0056175C"/>
    <w:rsid w:val="0056189E"/>
    <w:rsid w:val="005619D9"/>
    <w:rsid w:val="00561BE5"/>
    <w:rsid w:val="00562019"/>
    <w:rsid w:val="005629C1"/>
    <w:rsid w:val="00562A31"/>
    <w:rsid w:val="00562B30"/>
    <w:rsid w:val="00562F7B"/>
    <w:rsid w:val="0056301A"/>
    <w:rsid w:val="00563642"/>
    <w:rsid w:val="00563756"/>
    <w:rsid w:val="0056473C"/>
    <w:rsid w:val="0056498C"/>
    <w:rsid w:val="005649BF"/>
    <w:rsid w:val="00564B8E"/>
    <w:rsid w:val="005651DD"/>
    <w:rsid w:val="0056520D"/>
    <w:rsid w:val="0056530E"/>
    <w:rsid w:val="005653EB"/>
    <w:rsid w:val="00565BA8"/>
    <w:rsid w:val="00565BC1"/>
    <w:rsid w:val="00565CE3"/>
    <w:rsid w:val="00565DB1"/>
    <w:rsid w:val="005661DC"/>
    <w:rsid w:val="0056639C"/>
    <w:rsid w:val="00566565"/>
    <w:rsid w:val="00567033"/>
    <w:rsid w:val="005677C0"/>
    <w:rsid w:val="00567AAE"/>
    <w:rsid w:val="00567B09"/>
    <w:rsid w:val="00567B9D"/>
    <w:rsid w:val="00567C2C"/>
    <w:rsid w:val="00567ECF"/>
    <w:rsid w:val="00570183"/>
    <w:rsid w:val="0057028C"/>
    <w:rsid w:val="005702CA"/>
    <w:rsid w:val="0057052F"/>
    <w:rsid w:val="00570A8E"/>
    <w:rsid w:val="00570CDF"/>
    <w:rsid w:val="00571233"/>
    <w:rsid w:val="00571393"/>
    <w:rsid w:val="00571F96"/>
    <w:rsid w:val="005721FD"/>
    <w:rsid w:val="00572249"/>
    <w:rsid w:val="0057304A"/>
    <w:rsid w:val="0057320B"/>
    <w:rsid w:val="00573557"/>
    <w:rsid w:val="0057378F"/>
    <w:rsid w:val="005738D3"/>
    <w:rsid w:val="00573A07"/>
    <w:rsid w:val="00573A99"/>
    <w:rsid w:val="00573C01"/>
    <w:rsid w:val="005745A6"/>
    <w:rsid w:val="00574CFA"/>
    <w:rsid w:val="00574E62"/>
    <w:rsid w:val="00575226"/>
    <w:rsid w:val="00575423"/>
    <w:rsid w:val="0057572C"/>
    <w:rsid w:val="00575917"/>
    <w:rsid w:val="0057591B"/>
    <w:rsid w:val="00575B46"/>
    <w:rsid w:val="0057627A"/>
    <w:rsid w:val="0057677F"/>
    <w:rsid w:val="00576AD3"/>
    <w:rsid w:val="00577289"/>
    <w:rsid w:val="005779FD"/>
    <w:rsid w:val="00577D42"/>
    <w:rsid w:val="00577E78"/>
    <w:rsid w:val="0058002C"/>
    <w:rsid w:val="0058020D"/>
    <w:rsid w:val="0058043D"/>
    <w:rsid w:val="005805CE"/>
    <w:rsid w:val="00580629"/>
    <w:rsid w:val="00580C90"/>
    <w:rsid w:val="00580DC9"/>
    <w:rsid w:val="00580FE6"/>
    <w:rsid w:val="00581321"/>
    <w:rsid w:val="00581375"/>
    <w:rsid w:val="005814A2"/>
    <w:rsid w:val="00581543"/>
    <w:rsid w:val="00581EB0"/>
    <w:rsid w:val="0058251E"/>
    <w:rsid w:val="00582900"/>
    <w:rsid w:val="00582BE0"/>
    <w:rsid w:val="00582D89"/>
    <w:rsid w:val="00583089"/>
    <w:rsid w:val="005833BD"/>
    <w:rsid w:val="00583711"/>
    <w:rsid w:val="00583743"/>
    <w:rsid w:val="005838F5"/>
    <w:rsid w:val="00583977"/>
    <w:rsid w:val="00583D78"/>
    <w:rsid w:val="0058400A"/>
    <w:rsid w:val="00584EF3"/>
    <w:rsid w:val="005852A1"/>
    <w:rsid w:val="005854F6"/>
    <w:rsid w:val="00586581"/>
    <w:rsid w:val="00586722"/>
    <w:rsid w:val="00586A14"/>
    <w:rsid w:val="00587004"/>
    <w:rsid w:val="0058722B"/>
    <w:rsid w:val="00587405"/>
    <w:rsid w:val="0058743C"/>
    <w:rsid w:val="005878A2"/>
    <w:rsid w:val="00587AB5"/>
    <w:rsid w:val="00587D67"/>
    <w:rsid w:val="005901CB"/>
    <w:rsid w:val="005901D3"/>
    <w:rsid w:val="005905D0"/>
    <w:rsid w:val="00590993"/>
    <w:rsid w:val="00590AF6"/>
    <w:rsid w:val="00590CA9"/>
    <w:rsid w:val="00590D7C"/>
    <w:rsid w:val="005910BD"/>
    <w:rsid w:val="005914FD"/>
    <w:rsid w:val="00591860"/>
    <w:rsid w:val="00591D4F"/>
    <w:rsid w:val="00591E10"/>
    <w:rsid w:val="00591EC2"/>
    <w:rsid w:val="005920BE"/>
    <w:rsid w:val="00592588"/>
    <w:rsid w:val="00592782"/>
    <w:rsid w:val="00592B34"/>
    <w:rsid w:val="00592B97"/>
    <w:rsid w:val="00592C8F"/>
    <w:rsid w:val="00592F7D"/>
    <w:rsid w:val="00592F83"/>
    <w:rsid w:val="0059399F"/>
    <w:rsid w:val="00593CFD"/>
    <w:rsid w:val="00594047"/>
    <w:rsid w:val="005940F3"/>
    <w:rsid w:val="005944BB"/>
    <w:rsid w:val="0059459F"/>
    <w:rsid w:val="00595366"/>
    <w:rsid w:val="00595622"/>
    <w:rsid w:val="00595975"/>
    <w:rsid w:val="00595A5F"/>
    <w:rsid w:val="00595C50"/>
    <w:rsid w:val="00595DAE"/>
    <w:rsid w:val="00595E3D"/>
    <w:rsid w:val="00596024"/>
    <w:rsid w:val="00596072"/>
    <w:rsid w:val="00596622"/>
    <w:rsid w:val="00596785"/>
    <w:rsid w:val="005967AD"/>
    <w:rsid w:val="0059680D"/>
    <w:rsid w:val="00596D9E"/>
    <w:rsid w:val="0059766C"/>
    <w:rsid w:val="00597882"/>
    <w:rsid w:val="00597C40"/>
    <w:rsid w:val="00597D87"/>
    <w:rsid w:val="005A065E"/>
    <w:rsid w:val="005A07AF"/>
    <w:rsid w:val="005A0905"/>
    <w:rsid w:val="005A0917"/>
    <w:rsid w:val="005A0DB5"/>
    <w:rsid w:val="005A16B9"/>
    <w:rsid w:val="005A19B9"/>
    <w:rsid w:val="005A19EC"/>
    <w:rsid w:val="005A1BFA"/>
    <w:rsid w:val="005A23F5"/>
    <w:rsid w:val="005A246C"/>
    <w:rsid w:val="005A25D7"/>
    <w:rsid w:val="005A285E"/>
    <w:rsid w:val="005A2A63"/>
    <w:rsid w:val="005A32B7"/>
    <w:rsid w:val="005A3599"/>
    <w:rsid w:val="005A363C"/>
    <w:rsid w:val="005A373F"/>
    <w:rsid w:val="005A381C"/>
    <w:rsid w:val="005A3CB8"/>
    <w:rsid w:val="005A3DC3"/>
    <w:rsid w:val="005A411D"/>
    <w:rsid w:val="005A422D"/>
    <w:rsid w:val="005A45BC"/>
    <w:rsid w:val="005A4605"/>
    <w:rsid w:val="005A4625"/>
    <w:rsid w:val="005A4D96"/>
    <w:rsid w:val="005A5737"/>
    <w:rsid w:val="005A59E1"/>
    <w:rsid w:val="005A5ACD"/>
    <w:rsid w:val="005A5AE9"/>
    <w:rsid w:val="005A5C8A"/>
    <w:rsid w:val="005A5DB9"/>
    <w:rsid w:val="005A5E51"/>
    <w:rsid w:val="005A6008"/>
    <w:rsid w:val="005A6251"/>
    <w:rsid w:val="005A6776"/>
    <w:rsid w:val="005A6ACB"/>
    <w:rsid w:val="005A714C"/>
    <w:rsid w:val="005A735B"/>
    <w:rsid w:val="005A7A16"/>
    <w:rsid w:val="005A7ACF"/>
    <w:rsid w:val="005A7AE4"/>
    <w:rsid w:val="005A7B50"/>
    <w:rsid w:val="005A7C12"/>
    <w:rsid w:val="005A7CFB"/>
    <w:rsid w:val="005B01B2"/>
    <w:rsid w:val="005B084C"/>
    <w:rsid w:val="005B0A2D"/>
    <w:rsid w:val="005B0AA0"/>
    <w:rsid w:val="005B102F"/>
    <w:rsid w:val="005B10B7"/>
    <w:rsid w:val="005B129C"/>
    <w:rsid w:val="005B1302"/>
    <w:rsid w:val="005B132F"/>
    <w:rsid w:val="005B1617"/>
    <w:rsid w:val="005B177A"/>
    <w:rsid w:val="005B1D85"/>
    <w:rsid w:val="005B1DC1"/>
    <w:rsid w:val="005B1E54"/>
    <w:rsid w:val="005B1E7A"/>
    <w:rsid w:val="005B2073"/>
    <w:rsid w:val="005B21C6"/>
    <w:rsid w:val="005B2223"/>
    <w:rsid w:val="005B222C"/>
    <w:rsid w:val="005B241E"/>
    <w:rsid w:val="005B287E"/>
    <w:rsid w:val="005B2939"/>
    <w:rsid w:val="005B2C71"/>
    <w:rsid w:val="005B2E7C"/>
    <w:rsid w:val="005B3055"/>
    <w:rsid w:val="005B31BA"/>
    <w:rsid w:val="005B36BD"/>
    <w:rsid w:val="005B38B0"/>
    <w:rsid w:val="005B391F"/>
    <w:rsid w:val="005B3C44"/>
    <w:rsid w:val="005B45E4"/>
    <w:rsid w:val="005B5377"/>
    <w:rsid w:val="005B5696"/>
    <w:rsid w:val="005B59DA"/>
    <w:rsid w:val="005B5CE0"/>
    <w:rsid w:val="005B6264"/>
    <w:rsid w:val="005B63AC"/>
    <w:rsid w:val="005B67D0"/>
    <w:rsid w:val="005B6D63"/>
    <w:rsid w:val="005B6D99"/>
    <w:rsid w:val="005B6F76"/>
    <w:rsid w:val="005B6FD8"/>
    <w:rsid w:val="005B7245"/>
    <w:rsid w:val="005B7B20"/>
    <w:rsid w:val="005B7D2B"/>
    <w:rsid w:val="005B7FE5"/>
    <w:rsid w:val="005C078E"/>
    <w:rsid w:val="005C0914"/>
    <w:rsid w:val="005C099C"/>
    <w:rsid w:val="005C0A61"/>
    <w:rsid w:val="005C118F"/>
    <w:rsid w:val="005C12BF"/>
    <w:rsid w:val="005C1556"/>
    <w:rsid w:val="005C162D"/>
    <w:rsid w:val="005C1673"/>
    <w:rsid w:val="005C17A3"/>
    <w:rsid w:val="005C17AE"/>
    <w:rsid w:val="005C1866"/>
    <w:rsid w:val="005C1BF9"/>
    <w:rsid w:val="005C1CA4"/>
    <w:rsid w:val="005C1D1B"/>
    <w:rsid w:val="005C1D4B"/>
    <w:rsid w:val="005C2216"/>
    <w:rsid w:val="005C2453"/>
    <w:rsid w:val="005C26C4"/>
    <w:rsid w:val="005C2B54"/>
    <w:rsid w:val="005C2B61"/>
    <w:rsid w:val="005C327B"/>
    <w:rsid w:val="005C342D"/>
    <w:rsid w:val="005C3AD2"/>
    <w:rsid w:val="005C3AEA"/>
    <w:rsid w:val="005C3AF6"/>
    <w:rsid w:val="005C3CC3"/>
    <w:rsid w:val="005C3E0E"/>
    <w:rsid w:val="005C44C9"/>
    <w:rsid w:val="005C487F"/>
    <w:rsid w:val="005C4CD9"/>
    <w:rsid w:val="005C4CF8"/>
    <w:rsid w:val="005C507A"/>
    <w:rsid w:val="005C5136"/>
    <w:rsid w:val="005C5632"/>
    <w:rsid w:val="005C5CDE"/>
    <w:rsid w:val="005C5F4B"/>
    <w:rsid w:val="005C63D9"/>
    <w:rsid w:val="005C65ED"/>
    <w:rsid w:val="005C6704"/>
    <w:rsid w:val="005C690D"/>
    <w:rsid w:val="005C70E0"/>
    <w:rsid w:val="005C7676"/>
    <w:rsid w:val="005C769B"/>
    <w:rsid w:val="005C7716"/>
    <w:rsid w:val="005C7E06"/>
    <w:rsid w:val="005C7F78"/>
    <w:rsid w:val="005D0050"/>
    <w:rsid w:val="005D009C"/>
    <w:rsid w:val="005D0883"/>
    <w:rsid w:val="005D0951"/>
    <w:rsid w:val="005D0E9E"/>
    <w:rsid w:val="005D103C"/>
    <w:rsid w:val="005D10BD"/>
    <w:rsid w:val="005D1134"/>
    <w:rsid w:val="005D128B"/>
    <w:rsid w:val="005D15C9"/>
    <w:rsid w:val="005D194B"/>
    <w:rsid w:val="005D1BD2"/>
    <w:rsid w:val="005D1C0E"/>
    <w:rsid w:val="005D2181"/>
    <w:rsid w:val="005D2DCF"/>
    <w:rsid w:val="005D3193"/>
    <w:rsid w:val="005D3687"/>
    <w:rsid w:val="005D38E3"/>
    <w:rsid w:val="005D3B7A"/>
    <w:rsid w:val="005D3D4D"/>
    <w:rsid w:val="005D40D0"/>
    <w:rsid w:val="005D4787"/>
    <w:rsid w:val="005D4D3D"/>
    <w:rsid w:val="005D500D"/>
    <w:rsid w:val="005D51B9"/>
    <w:rsid w:val="005D54E5"/>
    <w:rsid w:val="005D5796"/>
    <w:rsid w:val="005D597F"/>
    <w:rsid w:val="005D5C44"/>
    <w:rsid w:val="005D5D45"/>
    <w:rsid w:val="005D6034"/>
    <w:rsid w:val="005D62AD"/>
    <w:rsid w:val="005D636E"/>
    <w:rsid w:val="005D63BB"/>
    <w:rsid w:val="005D6487"/>
    <w:rsid w:val="005D6643"/>
    <w:rsid w:val="005D6993"/>
    <w:rsid w:val="005D6AD0"/>
    <w:rsid w:val="005D7505"/>
    <w:rsid w:val="005D762C"/>
    <w:rsid w:val="005D7C28"/>
    <w:rsid w:val="005E02CB"/>
    <w:rsid w:val="005E04F7"/>
    <w:rsid w:val="005E0BE1"/>
    <w:rsid w:val="005E11DE"/>
    <w:rsid w:val="005E150A"/>
    <w:rsid w:val="005E1729"/>
    <w:rsid w:val="005E1770"/>
    <w:rsid w:val="005E1C18"/>
    <w:rsid w:val="005E260C"/>
    <w:rsid w:val="005E276A"/>
    <w:rsid w:val="005E27C5"/>
    <w:rsid w:val="005E2827"/>
    <w:rsid w:val="005E2E92"/>
    <w:rsid w:val="005E2F17"/>
    <w:rsid w:val="005E2FA1"/>
    <w:rsid w:val="005E30DE"/>
    <w:rsid w:val="005E31ED"/>
    <w:rsid w:val="005E33F3"/>
    <w:rsid w:val="005E3617"/>
    <w:rsid w:val="005E37EC"/>
    <w:rsid w:val="005E3A17"/>
    <w:rsid w:val="005E3A51"/>
    <w:rsid w:val="005E3DB1"/>
    <w:rsid w:val="005E3E6E"/>
    <w:rsid w:val="005E4188"/>
    <w:rsid w:val="005E4380"/>
    <w:rsid w:val="005E4821"/>
    <w:rsid w:val="005E494D"/>
    <w:rsid w:val="005E4A6E"/>
    <w:rsid w:val="005E514E"/>
    <w:rsid w:val="005E55D1"/>
    <w:rsid w:val="005E56B5"/>
    <w:rsid w:val="005E69A3"/>
    <w:rsid w:val="005E6B7C"/>
    <w:rsid w:val="005E6C23"/>
    <w:rsid w:val="005E6C7C"/>
    <w:rsid w:val="005E6C8F"/>
    <w:rsid w:val="005E6CD7"/>
    <w:rsid w:val="005E7036"/>
    <w:rsid w:val="005E7761"/>
    <w:rsid w:val="005E7A51"/>
    <w:rsid w:val="005E7B21"/>
    <w:rsid w:val="005F0109"/>
    <w:rsid w:val="005F0B4F"/>
    <w:rsid w:val="005F0BE1"/>
    <w:rsid w:val="005F113E"/>
    <w:rsid w:val="005F1274"/>
    <w:rsid w:val="005F1912"/>
    <w:rsid w:val="005F1B75"/>
    <w:rsid w:val="005F215C"/>
    <w:rsid w:val="005F217A"/>
    <w:rsid w:val="005F24BD"/>
    <w:rsid w:val="005F28EE"/>
    <w:rsid w:val="005F2AEE"/>
    <w:rsid w:val="005F2D15"/>
    <w:rsid w:val="005F30A8"/>
    <w:rsid w:val="005F3853"/>
    <w:rsid w:val="005F3858"/>
    <w:rsid w:val="005F3DE9"/>
    <w:rsid w:val="005F42FE"/>
    <w:rsid w:val="005F4678"/>
    <w:rsid w:val="005F48B0"/>
    <w:rsid w:val="005F4A4A"/>
    <w:rsid w:val="005F4A99"/>
    <w:rsid w:val="005F50AE"/>
    <w:rsid w:val="005F54BC"/>
    <w:rsid w:val="005F5787"/>
    <w:rsid w:val="005F5C7C"/>
    <w:rsid w:val="005F5DDE"/>
    <w:rsid w:val="005F5FBA"/>
    <w:rsid w:val="005F6148"/>
    <w:rsid w:val="005F65F0"/>
    <w:rsid w:val="005F68BF"/>
    <w:rsid w:val="005F69A4"/>
    <w:rsid w:val="005F717B"/>
    <w:rsid w:val="005F720B"/>
    <w:rsid w:val="005F7642"/>
    <w:rsid w:val="005F7D51"/>
    <w:rsid w:val="005F7EB7"/>
    <w:rsid w:val="006004A8"/>
    <w:rsid w:val="006009D7"/>
    <w:rsid w:val="00600BB2"/>
    <w:rsid w:val="00600F2D"/>
    <w:rsid w:val="00601003"/>
    <w:rsid w:val="00601712"/>
    <w:rsid w:val="00601EBF"/>
    <w:rsid w:val="0060209C"/>
    <w:rsid w:val="006020C2"/>
    <w:rsid w:val="00602200"/>
    <w:rsid w:val="00602372"/>
    <w:rsid w:val="006026BC"/>
    <w:rsid w:val="006029CB"/>
    <w:rsid w:val="00602E94"/>
    <w:rsid w:val="00602F85"/>
    <w:rsid w:val="00603441"/>
    <w:rsid w:val="00603642"/>
    <w:rsid w:val="006037A2"/>
    <w:rsid w:val="006037D0"/>
    <w:rsid w:val="00603AC7"/>
    <w:rsid w:val="0060427B"/>
    <w:rsid w:val="006043B4"/>
    <w:rsid w:val="006045E3"/>
    <w:rsid w:val="00604948"/>
    <w:rsid w:val="006049F9"/>
    <w:rsid w:val="006050B5"/>
    <w:rsid w:val="006050CE"/>
    <w:rsid w:val="0060544F"/>
    <w:rsid w:val="006054A8"/>
    <w:rsid w:val="006054D4"/>
    <w:rsid w:val="0060551C"/>
    <w:rsid w:val="0060563F"/>
    <w:rsid w:val="00605B6E"/>
    <w:rsid w:val="00606085"/>
    <w:rsid w:val="00606155"/>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508"/>
    <w:rsid w:val="00610EC1"/>
    <w:rsid w:val="00611B15"/>
    <w:rsid w:val="00611DB6"/>
    <w:rsid w:val="00611E56"/>
    <w:rsid w:val="006125E5"/>
    <w:rsid w:val="006126E1"/>
    <w:rsid w:val="0061298F"/>
    <w:rsid w:val="00612A6D"/>
    <w:rsid w:val="006132FF"/>
    <w:rsid w:val="006134B7"/>
    <w:rsid w:val="006137C2"/>
    <w:rsid w:val="00613B68"/>
    <w:rsid w:val="00613CC4"/>
    <w:rsid w:val="00613D0C"/>
    <w:rsid w:val="006143D2"/>
    <w:rsid w:val="006144A5"/>
    <w:rsid w:val="006148DA"/>
    <w:rsid w:val="00614D0C"/>
    <w:rsid w:val="00614E7D"/>
    <w:rsid w:val="00614EB6"/>
    <w:rsid w:val="00614F77"/>
    <w:rsid w:val="00615613"/>
    <w:rsid w:val="006158E6"/>
    <w:rsid w:val="00615903"/>
    <w:rsid w:val="00615EF4"/>
    <w:rsid w:val="00616195"/>
    <w:rsid w:val="00616474"/>
    <w:rsid w:val="0061647F"/>
    <w:rsid w:val="0061670C"/>
    <w:rsid w:val="00616804"/>
    <w:rsid w:val="00616A0F"/>
    <w:rsid w:val="00616D68"/>
    <w:rsid w:val="00617336"/>
    <w:rsid w:val="006174A5"/>
    <w:rsid w:val="00617666"/>
    <w:rsid w:val="00617DAF"/>
    <w:rsid w:val="00620296"/>
    <w:rsid w:val="00620C68"/>
    <w:rsid w:val="00620D77"/>
    <w:rsid w:val="00620DDB"/>
    <w:rsid w:val="00620F08"/>
    <w:rsid w:val="00621D96"/>
    <w:rsid w:val="00621E06"/>
    <w:rsid w:val="00622165"/>
    <w:rsid w:val="0062230D"/>
    <w:rsid w:val="00622469"/>
    <w:rsid w:val="00622511"/>
    <w:rsid w:val="00622607"/>
    <w:rsid w:val="006226A4"/>
    <w:rsid w:val="00622B50"/>
    <w:rsid w:val="00622E2D"/>
    <w:rsid w:val="00623023"/>
    <w:rsid w:val="0062310D"/>
    <w:rsid w:val="00623548"/>
    <w:rsid w:val="0062381F"/>
    <w:rsid w:val="00623939"/>
    <w:rsid w:val="00623B94"/>
    <w:rsid w:val="00624111"/>
    <w:rsid w:val="006241F3"/>
    <w:rsid w:val="00624946"/>
    <w:rsid w:val="00624CCF"/>
    <w:rsid w:val="00624EBF"/>
    <w:rsid w:val="00624F86"/>
    <w:rsid w:val="00624FDC"/>
    <w:rsid w:val="00625937"/>
    <w:rsid w:val="00625E4E"/>
    <w:rsid w:val="006260EB"/>
    <w:rsid w:val="00626341"/>
    <w:rsid w:val="00626479"/>
    <w:rsid w:val="00626CD1"/>
    <w:rsid w:val="00626D8D"/>
    <w:rsid w:val="00627632"/>
    <w:rsid w:val="00627A8A"/>
    <w:rsid w:val="00627D4C"/>
    <w:rsid w:val="00627E64"/>
    <w:rsid w:val="00627F1A"/>
    <w:rsid w:val="006301E6"/>
    <w:rsid w:val="006304DD"/>
    <w:rsid w:val="0063056A"/>
    <w:rsid w:val="006308F8"/>
    <w:rsid w:val="00630CC9"/>
    <w:rsid w:val="00630CEB"/>
    <w:rsid w:val="00630EA7"/>
    <w:rsid w:val="00630F38"/>
    <w:rsid w:val="0063104B"/>
    <w:rsid w:val="0063161B"/>
    <w:rsid w:val="006318CE"/>
    <w:rsid w:val="00631994"/>
    <w:rsid w:val="006321BD"/>
    <w:rsid w:val="00632E5F"/>
    <w:rsid w:val="00633109"/>
    <w:rsid w:val="0063310B"/>
    <w:rsid w:val="0063361E"/>
    <w:rsid w:val="0063378C"/>
    <w:rsid w:val="0063387D"/>
    <w:rsid w:val="006339FE"/>
    <w:rsid w:val="006343F5"/>
    <w:rsid w:val="006344CE"/>
    <w:rsid w:val="0063476A"/>
    <w:rsid w:val="006349E6"/>
    <w:rsid w:val="00634A25"/>
    <w:rsid w:val="00634A2C"/>
    <w:rsid w:val="00634A42"/>
    <w:rsid w:val="00634B58"/>
    <w:rsid w:val="00634E37"/>
    <w:rsid w:val="00634E60"/>
    <w:rsid w:val="00634FAC"/>
    <w:rsid w:val="00635090"/>
    <w:rsid w:val="00635829"/>
    <w:rsid w:val="006358D9"/>
    <w:rsid w:val="0063630E"/>
    <w:rsid w:val="00636707"/>
    <w:rsid w:val="00636751"/>
    <w:rsid w:val="0063696F"/>
    <w:rsid w:val="00636B84"/>
    <w:rsid w:val="00636DFA"/>
    <w:rsid w:val="00637378"/>
    <w:rsid w:val="0063751E"/>
    <w:rsid w:val="00637BA6"/>
    <w:rsid w:val="00640369"/>
    <w:rsid w:val="006403C3"/>
    <w:rsid w:val="00640500"/>
    <w:rsid w:val="00640E87"/>
    <w:rsid w:val="00640F24"/>
    <w:rsid w:val="006410EC"/>
    <w:rsid w:val="006412C3"/>
    <w:rsid w:val="00641ABF"/>
    <w:rsid w:val="00641B0F"/>
    <w:rsid w:val="00641E04"/>
    <w:rsid w:val="00642394"/>
    <w:rsid w:val="00643003"/>
    <w:rsid w:val="006431DC"/>
    <w:rsid w:val="00643A9F"/>
    <w:rsid w:val="00643B0A"/>
    <w:rsid w:val="00643B98"/>
    <w:rsid w:val="00643E58"/>
    <w:rsid w:val="00643F8C"/>
    <w:rsid w:val="006441D6"/>
    <w:rsid w:val="00644208"/>
    <w:rsid w:val="006442C4"/>
    <w:rsid w:val="00644683"/>
    <w:rsid w:val="00644759"/>
    <w:rsid w:val="0064481D"/>
    <w:rsid w:val="00644821"/>
    <w:rsid w:val="00644EC2"/>
    <w:rsid w:val="0064524F"/>
    <w:rsid w:val="0064557B"/>
    <w:rsid w:val="00645788"/>
    <w:rsid w:val="006458D3"/>
    <w:rsid w:val="00645906"/>
    <w:rsid w:val="00645CAD"/>
    <w:rsid w:val="00645CCB"/>
    <w:rsid w:val="00645D09"/>
    <w:rsid w:val="00645DA2"/>
    <w:rsid w:val="00645DBD"/>
    <w:rsid w:val="00645F51"/>
    <w:rsid w:val="00645FFD"/>
    <w:rsid w:val="006465BF"/>
    <w:rsid w:val="0064692C"/>
    <w:rsid w:val="00646C94"/>
    <w:rsid w:val="00647005"/>
    <w:rsid w:val="0064740E"/>
    <w:rsid w:val="00647A5A"/>
    <w:rsid w:val="00647C08"/>
    <w:rsid w:val="00650160"/>
    <w:rsid w:val="0065029C"/>
    <w:rsid w:val="00650506"/>
    <w:rsid w:val="00650569"/>
    <w:rsid w:val="006509DA"/>
    <w:rsid w:val="00650CB3"/>
    <w:rsid w:val="00650D67"/>
    <w:rsid w:val="0065110D"/>
    <w:rsid w:val="006511A3"/>
    <w:rsid w:val="0065161F"/>
    <w:rsid w:val="00651744"/>
    <w:rsid w:val="0065189B"/>
    <w:rsid w:val="006520A9"/>
    <w:rsid w:val="00652147"/>
    <w:rsid w:val="0065338B"/>
    <w:rsid w:val="006535EF"/>
    <w:rsid w:val="0065360F"/>
    <w:rsid w:val="00653751"/>
    <w:rsid w:val="0065413C"/>
    <w:rsid w:val="006541F3"/>
    <w:rsid w:val="006542EC"/>
    <w:rsid w:val="00654551"/>
    <w:rsid w:val="00654875"/>
    <w:rsid w:val="00654AF0"/>
    <w:rsid w:val="00654C78"/>
    <w:rsid w:val="00654D9C"/>
    <w:rsid w:val="00654E90"/>
    <w:rsid w:val="00654EFC"/>
    <w:rsid w:val="00655A53"/>
    <w:rsid w:val="00655C27"/>
    <w:rsid w:val="00655CF7"/>
    <w:rsid w:val="00655E08"/>
    <w:rsid w:val="00656463"/>
    <w:rsid w:val="00656468"/>
    <w:rsid w:val="00656577"/>
    <w:rsid w:val="006566CF"/>
    <w:rsid w:val="00656A23"/>
    <w:rsid w:val="00656C3B"/>
    <w:rsid w:val="00656D7C"/>
    <w:rsid w:val="00656E5D"/>
    <w:rsid w:val="00657261"/>
    <w:rsid w:val="0065776C"/>
    <w:rsid w:val="00657CFA"/>
    <w:rsid w:val="00660172"/>
    <w:rsid w:val="00660CA7"/>
    <w:rsid w:val="00661138"/>
    <w:rsid w:val="006612A8"/>
    <w:rsid w:val="006617EA"/>
    <w:rsid w:val="00661CD7"/>
    <w:rsid w:val="00661F60"/>
    <w:rsid w:val="00662B44"/>
    <w:rsid w:val="00662F63"/>
    <w:rsid w:val="00663489"/>
    <w:rsid w:val="00663499"/>
    <w:rsid w:val="00664062"/>
    <w:rsid w:val="006640BC"/>
    <w:rsid w:val="006644F0"/>
    <w:rsid w:val="0066472E"/>
    <w:rsid w:val="006648C5"/>
    <w:rsid w:val="00664B69"/>
    <w:rsid w:val="00664CFF"/>
    <w:rsid w:val="00665085"/>
    <w:rsid w:val="006650A9"/>
    <w:rsid w:val="006654C9"/>
    <w:rsid w:val="006657B6"/>
    <w:rsid w:val="00665C22"/>
    <w:rsid w:val="00665E97"/>
    <w:rsid w:val="00666728"/>
    <w:rsid w:val="00666770"/>
    <w:rsid w:val="006667AB"/>
    <w:rsid w:val="0066688B"/>
    <w:rsid w:val="00666A4D"/>
    <w:rsid w:val="00666BFD"/>
    <w:rsid w:val="00667048"/>
    <w:rsid w:val="006671C3"/>
    <w:rsid w:val="0066733D"/>
    <w:rsid w:val="006674A0"/>
    <w:rsid w:val="006678A6"/>
    <w:rsid w:val="00667965"/>
    <w:rsid w:val="00667D47"/>
    <w:rsid w:val="00667E26"/>
    <w:rsid w:val="006700A1"/>
    <w:rsid w:val="006700EB"/>
    <w:rsid w:val="0067016D"/>
    <w:rsid w:val="00670740"/>
    <w:rsid w:val="00670765"/>
    <w:rsid w:val="00670789"/>
    <w:rsid w:val="00670AD9"/>
    <w:rsid w:val="00670D75"/>
    <w:rsid w:val="006713E2"/>
    <w:rsid w:val="0067151D"/>
    <w:rsid w:val="006715CE"/>
    <w:rsid w:val="006715DA"/>
    <w:rsid w:val="0067166C"/>
    <w:rsid w:val="00671972"/>
    <w:rsid w:val="00671FC0"/>
    <w:rsid w:val="00672017"/>
    <w:rsid w:val="00672144"/>
    <w:rsid w:val="006723DA"/>
    <w:rsid w:val="00672E5B"/>
    <w:rsid w:val="00672F2D"/>
    <w:rsid w:val="006735B5"/>
    <w:rsid w:val="006738BA"/>
    <w:rsid w:val="00673FBA"/>
    <w:rsid w:val="0067401C"/>
    <w:rsid w:val="00674064"/>
    <w:rsid w:val="00674244"/>
    <w:rsid w:val="006745B3"/>
    <w:rsid w:val="006746F8"/>
    <w:rsid w:val="0067476B"/>
    <w:rsid w:val="00674820"/>
    <w:rsid w:val="00675071"/>
    <w:rsid w:val="006751CA"/>
    <w:rsid w:val="00675274"/>
    <w:rsid w:val="00675448"/>
    <w:rsid w:val="006757E9"/>
    <w:rsid w:val="00675BDA"/>
    <w:rsid w:val="00675E15"/>
    <w:rsid w:val="00675FE0"/>
    <w:rsid w:val="00676283"/>
    <w:rsid w:val="00676302"/>
    <w:rsid w:val="0067631B"/>
    <w:rsid w:val="00676345"/>
    <w:rsid w:val="0067638B"/>
    <w:rsid w:val="00676471"/>
    <w:rsid w:val="0067656A"/>
    <w:rsid w:val="006766D1"/>
    <w:rsid w:val="0067684E"/>
    <w:rsid w:val="0067688E"/>
    <w:rsid w:val="006772DD"/>
    <w:rsid w:val="00677540"/>
    <w:rsid w:val="00677928"/>
    <w:rsid w:val="006779F7"/>
    <w:rsid w:val="00677C49"/>
    <w:rsid w:val="00677EB1"/>
    <w:rsid w:val="0068002F"/>
    <w:rsid w:val="0068079F"/>
    <w:rsid w:val="00680CC1"/>
    <w:rsid w:val="00680CFD"/>
    <w:rsid w:val="00680D1A"/>
    <w:rsid w:val="00681105"/>
    <w:rsid w:val="00681620"/>
    <w:rsid w:val="00681639"/>
    <w:rsid w:val="00681714"/>
    <w:rsid w:val="00681BF1"/>
    <w:rsid w:val="00681C35"/>
    <w:rsid w:val="00681EBF"/>
    <w:rsid w:val="00682886"/>
    <w:rsid w:val="00682B81"/>
    <w:rsid w:val="00682B89"/>
    <w:rsid w:val="00682C89"/>
    <w:rsid w:val="00682D28"/>
    <w:rsid w:val="00682DBC"/>
    <w:rsid w:val="006830B2"/>
    <w:rsid w:val="006830FF"/>
    <w:rsid w:val="006832A5"/>
    <w:rsid w:val="00683CBF"/>
    <w:rsid w:val="00683D62"/>
    <w:rsid w:val="00683EC2"/>
    <w:rsid w:val="006841D2"/>
    <w:rsid w:val="00684410"/>
    <w:rsid w:val="00684789"/>
    <w:rsid w:val="006847BB"/>
    <w:rsid w:val="00684D26"/>
    <w:rsid w:val="00684E94"/>
    <w:rsid w:val="00684FB7"/>
    <w:rsid w:val="0068503D"/>
    <w:rsid w:val="006855C7"/>
    <w:rsid w:val="00685600"/>
    <w:rsid w:val="00685AB9"/>
    <w:rsid w:val="00686099"/>
    <w:rsid w:val="0068637F"/>
    <w:rsid w:val="0068643A"/>
    <w:rsid w:val="006865A8"/>
    <w:rsid w:val="006867C5"/>
    <w:rsid w:val="0068689A"/>
    <w:rsid w:val="006872CF"/>
    <w:rsid w:val="00687419"/>
    <w:rsid w:val="006874AB"/>
    <w:rsid w:val="00687921"/>
    <w:rsid w:val="00687F75"/>
    <w:rsid w:val="00690198"/>
    <w:rsid w:val="006901B5"/>
    <w:rsid w:val="0069020F"/>
    <w:rsid w:val="0069033C"/>
    <w:rsid w:val="00690426"/>
    <w:rsid w:val="00690980"/>
    <w:rsid w:val="00690DA0"/>
    <w:rsid w:val="00691529"/>
    <w:rsid w:val="0069154C"/>
    <w:rsid w:val="006916AE"/>
    <w:rsid w:val="0069184A"/>
    <w:rsid w:val="006918C6"/>
    <w:rsid w:val="00691C5D"/>
    <w:rsid w:val="006924EF"/>
    <w:rsid w:val="006927F1"/>
    <w:rsid w:val="00692925"/>
    <w:rsid w:val="00692AEE"/>
    <w:rsid w:val="00692BB0"/>
    <w:rsid w:val="0069316E"/>
    <w:rsid w:val="00693760"/>
    <w:rsid w:val="0069381D"/>
    <w:rsid w:val="00693A48"/>
    <w:rsid w:val="00693A8F"/>
    <w:rsid w:val="00693F9D"/>
    <w:rsid w:val="00694218"/>
    <w:rsid w:val="00694551"/>
    <w:rsid w:val="006945D1"/>
    <w:rsid w:val="00694A36"/>
    <w:rsid w:val="00694CD4"/>
    <w:rsid w:val="00694CFA"/>
    <w:rsid w:val="006953B7"/>
    <w:rsid w:val="0069591E"/>
    <w:rsid w:val="00695E40"/>
    <w:rsid w:val="006961B8"/>
    <w:rsid w:val="00696382"/>
    <w:rsid w:val="00696A46"/>
    <w:rsid w:val="00696A58"/>
    <w:rsid w:val="00696BB4"/>
    <w:rsid w:val="00696CCF"/>
    <w:rsid w:val="00696D26"/>
    <w:rsid w:val="00696FE6"/>
    <w:rsid w:val="006971AB"/>
    <w:rsid w:val="006972C3"/>
    <w:rsid w:val="006976D2"/>
    <w:rsid w:val="006976F9"/>
    <w:rsid w:val="0069799B"/>
    <w:rsid w:val="006979A3"/>
    <w:rsid w:val="006A011E"/>
    <w:rsid w:val="006A04C8"/>
    <w:rsid w:val="006A06B0"/>
    <w:rsid w:val="006A0B47"/>
    <w:rsid w:val="006A142D"/>
    <w:rsid w:val="006A16C5"/>
    <w:rsid w:val="006A1857"/>
    <w:rsid w:val="006A1867"/>
    <w:rsid w:val="006A2166"/>
    <w:rsid w:val="006A243E"/>
    <w:rsid w:val="006A28F8"/>
    <w:rsid w:val="006A307C"/>
    <w:rsid w:val="006A31D1"/>
    <w:rsid w:val="006A3201"/>
    <w:rsid w:val="006A3C19"/>
    <w:rsid w:val="006A3C50"/>
    <w:rsid w:val="006A3E9E"/>
    <w:rsid w:val="006A41D4"/>
    <w:rsid w:val="006A42D2"/>
    <w:rsid w:val="006A43F5"/>
    <w:rsid w:val="006A4757"/>
    <w:rsid w:val="006A4784"/>
    <w:rsid w:val="006A581E"/>
    <w:rsid w:val="006A5B01"/>
    <w:rsid w:val="006A5B6D"/>
    <w:rsid w:val="006A5F4E"/>
    <w:rsid w:val="006A6255"/>
    <w:rsid w:val="006A63CC"/>
    <w:rsid w:val="006A69B2"/>
    <w:rsid w:val="006A75C2"/>
    <w:rsid w:val="006A7DB9"/>
    <w:rsid w:val="006A7F7B"/>
    <w:rsid w:val="006A7F7F"/>
    <w:rsid w:val="006B0072"/>
    <w:rsid w:val="006B017F"/>
    <w:rsid w:val="006B094F"/>
    <w:rsid w:val="006B0D0C"/>
    <w:rsid w:val="006B0E44"/>
    <w:rsid w:val="006B0EF8"/>
    <w:rsid w:val="006B1060"/>
    <w:rsid w:val="006B1235"/>
    <w:rsid w:val="006B13FB"/>
    <w:rsid w:val="006B1A08"/>
    <w:rsid w:val="006B1D0C"/>
    <w:rsid w:val="006B1D93"/>
    <w:rsid w:val="006B221F"/>
    <w:rsid w:val="006B228D"/>
    <w:rsid w:val="006B23E4"/>
    <w:rsid w:val="006B264D"/>
    <w:rsid w:val="006B284F"/>
    <w:rsid w:val="006B28B4"/>
    <w:rsid w:val="006B2993"/>
    <w:rsid w:val="006B2B96"/>
    <w:rsid w:val="006B2C3B"/>
    <w:rsid w:val="006B32E3"/>
    <w:rsid w:val="006B3547"/>
    <w:rsid w:val="006B4072"/>
    <w:rsid w:val="006B46AE"/>
    <w:rsid w:val="006B4E61"/>
    <w:rsid w:val="006B4E87"/>
    <w:rsid w:val="006B5172"/>
    <w:rsid w:val="006B5373"/>
    <w:rsid w:val="006B57AD"/>
    <w:rsid w:val="006B5ABE"/>
    <w:rsid w:val="006B5CFC"/>
    <w:rsid w:val="006B5F0B"/>
    <w:rsid w:val="006B6202"/>
    <w:rsid w:val="006B621B"/>
    <w:rsid w:val="006B645A"/>
    <w:rsid w:val="006B669B"/>
    <w:rsid w:val="006B6704"/>
    <w:rsid w:val="006B68A0"/>
    <w:rsid w:val="006B699D"/>
    <w:rsid w:val="006B6BD5"/>
    <w:rsid w:val="006B6BDB"/>
    <w:rsid w:val="006B6D76"/>
    <w:rsid w:val="006B6EFC"/>
    <w:rsid w:val="006B7076"/>
    <w:rsid w:val="006B7409"/>
    <w:rsid w:val="006B7551"/>
    <w:rsid w:val="006B7BB4"/>
    <w:rsid w:val="006B7BB5"/>
    <w:rsid w:val="006B7C3F"/>
    <w:rsid w:val="006C0232"/>
    <w:rsid w:val="006C026F"/>
    <w:rsid w:val="006C0500"/>
    <w:rsid w:val="006C080D"/>
    <w:rsid w:val="006C0DBC"/>
    <w:rsid w:val="006C0F61"/>
    <w:rsid w:val="006C1065"/>
    <w:rsid w:val="006C1461"/>
    <w:rsid w:val="006C1787"/>
    <w:rsid w:val="006C1BF1"/>
    <w:rsid w:val="006C1C08"/>
    <w:rsid w:val="006C1FAB"/>
    <w:rsid w:val="006C2066"/>
    <w:rsid w:val="006C2530"/>
    <w:rsid w:val="006C2AA6"/>
    <w:rsid w:val="006C2B82"/>
    <w:rsid w:val="006C2BAB"/>
    <w:rsid w:val="006C2CB3"/>
    <w:rsid w:val="006C31BC"/>
    <w:rsid w:val="006C37CA"/>
    <w:rsid w:val="006C3ABB"/>
    <w:rsid w:val="006C3BD7"/>
    <w:rsid w:val="006C3CDA"/>
    <w:rsid w:val="006C3CED"/>
    <w:rsid w:val="006C3E9E"/>
    <w:rsid w:val="006C3ED0"/>
    <w:rsid w:val="006C5142"/>
    <w:rsid w:val="006C51E7"/>
    <w:rsid w:val="006C52BE"/>
    <w:rsid w:val="006C54B1"/>
    <w:rsid w:val="006C5582"/>
    <w:rsid w:val="006C5753"/>
    <w:rsid w:val="006C5B8E"/>
    <w:rsid w:val="006C5B96"/>
    <w:rsid w:val="006C61CE"/>
    <w:rsid w:val="006C67E7"/>
    <w:rsid w:val="006C6C79"/>
    <w:rsid w:val="006C6F00"/>
    <w:rsid w:val="006C70D9"/>
    <w:rsid w:val="006C7AFD"/>
    <w:rsid w:val="006C7B64"/>
    <w:rsid w:val="006C7B90"/>
    <w:rsid w:val="006C7D30"/>
    <w:rsid w:val="006C7FD5"/>
    <w:rsid w:val="006D0006"/>
    <w:rsid w:val="006D00A1"/>
    <w:rsid w:val="006D0164"/>
    <w:rsid w:val="006D068A"/>
    <w:rsid w:val="006D0A96"/>
    <w:rsid w:val="006D0A9D"/>
    <w:rsid w:val="006D0B79"/>
    <w:rsid w:val="006D101A"/>
    <w:rsid w:val="006D1303"/>
    <w:rsid w:val="006D1371"/>
    <w:rsid w:val="006D1571"/>
    <w:rsid w:val="006D1718"/>
    <w:rsid w:val="006D1FCC"/>
    <w:rsid w:val="006D2187"/>
    <w:rsid w:val="006D23DF"/>
    <w:rsid w:val="006D290B"/>
    <w:rsid w:val="006D2F1A"/>
    <w:rsid w:val="006D2F2F"/>
    <w:rsid w:val="006D2FCA"/>
    <w:rsid w:val="006D382C"/>
    <w:rsid w:val="006D3B8F"/>
    <w:rsid w:val="006D3F61"/>
    <w:rsid w:val="006D3F7D"/>
    <w:rsid w:val="006D41DD"/>
    <w:rsid w:val="006D4536"/>
    <w:rsid w:val="006D46C4"/>
    <w:rsid w:val="006D4908"/>
    <w:rsid w:val="006D4916"/>
    <w:rsid w:val="006D4D88"/>
    <w:rsid w:val="006D5188"/>
    <w:rsid w:val="006D5591"/>
    <w:rsid w:val="006D57CE"/>
    <w:rsid w:val="006D57F3"/>
    <w:rsid w:val="006D5CBC"/>
    <w:rsid w:val="006D5F68"/>
    <w:rsid w:val="006D6276"/>
    <w:rsid w:val="006D6599"/>
    <w:rsid w:val="006D66BF"/>
    <w:rsid w:val="006D66F0"/>
    <w:rsid w:val="006D7299"/>
    <w:rsid w:val="006D73DA"/>
    <w:rsid w:val="006D73DC"/>
    <w:rsid w:val="006D75D2"/>
    <w:rsid w:val="006D7945"/>
    <w:rsid w:val="006E04BC"/>
    <w:rsid w:val="006E0AA6"/>
    <w:rsid w:val="006E0C96"/>
    <w:rsid w:val="006E1C7F"/>
    <w:rsid w:val="006E1E58"/>
    <w:rsid w:val="006E201B"/>
    <w:rsid w:val="006E22B0"/>
    <w:rsid w:val="006E23E8"/>
    <w:rsid w:val="006E24F4"/>
    <w:rsid w:val="006E2559"/>
    <w:rsid w:val="006E2DCE"/>
    <w:rsid w:val="006E2EC2"/>
    <w:rsid w:val="006E30DC"/>
    <w:rsid w:val="006E3141"/>
    <w:rsid w:val="006E31BC"/>
    <w:rsid w:val="006E3BF5"/>
    <w:rsid w:val="006E4045"/>
    <w:rsid w:val="006E4479"/>
    <w:rsid w:val="006E464E"/>
    <w:rsid w:val="006E47AB"/>
    <w:rsid w:val="006E48D5"/>
    <w:rsid w:val="006E495D"/>
    <w:rsid w:val="006E4C56"/>
    <w:rsid w:val="006E4C81"/>
    <w:rsid w:val="006E4D05"/>
    <w:rsid w:val="006E4D28"/>
    <w:rsid w:val="006E4E11"/>
    <w:rsid w:val="006E4E75"/>
    <w:rsid w:val="006E4EA6"/>
    <w:rsid w:val="006E4F56"/>
    <w:rsid w:val="006E4F85"/>
    <w:rsid w:val="006E5080"/>
    <w:rsid w:val="006E537C"/>
    <w:rsid w:val="006E5667"/>
    <w:rsid w:val="006E5CD2"/>
    <w:rsid w:val="006E5CEA"/>
    <w:rsid w:val="006E5F14"/>
    <w:rsid w:val="006E5FA4"/>
    <w:rsid w:val="006E6060"/>
    <w:rsid w:val="006E618A"/>
    <w:rsid w:val="006E6904"/>
    <w:rsid w:val="006E6A64"/>
    <w:rsid w:val="006E6A6A"/>
    <w:rsid w:val="006E70E3"/>
    <w:rsid w:val="006E732F"/>
    <w:rsid w:val="006E7418"/>
    <w:rsid w:val="006E744A"/>
    <w:rsid w:val="006E7950"/>
    <w:rsid w:val="006E7A11"/>
    <w:rsid w:val="006E7C6D"/>
    <w:rsid w:val="006E7EDB"/>
    <w:rsid w:val="006F00F7"/>
    <w:rsid w:val="006F01A3"/>
    <w:rsid w:val="006F080C"/>
    <w:rsid w:val="006F094B"/>
    <w:rsid w:val="006F0B61"/>
    <w:rsid w:val="006F0CC9"/>
    <w:rsid w:val="006F0E6D"/>
    <w:rsid w:val="006F1559"/>
    <w:rsid w:val="006F166C"/>
    <w:rsid w:val="006F1DCA"/>
    <w:rsid w:val="006F20D0"/>
    <w:rsid w:val="006F2159"/>
    <w:rsid w:val="006F23DB"/>
    <w:rsid w:val="006F247F"/>
    <w:rsid w:val="006F2583"/>
    <w:rsid w:val="006F295A"/>
    <w:rsid w:val="006F2B54"/>
    <w:rsid w:val="006F2B84"/>
    <w:rsid w:val="006F3252"/>
    <w:rsid w:val="006F3308"/>
    <w:rsid w:val="006F358B"/>
    <w:rsid w:val="006F380D"/>
    <w:rsid w:val="006F38B3"/>
    <w:rsid w:val="006F3B06"/>
    <w:rsid w:val="006F3BE7"/>
    <w:rsid w:val="006F3EC5"/>
    <w:rsid w:val="006F3EFF"/>
    <w:rsid w:val="006F48AD"/>
    <w:rsid w:val="006F49D0"/>
    <w:rsid w:val="006F4B5D"/>
    <w:rsid w:val="006F4DFF"/>
    <w:rsid w:val="006F50FB"/>
    <w:rsid w:val="006F5119"/>
    <w:rsid w:val="006F531F"/>
    <w:rsid w:val="006F53C1"/>
    <w:rsid w:val="006F5434"/>
    <w:rsid w:val="006F6225"/>
    <w:rsid w:val="006F630B"/>
    <w:rsid w:val="006F63C4"/>
    <w:rsid w:val="006F63E2"/>
    <w:rsid w:val="006F65A0"/>
    <w:rsid w:val="006F65F1"/>
    <w:rsid w:val="006F6615"/>
    <w:rsid w:val="006F6AD0"/>
    <w:rsid w:val="006F7B59"/>
    <w:rsid w:val="006F7B7E"/>
    <w:rsid w:val="00700045"/>
    <w:rsid w:val="00700274"/>
    <w:rsid w:val="00700449"/>
    <w:rsid w:val="0070071C"/>
    <w:rsid w:val="00700F9E"/>
    <w:rsid w:val="00700FD1"/>
    <w:rsid w:val="00701623"/>
    <w:rsid w:val="00701705"/>
    <w:rsid w:val="00701D85"/>
    <w:rsid w:val="00701E48"/>
    <w:rsid w:val="00701FD4"/>
    <w:rsid w:val="00702047"/>
    <w:rsid w:val="0070209B"/>
    <w:rsid w:val="00702248"/>
    <w:rsid w:val="007024F4"/>
    <w:rsid w:val="00702872"/>
    <w:rsid w:val="007028A5"/>
    <w:rsid w:val="00702C48"/>
    <w:rsid w:val="00702C49"/>
    <w:rsid w:val="00702EBC"/>
    <w:rsid w:val="00702FA5"/>
    <w:rsid w:val="007032C0"/>
    <w:rsid w:val="007036F9"/>
    <w:rsid w:val="00703891"/>
    <w:rsid w:val="007040F9"/>
    <w:rsid w:val="007042BD"/>
    <w:rsid w:val="0070443F"/>
    <w:rsid w:val="007045CD"/>
    <w:rsid w:val="00704938"/>
    <w:rsid w:val="00704A3D"/>
    <w:rsid w:val="00704AD6"/>
    <w:rsid w:val="007054B1"/>
    <w:rsid w:val="00705576"/>
    <w:rsid w:val="00705676"/>
    <w:rsid w:val="0070578A"/>
    <w:rsid w:val="007058B7"/>
    <w:rsid w:val="00705C0A"/>
    <w:rsid w:val="00705ED7"/>
    <w:rsid w:val="007060E4"/>
    <w:rsid w:val="00706159"/>
    <w:rsid w:val="00706977"/>
    <w:rsid w:val="00706984"/>
    <w:rsid w:val="00706BA4"/>
    <w:rsid w:val="00706DC6"/>
    <w:rsid w:val="007073FC"/>
    <w:rsid w:val="007076E9"/>
    <w:rsid w:val="0070779B"/>
    <w:rsid w:val="00707826"/>
    <w:rsid w:val="007079F4"/>
    <w:rsid w:val="0071001A"/>
    <w:rsid w:val="0071026F"/>
    <w:rsid w:val="007102F9"/>
    <w:rsid w:val="0071031C"/>
    <w:rsid w:val="007106E3"/>
    <w:rsid w:val="00710BBE"/>
    <w:rsid w:val="00710E7F"/>
    <w:rsid w:val="00711341"/>
    <w:rsid w:val="007113D2"/>
    <w:rsid w:val="007114E5"/>
    <w:rsid w:val="00711873"/>
    <w:rsid w:val="007118F1"/>
    <w:rsid w:val="00711C3A"/>
    <w:rsid w:val="00711DBE"/>
    <w:rsid w:val="007120E0"/>
    <w:rsid w:val="00712477"/>
    <w:rsid w:val="00712C17"/>
    <w:rsid w:val="007132AA"/>
    <w:rsid w:val="007138FB"/>
    <w:rsid w:val="00713E02"/>
    <w:rsid w:val="007141D1"/>
    <w:rsid w:val="00714406"/>
    <w:rsid w:val="0071505E"/>
    <w:rsid w:val="00715363"/>
    <w:rsid w:val="00715507"/>
    <w:rsid w:val="007159BC"/>
    <w:rsid w:val="00715A0F"/>
    <w:rsid w:val="00715B02"/>
    <w:rsid w:val="00715C89"/>
    <w:rsid w:val="00717406"/>
    <w:rsid w:val="0071764A"/>
    <w:rsid w:val="007176C8"/>
    <w:rsid w:val="00717B48"/>
    <w:rsid w:val="00717ECA"/>
    <w:rsid w:val="00717F19"/>
    <w:rsid w:val="00720D0C"/>
    <w:rsid w:val="00720D3A"/>
    <w:rsid w:val="00721188"/>
    <w:rsid w:val="0072147F"/>
    <w:rsid w:val="00721502"/>
    <w:rsid w:val="00721852"/>
    <w:rsid w:val="00721907"/>
    <w:rsid w:val="007221E3"/>
    <w:rsid w:val="00722280"/>
    <w:rsid w:val="007223A2"/>
    <w:rsid w:val="0072250E"/>
    <w:rsid w:val="007225B3"/>
    <w:rsid w:val="007228EB"/>
    <w:rsid w:val="007231E2"/>
    <w:rsid w:val="00723495"/>
    <w:rsid w:val="007237C4"/>
    <w:rsid w:val="007238EE"/>
    <w:rsid w:val="00723D24"/>
    <w:rsid w:val="00723EB0"/>
    <w:rsid w:val="007258EC"/>
    <w:rsid w:val="007259FF"/>
    <w:rsid w:val="00725A84"/>
    <w:rsid w:val="00725AC8"/>
    <w:rsid w:val="00726172"/>
    <w:rsid w:val="007263AC"/>
    <w:rsid w:val="00726457"/>
    <w:rsid w:val="0072660A"/>
    <w:rsid w:val="0072669E"/>
    <w:rsid w:val="00726CED"/>
    <w:rsid w:val="00727155"/>
    <w:rsid w:val="007271BE"/>
    <w:rsid w:val="00727294"/>
    <w:rsid w:val="00727313"/>
    <w:rsid w:val="007273B6"/>
    <w:rsid w:val="00727466"/>
    <w:rsid w:val="007275CD"/>
    <w:rsid w:val="00727664"/>
    <w:rsid w:val="00727A6E"/>
    <w:rsid w:val="00727A80"/>
    <w:rsid w:val="00730182"/>
    <w:rsid w:val="007301A8"/>
    <w:rsid w:val="007303E5"/>
    <w:rsid w:val="0073053C"/>
    <w:rsid w:val="00730878"/>
    <w:rsid w:val="00730977"/>
    <w:rsid w:val="00730C5C"/>
    <w:rsid w:val="0073255D"/>
    <w:rsid w:val="00732B8E"/>
    <w:rsid w:val="00732E94"/>
    <w:rsid w:val="00733668"/>
    <w:rsid w:val="00734380"/>
    <w:rsid w:val="00734635"/>
    <w:rsid w:val="00734872"/>
    <w:rsid w:val="00734AFF"/>
    <w:rsid w:val="00734D5F"/>
    <w:rsid w:val="00734DEE"/>
    <w:rsid w:val="00734E57"/>
    <w:rsid w:val="007353AB"/>
    <w:rsid w:val="0073547E"/>
    <w:rsid w:val="007357D7"/>
    <w:rsid w:val="00736135"/>
    <w:rsid w:val="00736694"/>
    <w:rsid w:val="00736758"/>
    <w:rsid w:val="00736D90"/>
    <w:rsid w:val="00737020"/>
    <w:rsid w:val="00737463"/>
    <w:rsid w:val="007375AF"/>
    <w:rsid w:val="0073774D"/>
    <w:rsid w:val="0073779A"/>
    <w:rsid w:val="007378C7"/>
    <w:rsid w:val="00737A62"/>
    <w:rsid w:val="00737BAA"/>
    <w:rsid w:val="0074023D"/>
    <w:rsid w:val="00740461"/>
    <w:rsid w:val="00740B03"/>
    <w:rsid w:val="00740C77"/>
    <w:rsid w:val="00740FA4"/>
    <w:rsid w:val="0074130F"/>
    <w:rsid w:val="0074145B"/>
    <w:rsid w:val="007417C7"/>
    <w:rsid w:val="00741960"/>
    <w:rsid w:val="00741CBD"/>
    <w:rsid w:val="00741F9A"/>
    <w:rsid w:val="00742555"/>
    <w:rsid w:val="00742558"/>
    <w:rsid w:val="00742BDB"/>
    <w:rsid w:val="00742BE1"/>
    <w:rsid w:val="00742F08"/>
    <w:rsid w:val="00742F32"/>
    <w:rsid w:val="00743473"/>
    <w:rsid w:val="007435CB"/>
    <w:rsid w:val="007437BC"/>
    <w:rsid w:val="007438FC"/>
    <w:rsid w:val="00743C2E"/>
    <w:rsid w:val="00743ED8"/>
    <w:rsid w:val="00743F4E"/>
    <w:rsid w:val="007441B6"/>
    <w:rsid w:val="007445E8"/>
    <w:rsid w:val="00744C0F"/>
    <w:rsid w:val="00744C49"/>
    <w:rsid w:val="00744CEE"/>
    <w:rsid w:val="00744EAF"/>
    <w:rsid w:val="00744FD3"/>
    <w:rsid w:val="0074500A"/>
    <w:rsid w:val="00745279"/>
    <w:rsid w:val="0074534C"/>
    <w:rsid w:val="00745475"/>
    <w:rsid w:val="007457ED"/>
    <w:rsid w:val="00745BD5"/>
    <w:rsid w:val="00746331"/>
    <w:rsid w:val="007463DB"/>
    <w:rsid w:val="007468BD"/>
    <w:rsid w:val="0074708F"/>
    <w:rsid w:val="00747298"/>
    <w:rsid w:val="007475A4"/>
    <w:rsid w:val="007476B3"/>
    <w:rsid w:val="00747773"/>
    <w:rsid w:val="00747B11"/>
    <w:rsid w:val="00747F2E"/>
    <w:rsid w:val="007507A8"/>
    <w:rsid w:val="0075113B"/>
    <w:rsid w:val="0075162C"/>
    <w:rsid w:val="00751792"/>
    <w:rsid w:val="007519A8"/>
    <w:rsid w:val="00751B4D"/>
    <w:rsid w:val="00751FD7"/>
    <w:rsid w:val="00752335"/>
    <w:rsid w:val="0075254B"/>
    <w:rsid w:val="00752844"/>
    <w:rsid w:val="00752AF3"/>
    <w:rsid w:val="00752BC5"/>
    <w:rsid w:val="00752F9E"/>
    <w:rsid w:val="00753060"/>
    <w:rsid w:val="00753242"/>
    <w:rsid w:val="00753720"/>
    <w:rsid w:val="00753747"/>
    <w:rsid w:val="007538FE"/>
    <w:rsid w:val="00753BA0"/>
    <w:rsid w:val="00753EBA"/>
    <w:rsid w:val="00754221"/>
    <w:rsid w:val="00754892"/>
    <w:rsid w:val="00754AAB"/>
    <w:rsid w:val="00754D2C"/>
    <w:rsid w:val="00754F0F"/>
    <w:rsid w:val="00755609"/>
    <w:rsid w:val="00755898"/>
    <w:rsid w:val="00755C6A"/>
    <w:rsid w:val="00755D77"/>
    <w:rsid w:val="0075622C"/>
    <w:rsid w:val="007579E3"/>
    <w:rsid w:val="00757B5A"/>
    <w:rsid w:val="00757DC8"/>
    <w:rsid w:val="00757E07"/>
    <w:rsid w:val="0076022D"/>
    <w:rsid w:val="0076028F"/>
    <w:rsid w:val="00760C05"/>
    <w:rsid w:val="00760E58"/>
    <w:rsid w:val="00760ED2"/>
    <w:rsid w:val="007613A3"/>
    <w:rsid w:val="007618A4"/>
    <w:rsid w:val="00761A37"/>
    <w:rsid w:val="00761B6A"/>
    <w:rsid w:val="00761CFB"/>
    <w:rsid w:val="0076207A"/>
    <w:rsid w:val="00762236"/>
    <w:rsid w:val="00762541"/>
    <w:rsid w:val="00762821"/>
    <w:rsid w:val="00764013"/>
    <w:rsid w:val="007642BD"/>
    <w:rsid w:val="00764684"/>
    <w:rsid w:val="007646FA"/>
    <w:rsid w:val="00764911"/>
    <w:rsid w:val="00764BAB"/>
    <w:rsid w:val="00764C40"/>
    <w:rsid w:val="00764CE0"/>
    <w:rsid w:val="0076527E"/>
    <w:rsid w:val="007652C7"/>
    <w:rsid w:val="00765FF8"/>
    <w:rsid w:val="00766040"/>
    <w:rsid w:val="00766DAC"/>
    <w:rsid w:val="00766FE6"/>
    <w:rsid w:val="00767282"/>
    <w:rsid w:val="007674AE"/>
    <w:rsid w:val="00767A2A"/>
    <w:rsid w:val="00767DDB"/>
    <w:rsid w:val="00770106"/>
    <w:rsid w:val="00770178"/>
    <w:rsid w:val="0077045B"/>
    <w:rsid w:val="00770669"/>
    <w:rsid w:val="00770AAC"/>
    <w:rsid w:val="00770DA8"/>
    <w:rsid w:val="00770EB0"/>
    <w:rsid w:val="00771455"/>
    <w:rsid w:val="00771792"/>
    <w:rsid w:val="00771965"/>
    <w:rsid w:val="00772070"/>
    <w:rsid w:val="0077289D"/>
    <w:rsid w:val="00772A80"/>
    <w:rsid w:val="00772C33"/>
    <w:rsid w:val="00772E28"/>
    <w:rsid w:val="00772EE2"/>
    <w:rsid w:val="00773122"/>
    <w:rsid w:val="0077336C"/>
    <w:rsid w:val="007733C7"/>
    <w:rsid w:val="0077347B"/>
    <w:rsid w:val="00773769"/>
    <w:rsid w:val="00773794"/>
    <w:rsid w:val="007737A0"/>
    <w:rsid w:val="007737DA"/>
    <w:rsid w:val="0077399E"/>
    <w:rsid w:val="00774033"/>
    <w:rsid w:val="007740BE"/>
    <w:rsid w:val="007741B7"/>
    <w:rsid w:val="00774427"/>
    <w:rsid w:val="0077442A"/>
    <w:rsid w:val="0077449D"/>
    <w:rsid w:val="00774688"/>
    <w:rsid w:val="00774A00"/>
    <w:rsid w:val="007755B1"/>
    <w:rsid w:val="00775B36"/>
    <w:rsid w:val="00775CC6"/>
    <w:rsid w:val="00775E3A"/>
    <w:rsid w:val="00775F10"/>
    <w:rsid w:val="00775F7F"/>
    <w:rsid w:val="00775FE2"/>
    <w:rsid w:val="007765E0"/>
    <w:rsid w:val="00776617"/>
    <w:rsid w:val="00776BC3"/>
    <w:rsid w:val="00776BF4"/>
    <w:rsid w:val="00776EA5"/>
    <w:rsid w:val="00777019"/>
    <w:rsid w:val="0077720B"/>
    <w:rsid w:val="007774D1"/>
    <w:rsid w:val="007777C8"/>
    <w:rsid w:val="00777A7D"/>
    <w:rsid w:val="00777D65"/>
    <w:rsid w:val="00777EF5"/>
    <w:rsid w:val="0078000D"/>
    <w:rsid w:val="0078005C"/>
    <w:rsid w:val="007801B2"/>
    <w:rsid w:val="0078048B"/>
    <w:rsid w:val="00780492"/>
    <w:rsid w:val="007805AE"/>
    <w:rsid w:val="00780DDB"/>
    <w:rsid w:val="00780EE0"/>
    <w:rsid w:val="00780F67"/>
    <w:rsid w:val="00781788"/>
    <w:rsid w:val="00781801"/>
    <w:rsid w:val="007818AC"/>
    <w:rsid w:val="00781A00"/>
    <w:rsid w:val="00781D79"/>
    <w:rsid w:val="00782111"/>
    <w:rsid w:val="00782429"/>
    <w:rsid w:val="007829E9"/>
    <w:rsid w:val="00782BB3"/>
    <w:rsid w:val="0078350B"/>
    <w:rsid w:val="007835F9"/>
    <w:rsid w:val="007836D9"/>
    <w:rsid w:val="00783769"/>
    <w:rsid w:val="00783FAE"/>
    <w:rsid w:val="00783FB5"/>
    <w:rsid w:val="007840B5"/>
    <w:rsid w:val="007847EE"/>
    <w:rsid w:val="00784868"/>
    <w:rsid w:val="00784944"/>
    <w:rsid w:val="00784B4D"/>
    <w:rsid w:val="00784C96"/>
    <w:rsid w:val="007851FB"/>
    <w:rsid w:val="007852D2"/>
    <w:rsid w:val="007855C8"/>
    <w:rsid w:val="00785C74"/>
    <w:rsid w:val="00785E5C"/>
    <w:rsid w:val="00786526"/>
    <w:rsid w:val="00786E54"/>
    <w:rsid w:val="00786EA4"/>
    <w:rsid w:val="00786EEA"/>
    <w:rsid w:val="007875B3"/>
    <w:rsid w:val="007877C8"/>
    <w:rsid w:val="0078788D"/>
    <w:rsid w:val="00787E12"/>
    <w:rsid w:val="007905F9"/>
    <w:rsid w:val="007907AC"/>
    <w:rsid w:val="00790C97"/>
    <w:rsid w:val="00790E40"/>
    <w:rsid w:val="00790F91"/>
    <w:rsid w:val="0079122D"/>
    <w:rsid w:val="00791417"/>
    <w:rsid w:val="0079268D"/>
    <w:rsid w:val="0079279E"/>
    <w:rsid w:val="007927BE"/>
    <w:rsid w:val="0079293D"/>
    <w:rsid w:val="00792A8D"/>
    <w:rsid w:val="00792B9B"/>
    <w:rsid w:val="00792EA4"/>
    <w:rsid w:val="00793A05"/>
    <w:rsid w:val="00793A98"/>
    <w:rsid w:val="0079404D"/>
    <w:rsid w:val="00794084"/>
    <w:rsid w:val="007940DE"/>
    <w:rsid w:val="007946A5"/>
    <w:rsid w:val="00794BEC"/>
    <w:rsid w:val="00794E2C"/>
    <w:rsid w:val="007955E1"/>
    <w:rsid w:val="007958ED"/>
    <w:rsid w:val="00795925"/>
    <w:rsid w:val="00795DDF"/>
    <w:rsid w:val="00795E32"/>
    <w:rsid w:val="00795F02"/>
    <w:rsid w:val="00795F3D"/>
    <w:rsid w:val="0079693D"/>
    <w:rsid w:val="00796A81"/>
    <w:rsid w:val="00797354"/>
    <w:rsid w:val="00797728"/>
    <w:rsid w:val="00797C0E"/>
    <w:rsid w:val="007A0192"/>
    <w:rsid w:val="007A0425"/>
    <w:rsid w:val="007A0624"/>
    <w:rsid w:val="007A0A56"/>
    <w:rsid w:val="007A0A5D"/>
    <w:rsid w:val="007A0A81"/>
    <w:rsid w:val="007A0B21"/>
    <w:rsid w:val="007A0CBD"/>
    <w:rsid w:val="007A0FDA"/>
    <w:rsid w:val="007A11E7"/>
    <w:rsid w:val="007A16E7"/>
    <w:rsid w:val="007A185D"/>
    <w:rsid w:val="007A1B8E"/>
    <w:rsid w:val="007A1BBD"/>
    <w:rsid w:val="007A23C1"/>
    <w:rsid w:val="007A31E1"/>
    <w:rsid w:val="007A361E"/>
    <w:rsid w:val="007A3B40"/>
    <w:rsid w:val="007A3D64"/>
    <w:rsid w:val="007A3E54"/>
    <w:rsid w:val="007A3F8C"/>
    <w:rsid w:val="007A400B"/>
    <w:rsid w:val="007A4092"/>
    <w:rsid w:val="007A4A6A"/>
    <w:rsid w:val="007A4B55"/>
    <w:rsid w:val="007A4D4B"/>
    <w:rsid w:val="007A4D5F"/>
    <w:rsid w:val="007A5252"/>
    <w:rsid w:val="007A57C6"/>
    <w:rsid w:val="007A6439"/>
    <w:rsid w:val="007A649C"/>
    <w:rsid w:val="007A68A1"/>
    <w:rsid w:val="007A69D9"/>
    <w:rsid w:val="007A6DEB"/>
    <w:rsid w:val="007A70A9"/>
    <w:rsid w:val="007A71BB"/>
    <w:rsid w:val="007A751F"/>
    <w:rsid w:val="007A7885"/>
    <w:rsid w:val="007A7FCE"/>
    <w:rsid w:val="007B0225"/>
    <w:rsid w:val="007B039C"/>
    <w:rsid w:val="007B04E6"/>
    <w:rsid w:val="007B0AA9"/>
    <w:rsid w:val="007B0CA2"/>
    <w:rsid w:val="007B0E38"/>
    <w:rsid w:val="007B0E42"/>
    <w:rsid w:val="007B13EB"/>
    <w:rsid w:val="007B173A"/>
    <w:rsid w:val="007B1A15"/>
    <w:rsid w:val="007B20FA"/>
    <w:rsid w:val="007B21D7"/>
    <w:rsid w:val="007B23AB"/>
    <w:rsid w:val="007B23BF"/>
    <w:rsid w:val="007B25F8"/>
    <w:rsid w:val="007B26C7"/>
    <w:rsid w:val="007B26EF"/>
    <w:rsid w:val="007B270E"/>
    <w:rsid w:val="007B2A20"/>
    <w:rsid w:val="007B2F7E"/>
    <w:rsid w:val="007B30B3"/>
    <w:rsid w:val="007B3304"/>
    <w:rsid w:val="007B3A32"/>
    <w:rsid w:val="007B3CD9"/>
    <w:rsid w:val="007B424B"/>
    <w:rsid w:val="007B46B8"/>
    <w:rsid w:val="007B48B3"/>
    <w:rsid w:val="007B4F9A"/>
    <w:rsid w:val="007B5283"/>
    <w:rsid w:val="007B573B"/>
    <w:rsid w:val="007B5812"/>
    <w:rsid w:val="007B5F0F"/>
    <w:rsid w:val="007B5FCF"/>
    <w:rsid w:val="007B6173"/>
    <w:rsid w:val="007B6405"/>
    <w:rsid w:val="007B6524"/>
    <w:rsid w:val="007B65DB"/>
    <w:rsid w:val="007B695D"/>
    <w:rsid w:val="007B6FAE"/>
    <w:rsid w:val="007B72D7"/>
    <w:rsid w:val="007B737E"/>
    <w:rsid w:val="007B73FB"/>
    <w:rsid w:val="007B78C7"/>
    <w:rsid w:val="007C00D2"/>
    <w:rsid w:val="007C035D"/>
    <w:rsid w:val="007C05FD"/>
    <w:rsid w:val="007C06A4"/>
    <w:rsid w:val="007C09DF"/>
    <w:rsid w:val="007C0CBE"/>
    <w:rsid w:val="007C0F39"/>
    <w:rsid w:val="007C10B6"/>
    <w:rsid w:val="007C1A47"/>
    <w:rsid w:val="007C1B18"/>
    <w:rsid w:val="007C23C4"/>
    <w:rsid w:val="007C2413"/>
    <w:rsid w:val="007C25F1"/>
    <w:rsid w:val="007C2639"/>
    <w:rsid w:val="007C2A38"/>
    <w:rsid w:val="007C2D67"/>
    <w:rsid w:val="007C3198"/>
    <w:rsid w:val="007C3328"/>
    <w:rsid w:val="007C3377"/>
    <w:rsid w:val="007C35C1"/>
    <w:rsid w:val="007C3653"/>
    <w:rsid w:val="007C372B"/>
    <w:rsid w:val="007C3772"/>
    <w:rsid w:val="007C38FF"/>
    <w:rsid w:val="007C3C93"/>
    <w:rsid w:val="007C3E38"/>
    <w:rsid w:val="007C41D8"/>
    <w:rsid w:val="007C42CA"/>
    <w:rsid w:val="007C43B3"/>
    <w:rsid w:val="007C4774"/>
    <w:rsid w:val="007C49D9"/>
    <w:rsid w:val="007C4E05"/>
    <w:rsid w:val="007C51B2"/>
    <w:rsid w:val="007C54E3"/>
    <w:rsid w:val="007C5A18"/>
    <w:rsid w:val="007C5A4C"/>
    <w:rsid w:val="007C61E4"/>
    <w:rsid w:val="007C6439"/>
    <w:rsid w:val="007C6DE6"/>
    <w:rsid w:val="007C6F03"/>
    <w:rsid w:val="007C74A7"/>
    <w:rsid w:val="007C7968"/>
    <w:rsid w:val="007C79CC"/>
    <w:rsid w:val="007C7CA4"/>
    <w:rsid w:val="007C7F43"/>
    <w:rsid w:val="007D00EE"/>
    <w:rsid w:val="007D0154"/>
    <w:rsid w:val="007D069C"/>
    <w:rsid w:val="007D08E6"/>
    <w:rsid w:val="007D097E"/>
    <w:rsid w:val="007D14CC"/>
    <w:rsid w:val="007D1522"/>
    <w:rsid w:val="007D1D81"/>
    <w:rsid w:val="007D1E4E"/>
    <w:rsid w:val="007D21CB"/>
    <w:rsid w:val="007D22B5"/>
    <w:rsid w:val="007D2344"/>
    <w:rsid w:val="007D2B41"/>
    <w:rsid w:val="007D2BE6"/>
    <w:rsid w:val="007D2EE4"/>
    <w:rsid w:val="007D3584"/>
    <w:rsid w:val="007D3EB6"/>
    <w:rsid w:val="007D415F"/>
    <w:rsid w:val="007D49FF"/>
    <w:rsid w:val="007D4B41"/>
    <w:rsid w:val="007D4FD6"/>
    <w:rsid w:val="007D5C81"/>
    <w:rsid w:val="007D634B"/>
    <w:rsid w:val="007D636D"/>
    <w:rsid w:val="007D660E"/>
    <w:rsid w:val="007D6662"/>
    <w:rsid w:val="007D6AEE"/>
    <w:rsid w:val="007D6AF4"/>
    <w:rsid w:val="007D6CDB"/>
    <w:rsid w:val="007D71D0"/>
    <w:rsid w:val="007D739E"/>
    <w:rsid w:val="007D74B8"/>
    <w:rsid w:val="007D75AE"/>
    <w:rsid w:val="007D77A8"/>
    <w:rsid w:val="007E07A3"/>
    <w:rsid w:val="007E0AD3"/>
    <w:rsid w:val="007E0B72"/>
    <w:rsid w:val="007E0CAA"/>
    <w:rsid w:val="007E1558"/>
    <w:rsid w:val="007E1820"/>
    <w:rsid w:val="007E1850"/>
    <w:rsid w:val="007E186E"/>
    <w:rsid w:val="007E18D5"/>
    <w:rsid w:val="007E1DFA"/>
    <w:rsid w:val="007E201D"/>
    <w:rsid w:val="007E237A"/>
    <w:rsid w:val="007E25F5"/>
    <w:rsid w:val="007E2B18"/>
    <w:rsid w:val="007E2C48"/>
    <w:rsid w:val="007E315A"/>
    <w:rsid w:val="007E36C3"/>
    <w:rsid w:val="007E37F7"/>
    <w:rsid w:val="007E39BF"/>
    <w:rsid w:val="007E3B2A"/>
    <w:rsid w:val="007E3D29"/>
    <w:rsid w:val="007E3DC3"/>
    <w:rsid w:val="007E4053"/>
    <w:rsid w:val="007E46BC"/>
    <w:rsid w:val="007E4836"/>
    <w:rsid w:val="007E51CE"/>
    <w:rsid w:val="007E52BB"/>
    <w:rsid w:val="007E52BE"/>
    <w:rsid w:val="007E534F"/>
    <w:rsid w:val="007E5510"/>
    <w:rsid w:val="007E5D22"/>
    <w:rsid w:val="007E5DC4"/>
    <w:rsid w:val="007E6094"/>
    <w:rsid w:val="007E64AA"/>
    <w:rsid w:val="007E66D5"/>
    <w:rsid w:val="007E67B3"/>
    <w:rsid w:val="007E67F9"/>
    <w:rsid w:val="007E68C7"/>
    <w:rsid w:val="007E6A66"/>
    <w:rsid w:val="007E6C0C"/>
    <w:rsid w:val="007E6F67"/>
    <w:rsid w:val="007E6FCF"/>
    <w:rsid w:val="007E6FDA"/>
    <w:rsid w:val="007E7105"/>
    <w:rsid w:val="007E7551"/>
    <w:rsid w:val="007E7786"/>
    <w:rsid w:val="007E7B29"/>
    <w:rsid w:val="007E7EEB"/>
    <w:rsid w:val="007F08FB"/>
    <w:rsid w:val="007F0E78"/>
    <w:rsid w:val="007F1301"/>
    <w:rsid w:val="007F140D"/>
    <w:rsid w:val="007F1587"/>
    <w:rsid w:val="007F1699"/>
    <w:rsid w:val="007F20B5"/>
    <w:rsid w:val="007F21A3"/>
    <w:rsid w:val="007F22ED"/>
    <w:rsid w:val="007F26AF"/>
    <w:rsid w:val="007F2C63"/>
    <w:rsid w:val="007F2C69"/>
    <w:rsid w:val="007F2CE1"/>
    <w:rsid w:val="007F3177"/>
    <w:rsid w:val="007F335C"/>
    <w:rsid w:val="007F3960"/>
    <w:rsid w:val="007F39FA"/>
    <w:rsid w:val="007F3B11"/>
    <w:rsid w:val="007F3F24"/>
    <w:rsid w:val="007F44DA"/>
    <w:rsid w:val="007F49E7"/>
    <w:rsid w:val="007F4C92"/>
    <w:rsid w:val="007F5102"/>
    <w:rsid w:val="007F51D5"/>
    <w:rsid w:val="007F5825"/>
    <w:rsid w:val="007F5AD5"/>
    <w:rsid w:val="007F6071"/>
    <w:rsid w:val="007F662D"/>
    <w:rsid w:val="007F72A3"/>
    <w:rsid w:val="007F74C7"/>
    <w:rsid w:val="007F7504"/>
    <w:rsid w:val="007F7760"/>
    <w:rsid w:val="007F787C"/>
    <w:rsid w:val="007F79EF"/>
    <w:rsid w:val="007F7E8B"/>
    <w:rsid w:val="007F7FD6"/>
    <w:rsid w:val="00800079"/>
    <w:rsid w:val="00800759"/>
    <w:rsid w:val="008007DC"/>
    <w:rsid w:val="008009E5"/>
    <w:rsid w:val="00800A6E"/>
    <w:rsid w:val="00800BD6"/>
    <w:rsid w:val="00800C70"/>
    <w:rsid w:val="00800E2A"/>
    <w:rsid w:val="00800FFC"/>
    <w:rsid w:val="00801129"/>
    <w:rsid w:val="0080122B"/>
    <w:rsid w:val="0080134B"/>
    <w:rsid w:val="0080142D"/>
    <w:rsid w:val="00801E71"/>
    <w:rsid w:val="008024AE"/>
    <w:rsid w:val="008025CB"/>
    <w:rsid w:val="00802E8A"/>
    <w:rsid w:val="00803660"/>
    <w:rsid w:val="008037F0"/>
    <w:rsid w:val="00803AEA"/>
    <w:rsid w:val="00803B1A"/>
    <w:rsid w:val="00803B5B"/>
    <w:rsid w:val="00803C09"/>
    <w:rsid w:val="00803FED"/>
    <w:rsid w:val="0080467C"/>
    <w:rsid w:val="008048D3"/>
    <w:rsid w:val="00804963"/>
    <w:rsid w:val="00804C9C"/>
    <w:rsid w:val="00804D36"/>
    <w:rsid w:val="008057B9"/>
    <w:rsid w:val="00805954"/>
    <w:rsid w:val="00805BF8"/>
    <w:rsid w:val="00805F1E"/>
    <w:rsid w:val="0080625A"/>
    <w:rsid w:val="00806800"/>
    <w:rsid w:val="0080719D"/>
    <w:rsid w:val="008074C0"/>
    <w:rsid w:val="00807960"/>
    <w:rsid w:val="00807A2A"/>
    <w:rsid w:val="00807D95"/>
    <w:rsid w:val="00807E35"/>
    <w:rsid w:val="0081021E"/>
    <w:rsid w:val="00810449"/>
    <w:rsid w:val="00810544"/>
    <w:rsid w:val="00810A0F"/>
    <w:rsid w:val="008112C4"/>
    <w:rsid w:val="00811596"/>
    <w:rsid w:val="00811873"/>
    <w:rsid w:val="008118A4"/>
    <w:rsid w:val="00811922"/>
    <w:rsid w:val="00811D28"/>
    <w:rsid w:val="0081216A"/>
    <w:rsid w:val="008122CF"/>
    <w:rsid w:val="00812874"/>
    <w:rsid w:val="00812A39"/>
    <w:rsid w:val="00812F11"/>
    <w:rsid w:val="008134CC"/>
    <w:rsid w:val="0081391B"/>
    <w:rsid w:val="00813DAC"/>
    <w:rsid w:val="00813E14"/>
    <w:rsid w:val="00814293"/>
    <w:rsid w:val="00814322"/>
    <w:rsid w:val="00814E78"/>
    <w:rsid w:val="0081515E"/>
    <w:rsid w:val="0081536C"/>
    <w:rsid w:val="008158B1"/>
    <w:rsid w:val="00815B46"/>
    <w:rsid w:val="00815D2F"/>
    <w:rsid w:val="00815F2D"/>
    <w:rsid w:val="00816259"/>
    <w:rsid w:val="00816749"/>
    <w:rsid w:val="00816809"/>
    <w:rsid w:val="00816F76"/>
    <w:rsid w:val="008170C7"/>
    <w:rsid w:val="0081716D"/>
    <w:rsid w:val="008174C4"/>
    <w:rsid w:val="00817D8A"/>
    <w:rsid w:val="008207E1"/>
    <w:rsid w:val="0082130D"/>
    <w:rsid w:val="00821591"/>
    <w:rsid w:val="008215E3"/>
    <w:rsid w:val="00821732"/>
    <w:rsid w:val="008221A0"/>
    <w:rsid w:val="008223A7"/>
    <w:rsid w:val="008229DA"/>
    <w:rsid w:val="0082301B"/>
    <w:rsid w:val="008232AF"/>
    <w:rsid w:val="00823406"/>
    <w:rsid w:val="008238BB"/>
    <w:rsid w:val="00823BF2"/>
    <w:rsid w:val="0082422D"/>
    <w:rsid w:val="00824725"/>
    <w:rsid w:val="00824E11"/>
    <w:rsid w:val="00824E3E"/>
    <w:rsid w:val="008250BA"/>
    <w:rsid w:val="008254F6"/>
    <w:rsid w:val="008255E5"/>
    <w:rsid w:val="0082587A"/>
    <w:rsid w:val="00825F7A"/>
    <w:rsid w:val="008260B5"/>
    <w:rsid w:val="008266A4"/>
    <w:rsid w:val="008268C2"/>
    <w:rsid w:val="00826D6B"/>
    <w:rsid w:val="008272A6"/>
    <w:rsid w:val="008272B8"/>
    <w:rsid w:val="008272CA"/>
    <w:rsid w:val="00827363"/>
    <w:rsid w:val="00827386"/>
    <w:rsid w:val="008274B2"/>
    <w:rsid w:val="00827FCD"/>
    <w:rsid w:val="008300A1"/>
    <w:rsid w:val="0083010D"/>
    <w:rsid w:val="00830555"/>
    <w:rsid w:val="00830AA1"/>
    <w:rsid w:val="00830F8A"/>
    <w:rsid w:val="00831163"/>
    <w:rsid w:val="008312CB"/>
    <w:rsid w:val="00831316"/>
    <w:rsid w:val="00831449"/>
    <w:rsid w:val="008315C3"/>
    <w:rsid w:val="00831E01"/>
    <w:rsid w:val="0083278E"/>
    <w:rsid w:val="008327CF"/>
    <w:rsid w:val="00832E3D"/>
    <w:rsid w:val="0083307F"/>
    <w:rsid w:val="008331BB"/>
    <w:rsid w:val="008331CD"/>
    <w:rsid w:val="00833467"/>
    <w:rsid w:val="00833C2E"/>
    <w:rsid w:val="00833C3B"/>
    <w:rsid w:val="0083405D"/>
    <w:rsid w:val="008343BF"/>
    <w:rsid w:val="00834438"/>
    <w:rsid w:val="00834676"/>
    <w:rsid w:val="00834693"/>
    <w:rsid w:val="008347EC"/>
    <w:rsid w:val="008348A2"/>
    <w:rsid w:val="008349CA"/>
    <w:rsid w:val="0083506C"/>
    <w:rsid w:val="00835732"/>
    <w:rsid w:val="008358D3"/>
    <w:rsid w:val="008359F0"/>
    <w:rsid w:val="00835B12"/>
    <w:rsid w:val="00836515"/>
    <w:rsid w:val="00837C4D"/>
    <w:rsid w:val="008401B0"/>
    <w:rsid w:val="00840601"/>
    <w:rsid w:val="00840972"/>
    <w:rsid w:val="00840B93"/>
    <w:rsid w:val="00840C40"/>
    <w:rsid w:val="00840F18"/>
    <w:rsid w:val="008414BD"/>
    <w:rsid w:val="0084172E"/>
    <w:rsid w:val="00841735"/>
    <w:rsid w:val="008418FE"/>
    <w:rsid w:val="00841A49"/>
    <w:rsid w:val="00841B89"/>
    <w:rsid w:val="0084237E"/>
    <w:rsid w:val="00842A33"/>
    <w:rsid w:val="00842D8C"/>
    <w:rsid w:val="0084337E"/>
    <w:rsid w:val="0084366A"/>
    <w:rsid w:val="00843670"/>
    <w:rsid w:val="0084389A"/>
    <w:rsid w:val="0084399B"/>
    <w:rsid w:val="00843AAF"/>
    <w:rsid w:val="00843C36"/>
    <w:rsid w:val="00843F02"/>
    <w:rsid w:val="00844498"/>
    <w:rsid w:val="0084466C"/>
    <w:rsid w:val="00844D42"/>
    <w:rsid w:val="0084541D"/>
    <w:rsid w:val="00845540"/>
    <w:rsid w:val="00845995"/>
    <w:rsid w:val="00845999"/>
    <w:rsid w:val="00846414"/>
    <w:rsid w:val="00846697"/>
    <w:rsid w:val="008467B2"/>
    <w:rsid w:val="008467BA"/>
    <w:rsid w:val="0084689B"/>
    <w:rsid w:val="00846D80"/>
    <w:rsid w:val="00846E28"/>
    <w:rsid w:val="00846EBB"/>
    <w:rsid w:val="008472DB"/>
    <w:rsid w:val="008476A0"/>
    <w:rsid w:val="008476B3"/>
    <w:rsid w:val="00847B9A"/>
    <w:rsid w:val="00847C7E"/>
    <w:rsid w:val="008500A3"/>
    <w:rsid w:val="008501AC"/>
    <w:rsid w:val="008507C9"/>
    <w:rsid w:val="008510C9"/>
    <w:rsid w:val="008517AB"/>
    <w:rsid w:val="0085190D"/>
    <w:rsid w:val="00851952"/>
    <w:rsid w:val="00851A38"/>
    <w:rsid w:val="00852288"/>
    <w:rsid w:val="008523CC"/>
    <w:rsid w:val="0085291F"/>
    <w:rsid w:val="00852FF8"/>
    <w:rsid w:val="008532B6"/>
    <w:rsid w:val="008532E4"/>
    <w:rsid w:val="00853B52"/>
    <w:rsid w:val="00853CD3"/>
    <w:rsid w:val="00853D8D"/>
    <w:rsid w:val="00853DEA"/>
    <w:rsid w:val="00854453"/>
    <w:rsid w:val="008544CC"/>
    <w:rsid w:val="008544CE"/>
    <w:rsid w:val="008546C3"/>
    <w:rsid w:val="00854E28"/>
    <w:rsid w:val="0085554F"/>
    <w:rsid w:val="00855571"/>
    <w:rsid w:val="00855611"/>
    <w:rsid w:val="008558E4"/>
    <w:rsid w:val="00855A02"/>
    <w:rsid w:val="00855C05"/>
    <w:rsid w:val="00855F5C"/>
    <w:rsid w:val="00855FF9"/>
    <w:rsid w:val="0085603D"/>
    <w:rsid w:val="00856517"/>
    <w:rsid w:val="00856948"/>
    <w:rsid w:val="00856C52"/>
    <w:rsid w:val="008571D9"/>
    <w:rsid w:val="00857577"/>
    <w:rsid w:val="00857B3D"/>
    <w:rsid w:val="00857D97"/>
    <w:rsid w:val="00857DE8"/>
    <w:rsid w:val="00857E29"/>
    <w:rsid w:val="00860091"/>
    <w:rsid w:val="008600C0"/>
    <w:rsid w:val="00860274"/>
    <w:rsid w:val="00860370"/>
    <w:rsid w:val="008604AC"/>
    <w:rsid w:val="00860DB9"/>
    <w:rsid w:val="00860FED"/>
    <w:rsid w:val="008612E3"/>
    <w:rsid w:val="00861C6B"/>
    <w:rsid w:val="00861CA5"/>
    <w:rsid w:val="0086220F"/>
    <w:rsid w:val="008622C5"/>
    <w:rsid w:val="008626DF"/>
    <w:rsid w:val="00862F76"/>
    <w:rsid w:val="0086340A"/>
    <w:rsid w:val="00863D54"/>
    <w:rsid w:val="00863F91"/>
    <w:rsid w:val="008647BA"/>
    <w:rsid w:val="008647FB"/>
    <w:rsid w:val="00864993"/>
    <w:rsid w:val="00865153"/>
    <w:rsid w:val="00865197"/>
    <w:rsid w:val="00865A11"/>
    <w:rsid w:val="00865A42"/>
    <w:rsid w:val="00865E95"/>
    <w:rsid w:val="008666A1"/>
    <w:rsid w:val="00867262"/>
    <w:rsid w:val="0086739B"/>
    <w:rsid w:val="00867500"/>
    <w:rsid w:val="00867674"/>
    <w:rsid w:val="00867F6A"/>
    <w:rsid w:val="00867FAA"/>
    <w:rsid w:val="008702FF"/>
    <w:rsid w:val="008709A1"/>
    <w:rsid w:val="00870CEC"/>
    <w:rsid w:val="00870E5E"/>
    <w:rsid w:val="00870E6D"/>
    <w:rsid w:val="00870FB7"/>
    <w:rsid w:val="0087231D"/>
    <w:rsid w:val="008728BD"/>
    <w:rsid w:val="008729F3"/>
    <w:rsid w:val="00872B2C"/>
    <w:rsid w:val="00872B32"/>
    <w:rsid w:val="00872C06"/>
    <w:rsid w:val="00872D89"/>
    <w:rsid w:val="00873522"/>
    <w:rsid w:val="0087378E"/>
    <w:rsid w:val="0087385E"/>
    <w:rsid w:val="00873C58"/>
    <w:rsid w:val="008742DB"/>
    <w:rsid w:val="0087432F"/>
    <w:rsid w:val="0087446A"/>
    <w:rsid w:val="00874731"/>
    <w:rsid w:val="00874A58"/>
    <w:rsid w:val="00874E23"/>
    <w:rsid w:val="00874E41"/>
    <w:rsid w:val="00874E63"/>
    <w:rsid w:val="0087500A"/>
    <w:rsid w:val="00875348"/>
    <w:rsid w:val="00875513"/>
    <w:rsid w:val="008758A4"/>
    <w:rsid w:val="008759BD"/>
    <w:rsid w:val="0087607F"/>
    <w:rsid w:val="00876479"/>
    <w:rsid w:val="00876530"/>
    <w:rsid w:val="0087680A"/>
    <w:rsid w:val="008769BA"/>
    <w:rsid w:val="008770B0"/>
    <w:rsid w:val="00877368"/>
    <w:rsid w:val="008775B0"/>
    <w:rsid w:val="00877611"/>
    <w:rsid w:val="0087777E"/>
    <w:rsid w:val="0087785C"/>
    <w:rsid w:val="00877B6F"/>
    <w:rsid w:val="00877E45"/>
    <w:rsid w:val="00877EE1"/>
    <w:rsid w:val="0088022D"/>
    <w:rsid w:val="00880357"/>
    <w:rsid w:val="0088051B"/>
    <w:rsid w:val="00880623"/>
    <w:rsid w:val="0088069B"/>
    <w:rsid w:val="008806A6"/>
    <w:rsid w:val="00880AD8"/>
    <w:rsid w:val="00881044"/>
    <w:rsid w:val="008812B8"/>
    <w:rsid w:val="008813DA"/>
    <w:rsid w:val="0088142D"/>
    <w:rsid w:val="00881435"/>
    <w:rsid w:val="00881440"/>
    <w:rsid w:val="00881B73"/>
    <w:rsid w:val="00881CD4"/>
    <w:rsid w:val="00881EFF"/>
    <w:rsid w:val="00883307"/>
    <w:rsid w:val="008834A1"/>
    <w:rsid w:val="0088381A"/>
    <w:rsid w:val="0088388C"/>
    <w:rsid w:val="008839D4"/>
    <w:rsid w:val="00883DB1"/>
    <w:rsid w:val="008841E6"/>
    <w:rsid w:val="00884497"/>
    <w:rsid w:val="00884662"/>
    <w:rsid w:val="008848C5"/>
    <w:rsid w:val="00884B1B"/>
    <w:rsid w:val="008850BB"/>
    <w:rsid w:val="0088543F"/>
    <w:rsid w:val="008854D0"/>
    <w:rsid w:val="00885EF2"/>
    <w:rsid w:val="008860AD"/>
    <w:rsid w:val="008863A5"/>
    <w:rsid w:val="00886A9A"/>
    <w:rsid w:val="00886B5A"/>
    <w:rsid w:val="00886FFD"/>
    <w:rsid w:val="008871EA"/>
    <w:rsid w:val="008876FA"/>
    <w:rsid w:val="00887707"/>
    <w:rsid w:val="00887779"/>
    <w:rsid w:val="00887985"/>
    <w:rsid w:val="00887C57"/>
    <w:rsid w:val="00887D5B"/>
    <w:rsid w:val="00887DA8"/>
    <w:rsid w:val="0089024F"/>
    <w:rsid w:val="00890466"/>
    <w:rsid w:val="00890637"/>
    <w:rsid w:val="008909B0"/>
    <w:rsid w:val="00890A25"/>
    <w:rsid w:val="0089107E"/>
    <w:rsid w:val="00891B42"/>
    <w:rsid w:val="00891E89"/>
    <w:rsid w:val="008920C4"/>
    <w:rsid w:val="008923AF"/>
    <w:rsid w:val="008924EC"/>
    <w:rsid w:val="0089262D"/>
    <w:rsid w:val="00892EA8"/>
    <w:rsid w:val="008933A8"/>
    <w:rsid w:val="0089390A"/>
    <w:rsid w:val="00893974"/>
    <w:rsid w:val="008939B3"/>
    <w:rsid w:val="00893B5F"/>
    <w:rsid w:val="00893CF8"/>
    <w:rsid w:val="00893DFC"/>
    <w:rsid w:val="00893E5B"/>
    <w:rsid w:val="00893EA0"/>
    <w:rsid w:val="008941DA"/>
    <w:rsid w:val="0089470D"/>
    <w:rsid w:val="00894720"/>
    <w:rsid w:val="00894764"/>
    <w:rsid w:val="00894882"/>
    <w:rsid w:val="00894B4C"/>
    <w:rsid w:val="00894E29"/>
    <w:rsid w:val="00894E34"/>
    <w:rsid w:val="008953C1"/>
    <w:rsid w:val="0089663F"/>
    <w:rsid w:val="00896767"/>
    <w:rsid w:val="008969FD"/>
    <w:rsid w:val="00896D82"/>
    <w:rsid w:val="00896DDB"/>
    <w:rsid w:val="00896FA0"/>
    <w:rsid w:val="0089715C"/>
    <w:rsid w:val="008974C9"/>
    <w:rsid w:val="00897521"/>
    <w:rsid w:val="0089783C"/>
    <w:rsid w:val="00897A08"/>
    <w:rsid w:val="00897B95"/>
    <w:rsid w:val="00897E10"/>
    <w:rsid w:val="008A007E"/>
    <w:rsid w:val="008A1B72"/>
    <w:rsid w:val="008A1E79"/>
    <w:rsid w:val="008A28C9"/>
    <w:rsid w:val="008A2A2A"/>
    <w:rsid w:val="008A2B98"/>
    <w:rsid w:val="008A2C0D"/>
    <w:rsid w:val="008A2E55"/>
    <w:rsid w:val="008A2F63"/>
    <w:rsid w:val="008A35EE"/>
    <w:rsid w:val="008A39A9"/>
    <w:rsid w:val="008A39BF"/>
    <w:rsid w:val="008A3A29"/>
    <w:rsid w:val="008A3DD2"/>
    <w:rsid w:val="008A3F93"/>
    <w:rsid w:val="008A40AC"/>
    <w:rsid w:val="008A4C0D"/>
    <w:rsid w:val="008A4E30"/>
    <w:rsid w:val="008A50EF"/>
    <w:rsid w:val="008A5371"/>
    <w:rsid w:val="008A547C"/>
    <w:rsid w:val="008A5716"/>
    <w:rsid w:val="008A57E4"/>
    <w:rsid w:val="008A67CE"/>
    <w:rsid w:val="008A67E1"/>
    <w:rsid w:val="008A6C09"/>
    <w:rsid w:val="008A6FC6"/>
    <w:rsid w:val="008A7005"/>
    <w:rsid w:val="008A7054"/>
    <w:rsid w:val="008A72DB"/>
    <w:rsid w:val="008A73DC"/>
    <w:rsid w:val="008A779F"/>
    <w:rsid w:val="008A798B"/>
    <w:rsid w:val="008A7A1A"/>
    <w:rsid w:val="008B0203"/>
    <w:rsid w:val="008B0AE6"/>
    <w:rsid w:val="008B172C"/>
    <w:rsid w:val="008B1950"/>
    <w:rsid w:val="008B1B1B"/>
    <w:rsid w:val="008B1B68"/>
    <w:rsid w:val="008B1C9E"/>
    <w:rsid w:val="008B1E03"/>
    <w:rsid w:val="008B1F9A"/>
    <w:rsid w:val="008B2408"/>
    <w:rsid w:val="008B2BD2"/>
    <w:rsid w:val="008B2E76"/>
    <w:rsid w:val="008B3042"/>
    <w:rsid w:val="008B345F"/>
    <w:rsid w:val="008B3516"/>
    <w:rsid w:val="008B353D"/>
    <w:rsid w:val="008B356E"/>
    <w:rsid w:val="008B3789"/>
    <w:rsid w:val="008B39D8"/>
    <w:rsid w:val="008B3AE4"/>
    <w:rsid w:val="008B3BAE"/>
    <w:rsid w:val="008B3D1D"/>
    <w:rsid w:val="008B3DC2"/>
    <w:rsid w:val="008B4114"/>
    <w:rsid w:val="008B4272"/>
    <w:rsid w:val="008B4301"/>
    <w:rsid w:val="008B43B5"/>
    <w:rsid w:val="008B455F"/>
    <w:rsid w:val="008B49D2"/>
    <w:rsid w:val="008B49D5"/>
    <w:rsid w:val="008B4B1D"/>
    <w:rsid w:val="008B4B21"/>
    <w:rsid w:val="008B4C4A"/>
    <w:rsid w:val="008B50C9"/>
    <w:rsid w:val="008B5365"/>
    <w:rsid w:val="008B5927"/>
    <w:rsid w:val="008B59C0"/>
    <w:rsid w:val="008B5B91"/>
    <w:rsid w:val="008B62F7"/>
    <w:rsid w:val="008B65FB"/>
    <w:rsid w:val="008B685A"/>
    <w:rsid w:val="008B69C0"/>
    <w:rsid w:val="008B6A60"/>
    <w:rsid w:val="008B6BDB"/>
    <w:rsid w:val="008B6EC4"/>
    <w:rsid w:val="008B700B"/>
    <w:rsid w:val="008B7298"/>
    <w:rsid w:val="008B7347"/>
    <w:rsid w:val="008B7418"/>
    <w:rsid w:val="008B777A"/>
    <w:rsid w:val="008B79B9"/>
    <w:rsid w:val="008B7E47"/>
    <w:rsid w:val="008B7FBC"/>
    <w:rsid w:val="008C0563"/>
    <w:rsid w:val="008C0665"/>
    <w:rsid w:val="008C1297"/>
    <w:rsid w:val="008C1365"/>
    <w:rsid w:val="008C140F"/>
    <w:rsid w:val="008C1420"/>
    <w:rsid w:val="008C14BC"/>
    <w:rsid w:val="008C1670"/>
    <w:rsid w:val="008C1696"/>
    <w:rsid w:val="008C16EE"/>
    <w:rsid w:val="008C1707"/>
    <w:rsid w:val="008C18F1"/>
    <w:rsid w:val="008C28C4"/>
    <w:rsid w:val="008C29CB"/>
    <w:rsid w:val="008C3383"/>
    <w:rsid w:val="008C360C"/>
    <w:rsid w:val="008C39D9"/>
    <w:rsid w:val="008C39E5"/>
    <w:rsid w:val="008C3A14"/>
    <w:rsid w:val="008C4724"/>
    <w:rsid w:val="008C4C9A"/>
    <w:rsid w:val="008C4CA5"/>
    <w:rsid w:val="008C4E87"/>
    <w:rsid w:val="008C4F08"/>
    <w:rsid w:val="008C53F1"/>
    <w:rsid w:val="008C59C9"/>
    <w:rsid w:val="008C5A33"/>
    <w:rsid w:val="008C5C82"/>
    <w:rsid w:val="008C640D"/>
    <w:rsid w:val="008C6691"/>
    <w:rsid w:val="008C6782"/>
    <w:rsid w:val="008C68D5"/>
    <w:rsid w:val="008C6C72"/>
    <w:rsid w:val="008C6C8D"/>
    <w:rsid w:val="008C7392"/>
    <w:rsid w:val="008C7524"/>
    <w:rsid w:val="008C77E1"/>
    <w:rsid w:val="008C7C6B"/>
    <w:rsid w:val="008D0076"/>
    <w:rsid w:val="008D03E2"/>
    <w:rsid w:val="008D0627"/>
    <w:rsid w:val="008D06E1"/>
    <w:rsid w:val="008D0763"/>
    <w:rsid w:val="008D0B87"/>
    <w:rsid w:val="008D0D9B"/>
    <w:rsid w:val="008D12FB"/>
    <w:rsid w:val="008D15D1"/>
    <w:rsid w:val="008D1701"/>
    <w:rsid w:val="008D175E"/>
    <w:rsid w:val="008D1B66"/>
    <w:rsid w:val="008D1D17"/>
    <w:rsid w:val="008D201C"/>
    <w:rsid w:val="008D2EEB"/>
    <w:rsid w:val="008D2F28"/>
    <w:rsid w:val="008D313C"/>
    <w:rsid w:val="008D35C7"/>
    <w:rsid w:val="008D3978"/>
    <w:rsid w:val="008D397F"/>
    <w:rsid w:val="008D407C"/>
    <w:rsid w:val="008D430E"/>
    <w:rsid w:val="008D4814"/>
    <w:rsid w:val="008D50B5"/>
    <w:rsid w:val="008D51A8"/>
    <w:rsid w:val="008D534A"/>
    <w:rsid w:val="008D5375"/>
    <w:rsid w:val="008D5B54"/>
    <w:rsid w:val="008D635F"/>
    <w:rsid w:val="008D63AE"/>
    <w:rsid w:val="008D6754"/>
    <w:rsid w:val="008D6952"/>
    <w:rsid w:val="008D6AEE"/>
    <w:rsid w:val="008D6D01"/>
    <w:rsid w:val="008D6E88"/>
    <w:rsid w:val="008D7788"/>
    <w:rsid w:val="008E0147"/>
    <w:rsid w:val="008E03ED"/>
    <w:rsid w:val="008E057F"/>
    <w:rsid w:val="008E07F3"/>
    <w:rsid w:val="008E0B76"/>
    <w:rsid w:val="008E0E3E"/>
    <w:rsid w:val="008E12E2"/>
    <w:rsid w:val="008E14C8"/>
    <w:rsid w:val="008E1733"/>
    <w:rsid w:val="008E17AB"/>
    <w:rsid w:val="008E1A47"/>
    <w:rsid w:val="008E1FB2"/>
    <w:rsid w:val="008E20C2"/>
    <w:rsid w:val="008E26EB"/>
    <w:rsid w:val="008E2A39"/>
    <w:rsid w:val="008E2C87"/>
    <w:rsid w:val="008E2DE5"/>
    <w:rsid w:val="008E2F2A"/>
    <w:rsid w:val="008E3080"/>
    <w:rsid w:val="008E3098"/>
    <w:rsid w:val="008E3AC1"/>
    <w:rsid w:val="008E3FB6"/>
    <w:rsid w:val="008E4082"/>
    <w:rsid w:val="008E427C"/>
    <w:rsid w:val="008E4622"/>
    <w:rsid w:val="008E463A"/>
    <w:rsid w:val="008E4FDA"/>
    <w:rsid w:val="008E4FE6"/>
    <w:rsid w:val="008E5007"/>
    <w:rsid w:val="008E56C1"/>
    <w:rsid w:val="008E5843"/>
    <w:rsid w:val="008E585F"/>
    <w:rsid w:val="008E58BF"/>
    <w:rsid w:val="008E60D0"/>
    <w:rsid w:val="008E6442"/>
    <w:rsid w:val="008E650F"/>
    <w:rsid w:val="008E66BE"/>
    <w:rsid w:val="008E6A44"/>
    <w:rsid w:val="008E6B7F"/>
    <w:rsid w:val="008E6FBC"/>
    <w:rsid w:val="008E7510"/>
    <w:rsid w:val="008E75D1"/>
    <w:rsid w:val="008E7651"/>
    <w:rsid w:val="008E7708"/>
    <w:rsid w:val="008E7889"/>
    <w:rsid w:val="008E7B8B"/>
    <w:rsid w:val="008E7E5C"/>
    <w:rsid w:val="008F0134"/>
    <w:rsid w:val="008F04D6"/>
    <w:rsid w:val="008F0B83"/>
    <w:rsid w:val="008F0E18"/>
    <w:rsid w:val="008F0E30"/>
    <w:rsid w:val="008F10BC"/>
    <w:rsid w:val="008F1261"/>
    <w:rsid w:val="008F174F"/>
    <w:rsid w:val="008F1769"/>
    <w:rsid w:val="008F19E8"/>
    <w:rsid w:val="008F1AA7"/>
    <w:rsid w:val="008F1BC3"/>
    <w:rsid w:val="008F1D68"/>
    <w:rsid w:val="008F1DFC"/>
    <w:rsid w:val="008F1E54"/>
    <w:rsid w:val="008F1FBC"/>
    <w:rsid w:val="008F20F4"/>
    <w:rsid w:val="008F24E1"/>
    <w:rsid w:val="008F2520"/>
    <w:rsid w:val="008F2B1F"/>
    <w:rsid w:val="008F2E5B"/>
    <w:rsid w:val="008F3435"/>
    <w:rsid w:val="008F36F4"/>
    <w:rsid w:val="008F3B84"/>
    <w:rsid w:val="008F3F09"/>
    <w:rsid w:val="008F477E"/>
    <w:rsid w:val="008F4B1F"/>
    <w:rsid w:val="008F4F59"/>
    <w:rsid w:val="008F5E47"/>
    <w:rsid w:val="008F61D3"/>
    <w:rsid w:val="008F65C2"/>
    <w:rsid w:val="008F6C2E"/>
    <w:rsid w:val="008F75EF"/>
    <w:rsid w:val="008F76C0"/>
    <w:rsid w:val="008F76CD"/>
    <w:rsid w:val="008F7713"/>
    <w:rsid w:val="008F77F2"/>
    <w:rsid w:val="009002CE"/>
    <w:rsid w:val="0090047C"/>
    <w:rsid w:val="0090122F"/>
    <w:rsid w:val="0090126B"/>
    <w:rsid w:val="00901333"/>
    <w:rsid w:val="009014D4"/>
    <w:rsid w:val="00901960"/>
    <w:rsid w:val="00901BDA"/>
    <w:rsid w:val="00901DD2"/>
    <w:rsid w:val="00901E2E"/>
    <w:rsid w:val="00902031"/>
    <w:rsid w:val="0090211A"/>
    <w:rsid w:val="00902135"/>
    <w:rsid w:val="0090234B"/>
    <w:rsid w:val="0090239A"/>
    <w:rsid w:val="00902572"/>
    <w:rsid w:val="00902607"/>
    <w:rsid w:val="0090269E"/>
    <w:rsid w:val="009027CD"/>
    <w:rsid w:val="00902854"/>
    <w:rsid w:val="00902DF2"/>
    <w:rsid w:val="009030C1"/>
    <w:rsid w:val="00903C83"/>
    <w:rsid w:val="00904075"/>
    <w:rsid w:val="0090418E"/>
    <w:rsid w:val="00904191"/>
    <w:rsid w:val="00904220"/>
    <w:rsid w:val="00904503"/>
    <w:rsid w:val="0090471A"/>
    <w:rsid w:val="009047A4"/>
    <w:rsid w:val="00905878"/>
    <w:rsid w:val="00905ACF"/>
    <w:rsid w:val="00905F11"/>
    <w:rsid w:val="0090618E"/>
    <w:rsid w:val="00906733"/>
    <w:rsid w:val="00906D3C"/>
    <w:rsid w:val="00907615"/>
    <w:rsid w:val="00910689"/>
    <w:rsid w:val="0091093B"/>
    <w:rsid w:val="009109DB"/>
    <w:rsid w:val="00910B0D"/>
    <w:rsid w:val="00910F28"/>
    <w:rsid w:val="0091112D"/>
    <w:rsid w:val="0091139D"/>
    <w:rsid w:val="00911682"/>
    <w:rsid w:val="0091173C"/>
    <w:rsid w:val="00911CFE"/>
    <w:rsid w:val="00911DA3"/>
    <w:rsid w:val="00911DCE"/>
    <w:rsid w:val="00911E41"/>
    <w:rsid w:val="00912188"/>
    <w:rsid w:val="00912332"/>
    <w:rsid w:val="00912537"/>
    <w:rsid w:val="00912548"/>
    <w:rsid w:val="00912677"/>
    <w:rsid w:val="0091298B"/>
    <w:rsid w:val="00912BC1"/>
    <w:rsid w:val="00912DB4"/>
    <w:rsid w:val="009133A0"/>
    <w:rsid w:val="009133DA"/>
    <w:rsid w:val="009134D9"/>
    <w:rsid w:val="009135BB"/>
    <w:rsid w:val="00913F41"/>
    <w:rsid w:val="0091402E"/>
    <w:rsid w:val="0091410A"/>
    <w:rsid w:val="0091425A"/>
    <w:rsid w:val="00914295"/>
    <w:rsid w:val="009142A7"/>
    <w:rsid w:val="009144A7"/>
    <w:rsid w:val="00914674"/>
    <w:rsid w:val="0091485A"/>
    <w:rsid w:val="0091495F"/>
    <w:rsid w:val="00914CD7"/>
    <w:rsid w:val="0091507B"/>
    <w:rsid w:val="009152EC"/>
    <w:rsid w:val="0091559A"/>
    <w:rsid w:val="0091567E"/>
    <w:rsid w:val="00915699"/>
    <w:rsid w:val="00915A04"/>
    <w:rsid w:val="00915C7E"/>
    <w:rsid w:val="00915EFE"/>
    <w:rsid w:val="009163B1"/>
    <w:rsid w:val="009166EB"/>
    <w:rsid w:val="009168BB"/>
    <w:rsid w:val="00916DD4"/>
    <w:rsid w:val="00916FE6"/>
    <w:rsid w:val="009173A6"/>
    <w:rsid w:val="00917812"/>
    <w:rsid w:val="009178EA"/>
    <w:rsid w:val="00917DA1"/>
    <w:rsid w:val="00920420"/>
    <w:rsid w:val="00920732"/>
    <w:rsid w:val="00920934"/>
    <w:rsid w:val="0092093A"/>
    <w:rsid w:val="0092099B"/>
    <w:rsid w:val="00920A99"/>
    <w:rsid w:val="00920DAF"/>
    <w:rsid w:val="00921066"/>
    <w:rsid w:val="009210F8"/>
    <w:rsid w:val="009214C9"/>
    <w:rsid w:val="009215D1"/>
    <w:rsid w:val="009219A9"/>
    <w:rsid w:val="00921DF6"/>
    <w:rsid w:val="0092243F"/>
    <w:rsid w:val="00922784"/>
    <w:rsid w:val="00922AB2"/>
    <w:rsid w:val="00923146"/>
    <w:rsid w:val="0092343F"/>
    <w:rsid w:val="0092344C"/>
    <w:rsid w:val="0092370C"/>
    <w:rsid w:val="009238B9"/>
    <w:rsid w:val="009238D2"/>
    <w:rsid w:val="0092393B"/>
    <w:rsid w:val="00923A56"/>
    <w:rsid w:val="00923C74"/>
    <w:rsid w:val="00923E96"/>
    <w:rsid w:val="0092419B"/>
    <w:rsid w:val="0092449D"/>
    <w:rsid w:val="00924BEF"/>
    <w:rsid w:val="00924D41"/>
    <w:rsid w:val="00924D7C"/>
    <w:rsid w:val="00924F63"/>
    <w:rsid w:val="00925467"/>
    <w:rsid w:val="00925699"/>
    <w:rsid w:val="00925960"/>
    <w:rsid w:val="009259E4"/>
    <w:rsid w:val="00925A76"/>
    <w:rsid w:val="00925D41"/>
    <w:rsid w:val="00925D80"/>
    <w:rsid w:val="00926618"/>
    <w:rsid w:val="00926624"/>
    <w:rsid w:val="00926E84"/>
    <w:rsid w:val="00926E96"/>
    <w:rsid w:val="00926EDF"/>
    <w:rsid w:val="00926F3C"/>
    <w:rsid w:val="009271B4"/>
    <w:rsid w:val="00927958"/>
    <w:rsid w:val="009279BD"/>
    <w:rsid w:val="00930223"/>
    <w:rsid w:val="00930271"/>
    <w:rsid w:val="00930B96"/>
    <w:rsid w:val="00930C25"/>
    <w:rsid w:val="00930EFF"/>
    <w:rsid w:val="00930FF7"/>
    <w:rsid w:val="00931067"/>
    <w:rsid w:val="009311B4"/>
    <w:rsid w:val="009316C3"/>
    <w:rsid w:val="00931CF9"/>
    <w:rsid w:val="009321D5"/>
    <w:rsid w:val="009325D8"/>
    <w:rsid w:val="00932781"/>
    <w:rsid w:val="0093289D"/>
    <w:rsid w:val="0093308A"/>
    <w:rsid w:val="0093308B"/>
    <w:rsid w:val="009333F3"/>
    <w:rsid w:val="00933577"/>
    <w:rsid w:val="00933921"/>
    <w:rsid w:val="00933BE3"/>
    <w:rsid w:val="00933C9F"/>
    <w:rsid w:val="00933EF9"/>
    <w:rsid w:val="009346C4"/>
    <w:rsid w:val="00934933"/>
    <w:rsid w:val="00934BA5"/>
    <w:rsid w:val="009351AC"/>
    <w:rsid w:val="009356B8"/>
    <w:rsid w:val="00935B32"/>
    <w:rsid w:val="00935B8D"/>
    <w:rsid w:val="0093611C"/>
    <w:rsid w:val="009361A8"/>
    <w:rsid w:val="009363D0"/>
    <w:rsid w:val="00936925"/>
    <w:rsid w:val="009371BD"/>
    <w:rsid w:val="009372D4"/>
    <w:rsid w:val="00937352"/>
    <w:rsid w:val="009376CF"/>
    <w:rsid w:val="00937711"/>
    <w:rsid w:val="009379A4"/>
    <w:rsid w:val="00937D56"/>
    <w:rsid w:val="00937E18"/>
    <w:rsid w:val="00937E2E"/>
    <w:rsid w:val="00937F93"/>
    <w:rsid w:val="00940619"/>
    <w:rsid w:val="00940749"/>
    <w:rsid w:val="00940D9A"/>
    <w:rsid w:val="00940E51"/>
    <w:rsid w:val="00940E83"/>
    <w:rsid w:val="00940EB2"/>
    <w:rsid w:val="00940FDA"/>
    <w:rsid w:val="00941099"/>
    <w:rsid w:val="00941214"/>
    <w:rsid w:val="009413FB"/>
    <w:rsid w:val="00941408"/>
    <w:rsid w:val="00941D1B"/>
    <w:rsid w:val="009420CD"/>
    <w:rsid w:val="00942183"/>
    <w:rsid w:val="00942270"/>
    <w:rsid w:val="009422D0"/>
    <w:rsid w:val="009427A2"/>
    <w:rsid w:val="00942B2A"/>
    <w:rsid w:val="00943153"/>
    <w:rsid w:val="009431F5"/>
    <w:rsid w:val="009431FF"/>
    <w:rsid w:val="0094321D"/>
    <w:rsid w:val="00943483"/>
    <w:rsid w:val="00943657"/>
    <w:rsid w:val="009438A5"/>
    <w:rsid w:val="00943943"/>
    <w:rsid w:val="00943CEE"/>
    <w:rsid w:val="00943D3D"/>
    <w:rsid w:val="00943D6E"/>
    <w:rsid w:val="00943EBE"/>
    <w:rsid w:val="009442B0"/>
    <w:rsid w:val="009443DD"/>
    <w:rsid w:val="009446AA"/>
    <w:rsid w:val="00945076"/>
    <w:rsid w:val="00945169"/>
    <w:rsid w:val="00945436"/>
    <w:rsid w:val="0094543E"/>
    <w:rsid w:val="0094557E"/>
    <w:rsid w:val="00945658"/>
    <w:rsid w:val="00945A89"/>
    <w:rsid w:val="00945BF7"/>
    <w:rsid w:val="00946063"/>
    <w:rsid w:val="009462F0"/>
    <w:rsid w:val="009462FA"/>
    <w:rsid w:val="00946607"/>
    <w:rsid w:val="00946E6A"/>
    <w:rsid w:val="0094756A"/>
    <w:rsid w:val="009476C1"/>
    <w:rsid w:val="009477D3"/>
    <w:rsid w:val="00947918"/>
    <w:rsid w:val="00947BCD"/>
    <w:rsid w:val="00947EC2"/>
    <w:rsid w:val="00947EC4"/>
    <w:rsid w:val="009500EF"/>
    <w:rsid w:val="0095016E"/>
    <w:rsid w:val="00950230"/>
    <w:rsid w:val="00950559"/>
    <w:rsid w:val="009506F2"/>
    <w:rsid w:val="0095077F"/>
    <w:rsid w:val="009507DD"/>
    <w:rsid w:val="00950886"/>
    <w:rsid w:val="0095093B"/>
    <w:rsid w:val="009519D3"/>
    <w:rsid w:val="00951C40"/>
    <w:rsid w:val="009522D3"/>
    <w:rsid w:val="00952609"/>
    <w:rsid w:val="00952AAE"/>
    <w:rsid w:val="00952AB6"/>
    <w:rsid w:val="00952FAC"/>
    <w:rsid w:val="00953258"/>
    <w:rsid w:val="009535A9"/>
    <w:rsid w:val="00953DCD"/>
    <w:rsid w:val="009543B8"/>
    <w:rsid w:val="009546C5"/>
    <w:rsid w:val="00954776"/>
    <w:rsid w:val="00954E78"/>
    <w:rsid w:val="00954FE0"/>
    <w:rsid w:val="00955031"/>
    <w:rsid w:val="0095514F"/>
    <w:rsid w:val="0095530E"/>
    <w:rsid w:val="00955C52"/>
    <w:rsid w:val="00955C6A"/>
    <w:rsid w:val="00956323"/>
    <w:rsid w:val="00956AC7"/>
    <w:rsid w:val="00956D22"/>
    <w:rsid w:val="00956E01"/>
    <w:rsid w:val="009570EE"/>
    <w:rsid w:val="0095744A"/>
    <w:rsid w:val="00957497"/>
    <w:rsid w:val="009574E9"/>
    <w:rsid w:val="00957631"/>
    <w:rsid w:val="0095765A"/>
    <w:rsid w:val="00957722"/>
    <w:rsid w:val="00957771"/>
    <w:rsid w:val="009577C5"/>
    <w:rsid w:val="0095783C"/>
    <w:rsid w:val="0095798F"/>
    <w:rsid w:val="00957EAC"/>
    <w:rsid w:val="009600A3"/>
    <w:rsid w:val="0096027B"/>
    <w:rsid w:val="00960413"/>
    <w:rsid w:val="00960886"/>
    <w:rsid w:val="009609D5"/>
    <w:rsid w:val="00960A54"/>
    <w:rsid w:val="00960CDC"/>
    <w:rsid w:val="00960EF3"/>
    <w:rsid w:val="00960F26"/>
    <w:rsid w:val="00961175"/>
    <w:rsid w:val="009613A9"/>
    <w:rsid w:val="009617AF"/>
    <w:rsid w:val="009617EE"/>
    <w:rsid w:val="0096190F"/>
    <w:rsid w:val="00961A8F"/>
    <w:rsid w:val="00961D70"/>
    <w:rsid w:val="00961E6C"/>
    <w:rsid w:val="00961F0A"/>
    <w:rsid w:val="0096204C"/>
    <w:rsid w:val="00962095"/>
    <w:rsid w:val="00962134"/>
    <w:rsid w:val="009626E7"/>
    <w:rsid w:val="00962FA1"/>
    <w:rsid w:val="00963102"/>
    <w:rsid w:val="00963851"/>
    <w:rsid w:val="009639F7"/>
    <w:rsid w:val="00963A78"/>
    <w:rsid w:val="009645D0"/>
    <w:rsid w:val="009648D3"/>
    <w:rsid w:val="00964B4D"/>
    <w:rsid w:val="00964B7C"/>
    <w:rsid w:val="009651E6"/>
    <w:rsid w:val="009654E3"/>
    <w:rsid w:val="009656ED"/>
    <w:rsid w:val="00965A2B"/>
    <w:rsid w:val="00965B04"/>
    <w:rsid w:val="00965BAB"/>
    <w:rsid w:val="00965D6E"/>
    <w:rsid w:val="00965DE9"/>
    <w:rsid w:val="00965ECA"/>
    <w:rsid w:val="0096626E"/>
    <w:rsid w:val="009662B2"/>
    <w:rsid w:val="00966389"/>
    <w:rsid w:val="0096645D"/>
    <w:rsid w:val="00966599"/>
    <w:rsid w:val="0096680A"/>
    <w:rsid w:val="009668A0"/>
    <w:rsid w:val="00966A6E"/>
    <w:rsid w:val="009674B7"/>
    <w:rsid w:val="00967AFA"/>
    <w:rsid w:val="00967E5E"/>
    <w:rsid w:val="00967F42"/>
    <w:rsid w:val="00970257"/>
    <w:rsid w:val="009702C1"/>
    <w:rsid w:val="009702F3"/>
    <w:rsid w:val="009703E3"/>
    <w:rsid w:val="00970C7F"/>
    <w:rsid w:val="00970F7D"/>
    <w:rsid w:val="00971293"/>
    <w:rsid w:val="00971C14"/>
    <w:rsid w:val="00971CD8"/>
    <w:rsid w:val="0097203C"/>
    <w:rsid w:val="009725F4"/>
    <w:rsid w:val="009726E1"/>
    <w:rsid w:val="00973848"/>
    <w:rsid w:val="00973CCE"/>
    <w:rsid w:val="00973F13"/>
    <w:rsid w:val="00974137"/>
    <w:rsid w:val="0097434D"/>
    <w:rsid w:val="00974527"/>
    <w:rsid w:val="00974605"/>
    <w:rsid w:val="0097475E"/>
    <w:rsid w:val="0097480B"/>
    <w:rsid w:val="00974866"/>
    <w:rsid w:val="0097504A"/>
    <w:rsid w:val="00975166"/>
    <w:rsid w:val="00975345"/>
    <w:rsid w:val="00975E60"/>
    <w:rsid w:val="009773BE"/>
    <w:rsid w:val="009774DE"/>
    <w:rsid w:val="009775AA"/>
    <w:rsid w:val="009776F3"/>
    <w:rsid w:val="009777AB"/>
    <w:rsid w:val="009777F6"/>
    <w:rsid w:val="00977952"/>
    <w:rsid w:val="00977FFA"/>
    <w:rsid w:val="009804ED"/>
    <w:rsid w:val="009806EA"/>
    <w:rsid w:val="0098086C"/>
    <w:rsid w:val="00980AAA"/>
    <w:rsid w:val="00980BB5"/>
    <w:rsid w:val="00980F3A"/>
    <w:rsid w:val="00980FC9"/>
    <w:rsid w:val="00981232"/>
    <w:rsid w:val="00981A04"/>
    <w:rsid w:val="00981BF4"/>
    <w:rsid w:val="00981DA4"/>
    <w:rsid w:val="009826D9"/>
    <w:rsid w:val="00983DFC"/>
    <w:rsid w:val="00983E2A"/>
    <w:rsid w:val="00983F09"/>
    <w:rsid w:val="009841E5"/>
    <w:rsid w:val="0098427B"/>
    <w:rsid w:val="009842DD"/>
    <w:rsid w:val="0098464F"/>
    <w:rsid w:val="00984A78"/>
    <w:rsid w:val="00984AA3"/>
    <w:rsid w:val="00984D7A"/>
    <w:rsid w:val="009851FD"/>
    <w:rsid w:val="00985325"/>
    <w:rsid w:val="00985368"/>
    <w:rsid w:val="00985380"/>
    <w:rsid w:val="0098575F"/>
    <w:rsid w:val="00985A55"/>
    <w:rsid w:val="009861C3"/>
    <w:rsid w:val="00986A77"/>
    <w:rsid w:val="00986AAA"/>
    <w:rsid w:val="00986DD9"/>
    <w:rsid w:val="009872C4"/>
    <w:rsid w:val="009873C9"/>
    <w:rsid w:val="00987EB1"/>
    <w:rsid w:val="009905F1"/>
    <w:rsid w:val="0099078F"/>
    <w:rsid w:val="00990B2E"/>
    <w:rsid w:val="00990C49"/>
    <w:rsid w:val="009916AA"/>
    <w:rsid w:val="00991EE3"/>
    <w:rsid w:val="00992442"/>
    <w:rsid w:val="00992750"/>
    <w:rsid w:val="00992B2B"/>
    <w:rsid w:val="00992E8C"/>
    <w:rsid w:val="00993041"/>
    <w:rsid w:val="00993463"/>
    <w:rsid w:val="0099365E"/>
    <w:rsid w:val="0099379A"/>
    <w:rsid w:val="00993B02"/>
    <w:rsid w:val="00993F4B"/>
    <w:rsid w:val="0099412F"/>
    <w:rsid w:val="00994294"/>
    <w:rsid w:val="00994649"/>
    <w:rsid w:val="00994A5F"/>
    <w:rsid w:val="00994D41"/>
    <w:rsid w:val="00994F74"/>
    <w:rsid w:val="009950AD"/>
    <w:rsid w:val="0099510E"/>
    <w:rsid w:val="00995497"/>
    <w:rsid w:val="0099556C"/>
    <w:rsid w:val="0099583F"/>
    <w:rsid w:val="00995A6B"/>
    <w:rsid w:val="00996324"/>
    <w:rsid w:val="0099668E"/>
    <w:rsid w:val="00996BED"/>
    <w:rsid w:val="00997188"/>
    <w:rsid w:val="009973A4"/>
    <w:rsid w:val="0099766E"/>
    <w:rsid w:val="0099775B"/>
    <w:rsid w:val="00997C26"/>
    <w:rsid w:val="00997D1B"/>
    <w:rsid w:val="00997D78"/>
    <w:rsid w:val="00997F9F"/>
    <w:rsid w:val="009A0106"/>
    <w:rsid w:val="009A05E4"/>
    <w:rsid w:val="009A0624"/>
    <w:rsid w:val="009A073A"/>
    <w:rsid w:val="009A0AB1"/>
    <w:rsid w:val="009A0CAE"/>
    <w:rsid w:val="009A0DB9"/>
    <w:rsid w:val="009A0E67"/>
    <w:rsid w:val="009A104C"/>
    <w:rsid w:val="009A185B"/>
    <w:rsid w:val="009A1C58"/>
    <w:rsid w:val="009A2096"/>
    <w:rsid w:val="009A23B6"/>
    <w:rsid w:val="009A23E6"/>
    <w:rsid w:val="009A2841"/>
    <w:rsid w:val="009A2858"/>
    <w:rsid w:val="009A31FD"/>
    <w:rsid w:val="009A37A6"/>
    <w:rsid w:val="009A3AE4"/>
    <w:rsid w:val="009A3D37"/>
    <w:rsid w:val="009A3FB2"/>
    <w:rsid w:val="009A40C5"/>
    <w:rsid w:val="009A4D82"/>
    <w:rsid w:val="009A4EEF"/>
    <w:rsid w:val="009A5038"/>
    <w:rsid w:val="009A56B9"/>
    <w:rsid w:val="009A5BE5"/>
    <w:rsid w:val="009A5F66"/>
    <w:rsid w:val="009A6019"/>
    <w:rsid w:val="009A636B"/>
    <w:rsid w:val="009A6A50"/>
    <w:rsid w:val="009A6BCF"/>
    <w:rsid w:val="009A6DD4"/>
    <w:rsid w:val="009A6F7F"/>
    <w:rsid w:val="009A6FD5"/>
    <w:rsid w:val="009A77B9"/>
    <w:rsid w:val="009B035A"/>
    <w:rsid w:val="009B0810"/>
    <w:rsid w:val="009B0B47"/>
    <w:rsid w:val="009B1289"/>
    <w:rsid w:val="009B12EC"/>
    <w:rsid w:val="009B1391"/>
    <w:rsid w:val="009B147B"/>
    <w:rsid w:val="009B169A"/>
    <w:rsid w:val="009B17DE"/>
    <w:rsid w:val="009B2BD7"/>
    <w:rsid w:val="009B327E"/>
    <w:rsid w:val="009B347C"/>
    <w:rsid w:val="009B360B"/>
    <w:rsid w:val="009B3C23"/>
    <w:rsid w:val="009B3DF8"/>
    <w:rsid w:val="009B3EF5"/>
    <w:rsid w:val="009B451E"/>
    <w:rsid w:val="009B4B94"/>
    <w:rsid w:val="009B4D31"/>
    <w:rsid w:val="009B4F15"/>
    <w:rsid w:val="009B5788"/>
    <w:rsid w:val="009B5794"/>
    <w:rsid w:val="009B5CDC"/>
    <w:rsid w:val="009B5EE2"/>
    <w:rsid w:val="009B64C4"/>
    <w:rsid w:val="009B6579"/>
    <w:rsid w:val="009B6E36"/>
    <w:rsid w:val="009B704F"/>
    <w:rsid w:val="009B7349"/>
    <w:rsid w:val="009B7372"/>
    <w:rsid w:val="009B73D0"/>
    <w:rsid w:val="009B7B23"/>
    <w:rsid w:val="009B7B6F"/>
    <w:rsid w:val="009B7D4E"/>
    <w:rsid w:val="009B7DC5"/>
    <w:rsid w:val="009C012F"/>
    <w:rsid w:val="009C018A"/>
    <w:rsid w:val="009C042A"/>
    <w:rsid w:val="009C0F29"/>
    <w:rsid w:val="009C1076"/>
    <w:rsid w:val="009C16A2"/>
    <w:rsid w:val="009C197B"/>
    <w:rsid w:val="009C1B03"/>
    <w:rsid w:val="009C1E86"/>
    <w:rsid w:val="009C1EC3"/>
    <w:rsid w:val="009C1FEF"/>
    <w:rsid w:val="009C20AF"/>
    <w:rsid w:val="009C210E"/>
    <w:rsid w:val="009C2189"/>
    <w:rsid w:val="009C21FE"/>
    <w:rsid w:val="009C23A5"/>
    <w:rsid w:val="009C289E"/>
    <w:rsid w:val="009C2A26"/>
    <w:rsid w:val="009C2E69"/>
    <w:rsid w:val="009C2E74"/>
    <w:rsid w:val="009C368B"/>
    <w:rsid w:val="009C3B8B"/>
    <w:rsid w:val="009C40E9"/>
    <w:rsid w:val="009C411E"/>
    <w:rsid w:val="009C4257"/>
    <w:rsid w:val="009C45B6"/>
    <w:rsid w:val="009C48FB"/>
    <w:rsid w:val="009C4B57"/>
    <w:rsid w:val="009C4EDF"/>
    <w:rsid w:val="009C4FFF"/>
    <w:rsid w:val="009C5081"/>
    <w:rsid w:val="009C518F"/>
    <w:rsid w:val="009C536E"/>
    <w:rsid w:val="009C54EB"/>
    <w:rsid w:val="009C55DC"/>
    <w:rsid w:val="009C5859"/>
    <w:rsid w:val="009C5B42"/>
    <w:rsid w:val="009C5E07"/>
    <w:rsid w:val="009C5E74"/>
    <w:rsid w:val="009C5EC5"/>
    <w:rsid w:val="009C6C5C"/>
    <w:rsid w:val="009C6F3C"/>
    <w:rsid w:val="009C6FBE"/>
    <w:rsid w:val="009C70BB"/>
    <w:rsid w:val="009C723C"/>
    <w:rsid w:val="009C77C1"/>
    <w:rsid w:val="009C7990"/>
    <w:rsid w:val="009D01F6"/>
    <w:rsid w:val="009D06DC"/>
    <w:rsid w:val="009D073C"/>
    <w:rsid w:val="009D0885"/>
    <w:rsid w:val="009D0B41"/>
    <w:rsid w:val="009D0EAE"/>
    <w:rsid w:val="009D0F5C"/>
    <w:rsid w:val="009D1607"/>
    <w:rsid w:val="009D198E"/>
    <w:rsid w:val="009D1A14"/>
    <w:rsid w:val="009D1AEA"/>
    <w:rsid w:val="009D1EE1"/>
    <w:rsid w:val="009D1FB6"/>
    <w:rsid w:val="009D20DE"/>
    <w:rsid w:val="009D229C"/>
    <w:rsid w:val="009D2641"/>
    <w:rsid w:val="009D28C6"/>
    <w:rsid w:val="009D2D97"/>
    <w:rsid w:val="009D2F80"/>
    <w:rsid w:val="009D3833"/>
    <w:rsid w:val="009D3CEC"/>
    <w:rsid w:val="009D3FE3"/>
    <w:rsid w:val="009D4414"/>
    <w:rsid w:val="009D4508"/>
    <w:rsid w:val="009D47E1"/>
    <w:rsid w:val="009D4811"/>
    <w:rsid w:val="009D4930"/>
    <w:rsid w:val="009D49AC"/>
    <w:rsid w:val="009D4A5A"/>
    <w:rsid w:val="009D4FD7"/>
    <w:rsid w:val="009D5069"/>
    <w:rsid w:val="009D50AA"/>
    <w:rsid w:val="009D50F0"/>
    <w:rsid w:val="009D5100"/>
    <w:rsid w:val="009D51C8"/>
    <w:rsid w:val="009D5B41"/>
    <w:rsid w:val="009D5B61"/>
    <w:rsid w:val="009D621D"/>
    <w:rsid w:val="009D66DB"/>
    <w:rsid w:val="009D69F2"/>
    <w:rsid w:val="009D6DD7"/>
    <w:rsid w:val="009D6E08"/>
    <w:rsid w:val="009D6E46"/>
    <w:rsid w:val="009D7576"/>
    <w:rsid w:val="009D767F"/>
    <w:rsid w:val="009D77BD"/>
    <w:rsid w:val="009D782E"/>
    <w:rsid w:val="009D7986"/>
    <w:rsid w:val="009D7AF0"/>
    <w:rsid w:val="009D7FA5"/>
    <w:rsid w:val="009E0740"/>
    <w:rsid w:val="009E078B"/>
    <w:rsid w:val="009E0923"/>
    <w:rsid w:val="009E0947"/>
    <w:rsid w:val="009E0C26"/>
    <w:rsid w:val="009E124A"/>
    <w:rsid w:val="009E1261"/>
    <w:rsid w:val="009E1A18"/>
    <w:rsid w:val="009E1A7A"/>
    <w:rsid w:val="009E2188"/>
    <w:rsid w:val="009E21C0"/>
    <w:rsid w:val="009E238F"/>
    <w:rsid w:val="009E28FC"/>
    <w:rsid w:val="009E2AEE"/>
    <w:rsid w:val="009E2E03"/>
    <w:rsid w:val="009E300D"/>
    <w:rsid w:val="009E33C4"/>
    <w:rsid w:val="009E37A6"/>
    <w:rsid w:val="009E3BC1"/>
    <w:rsid w:val="009E3FF5"/>
    <w:rsid w:val="009E42DD"/>
    <w:rsid w:val="009E4A7D"/>
    <w:rsid w:val="009E4DD9"/>
    <w:rsid w:val="009E51CE"/>
    <w:rsid w:val="009E524E"/>
    <w:rsid w:val="009E53E6"/>
    <w:rsid w:val="009E56F8"/>
    <w:rsid w:val="009E5DCB"/>
    <w:rsid w:val="009E5E3D"/>
    <w:rsid w:val="009E64A0"/>
    <w:rsid w:val="009E671B"/>
    <w:rsid w:val="009E6737"/>
    <w:rsid w:val="009E6A6E"/>
    <w:rsid w:val="009E6F0D"/>
    <w:rsid w:val="009E6F2B"/>
    <w:rsid w:val="009E702D"/>
    <w:rsid w:val="009E71D2"/>
    <w:rsid w:val="009E7454"/>
    <w:rsid w:val="009E77B2"/>
    <w:rsid w:val="009F0060"/>
    <w:rsid w:val="009F02F2"/>
    <w:rsid w:val="009F0651"/>
    <w:rsid w:val="009F0C4E"/>
    <w:rsid w:val="009F0FA9"/>
    <w:rsid w:val="009F1035"/>
    <w:rsid w:val="009F104F"/>
    <w:rsid w:val="009F1328"/>
    <w:rsid w:val="009F13DB"/>
    <w:rsid w:val="009F175E"/>
    <w:rsid w:val="009F1899"/>
    <w:rsid w:val="009F1F3D"/>
    <w:rsid w:val="009F2381"/>
    <w:rsid w:val="009F254E"/>
    <w:rsid w:val="009F26C1"/>
    <w:rsid w:val="009F271B"/>
    <w:rsid w:val="009F278A"/>
    <w:rsid w:val="009F2BED"/>
    <w:rsid w:val="009F2EE8"/>
    <w:rsid w:val="009F2FB9"/>
    <w:rsid w:val="009F3211"/>
    <w:rsid w:val="009F37C3"/>
    <w:rsid w:val="009F3A6B"/>
    <w:rsid w:val="009F3BA9"/>
    <w:rsid w:val="009F3DDF"/>
    <w:rsid w:val="009F3DF9"/>
    <w:rsid w:val="009F3E2D"/>
    <w:rsid w:val="009F4163"/>
    <w:rsid w:val="009F4223"/>
    <w:rsid w:val="009F431F"/>
    <w:rsid w:val="009F4409"/>
    <w:rsid w:val="009F4D2F"/>
    <w:rsid w:val="009F4DAC"/>
    <w:rsid w:val="009F4DFF"/>
    <w:rsid w:val="009F4F74"/>
    <w:rsid w:val="009F522B"/>
    <w:rsid w:val="009F589C"/>
    <w:rsid w:val="009F59DE"/>
    <w:rsid w:val="009F5B0F"/>
    <w:rsid w:val="009F5DEB"/>
    <w:rsid w:val="009F5E37"/>
    <w:rsid w:val="009F65F8"/>
    <w:rsid w:val="009F6EFB"/>
    <w:rsid w:val="009F7037"/>
    <w:rsid w:val="009F7412"/>
    <w:rsid w:val="009F77B9"/>
    <w:rsid w:val="009F7881"/>
    <w:rsid w:val="009F7B28"/>
    <w:rsid w:val="009F7B62"/>
    <w:rsid w:val="009F7D0B"/>
    <w:rsid w:val="00A00CC0"/>
    <w:rsid w:val="00A00F74"/>
    <w:rsid w:val="00A0143D"/>
    <w:rsid w:val="00A01B1A"/>
    <w:rsid w:val="00A01CDB"/>
    <w:rsid w:val="00A020E6"/>
    <w:rsid w:val="00A025E1"/>
    <w:rsid w:val="00A02986"/>
    <w:rsid w:val="00A02D80"/>
    <w:rsid w:val="00A02F6E"/>
    <w:rsid w:val="00A031CC"/>
    <w:rsid w:val="00A0326B"/>
    <w:rsid w:val="00A0335C"/>
    <w:rsid w:val="00A036BD"/>
    <w:rsid w:val="00A03ADE"/>
    <w:rsid w:val="00A0426B"/>
    <w:rsid w:val="00A04C53"/>
    <w:rsid w:val="00A04D84"/>
    <w:rsid w:val="00A0519E"/>
    <w:rsid w:val="00A051B7"/>
    <w:rsid w:val="00A051FD"/>
    <w:rsid w:val="00A05286"/>
    <w:rsid w:val="00A0545B"/>
    <w:rsid w:val="00A0563B"/>
    <w:rsid w:val="00A05979"/>
    <w:rsid w:val="00A05A2F"/>
    <w:rsid w:val="00A05A85"/>
    <w:rsid w:val="00A05C4E"/>
    <w:rsid w:val="00A05E7D"/>
    <w:rsid w:val="00A05F6F"/>
    <w:rsid w:val="00A06202"/>
    <w:rsid w:val="00A0683D"/>
    <w:rsid w:val="00A06A12"/>
    <w:rsid w:val="00A06BD2"/>
    <w:rsid w:val="00A075CF"/>
    <w:rsid w:val="00A07730"/>
    <w:rsid w:val="00A1007A"/>
    <w:rsid w:val="00A10260"/>
    <w:rsid w:val="00A10349"/>
    <w:rsid w:val="00A10884"/>
    <w:rsid w:val="00A10B95"/>
    <w:rsid w:val="00A10DA0"/>
    <w:rsid w:val="00A1107F"/>
    <w:rsid w:val="00A114EC"/>
    <w:rsid w:val="00A115CB"/>
    <w:rsid w:val="00A116D8"/>
    <w:rsid w:val="00A117FC"/>
    <w:rsid w:val="00A117FD"/>
    <w:rsid w:val="00A11C68"/>
    <w:rsid w:val="00A12746"/>
    <w:rsid w:val="00A12893"/>
    <w:rsid w:val="00A12B7F"/>
    <w:rsid w:val="00A13758"/>
    <w:rsid w:val="00A13A4E"/>
    <w:rsid w:val="00A13C06"/>
    <w:rsid w:val="00A13C3B"/>
    <w:rsid w:val="00A13DB7"/>
    <w:rsid w:val="00A13EA4"/>
    <w:rsid w:val="00A1420E"/>
    <w:rsid w:val="00A146C3"/>
    <w:rsid w:val="00A14714"/>
    <w:rsid w:val="00A14B4B"/>
    <w:rsid w:val="00A14EAE"/>
    <w:rsid w:val="00A153CE"/>
    <w:rsid w:val="00A15CBE"/>
    <w:rsid w:val="00A15F88"/>
    <w:rsid w:val="00A16022"/>
    <w:rsid w:val="00A1615B"/>
    <w:rsid w:val="00A1626E"/>
    <w:rsid w:val="00A16446"/>
    <w:rsid w:val="00A1687D"/>
    <w:rsid w:val="00A16AEE"/>
    <w:rsid w:val="00A16B15"/>
    <w:rsid w:val="00A16C1E"/>
    <w:rsid w:val="00A16DD8"/>
    <w:rsid w:val="00A16EE0"/>
    <w:rsid w:val="00A16F53"/>
    <w:rsid w:val="00A170DC"/>
    <w:rsid w:val="00A17364"/>
    <w:rsid w:val="00A177FD"/>
    <w:rsid w:val="00A17830"/>
    <w:rsid w:val="00A17E97"/>
    <w:rsid w:val="00A17F09"/>
    <w:rsid w:val="00A2037C"/>
    <w:rsid w:val="00A20C06"/>
    <w:rsid w:val="00A2168C"/>
    <w:rsid w:val="00A21D1D"/>
    <w:rsid w:val="00A21DE6"/>
    <w:rsid w:val="00A224B4"/>
    <w:rsid w:val="00A2250A"/>
    <w:rsid w:val="00A227DA"/>
    <w:rsid w:val="00A22902"/>
    <w:rsid w:val="00A2306E"/>
    <w:rsid w:val="00A236E2"/>
    <w:rsid w:val="00A23727"/>
    <w:rsid w:val="00A23CCA"/>
    <w:rsid w:val="00A23E9D"/>
    <w:rsid w:val="00A24BD0"/>
    <w:rsid w:val="00A252CD"/>
    <w:rsid w:val="00A254F7"/>
    <w:rsid w:val="00A25BA0"/>
    <w:rsid w:val="00A25EAE"/>
    <w:rsid w:val="00A25F3A"/>
    <w:rsid w:val="00A26175"/>
    <w:rsid w:val="00A2638C"/>
    <w:rsid w:val="00A2673C"/>
    <w:rsid w:val="00A26ADD"/>
    <w:rsid w:val="00A26B9C"/>
    <w:rsid w:val="00A27117"/>
    <w:rsid w:val="00A27320"/>
    <w:rsid w:val="00A277B5"/>
    <w:rsid w:val="00A2795C"/>
    <w:rsid w:val="00A27A75"/>
    <w:rsid w:val="00A27BD4"/>
    <w:rsid w:val="00A27DF5"/>
    <w:rsid w:val="00A301FA"/>
    <w:rsid w:val="00A303DD"/>
    <w:rsid w:val="00A30F0E"/>
    <w:rsid w:val="00A31026"/>
    <w:rsid w:val="00A311AE"/>
    <w:rsid w:val="00A31598"/>
    <w:rsid w:val="00A3162B"/>
    <w:rsid w:val="00A316E3"/>
    <w:rsid w:val="00A31AFB"/>
    <w:rsid w:val="00A31EE2"/>
    <w:rsid w:val="00A31F1D"/>
    <w:rsid w:val="00A321F4"/>
    <w:rsid w:val="00A32300"/>
    <w:rsid w:val="00A323C3"/>
    <w:rsid w:val="00A32B9B"/>
    <w:rsid w:val="00A32E56"/>
    <w:rsid w:val="00A33026"/>
    <w:rsid w:val="00A33173"/>
    <w:rsid w:val="00A3339D"/>
    <w:rsid w:val="00A33576"/>
    <w:rsid w:val="00A33BEE"/>
    <w:rsid w:val="00A341E0"/>
    <w:rsid w:val="00A343AD"/>
    <w:rsid w:val="00A343D6"/>
    <w:rsid w:val="00A34441"/>
    <w:rsid w:val="00A34851"/>
    <w:rsid w:val="00A3486F"/>
    <w:rsid w:val="00A348AF"/>
    <w:rsid w:val="00A34D78"/>
    <w:rsid w:val="00A34F49"/>
    <w:rsid w:val="00A351B9"/>
    <w:rsid w:val="00A355DD"/>
    <w:rsid w:val="00A35656"/>
    <w:rsid w:val="00A359C6"/>
    <w:rsid w:val="00A35CAF"/>
    <w:rsid w:val="00A35F0F"/>
    <w:rsid w:val="00A35F8F"/>
    <w:rsid w:val="00A36129"/>
    <w:rsid w:val="00A362BD"/>
    <w:rsid w:val="00A363E6"/>
    <w:rsid w:val="00A36484"/>
    <w:rsid w:val="00A36518"/>
    <w:rsid w:val="00A365DB"/>
    <w:rsid w:val="00A3689D"/>
    <w:rsid w:val="00A36E71"/>
    <w:rsid w:val="00A36E72"/>
    <w:rsid w:val="00A36FEC"/>
    <w:rsid w:val="00A37230"/>
    <w:rsid w:val="00A372BC"/>
    <w:rsid w:val="00A373CF"/>
    <w:rsid w:val="00A374A4"/>
    <w:rsid w:val="00A376DF"/>
    <w:rsid w:val="00A3777B"/>
    <w:rsid w:val="00A37803"/>
    <w:rsid w:val="00A37862"/>
    <w:rsid w:val="00A37C97"/>
    <w:rsid w:val="00A401A0"/>
    <w:rsid w:val="00A40496"/>
    <w:rsid w:val="00A40701"/>
    <w:rsid w:val="00A4092A"/>
    <w:rsid w:val="00A40E6E"/>
    <w:rsid w:val="00A41137"/>
    <w:rsid w:val="00A41438"/>
    <w:rsid w:val="00A415D7"/>
    <w:rsid w:val="00A4162E"/>
    <w:rsid w:val="00A416AF"/>
    <w:rsid w:val="00A41C54"/>
    <w:rsid w:val="00A41E73"/>
    <w:rsid w:val="00A4218A"/>
    <w:rsid w:val="00A42308"/>
    <w:rsid w:val="00A43176"/>
    <w:rsid w:val="00A43516"/>
    <w:rsid w:val="00A43869"/>
    <w:rsid w:val="00A43F67"/>
    <w:rsid w:val="00A44495"/>
    <w:rsid w:val="00A445B2"/>
    <w:rsid w:val="00A44BEC"/>
    <w:rsid w:val="00A450B1"/>
    <w:rsid w:val="00A45370"/>
    <w:rsid w:val="00A453C1"/>
    <w:rsid w:val="00A45696"/>
    <w:rsid w:val="00A45D2D"/>
    <w:rsid w:val="00A45E1E"/>
    <w:rsid w:val="00A46023"/>
    <w:rsid w:val="00A460EC"/>
    <w:rsid w:val="00A462A2"/>
    <w:rsid w:val="00A46405"/>
    <w:rsid w:val="00A4648D"/>
    <w:rsid w:val="00A46499"/>
    <w:rsid w:val="00A46550"/>
    <w:rsid w:val="00A465AD"/>
    <w:rsid w:val="00A46826"/>
    <w:rsid w:val="00A46A89"/>
    <w:rsid w:val="00A471B3"/>
    <w:rsid w:val="00A4782C"/>
    <w:rsid w:val="00A47EFC"/>
    <w:rsid w:val="00A50075"/>
    <w:rsid w:val="00A50541"/>
    <w:rsid w:val="00A50B15"/>
    <w:rsid w:val="00A50D04"/>
    <w:rsid w:val="00A50E6F"/>
    <w:rsid w:val="00A50ECC"/>
    <w:rsid w:val="00A50FB2"/>
    <w:rsid w:val="00A5123C"/>
    <w:rsid w:val="00A51502"/>
    <w:rsid w:val="00A51622"/>
    <w:rsid w:val="00A51C78"/>
    <w:rsid w:val="00A51D47"/>
    <w:rsid w:val="00A5210F"/>
    <w:rsid w:val="00A523DE"/>
    <w:rsid w:val="00A52C1B"/>
    <w:rsid w:val="00A52CD8"/>
    <w:rsid w:val="00A52D40"/>
    <w:rsid w:val="00A532D3"/>
    <w:rsid w:val="00A53D95"/>
    <w:rsid w:val="00A53E93"/>
    <w:rsid w:val="00A53F46"/>
    <w:rsid w:val="00A54366"/>
    <w:rsid w:val="00A544DA"/>
    <w:rsid w:val="00A54667"/>
    <w:rsid w:val="00A546E0"/>
    <w:rsid w:val="00A54872"/>
    <w:rsid w:val="00A5492E"/>
    <w:rsid w:val="00A54BBA"/>
    <w:rsid w:val="00A5509B"/>
    <w:rsid w:val="00A55348"/>
    <w:rsid w:val="00A55B83"/>
    <w:rsid w:val="00A55EA2"/>
    <w:rsid w:val="00A55F73"/>
    <w:rsid w:val="00A5613C"/>
    <w:rsid w:val="00A565EC"/>
    <w:rsid w:val="00A56683"/>
    <w:rsid w:val="00A567A5"/>
    <w:rsid w:val="00A56A44"/>
    <w:rsid w:val="00A56F53"/>
    <w:rsid w:val="00A575E1"/>
    <w:rsid w:val="00A57735"/>
    <w:rsid w:val="00A57AA7"/>
    <w:rsid w:val="00A57DF2"/>
    <w:rsid w:val="00A57E2D"/>
    <w:rsid w:val="00A6013F"/>
    <w:rsid w:val="00A604E1"/>
    <w:rsid w:val="00A604E7"/>
    <w:rsid w:val="00A60776"/>
    <w:rsid w:val="00A607A0"/>
    <w:rsid w:val="00A609B2"/>
    <w:rsid w:val="00A609F0"/>
    <w:rsid w:val="00A60BE8"/>
    <w:rsid w:val="00A60E10"/>
    <w:rsid w:val="00A610FE"/>
    <w:rsid w:val="00A61493"/>
    <w:rsid w:val="00A61583"/>
    <w:rsid w:val="00A617C4"/>
    <w:rsid w:val="00A61BD5"/>
    <w:rsid w:val="00A61DF7"/>
    <w:rsid w:val="00A61EAD"/>
    <w:rsid w:val="00A61F94"/>
    <w:rsid w:val="00A622F9"/>
    <w:rsid w:val="00A624E9"/>
    <w:rsid w:val="00A624EB"/>
    <w:rsid w:val="00A626C9"/>
    <w:rsid w:val="00A62A6A"/>
    <w:rsid w:val="00A62E5D"/>
    <w:rsid w:val="00A62F7C"/>
    <w:rsid w:val="00A63207"/>
    <w:rsid w:val="00A63742"/>
    <w:rsid w:val="00A6391B"/>
    <w:rsid w:val="00A63BFA"/>
    <w:rsid w:val="00A63D60"/>
    <w:rsid w:val="00A64365"/>
    <w:rsid w:val="00A6470D"/>
    <w:rsid w:val="00A64731"/>
    <w:rsid w:val="00A647C4"/>
    <w:rsid w:val="00A658E3"/>
    <w:rsid w:val="00A659F7"/>
    <w:rsid w:val="00A65AEE"/>
    <w:rsid w:val="00A662A5"/>
    <w:rsid w:val="00A663AA"/>
    <w:rsid w:val="00A66610"/>
    <w:rsid w:val="00A66668"/>
    <w:rsid w:val="00A6697A"/>
    <w:rsid w:val="00A66A37"/>
    <w:rsid w:val="00A66D08"/>
    <w:rsid w:val="00A67036"/>
    <w:rsid w:val="00A6767A"/>
    <w:rsid w:val="00A67C37"/>
    <w:rsid w:val="00A67DD6"/>
    <w:rsid w:val="00A7014A"/>
    <w:rsid w:val="00A7038B"/>
    <w:rsid w:val="00A709E4"/>
    <w:rsid w:val="00A70B53"/>
    <w:rsid w:val="00A70D64"/>
    <w:rsid w:val="00A71090"/>
    <w:rsid w:val="00A712C6"/>
    <w:rsid w:val="00A713F2"/>
    <w:rsid w:val="00A7182B"/>
    <w:rsid w:val="00A71D8A"/>
    <w:rsid w:val="00A71FEC"/>
    <w:rsid w:val="00A722CE"/>
    <w:rsid w:val="00A723F4"/>
    <w:rsid w:val="00A724E5"/>
    <w:rsid w:val="00A728C8"/>
    <w:rsid w:val="00A729A7"/>
    <w:rsid w:val="00A72AF1"/>
    <w:rsid w:val="00A72C75"/>
    <w:rsid w:val="00A72D78"/>
    <w:rsid w:val="00A72DBF"/>
    <w:rsid w:val="00A7306F"/>
    <w:rsid w:val="00A735F1"/>
    <w:rsid w:val="00A7367E"/>
    <w:rsid w:val="00A73708"/>
    <w:rsid w:val="00A73D58"/>
    <w:rsid w:val="00A73E1A"/>
    <w:rsid w:val="00A741D0"/>
    <w:rsid w:val="00A747AC"/>
    <w:rsid w:val="00A747C9"/>
    <w:rsid w:val="00A74AA6"/>
    <w:rsid w:val="00A74C68"/>
    <w:rsid w:val="00A74CF2"/>
    <w:rsid w:val="00A74D21"/>
    <w:rsid w:val="00A74E2B"/>
    <w:rsid w:val="00A74E99"/>
    <w:rsid w:val="00A74F9B"/>
    <w:rsid w:val="00A7577D"/>
    <w:rsid w:val="00A75BBE"/>
    <w:rsid w:val="00A75F19"/>
    <w:rsid w:val="00A76072"/>
    <w:rsid w:val="00A76379"/>
    <w:rsid w:val="00A763C1"/>
    <w:rsid w:val="00A76547"/>
    <w:rsid w:val="00A76795"/>
    <w:rsid w:val="00A76DFF"/>
    <w:rsid w:val="00A76E44"/>
    <w:rsid w:val="00A774C1"/>
    <w:rsid w:val="00A77563"/>
    <w:rsid w:val="00A776E2"/>
    <w:rsid w:val="00A779F3"/>
    <w:rsid w:val="00A77DF3"/>
    <w:rsid w:val="00A77FC9"/>
    <w:rsid w:val="00A8005B"/>
    <w:rsid w:val="00A80569"/>
    <w:rsid w:val="00A80A18"/>
    <w:rsid w:val="00A80ABD"/>
    <w:rsid w:val="00A80B23"/>
    <w:rsid w:val="00A81710"/>
    <w:rsid w:val="00A81A35"/>
    <w:rsid w:val="00A81BEA"/>
    <w:rsid w:val="00A81C9E"/>
    <w:rsid w:val="00A81D20"/>
    <w:rsid w:val="00A81D97"/>
    <w:rsid w:val="00A81F39"/>
    <w:rsid w:val="00A82342"/>
    <w:rsid w:val="00A82668"/>
    <w:rsid w:val="00A8271D"/>
    <w:rsid w:val="00A82B73"/>
    <w:rsid w:val="00A82DB1"/>
    <w:rsid w:val="00A82DC9"/>
    <w:rsid w:val="00A82DD3"/>
    <w:rsid w:val="00A82FB3"/>
    <w:rsid w:val="00A8338A"/>
    <w:rsid w:val="00A83A7D"/>
    <w:rsid w:val="00A84014"/>
    <w:rsid w:val="00A847DB"/>
    <w:rsid w:val="00A8494E"/>
    <w:rsid w:val="00A84A32"/>
    <w:rsid w:val="00A84A5C"/>
    <w:rsid w:val="00A85C14"/>
    <w:rsid w:val="00A85E31"/>
    <w:rsid w:val="00A85E90"/>
    <w:rsid w:val="00A860B5"/>
    <w:rsid w:val="00A86D14"/>
    <w:rsid w:val="00A86D86"/>
    <w:rsid w:val="00A86FE9"/>
    <w:rsid w:val="00A87A44"/>
    <w:rsid w:val="00A87E4C"/>
    <w:rsid w:val="00A900B3"/>
    <w:rsid w:val="00A9010F"/>
    <w:rsid w:val="00A9031A"/>
    <w:rsid w:val="00A906BF"/>
    <w:rsid w:val="00A90A9A"/>
    <w:rsid w:val="00A90DC7"/>
    <w:rsid w:val="00A910AA"/>
    <w:rsid w:val="00A910E3"/>
    <w:rsid w:val="00A911F0"/>
    <w:rsid w:val="00A91287"/>
    <w:rsid w:val="00A9136B"/>
    <w:rsid w:val="00A914BC"/>
    <w:rsid w:val="00A917BF"/>
    <w:rsid w:val="00A91D35"/>
    <w:rsid w:val="00A91E72"/>
    <w:rsid w:val="00A92361"/>
    <w:rsid w:val="00A92539"/>
    <w:rsid w:val="00A92682"/>
    <w:rsid w:val="00A92AC7"/>
    <w:rsid w:val="00A92B93"/>
    <w:rsid w:val="00A92E1A"/>
    <w:rsid w:val="00A92F1C"/>
    <w:rsid w:val="00A9319A"/>
    <w:rsid w:val="00A936D9"/>
    <w:rsid w:val="00A93786"/>
    <w:rsid w:val="00A937B1"/>
    <w:rsid w:val="00A938E3"/>
    <w:rsid w:val="00A9407C"/>
    <w:rsid w:val="00A941B5"/>
    <w:rsid w:val="00A947E5"/>
    <w:rsid w:val="00A94821"/>
    <w:rsid w:val="00A94A9B"/>
    <w:rsid w:val="00A94AEB"/>
    <w:rsid w:val="00A9504A"/>
    <w:rsid w:val="00A952E3"/>
    <w:rsid w:val="00A954B7"/>
    <w:rsid w:val="00A956E0"/>
    <w:rsid w:val="00A95D11"/>
    <w:rsid w:val="00A95FD7"/>
    <w:rsid w:val="00A966A6"/>
    <w:rsid w:val="00A96804"/>
    <w:rsid w:val="00A96A63"/>
    <w:rsid w:val="00A96C04"/>
    <w:rsid w:val="00A96C8E"/>
    <w:rsid w:val="00A97216"/>
    <w:rsid w:val="00A9739B"/>
    <w:rsid w:val="00A976CA"/>
    <w:rsid w:val="00A977A4"/>
    <w:rsid w:val="00A979E4"/>
    <w:rsid w:val="00A97CE8"/>
    <w:rsid w:val="00AA0509"/>
    <w:rsid w:val="00AA0665"/>
    <w:rsid w:val="00AA10EF"/>
    <w:rsid w:val="00AA1215"/>
    <w:rsid w:val="00AA1412"/>
    <w:rsid w:val="00AA1866"/>
    <w:rsid w:val="00AA192E"/>
    <w:rsid w:val="00AA1D75"/>
    <w:rsid w:val="00AA211E"/>
    <w:rsid w:val="00AA2ECC"/>
    <w:rsid w:val="00AA3869"/>
    <w:rsid w:val="00AA38AC"/>
    <w:rsid w:val="00AA3AC3"/>
    <w:rsid w:val="00AA3EFD"/>
    <w:rsid w:val="00AA43DA"/>
    <w:rsid w:val="00AA4621"/>
    <w:rsid w:val="00AA4680"/>
    <w:rsid w:val="00AA50CA"/>
    <w:rsid w:val="00AA538D"/>
    <w:rsid w:val="00AA56BD"/>
    <w:rsid w:val="00AA591B"/>
    <w:rsid w:val="00AA59F0"/>
    <w:rsid w:val="00AA5C69"/>
    <w:rsid w:val="00AA63C4"/>
    <w:rsid w:val="00AA6757"/>
    <w:rsid w:val="00AA6B1D"/>
    <w:rsid w:val="00AA787E"/>
    <w:rsid w:val="00AA798B"/>
    <w:rsid w:val="00AA79F3"/>
    <w:rsid w:val="00AB0155"/>
    <w:rsid w:val="00AB0394"/>
    <w:rsid w:val="00AB06BD"/>
    <w:rsid w:val="00AB0921"/>
    <w:rsid w:val="00AB0AFA"/>
    <w:rsid w:val="00AB0B96"/>
    <w:rsid w:val="00AB0C23"/>
    <w:rsid w:val="00AB0D99"/>
    <w:rsid w:val="00AB0E78"/>
    <w:rsid w:val="00AB12AF"/>
    <w:rsid w:val="00AB12D8"/>
    <w:rsid w:val="00AB1B2E"/>
    <w:rsid w:val="00AB1BEB"/>
    <w:rsid w:val="00AB1D9E"/>
    <w:rsid w:val="00AB1DF7"/>
    <w:rsid w:val="00AB2081"/>
    <w:rsid w:val="00AB20A8"/>
    <w:rsid w:val="00AB2217"/>
    <w:rsid w:val="00AB23D3"/>
    <w:rsid w:val="00AB25A4"/>
    <w:rsid w:val="00AB2986"/>
    <w:rsid w:val="00AB2C61"/>
    <w:rsid w:val="00AB2C66"/>
    <w:rsid w:val="00AB2DF0"/>
    <w:rsid w:val="00AB3B71"/>
    <w:rsid w:val="00AB3FD2"/>
    <w:rsid w:val="00AB43CD"/>
    <w:rsid w:val="00AB45F1"/>
    <w:rsid w:val="00AB4B71"/>
    <w:rsid w:val="00AB4BFC"/>
    <w:rsid w:val="00AB4E1F"/>
    <w:rsid w:val="00AB4E3B"/>
    <w:rsid w:val="00AB4E4E"/>
    <w:rsid w:val="00AB4F85"/>
    <w:rsid w:val="00AB5581"/>
    <w:rsid w:val="00AB55D3"/>
    <w:rsid w:val="00AB57E7"/>
    <w:rsid w:val="00AB5852"/>
    <w:rsid w:val="00AB586E"/>
    <w:rsid w:val="00AB5B3A"/>
    <w:rsid w:val="00AB5C1D"/>
    <w:rsid w:val="00AB5E8A"/>
    <w:rsid w:val="00AB5FA6"/>
    <w:rsid w:val="00AB65BD"/>
    <w:rsid w:val="00AB6733"/>
    <w:rsid w:val="00AB67D5"/>
    <w:rsid w:val="00AB6CB9"/>
    <w:rsid w:val="00AB6F6D"/>
    <w:rsid w:val="00AB7033"/>
    <w:rsid w:val="00AB798D"/>
    <w:rsid w:val="00AB7FCB"/>
    <w:rsid w:val="00AC063E"/>
    <w:rsid w:val="00AC09DF"/>
    <w:rsid w:val="00AC0EC0"/>
    <w:rsid w:val="00AC0FF6"/>
    <w:rsid w:val="00AC10C4"/>
    <w:rsid w:val="00AC1208"/>
    <w:rsid w:val="00AC172C"/>
    <w:rsid w:val="00AC17DD"/>
    <w:rsid w:val="00AC182D"/>
    <w:rsid w:val="00AC1A40"/>
    <w:rsid w:val="00AC26E0"/>
    <w:rsid w:val="00AC290B"/>
    <w:rsid w:val="00AC2A13"/>
    <w:rsid w:val="00AC2AFE"/>
    <w:rsid w:val="00AC39E3"/>
    <w:rsid w:val="00AC3B30"/>
    <w:rsid w:val="00AC4194"/>
    <w:rsid w:val="00AC4508"/>
    <w:rsid w:val="00AC4595"/>
    <w:rsid w:val="00AC47B0"/>
    <w:rsid w:val="00AC47D6"/>
    <w:rsid w:val="00AC4E34"/>
    <w:rsid w:val="00AC4F8C"/>
    <w:rsid w:val="00AC50DB"/>
    <w:rsid w:val="00AC5267"/>
    <w:rsid w:val="00AC61C4"/>
    <w:rsid w:val="00AC63C2"/>
    <w:rsid w:val="00AC73AD"/>
    <w:rsid w:val="00AC7A03"/>
    <w:rsid w:val="00AC7B9E"/>
    <w:rsid w:val="00AC7CCF"/>
    <w:rsid w:val="00AD02A5"/>
    <w:rsid w:val="00AD053C"/>
    <w:rsid w:val="00AD05CE"/>
    <w:rsid w:val="00AD068A"/>
    <w:rsid w:val="00AD0925"/>
    <w:rsid w:val="00AD0A4A"/>
    <w:rsid w:val="00AD0D6C"/>
    <w:rsid w:val="00AD0E4C"/>
    <w:rsid w:val="00AD0FB5"/>
    <w:rsid w:val="00AD115E"/>
    <w:rsid w:val="00AD1285"/>
    <w:rsid w:val="00AD1308"/>
    <w:rsid w:val="00AD15AC"/>
    <w:rsid w:val="00AD185B"/>
    <w:rsid w:val="00AD185F"/>
    <w:rsid w:val="00AD18DA"/>
    <w:rsid w:val="00AD1A10"/>
    <w:rsid w:val="00AD21B7"/>
    <w:rsid w:val="00AD21D0"/>
    <w:rsid w:val="00AD2CB2"/>
    <w:rsid w:val="00AD2F8E"/>
    <w:rsid w:val="00AD3228"/>
    <w:rsid w:val="00AD322B"/>
    <w:rsid w:val="00AD32D2"/>
    <w:rsid w:val="00AD36CB"/>
    <w:rsid w:val="00AD3AC0"/>
    <w:rsid w:val="00AD4124"/>
    <w:rsid w:val="00AD412C"/>
    <w:rsid w:val="00AD4215"/>
    <w:rsid w:val="00AD4824"/>
    <w:rsid w:val="00AD4FC1"/>
    <w:rsid w:val="00AD5158"/>
    <w:rsid w:val="00AD5BED"/>
    <w:rsid w:val="00AD5F57"/>
    <w:rsid w:val="00AD6676"/>
    <w:rsid w:val="00AD6698"/>
    <w:rsid w:val="00AD66A7"/>
    <w:rsid w:val="00AD682D"/>
    <w:rsid w:val="00AD6C4F"/>
    <w:rsid w:val="00AD6ED8"/>
    <w:rsid w:val="00AD708D"/>
    <w:rsid w:val="00AD7378"/>
    <w:rsid w:val="00AD7914"/>
    <w:rsid w:val="00AD7967"/>
    <w:rsid w:val="00AD79DA"/>
    <w:rsid w:val="00AD7CEE"/>
    <w:rsid w:val="00AE023E"/>
    <w:rsid w:val="00AE024D"/>
    <w:rsid w:val="00AE029A"/>
    <w:rsid w:val="00AE0368"/>
    <w:rsid w:val="00AE053F"/>
    <w:rsid w:val="00AE084C"/>
    <w:rsid w:val="00AE08EA"/>
    <w:rsid w:val="00AE0B79"/>
    <w:rsid w:val="00AE0F81"/>
    <w:rsid w:val="00AE14D4"/>
    <w:rsid w:val="00AE2164"/>
    <w:rsid w:val="00AE231F"/>
    <w:rsid w:val="00AE2AA5"/>
    <w:rsid w:val="00AE2DCE"/>
    <w:rsid w:val="00AE2EA6"/>
    <w:rsid w:val="00AE35E5"/>
    <w:rsid w:val="00AE3E9C"/>
    <w:rsid w:val="00AE3FBA"/>
    <w:rsid w:val="00AE4054"/>
    <w:rsid w:val="00AE4117"/>
    <w:rsid w:val="00AE4326"/>
    <w:rsid w:val="00AE435C"/>
    <w:rsid w:val="00AE4C7C"/>
    <w:rsid w:val="00AE4CC4"/>
    <w:rsid w:val="00AE584D"/>
    <w:rsid w:val="00AE65D3"/>
    <w:rsid w:val="00AE6702"/>
    <w:rsid w:val="00AE6764"/>
    <w:rsid w:val="00AE6BCD"/>
    <w:rsid w:val="00AE6D02"/>
    <w:rsid w:val="00AE6F2F"/>
    <w:rsid w:val="00AE7408"/>
    <w:rsid w:val="00AE7733"/>
    <w:rsid w:val="00AE77DC"/>
    <w:rsid w:val="00AE7964"/>
    <w:rsid w:val="00AE79E4"/>
    <w:rsid w:val="00AE7F13"/>
    <w:rsid w:val="00AF01C1"/>
    <w:rsid w:val="00AF046F"/>
    <w:rsid w:val="00AF0720"/>
    <w:rsid w:val="00AF075F"/>
    <w:rsid w:val="00AF0AB0"/>
    <w:rsid w:val="00AF0DAE"/>
    <w:rsid w:val="00AF0E02"/>
    <w:rsid w:val="00AF0EE7"/>
    <w:rsid w:val="00AF124D"/>
    <w:rsid w:val="00AF1363"/>
    <w:rsid w:val="00AF14E4"/>
    <w:rsid w:val="00AF1925"/>
    <w:rsid w:val="00AF196D"/>
    <w:rsid w:val="00AF19F2"/>
    <w:rsid w:val="00AF19F4"/>
    <w:rsid w:val="00AF1BFF"/>
    <w:rsid w:val="00AF1D9D"/>
    <w:rsid w:val="00AF2902"/>
    <w:rsid w:val="00AF2AA8"/>
    <w:rsid w:val="00AF2D5B"/>
    <w:rsid w:val="00AF2E79"/>
    <w:rsid w:val="00AF2E91"/>
    <w:rsid w:val="00AF2FDD"/>
    <w:rsid w:val="00AF349A"/>
    <w:rsid w:val="00AF3507"/>
    <w:rsid w:val="00AF38D9"/>
    <w:rsid w:val="00AF3C7E"/>
    <w:rsid w:val="00AF48F1"/>
    <w:rsid w:val="00AF49DB"/>
    <w:rsid w:val="00AF4D01"/>
    <w:rsid w:val="00AF5367"/>
    <w:rsid w:val="00AF552F"/>
    <w:rsid w:val="00AF555E"/>
    <w:rsid w:val="00AF5843"/>
    <w:rsid w:val="00AF5979"/>
    <w:rsid w:val="00AF5A0E"/>
    <w:rsid w:val="00AF5AE8"/>
    <w:rsid w:val="00AF5B29"/>
    <w:rsid w:val="00AF5B3B"/>
    <w:rsid w:val="00AF5CA3"/>
    <w:rsid w:val="00AF5CFF"/>
    <w:rsid w:val="00AF60BF"/>
    <w:rsid w:val="00AF63A1"/>
    <w:rsid w:val="00AF65A2"/>
    <w:rsid w:val="00AF6AC8"/>
    <w:rsid w:val="00AF6B6D"/>
    <w:rsid w:val="00AF6CB0"/>
    <w:rsid w:val="00AF7771"/>
    <w:rsid w:val="00AF78D2"/>
    <w:rsid w:val="00AF7E91"/>
    <w:rsid w:val="00B002A1"/>
    <w:rsid w:val="00B00543"/>
    <w:rsid w:val="00B00659"/>
    <w:rsid w:val="00B00B26"/>
    <w:rsid w:val="00B00C43"/>
    <w:rsid w:val="00B010C2"/>
    <w:rsid w:val="00B01756"/>
    <w:rsid w:val="00B01765"/>
    <w:rsid w:val="00B017FA"/>
    <w:rsid w:val="00B0191A"/>
    <w:rsid w:val="00B019FC"/>
    <w:rsid w:val="00B01C02"/>
    <w:rsid w:val="00B01CC8"/>
    <w:rsid w:val="00B03206"/>
    <w:rsid w:val="00B03313"/>
    <w:rsid w:val="00B03471"/>
    <w:rsid w:val="00B03B03"/>
    <w:rsid w:val="00B0405E"/>
    <w:rsid w:val="00B04339"/>
    <w:rsid w:val="00B04364"/>
    <w:rsid w:val="00B044B6"/>
    <w:rsid w:val="00B047C7"/>
    <w:rsid w:val="00B049C5"/>
    <w:rsid w:val="00B0501E"/>
    <w:rsid w:val="00B05096"/>
    <w:rsid w:val="00B050FB"/>
    <w:rsid w:val="00B051EF"/>
    <w:rsid w:val="00B05A14"/>
    <w:rsid w:val="00B06189"/>
    <w:rsid w:val="00B0624D"/>
    <w:rsid w:val="00B06403"/>
    <w:rsid w:val="00B06430"/>
    <w:rsid w:val="00B066A7"/>
    <w:rsid w:val="00B06D90"/>
    <w:rsid w:val="00B06E0F"/>
    <w:rsid w:val="00B06FB3"/>
    <w:rsid w:val="00B0709E"/>
    <w:rsid w:val="00B07211"/>
    <w:rsid w:val="00B07283"/>
    <w:rsid w:val="00B07900"/>
    <w:rsid w:val="00B07941"/>
    <w:rsid w:val="00B10116"/>
    <w:rsid w:val="00B10440"/>
    <w:rsid w:val="00B1066E"/>
    <w:rsid w:val="00B10826"/>
    <w:rsid w:val="00B11025"/>
    <w:rsid w:val="00B1186F"/>
    <w:rsid w:val="00B11BC5"/>
    <w:rsid w:val="00B1202A"/>
    <w:rsid w:val="00B1253E"/>
    <w:rsid w:val="00B12591"/>
    <w:rsid w:val="00B12AD9"/>
    <w:rsid w:val="00B12EA7"/>
    <w:rsid w:val="00B13937"/>
    <w:rsid w:val="00B13BCD"/>
    <w:rsid w:val="00B13E8F"/>
    <w:rsid w:val="00B14500"/>
    <w:rsid w:val="00B145C0"/>
    <w:rsid w:val="00B146F7"/>
    <w:rsid w:val="00B1482E"/>
    <w:rsid w:val="00B1499E"/>
    <w:rsid w:val="00B15117"/>
    <w:rsid w:val="00B15725"/>
    <w:rsid w:val="00B15B35"/>
    <w:rsid w:val="00B16142"/>
    <w:rsid w:val="00B168F7"/>
    <w:rsid w:val="00B16B32"/>
    <w:rsid w:val="00B16DB1"/>
    <w:rsid w:val="00B16F17"/>
    <w:rsid w:val="00B1732C"/>
    <w:rsid w:val="00B17A0A"/>
    <w:rsid w:val="00B17B45"/>
    <w:rsid w:val="00B17BD1"/>
    <w:rsid w:val="00B17BF1"/>
    <w:rsid w:val="00B17FA1"/>
    <w:rsid w:val="00B202D3"/>
    <w:rsid w:val="00B202EE"/>
    <w:rsid w:val="00B2054B"/>
    <w:rsid w:val="00B2058E"/>
    <w:rsid w:val="00B207F5"/>
    <w:rsid w:val="00B209DB"/>
    <w:rsid w:val="00B20C3A"/>
    <w:rsid w:val="00B2156D"/>
    <w:rsid w:val="00B21685"/>
    <w:rsid w:val="00B21B13"/>
    <w:rsid w:val="00B21B29"/>
    <w:rsid w:val="00B21DF8"/>
    <w:rsid w:val="00B21E66"/>
    <w:rsid w:val="00B21F2B"/>
    <w:rsid w:val="00B21FE2"/>
    <w:rsid w:val="00B22383"/>
    <w:rsid w:val="00B22A27"/>
    <w:rsid w:val="00B22AAD"/>
    <w:rsid w:val="00B2310B"/>
    <w:rsid w:val="00B2317E"/>
    <w:rsid w:val="00B23488"/>
    <w:rsid w:val="00B23644"/>
    <w:rsid w:val="00B236A7"/>
    <w:rsid w:val="00B23816"/>
    <w:rsid w:val="00B2390D"/>
    <w:rsid w:val="00B23B0A"/>
    <w:rsid w:val="00B23BF9"/>
    <w:rsid w:val="00B24013"/>
    <w:rsid w:val="00B24207"/>
    <w:rsid w:val="00B24817"/>
    <w:rsid w:val="00B2484D"/>
    <w:rsid w:val="00B24949"/>
    <w:rsid w:val="00B24A2A"/>
    <w:rsid w:val="00B24C5A"/>
    <w:rsid w:val="00B24DD7"/>
    <w:rsid w:val="00B25286"/>
    <w:rsid w:val="00B252FE"/>
    <w:rsid w:val="00B2539E"/>
    <w:rsid w:val="00B254FB"/>
    <w:rsid w:val="00B25816"/>
    <w:rsid w:val="00B25B82"/>
    <w:rsid w:val="00B25FF8"/>
    <w:rsid w:val="00B26079"/>
    <w:rsid w:val="00B263BC"/>
    <w:rsid w:val="00B2667B"/>
    <w:rsid w:val="00B26D79"/>
    <w:rsid w:val="00B2706C"/>
    <w:rsid w:val="00B272B1"/>
    <w:rsid w:val="00B274D5"/>
    <w:rsid w:val="00B2754D"/>
    <w:rsid w:val="00B30364"/>
    <w:rsid w:val="00B30606"/>
    <w:rsid w:val="00B30C97"/>
    <w:rsid w:val="00B30D26"/>
    <w:rsid w:val="00B30D46"/>
    <w:rsid w:val="00B30DB6"/>
    <w:rsid w:val="00B30ED8"/>
    <w:rsid w:val="00B3135D"/>
    <w:rsid w:val="00B314CD"/>
    <w:rsid w:val="00B319DB"/>
    <w:rsid w:val="00B31A3B"/>
    <w:rsid w:val="00B31C8B"/>
    <w:rsid w:val="00B31EEF"/>
    <w:rsid w:val="00B32127"/>
    <w:rsid w:val="00B32198"/>
    <w:rsid w:val="00B32282"/>
    <w:rsid w:val="00B323E3"/>
    <w:rsid w:val="00B32534"/>
    <w:rsid w:val="00B328F5"/>
    <w:rsid w:val="00B32BC2"/>
    <w:rsid w:val="00B32DC4"/>
    <w:rsid w:val="00B32DC8"/>
    <w:rsid w:val="00B32EB7"/>
    <w:rsid w:val="00B33329"/>
    <w:rsid w:val="00B3376E"/>
    <w:rsid w:val="00B33801"/>
    <w:rsid w:val="00B33F48"/>
    <w:rsid w:val="00B34385"/>
    <w:rsid w:val="00B3439B"/>
    <w:rsid w:val="00B345DD"/>
    <w:rsid w:val="00B3486F"/>
    <w:rsid w:val="00B34889"/>
    <w:rsid w:val="00B34951"/>
    <w:rsid w:val="00B34E7D"/>
    <w:rsid w:val="00B34FD3"/>
    <w:rsid w:val="00B359F4"/>
    <w:rsid w:val="00B35A38"/>
    <w:rsid w:val="00B36277"/>
    <w:rsid w:val="00B36F40"/>
    <w:rsid w:val="00B3700E"/>
    <w:rsid w:val="00B37073"/>
    <w:rsid w:val="00B3769D"/>
    <w:rsid w:val="00B37E37"/>
    <w:rsid w:val="00B401D7"/>
    <w:rsid w:val="00B4029F"/>
    <w:rsid w:val="00B4064C"/>
    <w:rsid w:val="00B40BCB"/>
    <w:rsid w:val="00B40DDC"/>
    <w:rsid w:val="00B40DEE"/>
    <w:rsid w:val="00B40E85"/>
    <w:rsid w:val="00B416E8"/>
    <w:rsid w:val="00B41726"/>
    <w:rsid w:val="00B418DA"/>
    <w:rsid w:val="00B41C99"/>
    <w:rsid w:val="00B41EAE"/>
    <w:rsid w:val="00B41F5E"/>
    <w:rsid w:val="00B41F89"/>
    <w:rsid w:val="00B41FAF"/>
    <w:rsid w:val="00B41FF4"/>
    <w:rsid w:val="00B42C20"/>
    <w:rsid w:val="00B438FC"/>
    <w:rsid w:val="00B43B4B"/>
    <w:rsid w:val="00B44380"/>
    <w:rsid w:val="00B4447F"/>
    <w:rsid w:val="00B445DD"/>
    <w:rsid w:val="00B447C9"/>
    <w:rsid w:val="00B453DA"/>
    <w:rsid w:val="00B454EE"/>
    <w:rsid w:val="00B4580C"/>
    <w:rsid w:val="00B45C69"/>
    <w:rsid w:val="00B4613F"/>
    <w:rsid w:val="00B46750"/>
    <w:rsid w:val="00B4685B"/>
    <w:rsid w:val="00B46A92"/>
    <w:rsid w:val="00B46AB3"/>
    <w:rsid w:val="00B477FA"/>
    <w:rsid w:val="00B47A33"/>
    <w:rsid w:val="00B47BB3"/>
    <w:rsid w:val="00B47E89"/>
    <w:rsid w:val="00B47FEF"/>
    <w:rsid w:val="00B5013E"/>
    <w:rsid w:val="00B50299"/>
    <w:rsid w:val="00B50597"/>
    <w:rsid w:val="00B50D35"/>
    <w:rsid w:val="00B50E4F"/>
    <w:rsid w:val="00B50F99"/>
    <w:rsid w:val="00B511C9"/>
    <w:rsid w:val="00B51511"/>
    <w:rsid w:val="00B516B9"/>
    <w:rsid w:val="00B517E2"/>
    <w:rsid w:val="00B51BC0"/>
    <w:rsid w:val="00B51C26"/>
    <w:rsid w:val="00B5236A"/>
    <w:rsid w:val="00B52519"/>
    <w:rsid w:val="00B525CD"/>
    <w:rsid w:val="00B528E5"/>
    <w:rsid w:val="00B528F0"/>
    <w:rsid w:val="00B52A21"/>
    <w:rsid w:val="00B52C36"/>
    <w:rsid w:val="00B52FC5"/>
    <w:rsid w:val="00B53176"/>
    <w:rsid w:val="00B5326B"/>
    <w:rsid w:val="00B533AF"/>
    <w:rsid w:val="00B53660"/>
    <w:rsid w:val="00B53CCB"/>
    <w:rsid w:val="00B53F1D"/>
    <w:rsid w:val="00B54204"/>
    <w:rsid w:val="00B543D9"/>
    <w:rsid w:val="00B546B2"/>
    <w:rsid w:val="00B54996"/>
    <w:rsid w:val="00B54A5A"/>
    <w:rsid w:val="00B54F98"/>
    <w:rsid w:val="00B55233"/>
    <w:rsid w:val="00B55410"/>
    <w:rsid w:val="00B55B11"/>
    <w:rsid w:val="00B55D8E"/>
    <w:rsid w:val="00B56043"/>
    <w:rsid w:val="00B5640F"/>
    <w:rsid w:val="00B5647E"/>
    <w:rsid w:val="00B56C05"/>
    <w:rsid w:val="00B572F4"/>
    <w:rsid w:val="00B57603"/>
    <w:rsid w:val="00B57934"/>
    <w:rsid w:val="00B57CBB"/>
    <w:rsid w:val="00B57ECE"/>
    <w:rsid w:val="00B60005"/>
    <w:rsid w:val="00B6001B"/>
    <w:rsid w:val="00B600E5"/>
    <w:rsid w:val="00B60217"/>
    <w:rsid w:val="00B6037A"/>
    <w:rsid w:val="00B606F5"/>
    <w:rsid w:val="00B60A20"/>
    <w:rsid w:val="00B60A5C"/>
    <w:rsid w:val="00B60C82"/>
    <w:rsid w:val="00B60C9A"/>
    <w:rsid w:val="00B60DD3"/>
    <w:rsid w:val="00B61C86"/>
    <w:rsid w:val="00B61EAC"/>
    <w:rsid w:val="00B61F81"/>
    <w:rsid w:val="00B62246"/>
    <w:rsid w:val="00B62837"/>
    <w:rsid w:val="00B63042"/>
    <w:rsid w:val="00B6391B"/>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C7"/>
    <w:rsid w:val="00B6623D"/>
    <w:rsid w:val="00B66318"/>
    <w:rsid w:val="00B6641F"/>
    <w:rsid w:val="00B66645"/>
    <w:rsid w:val="00B66665"/>
    <w:rsid w:val="00B66847"/>
    <w:rsid w:val="00B66A62"/>
    <w:rsid w:val="00B66B7C"/>
    <w:rsid w:val="00B66DEA"/>
    <w:rsid w:val="00B66E32"/>
    <w:rsid w:val="00B66F6A"/>
    <w:rsid w:val="00B66FB9"/>
    <w:rsid w:val="00B6719E"/>
    <w:rsid w:val="00B6731B"/>
    <w:rsid w:val="00B67485"/>
    <w:rsid w:val="00B678AD"/>
    <w:rsid w:val="00B678C3"/>
    <w:rsid w:val="00B67BE4"/>
    <w:rsid w:val="00B67C21"/>
    <w:rsid w:val="00B67C8E"/>
    <w:rsid w:val="00B701BC"/>
    <w:rsid w:val="00B704FF"/>
    <w:rsid w:val="00B70848"/>
    <w:rsid w:val="00B708AF"/>
    <w:rsid w:val="00B70A1D"/>
    <w:rsid w:val="00B70A70"/>
    <w:rsid w:val="00B71046"/>
    <w:rsid w:val="00B71320"/>
    <w:rsid w:val="00B714D5"/>
    <w:rsid w:val="00B714F9"/>
    <w:rsid w:val="00B71684"/>
    <w:rsid w:val="00B718D3"/>
    <w:rsid w:val="00B71A2F"/>
    <w:rsid w:val="00B71D5F"/>
    <w:rsid w:val="00B71D9D"/>
    <w:rsid w:val="00B71F65"/>
    <w:rsid w:val="00B71FF7"/>
    <w:rsid w:val="00B72253"/>
    <w:rsid w:val="00B7230B"/>
    <w:rsid w:val="00B723CE"/>
    <w:rsid w:val="00B72439"/>
    <w:rsid w:val="00B72543"/>
    <w:rsid w:val="00B7274F"/>
    <w:rsid w:val="00B72FA8"/>
    <w:rsid w:val="00B72FCC"/>
    <w:rsid w:val="00B734AB"/>
    <w:rsid w:val="00B734FA"/>
    <w:rsid w:val="00B736CB"/>
    <w:rsid w:val="00B739D4"/>
    <w:rsid w:val="00B73EEA"/>
    <w:rsid w:val="00B7481A"/>
    <w:rsid w:val="00B748CE"/>
    <w:rsid w:val="00B749FA"/>
    <w:rsid w:val="00B74EC0"/>
    <w:rsid w:val="00B7532E"/>
    <w:rsid w:val="00B7569D"/>
    <w:rsid w:val="00B758D7"/>
    <w:rsid w:val="00B767B2"/>
    <w:rsid w:val="00B7683A"/>
    <w:rsid w:val="00B768B3"/>
    <w:rsid w:val="00B76A1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11F2"/>
    <w:rsid w:val="00B816F1"/>
    <w:rsid w:val="00B8179B"/>
    <w:rsid w:val="00B81AE1"/>
    <w:rsid w:val="00B81CCF"/>
    <w:rsid w:val="00B81E18"/>
    <w:rsid w:val="00B8236F"/>
    <w:rsid w:val="00B82446"/>
    <w:rsid w:val="00B8253E"/>
    <w:rsid w:val="00B82673"/>
    <w:rsid w:val="00B82AF0"/>
    <w:rsid w:val="00B83121"/>
    <w:rsid w:val="00B83592"/>
    <w:rsid w:val="00B838F8"/>
    <w:rsid w:val="00B83ABA"/>
    <w:rsid w:val="00B83C3F"/>
    <w:rsid w:val="00B83C9B"/>
    <w:rsid w:val="00B83E2F"/>
    <w:rsid w:val="00B84477"/>
    <w:rsid w:val="00B84598"/>
    <w:rsid w:val="00B845F0"/>
    <w:rsid w:val="00B84786"/>
    <w:rsid w:val="00B847BB"/>
    <w:rsid w:val="00B847D2"/>
    <w:rsid w:val="00B84A7B"/>
    <w:rsid w:val="00B850CF"/>
    <w:rsid w:val="00B8533A"/>
    <w:rsid w:val="00B8533C"/>
    <w:rsid w:val="00B854FE"/>
    <w:rsid w:val="00B859F9"/>
    <w:rsid w:val="00B85F39"/>
    <w:rsid w:val="00B86213"/>
    <w:rsid w:val="00B86517"/>
    <w:rsid w:val="00B865C4"/>
    <w:rsid w:val="00B86F32"/>
    <w:rsid w:val="00B87035"/>
    <w:rsid w:val="00B87291"/>
    <w:rsid w:val="00B876ED"/>
    <w:rsid w:val="00B87E27"/>
    <w:rsid w:val="00B9063D"/>
    <w:rsid w:val="00B90707"/>
    <w:rsid w:val="00B9074C"/>
    <w:rsid w:val="00B907C0"/>
    <w:rsid w:val="00B90AE7"/>
    <w:rsid w:val="00B90C59"/>
    <w:rsid w:val="00B90C91"/>
    <w:rsid w:val="00B91071"/>
    <w:rsid w:val="00B91189"/>
    <w:rsid w:val="00B9121A"/>
    <w:rsid w:val="00B9131E"/>
    <w:rsid w:val="00B9149D"/>
    <w:rsid w:val="00B918B9"/>
    <w:rsid w:val="00B9191D"/>
    <w:rsid w:val="00B91955"/>
    <w:rsid w:val="00B91971"/>
    <w:rsid w:val="00B919DE"/>
    <w:rsid w:val="00B91BF2"/>
    <w:rsid w:val="00B92093"/>
    <w:rsid w:val="00B927AA"/>
    <w:rsid w:val="00B928A4"/>
    <w:rsid w:val="00B92D7E"/>
    <w:rsid w:val="00B93050"/>
    <w:rsid w:val="00B933E0"/>
    <w:rsid w:val="00B93477"/>
    <w:rsid w:val="00B938B9"/>
    <w:rsid w:val="00B938CE"/>
    <w:rsid w:val="00B938E3"/>
    <w:rsid w:val="00B93B28"/>
    <w:rsid w:val="00B93DFE"/>
    <w:rsid w:val="00B94067"/>
    <w:rsid w:val="00B940E8"/>
    <w:rsid w:val="00B94433"/>
    <w:rsid w:val="00B94500"/>
    <w:rsid w:val="00B948C5"/>
    <w:rsid w:val="00B949E3"/>
    <w:rsid w:val="00B94A1E"/>
    <w:rsid w:val="00B95052"/>
    <w:rsid w:val="00B953C2"/>
    <w:rsid w:val="00B953DB"/>
    <w:rsid w:val="00B955BA"/>
    <w:rsid w:val="00B957A3"/>
    <w:rsid w:val="00B95800"/>
    <w:rsid w:val="00B9588F"/>
    <w:rsid w:val="00B958FF"/>
    <w:rsid w:val="00B959A1"/>
    <w:rsid w:val="00B95A76"/>
    <w:rsid w:val="00B960E8"/>
    <w:rsid w:val="00B96214"/>
    <w:rsid w:val="00B96382"/>
    <w:rsid w:val="00B96594"/>
    <w:rsid w:val="00B9694E"/>
    <w:rsid w:val="00B96C73"/>
    <w:rsid w:val="00B96C91"/>
    <w:rsid w:val="00B9771B"/>
    <w:rsid w:val="00B9784D"/>
    <w:rsid w:val="00BA01F2"/>
    <w:rsid w:val="00BA050E"/>
    <w:rsid w:val="00BA086B"/>
    <w:rsid w:val="00BA0B0A"/>
    <w:rsid w:val="00BA0B46"/>
    <w:rsid w:val="00BA0CEA"/>
    <w:rsid w:val="00BA0D10"/>
    <w:rsid w:val="00BA0D99"/>
    <w:rsid w:val="00BA0E37"/>
    <w:rsid w:val="00BA0FC8"/>
    <w:rsid w:val="00BA1010"/>
    <w:rsid w:val="00BA109A"/>
    <w:rsid w:val="00BA10B7"/>
    <w:rsid w:val="00BA10F6"/>
    <w:rsid w:val="00BA1549"/>
    <w:rsid w:val="00BA17E0"/>
    <w:rsid w:val="00BA1B70"/>
    <w:rsid w:val="00BA2240"/>
    <w:rsid w:val="00BA2633"/>
    <w:rsid w:val="00BA27C2"/>
    <w:rsid w:val="00BA2DBC"/>
    <w:rsid w:val="00BA3030"/>
    <w:rsid w:val="00BA358F"/>
    <w:rsid w:val="00BA35E1"/>
    <w:rsid w:val="00BA4224"/>
    <w:rsid w:val="00BA42D1"/>
    <w:rsid w:val="00BA4BBF"/>
    <w:rsid w:val="00BA4E47"/>
    <w:rsid w:val="00BA4E95"/>
    <w:rsid w:val="00BA5002"/>
    <w:rsid w:val="00BA50A7"/>
    <w:rsid w:val="00BA5F1E"/>
    <w:rsid w:val="00BA601F"/>
    <w:rsid w:val="00BA64BB"/>
    <w:rsid w:val="00BA6701"/>
    <w:rsid w:val="00BA67EF"/>
    <w:rsid w:val="00BA6E6F"/>
    <w:rsid w:val="00BA6E8A"/>
    <w:rsid w:val="00BA6F97"/>
    <w:rsid w:val="00BA7466"/>
    <w:rsid w:val="00BA783A"/>
    <w:rsid w:val="00BB0370"/>
    <w:rsid w:val="00BB0D6E"/>
    <w:rsid w:val="00BB0E0E"/>
    <w:rsid w:val="00BB133D"/>
    <w:rsid w:val="00BB176B"/>
    <w:rsid w:val="00BB184B"/>
    <w:rsid w:val="00BB1B8E"/>
    <w:rsid w:val="00BB1C5B"/>
    <w:rsid w:val="00BB1DF6"/>
    <w:rsid w:val="00BB2433"/>
    <w:rsid w:val="00BB276A"/>
    <w:rsid w:val="00BB28A5"/>
    <w:rsid w:val="00BB2E9E"/>
    <w:rsid w:val="00BB3210"/>
    <w:rsid w:val="00BB32EE"/>
    <w:rsid w:val="00BB3829"/>
    <w:rsid w:val="00BB392F"/>
    <w:rsid w:val="00BB3AB9"/>
    <w:rsid w:val="00BB3BBF"/>
    <w:rsid w:val="00BB4204"/>
    <w:rsid w:val="00BB454B"/>
    <w:rsid w:val="00BB4685"/>
    <w:rsid w:val="00BB4B72"/>
    <w:rsid w:val="00BB520B"/>
    <w:rsid w:val="00BB5977"/>
    <w:rsid w:val="00BB5A4D"/>
    <w:rsid w:val="00BB5B30"/>
    <w:rsid w:val="00BB5BF7"/>
    <w:rsid w:val="00BB638B"/>
    <w:rsid w:val="00BB65D0"/>
    <w:rsid w:val="00BB7187"/>
    <w:rsid w:val="00BB72D4"/>
    <w:rsid w:val="00BB74C4"/>
    <w:rsid w:val="00BB7993"/>
    <w:rsid w:val="00BB7ED5"/>
    <w:rsid w:val="00BB7F20"/>
    <w:rsid w:val="00BC01FE"/>
    <w:rsid w:val="00BC1372"/>
    <w:rsid w:val="00BC16B3"/>
    <w:rsid w:val="00BC1A65"/>
    <w:rsid w:val="00BC1B42"/>
    <w:rsid w:val="00BC1F6E"/>
    <w:rsid w:val="00BC2135"/>
    <w:rsid w:val="00BC2226"/>
    <w:rsid w:val="00BC256D"/>
    <w:rsid w:val="00BC303D"/>
    <w:rsid w:val="00BC3198"/>
    <w:rsid w:val="00BC3259"/>
    <w:rsid w:val="00BC3751"/>
    <w:rsid w:val="00BC37C6"/>
    <w:rsid w:val="00BC38B0"/>
    <w:rsid w:val="00BC3B50"/>
    <w:rsid w:val="00BC3C0D"/>
    <w:rsid w:val="00BC3FB3"/>
    <w:rsid w:val="00BC412E"/>
    <w:rsid w:val="00BC4904"/>
    <w:rsid w:val="00BC4C3A"/>
    <w:rsid w:val="00BC5052"/>
    <w:rsid w:val="00BC544F"/>
    <w:rsid w:val="00BC5597"/>
    <w:rsid w:val="00BC5FBC"/>
    <w:rsid w:val="00BC6107"/>
    <w:rsid w:val="00BC61CF"/>
    <w:rsid w:val="00BC636C"/>
    <w:rsid w:val="00BC65EA"/>
    <w:rsid w:val="00BC689B"/>
    <w:rsid w:val="00BC6926"/>
    <w:rsid w:val="00BC6977"/>
    <w:rsid w:val="00BC6E8D"/>
    <w:rsid w:val="00BC7245"/>
    <w:rsid w:val="00BC7762"/>
    <w:rsid w:val="00BC7952"/>
    <w:rsid w:val="00BC7B5F"/>
    <w:rsid w:val="00BC7E73"/>
    <w:rsid w:val="00BC7FA9"/>
    <w:rsid w:val="00BD052A"/>
    <w:rsid w:val="00BD052C"/>
    <w:rsid w:val="00BD0590"/>
    <w:rsid w:val="00BD09BA"/>
    <w:rsid w:val="00BD0AFF"/>
    <w:rsid w:val="00BD15AD"/>
    <w:rsid w:val="00BD175D"/>
    <w:rsid w:val="00BD1786"/>
    <w:rsid w:val="00BD18B2"/>
    <w:rsid w:val="00BD1A0F"/>
    <w:rsid w:val="00BD1C8F"/>
    <w:rsid w:val="00BD1E7B"/>
    <w:rsid w:val="00BD1ED7"/>
    <w:rsid w:val="00BD2189"/>
    <w:rsid w:val="00BD2597"/>
    <w:rsid w:val="00BD283B"/>
    <w:rsid w:val="00BD29D6"/>
    <w:rsid w:val="00BD2AC6"/>
    <w:rsid w:val="00BD2B57"/>
    <w:rsid w:val="00BD2E06"/>
    <w:rsid w:val="00BD367D"/>
    <w:rsid w:val="00BD379F"/>
    <w:rsid w:val="00BD3A4E"/>
    <w:rsid w:val="00BD3FD1"/>
    <w:rsid w:val="00BD43CE"/>
    <w:rsid w:val="00BD44FA"/>
    <w:rsid w:val="00BD4E76"/>
    <w:rsid w:val="00BD52A9"/>
    <w:rsid w:val="00BD5395"/>
    <w:rsid w:val="00BD58CD"/>
    <w:rsid w:val="00BD5AA7"/>
    <w:rsid w:val="00BD5E8F"/>
    <w:rsid w:val="00BD5FEB"/>
    <w:rsid w:val="00BD61DE"/>
    <w:rsid w:val="00BD69A2"/>
    <w:rsid w:val="00BD6D73"/>
    <w:rsid w:val="00BD6E4E"/>
    <w:rsid w:val="00BD6F60"/>
    <w:rsid w:val="00BD6FEE"/>
    <w:rsid w:val="00BD7387"/>
    <w:rsid w:val="00BD7AE8"/>
    <w:rsid w:val="00BD7B88"/>
    <w:rsid w:val="00BD7BBD"/>
    <w:rsid w:val="00BD7C55"/>
    <w:rsid w:val="00BD7F1E"/>
    <w:rsid w:val="00BE002A"/>
    <w:rsid w:val="00BE006B"/>
    <w:rsid w:val="00BE0903"/>
    <w:rsid w:val="00BE0A0E"/>
    <w:rsid w:val="00BE0B68"/>
    <w:rsid w:val="00BE112D"/>
    <w:rsid w:val="00BE1A33"/>
    <w:rsid w:val="00BE1BD6"/>
    <w:rsid w:val="00BE2003"/>
    <w:rsid w:val="00BE220D"/>
    <w:rsid w:val="00BE2212"/>
    <w:rsid w:val="00BE238C"/>
    <w:rsid w:val="00BE23BF"/>
    <w:rsid w:val="00BE2516"/>
    <w:rsid w:val="00BE2768"/>
    <w:rsid w:val="00BE27FD"/>
    <w:rsid w:val="00BE2E31"/>
    <w:rsid w:val="00BE2F54"/>
    <w:rsid w:val="00BE32B4"/>
    <w:rsid w:val="00BE3319"/>
    <w:rsid w:val="00BE3421"/>
    <w:rsid w:val="00BE3486"/>
    <w:rsid w:val="00BE3ED5"/>
    <w:rsid w:val="00BE4217"/>
    <w:rsid w:val="00BE48BF"/>
    <w:rsid w:val="00BE4AC9"/>
    <w:rsid w:val="00BE4B14"/>
    <w:rsid w:val="00BE5031"/>
    <w:rsid w:val="00BE5042"/>
    <w:rsid w:val="00BE5313"/>
    <w:rsid w:val="00BE5351"/>
    <w:rsid w:val="00BE552D"/>
    <w:rsid w:val="00BE560F"/>
    <w:rsid w:val="00BE57D9"/>
    <w:rsid w:val="00BE58E5"/>
    <w:rsid w:val="00BE5A12"/>
    <w:rsid w:val="00BE5BA7"/>
    <w:rsid w:val="00BE5BDB"/>
    <w:rsid w:val="00BE5DA5"/>
    <w:rsid w:val="00BE5EC2"/>
    <w:rsid w:val="00BE684B"/>
    <w:rsid w:val="00BE693A"/>
    <w:rsid w:val="00BE6C43"/>
    <w:rsid w:val="00BE6C79"/>
    <w:rsid w:val="00BE7127"/>
    <w:rsid w:val="00BE72BC"/>
    <w:rsid w:val="00BE743E"/>
    <w:rsid w:val="00BE77FF"/>
    <w:rsid w:val="00BE7A74"/>
    <w:rsid w:val="00BE7B0A"/>
    <w:rsid w:val="00BE7C2E"/>
    <w:rsid w:val="00BF09DC"/>
    <w:rsid w:val="00BF0D95"/>
    <w:rsid w:val="00BF0F94"/>
    <w:rsid w:val="00BF12AB"/>
    <w:rsid w:val="00BF136A"/>
    <w:rsid w:val="00BF140C"/>
    <w:rsid w:val="00BF151F"/>
    <w:rsid w:val="00BF18EE"/>
    <w:rsid w:val="00BF19A2"/>
    <w:rsid w:val="00BF1C8B"/>
    <w:rsid w:val="00BF1EEE"/>
    <w:rsid w:val="00BF2055"/>
    <w:rsid w:val="00BF22A4"/>
    <w:rsid w:val="00BF2A58"/>
    <w:rsid w:val="00BF2D38"/>
    <w:rsid w:val="00BF2E1A"/>
    <w:rsid w:val="00BF3147"/>
    <w:rsid w:val="00BF33F2"/>
    <w:rsid w:val="00BF3441"/>
    <w:rsid w:val="00BF4233"/>
    <w:rsid w:val="00BF4763"/>
    <w:rsid w:val="00BF4A0F"/>
    <w:rsid w:val="00BF4A1A"/>
    <w:rsid w:val="00BF4ABC"/>
    <w:rsid w:val="00BF4C0B"/>
    <w:rsid w:val="00BF4F1F"/>
    <w:rsid w:val="00BF5199"/>
    <w:rsid w:val="00BF55B5"/>
    <w:rsid w:val="00BF57AA"/>
    <w:rsid w:val="00BF59D1"/>
    <w:rsid w:val="00BF5B66"/>
    <w:rsid w:val="00BF6334"/>
    <w:rsid w:val="00BF63C6"/>
    <w:rsid w:val="00BF6621"/>
    <w:rsid w:val="00BF6682"/>
    <w:rsid w:val="00BF690F"/>
    <w:rsid w:val="00BF6A53"/>
    <w:rsid w:val="00BF6AD3"/>
    <w:rsid w:val="00BF6BA2"/>
    <w:rsid w:val="00BF73A7"/>
    <w:rsid w:val="00BF7CB1"/>
    <w:rsid w:val="00BF7D0D"/>
    <w:rsid w:val="00BF7D82"/>
    <w:rsid w:val="00C00870"/>
    <w:rsid w:val="00C009BB"/>
    <w:rsid w:val="00C00F6B"/>
    <w:rsid w:val="00C0107E"/>
    <w:rsid w:val="00C0159E"/>
    <w:rsid w:val="00C0162B"/>
    <w:rsid w:val="00C02088"/>
    <w:rsid w:val="00C0236D"/>
    <w:rsid w:val="00C02436"/>
    <w:rsid w:val="00C026C7"/>
    <w:rsid w:val="00C0276A"/>
    <w:rsid w:val="00C027CB"/>
    <w:rsid w:val="00C02FF1"/>
    <w:rsid w:val="00C03258"/>
    <w:rsid w:val="00C03592"/>
    <w:rsid w:val="00C035B2"/>
    <w:rsid w:val="00C03A04"/>
    <w:rsid w:val="00C03A24"/>
    <w:rsid w:val="00C03D47"/>
    <w:rsid w:val="00C04198"/>
    <w:rsid w:val="00C04676"/>
    <w:rsid w:val="00C04752"/>
    <w:rsid w:val="00C04FF6"/>
    <w:rsid w:val="00C0518C"/>
    <w:rsid w:val="00C05230"/>
    <w:rsid w:val="00C05934"/>
    <w:rsid w:val="00C05F55"/>
    <w:rsid w:val="00C06030"/>
    <w:rsid w:val="00C061DC"/>
    <w:rsid w:val="00C062E6"/>
    <w:rsid w:val="00C06407"/>
    <w:rsid w:val="00C06416"/>
    <w:rsid w:val="00C068F6"/>
    <w:rsid w:val="00C06A57"/>
    <w:rsid w:val="00C06B7E"/>
    <w:rsid w:val="00C06D5F"/>
    <w:rsid w:val="00C06E78"/>
    <w:rsid w:val="00C07538"/>
    <w:rsid w:val="00C07CCC"/>
    <w:rsid w:val="00C07EA4"/>
    <w:rsid w:val="00C101DA"/>
    <w:rsid w:val="00C10502"/>
    <w:rsid w:val="00C10567"/>
    <w:rsid w:val="00C10835"/>
    <w:rsid w:val="00C10C6E"/>
    <w:rsid w:val="00C11101"/>
    <w:rsid w:val="00C111A5"/>
    <w:rsid w:val="00C11293"/>
    <w:rsid w:val="00C119F4"/>
    <w:rsid w:val="00C11C34"/>
    <w:rsid w:val="00C11F06"/>
    <w:rsid w:val="00C11F97"/>
    <w:rsid w:val="00C1248D"/>
    <w:rsid w:val="00C1288F"/>
    <w:rsid w:val="00C129B0"/>
    <w:rsid w:val="00C12AAF"/>
    <w:rsid w:val="00C12D03"/>
    <w:rsid w:val="00C12E2C"/>
    <w:rsid w:val="00C1397E"/>
    <w:rsid w:val="00C139B3"/>
    <w:rsid w:val="00C14175"/>
    <w:rsid w:val="00C1468D"/>
    <w:rsid w:val="00C14714"/>
    <w:rsid w:val="00C14DD9"/>
    <w:rsid w:val="00C14E3A"/>
    <w:rsid w:val="00C150E4"/>
    <w:rsid w:val="00C15542"/>
    <w:rsid w:val="00C157DF"/>
    <w:rsid w:val="00C1585A"/>
    <w:rsid w:val="00C15BC4"/>
    <w:rsid w:val="00C15C7A"/>
    <w:rsid w:val="00C15CA0"/>
    <w:rsid w:val="00C16564"/>
    <w:rsid w:val="00C16620"/>
    <w:rsid w:val="00C16DE3"/>
    <w:rsid w:val="00C171E2"/>
    <w:rsid w:val="00C17414"/>
    <w:rsid w:val="00C1781F"/>
    <w:rsid w:val="00C17967"/>
    <w:rsid w:val="00C17AF8"/>
    <w:rsid w:val="00C2006D"/>
    <w:rsid w:val="00C206BA"/>
    <w:rsid w:val="00C20728"/>
    <w:rsid w:val="00C2092B"/>
    <w:rsid w:val="00C2095E"/>
    <w:rsid w:val="00C209E2"/>
    <w:rsid w:val="00C20A60"/>
    <w:rsid w:val="00C20BB4"/>
    <w:rsid w:val="00C20D96"/>
    <w:rsid w:val="00C20ECE"/>
    <w:rsid w:val="00C20F1E"/>
    <w:rsid w:val="00C2128E"/>
    <w:rsid w:val="00C21512"/>
    <w:rsid w:val="00C2195F"/>
    <w:rsid w:val="00C21CB3"/>
    <w:rsid w:val="00C21D7E"/>
    <w:rsid w:val="00C21E21"/>
    <w:rsid w:val="00C222DD"/>
    <w:rsid w:val="00C225E7"/>
    <w:rsid w:val="00C22667"/>
    <w:rsid w:val="00C228DF"/>
    <w:rsid w:val="00C22ABA"/>
    <w:rsid w:val="00C22E43"/>
    <w:rsid w:val="00C22F38"/>
    <w:rsid w:val="00C2316E"/>
    <w:rsid w:val="00C23230"/>
    <w:rsid w:val="00C23D9C"/>
    <w:rsid w:val="00C24397"/>
    <w:rsid w:val="00C244D8"/>
    <w:rsid w:val="00C2458C"/>
    <w:rsid w:val="00C24638"/>
    <w:rsid w:val="00C247BF"/>
    <w:rsid w:val="00C24803"/>
    <w:rsid w:val="00C253EA"/>
    <w:rsid w:val="00C25492"/>
    <w:rsid w:val="00C257E5"/>
    <w:rsid w:val="00C25943"/>
    <w:rsid w:val="00C25CE0"/>
    <w:rsid w:val="00C25CF0"/>
    <w:rsid w:val="00C25D1D"/>
    <w:rsid w:val="00C260EF"/>
    <w:rsid w:val="00C26412"/>
    <w:rsid w:val="00C265ED"/>
    <w:rsid w:val="00C2663C"/>
    <w:rsid w:val="00C2670E"/>
    <w:rsid w:val="00C26779"/>
    <w:rsid w:val="00C268C7"/>
    <w:rsid w:val="00C26954"/>
    <w:rsid w:val="00C26F74"/>
    <w:rsid w:val="00C273E9"/>
    <w:rsid w:val="00C27848"/>
    <w:rsid w:val="00C27D1C"/>
    <w:rsid w:val="00C27D91"/>
    <w:rsid w:val="00C27E9F"/>
    <w:rsid w:val="00C3011A"/>
    <w:rsid w:val="00C30192"/>
    <w:rsid w:val="00C304EF"/>
    <w:rsid w:val="00C306D8"/>
    <w:rsid w:val="00C30A36"/>
    <w:rsid w:val="00C30AA6"/>
    <w:rsid w:val="00C30AD9"/>
    <w:rsid w:val="00C3100F"/>
    <w:rsid w:val="00C31232"/>
    <w:rsid w:val="00C31256"/>
    <w:rsid w:val="00C3145C"/>
    <w:rsid w:val="00C314D0"/>
    <w:rsid w:val="00C315B6"/>
    <w:rsid w:val="00C31753"/>
    <w:rsid w:val="00C31913"/>
    <w:rsid w:val="00C319C1"/>
    <w:rsid w:val="00C31C33"/>
    <w:rsid w:val="00C31F0A"/>
    <w:rsid w:val="00C3204D"/>
    <w:rsid w:val="00C3213F"/>
    <w:rsid w:val="00C32259"/>
    <w:rsid w:val="00C323AE"/>
    <w:rsid w:val="00C32830"/>
    <w:rsid w:val="00C32839"/>
    <w:rsid w:val="00C328A5"/>
    <w:rsid w:val="00C3299C"/>
    <w:rsid w:val="00C33641"/>
    <w:rsid w:val="00C33B0C"/>
    <w:rsid w:val="00C33BD9"/>
    <w:rsid w:val="00C33CE3"/>
    <w:rsid w:val="00C33F1F"/>
    <w:rsid w:val="00C33F54"/>
    <w:rsid w:val="00C3404E"/>
    <w:rsid w:val="00C345B8"/>
    <w:rsid w:val="00C34825"/>
    <w:rsid w:val="00C34910"/>
    <w:rsid w:val="00C34B04"/>
    <w:rsid w:val="00C34B63"/>
    <w:rsid w:val="00C356C7"/>
    <w:rsid w:val="00C358FE"/>
    <w:rsid w:val="00C35975"/>
    <w:rsid w:val="00C35B95"/>
    <w:rsid w:val="00C35CDA"/>
    <w:rsid w:val="00C36201"/>
    <w:rsid w:val="00C36C30"/>
    <w:rsid w:val="00C36D0B"/>
    <w:rsid w:val="00C36E11"/>
    <w:rsid w:val="00C37102"/>
    <w:rsid w:val="00C374A4"/>
    <w:rsid w:val="00C3769F"/>
    <w:rsid w:val="00C37774"/>
    <w:rsid w:val="00C37CAF"/>
    <w:rsid w:val="00C37FAF"/>
    <w:rsid w:val="00C40242"/>
    <w:rsid w:val="00C4024D"/>
    <w:rsid w:val="00C405F5"/>
    <w:rsid w:val="00C40B36"/>
    <w:rsid w:val="00C410A1"/>
    <w:rsid w:val="00C41393"/>
    <w:rsid w:val="00C41647"/>
    <w:rsid w:val="00C419EE"/>
    <w:rsid w:val="00C41D4E"/>
    <w:rsid w:val="00C424EA"/>
    <w:rsid w:val="00C42541"/>
    <w:rsid w:val="00C42914"/>
    <w:rsid w:val="00C42E28"/>
    <w:rsid w:val="00C4351D"/>
    <w:rsid w:val="00C43629"/>
    <w:rsid w:val="00C439B7"/>
    <w:rsid w:val="00C43F13"/>
    <w:rsid w:val="00C44265"/>
    <w:rsid w:val="00C444C0"/>
    <w:rsid w:val="00C44968"/>
    <w:rsid w:val="00C44A7A"/>
    <w:rsid w:val="00C454AC"/>
    <w:rsid w:val="00C4574C"/>
    <w:rsid w:val="00C45C4D"/>
    <w:rsid w:val="00C45C50"/>
    <w:rsid w:val="00C45F37"/>
    <w:rsid w:val="00C45FBA"/>
    <w:rsid w:val="00C46115"/>
    <w:rsid w:val="00C4612C"/>
    <w:rsid w:val="00C4649F"/>
    <w:rsid w:val="00C4671A"/>
    <w:rsid w:val="00C46AA6"/>
    <w:rsid w:val="00C46BEE"/>
    <w:rsid w:val="00C4709C"/>
    <w:rsid w:val="00C47218"/>
    <w:rsid w:val="00C4781A"/>
    <w:rsid w:val="00C4789D"/>
    <w:rsid w:val="00C479DB"/>
    <w:rsid w:val="00C47E2E"/>
    <w:rsid w:val="00C501DA"/>
    <w:rsid w:val="00C50353"/>
    <w:rsid w:val="00C50598"/>
    <w:rsid w:val="00C506CD"/>
    <w:rsid w:val="00C50A87"/>
    <w:rsid w:val="00C50DFC"/>
    <w:rsid w:val="00C51E5E"/>
    <w:rsid w:val="00C522C2"/>
    <w:rsid w:val="00C523E0"/>
    <w:rsid w:val="00C5272A"/>
    <w:rsid w:val="00C52A65"/>
    <w:rsid w:val="00C52BCF"/>
    <w:rsid w:val="00C52DF1"/>
    <w:rsid w:val="00C534A7"/>
    <w:rsid w:val="00C53AC7"/>
    <w:rsid w:val="00C540D3"/>
    <w:rsid w:val="00C549E0"/>
    <w:rsid w:val="00C54A84"/>
    <w:rsid w:val="00C54BDB"/>
    <w:rsid w:val="00C551E8"/>
    <w:rsid w:val="00C5547A"/>
    <w:rsid w:val="00C558C3"/>
    <w:rsid w:val="00C56462"/>
    <w:rsid w:val="00C5649C"/>
    <w:rsid w:val="00C565EE"/>
    <w:rsid w:val="00C567FE"/>
    <w:rsid w:val="00C569D5"/>
    <w:rsid w:val="00C56C54"/>
    <w:rsid w:val="00C570F9"/>
    <w:rsid w:val="00C571B2"/>
    <w:rsid w:val="00C57257"/>
    <w:rsid w:val="00C573CF"/>
    <w:rsid w:val="00C57C77"/>
    <w:rsid w:val="00C57FC3"/>
    <w:rsid w:val="00C6000B"/>
    <w:rsid w:val="00C603AE"/>
    <w:rsid w:val="00C609AA"/>
    <w:rsid w:val="00C60CE4"/>
    <w:rsid w:val="00C61366"/>
    <w:rsid w:val="00C61581"/>
    <w:rsid w:val="00C618FD"/>
    <w:rsid w:val="00C61DC9"/>
    <w:rsid w:val="00C61E97"/>
    <w:rsid w:val="00C62078"/>
    <w:rsid w:val="00C6214D"/>
    <w:rsid w:val="00C62587"/>
    <w:rsid w:val="00C6268B"/>
    <w:rsid w:val="00C62C26"/>
    <w:rsid w:val="00C630CF"/>
    <w:rsid w:val="00C63116"/>
    <w:rsid w:val="00C63201"/>
    <w:rsid w:val="00C63CAD"/>
    <w:rsid w:val="00C64133"/>
    <w:rsid w:val="00C641E7"/>
    <w:rsid w:val="00C642EE"/>
    <w:rsid w:val="00C64397"/>
    <w:rsid w:val="00C645F1"/>
    <w:rsid w:val="00C64B92"/>
    <w:rsid w:val="00C64BC7"/>
    <w:rsid w:val="00C64EC1"/>
    <w:rsid w:val="00C64F55"/>
    <w:rsid w:val="00C652C8"/>
    <w:rsid w:val="00C653E6"/>
    <w:rsid w:val="00C6554D"/>
    <w:rsid w:val="00C65670"/>
    <w:rsid w:val="00C65C90"/>
    <w:rsid w:val="00C65C9E"/>
    <w:rsid w:val="00C65D6E"/>
    <w:rsid w:val="00C65DD7"/>
    <w:rsid w:val="00C66025"/>
    <w:rsid w:val="00C660C0"/>
    <w:rsid w:val="00C667B7"/>
    <w:rsid w:val="00C669C2"/>
    <w:rsid w:val="00C66C0A"/>
    <w:rsid w:val="00C66D3E"/>
    <w:rsid w:val="00C67180"/>
    <w:rsid w:val="00C67228"/>
    <w:rsid w:val="00C67332"/>
    <w:rsid w:val="00C676B4"/>
    <w:rsid w:val="00C67E1F"/>
    <w:rsid w:val="00C70280"/>
    <w:rsid w:val="00C70973"/>
    <w:rsid w:val="00C710D6"/>
    <w:rsid w:val="00C71146"/>
    <w:rsid w:val="00C7137A"/>
    <w:rsid w:val="00C71713"/>
    <w:rsid w:val="00C71996"/>
    <w:rsid w:val="00C71E8A"/>
    <w:rsid w:val="00C72496"/>
    <w:rsid w:val="00C7303E"/>
    <w:rsid w:val="00C739E8"/>
    <w:rsid w:val="00C73D0E"/>
    <w:rsid w:val="00C73D6F"/>
    <w:rsid w:val="00C73E9D"/>
    <w:rsid w:val="00C743EC"/>
    <w:rsid w:val="00C74462"/>
    <w:rsid w:val="00C744F2"/>
    <w:rsid w:val="00C746DD"/>
    <w:rsid w:val="00C74F14"/>
    <w:rsid w:val="00C750FA"/>
    <w:rsid w:val="00C758D6"/>
    <w:rsid w:val="00C76793"/>
    <w:rsid w:val="00C768C3"/>
    <w:rsid w:val="00C7696C"/>
    <w:rsid w:val="00C76BDA"/>
    <w:rsid w:val="00C76DFB"/>
    <w:rsid w:val="00C773BA"/>
    <w:rsid w:val="00C77AF9"/>
    <w:rsid w:val="00C77BF4"/>
    <w:rsid w:val="00C77F24"/>
    <w:rsid w:val="00C801B7"/>
    <w:rsid w:val="00C80828"/>
    <w:rsid w:val="00C80EBE"/>
    <w:rsid w:val="00C810D6"/>
    <w:rsid w:val="00C81B2E"/>
    <w:rsid w:val="00C8222A"/>
    <w:rsid w:val="00C8235F"/>
    <w:rsid w:val="00C8271F"/>
    <w:rsid w:val="00C82E15"/>
    <w:rsid w:val="00C83342"/>
    <w:rsid w:val="00C8362E"/>
    <w:rsid w:val="00C838D6"/>
    <w:rsid w:val="00C83A0B"/>
    <w:rsid w:val="00C83B85"/>
    <w:rsid w:val="00C8429A"/>
    <w:rsid w:val="00C843F6"/>
    <w:rsid w:val="00C845B7"/>
    <w:rsid w:val="00C84639"/>
    <w:rsid w:val="00C84791"/>
    <w:rsid w:val="00C84818"/>
    <w:rsid w:val="00C84C59"/>
    <w:rsid w:val="00C84C69"/>
    <w:rsid w:val="00C84DB1"/>
    <w:rsid w:val="00C853ED"/>
    <w:rsid w:val="00C854A9"/>
    <w:rsid w:val="00C85604"/>
    <w:rsid w:val="00C85C7F"/>
    <w:rsid w:val="00C85D8B"/>
    <w:rsid w:val="00C85DF8"/>
    <w:rsid w:val="00C8611D"/>
    <w:rsid w:val="00C865AB"/>
    <w:rsid w:val="00C86784"/>
    <w:rsid w:val="00C86BB8"/>
    <w:rsid w:val="00C87041"/>
    <w:rsid w:val="00C8730B"/>
    <w:rsid w:val="00C875C8"/>
    <w:rsid w:val="00C876A2"/>
    <w:rsid w:val="00C87773"/>
    <w:rsid w:val="00C87915"/>
    <w:rsid w:val="00C87EEB"/>
    <w:rsid w:val="00C900FB"/>
    <w:rsid w:val="00C9023B"/>
    <w:rsid w:val="00C902F3"/>
    <w:rsid w:val="00C905AA"/>
    <w:rsid w:val="00C90932"/>
    <w:rsid w:val="00C90993"/>
    <w:rsid w:val="00C90D1E"/>
    <w:rsid w:val="00C9117E"/>
    <w:rsid w:val="00C91184"/>
    <w:rsid w:val="00C911C2"/>
    <w:rsid w:val="00C9129F"/>
    <w:rsid w:val="00C91392"/>
    <w:rsid w:val="00C914F5"/>
    <w:rsid w:val="00C91A7C"/>
    <w:rsid w:val="00C91AFD"/>
    <w:rsid w:val="00C91B95"/>
    <w:rsid w:val="00C91CA4"/>
    <w:rsid w:val="00C91F80"/>
    <w:rsid w:val="00C920EB"/>
    <w:rsid w:val="00C923A2"/>
    <w:rsid w:val="00C9302A"/>
    <w:rsid w:val="00C93BD7"/>
    <w:rsid w:val="00C93F7B"/>
    <w:rsid w:val="00C9401D"/>
    <w:rsid w:val="00C9406C"/>
    <w:rsid w:val="00C942D3"/>
    <w:rsid w:val="00C94555"/>
    <w:rsid w:val="00C948CC"/>
    <w:rsid w:val="00C94913"/>
    <w:rsid w:val="00C94B0F"/>
    <w:rsid w:val="00C94B15"/>
    <w:rsid w:val="00C9506E"/>
    <w:rsid w:val="00C9522C"/>
    <w:rsid w:val="00C95831"/>
    <w:rsid w:val="00C95CCD"/>
    <w:rsid w:val="00C963DC"/>
    <w:rsid w:val="00C9686C"/>
    <w:rsid w:val="00C96AA0"/>
    <w:rsid w:val="00C96BBE"/>
    <w:rsid w:val="00C96BCA"/>
    <w:rsid w:val="00C96F5A"/>
    <w:rsid w:val="00C97421"/>
    <w:rsid w:val="00C97502"/>
    <w:rsid w:val="00C97C89"/>
    <w:rsid w:val="00CA0B72"/>
    <w:rsid w:val="00CA0D6E"/>
    <w:rsid w:val="00CA1434"/>
    <w:rsid w:val="00CA162A"/>
    <w:rsid w:val="00CA1971"/>
    <w:rsid w:val="00CA215B"/>
    <w:rsid w:val="00CA22F5"/>
    <w:rsid w:val="00CA23AB"/>
    <w:rsid w:val="00CA29A0"/>
    <w:rsid w:val="00CA2D45"/>
    <w:rsid w:val="00CA2EBD"/>
    <w:rsid w:val="00CA3984"/>
    <w:rsid w:val="00CA39FD"/>
    <w:rsid w:val="00CA3B08"/>
    <w:rsid w:val="00CA3BC2"/>
    <w:rsid w:val="00CA4803"/>
    <w:rsid w:val="00CA48C7"/>
    <w:rsid w:val="00CA516E"/>
    <w:rsid w:val="00CA5171"/>
    <w:rsid w:val="00CA52BE"/>
    <w:rsid w:val="00CA52F9"/>
    <w:rsid w:val="00CA583A"/>
    <w:rsid w:val="00CA5E30"/>
    <w:rsid w:val="00CA5E9C"/>
    <w:rsid w:val="00CA68A4"/>
    <w:rsid w:val="00CA6AE6"/>
    <w:rsid w:val="00CA6BF0"/>
    <w:rsid w:val="00CA72B2"/>
    <w:rsid w:val="00CA7A07"/>
    <w:rsid w:val="00CA7C2E"/>
    <w:rsid w:val="00CB00E1"/>
    <w:rsid w:val="00CB0267"/>
    <w:rsid w:val="00CB062D"/>
    <w:rsid w:val="00CB0953"/>
    <w:rsid w:val="00CB0F5B"/>
    <w:rsid w:val="00CB11C4"/>
    <w:rsid w:val="00CB1888"/>
    <w:rsid w:val="00CB1916"/>
    <w:rsid w:val="00CB1C2E"/>
    <w:rsid w:val="00CB22DF"/>
    <w:rsid w:val="00CB256E"/>
    <w:rsid w:val="00CB291D"/>
    <w:rsid w:val="00CB312F"/>
    <w:rsid w:val="00CB348F"/>
    <w:rsid w:val="00CB3E37"/>
    <w:rsid w:val="00CB4001"/>
    <w:rsid w:val="00CB41C8"/>
    <w:rsid w:val="00CB423F"/>
    <w:rsid w:val="00CB45CF"/>
    <w:rsid w:val="00CB4899"/>
    <w:rsid w:val="00CB48DD"/>
    <w:rsid w:val="00CB49E1"/>
    <w:rsid w:val="00CB4CE4"/>
    <w:rsid w:val="00CB4DC8"/>
    <w:rsid w:val="00CB4FE8"/>
    <w:rsid w:val="00CB538D"/>
    <w:rsid w:val="00CB568A"/>
    <w:rsid w:val="00CB587C"/>
    <w:rsid w:val="00CB5931"/>
    <w:rsid w:val="00CB5961"/>
    <w:rsid w:val="00CB5DA9"/>
    <w:rsid w:val="00CB6071"/>
    <w:rsid w:val="00CB6087"/>
    <w:rsid w:val="00CB6849"/>
    <w:rsid w:val="00CB6950"/>
    <w:rsid w:val="00CB6E85"/>
    <w:rsid w:val="00CB7064"/>
    <w:rsid w:val="00CB70DA"/>
    <w:rsid w:val="00CB71B3"/>
    <w:rsid w:val="00CB725F"/>
    <w:rsid w:val="00CB72E3"/>
    <w:rsid w:val="00CB744B"/>
    <w:rsid w:val="00CB7A39"/>
    <w:rsid w:val="00CB7A3B"/>
    <w:rsid w:val="00CB7ABC"/>
    <w:rsid w:val="00CB7DD2"/>
    <w:rsid w:val="00CC0016"/>
    <w:rsid w:val="00CC004C"/>
    <w:rsid w:val="00CC00F3"/>
    <w:rsid w:val="00CC0141"/>
    <w:rsid w:val="00CC0173"/>
    <w:rsid w:val="00CC065C"/>
    <w:rsid w:val="00CC07DA"/>
    <w:rsid w:val="00CC0C0E"/>
    <w:rsid w:val="00CC0FE5"/>
    <w:rsid w:val="00CC11E0"/>
    <w:rsid w:val="00CC1825"/>
    <w:rsid w:val="00CC1C42"/>
    <w:rsid w:val="00CC22BB"/>
    <w:rsid w:val="00CC234A"/>
    <w:rsid w:val="00CC2704"/>
    <w:rsid w:val="00CC33DA"/>
    <w:rsid w:val="00CC3472"/>
    <w:rsid w:val="00CC3843"/>
    <w:rsid w:val="00CC39B2"/>
    <w:rsid w:val="00CC3B22"/>
    <w:rsid w:val="00CC4068"/>
    <w:rsid w:val="00CC4348"/>
    <w:rsid w:val="00CC446A"/>
    <w:rsid w:val="00CC4756"/>
    <w:rsid w:val="00CC4820"/>
    <w:rsid w:val="00CC5A85"/>
    <w:rsid w:val="00CC5BC0"/>
    <w:rsid w:val="00CC60E8"/>
    <w:rsid w:val="00CC6339"/>
    <w:rsid w:val="00CC63E1"/>
    <w:rsid w:val="00CC658B"/>
    <w:rsid w:val="00CC663D"/>
    <w:rsid w:val="00CC68B5"/>
    <w:rsid w:val="00CC6C63"/>
    <w:rsid w:val="00CC6DC1"/>
    <w:rsid w:val="00CC719D"/>
    <w:rsid w:val="00CC727A"/>
    <w:rsid w:val="00CC73DB"/>
    <w:rsid w:val="00CC7546"/>
    <w:rsid w:val="00CC7B77"/>
    <w:rsid w:val="00CC7C80"/>
    <w:rsid w:val="00CC7E81"/>
    <w:rsid w:val="00CC7FB2"/>
    <w:rsid w:val="00CD0489"/>
    <w:rsid w:val="00CD06C1"/>
    <w:rsid w:val="00CD097B"/>
    <w:rsid w:val="00CD19E3"/>
    <w:rsid w:val="00CD1A71"/>
    <w:rsid w:val="00CD1AC8"/>
    <w:rsid w:val="00CD1DCA"/>
    <w:rsid w:val="00CD2636"/>
    <w:rsid w:val="00CD26F1"/>
    <w:rsid w:val="00CD2764"/>
    <w:rsid w:val="00CD27A5"/>
    <w:rsid w:val="00CD294D"/>
    <w:rsid w:val="00CD2AF2"/>
    <w:rsid w:val="00CD3ADB"/>
    <w:rsid w:val="00CD3C9D"/>
    <w:rsid w:val="00CD406D"/>
    <w:rsid w:val="00CD47F1"/>
    <w:rsid w:val="00CD4A7C"/>
    <w:rsid w:val="00CD5489"/>
    <w:rsid w:val="00CD5699"/>
    <w:rsid w:val="00CD596E"/>
    <w:rsid w:val="00CD5BE3"/>
    <w:rsid w:val="00CD5CD0"/>
    <w:rsid w:val="00CD6DCB"/>
    <w:rsid w:val="00CD6EB3"/>
    <w:rsid w:val="00CD7089"/>
    <w:rsid w:val="00CD7229"/>
    <w:rsid w:val="00CD74A3"/>
    <w:rsid w:val="00CD754E"/>
    <w:rsid w:val="00CD77E2"/>
    <w:rsid w:val="00CD7A28"/>
    <w:rsid w:val="00CD7B5E"/>
    <w:rsid w:val="00CD7EA4"/>
    <w:rsid w:val="00CE01DA"/>
    <w:rsid w:val="00CE0913"/>
    <w:rsid w:val="00CE09F4"/>
    <w:rsid w:val="00CE0A0E"/>
    <w:rsid w:val="00CE0F9B"/>
    <w:rsid w:val="00CE11BE"/>
    <w:rsid w:val="00CE145B"/>
    <w:rsid w:val="00CE1516"/>
    <w:rsid w:val="00CE1655"/>
    <w:rsid w:val="00CE2013"/>
    <w:rsid w:val="00CE210E"/>
    <w:rsid w:val="00CE2711"/>
    <w:rsid w:val="00CE2921"/>
    <w:rsid w:val="00CE2C85"/>
    <w:rsid w:val="00CE2DB3"/>
    <w:rsid w:val="00CE32BF"/>
    <w:rsid w:val="00CE3673"/>
    <w:rsid w:val="00CE3ADB"/>
    <w:rsid w:val="00CE3B0B"/>
    <w:rsid w:val="00CE3D01"/>
    <w:rsid w:val="00CE3FD8"/>
    <w:rsid w:val="00CE4574"/>
    <w:rsid w:val="00CE4C86"/>
    <w:rsid w:val="00CE5169"/>
    <w:rsid w:val="00CE5706"/>
    <w:rsid w:val="00CE5C47"/>
    <w:rsid w:val="00CE5EBF"/>
    <w:rsid w:val="00CE67F9"/>
    <w:rsid w:val="00CE6BBB"/>
    <w:rsid w:val="00CE6CE7"/>
    <w:rsid w:val="00CE6D68"/>
    <w:rsid w:val="00CE7DB1"/>
    <w:rsid w:val="00CE7F5A"/>
    <w:rsid w:val="00CF00E5"/>
    <w:rsid w:val="00CF020B"/>
    <w:rsid w:val="00CF0395"/>
    <w:rsid w:val="00CF03D0"/>
    <w:rsid w:val="00CF08AD"/>
    <w:rsid w:val="00CF0B15"/>
    <w:rsid w:val="00CF0F81"/>
    <w:rsid w:val="00CF1151"/>
    <w:rsid w:val="00CF12BE"/>
    <w:rsid w:val="00CF169B"/>
    <w:rsid w:val="00CF1C61"/>
    <w:rsid w:val="00CF1F91"/>
    <w:rsid w:val="00CF20C3"/>
    <w:rsid w:val="00CF226E"/>
    <w:rsid w:val="00CF2568"/>
    <w:rsid w:val="00CF284F"/>
    <w:rsid w:val="00CF29BF"/>
    <w:rsid w:val="00CF2A73"/>
    <w:rsid w:val="00CF2B64"/>
    <w:rsid w:val="00CF2C49"/>
    <w:rsid w:val="00CF318E"/>
    <w:rsid w:val="00CF3198"/>
    <w:rsid w:val="00CF32A8"/>
    <w:rsid w:val="00CF3486"/>
    <w:rsid w:val="00CF3700"/>
    <w:rsid w:val="00CF39A8"/>
    <w:rsid w:val="00CF403E"/>
    <w:rsid w:val="00CF44D1"/>
    <w:rsid w:val="00CF469B"/>
    <w:rsid w:val="00CF46B9"/>
    <w:rsid w:val="00CF47A8"/>
    <w:rsid w:val="00CF4928"/>
    <w:rsid w:val="00CF50ED"/>
    <w:rsid w:val="00CF5683"/>
    <w:rsid w:val="00CF5689"/>
    <w:rsid w:val="00CF5A46"/>
    <w:rsid w:val="00CF6268"/>
    <w:rsid w:val="00CF6444"/>
    <w:rsid w:val="00CF648B"/>
    <w:rsid w:val="00CF67DE"/>
    <w:rsid w:val="00CF695F"/>
    <w:rsid w:val="00CF6A2F"/>
    <w:rsid w:val="00CF6AEA"/>
    <w:rsid w:val="00CF6EE7"/>
    <w:rsid w:val="00CF6F0E"/>
    <w:rsid w:val="00CF71F6"/>
    <w:rsid w:val="00CF72C3"/>
    <w:rsid w:val="00CF7593"/>
    <w:rsid w:val="00CF794C"/>
    <w:rsid w:val="00CF7C5D"/>
    <w:rsid w:val="00D00314"/>
    <w:rsid w:val="00D003B1"/>
    <w:rsid w:val="00D00447"/>
    <w:rsid w:val="00D00A5C"/>
    <w:rsid w:val="00D00A89"/>
    <w:rsid w:val="00D00B2F"/>
    <w:rsid w:val="00D00B8D"/>
    <w:rsid w:val="00D0117D"/>
    <w:rsid w:val="00D0168C"/>
    <w:rsid w:val="00D01DA1"/>
    <w:rsid w:val="00D01EF7"/>
    <w:rsid w:val="00D02A5B"/>
    <w:rsid w:val="00D02BB7"/>
    <w:rsid w:val="00D0348D"/>
    <w:rsid w:val="00D034BA"/>
    <w:rsid w:val="00D03AA5"/>
    <w:rsid w:val="00D03C30"/>
    <w:rsid w:val="00D04115"/>
    <w:rsid w:val="00D04763"/>
    <w:rsid w:val="00D04A81"/>
    <w:rsid w:val="00D04C34"/>
    <w:rsid w:val="00D04C69"/>
    <w:rsid w:val="00D04CFA"/>
    <w:rsid w:val="00D04DDB"/>
    <w:rsid w:val="00D04EE4"/>
    <w:rsid w:val="00D055B9"/>
    <w:rsid w:val="00D05B8B"/>
    <w:rsid w:val="00D05D14"/>
    <w:rsid w:val="00D06038"/>
    <w:rsid w:val="00D060D4"/>
    <w:rsid w:val="00D06458"/>
    <w:rsid w:val="00D064CE"/>
    <w:rsid w:val="00D06F5F"/>
    <w:rsid w:val="00D0701E"/>
    <w:rsid w:val="00D0746E"/>
    <w:rsid w:val="00D0772D"/>
    <w:rsid w:val="00D07884"/>
    <w:rsid w:val="00D078D9"/>
    <w:rsid w:val="00D07D81"/>
    <w:rsid w:val="00D1001A"/>
    <w:rsid w:val="00D101AD"/>
    <w:rsid w:val="00D10340"/>
    <w:rsid w:val="00D10407"/>
    <w:rsid w:val="00D1093B"/>
    <w:rsid w:val="00D10952"/>
    <w:rsid w:val="00D10AC5"/>
    <w:rsid w:val="00D10BE7"/>
    <w:rsid w:val="00D10CD2"/>
    <w:rsid w:val="00D10D32"/>
    <w:rsid w:val="00D1154D"/>
    <w:rsid w:val="00D11737"/>
    <w:rsid w:val="00D11772"/>
    <w:rsid w:val="00D11A2D"/>
    <w:rsid w:val="00D12268"/>
    <w:rsid w:val="00D12280"/>
    <w:rsid w:val="00D1245D"/>
    <w:rsid w:val="00D12504"/>
    <w:rsid w:val="00D12828"/>
    <w:rsid w:val="00D12B05"/>
    <w:rsid w:val="00D12B85"/>
    <w:rsid w:val="00D1339E"/>
    <w:rsid w:val="00D13CB1"/>
    <w:rsid w:val="00D14138"/>
    <w:rsid w:val="00D14557"/>
    <w:rsid w:val="00D1464F"/>
    <w:rsid w:val="00D14B4E"/>
    <w:rsid w:val="00D14C25"/>
    <w:rsid w:val="00D14D1C"/>
    <w:rsid w:val="00D14DC9"/>
    <w:rsid w:val="00D14F95"/>
    <w:rsid w:val="00D1500F"/>
    <w:rsid w:val="00D15477"/>
    <w:rsid w:val="00D157AB"/>
    <w:rsid w:val="00D160F9"/>
    <w:rsid w:val="00D16455"/>
    <w:rsid w:val="00D166AB"/>
    <w:rsid w:val="00D16ADA"/>
    <w:rsid w:val="00D16CD3"/>
    <w:rsid w:val="00D16D58"/>
    <w:rsid w:val="00D16E90"/>
    <w:rsid w:val="00D17339"/>
    <w:rsid w:val="00D179F1"/>
    <w:rsid w:val="00D17D49"/>
    <w:rsid w:val="00D2015C"/>
    <w:rsid w:val="00D20253"/>
    <w:rsid w:val="00D206A3"/>
    <w:rsid w:val="00D206FE"/>
    <w:rsid w:val="00D20744"/>
    <w:rsid w:val="00D20A19"/>
    <w:rsid w:val="00D213F1"/>
    <w:rsid w:val="00D21B9B"/>
    <w:rsid w:val="00D21CDA"/>
    <w:rsid w:val="00D21F2E"/>
    <w:rsid w:val="00D22260"/>
    <w:rsid w:val="00D22266"/>
    <w:rsid w:val="00D22A26"/>
    <w:rsid w:val="00D22D35"/>
    <w:rsid w:val="00D22E4A"/>
    <w:rsid w:val="00D238D6"/>
    <w:rsid w:val="00D238FF"/>
    <w:rsid w:val="00D23DEF"/>
    <w:rsid w:val="00D23F97"/>
    <w:rsid w:val="00D243EB"/>
    <w:rsid w:val="00D2495F"/>
    <w:rsid w:val="00D249A6"/>
    <w:rsid w:val="00D249C6"/>
    <w:rsid w:val="00D24E2B"/>
    <w:rsid w:val="00D25353"/>
    <w:rsid w:val="00D256EE"/>
    <w:rsid w:val="00D258A6"/>
    <w:rsid w:val="00D25F43"/>
    <w:rsid w:val="00D26272"/>
    <w:rsid w:val="00D26588"/>
    <w:rsid w:val="00D266F7"/>
    <w:rsid w:val="00D269AC"/>
    <w:rsid w:val="00D26BB9"/>
    <w:rsid w:val="00D26E5C"/>
    <w:rsid w:val="00D27373"/>
    <w:rsid w:val="00D273DC"/>
    <w:rsid w:val="00D27567"/>
    <w:rsid w:val="00D276A0"/>
    <w:rsid w:val="00D27F74"/>
    <w:rsid w:val="00D30381"/>
    <w:rsid w:val="00D30646"/>
    <w:rsid w:val="00D306F9"/>
    <w:rsid w:val="00D307D3"/>
    <w:rsid w:val="00D309D0"/>
    <w:rsid w:val="00D30E47"/>
    <w:rsid w:val="00D310AB"/>
    <w:rsid w:val="00D3114B"/>
    <w:rsid w:val="00D31339"/>
    <w:rsid w:val="00D31446"/>
    <w:rsid w:val="00D314C8"/>
    <w:rsid w:val="00D315CF"/>
    <w:rsid w:val="00D318DE"/>
    <w:rsid w:val="00D31EDA"/>
    <w:rsid w:val="00D31FCB"/>
    <w:rsid w:val="00D32089"/>
    <w:rsid w:val="00D32518"/>
    <w:rsid w:val="00D3294A"/>
    <w:rsid w:val="00D32AE4"/>
    <w:rsid w:val="00D32F93"/>
    <w:rsid w:val="00D339FF"/>
    <w:rsid w:val="00D345DC"/>
    <w:rsid w:val="00D34646"/>
    <w:rsid w:val="00D34A04"/>
    <w:rsid w:val="00D34C4C"/>
    <w:rsid w:val="00D34D6B"/>
    <w:rsid w:val="00D34E09"/>
    <w:rsid w:val="00D35264"/>
    <w:rsid w:val="00D35284"/>
    <w:rsid w:val="00D3559D"/>
    <w:rsid w:val="00D35784"/>
    <w:rsid w:val="00D3583A"/>
    <w:rsid w:val="00D35B76"/>
    <w:rsid w:val="00D35D7F"/>
    <w:rsid w:val="00D36049"/>
    <w:rsid w:val="00D3629F"/>
    <w:rsid w:val="00D365B4"/>
    <w:rsid w:val="00D36E0F"/>
    <w:rsid w:val="00D37282"/>
    <w:rsid w:val="00D379BF"/>
    <w:rsid w:val="00D379CD"/>
    <w:rsid w:val="00D40235"/>
    <w:rsid w:val="00D40B83"/>
    <w:rsid w:val="00D40F0B"/>
    <w:rsid w:val="00D41039"/>
    <w:rsid w:val="00D41C12"/>
    <w:rsid w:val="00D41F6C"/>
    <w:rsid w:val="00D41FB4"/>
    <w:rsid w:val="00D42103"/>
    <w:rsid w:val="00D4269A"/>
    <w:rsid w:val="00D42846"/>
    <w:rsid w:val="00D42CD1"/>
    <w:rsid w:val="00D42FBD"/>
    <w:rsid w:val="00D430D1"/>
    <w:rsid w:val="00D432CD"/>
    <w:rsid w:val="00D434A4"/>
    <w:rsid w:val="00D43678"/>
    <w:rsid w:val="00D43B70"/>
    <w:rsid w:val="00D43DCE"/>
    <w:rsid w:val="00D43E54"/>
    <w:rsid w:val="00D443C0"/>
    <w:rsid w:val="00D443C7"/>
    <w:rsid w:val="00D4469A"/>
    <w:rsid w:val="00D448CC"/>
    <w:rsid w:val="00D4492C"/>
    <w:rsid w:val="00D449ED"/>
    <w:rsid w:val="00D44A9F"/>
    <w:rsid w:val="00D44CBB"/>
    <w:rsid w:val="00D44D18"/>
    <w:rsid w:val="00D44E5E"/>
    <w:rsid w:val="00D44E6E"/>
    <w:rsid w:val="00D44ED2"/>
    <w:rsid w:val="00D452E4"/>
    <w:rsid w:val="00D45671"/>
    <w:rsid w:val="00D45CCF"/>
    <w:rsid w:val="00D45FE3"/>
    <w:rsid w:val="00D46179"/>
    <w:rsid w:val="00D46182"/>
    <w:rsid w:val="00D46836"/>
    <w:rsid w:val="00D469DE"/>
    <w:rsid w:val="00D46C84"/>
    <w:rsid w:val="00D46F51"/>
    <w:rsid w:val="00D4704D"/>
    <w:rsid w:val="00D47139"/>
    <w:rsid w:val="00D47240"/>
    <w:rsid w:val="00D47444"/>
    <w:rsid w:val="00D4796A"/>
    <w:rsid w:val="00D479DB"/>
    <w:rsid w:val="00D47B54"/>
    <w:rsid w:val="00D501F9"/>
    <w:rsid w:val="00D50215"/>
    <w:rsid w:val="00D503C6"/>
    <w:rsid w:val="00D505F6"/>
    <w:rsid w:val="00D507FA"/>
    <w:rsid w:val="00D50989"/>
    <w:rsid w:val="00D50A70"/>
    <w:rsid w:val="00D510EE"/>
    <w:rsid w:val="00D5126E"/>
    <w:rsid w:val="00D51379"/>
    <w:rsid w:val="00D5147E"/>
    <w:rsid w:val="00D5156F"/>
    <w:rsid w:val="00D518A5"/>
    <w:rsid w:val="00D519D7"/>
    <w:rsid w:val="00D51B0E"/>
    <w:rsid w:val="00D525F2"/>
    <w:rsid w:val="00D52833"/>
    <w:rsid w:val="00D529E4"/>
    <w:rsid w:val="00D52A69"/>
    <w:rsid w:val="00D52E8D"/>
    <w:rsid w:val="00D52FFC"/>
    <w:rsid w:val="00D5341A"/>
    <w:rsid w:val="00D537F2"/>
    <w:rsid w:val="00D53A3D"/>
    <w:rsid w:val="00D53F11"/>
    <w:rsid w:val="00D54216"/>
    <w:rsid w:val="00D54648"/>
    <w:rsid w:val="00D54958"/>
    <w:rsid w:val="00D549BB"/>
    <w:rsid w:val="00D54B28"/>
    <w:rsid w:val="00D55452"/>
    <w:rsid w:val="00D5574D"/>
    <w:rsid w:val="00D55DB4"/>
    <w:rsid w:val="00D560C3"/>
    <w:rsid w:val="00D565A4"/>
    <w:rsid w:val="00D567E5"/>
    <w:rsid w:val="00D569B1"/>
    <w:rsid w:val="00D56C4C"/>
    <w:rsid w:val="00D56DF8"/>
    <w:rsid w:val="00D56E78"/>
    <w:rsid w:val="00D57B44"/>
    <w:rsid w:val="00D57C15"/>
    <w:rsid w:val="00D57DE3"/>
    <w:rsid w:val="00D57F95"/>
    <w:rsid w:val="00D60128"/>
    <w:rsid w:val="00D601E4"/>
    <w:rsid w:val="00D60343"/>
    <w:rsid w:val="00D60353"/>
    <w:rsid w:val="00D6046A"/>
    <w:rsid w:val="00D6047E"/>
    <w:rsid w:val="00D60781"/>
    <w:rsid w:val="00D6126F"/>
    <w:rsid w:val="00D61B8E"/>
    <w:rsid w:val="00D61C01"/>
    <w:rsid w:val="00D61C02"/>
    <w:rsid w:val="00D61EBD"/>
    <w:rsid w:val="00D620F0"/>
    <w:rsid w:val="00D621A0"/>
    <w:rsid w:val="00D6233B"/>
    <w:rsid w:val="00D6234B"/>
    <w:rsid w:val="00D62626"/>
    <w:rsid w:val="00D6271E"/>
    <w:rsid w:val="00D62888"/>
    <w:rsid w:val="00D62CD4"/>
    <w:rsid w:val="00D62CF0"/>
    <w:rsid w:val="00D62ED6"/>
    <w:rsid w:val="00D63117"/>
    <w:rsid w:val="00D639E4"/>
    <w:rsid w:val="00D63A6F"/>
    <w:rsid w:val="00D63AC2"/>
    <w:rsid w:val="00D63C4C"/>
    <w:rsid w:val="00D63D08"/>
    <w:rsid w:val="00D6440C"/>
    <w:rsid w:val="00D644C8"/>
    <w:rsid w:val="00D645C7"/>
    <w:rsid w:val="00D647BC"/>
    <w:rsid w:val="00D649F7"/>
    <w:rsid w:val="00D64A6A"/>
    <w:rsid w:val="00D64B1A"/>
    <w:rsid w:val="00D64C54"/>
    <w:rsid w:val="00D6502E"/>
    <w:rsid w:val="00D65289"/>
    <w:rsid w:val="00D65661"/>
    <w:rsid w:val="00D657F3"/>
    <w:rsid w:val="00D65B7E"/>
    <w:rsid w:val="00D65B87"/>
    <w:rsid w:val="00D65E28"/>
    <w:rsid w:val="00D66147"/>
    <w:rsid w:val="00D66253"/>
    <w:rsid w:val="00D66BBA"/>
    <w:rsid w:val="00D671D4"/>
    <w:rsid w:val="00D671EA"/>
    <w:rsid w:val="00D673F5"/>
    <w:rsid w:val="00D6774F"/>
    <w:rsid w:val="00D67A22"/>
    <w:rsid w:val="00D67BBF"/>
    <w:rsid w:val="00D67E7C"/>
    <w:rsid w:val="00D70426"/>
    <w:rsid w:val="00D70CE5"/>
    <w:rsid w:val="00D711F2"/>
    <w:rsid w:val="00D71761"/>
    <w:rsid w:val="00D719E9"/>
    <w:rsid w:val="00D71A6E"/>
    <w:rsid w:val="00D71B2A"/>
    <w:rsid w:val="00D72AD4"/>
    <w:rsid w:val="00D72E7C"/>
    <w:rsid w:val="00D735C4"/>
    <w:rsid w:val="00D738FE"/>
    <w:rsid w:val="00D73B2E"/>
    <w:rsid w:val="00D73B90"/>
    <w:rsid w:val="00D73D25"/>
    <w:rsid w:val="00D73FB4"/>
    <w:rsid w:val="00D74F7E"/>
    <w:rsid w:val="00D74FE7"/>
    <w:rsid w:val="00D754BA"/>
    <w:rsid w:val="00D75974"/>
    <w:rsid w:val="00D75EE3"/>
    <w:rsid w:val="00D760D9"/>
    <w:rsid w:val="00D7618C"/>
    <w:rsid w:val="00D7622D"/>
    <w:rsid w:val="00D76575"/>
    <w:rsid w:val="00D769F7"/>
    <w:rsid w:val="00D76C1F"/>
    <w:rsid w:val="00D77475"/>
    <w:rsid w:val="00D774B8"/>
    <w:rsid w:val="00D7751B"/>
    <w:rsid w:val="00D7798A"/>
    <w:rsid w:val="00D77B63"/>
    <w:rsid w:val="00D77C27"/>
    <w:rsid w:val="00D804DB"/>
    <w:rsid w:val="00D81629"/>
    <w:rsid w:val="00D81997"/>
    <w:rsid w:val="00D81AD0"/>
    <w:rsid w:val="00D81C62"/>
    <w:rsid w:val="00D81FAA"/>
    <w:rsid w:val="00D82637"/>
    <w:rsid w:val="00D826C3"/>
    <w:rsid w:val="00D82E05"/>
    <w:rsid w:val="00D82E5C"/>
    <w:rsid w:val="00D836C5"/>
    <w:rsid w:val="00D83D47"/>
    <w:rsid w:val="00D83DAF"/>
    <w:rsid w:val="00D83DEA"/>
    <w:rsid w:val="00D847F7"/>
    <w:rsid w:val="00D848E3"/>
    <w:rsid w:val="00D84AB7"/>
    <w:rsid w:val="00D84CBA"/>
    <w:rsid w:val="00D84D38"/>
    <w:rsid w:val="00D850C4"/>
    <w:rsid w:val="00D8513C"/>
    <w:rsid w:val="00D85946"/>
    <w:rsid w:val="00D85AE8"/>
    <w:rsid w:val="00D85AFE"/>
    <w:rsid w:val="00D85DBC"/>
    <w:rsid w:val="00D85DC2"/>
    <w:rsid w:val="00D860A3"/>
    <w:rsid w:val="00D861DE"/>
    <w:rsid w:val="00D864BC"/>
    <w:rsid w:val="00D86FFD"/>
    <w:rsid w:val="00D87114"/>
    <w:rsid w:val="00D8769A"/>
    <w:rsid w:val="00D876A3"/>
    <w:rsid w:val="00D877DD"/>
    <w:rsid w:val="00D8799B"/>
    <w:rsid w:val="00D87EA3"/>
    <w:rsid w:val="00D9076E"/>
    <w:rsid w:val="00D90C2C"/>
    <w:rsid w:val="00D90D91"/>
    <w:rsid w:val="00D90DCC"/>
    <w:rsid w:val="00D91034"/>
    <w:rsid w:val="00D9108A"/>
    <w:rsid w:val="00D915DD"/>
    <w:rsid w:val="00D916B3"/>
    <w:rsid w:val="00D9196F"/>
    <w:rsid w:val="00D91B13"/>
    <w:rsid w:val="00D91C77"/>
    <w:rsid w:val="00D91CB6"/>
    <w:rsid w:val="00D91CEB"/>
    <w:rsid w:val="00D92542"/>
    <w:rsid w:val="00D9268A"/>
    <w:rsid w:val="00D927A2"/>
    <w:rsid w:val="00D92849"/>
    <w:rsid w:val="00D929EB"/>
    <w:rsid w:val="00D92A87"/>
    <w:rsid w:val="00D92E07"/>
    <w:rsid w:val="00D92E7F"/>
    <w:rsid w:val="00D93575"/>
    <w:rsid w:val="00D9362A"/>
    <w:rsid w:val="00D9382E"/>
    <w:rsid w:val="00D93C47"/>
    <w:rsid w:val="00D93DBE"/>
    <w:rsid w:val="00D93DEC"/>
    <w:rsid w:val="00D93E36"/>
    <w:rsid w:val="00D93EC4"/>
    <w:rsid w:val="00D94462"/>
    <w:rsid w:val="00D944CE"/>
    <w:rsid w:val="00D94782"/>
    <w:rsid w:val="00D94B34"/>
    <w:rsid w:val="00D94CF1"/>
    <w:rsid w:val="00D94F6F"/>
    <w:rsid w:val="00D95A3D"/>
    <w:rsid w:val="00D96A61"/>
    <w:rsid w:val="00D97C63"/>
    <w:rsid w:val="00DA0440"/>
    <w:rsid w:val="00DA0865"/>
    <w:rsid w:val="00DA0ED5"/>
    <w:rsid w:val="00DA1229"/>
    <w:rsid w:val="00DA23E3"/>
    <w:rsid w:val="00DA2458"/>
    <w:rsid w:val="00DA254B"/>
    <w:rsid w:val="00DA2A80"/>
    <w:rsid w:val="00DA2C9D"/>
    <w:rsid w:val="00DA2E25"/>
    <w:rsid w:val="00DA3250"/>
    <w:rsid w:val="00DA35EA"/>
    <w:rsid w:val="00DA4216"/>
    <w:rsid w:val="00DA45F7"/>
    <w:rsid w:val="00DA4809"/>
    <w:rsid w:val="00DA4AF7"/>
    <w:rsid w:val="00DA4D99"/>
    <w:rsid w:val="00DA4EDF"/>
    <w:rsid w:val="00DA544B"/>
    <w:rsid w:val="00DA571F"/>
    <w:rsid w:val="00DA58C8"/>
    <w:rsid w:val="00DA596C"/>
    <w:rsid w:val="00DA5A5C"/>
    <w:rsid w:val="00DA5B3D"/>
    <w:rsid w:val="00DA6096"/>
    <w:rsid w:val="00DA6515"/>
    <w:rsid w:val="00DA65B8"/>
    <w:rsid w:val="00DA6787"/>
    <w:rsid w:val="00DA6A0C"/>
    <w:rsid w:val="00DA6A11"/>
    <w:rsid w:val="00DA6A58"/>
    <w:rsid w:val="00DA6D35"/>
    <w:rsid w:val="00DA6FD8"/>
    <w:rsid w:val="00DA7012"/>
    <w:rsid w:val="00DA75B7"/>
    <w:rsid w:val="00DA7D27"/>
    <w:rsid w:val="00DB0462"/>
    <w:rsid w:val="00DB0EA6"/>
    <w:rsid w:val="00DB11CB"/>
    <w:rsid w:val="00DB19C0"/>
    <w:rsid w:val="00DB1A7E"/>
    <w:rsid w:val="00DB1A96"/>
    <w:rsid w:val="00DB1B75"/>
    <w:rsid w:val="00DB1F6E"/>
    <w:rsid w:val="00DB2337"/>
    <w:rsid w:val="00DB251A"/>
    <w:rsid w:val="00DB26AA"/>
    <w:rsid w:val="00DB2AD8"/>
    <w:rsid w:val="00DB2B03"/>
    <w:rsid w:val="00DB2F06"/>
    <w:rsid w:val="00DB314F"/>
    <w:rsid w:val="00DB3268"/>
    <w:rsid w:val="00DB33A0"/>
    <w:rsid w:val="00DB393A"/>
    <w:rsid w:val="00DB3A80"/>
    <w:rsid w:val="00DB3CDC"/>
    <w:rsid w:val="00DB4219"/>
    <w:rsid w:val="00DB4464"/>
    <w:rsid w:val="00DB453E"/>
    <w:rsid w:val="00DB476C"/>
    <w:rsid w:val="00DB479B"/>
    <w:rsid w:val="00DB4DF4"/>
    <w:rsid w:val="00DB4F2B"/>
    <w:rsid w:val="00DB52AB"/>
    <w:rsid w:val="00DB557D"/>
    <w:rsid w:val="00DB5AEF"/>
    <w:rsid w:val="00DB6303"/>
    <w:rsid w:val="00DB6711"/>
    <w:rsid w:val="00DB67F2"/>
    <w:rsid w:val="00DB6B99"/>
    <w:rsid w:val="00DB6BA0"/>
    <w:rsid w:val="00DB6D34"/>
    <w:rsid w:val="00DB7008"/>
    <w:rsid w:val="00DB7263"/>
    <w:rsid w:val="00DB7550"/>
    <w:rsid w:val="00DB7867"/>
    <w:rsid w:val="00DB7E0B"/>
    <w:rsid w:val="00DB7EC4"/>
    <w:rsid w:val="00DC023A"/>
    <w:rsid w:val="00DC04D6"/>
    <w:rsid w:val="00DC0695"/>
    <w:rsid w:val="00DC0874"/>
    <w:rsid w:val="00DC097F"/>
    <w:rsid w:val="00DC09C4"/>
    <w:rsid w:val="00DC0E11"/>
    <w:rsid w:val="00DC141A"/>
    <w:rsid w:val="00DC169E"/>
    <w:rsid w:val="00DC1760"/>
    <w:rsid w:val="00DC1A91"/>
    <w:rsid w:val="00DC1CFB"/>
    <w:rsid w:val="00DC1D70"/>
    <w:rsid w:val="00DC1FB7"/>
    <w:rsid w:val="00DC22A4"/>
    <w:rsid w:val="00DC2317"/>
    <w:rsid w:val="00DC237F"/>
    <w:rsid w:val="00DC259C"/>
    <w:rsid w:val="00DC25FF"/>
    <w:rsid w:val="00DC292A"/>
    <w:rsid w:val="00DC2C11"/>
    <w:rsid w:val="00DC30A3"/>
    <w:rsid w:val="00DC33D2"/>
    <w:rsid w:val="00DC33D3"/>
    <w:rsid w:val="00DC3715"/>
    <w:rsid w:val="00DC3FA4"/>
    <w:rsid w:val="00DC42CF"/>
    <w:rsid w:val="00DC4D10"/>
    <w:rsid w:val="00DC5037"/>
    <w:rsid w:val="00DC531E"/>
    <w:rsid w:val="00DC54E6"/>
    <w:rsid w:val="00DC57D4"/>
    <w:rsid w:val="00DC603B"/>
    <w:rsid w:val="00DC6331"/>
    <w:rsid w:val="00DC6379"/>
    <w:rsid w:val="00DC6754"/>
    <w:rsid w:val="00DC6772"/>
    <w:rsid w:val="00DC6BB6"/>
    <w:rsid w:val="00DC6D97"/>
    <w:rsid w:val="00DC6F3C"/>
    <w:rsid w:val="00DC6F5E"/>
    <w:rsid w:val="00DC7003"/>
    <w:rsid w:val="00DC7060"/>
    <w:rsid w:val="00DC7312"/>
    <w:rsid w:val="00DC747D"/>
    <w:rsid w:val="00DC7499"/>
    <w:rsid w:val="00DC765F"/>
    <w:rsid w:val="00DC77FC"/>
    <w:rsid w:val="00DC7801"/>
    <w:rsid w:val="00DC7C3A"/>
    <w:rsid w:val="00DC7EC2"/>
    <w:rsid w:val="00DD05CE"/>
    <w:rsid w:val="00DD08F9"/>
    <w:rsid w:val="00DD0C6B"/>
    <w:rsid w:val="00DD0CA1"/>
    <w:rsid w:val="00DD0CE3"/>
    <w:rsid w:val="00DD0DE8"/>
    <w:rsid w:val="00DD13DE"/>
    <w:rsid w:val="00DD14B5"/>
    <w:rsid w:val="00DD1729"/>
    <w:rsid w:val="00DD1806"/>
    <w:rsid w:val="00DD1911"/>
    <w:rsid w:val="00DD210B"/>
    <w:rsid w:val="00DD2351"/>
    <w:rsid w:val="00DD2C0E"/>
    <w:rsid w:val="00DD2D13"/>
    <w:rsid w:val="00DD2D74"/>
    <w:rsid w:val="00DD3096"/>
    <w:rsid w:val="00DD3557"/>
    <w:rsid w:val="00DD3589"/>
    <w:rsid w:val="00DD3A12"/>
    <w:rsid w:val="00DD3C87"/>
    <w:rsid w:val="00DD3D3B"/>
    <w:rsid w:val="00DD3DC8"/>
    <w:rsid w:val="00DD4133"/>
    <w:rsid w:val="00DD4320"/>
    <w:rsid w:val="00DD44BD"/>
    <w:rsid w:val="00DD4736"/>
    <w:rsid w:val="00DD473B"/>
    <w:rsid w:val="00DD47C8"/>
    <w:rsid w:val="00DD47F2"/>
    <w:rsid w:val="00DD4AE4"/>
    <w:rsid w:val="00DD521C"/>
    <w:rsid w:val="00DD53FB"/>
    <w:rsid w:val="00DD54B5"/>
    <w:rsid w:val="00DD56C3"/>
    <w:rsid w:val="00DD574A"/>
    <w:rsid w:val="00DD5A44"/>
    <w:rsid w:val="00DD5DAD"/>
    <w:rsid w:val="00DD5E0E"/>
    <w:rsid w:val="00DD648B"/>
    <w:rsid w:val="00DD65C4"/>
    <w:rsid w:val="00DD698A"/>
    <w:rsid w:val="00DD6DAC"/>
    <w:rsid w:val="00DD6E53"/>
    <w:rsid w:val="00DD77FE"/>
    <w:rsid w:val="00DD7815"/>
    <w:rsid w:val="00DD7937"/>
    <w:rsid w:val="00DD7A4B"/>
    <w:rsid w:val="00DD7B6A"/>
    <w:rsid w:val="00DE0447"/>
    <w:rsid w:val="00DE0723"/>
    <w:rsid w:val="00DE0A3D"/>
    <w:rsid w:val="00DE0AAF"/>
    <w:rsid w:val="00DE0BA9"/>
    <w:rsid w:val="00DE0CCC"/>
    <w:rsid w:val="00DE14B4"/>
    <w:rsid w:val="00DE1B61"/>
    <w:rsid w:val="00DE1F0B"/>
    <w:rsid w:val="00DE1FA8"/>
    <w:rsid w:val="00DE1FDC"/>
    <w:rsid w:val="00DE213B"/>
    <w:rsid w:val="00DE2B60"/>
    <w:rsid w:val="00DE2CE0"/>
    <w:rsid w:val="00DE30BE"/>
    <w:rsid w:val="00DE324C"/>
    <w:rsid w:val="00DE32CF"/>
    <w:rsid w:val="00DE3487"/>
    <w:rsid w:val="00DE369B"/>
    <w:rsid w:val="00DE37E8"/>
    <w:rsid w:val="00DE38A4"/>
    <w:rsid w:val="00DE3B48"/>
    <w:rsid w:val="00DE41F5"/>
    <w:rsid w:val="00DE4562"/>
    <w:rsid w:val="00DE47B1"/>
    <w:rsid w:val="00DE481E"/>
    <w:rsid w:val="00DE4883"/>
    <w:rsid w:val="00DE4A73"/>
    <w:rsid w:val="00DE4CDE"/>
    <w:rsid w:val="00DE4D55"/>
    <w:rsid w:val="00DE4D72"/>
    <w:rsid w:val="00DE4FC6"/>
    <w:rsid w:val="00DE52D4"/>
    <w:rsid w:val="00DE5370"/>
    <w:rsid w:val="00DE55C4"/>
    <w:rsid w:val="00DE5623"/>
    <w:rsid w:val="00DE5675"/>
    <w:rsid w:val="00DE5C3D"/>
    <w:rsid w:val="00DE5EF8"/>
    <w:rsid w:val="00DE5FB2"/>
    <w:rsid w:val="00DE6616"/>
    <w:rsid w:val="00DE6B41"/>
    <w:rsid w:val="00DE7010"/>
    <w:rsid w:val="00DE7613"/>
    <w:rsid w:val="00DE7671"/>
    <w:rsid w:val="00DE7850"/>
    <w:rsid w:val="00DE7874"/>
    <w:rsid w:val="00DE7930"/>
    <w:rsid w:val="00DE7E0E"/>
    <w:rsid w:val="00DF000D"/>
    <w:rsid w:val="00DF0516"/>
    <w:rsid w:val="00DF07CB"/>
    <w:rsid w:val="00DF082E"/>
    <w:rsid w:val="00DF08CA"/>
    <w:rsid w:val="00DF0976"/>
    <w:rsid w:val="00DF0FC0"/>
    <w:rsid w:val="00DF1621"/>
    <w:rsid w:val="00DF18A3"/>
    <w:rsid w:val="00DF1B48"/>
    <w:rsid w:val="00DF2109"/>
    <w:rsid w:val="00DF27C4"/>
    <w:rsid w:val="00DF2988"/>
    <w:rsid w:val="00DF2B85"/>
    <w:rsid w:val="00DF32C8"/>
    <w:rsid w:val="00DF366A"/>
    <w:rsid w:val="00DF37A3"/>
    <w:rsid w:val="00DF3DA3"/>
    <w:rsid w:val="00DF3DA8"/>
    <w:rsid w:val="00DF4265"/>
    <w:rsid w:val="00DF44BA"/>
    <w:rsid w:val="00DF45F5"/>
    <w:rsid w:val="00DF4701"/>
    <w:rsid w:val="00DF4803"/>
    <w:rsid w:val="00DF4B34"/>
    <w:rsid w:val="00DF4D22"/>
    <w:rsid w:val="00DF534D"/>
    <w:rsid w:val="00DF6672"/>
    <w:rsid w:val="00DF66D4"/>
    <w:rsid w:val="00DF68F2"/>
    <w:rsid w:val="00DF6F9A"/>
    <w:rsid w:val="00DF7048"/>
    <w:rsid w:val="00DF7193"/>
    <w:rsid w:val="00DF7323"/>
    <w:rsid w:val="00DF73D0"/>
    <w:rsid w:val="00DF7459"/>
    <w:rsid w:val="00DF7A07"/>
    <w:rsid w:val="00DF7D54"/>
    <w:rsid w:val="00E000C0"/>
    <w:rsid w:val="00E00561"/>
    <w:rsid w:val="00E005B3"/>
    <w:rsid w:val="00E01085"/>
    <w:rsid w:val="00E011CC"/>
    <w:rsid w:val="00E01296"/>
    <w:rsid w:val="00E01594"/>
    <w:rsid w:val="00E0191C"/>
    <w:rsid w:val="00E01935"/>
    <w:rsid w:val="00E01A48"/>
    <w:rsid w:val="00E01D26"/>
    <w:rsid w:val="00E01D48"/>
    <w:rsid w:val="00E01FF3"/>
    <w:rsid w:val="00E020C2"/>
    <w:rsid w:val="00E02325"/>
    <w:rsid w:val="00E024CE"/>
    <w:rsid w:val="00E027C2"/>
    <w:rsid w:val="00E028B5"/>
    <w:rsid w:val="00E02CE7"/>
    <w:rsid w:val="00E02F63"/>
    <w:rsid w:val="00E0308C"/>
    <w:rsid w:val="00E03210"/>
    <w:rsid w:val="00E0357F"/>
    <w:rsid w:val="00E03AAA"/>
    <w:rsid w:val="00E03D80"/>
    <w:rsid w:val="00E03EED"/>
    <w:rsid w:val="00E049D2"/>
    <w:rsid w:val="00E04E8F"/>
    <w:rsid w:val="00E04F1E"/>
    <w:rsid w:val="00E04F95"/>
    <w:rsid w:val="00E04FB5"/>
    <w:rsid w:val="00E05616"/>
    <w:rsid w:val="00E057C3"/>
    <w:rsid w:val="00E0599A"/>
    <w:rsid w:val="00E05E01"/>
    <w:rsid w:val="00E06070"/>
    <w:rsid w:val="00E060C5"/>
    <w:rsid w:val="00E0645C"/>
    <w:rsid w:val="00E0652F"/>
    <w:rsid w:val="00E066EE"/>
    <w:rsid w:val="00E067D2"/>
    <w:rsid w:val="00E0700D"/>
    <w:rsid w:val="00E07122"/>
    <w:rsid w:val="00E101CD"/>
    <w:rsid w:val="00E105C8"/>
    <w:rsid w:val="00E106B3"/>
    <w:rsid w:val="00E1084F"/>
    <w:rsid w:val="00E109D1"/>
    <w:rsid w:val="00E109DA"/>
    <w:rsid w:val="00E10B12"/>
    <w:rsid w:val="00E10C64"/>
    <w:rsid w:val="00E10D5C"/>
    <w:rsid w:val="00E10E7E"/>
    <w:rsid w:val="00E10F4F"/>
    <w:rsid w:val="00E111FD"/>
    <w:rsid w:val="00E11886"/>
    <w:rsid w:val="00E1198D"/>
    <w:rsid w:val="00E119AB"/>
    <w:rsid w:val="00E11C2C"/>
    <w:rsid w:val="00E11F29"/>
    <w:rsid w:val="00E12396"/>
    <w:rsid w:val="00E123A0"/>
    <w:rsid w:val="00E12469"/>
    <w:rsid w:val="00E124F8"/>
    <w:rsid w:val="00E1254E"/>
    <w:rsid w:val="00E1261C"/>
    <w:rsid w:val="00E128B6"/>
    <w:rsid w:val="00E12D11"/>
    <w:rsid w:val="00E12F10"/>
    <w:rsid w:val="00E13801"/>
    <w:rsid w:val="00E13C8F"/>
    <w:rsid w:val="00E13DF5"/>
    <w:rsid w:val="00E13E5A"/>
    <w:rsid w:val="00E1495B"/>
    <w:rsid w:val="00E14DBF"/>
    <w:rsid w:val="00E14E14"/>
    <w:rsid w:val="00E1523F"/>
    <w:rsid w:val="00E15249"/>
    <w:rsid w:val="00E1533F"/>
    <w:rsid w:val="00E15447"/>
    <w:rsid w:val="00E1560E"/>
    <w:rsid w:val="00E15945"/>
    <w:rsid w:val="00E15B52"/>
    <w:rsid w:val="00E15C64"/>
    <w:rsid w:val="00E15E24"/>
    <w:rsid w:val="00E164DD"/>
    <w:rsid w:val="00E16585"/>
    <w:rsid w:val="00E165AD"/>
    <w:rsid w:val="00E16685"/>
    <w:rsid w:val="00E16729"/>
    <w:rsid w:val="00E167BF"/>
    <w:rsid w:val="00E17007"/>
    <w:rsid w:val="00E1710E"/>
    <w:rsid w:val="00E17236"/>
    <w:rsid w:val="00E174CC"/>
    <w:rsid w:val="00E175B5"/>
    <w:rsid w:val="00E177A5"/>
    <w:rsid w:val="00E17907"/>
    <w:rsid w:val="00E203E7"/>
    <w:rsid w:val="00E20630"/>
    <w:rsid w:val="00E20710"/>
    <w:rsid w:val="00E21763"/>
    <w:rsid w:val="00E21975"/>
    <w:rsid w:val="00E21988"/>
    <w:rsid w:val="00E21B75"/>
    <w:rsid w:val="00E21C26"/>
    <w:rsid w:val="00E21CF3"/>
    <w:rsid w:val="00E21F0E"/>
    <w:rsid w:val="00E2229D"/>
    <w:rsid w:val="00E225C1"/>
    <w:rsid w:val="00E226A0"/>
    <w:rsid w:val="00E22790"/>
    <w:rsid w:val="00E22E18"/>
    <w:rsid w:val="00E22E26"/>
    <w:rsid w:val="00E2347A"/>
    <w:rsid w:val="00E237B6"/>
    <w:rsid w:val="00E2383F"/>
    <w:rsid w:val="00E239CE"/>
    <w:rsid w:val="00E23A0D"/>
    <w:rsid w:val="00E23A42"/>
    <w:rsid w:val="00E242F7"/>
    <w:rsid w:val="00E24942"/>
    <w:rsid w:val="00E24D27"/>
    <w:rsid w:val="00E252A0"/>
    <w:rsid w:val="00E25673"/>
    <w:rsid w:val="00E25F86"/>
    <w:rsid w:val="00E25FBC"/>
    <w:rsid w:val="00E25FF3"/>
    <w:rsid w:val="00E26134"/>
    <w:rsid w:val="00E262E4"/>
    <w:rsid w:val="00E26502"/>
    <w:rsid w:val="00E265D2"/>
    <w:rsid w:val="00E26812"/>
    <w:rsid w:val="00E26933"/>
    <w:rsid w:val="00E26A16"/>
    <w:rsid w:val="00E26BA3"/>
    <w:rsid w:val="00E26E80"/>
    <w:rsid w:val="00E27120"/>
    <w:rsid w:val="00E2762C"/>
    <w:rsid w:val="00E27B7A"/>
    <w:rsid w:val="00E27BCF"/>
    <w:rsid w:val="00E27C62"/>
    <w:rsid w:val="00E30005"/>
    <w:rsid w:val="00E30610"/>
    <w:rsid w:val="00E30FB7"/>
    <w:rsid w:val="00E311FB"/>
    <w:rsid w:val="00E31222"/>
    <w:rsid w:val="00E314B0"/>
    <w:rsid w:val="00E3165E"/>
    <w:rsid w:val="00E3166B"/>
    <w:rsid w:val="00E31AEC"/>
    <w:rsid w:val="00E3204D"/>
    <w:rsid w:val="00E3208A"/>
    <w:rsid w:val="00E321F2"/>
    <w:rsid w:val="00E3220D"/>
    <w:rsid w:val="00E326E4"/>
    <w:rsid w:val="00E32B23"/>
    <w:rsid w:val="00E32D8D"/>
    <w:rsid w:val="00E32EC1"/>
    <w:rsid w:val="00E33351"/>
    <w:rsid w:val="00E33520"/>
    <w:rsid w:val="00E335B7"/>
    <w:rsid w:val="00E33690"/>
    <w:rsid w:val="00E33A0E"/>
    <w:rsid w:val="00E33A30"/>
    <w:rsid w:val="00E34158"/>
    <w:rsid w:val="00E34730"/>
    <w:rsid w:val="00E34AEB"/>
    <w:rsid w:val="00E34D8E"/>
    <w:rsid w:val="00E3503C"/>
    <w:rsid w:val="00E35141"/>
    <w:rsid w:val="00E3523A"/>
    <w:rsid w:val="00E35533"/>
    <w:rsid w:val="00E359C3"/>
    <w:rsid w:val="00E35BD8"/>
    <w:rsid w:val="00E35CAF"/>
    <w:rsid w:val="00E35D52"/>
    <w:rsid w:val="00E35F72"/>
    <w:rsid w:val="00E361A1"/>
    <w:rsid w:val="00E363AF"/>
    <w:rsid w:val="00E369F2"/>
    <w:rsid w:val="00E36A11"/>
    <w:rsid w:val="00E3713B"/>
    <w:rsid w:val="00E373B6"/>
    <w:rsid w:val="00E37618"/>
    <w:rsid w:val="00E37784"/>
    <w:rsid w:val="00E377F1"/>
    <w:rsid w:val="00E378C7"/>
    <w:rsid w:val="00E37C95"/>
    <w:rsid w:val="00E37DE5"/>
    <w:rsid w:val="00E4029A"/>
    <w:rsid w:val="00E40331"/>
    <w:rsid w:val="00E40376"/>
    <w:rsid w:val="00E4079D"/>
    <w:rsid w:val="00E409EC"/>
    <w:rsid w:val="00E40AF4"/>
    <w:rsid w:val="00E40B50"/>
    <w:rsid w:val="00E40C07"/>
    <w:rsid w:val="00E4138A"/>
    <w:rsid w:val="00E416E8"/>
    <w:rsid w:val="00E42371"/>
    <w:rsid w:val="00E427AD"/>
    <w:rsid w:val="00E42B17"/>
    <w:rsid w:val="00E42D6F"/>
    <w:rsid w:val="00E4315F"/>
    <w:rsid w:val="00E4448A"/>
    <w:rsid w:val="00E444A2"/>
    <w:rsid w:val="00E444C2"/>
    <w:rsid w:val="00E446B0"/>
    <w:rsid w:val="00E447C7"/>
    <w:rsid w:val="00E44CD2"/>
    <w:rsid w:val="00E44F6A"/>
    <w:rsid w:val="00E451FF"/>
    <w:rsid w:val="00E45204"/>
    <w:rsid w:val="00E454FF"/>
    <w:rsid w:val="00E4561A"/>
    <w:rsid w:val="00E45929"/>
    <w:rsid w:val="00E45C95"/>
    <w:rsid w:val="00E46099"/>
    <w:rsid w:val="00E4684F"/>
    <w:rsid w:val="00E46D19"/>
    <w:rsid w:val="00E46F09"/>
    <w:rsid w:val="00E47409"/>
    <w:rsid w:val="00E474DB"/>
    <w:rsid w:val="00E47AD7"/>
    <w:rsid w:val="00E47F3A"/>
    <w:rsid w:val="00E50AEB"/>
    <w:rsid w:val="00E50D04"/>
    <w:rsid w:val="00E50DDF"/>
    <w:rsid w:val="00E50EAD"/>
    <w:rsid w:val="00E50FC0"/>
    <w:rsid w:val="00E512ED"/>
    <w:rsid w:val="00E512F7"/>
    <w:rsid w:val="00E51510"/>
    <w:rsid w:val="00E515B0"/>
    <w:rsid w:val="00E515E8"/>
    <w:rsid w:val="00E51689"/>
    <w:rsid w:val="00E5180B"/>
    <w:rsid w:val="00E51BF8"/>
    <w:rsid w:val="00E51DFE"/>
    <w:rsid w:val="00E51EB6"/>
    <w:rsid w:val="00E52019"/>
    <w:rsid w:val="00E53557"/>
    <w:rsid w:val="00E53775"/>
    <w:rsid w:val="00E537BE"/>
    <w:rsid w:val="00E53DB0"/>
    <w:rsid w:val="00E53EBD"/>
    <w:rsid w:val="00E5405D"/>
    <w:rsid w:val="00E540A0"/>
    <w:rsid w:val="00E55018"/>
    <w:rsid w:val="00E55229"/>
    <w:rsid w:val="00E554C7"/>
    <w:rsid w:val="00E556AF"/>
    <w:rsid w:val="00E558F1"/>
    <w:rsid w:val="00E5602A"/>
    <w:rsid w:val="00E56061"/>
    <w:rsid w:val="00E56165"/>
    <w:rsid w:val="00E5625A"/>
    <w:rsid w:val="00E56B25"/>
    <w:rsid w:val="00E56C7A"/>
    <w:rsid w:val="00E56CD9"/>
    <w:rsid w:val="00E57183"/>
    <w:rsid w:val="00E60228"/>
    <w:rsid w:val="00E60440"/>
    <w:rsid w:val="00E60454"/>
    <w:rsid w:val="00E607CF"/>
    <w:rsid w:val="00E60C9F"/>
    <w:rsid w:val="00E60DDA"/>
    <w:rsid w:val="00E60E55"/>
    <w:rsid w:val="00E60F6E"/>
    <w:rsid w:val="00E61B8E"/>
    <w:rsid w:val="00E61CE2"/>
    <w:rsid w:val="00E620C9"/>
    <w:rsid w:val="00E623F2"/>
    <w:rsid w:val="00E62545"/>
    <w:rsid w:val="00E626F9"/>
    <w:rsid w:val="00E6275A"/>
    <w:rsid w:val="00E6287C"/>
    <w:rsid w:val="00E628C2"/>
    <w:rsid w:val="00E631BA"/>
    <w:rsid w:val="00E6326C"/>
    <w:rsid w:val="00E6335F"/>
    <w:rsid w:val="00E6336C"/>
    <w:rsid w:val="00E63821"/>
    <w:rsid w:val="00E63858"/>
    <w:rsid w:val="00E63E44"/>
    <w:rsid w:val="00E64058"/>
    <w:rsid w:val="00E640CC"/>
    <w:rsid w:val="00E644FF"/>
    <w:rsid w:val="00E6463E"/>
    <w:rsid w:val="00E64D11"/>
    <w:rsid w:val="00E64F4C"/>
    <w:rsid w:val="00E64F50"/>
    <w:rsid w:val="00E64FCA"/>
    <w:rsid w:val="00E651CA"/>
    <w:rsid w:val="00E6539B"/>
    <w:rsid w:val="00E65A02"/>
    <w:rsid w:val="00E65A3B"/>
    <w:rsid w:val="00E65AD8"/>
    <w:rsid w:val="00E65D0A"/>
    <w:rsid w:val="00E65D43"/>
    <w:rsid w:val="00E65F62"/>
    <w:rsid w:val="00E6628D"/>
    <w:rsid w:val="00E66B39"/>
    <w:rsid w:val="00E66C6E"/>
    <w:rsid w:val="00E67135"/>
    <w:rsid w:val="00E6752A"/>
    <w:rsid w:val="00E6767C"/>
    <w:rsid w:val="00E677CF"/>
    <w:rsid w:val="00E67881"/>
    <w:rsid w:val="00E67A91"/>
    <w:rsid w:val="00E67B19"/>
    <w:rsid w:val="00E67BE0"/>
    <w:rsid w:val="00E67CDC"/>
    <w:rsid w:val="00E67DCD"/>
    <w:rsid w:val="00E67ED6"/>
    <w:rsid w:val="00E702D2"/>
    <w:rsid w:val="00E7036E"/>
    <w:rsid w:val="00E7072B"/>
    <w:rsid w:val="00E70A0A"/>
    <w:rsid w:val="00E71500"/>
    <w:rsid w:val="00E7154F"/>
    <w:rsid w:val="00E715B7"/>
    <w:rsid w:val="00E71A0B"/>
    <w:rsid w:val="00E71A52"/>
    <w:rsid w:val="00E72021"/>
    <w:rsid w:val="00E720EC"/>
    <w:rsid w:val="00E7293F"/>
    <w:rsid w:val="00E73293"/>
    <w:rsid w:val="00E734FA"/>
    <w:rsid w:val="00E73762"/>
    <w:rsid w:val="00E739A2"/>
    <w:rsid w:val="00E73B76"/>
    <w:rsid w:val="00E73BD8"/>
    <w:rsid w:val="00E73D65"/>
    <w:rsid w:val="00E748CE"/>
    <w:rsid w:val="00E74928"/>
    <w:rsid w:val="00E74A5C"/>
    <w:rsid w:val="00E74B90"/>
    <w:rsid w:val="00E74BDE"/>
    <w:rsid w:val="00E74D8E"/>
    <w:rsid w:val="00E74EFF"/>
    <w:rsid w:val="00E7517D"/>
    <w:rsid w:val="00E754F9"/>
    <w:rsid w:val="00E7554B"/>
    <w:rsid w:val="00E75619"/>
    <w:rsid w:val="00E75A7A"/>
    <w:rsid w:val="00E75B9B"/>
    <w:rsid w:val="00E75E84"/>
    <w:rsid w:val="00E76165"/>
    <w:rsid w:val="00E7637E"/>
    <w:rsid w:val="00E764B8"/>
    <w:rsid w:val="00E76959"/>
    <w:rsid w:val="00E76B1C"/>
    <w:rsid w:val="00E76C8B"/>
    <w:rsid w:val="00E76D6E"/>
    <w:rsid w:val="00E76E07"/>
    <w:rsid w:val="00E76F61"/>
    <w:rsid w:val="00E76FDF"/>
    <w:rsid w:val="00E774DF"/>
    <w:rsid w:val="00E77BD9"/>
    <w:rsid w:val="00E77D82"/>
    <w:rsid w:val="00E80ACD"/>
    <w:rsid w:val="00E80B23"/>
    <w:rsid w:val="00E80BBE"/>
    <w:rsid w:val="00E80E4D"/>
    <w:rsid w:val="00E80F7C"/>
    <w:rsid w:val="00E8131F"/>
    <w:rsid w:val="00E814CF"/>
    <w:rsid w:val="00E817D7"/>
    <w:rsid w:val="00E81F1B"/>
    <w:rsid w:val="00E82010"/>
    <w:rsid w:val="00E82130"/>
    <w:rsid w:val="00E8216E"/>
    <w:rsid w:val="00E82399"/>
    <w:rsid w:val="00E829A1"/>
    <w:rsid w:val="00E83090"/>
    <w:rsid w:val="00E8318F"/>
    <w:rsid w:val="00E831DF"/>
    <w:rsid w:val="00E83554"/>
    <w:rsid w:val="00E83560"/>
    <w:rsid w:val="00E83657"/>
    <w:rsid w:val="00E8376F"/>
    <w:rsid w:val="00E84164"/>
    <w:rsid w:val="00E844EB"/>
    <w:rsid w:val="00E84A78"/>
    <w:rsid w:val="00E84C46"/>
    <w:rsid w:val="00E84FFF"/>
    <w:rsid w:val="00E8575F"/>
    <w:rsid w:val="00E85BAD"/>
    <w:rsid w:val="00E85C79"/>
    <w:rsid w:val="00E86023"/>
    <w:rsid w:val="00E860F6"/>
    <w:rsid w:val="00E86523"/>
    <w:rsid w:val="00E867AC"/>
    <w:rsid w:val="00E871DA"/>
    <w:rsid w:val="00E877F4"/>
    <w:rsid w:val="00E87A1B"/>
    <w:rsid w:val="00E87B4F"/>
    <w:rsid w:val="00E87B5F"/>
    <w:rsid w:val="00E87BA0"/>
    <w:rsid w:val="00E87CF9"/>
    <w:rsid w:val="00E90053"/>
    <w:rsid w:val="00E901C4"/>
    <w:rsid w:val="00E90945"/>
    <w:rsid w:val="00E90973"/>
    <w:rsid w:val="00E90B03"/>
    <w:rsid w:val="00E90D60"/>
    <w:rsid w:val="00E90DDA"/>
    <w:rsid w:val="00E90F91"/>
    <w:rsid w:val="00E91033"/>
    <w:rsid w:val="00E912A6"/>
    <w:rsid w:val="00E91AF1"/>
    <w:rsid w:val="00E9297F"/>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C3B"/>
    <w:rsid w:val="00E95F05"/>
    <w:rsid w:val="00E95FB4"/>
    <w:rsid w:val="00E960E4"/>
    <w:rsid w:val="00E964AA"/>
    <w:rsid w:val="00E96938"/>
    <w:rsid w:val="00E96B17"/>
    <w:rsid w:val="00E9749D"/>
    <w:rsid w:val="00E97CC2"/>
    <w:rsid w:val="00E97E83"/>
    <w:rsid w:val="00EA054E"/>
    <w:rsid w:val="00EA077E"/>
    <w:rsid w:val="00EA0E14"/>
    <w:rsid w:val="00EA0E84"/>
    <w:rsid w:val="00EA1D0C"/>
    <w:rsid w:val="00EA213B"/>
    <w:rsid w:val="00EA22EC"/>
    <w:rsid w:val="00EA266A"/>
    <w:rsid w:val="00EA2C9B"/>
    <w:rsid w:val="00EA2D74"/>
    <w:rsid w:val="00EA3077"/>
    <w:rsid w:val="00EA30EE"/>
    <w:rsid w:val="00EA3174"/>
    <w:rsid w:val="00EA365F"/>
    <w:rsid w:val="00EA3AF1"/>
    <w:rsid w:val="00EA3DBD"/>
    <w:rsid w:val="00EA4672"/>
    <w:rsid w:val="00EA4693"/>
    <w:rsid w:val="00EA476A"/>
    <w:rsid w:val="00EA4961"/>
    <w:rsid w:val="00EA4A98"/>
    <w:rsid w:val="00EA4BF0"/>
    <w:rsid w:val="00EA543C"/>
    <w:rsid w:val="00EA547A"/>
    <w:rsid w:val="00EA57AE"/>
    <w:rsid w:val="00EA5868"/>
    <w:rsid w:val="00EA66A7"/>
    <w:rsid w:val="00EA6B30"/>
    <w:rsid w:val="00EA6DBA"/>
    <w:rsid w:val="00EA70B2"/>
    <w:rsid w:val="00EA720F"/>
    <w:rsid w:val="00EA74A9"/>
    <w:rsid w:val="00EA7BE4"/>
    <w:rsid w:val="00EA7C77"/>
    <w:rsid w:val="00EA7D2D"/>
    <w:rsid w:val="00EA7E5D"/>
    <w:rsid w:val="00EA7EFF"/>
    <w:rsid w:val="00EB0122"/>
    <w:rsid w:val="00EB046B"/>
    <w:rsid w:val="00EB060F"/>
    <w:rsid w:val="00EB096B"/>
    <w:rsid w:val="00EB0B0B"/>
    <w:rsid w:val="00EB12CE"/>
    <w:rsid w:val="00EB17A3"/>
    <w:rsid w:val="00EB1AC4"/>
    <w:rsid w:val="00EB1F32"/>
    <w:rsid w:val="00EB1FB4"/>
    <w:rsid w:val="00EB2A8F"/>
    <w:rsid w:val="00EB2ADF"/>
    <w:rsid w:val="00EB2B83"/>
    <w:rsid w:val="00EB2E1C"/>
    <w:rsid w:val="00EB2EA9"/>
    <w:rsid w:val="00EB2ED2"/>
    <w:rsid w:val="00EB2F4B"/>
    <w:rsid w:val="00EB3CCC"/>
    <w:rsid w:val="00EB4363"/>
    <w:rsid w:val="00EB4802"/>
    <w:rsid w:val="00EB4AE0"/>
    <w:rsid w:val="00EB4B44"/>
    <w:rsid w:val="00EB4C67"/>
    <w:rsid w:val="00EB4DA2"/>
    <w:rsid w:val="00EB4E5A"/>
    <w:rsid w:val="00EB5082"/>
    <w:rsid w:val="00EB532D"/>
    <w:rsid w:val="00EB53BF"/>
    <w:rsid w:val="00EB55CE"/>
    <w:rsid w:val="00EB598A"/>
    <w:rsid w:val="00EB5CD6"/>
    <w:rsid w:val="00EB5DE2"/>
    <w:rsid w:val="00EB6002"/>
    <w:rsid w:val="00EB606B"/>
    <w:rsid w:val="00EB6ACA"/>
    <w:rsid w:val="00EB6FB7"/>
    <w:rsid w:val="00EB7338"/>
    <w:rsid w:val="00EB7454"/>
    <w:rsid w:val="00EB7494"/>
    <w:rsid w:val="00EB7521"/>
    <w:rsid w:val="00EB75B0"/>
    <w:rsid w:val="00EB7666"/>
    <w:rsid w:val="00EC0066"/>
    <w:rsid w:val="00EC0266"/>
    <w:rsid w:val="00EC0781"/>
    <w:rsid w:val="00EC09C8"/>
    <w:rsid w:val="00EC0B1E"/>
    <w:rsid w:val="00EC0B61"/>
    <w:rsid w:val="00EC0CCD"/>
    <w:rsid w:val="00EC0F93"/>
    <w:rsid w:val="00EC0F99"/>
    <w:rsid w:val="00EC129E"/>
    <w:rsid w:val="00EC1A8E"/>
    <w:rsid w:val="00EC2682"/>
    <w:rsid w:val="00EC2684"/>
    <w:rsid w:val="00EC28C5"/>
    <w:rsid w:val="00EC2995"/>
    <w:rsid w:val="00EC2BF0"/>
    <w:rsid w:val="00EC2C95"/>
    <w:rsid w:val="00EC31BE"/>
    <w:rsid w:val="00EC34EF"/>
    <w:rsid w:val="00EC35CC"/>
    <w:rsid w:val="00EC35EA"/>
    <w:rsid w:val="00EC4100"/>
    <w:rsid w:val="00EC434F"/>
    <w:rsid w:val="00EC4527"/>
    <w:rsid w:val="00EC4928"/>
    <w:rsid w:val="00EC4ABF"/>
    <w:rsid w:val="00EC4AC6"/>
    <w:rsid w:val="00EC4C77"/>
    <w:rsid w:val="00EC4EF1"/>
    <w:rsid w:val="00EC5282"/>
    <w:rsid w:val="00EC5C51"/>
    <w:rsid w:val="00EC5D2F"/>
    <w:rsid w:val="00EC6558"/>
    <w:rsid w:val="00EC6609"/>
    <w:rsid w:val="00EC6AA7"/>
    <w:rsid w:val="00EC6B15"/>
    <w:rsid w:val="00EC6C5F"/>
    <w:rsid w:val="00EC6C7A"/>
    <w:rsid w:val="00EC6E58"/>
    <w:rsid w:val="00EC6E76"/>
    <w:rsid w:val="00EC7043"/>
    <w:rsid w:val="00EC70BE"/>
    <w:rsid w:val="00EC75BA"/>
    <w:rsid w:val="00EC76B8"/>
    <w:rsid w:val="00EC7716"/>
    <w:rsid w:val="00EC7748"/>
    <w:rsid w:val="00EC792B"/>
    <w:rsid w:val="00EC796E"/>
    <w:rsid w:val="00EC7AC5"/>
    <w:rsid w:val="00EC7CE0"/>
    <w:rsid w:val="00EC7DB2"/>
    <w:rsid w:val="00EC7FC6"/>
    <w:rsid w:val="00ED0013"/>
    <w:rsid w:val="00ED05AD"/>
    <w:rsid w:val="00ED079A"/>
    <w:rsid w:val="00ED0E23"/>
    <w:rsid w:val="00ED0FB6"/>
    <w:rsid w:val="00ED1007"/>
    <w:rsid w:val="00ED12A8"/>
    <w:rsid w:val="00ED1491"/>
    <w:rsid w:val="00ED14B7"/>
    <w:rsid w:val="00ED162E"/>
    <w:rsid w:val="00ED18B9"/>
    <w:rsid w:val="00ED19F9"/>
    <w:rsid w:val="00ED2382"/>
    <w:rsid w:val="00ED27C6"/>
    <w:rsid w:val="00ED2C7E"/>
    <w:rsid w:val="00ED32BB"/>
    <w:rsid w:val="00ED34B8"/>
    <w:rsid w:val="00ED37E5"/>
    <w:rsid w:val="00ED3B00"/>
    <w:rsid w:val="00ED3BBD"/>
    <w:rsid w:val="00ED456B"/>
    <w:rsid w:val="00ED48E7"/>
    <w:rsid w:val="00ED4A97"/>
    <w:rsid w:val="00ED4D04"/>
    <w:rsid w:val="00ED4F37"/>
    <w:rsid w:val="00ED5209"/>
    <w:rsid w:val="00ED57D9"/>
    <w:rsid w:val="00ED60C2"/>
    <w:rsid w:val="00ED61F8"/>
    <w:rsid w:val="00ED6276"/>
    <w:rsid w:val="00ED62B2"/>
    <w:rsid w:val="00ED65D9"/>
    <w:rsid w:val="00ED6929"/>
    <w:rsid w:val="00ED6B6E"/>
    <w:rsid w:val="00ED6D93"/>
    <w:rsid w:val="00ED731F"/>
    <w:rsid w:val="00ED73DB"/>
    <w:rsid w:val="00ED7441"/>
    <w:rsid w:val="00ED746D"/>
    <w:rsid w:val="00ED78ED"/>
    <w:rsid w:val="00ED7917"/>
    <w:rsid w:val="00ED7BD9"/>
    <w:rsid w:val="00EE07FA"/>
    <w:rsid w:val="00EE0E35"/>
    <w:rsid w:val="00EE116E"/>
    <w:rsid w:val="00EE11E7"/>
    <w:rsid w:val="00EE1BCD"/>
    <w:rsid w:val="00EE22C4"/>
    <w:rsid w:val="00EE28D7"/>
    <w:rsid w:val="00EE2978"/>
    <w:rsid w:val="00EE2ABC"/>
    <w:rsid w:val="00EE2AC8"/>
    <w:rsid w:val="00EE2B52"/>
    <w:rsid w:val="00EE3DCE"/>
    <w:rsid w:val="00EE4487"/>
    <w:rsid w:val="00EE510D"/>
    <w:rsid w:val="00EE528F"/>
    <w:rsid w:val="00EE53FA"/>
    <w:rsid w:val="00EE5472"/>
    <w:rsid w:val="00EE56A5"/>
    <w:rsid w:val="00EE56D2"/>
    <w:rsid w:val="00EE572E"/>
    <w:rsid w:val="00EE585C"/>
    <w:rsid w:val="00EE5866"/>
    <w:rsid w:val="00EE5B33"/>
    <w:rsid w:val="00EE5B63"/>
    <w:rsid w:val="00EE5D9C"/>
    <w:rsid w:val="00EE5F23"/>
    <w:rsid w:val="00EE6111"/>
    <w:rsid w:val="00EE615B"/>
    <w:rsid w:val="00EE6492"/>
    <w:rsid w:val="00EE66C2"/>
    <w:rsid w:val="00EE69C1"/>
    <w:rsid w:val="00EE780E"/>
    <w:rsid w:val="00EF0213"/>
    <w:rsid w:val="00EF0953"/>
    <w:rsid w:val="00EF0988"/>
    <w:rsid w:val="00EF0D9B"/>
    <w:rsid w:val="00EF12B2"/>
    <w:rsid w:val="00EF13BC"/>
    <w:rsid w:val="00EF14D3"/>
    <w:rsid w:val="00EF1520"/>
    <w:rsid w:val="00EF1829"/>
    <w:rsid w:val="00EF1922"/>
    <w:rsid w:val="00EF1A7F"/>
    <w:rsid w:val="00EF1FCA"/>
    <w:rsid w:val="00EF21FA"/>
    <w:rsid w:val="00EF30E0"/>
    <w:rsid w:val="00EF3249"/>
    <w:rsid w:val="00EF35AC"/>
    <w:rsid w:val="00EF35E0"/>
    <w:rsid w:val="00EF3790"/>
    <w:rsid w:val="00EF3A15"/>
    <w:rsid w:val="00EF3DF5"/>
    <w:rsid w:val="00EF4292"/>
    <w:rsid w:val="00EF43DB"/>
    <w:rsid w:val="00EF451E"/>
    <w:rsid w:val="00EF472C"/>
    <w:rsid w:val="00EF501E"/>
    <w:rsid w:val="00EF551D"/>
    <w:rsid w:val="00EF56E6"/>
    <w:rsid w:val="00EF5745"/>
    <w:rsid w:val="00EF58ED"/>
    <w:rsid w:val="00EF5B50"/>
    <w:rsid w:val="00EF5D85"/>
    <w:rsid w:val="00EF60D0"/>
    <w:rsid w:val="00EF6527"/>
    <w:rsid w:val="00EF6A12"/>
    <w:rsid w:val="00EF6C41"/>
    <w:rsid w:val="00EF7590"/>
    <w:rsid w:val="00EF760A"/>
    <w:rsid w:val="00EF7A48"/>
    <w:rsid w:val="00F00007"/>
    <w:rsid w:val="00F007F2"/>
    <w:rsid w:val="00F00893"/>
    <w:rsid w:val="00F008FD"/>
    <w:rsid w:val="00F00C68"/>
    <w:rsid w:val="00F010B9"/>
    <w:rsid w:val="00F0156E"/>
    <w:rsid w:val="00F017C9"/>
    <w:rsid w:val="00F0189E"/>
    <w:rsid w:val="00F01929"/>
    <w:rsid w:val="00F01D89"/>
    <w:rsid w:val="00F0208E"/>
    <w:rsid w:val="00F02516"/>
    <w:rsid w:val="00F0262E"/>
    <w:rsid w:val="00F02697"/>
    <w:rsid w:val="00F02A95"/>
    <w:rsid w:val="00F02C0A"/>
    <w:rsid w:val="00F02E46"/>
    <w:rsid w:val="00F02E92"/>
    <w:rsid w:val="00F034DC"/>
    <w:rsid w:val="00F0361D"/>
    <w:rsid w:val="00F03707"/>
    <w:rsid w:val="00F03AB6"/>
    <w:rsid w:val="00F03DE2"/>
    <w:rsid w:val="00F04854"/>
    <w:rsid w:val="00F04C05"/>
    <w:rsid w:val="00F05CE4"/>
    <w:rsid w:val="00F06090"/>
    <w:rsid w:val="00F061D2"/>
    <w:rsid w:val="00F0634B"/>
    <w:rsid w:val="00F0644B"/>
    <w:rsid w:val="00F064AD"/>
    <w:rsid w:val="00F065FA"/>
    <w:rsid w:val="00F0660F"/>
    <w:rsid w:val="00F06643"/>
    <w:rsid w:val="00F0672F"/>
    <w:rsid w:val="00F068F1"/>
    <w:rsid w:val="00F071D7"/>
    <w:rsid w:val="00F072FC"/>
    <w:rsid w:val="00F07983"/>
    <w:rsid w:val="00F07B32"/>
    <w:rsid w:val="00F07C70"/>
    <w:rsid w:val="00F07EAF"/>
    <w:rsid w:val="00F102AB"/>
    <w:rsid w:val="00F10BAA"/>
    <w:rsid w:val="00F10E6C"/>
    <w:rsid w:val="00F110F9"/>
    <w:rsid w:val="00F1140E"/>
    <w:rsid w:val="00F11427"/>
    <w:rsid w:val="00F11894"/>
    <w:rsid w:val="00F11B49"/>
    <w:rsid w:val="00F11DC8"/>
    <w:rsid w:val="00F11E00"/>
    <w:rsid w:val="00F11E75"/>
    <w:rsid w:val="00F11E89"/>
    <w:rsid w:val="00F12457"/>
    <w:rsid w:val="00F125F7"/>
    <w:rsid w:val="00F127C6"/>
    <w:rsid w:val="00F12818"/>
    <w:rsid w:val="00F12C6D"/>
    <w:rsid w:val="00F130B2"/>
    <w:rsid w:val="00F13845"/>
    <w:rsid w:val="00F13BED"/>
    <w:rsid w:val="00F13EBF"/>
    <w:rsid w:val="00F14397"/>
    <w:rsid w:val="00F14ADD"/>
    <w:rsid w:val="00F14F0F"/>
    <w:rsid w:val="00F1510B"/>
    <w:rsid w:val="00F1549E"/>
    <w:rsid w:val="00F15565"/>
    <w:rsid w:val="00F157A3"/>
    <w:rsid w:val="00F157D7"/>
    <w:rsid w:val="00F15A83"/>
    <w:rsid w:val="00F15F22"/>
    <w:rsid w:val="00F16548"/>
    <w:rsid w:val="00F1691F"/>
    <w:rsid w:val="00F16AA3"/>
    <w:rsid w:val="00F16B03"/>
    <w:rsid w:val="00F16BE5"/>
    <w:rsid w:val="00F16E45"/>
    <w:rsid w:val="00F17153"/>
    <w:rsid w:val="00F1726F"/>
    <w:rsid w:val="00F17399"/>
    <w:rsid w:val="00F17743"/>
    <w:rsid w:val="00F17799"/>
    <w:rsid w:val="00F17B77"/>
    <w:rsid w:val="00F20082"/>
    <w:rsid w:val="00F2026A"/>
    <w:rsid w:val="00F202CE"/>
    <w:rsid w:val="00F20654"/>
    <w:rsid w:val="00F207D1"/>
    <w:rsid w:val="00F20B1A"/>
    <w:rsid w:val="00F20B74"/>
    <w:rsid w:val="00F212A6"/>
    <w:rsid w:val="00F21C9C"/>
    <w:rsid w:val="00F22711"/>
    <w:rsid w:val="00F2273F"/>
    <w:rsid w:val="00F228FA"/>
    <w:rsid w:val="00F22948"/>
    <w:rsid w:val="00F22BE4"/>
    <w:rsid w:val="00F230E9"/>
    <w:rsid w:val="00F2315A"/>
    <w:rsid w:val="00F2363F"/>
    <w:rsid w:val="00F23E06"/>
    <w:rsid w:val="00F2423E"/>
    <w:rsid w:val="00F243C6"/>
    <w:rsid w:val="00F247E9"/>
    <w:rsid w:val="00F25493"/>
    <w:rsid w:val="00F258AC"/>
    <w:rsid w:val="00F2598E"/>
    <w:rsid w:val="00F259B9"/>
    <w:rsid w:val="00F26053"/>
    <w:rsid w:val="00F26094"/>
    <w:rsid w:val="00F2618B"/>
    <w:rsid w:val="00F26223"/>
    <w:rsid w:val="00F26318"/>
    <w:rsid w:val="00F26507"/>
    <w:rsid w:val="00F2721A"/>
    <w:rsid w:val="00F27282"/>
    <w:rsid w:val="00F2740A"/>
    <w:rsid w:val="00F2746B"/>
    <w:rsid w:val="00F27F4C"/>
    <w:rsid w:val="00F27FF2"/>
    <w:rsid w:val="00F302C2"/>
    <w:rsid w:val="00F30643"/>
    <w:rsid w:val="00F30A63"/>
    <w:rsid w:val="00F30C75"/>
    <w:rsid w:val="00F312C8"/>
    <w:rsid w:val="00F314CD"/>
    <w:rsid w:val="00F31A0A"/>
    <w:rsid w:val="00F32330"/>
    <w:rsid w:val="00F32347"/>
    <w:rsid w:val="00F326A1"/>
    <w:rsid w:val="00F32836"/>
    <w:rsid w:val="00F32AB8"/>
    <w:rsid w:val="00F3305C"/>
    <w:rsid w:val="00F334A6"/>
    <w:rsid w:val="00F33723"/>
    <w:rsid w:val="00F33CF1"/>
    <w:rsid w:val="00F34129"/>
    <w:rsid w:val="00F3448C"/>
    <w:rsid w:val="00F3470D"/>
    <w:rsid w:val="00F3475A"/>
    <w:rsid w:val="00F349FE"/>
    <w:rsid w:val="00F34C57"/>
    <w:rsid w:val="00F34E76"/>
    <w:rsid w:val="00F35057"/>
    <w:rsid w:val="00F3506B"/>
    <w:rsid w:val="00F35259"/>
    <w:rsid w:val="00F352BD"/>
    <w:rsid w:val="00F357B3"/>
    <w:rsid w:val="00F3640B"/>
    <w:rsid w:val="00F36419"/>
    <w:rsid w:val="00F367C1"/>
    <w:rsid w:val="00F37ABF"/>
    <w:rsid w:val="00F401B0"/>
    <w:rsid w:val="00F40383"/>
    <w:rsid w:val="00F40388"/>
    <w:rsid w:val="00F40792"/>
    <w:rsid w:val="00F407D5"/>
    <w:rsid w:val="00F40C2E"/>
    <w:rsid w:val="00F412A6"/>
    <w:rsid w:val="00F413F2"/>
    <w:rsid w:val="00F41794"/>
    <w:rsid w:val="00F4277C"/>
    <w:rsid w:val="00F42AE4"/>
    <w:rsid w:val="00F42B8D"/>
    <w:rsid w:val="00F42BB4"/>
    <w:rsid w:val="00F42D4A"/>
    <w:rsid w:val="00F432C9"/>
    <w:rsid w:val="00F43334"/>
    <w:rsid w:val="00F4336A"/>
    <w:rsid w:val="00F433C1"/>
    <w:rsid w:val="00F439CE"/>
    <w:rsid w:val="00F43EDF"/>
    <w:rsid w:val="00F44026"/>
    <w:rsid w:val="00F442FC"/>
    <w:rsid w:val="00F44725"/>
    <w:rsid w:val="00F448E1"/>
    <w:rsid w:val="00F449F1"/>
    <w:rsid w:val="00F44EEE"/>
    <w:rsid w:val="00F45182"/>
    <w:rsid w:val="00F45532"/>
    <w:rsid w:val="00F45AE0"/>
    <w:rsid w:val="00F45DCA"/>
    <w:rsid w:val="00F4659F"/>
    <w:rsid w:val="00F46733"/>
    <w:rsid w:val="00F467D8"/>
    <w:rsid w:val="00F469C8"/>
    <w:rsid w:val="00F46A0A"/>
    <w:rsid w:val="00F47096"/>
    <w:rsid w:val="00F472D2"/>
    <w:rsid w:val="00F47DF1"/>
    <w:rsid w:val="00F50404"/>
    <w:rsid w:val="00F50589"/>
    <w:rsid w:val="00F5070A"/>
    <w:rsid w:val="00F50BB1"/>
    <w:rsid w:val="00F50CE1"/>
    <w:rsid w:val="00F51000"/>
    <w:rsid w:val="00F518BD"/>
    <w:rsid w:val="00F5222D"/>
    <w:rsid w:val="00F5227F"/>
    <w:rsid w:val="00F52313"/>
    <w:rsid w:val="00F52607"/>
    <w:rsid w:val="00F5281F"/>
    <w:rsid w:val="00F52BA8"/>
    <w:rsid w:val="00F52D15"/>
    <w:rsid w:val="00F530AB"/>
    <w:rsid w:val="00F533B4"/>
    <w:rsid w:val="00F537B0"/>
    <w:rsid w:val="00F53873"/>
    <w:rsid w:val="00F54078"/>
    <w:rsid w:val="00F54164"/>
    <w:rsid w:val="00F541B7"/>
    <w:rsid w:val="00F543C2"/>
    <w:rsid w:val="00F54410"/>
    <w:rsid w:val="00F5490D"/>
    <w:rsid w:val="00F54CC3"/>
    <w:rsid w:val="00F54CEA"/>
    <w:rsid w:val="00F54F82"/>
    <w:rsid w:val="00F55096"/>
    <w:rsid w:val="00F55270"/>
    <w:rsid w:val="00F552EC"/>
    <w:rsid w:val="00F554F5"/>
    <w:rsid w:val="00F55E3C"/>
    <w:rsid w:val="00F55E97"/>
    <w:rsid w:val="00F55F35"/>
    <w:rsid w:val="00F56307"/>
    <w:rsid w:val="00F56426"/>
    <w:rsid w:val="00F56812"/>
    <w:rsid w:val="00F56A71"/>
    <w:rsid w:val="00F56BAE"/>
    <w:rsid w:val="00F5762B"/>
    <w:rsid w:val="00F57F0B"/>
    <w:rsid w:val="00F601E1"/>
    <w:rsid w:val="00F607FA"/>
    <w:rsid w:val="00F60807"/>
    <w:rsid w:val="00F60989"/>
    <w:rsid w:val="00F60B1C"/>
    <w:rsid w:val="00F60CDA"/>
    <w:rsid w:val="00F60EC1"/>
    <w:rsid w:val="00F60FC8"/>
    <w:rsid w:val="00F610CB"/>
    <w:rsid w:val="00F619B0"/>
    <w:rsid w:val="00F62052"/>
    <w:rsid w:val="00F62102"/>
    <w:rsid w:val="00F625EE"/>
    <w:rsid w:val="00F627C7"/>
    <w:rsid w:val="00F62985"/>
    <w:rsid w:val="00F62A1D"/>
    <w:rsid w:val="00F62C86"/>
    <w:rsid w:val="00F630A3"/>
    <w:rsid w:val="00F634BE"/>
    <w:rsid w:val="00F6362E"/>
    <w:rsid w:val="00F63BCF"/>
    <w:rsid w:val="00F63F9A"/>
    <w:rsid w:val="00F651C4"/>
    <w:rsid w:val="00F651E3"/>
    <w:rsid w:val="00F655CE"/>
    <w:rsid w:val="00F65A0E"/>
    <w:rsid w:val="00F65F33"/>
    <w:rsid w:val="00F66047"/>
    <w:rsid w:val="00F66161"/>
    <w:rsid w:val="00F66233"/>
    <w:rsid w:val="00F6636C"/>
    <w:rsid w:val="00F663A7"/>
    <w:rsid w:val="00F6670E"/>
    <w:rsid w:val="00F66D2E"/>
    <w:rsid w:val="00F66D3C"/>
    <w:rsid w:val="00F670E4"/>
    <w:rsid w:val="00F677DB"/>
    <w:rsid w:val="00F67BDE"/>
    <w:rsid w:val="00F67D6E"/>
    <w:rsid w:val="00F67DBC"/>
    <w:rsid w:val="00F67EFE"/>
    <w:rsid w:val="00F70152"/>
    <w:rsid w:val="00F7015C"/>
    <w:rsid w:val="00F70204"/>
    <w:rsid w:val="00F702AA"/>
    <w:rsid w:val="00F703FA"/>
    <w:rsid w:val="00F70650"/>
    <w:rsid w:val="00F706F5"/>
    <w:rsid w:val="00F70B11"/>
    <w:rsid w:val="00F70D4A"/>
    <w:rsid w:val="00F71365"/>
    <w:rsid w:val="00F713CA"/>
    <w:rsid w:val="00F714CC"/>
    <w:rsid w:val="00F719E3"/>
    <w:rsid w:val="00F71E3E"/>
    <w:rsid w:val="00F71EC0"/>
    <w:rsid w:val="00F720C2"/>
    <w:rsid w:val="00F725CD"/>
    <w:rsid w:val="00F726A3"/>
    <w:rsid w:val="00F72A33"/>
    <w:rsid w:val="00F72D93"/>
    <w:rsid w:val="00F72E31"/>
    <w:rsid w:val="00F72E90"/>
    <w:rsid w:val="00F72F12"/>
    <w:rsid w:val="00F72FB4"/>
    <w:rsid w:val="00F735C6"/>
    <w:rsid w:val="00F73672"/>
    <w:rsid w:val="00F738B7"/>
    <w:rsid w:val="00F73A85"/>
    <w:rsid w:val="00F742F9"/>
    <w:rsid w:val="00F74735"/>
    <w:rsid w:val="00F749CA"/>
    <w:rsid w:val="00F74E19"/>
    <w:rsid w:val="00F74E6B"/>
    <w:rsid w:val="00F75062"/>
    <w:rsid w:val="00F75113"/>
    <w:rsid w:val="00F7526D"/>
    <w:rsid w:val="00F753FB"/>
    <w:rsid w:val="00F75624"/>
    <w:rsid w:val="00F759E3"/>
    <w:rsid w:val="00F759F2"/>
    <w:rsid w:val="00F75F61"/>
    <w:rsid w:val="00F763DF"/>
    <w:rsid w:val="00F76783"/>
    <w:rsid w:val="00F76BAF"/>
    <w:rsid w:val="00F76C9B"/>
    <w:rsid w:val="00F76CCF"/>
    <w:rsid w:val="00F7763E"/>
    <w:rsid w:val="00F77795"/>
    <w:rsid w:val="00F77965"/>
    <w:rsid w:val="00F77BD6"/>
    <w:rsid w:val="00F77DB0"/>
    <w:rsid w:val="00F77E7B"/>
    <w:rsid w:val="00F77F81"/>
    <w:rsid w:val="00F77FBD"/>
    <w:rsid w:val="00F803E9"/>
    <w:rsid w:val="00F80486"/>
    <w:rsid w:val="00F804BB"/>
    <w:rsid w:val="00F80EB0"/>
    <w:rsid w:val="00F80EB6"/>
    <w:rsid w:val="00F810B2"/>
    <w:rsid w:val="00F817BC"/>
    <w:rsid w:val="00F818AC"/>
    <w:rsid w:val="00F82599"/>
    <w:rsid w:val="00F82688"/>
    <w:rsid w:val="00F829BC"/>
    <w:rsid w:val="00F82DCC"/>
    <w:rsid w:val="00F8321D"/>
    <w:rsid w:val="00F8351D"/>
    <w:rsid w:val="00F83CBD"/>
    <w:rsid w:val="00F83FBF"/>
    <w:rsid w:val="00F84185"/>
    <w:rsid w:val="00F84432"/>
    <w:rsid w:val="00F84754"/>
    <w:rsid w:val="00F84758"/>
    <w:rsid w:val="00F84AD3"/>
    <w:rsid w:val="00F84E0A"/>
    <w:rsid w:val="00F84EF6"/>
    <w:rsid w:val="00F851C8"/>
    <w:rsid w:val="00F85561"/>
    <w:rsid w:val="00F8557C"/>
    <w:rsid w:val="00F858AC"/>
    <w:rsid w:val="00F85DB7"/>
    <w:rsid w:val="00F862BB"/>
    <w:rsid w:val="00F862FF"/>
    <w:rsid w:val="00F86591"/>
    <w:rsid w:val="00F86733"/>
    <w:rsid w:val="00F86807"/>
    <w:rsid w:val="00F86BEE"/>
    <w:rsid w:val="00F86DC1"/>
    <w:rsid w:val="00F8730D"/>
    <w:rsid w:val="00F907B5"/>
    <w:rsid w:val="00F90DF1"/>
    <w:rsid w:val="00F90E60"/>
    <w:rsid w:val="00F90EBA"/>
    <w:rsid w:val="00F90FAA"/>
    <w:rsid w:val="00F912F2"/>
    <w:rsid w:val="00F914CA"/>
    <w:rsid w:val="00F9155C"/>
    <w:rsid w:val="00F915E8"/>
    <w:rsid w:val="00F9206E"/>
    <w:rsid w:val="00F92327"/>
    <w:rsid w:val="00F92499"/>
    <w:rsid w:val="00F924C8"/>
    <w:rsid w:val="00F928A1"/>
    <w:rsid w:val="00F92E57"/>
    <w:rsid w:val="00F92F11"/>
    <w:rsid w:val="00F9316E"/>
    <w:rsid w:val="00F93349"/>
    <w:rsid w:val="00F93CAA"/>
    <w:rsid w:val="00F94221"/>
    <w:rsid w:val="00F942E0"/>
    <w:rsid w:val="00F94395"/>
    <w:rsid w:val="00F94485"/>
    <w:rsid w:val="00F94493"/>
    <w:rsid w:val="00F94539"/>
    <w:rsid w:val="00F945D1"/>
    <w:rsid w:val="00F94A36"/>
    <w:rsid w:val="00F94BFE"/>
    <w:rsid w:val="00F94FBA"/>
    <w:rsid w:val="00F951E0"/>
    <w:rsid w:val="00F9556C"/>
    <w:rsid w:val="00F95873"/>
    <w:rsid w:val="00F9598A"/>
    <w:rsid w:val="00F9661C"/>
    <w:rsid w:val="00F970DE"/>
    <w:rsid w:val="00F970EC"/>
    <w:rsid w:val="00F97125"/>
    <w:rsid w:val="00F97615"/>
    <w:rsid w:val="00F97B11"/>
    <w:rsid w:val="00FA0085"/>
    <w:rsid w:val="00FA02F7"/>
    <w:rsid w:val="00FA066B"/>
    <w:rsid w:val="00FA0864"/>
    <w:rsid w:val="00FA0868"/>
    <w:rsid w:val="00FA0BA5"/>
    <w:rsid w:val="00FA0C27"/>
    <w:rsid w:val="00FA0FA8"/>
    <w:rsid w:val="00FA1125"/>
    <w:rsid w:val="00FA16DE"/>
    <w:rsid w:val="00FA16F2"/>
    <w:rsid w:val="00FA1937"/>
    <w:rsid w:val="00FA1E42"/>
    <w:rsid w:val="00FA2934"/>
    <w:rsid w:val="00FA2A41"/>
    <w:rsid w:val="00FA2A58"/>
    <w:rsid w:val="00FA2C3F"/>
    <w:rsid w:val="00FA2E59"/>
    <w:rsid w:val="00FA321C"/>
    <w:rsid w:val="00FA362F"/>
    <w:rsid w:val="00FA3648"/>
    <w:rsid w:val="00FA3711"/>
    <w:rsid w:val="00FA41F9"/>
    <w:rsid w:val="00FA467A"/>
    <w:rsid w:val="00FA4713"/>
    <w:rsid w:val="00FA4E89"/>
    <w:rsid w:val="00FA4F60"/>
    <w:rsid w:val="00FA5017"/>
    <w:rsid w:val="00FA571A"/>
    <w:rsid w:val="00FA5F3D"/>
    <w:rsid w:val="00FA6729"/>
    <w:rsid w:val="00FA682A"/>
    <w:rsid w:val="00FA6851"/>
    <w:rsid w:val="00FA6A25"/>
    <w:rsid w:val="00FA6A3D"/>
    <w:rsid w:val="00FA6F54"/>
    <w:rsid w:val="00FA71A4"/>
    <w:rsid w:val="00FA75A3"/>
    <w:rsid w:val="00FA75B7"/>
    <w:rsid w:val="00FA7AFF"/>
    <w:rsid w:val="00FA7ED0"/>
    <w:rsid w:val="00FB00E8"/>
    <w:rsid w:val="00FB0366"/>
    <w:rsid w:val="00FB0D56"/>
    <w:rsid w:val="00FB0F2A"/>
    <w:rsid w:val="00FB17A5"/>
    <w:rsid w:val="00FB17EE"/>
    <w:rsid w:val="00FB1862"/>
    <w:rsid w:val="00FB2012"/>
    <w:rsid w:val="00FB2672"/>
    <w:rsid w:val="00FB273A"/>
    <w:rsid w:val="00FB31A0"/>
    <w:rsid w:val="00FB3310"/>
    <w:rsid w:val="00FB39B6"/>
    <w:rsid w:val="00FB3AD2"/>
    <w:rsid w:val="00FB3DA3"/>
    <w:rsid w:val="00FB405A"/>
    <w:rsid w:val="00FB4113"/>
    <w:rsid w:val="00FB43A2"/>
    <w:rsid w:val="00FB4435"/>
    <w:rsid w:val="00FB473B"/>
    <w:rsid w:val="00FB4881"/>
    <w:rsid w:val="00FB4922"/>
    <w:rsid w:val="00FB4C75"/>
    <w:rsid w:val="00FB4D63"/>
    <w:rsid w:val="00FB4FED"/>
    <w:rsid w:val="00FB504B"/>
    <w:rsid w:val="00FB52F2"/>
    <w:rsid w:val="00FB59C7"/>
    <w:rsid w:val="00FB608D"/>
    <w:rsid w:val="00FB6284"/>
    <w:rsid w:val="00FB69B5"/>
    <w:rsid w:val="00FB6BC1"/>
    <w:rsid w:val="00FB6BC7"/>
    <w:rsid w:val="00FB6CF2"/>
    <w:rsid w:val="00FB6D20"/>
    <w:rsid w:val="00FC029D"/>
    <w:rsid w:val="00FC04C0"/>
    <w:rsid w:val="00FC08BC"/>
    <w:rsid w:val="00FC0E38"/>
    <w:rsid w:val="00FC0EBF"/>
    <w:rsid w:val="00FC0FF1"/>
    <w:rsid w:val="00FC0FF9"/>
    <w:rsid w:val="00FC1180"/>
    <w:rsid w:val="00FC1251"/>
    <w:rsid w:val="00FC1383"/>
    <w:rsid w:val="00FC145C"/>
    <w:rsid w:val="00FC152F"/>
    <w:rsid w:val="00FC1563"/>
    <w:rsid w:val="00FC1D9A"/>
    <w:rsid w:val="00FC2073"/>
    <w:rsid w:val="00FC24DA"/>
    <w:rsid w:val="00FC293A"/>
    <w:rsid w:val="00FC2EE1"/>
    <w:rsid w:val="00FC3124"/>
    <w:rsid w:val="00FC3217"/>
    <w:rsid w:val="00FC34CC"/>
    <w:rsid w:val="00FC3742"/>
    <w:rsid w:val="00FC3B7A"/>
    <w:rsid w:val="00FC409C"/>
    <w:rsid w:val="00FC41EA"/>
    <w:rsid w:val="00FC4355"/>
    <w:rsid w:val="00FC450F"/>
    <w:rsid w:val="00FC495C"/>
    <w:rsid w:val="00FC49B7"/>
    <w:rsid w:val="00FC4EBB"/>
    <w:rsid w:val="00FC5005"/>
    <w:rsid w:val="00FC550D"/>
    <w:rsid w:val="00FC5BD9"/>
    <w:rsid w:val="00FC5CD1"/>
    <w:rsid w:val="00FC5E56"/>
    <w:rsid w:val="00FC610A"/>
    <w:rsid w:val="00FC6323"/>
    <w:rsid w:val="00FC645C"/>
    <w:rsid w:val="00FC6A21"/>
    <w:rsid w:val="00FC6B1C"/>
    <w:rsid w:val="00FC6DFD"/>
    <w:rsid w:val="00FC71A3"/>
    <w:rsid w:val="00FC780F"/>
    <w:rsid w:val="00FC797F"/>
    <w:rsid w:val="00FC7BB6"/>
    <w:rsid w:val="00FD00D4"/>
    <w:rsid w:val="00FD0145"/>
    <w:rsid w:val="00FD045A"/>
    <w:rsid w:val="00FD0742"/>
    <w:rsid w:val="00FD076A"/>
    <w:rsid w:val="00FD07ED"/>
    <w:rsid w:val="00FD0962"/>
    <w:rsid w:val="00FD1042"/>
    <w:rsid w:val="00FD10B6"/>
    <w:rsid w:val="00FD1206"/>
    <w:rsid w:val="00FD13B8"/>
    <w:rsid w:val="00FD1590"/>
    <w:rsid w:val="00FD1601"/>
    <w:rsid w:val="00FD1D01"/>
    <w:rsid w:val="00FD1F06"/>
    <w:rsid w:val="00FD2125"/>
    <w:rsid w:val="00FD23B4"/>
    <w:rsid w:val="00FD2E5B"/>
    <w:rsid w:val="00FD3172"/>
    <w:rsid w:val="00FD3264"/>
    <w:rsid w:val="00FD3671"/>
    <w:rsid w:val="00FD39F3"/>
    <w:rsid w:val="00FD3B01"/>
    <w:rsid w:val="00FD3C7A"/>
    <w:rsid w:val="00FD3F0F"/>
    <w:rsid w:val="00FD422E"/>
    <w:rsid w:val="00FD4C0D"/>
    <w:rsid w:val="00FD4C23"/>
    <w:rsid w:val="00FD4D36"/>
    <w:rsid w:val="00FD5097"/>
    <w:rsid w:val="00FD51B5"/>
    <w:rsid w:val="00FD58AF"/>
    <w:rsid w:val="00FD58B8"/>
    <w:rsid w:val="00FD5B68"/>
    <w:rsid w:val="00FD6045"/>
    <w:rsid w:val="00FD6222"/>
    <w:rsid w:val="00FD6A4E"/>
    <w:rsid w:val="00FD6F3C"/>
    <w:rsid w:val="00FD71E9"/>
    <w:rsid w:val="00FD73B9"/>
    <w:rsid w:val="00FD776D"/>
    <w:rsid w:val="00FD77EB"/>
    <w:rsid w:val="00FD7958"/>
    <w:rsid w:val="00FD79CC"/>
    <w:rsid w:val="00FE02AA"/>
    <w:rsid w:val="00FE03C2"/>
    <w:rsid w:val="00FE05CB"/>
    <w:rsid w:val="00FE0853"/>
    <w:rsid w:val="00FE0E2D"/>
    <w:rsid w:val="00FE1235"/>
    <w:rsid w:val="00FE155A"/>
    <w:rsid w:val="00FE1780"/>
    <w:rsid w:val="00FE1A7C"/>
    <w:rsid w:val="00FE1B9D"/>
    <w:rsid w:val="00FE1BA5"/>
    <w:rsid w:val="00FE1E6B"/>
    <w:rsid w:val="00FE268C"/>
    <w:rsid w:val="00FE287B"/>
    <w:rsid w:val="00FE28EE"/>
    <w:rsid w:val="00FE31BA"/>
    <w:rsid w:val="00FE322A"/>
    <w:rsid w:val="00FE352D"/>
    <w:rsid w:val="00FE3AFB"/>
    <w:rsid w:val="00FE4396"/>
    <w:rsid w:val="00FE4896"/>
    <w:rsid w:val="00FE4CBC"/>
    <w:rsid w:val="00FE4DD1"/>
    <w:rsid w:val="00FE558D"/>
    <w:rsid w:val="00FE55EA"/>
    <w:rsid w:val="00FE5F0C"/>
    <w:rsid w:val="00FE645D"/>
    <w:rsid w:val="00FE6A3B"/>
    <w:rsid w:val="00FE6E93"/>
    <w:rsid w:val="00FE70D9"/>
    <w:rsid w:val="00FE7649"/>
    <w:rsid w:val="00FE7726"/>
    <w:rsid w:val="00FE79B6"/>
    <w:rsid w:val="00FE7B20"/>
    <w:rsid w:val="00FE7E76"/>
    <w:rsid w:val="00FE7F79"/>
    <w:rsid w:val="00FF03AB"/>
    <w:rsid w:val="00FF0562"/>
    <w:rsid w:val="00FF059A"/>
    <w:rsid w:val="00FF097D"/>
    <w:rsid w:val="00FF0A02"/>
    <w:rsid w:val="00FF0ADB"/>
    <w:rsid w:val="00FF0BBC"/>
    <w:rsid w:val="00FF0BBF"/>
    <w:rsid w:val="00FF0DE2"/>
    <w:rsid w:val="00FF0DE4"/>
    <w:rsid w:val="00FF11EE"/>
    <w:rsid w:val="00FF1204"/>
    <w:rsid w:val="00FF17B1"/>
    <w:rsid w:val="00FF1993"/>
    <w:rsid w:val="00FF1BA2"/>
    <w:rsid w:val="00FF1FD9"/>
    <w:rsid w:val="00FF20A3"/>
    <w:rsid w:val="00FF2259"/>
    <w:rsid w:val="00FF286F"/>
    <w:rsid w:val="00FF2BF8"/>
    <w:rsid w:val="00FF2D00"/>
    <w:rsid w:val="00FF2DB9"/>
    <w:rsid w:val="00FF2F20"/>
    <w:rsid w:val="00FF2F44"/>
    <w:rsid w:val="00FF304C"/>
    <w:rsid w:val="00FF31FC"/>
    <w:rsid w:val="00FF33DA"/>
    <w:rsid w:val="00FF34A8"/>
    <w:rsid w:val="00FF3B2F"/>
    <w:rsid w:val="00FF3BBC"/>
    <w:rsid w:val="00FF3EA9"/>
    <w:rsid w:val="00FF4123"/>
    <w:rsid w:val="00FF438C"/>
    <w:rsid w:val="00FF4599"/>
    <w:rsid w:val="00FF4709"/>
    <w:rsid w:val="00FF4756"/>
    <w:rsid w:val="00FF47D8"/>
    <w:rsid w:val="00FF487C"/>
    <w:rsid w:val="00FF4C6A"/>
    <w:rsid w:val="00FF4F99"/>
    <w:rsid w:val="00FF5136"/>
    <w:rsid w:val="00FF53D2"/>
    <w:rsid w:val="00FF5622"/>
    <w:rsid w:val="00FF5B18"/>
    <w:rsid w:val="00FF5CC3"/>
    <w:rsid w:val="00FF66CC"/>
    <w:rsid w:val="00FF6A42"/>
    <w:rsid w:val="00FF6AA6"/>
    <w:rsid w:val="00FF6EB5"/>
    <w:rsid w:val="00FF6EF9"/>
    <w:rsid w:val="00FF7893"/>
    <w:rsid w:val="00FF7925"/>
    <w:rsid w:val="02DE402C"/>
    <w:rsid w:val="043DA164"/>
    <w:rsid w:val="0447F760"/>
    <w:rsid w:val="05553A8B"/>
    <w:rsid w:val="092546BA"/>
    <w:rsid w:val="163AB8B2"/>
    <w:rsid w:val="1B3F4A74"/>
    <w:rsid w:val="1BD88CB1"/>
    <w:rsid w:val="1CC825AF"/>
    <w:rsid w:val="1EA63FAE"/>
    <w:rsid w:val="203BDF62"/>
    <w:rsid w:val="207D897D"/>
    <w:rsid w:val="2093804C"/>
    <w:rsid w:val="21F0C43A"/>
    <w:rsid w:val="2291142B"/>
    <w:rsid w:val="232765E4"/>
    <w:rsid w:val="27083F14"/>
    <w:rsid w:val="28C51222"/>
    <w:rsid w:val="28E2CF99"/>
    <w:rsid w:val="29ACA0CB"/>
    <w:rsid w:val="29F45AC7"/>
    <w:rsid w:val="2C502078"/>
    <w:rsid w:val="2D47A11B"/>
    <w:rsid w:val="2D6E29F9"/>
    <w:rsid w:val="2DD06CBC"/>
    <w:rsid w:val="2E052DB3"/>
    <w:rsid w:val="2F5FA022"/>
    <w:rsid w:val="30891728"/>
    <w:rsid w:val="35D8DB1E"/>
    <w:rsid w:val="3887197A"/>
    <w:rsid w:val="3AA2B3C6"/>
    <w:rsid w:val="3E91BEA7"/>
    <w:rsid w:val="41F1974B"/>
    <w:rsid w:val="437F55DB"/>
    <w:rsid w:val="46BEAA7B"/>
    <w:rsid w:val="47EA88FE"/>
    <w:rsid w:val="4922EFEB"/>
    <w:rsid w:val="51CD5D50"/>
    <w:rsid w:val="527482AF"/>
    <w:rsid w:val="5997181A"/>
    <w:rsid w:val="5E7D8D04"/>
    <w:rsid w:val="61864E6F"/>
    <w:rsid w:val="63D845F8"/>
    <w:rsid w:val="69FB4936"/>
    <w:rsid w:val="6A1BB15D"/>
    <w:rsid w:val="6CFC9418"/>
    <w:rsid w:val="6F5672FD"/>
    <w:rsid w:val="73C091AA"/>
    <w:rsid w:val="7A495620"/>
    <w:rsid w:val="7A6705D2"/>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0D46AE"/>
    <w:rPr>
      <w:b/>
      <w:iCs/>
      <w:caps/>
      <w:sz w:val="26"/>
    </w:rPr>
  </w:style>
  <w:style w:type="character" w:customStyle="1" w:styleId="xtextrun">
    <w:name w:val="x_textrun"/>
    <w:basedOn w:val="Bekezdsalapbettpusa"/>
    <w:rsid w:val="00A86FE9"/>
  </w:style>
  <w:style w:type="character" w:customStyle="1" w:styleId="xeop">
    <w:name w:val="x_eop"/>
    <w:basedOn w:val="Bekezdsalapbettpusa"/>
    <w:rsid w:val="00A86FE9"/>
  </w:style>
  <w:style w:type="paragraph" w:customStyle="1" w:styleId="xparagraph">
    <w:name w:val="x_paragraph"/>
    <w:basedOn w:val="Norml"/>
    <w:rsid w:val="00A10884"/>
    <w:pPr>
      <w:spacing w:before="100" w:beforeAutospacing="1" w:after="100" w:afterAutospacing="1"/>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36C3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0D46AE"/>
    <w:rPr>
      <w:b/>
      <w:iCs/>
      <w:caps/>
      <w:sz w:val="26"/>
    </w:rPr>
  </w:style>
  <w:style w:type="character" w:customStyle="1" w:styleId="xtextrun">
    <w:name w:val="x_textrun"/>
    <w:basedOn w:val="Bekezdsalapbettpusa"/>
    <w:rsid w:val="00A86FE9"/>
  </w:style>
  <w:style w:type="character" w:customStyle="1" w:styleId="xeop">
    <w:name w:val="x_eop"/>
    <w:basedOn w:val="Bekezdsalapbettpusa"/>
    <w:rsid w:val="00A86FE9"/>
  </w:style>
  <w:style w:type="paragraph" w:customStyle="1" w:styleId="xparagraph">
    <w:name w:val="x_paragraph"/>
    <w:basedOn w:val="Norml"/>
    <w:rsid w:val="00A10884"/>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7281708">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198321198">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34572929">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80926656">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4655705">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2700791">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69396121">
      <w:bodyDiv w:val="1"/>
      <w:marLeft w:val="0"/>
      <w:marRight w:val="0"/>
      <w:marTop w:val="0"/>
      <w:marBottom w:val="0"/>
      <w:divBdr>
        <w:top w:val="none" w:sz="0" w:space="0" w:color="auto"/>
        <w:left w:val="none" w:sz="0" w:space="0" w:color="auto"/>
        <w:bottom w:val="none" w:sz="0" w:space="0" w:color="auto"/>
        <w:right w:val="none" w:sz="0" w:space="0" w:color="auto"/>
      </w:divBdr>
    </w:div>
    <w:div w:id="772747114">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10506422">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5099240">
      <w:bodyDiv w:val="1"/>
      <w:marLeft w:val="0"/>
      <w:marRight w:val="0"/>
      <w:marTop w:val="0"/>
      <w:marBottom w:val="0"/>
      <w:divBdr>
        <w:top w:val="none" w:sz="0" w:space="0" w:color="auto"/>
        <w:left w:val="none" w:sz="0" w:space="0" w:color="auto"/>
        <w:bottom w:val="none" w:sz="0" w:space="0" w:color="auto"/>
        <w:right w:val="none" w:sz="0" w:space="0" w:color="auto"/>
      </w:divBdr>
      <w:divsChild>
        <w:div w:id="578056932">
          <w:marLeft w:val="0"/>
          <w:marRight w:val="0"/>
          <w:marTop w:val="0"/>
          <w:marBottom w:val="0"/>
          <w:divBdr>
            <w:top w:val="none" w:sz="0" w:space="0" w:color="auto"/>
            <w:left w:val="none" w:sz="0" w:space="0" w:color="auto"/>
            <w:bottom w:val="none" w:sz="0" w:space="0" w:color="auto"/>
            <w:right w:val="none" w:sz="0" w:space="0" w:color="auto"/>
          </w:divBdr>
        </w:div>
      </w:divsChild>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1552199">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30338946">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54895451">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295713552">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85829457">
      <w:bodyDiv w:val="1"/>
      <w:marLeft w:val="0"/>
      <w:marRight w:val="0"/>
      <w:marTop w:val="0"/>
      <w:marBottom w:val="0"/>
      <w:divBdr>
        <w:top w:val="none" w:sz="0" w:space="0" w:color="auto"/>
        <w:left w:val="none" w:sz="0" w:space="0" w:color="auto"/>
        <w:bottom w:val="none" w:sz="0" w:space="0" w:color="auto"/>
        <w:right w:val="none" w:sz="0" w:space="0" w:color="auto"/>
      </w:divBdr>
      <w:divsChild>
        <w:div w:id="266087979">
          <w:marLeft w:val="0"/>
          <w:marRight w:val="0"/>
          <w:marTop w:val="0"/>
          <w:marBottom w:val="0"/>
          <w:divBdr>
            <w:top w:val="none" w:sz="0" w:space="0" w:color="auto"/>
            <w:left w:val="none" w:sz="0" w:space="0" w:color="auto"/>
            <w:bottom w:val="none" w:sz="0" w:space="0" w:color="auto"/>
            <w:right w:val="none" w:sz="0" w:space="0" w:color="auto"/>
          </w:divBdr>
        </w:div>
        <w:div w:id="1337998185">
          <w:marLeft w:val="0"/>
          <w:marRight w:val="0"/>
          <w:marTop w:val="0"/>
          <w:marBottom w:val="0"/>
          <w:divBdr>
            <w:top w:val="none" w:sz="0" w:space="0" w:color="auto"/>
            <w:left w:val="none" w:sz="0" w:space="0" w:color="auto"/>
            <w:bottom w:val="none" w:sz="0" w:space="0" w:color="auto"/>
            <w:right w:val="none" w:sz="0" w:space="0" w:color="auto"/>
          </w:divBdr>
        </w:div>
      </w:divsChild>
    </w:div>
    <w:div w:id="139430565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1874040">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2893226">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07943718">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44522480">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39730303">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42819220">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83976333">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2858958">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183393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c9_v xmlns="cb7eed14-1ed6-4f4f-9464-e9d73fc2f8e9">2021</_x00c9_v>
    <T_x00e9_ma xmlns="cb7eed14-1ed6-4f4f-9464-e9d73fc2f8e9">Monitoring</T_x00e9_ma>
    <L_x00e1_that_x00f3_s_x00e1_g xmlns="cb7eed14-1ed6-4f4f-9464-e9d73fc2f8e9">Publikus</L_x00e1_that_x00f3_s_x00e1_g>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c517b37d0a268d7b3b79160f4f5acec7">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f30cb5648670564f827e0db9dba0e9f8"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enumeration value="Iktatás"/>
        </xsd:restriction>
      </xsd:simpleType>
    </xsd:element>
    <xsd:element name="_x00c9_v" ma:index="3" ma:displayName="Év" ma:default="2018" ma:format="Dropdown" ma:internalName="_x00c9_v">
      <xsd:simpleType>
        <xsd:restriction base="dms:Choice">
          <xsd:enumeration value="2022"/>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80CA-BC7A-45F3-A224-17837488D9B2}">
  <ds:schemaRefs>
    <ds:schemaRef ds:uri="http://schemas.microsoft.com/office/2006/metadata/properties"/>
    <ds:schemaRef ds:uri="cb7eed14-1ed6-4f4f-9464-e9d73fc2f8e9"/>
    <ds:schemaRef ds:uri="9669010e-b829-4d86-87dd-cdce11b02043"/>
    <ds:schemaRef ds:uri="http://purl.org/dc/elements/1.1/"/>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4EB8B922-18FD-4500-B0B8-5A8485F78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4.xml><?xml version="1.0" encoding="utf-8"?>
<ds:datastoreItem xmlns:ds="http://schemas.openxmlformats.org/officeDocument/2006/customXml" ds:itemID="{E03A3065-DACF-4829-B05E-A635A0703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5141</Words>
  <Characters>35563</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2021. március havi helyzetéről</vt:lpstr>
    </vt:vector>
  </TitlesOfParts>
  <LinksUpToDate>false</LinksUpToDate>
  <CharactersWithSpaces>40623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2021. március havi helyzetéről</dc:title>
  <dc:creator/>
  <cp:lastModifiedBy/>
  <cp:revision>1</cp:revision>
  <dcterms:created xsi:type="dcterms:W3CDTF">2021-04-19T07:46:00Z</dcterms:created>
  <dcterms:modified xsi:type="dcterms:W3CDTF">2021-04-21T14:16:00Z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