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89E2" w14:textId="6B71AC8F" w:rsidR="00B155FE" w:rsidRPr="00377D59" w:rsidRDefault="7BF38582" w:rsidP="7BF38582">
      <w:pPr>
        <w:tabs>
          <w:tab w:val="center" w:pos="4536"/>
        </w:tabs>
        <w:bidi/>
        <w:spacing w:after="120" w:line="240" w:lineRule="auto"/>
        <w:ind w:left="-142" w:right="-1" w:firstLine="142"/>
        <w:rPr>
          <w:rFonts w:ascii="Times New Roman" w:eastAsia="Times New Roman" w:hAnsi="Times New Roman" w:cs="Times New Roman"/>
          <w:b/>
          <w:bCs/>
          <w:smallCaps/>
          <w:sz w:val="32"/>
          <w:szCs w:val="32"/>
          <w:lang w:eastAsia="hu-HU"/>
        </w:rPr>
      </w:pPr>
      <w:r w:rsidRPr="7BF38582">
        <w:rPr>
          <w:rFonts w:ascii="Times New Roman" w:eastAsia="Times New Roman" w:hAnsi="Times New Roman" w:cs="Times New Roman"/>
          <w:b/>
          <w:bCs/>
          <w:smallCaps/>
          <w:sz w:val="32"/>
          <w:szCs w:val="32"/>
          <w:lang w:eastAsia="hu-HU"/>
        </w:rPr>
        <w:t>Nemzetgazdasági Minisztérium</w:t>
      </w:r>
    </w:p>
    <w:p w14:paraId="7B7689E4"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36F33C9C" w14:textId="77777777" w:rsidR="001E689B" w:rsidRPr="00377D59" w:rsidRDefault="001E689B"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5"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6"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7"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8"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9"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26"/>
          <w:szCs w:val="26"/>
          <w:lang w:eastAsia="hu-HU"/>
        </w:rPr>
      </w:pPr>
    </w:p>
    <w:p w14:paraId="7B7689EB" w14:textId="74BA5630" w:rsidR="00B155FE" w:rsidRDefault="00B155FE" w:rsidP="000A4839">
      <w:pPr>
        <w:keepNext/>
        <w:widowControl w:val="0"/>
        <w:tabs>
          <w:tab w:val="left" w:pos="1995"/>
        </w:tabs>
        <w:spacing w:after="120" w:line="240" w:lineRule="auto"/>
        <w:jc w:val="center"/>
        <w:rPr>
          <w:rFonts w:ascii="Times New Roman" w:eastAsia="Times New Roman" w:hAnsi="Times New Roman" w:cs="Times New Roman"/>
          <w:caps/>
          <w:spacing w:val="60"/>
          <w:sz w:val="32"/>
          <w:szCs w:val="20"/>
          <w:lang w:eastAsia="hu-HU"/>
        </w:rPr>
      </w:pPr>
    </w:p>
    <w:p w14:paraId="4EE6826E" w14:textId="77777777" w:rsidR="000A4839" w:rsidRPr="00377D59" w:rsidRDefault="000A4839" w:rsidP="000A4839">
      <w:pPr>
        <w:keepNext/>
        <w:widowControl w:val="0"/>
        <w:tabs>
          <w:tab w:val="left" w:pos="1995"/>
        </w:tabs>
        <w:spacing w:after="120" w:line="240" w:lineRule="auto"/>
        <w:jc w:val="center"/>
        <w:rPr>
          <w:rFonts w:ascii="Times New Roman" w:eastAsia="Times New Roman" w:hAnsi="Times New Roman" w:cs="Times New Roman"/>
          <w:caps/>
          <w:spacing w:val="60"/>
          <w:sz w:val="32"/>
          <w:szCs w:val="20"/>
          <w:lang w:eastAsia="hu-HU"/>
        </w:rPr>
      </w:pPr>
    </w:p>
    <w:p w14:paraId="7B7689EC"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D"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E"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F" w14:textId="77777777" w:rsidR="00B155FE" w:rsidRPr="00377D59" w:rsidRDefault="00B155FE" w:rsidP="7BF38582">
      <w:pPr>
        <w:keepNext/>
        <w:widowControl w:val="0"/>
        <w:spacing w:after="120" w:line="240" w:lineRule="auto"/>
        <w:jc w:val="center"/>
        <w:rPr>
          <w:rFonts w:ascii="Times New Roman" w:eastAsia="Times New Roman" w:hAnsi="Times New Roman" w:cs="Times New Roman"/>
          <w:b/>
          <w:bCs/>
          <w:caps/>
          <w:sz w:val="32"/>
          <w:szCs w:val="32"/>
          <w:lang w:eastAsia="hu-HU"/>
        </w:rPr>
      </w:pPr>
      <w:r w:rsidRPr="00377D59">
        <w:rPr>
          <w:rFonts w:ascii="Times New Roman" w:eastAsia="Times New Roman" w:hAnsi="Times New Roman" w:cs="Times New Roman"/>
          <w:b/>
          <w:bCs/>
          <w:caps/>
          <w:spacing w:val="60"/>
          <w:sz w:val="32"/>
          <w:szCs w:val="32"/>
          <w:lang w:eastAsia="hu-HU"/>
        </w:rPr>
        <w:t>Tájékoztató</w:t>
      </w:r>
    </w:p>
    <w:p w14:paraId="5AE02B14" w14:textId="06685A16" w:rsidR="00B94CCA" w:rsidRPr="00377D59" w:rsidRDefault="7BF38582" w:rsidP="7BF38582">
      <w:pPr>
        <w:keepNext/>
        <w:tabs>
          <w:tab w:val="left" w:pos="2694"/>
        </w:tabs>
        <w:spacing w:after="120" w:line="240" w:lineRule="auto"/>
        <w:ind w:right="-1"/>
        <w:jc w:val="center"/>
        <w:outlineLvl w:val="1"/>
        <w:rPr>
          <w:rFonts w:ascii="Times New Roman" w:eastAsia="Times New Roman" w:hAnsi="Times New Roman" w:cs="Times New Roman"/>
          <w:b/>
          <w:bCs/>
          <w:i/>
          <w:iCs/>
          <w:sz w:val="26"/>
          <w:szCs w:val="26"/>
          <w:lang w:eastAsia="hu-HU"/>
        </w:rPr>
      </w:pPr>
      <w:r w:rsidRPr="7BF38582">
        <w:rPr>
          <w:rFonts w:ascii="Times New Roman" w:eastAsia="Times New Roman" w:hAnsi="Times New Roman" w:cs="Times New Roman"/>
          <w:b/>
          <w:bCs/>
          <w:i/>
          <w:iCs/>
          <w:sz w:val="26"/>
          <w:szCs w:val="26"/>
          <w:lang w:eastAsia="hu-HU"/>
        </w:rPr>
        <w:t>az államháztartás központi alrendszerének</w:t>
      </w:r>
      <w:r w:rsidR="13E847AC">
        <w:br/>
      </w:r>
      <w:r w:rsidRPr="7BF38582">
        <w:rPr>
          <w:rFonts w:ascii="Times New Roman" w:eastAsia="Times New Roman" w:hAnsi="Times New Roman" w:cs="Times New Roman"/>
          <w:b/>
          <w:bCs/>
          <w:i/>
          <w:iCs/>
          <w:sz w:val="26"/>
          <w:szCs w:val="26"/>
          <w:lang w:eastAsia="hu-HU"/>
        </w:rPr>
        <w:t>2025. július végi helyzetéről</w:t>
      </w:r>
    </w:p>
    <w:p w14:paraId="7B7689F2" w14:textId="2D4563EC" w:rsidR="00B155FE" w:rsidRPr="00377D59" w:rsidRDefault="00B155FE"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4A2F8C9F"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D327E5D"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35267E04"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20BD3D31"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6E13D32"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59F56A13"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7B7689F4"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6"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7"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8" w14:textId="7C3BEFF0" w:rsidR="00B155FE" w:rsidRPr="00377D59" w:rsidRDefault="00B155FE" w:rsidP="00EA1F58">
      <w:pPr>
        <w:tabs>
          <w:tab w:val="left" w:pos="5685"/>
        </w:tabs>
        <w:spacing w:after="120" w:line="240" w:lineRule="auto"/>
        <w:jc w:val="both"/>
        <w:rPr>
          <w:rFonts w:ascii="Times New Roman" w:eastAsia="Times New Roman" w:hAnsi="Times New Roman" w:cs="Times New Roman"/>
          <w:sz w:val="26"/>
          <w:szCs w:val="20"/>
          <w:lang w:eastAsia="hu-HU"/>
        </w:rPr>
      </w:pPr>
    </w:p>
    <w:p w14:paraId="7B7689F9"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A"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B"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1CF999E6" w14:textId="3DEBB5AB" w:rsidR="00E97147" w:rsidRPr="00377D59" w:rsidRDefault="00B155FE" w:rsidP="7BF38582">
      <w:pPr>
        <w:tabs>
          <w:tab w:val="left" w:pos="2694"/>
        </w:tabs>
        <w:spacing w:after="120" w:line="240" w:lineRule="auto"/>
        <w:jc w:val="center"/>
        <w:rPr>
          <w:rFonts w:ascii="Times New Roman" w:eastAsia="Times New Roman" w:hAnsi="Times New Roman" w:cs="Times New Roman"/>
          <w:b/>
          <w:bCs/>
          <w:lang w:eastAsia="hu-HU"/>
        </w:rPr>
        <w:sectPr w:rsidR="00E97147" w:rsidRPr="00377D59" w:rsidSect="007449BF">
          <w:headerReference w:type="default" r:id="rId11"/>
          <w:footerReference w:type="default" r:id="rId12"/>
          <w:footerReference w:type="first" r:id="rId13"/>
          <w:footnotePr>
            <w:numRestart w:val="eachPage"/>
          </w:footnotePr>
          <w:pgSz w:w="11907" w:h="16840" w:code="9"/>
          <w:pgMar w:top="1134" w:right="1134" w:bottom="1418" w:left="1418" w:header="709" w:footer="709" w:gutter="0"/>
          <w:pgNumType w:fmt="numberInDash" w:start="0"/>
          <w:cols w:space="708"/>
          <w:docGrid w:linePitch="354"/>
        </w:sectPr>
      </w:pPr>
      <w:r w:rsidRPr="00377D59">
        <w:rPr>
          <w:rFonts w:ascii="Times New Roman" w:eastAsia="Times New Roman" w:hAnsi="Times New Roman" w:cs="Times New Roman"/>
          <w:b/>
          <w:bCs/>
          <w:noProof/>
          <w:lang w:eastAsia="hu-HU"/>
        </w:rPr>
        <mc:AlternateContent>
          <mc:Choice Requires="wps">
            <w:drawing>
              <wp:anchor distT="0" distB="0" distL="114300" distR="114300" simplePos="0" relativeHeight="251658240" behindDoc="0" locked="0" layoutInCell="1" allowOverlap="1" wp14:anchorId="7B768C6C" wp14:editId="7B768C6D">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pic="http://schemas.openxmlformats.org/drawingml/2006/picture">
            <w:pict w14:anchorId="0D87395B">
              <v:rect id="Rectangle 2"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986F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w:pict>
          </mc:Fallback>
        </mc:AlternateContent>
      </w:r>
      <w:r w:rsidRPr="00377D59">
        <w:rPr>
          <w:rFonts w:ascii="Times New Roman" w:eastAsia="Times New Roman" w:hAnsi="Times New Roman" w:cs="Times New Roman"/>
          <w:b/>
          <w:bCs/>
          <w:lang w:eastAsia="hu-HU"/>
        </w:rPr>
        <w:t>202</w:t>
      </w:r>
      <w:r w:rsidR="002107FF">
        <w:rPr>
          <w:rFonts w:ascii="Times New Roman" w:eastAsia="Times New Roman" w:hAnsi="Times New Roman" w:cs="Times New Roman"/>
          <w:b/>
          <w:bCs/>
          <w:lang w:eastAsia="hu-HU"/>
        </w:rPr>
        <w:t>5</w:t>
      </w:r>
      <w:r w:rsidRPr="00377D59">
        <w:rPr>
          <w:rFonts w:ascii="Times New Roman" w:eastAsia="Times New Roman" w:hAnsi="Times New Roman" w:cs="Times New Roman"/>
          <w:b/>
          <w:bCs/>
          <w:lang w:eastAsia="hu-HU"/>
        </w:rPr>
        <w:t xml:space="preserve">. </w:t>
      </w:r>
      <w:r w:rsidR="00772B2E">
        <w:rPr>
          <w:rFonts w:ascii="Times New Roman" w:eastAsia="Times New Roman" w:hAnsi="Times New Roman" w:cs="Times New Roman"/>
          <w:b/>
          <w:bCs/>
          <w:lang w:eastAsia="hu-HU"/>
        </w:rPr>
        <w:t>augusztus</w:t>
      </w:r>
    </w:p>
    <w:p w14:paraId="7B7689FF" w14:textId="77777777" w:rsidR="00B155FE" w:rsidRPr="00377D59" w:rsidRDefault="7BF38582" w:rsidP="7BF38582">
      <w:pPr>
        <w:keepNext/>
        <w:spacing w:before="240" w:after="480" w:line="480" w:lineRule="auto"/>
        <w:ind w:left="425" w:hanging="425"/>
        <w:jc w:val="center"/>
        <w:outlineLvl w:val="3"/>
        <w:rPr>
          <w:rFonts w:ascii="Times New Roman" w:eastAsia="Times New Roman" w:hAnsi="Times New Roman" w:cs="Times New Roman"/>
          <w:b/>
          <w:bCs/>
          <w:caps/>
          <w:color w:val="000000" w:themeColor="text1"/>
          <w:sz w:val="26"/>
          <w:szCs w:val="26"/>
          <w:lang w:eastAsia="hu-HU"/>
        </w:rPr>
      </w:pPr>
      <w:r w:rsidRPr="7BF38582">
        <w:rPr>
          <w:rFonts w:ascii="Times New Roman" w:eastAsia="Times New Roman" w:hAnsi="Times New Roman" w:cs="Times New Roman"/>
          <w:b/>
          <w:bCs/>
          <w:caps/>
          <w:color w:val="000000" w:themeColor="text1"/>
          <w:sz w:val="26"/>
          <w:szCs w:val="26"/>
          <w:lang w:eastAsia="hu-HU"/>
        </w:rPr>
        <w:lastRenderedPageBreak/>
        <w:t>Összefoglalás</w:t>
      </w:r>
    </w:p>
    <w:p w14:paraId="3CDA9B93" w14:textId="59C8C29A" w:rsidR="002B5961" w:rsidRDefault="002B5961" w:rsidP="002B5961">
      <w:pPr>
        <w:widowControl w:val="0"/>
        <w:jc w:val="both"/>
        <w:rPr>
          <w:rFonts w:ascii="Times New Roman" w:eastAsia="Times New Roman" w:hAnsi="Times New Roman" w:cs="Times New Roman"/>
          <w:b/>
          <w:bCs/>
          <w:color w:val="000000" w:themeColor="text1"/>
          <w:sz w:val="26"/>
          <w:szCs w:val="26"/>
          <w:lang w:eastAsia="hu-HU"/>
        </w:rPr>
      </w:pPr>
      <w:r w:rsidRPr="002B5961">
        <w:rPr>
          <w:rFonts w:ascii="Times New Roman" w:eastAsia="Times New Roman" w:hAnsi="Times New Roman" w:cs="Times New Roman"/>
          <w:b/>
          <w:bCs/>
          <w:color w:val="000000" w:themeColor="text1"/>
          <w:sz w:val="26"/>
          <w:szCs w:val="26"/>
          <w:lang w:eastAsia="hu-HU"/>
        </w:rPr>
        <w:t>Magyarország pénzügyei rendezettek, a költségvetés továbbra is stabil lábakon áll. A</w:t>
      </w:r>
      <w:r w:rsidR="003C20B2">
        <w:rPr>
          <w:rFonts w:ascii="Times New Roman" w:eastAsia="Times New Roman" w:hAnsi="Times New Roman" w:cs="Times New Roman"/>
          <w:b/>
          <w:bCs/>
          <w:color w:val="000000" w:themeColor="text1"/>
          <w:sz w:val="26"/>
          <w:szCs w:val="26"/>
          <w:lang w:eastAsia="hu-HU"/>
        </w:rPr>
        <w:t> </w:t>
      </w:r>
      <w:r w:rsidRPr="002B5961">
        <w:rPr>
          <w:rFonts w:ascii="Times New Roman" w:eastAsia="Times New Roman" w:hAnsi="Times New Roman" w:cs="Times New Roman"/>
          <w:b/>
          <w:bCs/>
          <w:color w:val="000000" w:themeColor="text1"/>
          <w:sz w:val="26"/>
          <w:szCs w:val="26"/>
          <w:lang w:eastAsia="hu-HU"/>
        </w:rPr>
        <w:t>kormány Európa legnagyobb adócsökkentési programját hajtja végre, miközben változatlanul elkötelezett a fiskális fegyelem fenntartása, az államadósság és a költségvetési hiány csökkentése mellett. 2025 első hét hónapjában a fogyasztáshoz kapcsolódó adók 9 százalékkal bővültek az előző év azonos időszakához képest.</w:t>
      </w:r>
      <w:r w:rsidR="00512E06">
        <w:rPr>
          <w:rFonts w:ascii="Times New Roman" w:eastAsia="Times New Roman" w:hAnsi="Times New Roman" w:cs="Times New Roman"/>
          <w:b/>
          <w:bCs/>
          <w:color w:val="000000" w:themeColor="text1"/>
          <w:sz w:val="26"/>
          <w:szCs w:val="26"/>
          <w:lang w:eastAsia="hu-HU"/>
        </w:rPr>
        <w:t xml:space="preserve"> </w:t>
      </w:r>
      <w:r w:rsidR="00512E06" w:rsidRPr="00512E06">
        <w:rPr>
          <w:rFonts w:ascii="Times New Roman" w:eastAsia="Times New Roman" w:hAnsi="Times New Roman" w:cs="Times New Roman"/>
          <w:b/>
          <w:bCs/>
          <w:color w:val="000000" w:themeColor="text1"/>
          <w:sz w:val="26"/>
          <w:szCs w:val="26"/>
          <w:lang w:eastAsia="hu-HU"/>
        </w:rPr>
        <w:t>Az</w:t>
      </w:r>
      <w:r w:rsidR="003C20B2">
        <w:rPr>
          <w:rFonts w:ascii="Times New Roman" w:eastAsia="Times New Roman" w:hAnsi="Times New Roman" w:cs="Times New Roman"/>
          <w:b/>
          <w:bCs/>
          <w:color w:val="000000" w:themeColor="text1"/>
          <w:sz w:val="26"/>
          <w:szCs w:val="26"/>
          <w:lang w:eastAsia="hu-HU"/>
        </w:rPr>
        <w:t> </w:t>
      </w:r>
      <w:r w:rsidR="00512E06" w:rsidRPr="00512E06">
        <w:rPr>
          <w:rFonts w:ascii="Times New Roman" w:eastAsia="Times New Roman" w:hAnsi="Times New Roman" w:cs="Times New Roman"/>
          <w:b/>
          <w:bCs/>
          <w:color w:val="000000" w:themeColor="text1"/>
          <w:sz w:val="26"/>
          <w:szCs w:val="26"/>
          <w:lang w:eastAsia="hu-HU"/>
        </w:rPr>
        <w:t>idei évi 4,1%-os várható ESA-hiányhoz tartozó várható éves pénzforgalmi hiány 4774,0</w:t>
      </w:r>
      <w:r w:rsidR="00512E06">
        <w:rPr>
          <w:rFonts w:ascii="Times New Roman" w:eastAsia="Times New Roman" w:hAnsi="Times New Roman" w:cs="Times New Roman"/>
          <w:b/>
          <w:bCs/>
          <w:color w:val="000000" w:themeColor="text1"/>
          <w:sz w:val="26"/>
          <w:szCs w:val="26"/>
          <w:lang w:eastAsia="hu-HU"/>
        </w:rPr>
        <w:t> </w:t>
      </w:r>
      <w:r w:rsidR="00512E06" w:rsidRPr="00512E06">
        <w:rPr>
          <w:rFonts w:ascii="Times New Roman" w:eastAsia="Times New Roman" w:hAnsi="Times New Roman" w:cs="Times New Roman"/>
          <w:b/>
          <w:bCs/>
          <w:color w:val="000000" w:themeColor="text1"/>
          <w:sz w:val="26"/>
          <w:szCs w:val="26"/>
          <w:lang w:eastAsia="hu-HU"/>
        </w:rPr>
        <w:t>milliárd forint, a központi alrendszer jú</w:t>
      </w:r>
      <w:r w:rsidR="00512E06">
        <w:rPr>
          <w:rFonts w:ascii="Times New Roman" w:eastAsia="Times New Roman" w:hAnsi="Times New Roman" w:cs="Times New Roman"/>
          <w:b/>
          <w:bCs/>
          <w:color w:val="000000" w:themeColor="text1"/>
          <w:sz w:val="26"/>
          <w:szCs w:val="26"/>
          <w:lang w:eastAsia="hu-HU"/>
        </w:rPr>
        <w:t>l</w:t>
      </w:r>
      <w:r w:rsidR="00512E06" w:rsidRPr="00512E06">
        <w:rPr>
          <w:rFonts w:ascii="Times New Roman" w:eastAsia="Times New Roman" w:hAnsi="Times New Roman" w:cs="Times New Roman"/>
          <w:b/>
          <w:bCs/>
          <w:color w:val="000000" w:themeColor="text1"/>
          <w:sz w:val="26"/>
          <w:szCs w:val="26"/>
          <w:lang w:eastAsia="hu-HU"/>
        </w:rPr>
        <w:t>ius végi hiánya (27</w:t>
      </w:r>
      <w:r w:rsidR="00512E06">
        <w:rPr>
          <w:rFonts w:ascii="Times New Roman" w:eastAsia="Times New Roman" w:hAnsi="Times New Roman" w:cs="Times New Roman"/>
          <w:b/>
          <w:bCs/>
          <w:color w:val="000000" w:themeColor="text1"/>
          <w:sz w:val="26"/>
          <w:szCs w:val="26"/>
          <w:lang w:eastAsia="hu-HU"/>
        </w:rPr>
        <w:t>86,4 </w:t>
      </w:r>
      <w:r w:rsidR="00512E06" w:rsidRPr="00512E06">
        <w:rPr>
          <w:rFonts w:ascii="Times New Roman" w:eastAsia="Times New Roman" w:hAnsi="Times New Roman" w:cs="Times New Roman"/>
          <w:b/>
          <w:bCs/>
          <w:color w:val="000000" w:themeColor="text1"/>
          <w:sz w:val="26"/>
          <w:szCs w:val="26"/>
          <w:lang w:eastAsia="hu-HU"/>
        </w:rPr>
        <w:t>milliárd forint) így ennek 58,</w:t>
      </w:r>
      <w:r w:rsidR="00512E06">
        <w:rPr>
          <w:rFonts w:ascii="Times New Roman" w:eastAsia="Times New Roman" w:hAnsi="Times New Roman" w:cs="Times New Roman"/>
          <w:b/>
          <w:bCs/>
          <w:color w:val="000000" w:themeColor="text1"/>
          <w:sz w:val="26"/>
          <w:szCs w:val="26"/>
          <w:lang w:eastAsia="hu-HU"/>
        </w:rPr>
        <w:t>4</w:t>
      </w:r>
      <w:r w:rsidR="00512E06" w:rsidRPr="00512E06">
        <w:rPr>
          <w:rFonts w:ascii="Times New Roman" w:eastAsia="Times New Roman" w:hAnsi="Times New Roman" w:cs="Times New Roman"/>
          <w:b/>
          <w:bCs/>
          <w:color w:val="000000" w:themeColor="text1"/>
          <w:sz w:val="26"/>
          <w:szCs w:val="26"/>
          <w:lang w:eastAsia="hu-HU"/>
        </w:rPr>
        <w:t>%-a.</w:t>
      </w:r>
    </w:p>
    <w:p w14:paraId="5746F3D2" w14:textId="4242E48B" w:rsidR="002B5961" w:rsidRPr="002B5961" w:rsidRDefault="002B5961" w:rsidP="002B5961">
      <w:pPr>
        <w:widowControl w:val="0"/>
        <w:jc w:val="both"/>
        <w:rPr>
          <w:rFonts w:ascii="Times New Roman" w:eastAsia="Times New Roman" w:hAnsi="Times New Roman" w:cs="Times New Roman"/>
          <w:color w:val="000000" w:themeColor="text1"/>
          <w:sz w:val="26"/>
          <w:szCs w:val="26"/>
          <w:lang w:eastAsia="hu-HU"/>
        </w:rPr>
      </w:pPr>
      <w:r w:rsidRPr="002B5961">
        <w:rPr>
          <w:rFonts w:ascii="Times New Roman" w:eastAsia="Times New Roman" w:hAnsi="Times New Roman" w:cs="Times New Roman"/>
          <w:color w:val="000000" w:themeColor="text1"/>
          <w:sz w:val="26"/>
          <w:szCs w:val="26"/>
          <w:lang w:eastAsia="hu-HU"/>
        </w:rPr>
        <w:t>2025 júliusában (egy hónap alatt) a központi alrendszer 12,8</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 hiánnyal zárt, szemben az előző évi azonos havi 213,0</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forintos többlettel. Július végéig az államháztartás központi alrendszere 2786,4</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forintos hiányt halmozott fel. Ez</w:t>
      </w:r>
      <w:r w:rsidR="003C20B2">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megegyezik az idei évre várható pénzforgalmi hiány (4774</w:t>
      </w:r>
      <w:r w:rsidR="0067747F">
        <w:rPr>
          <w:rFonts w:ascii="Times New Roman" w:eastAsia="Times New Roman" w:hAnsi="Times New Roman" w:cs="Times New Roman"/>
          <w:color w:val="000000" w:themeColor="text1"/>
          <w:sz w:val="26"/>
          <w:szCs w:val="26"/>
          <w:lang w:eastAsia="hu-HU"/>
        </w:rPr>
        <w:t>,0 </w:t>
      </w:r>
      <w:r w:rsidRPr="002B5961">
        <w:rPr>
          <w:rFonts w:ascii="Times New Roman" w:eastAsia="Times New Roman" w:hAnsi="Times New Roman" w:cs="Times New Roman"/>
          <w:color w:val="000000" w:themeColor="text1"/>
          <w:sz w:val="26"/>
          <w:szCs w:val="26"/>
          <w:lang w:eastAsia="hu-HU"/>
        </w:rPr>
        <w:t>milliárd forint) időarányos részével, 58,4%-kal, ami a módosított hiánycél tarthatóságát jelzi.</w:t>
      </w:r>
    </w:p>
    <w:p w14:paraId="43033DB4" w14:textId="4F563D70" w:rsidR="002B5961" w:rsidRPr="002B5961" w:rsidRDefault="002B5961" w:rsidP="002B5961">
      <w:pPr>
        <w:widowControl w:val="0"/>
        <w:jc w:val="both"/>
        <w:rPr>
          <w:rFonts w:ascii="Times New Roman" w:eastAsia="Times New Roman" w:hAnsi="Times New Roman" w:cs="Times New Roman"/>
          <w:color w:val="000000" w:themeColor="text1"/>
          <w:sz w:val="26"/>
          <w:szCs w:val="26"/>
          <w:lang w:eastAsia="hu-HU"/>
        </w:rPr>
      </w:pPr>
      <w:r w:rsidRPr="002B5961">
        <w:rPr>
          <w:rFonts w:ascii="Times New Roman" w:eastAsia="Times New Roman" w:hAnsi="Times New Roman" w:cs="Times New Roman"/>
          <w:color w:val="000000" w:themeColor="text1"/>
          <w:sz w:val="26"/>
          <w:szCs w:val="26"/>
          <w:lang w:eastAsia="hu-HU"/>
        </w:rPr>
        <w:t>Az első hét havi hiányon belül a központi költségvetés 2779,9</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forintos hiányt, az elkülönített állami pénzalapok 89,1</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forintos többletet, a társadalombiztosítás pénzügyi alapjai pedig 95,6</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forintos hiányt mutattak.</w:t>
      </w:r>
    </w:p>
    <w:p w14:paraId="6778C956" w14:textId="53D52A08" w:rsidR="002B5961" w:rsidRPr="002B5961" w:rsidRDefault="002B5961" w:rsidP="002B5961">
      <w:pPr>
        <w:widowControl w:val="0"/>
        <w:jc w:val="both"/>
        <w:rPr>
          <w:rFonts w:ascii="Times New Roman" w:eastAsia="Times New Roman" w:hAnsi="Times New Roman" w:cs="Times New Roman"/>
          <w:color w:val="000000" w:themeColor="text1"/>
          <w:sz w:val="26"/>
          <w:szCs w:val="26"/>
          <w:lang w:eastAsia="hu-HU"/>
        </w:rPr>
      </w:pPr>
      <w:r w:rsidRPr="002B5961">
        <w:rPr>
          <w:rFonts w:ascii="Times New Roman" w:eastAsia="Times New Roman" w:hAnsi="Times New Roman" w:cs="Times New Roman"/>
          <w:color w:val="000000" w:themeColor="text1"/>
          <w:sz w:val="26"/>
          <w:szCs w:val="26"/>
          <w:lang w:eastAsia="hu-HU"/>
        </w:rPr>
        <w:t>A központi alrendszer adó- és járulékbevételei az előző év azonos időszakához viszonyítva 8,6</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százalékkal magasabban alakultak. Ezen belül a fogyasztáshoz kapcsolódó adók esetében mintegy 9 százalékos növekedés történt.</w:t>
      </w:r>
    </w:p>
    <w:p w14:paraId="27EEA314" w14:textId="4F0396EE" w:rsidR="002B5961" w:rsidRPr="002B5961" w:rsidRDefault="002B5961" w:rsidP="002B5961">
      <w:pPr>
        <w:widowControl w:val="0"/>
        <w:jc w:val="both"/>
        <w:rPr>
          <w:rFonts w:ascii="Times New Roman" w:eastAsia="Times New Roman" w:hAnsi="Times New Roman" w:cs="Times New Roman"/>
          <w:color w:val="000000" w:themeColor="text1"/>
          <w:sz w:val="26"/>
          <w:szCs w:val="26"/>
          <w:lang w:eastAsia="hu-HU"/>
        </w:rPr>
      </w:pPr>
      <w:r w:rsidRPr="002B5961">
        <w:rPr>
          <w:rFonts w:ascii="Times New Roman" w:eastAsia="Times New Roman" w:hAnsi="Times New Roman" w:cs="Times New Roman"/>
          <w:color w:val="000000" w:themeColor="text1"/>
          <w:sz w:val="26"/>
          <w:szCs w:val="26"/>
          <w:lang w:eastAsia="hu-HU"/>
        </w:rPr>
        <w:t>Július végéig a költségvetés 2726,3</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 kamatkifizetést teljesített, ami 509,3</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forinttal magasabb az előző évi azonos időszaki teljesítésnél. Ezt egyes lejáratok eltérő kamatfizetési időpontja, valamint az államadósság eltérő szerkezete okozza.</w:t>
      </w:r>
    </w:p>
    <w:p w14:paraId="6AFAE450" w14:textId="2915EAC5" w:rsidR="002B5961" w:rsidRPr="002B5961" w:rsidRDefault="002B5961" w:rsidP="002B5961">
      <w:pPr>
        <w:widowControl w:val="0"/>
        <w:jc w:val="both"/>
        <w:rPr>
          <w:rFonts w:ascii="Times New Roman" w:eastAsia="Times New Roman" w:hAnsi="Times New Roman" w:cs="Times New Roman"/>
          <w:color w:val="000000" w:themeColor="text1"/>
          <w:sz w:val="26"/>
          <w:szCs w:val="26"/>
          <w:lang w:eastAsia="hu-HU"/>
        </w:rPr>
      </w:pPr>
      <w:r w:rsidRPr="002B5961">
        <w:rPr>
          <w:rFonts w:ascii="Times New Roman" w:eastAsia="Times New Roman" w:hAnsi="Times New Roman" w:cs="Times New Roman"/>
          <w:color w:val="000000" w:themeColor="text1"/>
          <w:sz w:val="26"/>
          <w:szCs w:val="26"/>
          <w:lang w:eastAsia="hu-HU"/>
        </w:rPr>
        <w:t>Az állami közlekedési és közüzemi szolgáltatásokra fordított, összesen 1561,6</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 kifizetés 234,6</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forinttal magasabb az előző év azonos időszakánál. Ezt az úthálózat rendelkezésre állási díjak esetében egyes felújítási és nagykarbantartási munkák, míg a Víziközmű-fejlesztési és Ellentételezési Alap kiadásai kapcsán a víziközmű-szolgáltatók részére történt többletkifizetések okozták.</w:t>
      </w:r>
    </w:p>
    <w:p w14:paraId="686D9FB2" w14:textId="2ECD5125" w:rsidR="00EC00A2" w:rsidRDefault="002B5961" w:rsidP="002B5961">
      <w:pPr>
        <w:widowControl w:val="0"/>
        <w:jc w:val="both"/>
        <w:rPr>
          <w:rFonts w:ascii="Times New Roman" w:hAnsi="Times New Roman" w:cs="Times New Roman"/>
          <w:sz w:val="26"/>
          <w:szCs w:val="26"/>
        </w:rPr>
      </w:pPr>
      <w:r w:rsidRPr="002B5961">
        <w:rPr>
          <w:rFonts w:ascii="Times New Roman" w:eastAsia="Times New Roman" w:hAnsi="Times New Roman" w:cs="Times New Roman"/>
          <w:color w:val="000000" w:themeColor="text1"/>
          <w:sz w:val="26"/>
          <w:szCs w:val="26"/>
          <w:lang w:eastAsia="hu-HU"/>
        </w:rPr>
        <w:t>Meghaladták a tavalyi összeget a nyugellátásokra és gyógyító-megelőző ellátásokra fordított kiadások is. Július végéig – a 13. havi nyugdíjjal és ellátással együtt – nyugellátásokra és nyugdíjszerű ellátásokra összesen 4400,8</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 míg gyógyító-megelőző ellátásokra 1732,0</w:t>
      </w:r>
      <w:r>
        <w:rPr>
          <w:rFonts w:ascii="Times New Roman" w:eastAsia="Times New Roman" w:hAnsi="Times New Roman" w:cs="Times New Roman"/>
          <w:color w:val="000000" w:themeColor="text1"/>
          <w:sz w:val="26"/>
          <w:szCs w:val="26"/>
          <w:lang w:eastAsia="hu-HU"/>
        </w:rPr>
        <w:t> </w:t>
      </w:r>
      <w:r w:rsidRPr="002B5961">
        <w:rPr>
          <w:rFonts w:ascii="Times New Roman" w:eastAsia="Times New Roman" w:hAnsi="Times New Roman" w:cs="Times New Roman"/>
          <w:color w:val="000000" w:themeColor="text1"/>
          <w:sz w:val="26"/>
          <w:szCs w:val="26"/>
          <w:lang w:eastAsia="hu-HU"/>
        </w:rPr>
        <w:t>milliárd forint kifizetése történt meg.</w:t>
      </w:r>
    </w:p>
    <w:p w14:paraId="7B768A0B" w14:textId="15C0861F" w:rsidR="005171E0" w:rsidRDefault="00920F4D" w:rsidP="7BF38582">
      <w:pPr>
        <w:widowControl w:val="0"/>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br w:type="column"/>
      </w:r>
      <w:r w:rsidR="639E9B9B" w:rsidRPr="639E9B9B">
        <w:rPr>
          <w:rFonts w:ascii="Times New Roman" w:eastAsia="Times New Roman" w:hAnsi="Times New Roman" w:cs="Times New Roman"/>
          <w:sz w:val="26"/>
          <w:szCs w:val="26"/>
          <w:lang w:eastAsia="hu-HU"/>
        </w:rPr>
        <w:lastRenderedPageBreak/>
        <w:t>Az államháztartás központi alrendszerének 202</w:t>
      </w:r>
      <w:r w:rsidR="005171E0">
        <w:rPr>
          <w:rFonts w:ascii="Times New Roman" w:eastAsia="Times New Roman" w:hAnsi="Times New Roman" w:cs="Times New Roman"/>
          <w:sz w:val="26"/>
          <w:szCs w:val="26"/>
          <w:lang w:eastAsia="hu-HU"/>
        </w:rPr>
        <w:t>5</w:t>
      </w:r>
      <w:r w:rsidR="639E9B9B" w:rsidRPr="639E9B9B">
        <w:rPr>
          <w:rFonts w:ascii="Times New Roman" w:eastAsia="Times New Roman" w:hAnsi="Times New Roman" w:cs="Times New Roman"/>
          <w:sz w:val="26"/>
          <w:szCs w:val="26"/>
          <w:lang w:eastAsia="hu-HU"/>
        </w:rPr>
        <w:t xml:space="preserve">. </w:t>
      </w:r>
      <w:r w:rsidR="00873644">
        <w:rPr>
          <w:rFonts w:ascii="Times New Roman" w:eastAsia="Times New Roman" w:hAnsi="Times New Roman" w:cs="Times New Roman"/>
          <w:sz w:val="26"/>
          <w:szCs w:val="26"/>
          <w:lang w:eastAsia="hu-HU"/>
        </w:rPr>
        <w:t>jú</w:t>
      </w:r>
      <w:r w:rsidR="00F41577">
        <w:rPr>
          <w:rFonts w:ascii="Times New Roman" w:eastAsia="Times New Roman" w:hAnsi="Times New Roman" w:cs="Times New Roman"/>
          <w:sz w:val="26"/>
          <w:szCs w:val="26"/>
          <w:lang w:eastAsia="hu-HU"/>
        </w:rPr>
        <w:t>l</w:t>
      </w:r>
      <w:r w:rsidR="00873644">
        <w:rPr>
          <w:rFonts w:ascii="Times New Roman" w:eastAsia="Times New Roman" w:hAnsi="Times New Roman" w:cs="Times New Roman"/>
          <w:sz w:val="26"/>
          <w:szCs w:val="26"/>
          <w:lang w:eastAsia="hu-HU"/>
        </w:rPr>
        <w:t>ius</w:t>
      </w:r>
      <w:r w:rsidR="639E9B9B" w:rsidRPr="639E9B9B">
        <w:rPr>
          <w:rFonts w:ascii="Times New Roman" w:eastAsia="Times New Roman" w:hAnsi="Times New Roman" w:cs="Times New Roman"/>
          <w:sz w:val="26"/>
          <w:szCs w:val="26"/>
          <w:lang w:eastAsia="hu-HU"/>
        </w:rPr>
        <w:t xml:space="preserve"> végi főbb pé</w:t>
      </w:r>
      <w:r w:rsidR="006D5492">
        <w:rPr>
          <w:rFonts w:ascii="Times New Roman" w:eastAsia="Times New Roman" w:hAnsi="Times New Roman" w:cs="Times New Roman"/>
          <w:sz w:val="26"/>
          <w:szCs w:val="26"/>
          <w:lang w:eastAsia="hu-HU"/>
        </w:rPr>
        <w:t>nzforgalmi adatai a következők:</w:t>
      </w:r>
    </w:p>
    <w:tbl>
      <w:tblPr>
        <w:tblW w:w="10064" w:type="dxa"/>
        <w:jc w:val="center"/>
        <w:tblLayout w:type="fixed"/>
        <w:tblCellMar>
          <w:left w:w="70" w:type="dxa"/>
          <w:right w:w="70" w:type="dxa"/>
        </w:tblCellMar>
        <w:tblLook w:val="04A0" w:firstRow="1" w:lastRow="0" w:firstColumn="1" w:lastColumn="0" w:noHBand="0" w:noVBand="1"/>
      </w:tblPr>
      <w:tblGrid>
        <w:gridCol w:w="2047"/>
        <w:gridCol w:w="1067"/>
        <w:gridCol w:w="1276"/>
        <w:gridCol w:w="1075"/>
        <w:gridCol w:w="1103"/>
        <w:gridCol w:w="1224"/>
        <w:gridCol w:w="1159"/>
        <w:gridCol w:w="1113"/>
      </w:tblGrid>
      <w:tr w:rsidR="00935118" w:rsidRPr="003D514A" w14:paraId="7C2CBF88" w14:textId="77777777" w:rsidTr="00F41577">
        <w:trPr>
          <w:trHeight w:val="1440"/>
          <w:jc w:val="center"/>
        </w:trPr>
        <w:tc>
          <w:tcPr>
            <w:tcW w:w="204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6847C39" w14:textId="77777777" w:rsidR="00935118" w:rsidRPr="00602E3C" w:rsidRDefault="75809766" w:rsidP="75809766">
            <w:pPr>
              <w:keepNext/>
              <w:keepLines/>
              <w:rPr>
                <w:rFonts w:ascii="Times New Roman" w:hAnsi="Times New Roman" w:cs="Times New Roman"/>
                <w:sz w:val="20"/>
                <w:szCs w:val="20"/>
              </w:rPr>
            </w:pPr>
            <w:r w:rsidRPr="75809766">
              <w:rPr>
                <w:rFonts w:ascii="Times New Roman" w:hAnsi="Times New Roman" w:cs="Times New Roman"/>
                <w:sz w:val="20"/>
                <w:szCs w:val="20"/>
              </w:rPr>
              <w:t> </w:t>
            </w:r>
          </w:p>
        </w:tc>
        <w:tc>
          <w:tcPr>
            <w:tcW w:w="1067"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6A30138" w14:textId="77777777" w:rsidR="00B6763B"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b/>
                <w:bCs/>
                <w:sz w:val="20"/>
                <w:szCs w:val="20"/>
              </w:rPr>
              <w:t>2024. évi előzetes</w:t>
            </w:r>
            <w:r w:rsidR="13E847AC">
              <w:br/>
            </w:r>
            <w:r w:rsidRPr="7BF38582">
              <w:rPr>
                <w:rFonts w:ascii="Times New Roman" w:hAnsi="Times New Roman" w:cs="Times New Roman"/>
                <w:b/>
                <w:bCs/>
                <w:sz w:val="20"/>
                <w:szCs w:val="20"/>
              </w:rPr>
              <w:t>tény</w:t>
            </w:r>
            <w:r w:rsidR="13E847AC">
              <w:br/>
            </w:r>
            <w:r w:rsidRPr="7BF38582">
              <w:rPr>
                <w:rFonts w:ascii="Times New Roman" w:hAnsi="Times New Roman" w:cs="Times New Roman"/>
                <w:sz w:val="20"/>
                <w:szCs w:val="20"/>
              </w:rPr>
              <w:t>milliárd forintban</w:t>
            </w:r>
          </w:p>
          <w:p w14:paraId="36F5C342" w14:textId="76728DC5" w:rsidR="00935118"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sz w:val="20"/>
                <w:szCs w:val="20"/>
              </w:rPr>
              <w:t>(1)</w:t>
            </w:r>
          </w:p>
        </w:tc>
        <w:tc>
          <w:tcPr>
            <w:tcW w:w="127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FDF4E03" w14:textId="312F19B3" w:rsidR="00935118"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b/>
                <w:bCs/>
                <w:sz w:val="20"/>
                <w:szCs w:val="20"/>
              </w:rPr>
              <w:t>2024. I-V</w:t>
            </w:r>
            <w:r w:rsidR="00F41577">
              <w:rPr>
                <w:rFonts w:ascii="Times New Roman" w:hAnsi="Times New Roman" w:cs="Times New Roman"/>
                <w:b/>
                <w:bCs/>
                <w:sz w:val="20"/>
                <w:szCs w:val="20"/>
              </w:rPr>
              <w:t>I</w:t>
            </w:r>
            <w:r w:rsidRPr="7BF38582">
              <w:rPr>
                <w:rFonts w:ascii="Times New Roman" w:hAnsi="Times New Roman" w:cs="Times New Roman"/>
                <w:b/>
                <w:bCs/>
                <w:sz w:val="20"/>
                <w:szCs w:val="20"/>
              </w:rPr>
              <w:t>I. hó tény</w:t>
            </w:r>
            <w:r w:rsidR="13E847AC">
              <w:br/>
            </w:r>
            <w:r w:rsidRPr="7BF38582">
              <w:rPr>
                <w:rFonts w:ascii="Times New Roman" w:hAnsi="Times New Roman" w:cs="Times New Roman"/>
                <w:sz w:val="20"/>
                <w:szCs w:val="20"/>
              </w:rPr>
              <w:t>milliárd forintban</w:t>
            </w:r>
          </w:p>
          <w:p w14:paraId="547D8DD1" w14:textId="77777777" w:rsidR="00B6763B" w:rsidRPr="00602E3C" w:rsidRDefault="00B6763B" w:rsidP="00B6763B">
            <w:pPr>
              <w:keepNext/>
              <w:keepLines/>
              <w:spacing w:after="0"/>
              <w:jc w:val="center"/>
              <w:rPr>
                <w:rFonts w:ascii="Times New Roman" w:hAnsi="Times New Roman" w:cs="Times New Roman"/>
                <w:sz w:val="20"/>
                <w:szCs w:val="20"/>
              </w:rPr>
            </w:pPr>
          </w:p>
          <w:p w14:paraId="080A44C1" w14:textId="4CBA2534" w:rsidR="00935118"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sz w:val="20"/>
                <w:szCs w:val="20"/>
              </w:rPr>
              <w:t>(2)</w:t>
            </w:r>
          </w:p>
        </w:tc>
        <w:tc>
          <w:tcPr>
            <w:tcW w:w="107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9E2A84F" w14:textId="77777777" w:rsidR="00935118"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sz w:val="20"/>
                <w:szCs w:val="20"/>
              </w:rPr>
              <w:t>éves előzetes tény=100%</w:t>
            </w:r>
            <w:r w:rsidR="13E847AC">
              <w:br/>
            </w:r>
            <w:r w:rsidRPr="7BF38582">
              <w:rPr>
                <w:rFonts w:ascii="Times New Roman" w:hAnsi="Times New Roman" w:cs="Times New Roman"/>
                <w:sz w:val="20"/>
                <w:szCs w:val="20"/>
              </w:rPr>
              <w:t>Index (%)</w:t>
            </w:r>
          </w:p>
          <w:p w14:paraId="03379603" w14:textId="77777777" w:rsidR="00CD1AD4" w:rsidRPr="00602E3C" w:rsidRDefault="00CD1AD4" w:rsidP="00B6763B">
            <w:pPr>
              <w:keepNext/>
              <w:keepLines/>
              <w:spacing w:after="0"/>
              <w:jc w:val="center"/>
              <w:rPr>
                <w:rFonts w:ascii="Times New Roman" w:hAnsi="Times New Roman" w:cs="Times New Roman"/>
                <w:sz w:val="20"/>
                <w:szCs w:val="20"/>
              </w:rPr>
            </w:pPr>
          </w:p>
          <w:p w14:paraId="7EA042FF" w14:textId="50D239CD" w:rsidR="00935118"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sz w:val="20"/>
                <w:szCs w:val="20"/>
              </w:rPr>
              <w:t>(2/1)</w:t>
            </w:r>
          </w:p>
        </w:tc>
        <w:tc>
          <w:tcPr>
            <w:tcW w:w="110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E5557" w14:textId="77777777" w:rsidR="00935118"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b/>
                <w:bCs/>
                <w:sz w:val="20"/>
                <w:szCs w:val="20"/>
              </w:rPr>
              <w:t>2025. évi előirányzat</w:t>
            </w:r>
            <w:r w:rsidR="13E847AC">
              <w:br/>
            </w:r>
            <w:r w:rsidRPr="7BF38582">
              <w:rPr>
                <w:rFonts w:ascii="Times New Roman" w:hAnsi="Times New Roman" w:cs="Times New Roman"/>
                <w:sz w:val="20"/>
                <w:szCs w:val="20"/>
              </w:rPr>
              <w:t>milliárd forintban</w:t>
            </w:r>
          </w:p>
          <w:p w14:paraId="6FB67AB7" w14:textId="77777777" w:rsidR="00B6763B" w:rsidRPr="00602E3C" w:rsidRDefault="00B6763B" w:rsidP="00B6763B">
            <w:pPr>
              <w:keepNext/>
              <w:keepLines/>
              <w:spacing w:after="0"/>
              <w:jc w:val="center"/>
              <w:rPr>
                <w:rFonts w:ascii="Times New Roman" w:hAnsi="Times New Roman" w:cs="Times New Roman"/>
                <w:sz w:val="20"/>
                <w:szCs w:val="20"/>
              </w:rPr>
            </w:pPr>
          </w:p>
          <w:p w14:paraId="2C87F662" w14:textId="5B799A38" w:rsidR="00935118"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sz w:val="20"/>
                <w:szCs w:val="20"/>
              </w:rPr>
              <w:t>(3)</w:t>
            </w:r>
          </w:p>
        </w:tc>
        <w:tc>
          <w:tcPr>
            <w:tcW w:w="122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D4190CD" w14:textId="3F50C9B1" w:rsidR="00B6763B"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b/>
                <w:bCs/>
                <w:sz w:val="20"/>
                <w:szCs w:val="20"/>
              </w:rPr>
              <w:t>2025. I-V</w:t>
            </w:r>
            <w:r w:rsidR="00F41577">
              <w:rPr>
                <w:rFonts w:ascii="Times New Roman" w:hAnsi="Times New Roman" w:cs="Times New Roman"/>
                <w:b/>
                <w:bCs/>
                <w:sz w:val="20"/>
                <w:szCs w:val="20"/>
              </w:rPr>
              <w:t>I</w:t>
            </w:r>
            <w:r w:rsidRPr="7BF38582">
              <w:rPr>
                <w:rFonts w:ascii="Times New Roman" w:hAnsi="Times New Roman" w:cs="Times New Roman"/>
                <w:b/>
                <w:bCs/>
                <w:sz w:val="20"/>
                <w:szCs w:val="20"/>
              </w:rPr>
              <w:t>I. hó tény</w:t>
            </w:r>
            <w:r w:rsidR="13E847AC">
              <w:br/>
            </w:r>
            <w:r w:rsidRPr="7BF38582">
              <w:rPr>
                <w:rFonts w:ascii="Times New Roman" w:hAnsi="Times New Roman" w:cs="Times New Roman"/>
                <w:sz w:val="20"/>
                <w:szCs w:val="20"/>
              </w:rPr>
              <w:t>milliárd forintban</w:t>
            </w:r>
          </w:p>
          <w:p w14:paraId="15A457DF" w14:textId="77777777" w:rsidR="00B6763B" w:rsidRPr="00602E3C" w:rsidRDefault="00B6763B" w:rsidP="00B6763B">
            <w:pPr>
              <w:keepNext/>
              <w:keepLines/>
              <w:spacing w:after="0"/>
              <w:jc w:val="center"/>
              <w:rPr>
                <w:rFonts w:ascii="Times New Roman" w:hAnsi="Times New Roman" w:cs="Times New Roman"/>
                <w:sz w:val="20"/>
                <w:szCs w:val="20"/>
              </w:rPr>
            </w:pPr>
          </w:p>
          <w:p w14:paraId="3C073C3C" w14:textId="075CFEB7" w:rsidR="00935118"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sz w:val="20"/>
                <w:szCs w:val="20"/>
              </w:rPr>
              <w:t>(4)</w:t>
            </w:r>
          </w:p>
        </w:tc>
        <w:tc>
          <w:tcPr>
            <w:tcW w:w="115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CCBD1FD" w14:textId="77777777" w:rsidR="00B6763B"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sz w:val="20"/>
                <w:szCs w:val="20"/>
              </w:rPr>
              <w:t>előirányzat=</w:t>
            </w:r>
            <w:r w:rsidR="13E847AC">
              <w:br/>
            </w:r>
            <w:r w:rsidRPr="7BF38582">
              <w:rPr>
                <w:rFonts w:ascii="Times New Roman" w:hAnsi="Times New Roman" w:cs="Times New Roman"/>
                <w:sz w:val="20"/>
                <w:szCs w:val="20"/>
              </w:rPr>
              <w:t>100%</w:t>
            </w:r>
            <w:r w:rsidR="13E847AC">
              <w:br/>
            </w:r>
            <w:r w:rsidRPr="7BF38582">
              <w:rPr>
                <w:rFonts w:ascii="Times New Roman" w:hAnsi="Times New Roman" w:cs="Times New Roman"/>
                <w:sz w:val="20"/>
                <w:szCs w:val="20"/>
              </w:rPr>
              <w:t>Index (%)</w:t>
            </w:r>
          </w:p>
          <w:p w14:paraId="4AEEBB44" w14:textId="77777777" w:rsidR="00B6763B" w:rsidRDefault="00B6763B" w:rsidP="00B6763B">
            <w:pPr>
              <w:keepNext/>
              <w:keepLines/>
              <w:spacing w:after="0"/>
              <w:jc w:val="center"/>
              <w:rPr>
                <w:rFonts w:ascii="Times New Roman" w:hAnsi="Times New Roman" w:cs="Times New Roman"/>
                <w:sz w:val="20"/>
                <w:szCs w:val="20"/>
              </w:rPr>
            </w:pPr>
          </w:p>
          <w:p w14:paraId="594C63D7" w14:textId="77777777" w:rsidR="00602E3C" w:rsidRPr="00602E3C" w:rsidRDefault="00602E3C" w:rsidP="00B6763B">
            <w:pPr>
              <w:keepNext/>
              <w:keepLines/>
              <w:spacing w:after="0"/>
              <w:jc w:val="center"/>
              <w:rPr>
                <w:rFonts w:ascii="Times New Roman" w:hAnsi="Times New Roman" w:cs="Times New Roman"/>
                <w:sz w:val="20"/>
                <w:szCs w:val="20"/>
              </w:rPr>
            </w:pPr>
          </w:p>
          <w:p w14:paraId="6886B04A" w14:textId="0682B2A8" w:rsidR="00935118"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sz w:val="20"/>
                <w:szCs w:val="20"/>
              </w:rPr>
              <w:t>(4/3)</w:t>
            </w:r>
          </w:p>
        </w:tc>
        <w:tc>
          <w:tcPr>
            <w:tcW w:w="111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392F559" w14:textId="77777777" w:rsidR="00B6763B" w:rsidRPr="00602E3C" w:rsidRDefault="7BF38582" w:rsidP="7BF38582">
            <w:pPr>
              <w:keepNext/>
              <w:keepLines/>
              <w:spacing w:after="0"/>
              <w:jc w:val="center"/>
              <w:rPr>
                <w:rFonts w:ascii="Times New Roman" w:hAnsi="Times New Roman" w:cs="Times New Roman"/>
                <w:sz w:val="20"/>
                <w:szCs w:val="20"/>
              </w:rPr>
            </w:pPr>
            <w:r w:rsidRPr="7BF38582">
              <w:rPr>
                <w:rFonts w:ascii="Times New Roman" w:hAnsi="Times New Roman" w:cs="Times New Roman"/>
                <w:sz w:val="20"/>
                <w:szCs w:val="20"/>
              </w:rPr>
              <w:t>előző év=</w:t>
            </w:r>
            <w:r w:rsidR="13E847AC">
              <w:br/>
            </w:r>
            <w:r w:rsidRPr="7BF38582">
              <w:rPr>
                <w:rFonts w:ascii="Times New Roman" w:hAnsi="Times New Roman" w:cs="Times New Roman"/>
                <w:sz w:val="20"/>
                <w:szCs w:val="20"/>
              </w:rPr>
              <w:t>100%</w:t>
            </w:r>
            <w:r w:rsidR="13E847AC">
              <w:br/>
            </w:r>
            <w:r w:rsidRPr="7BF38582">
              <w:rPr>
                <w:rFonts w:ascii="Times New Roman" w:hAnsi="Times New Roman" w:cs="Times New Roman"/>
                <w:sz w:val="20"/>
                <w:szCs w:val="20"/>
              </w:rPr>
              <w:t>Index (%)</w:t>
            </w:r>
          </w:p>
          <w:p w14:paraId="2CC3F023" w14:textId="77777777" w:rsidR="00B6763B" w:rsidRPr="00602E3C" w:rsidRDefault="00B6763B" w:rsidP="00B6763B">
            <w:pPr>
              <w:keepNext/>
              <w:keepLines/>
              <w:spacing w:after="0"/>
              <w:jc w:val="center"/>
              <w:rPr>
                <w:rFonts w:ascii="Times New Roman" w:hAnsi="Times New Roman" w:cs="Times New Roman"/>
                <w:sz w:val="20"/>
                <w:szCs w:val="20"/>
              </w:rPr>
            </w:pPr>
          </w:p>
          <w:p w14:paraId="1414C741" w14:textId="77DB2268" w:rsidR="00935118" w:rsidRPr="00602E3C" w:rsidRDefault="00935118" w:rsidP="7BF38582">
            <w:pPr>
              <w:keepNext/>
              <w:keepLines/>
              <w:spacing w:after="0"/>
              <w:jc w:val="center"/>
              <w:rPr>
                <w:rFonts w:ascii="Times New Roman" w:hAnsi="Times New Roman" w:cs="Times New Roman"/>
                <w:sz w:val="20"/>
                <w:szCs w:val="20"/>
              </w:rPr>
            </w:pPr>
            <w:r>
              <w:br/>
            </w:r>
            <w:r w:rsidR="7BF38582" w:rsidRPr="7BF38582">
              <w:rPr>
                <w:rFonts w:ascii="Times New Roman" w:hAnsi="Times New Roman" w:cs="Times New Roman"/>
                <w:sz w:val="20"/>
                <w:szCs w:val="20"/>
              </w:rPr>
              <w:t>(4/2)</w:t>
            </w:r>
          </w:p>
        </w:tc>
      </w:tr>
      <w:tr w:rsidR="00F41577" w:rsidRPr="003D514A" w14:paraId="272C1797"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5BBCCA14" w14:textId="77777777" w:rsidR="00F41577" w:rsidRPr="00602E3C" w:rsidRDefault="00F41577" w:rsidP="00F41577">
            <w:pPr>
              <w:keepNext/>
              <w:keepLines/>
              <w:spacing w:before="120" w:after="120"/>
              <w:rPr>
                <w:rFonts w:ascii="Times New Roman" w:hAnsi="Times New Roman" w:cs="Times New Roman"/>
                <w:b/>
                <w:bCs/>
                <w:sz w:val="20"/>
                <w:szCs w:val="20"/>
              </w:rPr>
            </w:pPr>
            <w:r w:rsidRPr="7BF38582">
              <w:rPr>
                <w:rFonts w:ascii="Times New Roman" w:hAnsi="Times New Roman" w:cs="Times New Roman"/>
                <w:b/>
                <w:bCs/>
                <w:sz w:val="20"/>
                <w:szCs w:val="20"/>
              </w:rPr>
              <w:t>Központi költségvetés egyenlege</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13CE6" w14:textId="0703B6AA"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-4 003,9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AA4960" w14:textId="2A3DC1BD"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rPr>
              <w:t>-2 473,2</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67CDD199" w14:textId="568DE58F"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61,8</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DEEBFBC" w14:textId="216BBA7E"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-4 211,6</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2B3E7161" w14:textId="36CD37C9"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-2 779,9</w:t>
            </w: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1590672A" w14:textId="6C8BAE22"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66,0</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FD27053" w14:textId="4B1BB2B2"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112,4</w:t>
            </w:r>
          </w:p>
        </w:tc>
      </w:tr>
      <w:tr w:rsidR="00F41577" w:rsidRPr="003D514A" w14:paraId="43DB1C6B"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191C3DC" w14:textId="77777777" w:rsidR="00F41577" w:rsidRPr="00602E3C" w:rsidRDefault="00F41577" w:rsidP="00F41577">
            <w:pPr>
              <w:keepNext/>
              <w:keepLines/>
              <w:spacing w:before="120" w:after="120"/>
              <w:jc w:val="right"/>
              <w:rPr>
                <w:rFonts w:ascii="Times New Roman" w:hAnsi="Times New Roman" w:cs="Times New Roman"/>
                <w:sz w:val="20"/>
                <w:szCs w:val="20"/>
              </w:rPr>
            </w:pPr>
            <w:r w:rsidRPr="7BF38582">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3013BE1E" w14:textId="0F51F8FF"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26 655,6</w:t>
            </w:r>
          </w:p>
        </w:tc>
        <w:tc>
          <w:tcPr>
            <w:tcW w:w="1276" w:type="dxa"/>
            <w:tcBorders>
              <w:top w:val="nil"/>
              <w:left w:val="nil"/>
              <w:bottom w:val="single" w:sz="4" w:space="0" w:color="auto"/>
              <w:right w:val="single" w:sz="4" w:space="0" w:color="auto"/>
            </w:tcBorders>
            <w:shd w:val="clear" w:color="auto" w:fill="auto"/>
            <w:noWrap/>
            <w:vAlign w:val="center"/>
          </w:tcPr>
          <w:p w14:paraId="00714DA8" w14:textId="1EEB0DC5"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rPr>
              <w:t>15 201,1</w:t>
            </w:r>
          </w:p>
        </w:tc>
        <w:tc>
          <w:tcPr>
            <w:tcW w:w="1075" w:type="dxa"/>
            <w:tcBorders>
              <w:top w:val="nil"/>
              <w:left w:val="nil"/>
              <w:bottom w:val="single" w:sz="4" w:space="0" w:color="auto"/>
              <w:right w:val="single" w:sz="4" w:space="0" w:color="auto"/>
            </w:tcBorders>
            <w:shd w:val="clear" w:color="auto" w:fill="auto"/>
            <w:noWrap/>
            <w:vAlign w:val="center"/>
          </w:tcPr>
          <w:p w14:paraId="15BCE7D2" w14:textId="445F8F5C"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57,0</w:t>
            </w:r>
          </w:p>
        </w:tc>
        <w:tc>
          <w:tcPr>
            <w:tcW w:w="1103" w:type="dxa"/>
            <w:tcBorders>
              <w:top w:val="nil"/>
              <w:left w:val="nil"/>
              <w:bottom w:val="single" w:sz="4" w:space="0" w:color="auto"/>
              <w:right w:val="single" w:sz="4" w:space="0" w:color="auto"/>
            </w:tcBorders>
            <w:shd w:val="clear" w:color="auto" w:fill="auto"/>
            <w:noWrap/>
            <w:vAlign w:val="center"/>
          </w:tcPr>
          <w:p w14:paraId="0B162934" w14:textId="55B86CB1"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26 622,0</w:t>
            </w:r>
          </w:p>
        </w:tc>
        <w:tc>
          <w:tcPr>
            <w:tcW w:w="1224" w:type="dxa"/>
            <w:tcBorders>
              <w:top w:val="nil"/>
              <w:left w:val="nil"/>
              <w:bottom w:val="single" w:sz="4" w:space="0" w:color="auto"/>
              <w:right w:val="single" w:sz="4" w:space="0" w:color="auto"/>
            </w:tcBorders>
            <w:shd w:val="clear" w:color="auto" w:fill="auto"/>
            <w:noWrap/>
            <w:vAlign w:val="center"/>
          </w:tcPr>
          <w:p w14:paraId="6C375A8F" w14:textId="59B8C7CB"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16 101,1</w:t>
            </w:r>
          </w:p>
        </w:tc>
        <w:tc>
          <w:tcPr>
            <w:tcW w:w="1159" w:type="dxa"/>
            <w:tcBorders>
              <w:top w:val="nil"/>
              <w:left w:val="nil"/>
              <w:bottom w:val="single" w:sz="4" w:space="0" w:color="auto"/>
              <w:right w:val="single" w:sz="4" w:space="0" w:color="auto"/>
            </w:tcBorders>
            <w:shd w:val="clear" w:color="auto" w:fill="auto"/>
            <w:noWrap/>
            <w:vAlign w:val="center"/>
          </w:tcPr>
          <w:p w14:paraId="229A1E05" w14:textId="3D1E3065"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60,5</w:t>
            </w:r>
          </w:p>
        </w:tc>
        <w:tc>
          <w:tcPr>
            <w:tcW w:w="1113" w:type="dxa"/>
            <w:tcBorders>
              <w:top w:val="nil"/>
              <w:left w:val="nil"/>
              <w:bottom w:val="single" w:sz="4" w:space="0" w:color="auto"/>
              <w:right w:val="single" w:sz="4" w:space="0" w:color="auto"/>
            </w:tcBorders>
            <w:shd w:val="clear" w:color="auto" w:fill="auto"/>
            <w:noWrap/>
            <w:vAlign w:val="center"/>
          </w:tcPr>
          <w:p w14:paraId="0D7E5DA4" w14:textId="3310C0FC"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105,9</w:t>
            </w:r>
          </w:p>
        </w:tc>
      </w:tr>
      <w:tr w:rsidR="00F41577" w:rsidRPr="003D514A" w14:paraId="576245F4"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7DE056B" w14:textId="77777777" w:rsidR="00F41577" w:rsidRPr="00602E3C" w:rsidRDefault="00F41577" w:rsidP="00F41577">
            <w:pPr>
              <w:keepNext/>
              <w:keepLines/>
              <w:spacing w:before="120" w:after="120"/>
              <w:jc w:val="right"/>
              <w:rPr>
                <w:rFonts w:ascii="Times New Roman" w:hAnsi="Times New Roman" w:cs="Times New Roman"/>
                <w:sz w:val="20"/>
                <w:szCs w:val="20"/>
              </w:rPr>
            </w:pPr>
            <w:r w:rsidRPr="7BF38582">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2B82BDD4" w14:textId="318EC05C"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30 659,5</w:t>
            </w:r>
          </w:p>
        </w:tc>
        <w:tc>
          <w:tcPr>
            <w:tcW w:w="1276" w:type="dxa"/>
            <w:tcBorders>
              <w:top w:val="nil"/>
              <w:left w:val="nil"/>
              <w:bottom w:val="single" w:sz="4" w:space="0" w:color="auto"/>
              <w:right w:val="single" w:sz="4" w:space="0" w:color="auto"/>
            </w:tcBorders>
            <w:shd w:val="clear" w:color="auto" w:fill="auto"/>
            <w:noWrap/>
            <w:vAlign w:val="center"/>
          </w:tcPr>
          <w:p w14:paraId="51B92D54" w14:textId="72A5CBB6"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rPr>
              <w:t>17 674,3</w:t>
            </w:r>
          </w:p>
        </w:tc>
        <w:tc>
          <w:tcPr>
            <w:tcW w:w="1075" w:type="dxa"/>
            <w:tcBorders>
              <w:top w:val="nil"/>
              <w:left w:val="nil"/>
              <w:bottom w:val="single" w:sz="4" w:space="0" w:color="auto"/>
              <w:right w:val="single" w:sz="4" w:space="0" w:color="auto"/>
            </w:tcBorders>
            <w:shd w:val="clear" w:color="auto" w:fill="auto"/>
            <w:noWrap/>
            <w:vAlign w:val="center"/>
          </w:tcPr>
          <w:p w14:paraId="480CDC03" w14:textId="5052AD54"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57,6</w:t>
            </w:r>
          </w:p>
        </w:tc>
        <w:tc>
          <w:tcPr>
            <w:tcW w:w="1103" w:type="dxa"/>
            <w:tcBorders>
              <w:top w:val="nil"/>
              <w:left w:val="nil"/>
              <w:bottom w:val="single" w:sz="4" w:space="0" w:color="auto"/>
              <w:right w:val="single" w:sz="4" w:space="0" w:color="auto"/>
            </w:tcBorders>
            <w:shd w:val="clear" w:color="auto" w:fill="auto"/>
            <w:noWrap/>
            <w:vAlign w:val="center"/>
          </w:tcPr>
          <w:p w14:paraId="30613988" w14:textId="6AA5F6AE"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30 833,5</w:t>
            </w:r>
          </w:p>
        </w:tc>
        <w:tc>
          <w:tcPr>
            <w:tcW w:w="1224" w:type="dxa"/>
            <w:tcBorders>
              <w:top w:val="nil"/>
              <w:left w:val="nil"/>
              <w:bottom w:val="single" w:sz="4" w:space="0" w:color="auto"/>
              <w:right w:val="single" w:sz="4" w:space="0" w:color="auto"/>
            </w:tcBorders>
            <w:shd w:val="clear" w:color="auto" w:fill="auto"/>
            <w:noWrap/>
            <w:vAlign w:val="center"/>
          </w:tcPr>
          <w:p w14:paraId="1CE8D31A" w14:textId="1157A955"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18 881,0</w:t>
            </w:r>
          </w:p>
        </w:tc>
        <w:tc>
          <w:tcPr>
            <w:tcW w:w="1159" w:type="dxa"/>
            <w:tcBorders>
              <w:top w:val="nil"/>
              <w:left w:val="nil"/>
              <w:bottom w:val="single" w:sz="4" w:space="0" w:color="auto"/>
              <w:right w:val="single" w:sz="4" w:space="0" w:color="auto"/>
            </w:tcBorders>
            <w:shd w:val="clear" w:color="auto" w:fill="auto"/>
            <w:noWrap/>
            <w:vAlign w:val="center"/>
          </w:tcPr>
          <w:p w14:paraId="2AF744DE" w14:textId="252C65C5"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61,2</w:t>
            </w:r>
          </w:p>
        </w:tc>
        <w:tc>
          <w:tcPr>
            <w:tcW w:w="1113" w:type="dxa"/>
            <w:tcBorders>
              <w:top w:val="nil"/>
              <w:left w:val="nil"/>
              <w:bottom w:val="single" w:sz="4" w:space="0" w:color="auto"/>
              <w:right w:val="single" w:sz="4" w:space="0" w:color="auto"/>
            </w:tcBorders>
            <w:shd w:val="clear" w:color="auto" w:fill="auto"/>
            <w:noWrap/>
            <w:vAlign w:val="center"/>
          </w:tcPr>
          <w:p w14:paraId="6B19C9DE" w14:textId="111364FB"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106,8</w:t>
            </w:r>
          </w:p>
        </w:tc>
      </w:tr>
      <w:tr w:rsidR="00F41577" w:rsidRPr="003D514A" w14:paraId="5D1AF47D"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702288AA" w14:textId="77777777" w:rsidR="00F41577" w:rsidRPr="00602E3C" w:rsidRDefault="00F41577" w:rsidP="00F41577">
            <w:pPr>
              <w:keepNext/>
              <w:keepLines/>
              <w:spacing w:before="120" w:after="120"/>
              <w:rPr>
                <w:rFonts w:ascii="Times New Roman" w:hAnsi="Times New Roman" w:cs="Times New Roman"/>
                <w:b/>
                <w:bCs/>
                <w:sz w:val="20"/>
                <w:szCs w:val="20"/>
              </w:rPr>
            </w:pPr>
            <w:r w:rsidRPr="7BF38582">
              <w:rPr>
                <w:rFonts w:ascii="Times New Roman" w:hAnsi="Times New Roman" w:cs="Times New Roman"/>
                <w:b/>
                <w:bCs/>
                <w:sz w:val="20"/>
                <w:szCs w:val="20"/>
              </w:rPr>
              <w:t>Elkülönített állami pénzalapok egyenlege</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77E1D897" w14:textId="48358642"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138,2</w:t>
            </w:r>
          </w:p>
        </w:tc>
        <w:tc>
          <w:tcPr>
            <w:tcW w:w="1276" w:type="dxa"/>
            <w:tcBorders>
              <w:top w:val="nil"/>
              <w:left w:val="nil"/>
              <w:bottom w:val="single" w:sz="4" w:space="0" w:color="auto"/>
              <w:right w:val="single" w:sz="4" w:space="0" w:color="auto"/>
            </w:tcBorders>
            <w:shd w:val="clear" w:color="auto" w:fill="auto"/>
            <w:noWrap/>
            <w:vAlign w:val="center"/>
          </w:tcPr>
          <w:p w14:paraId="2E3F1C5B" w14:textId="02208639"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rPr>
              <w:t>168,4</w:t>
            </w:r>
          </w:p>
        </w:tc>
        <w:tc>
          <w:tcPr>
            <w:tcW w:w="1075" w:type="dxa"/>
            <w:tcBorders>
              <w:top w:val="nil"/>
              <w:left w:val="nil"/>
              <w:bottom w:val="single" w:sz="4" w:space="0" w:color="auto"/>
              <w:right w:val="single" w:sz="4" w:space="0" w:color="auto"/>
            </w:tcBorders>
            <w:shd w:val="clear" w:color="auto" w:fill="auto"/>
            <w:noWrap/>
            <w:vAlign w:val="center"/>
          </w:tcPr>
          <w:p w14:paraId="462FA081" w14:textId="4170D902"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121,9</w:t>
            </w:r>
          </w:p>
        </w:tc>
        <w:tc>
          <w:tcPr>
            <w:tcW w:w="1103" w:type="dxa"/>
            <w:tcBorders>
              <w:top w:val="nil"/>
              <w:left w:val="nil"/>
              <w:bottom w:val="single" w:sz="4" w:space="0" w:color="auto"/>
              <w:right w:val="single" w:sz="4" w:space="0" w:color="auto"/>
            </w:tcBorders>
            <w:shd w:val="clear" w:color="auto" w:fill="auto"/>
            <w:noWrap/>
            <w:vAlign w:val="center"/>
          </w:tcPr>
          <w:p w14:paraId="2C2D5FB6" w14:textId="7A3A6868"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88,6</w:t>
            </w:r>
          </w:p>
        </w:tc>
        <w:tc>
          <w:tcPr>
            <w:tcW w:w="1224" w:type="dxa"/>
            <w:tcBorders>
              <w:top w:val="nil"/>
              <w:left w:val="nil"/>
              <w:bottom w:val="single" w:sz="4" w:space="0" w:color="auto"/>
              <w:right w:val="single" w:sz="4" w:space="0" w:color="auto"/>
            </w:tcBorders>
            <w:shd w:val="clear" w:color="auto" w:fill="auto"/>
            <w:noWrap/>
            <w:vAlign w:val="center"/>
          </w:tcPr>
          <w:p w14:paraId="63BDA3B4" w14:textId="6067C8F3"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89,1</w:t>
            </w:r>
          </w:p>
        </w:tc>
        <w:tc>
          <w:tcPr>
            <w:tcW w:w="1159" w:type="dxa"/>
            <w:tcBorders>
              <w:top w:val="nil"/>
              <w:left w:val="nil"/>
              <w:bottom w:val="single" w:sz="4" w:space="0" w:color="auto"/>
              <w:right w:val="single" w:sz="4" w:space="0" w:color="auto"/>
            </w:tcBorders>
            <w:shd w:val="clear" w:color="auto" w:fill="auto"/>
            <w:noWrap/>
            <w:vAlign w:val="center"/>
          </w:tcPr>
          <w:p w14:paraId="7D3E2161" w14:textId="5965F0B1"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100,6</w:t>
            </w:r>
          </w:p>
        </w:tc>
        <w:tc>
          <w:tcPr>
            <w:tcW w:w="1113" w:type="dxa"/>
            <w:tcBorders>
              <w:top w:val="nil"/>
              <w:left w:val="nil"/>
              <w:bottom w:val="single" w:sz="4" w:space="0" w:color="auto"/>
              <w:right w:val="single" w:sz="4" w:space="0" w:color="auto"/>
            </w:tcBorders>
            <w:shd w:val="clear" w:color="auto" w:fill="auto"/>
            <w:noWrap/>
            <w:vAlign w:val="center"/>
          </w:tcPr>
          <w:p w14:paraId="53938325" w14:textId="554C5611"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52,9</w:t>
            </w:r>
          </w:p>
        </w:tc>
      </w:tr>
      <w:tr w:rsidR="00F41577" w:rsidRPr="003D514A" w14:paraId="28F7F28C"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E223547" w14:textId="77777777" w:rsidR="00F41577" w:rsidRPr="00602E3C" w:rsidRDefault="00F41577" w:rsidP="00F41577">
            <w:pPr>
              <w:keepNext/>
              <w:keepLines/>
              <w:spacing w:before="120" w:after="120"/>
              <w:jc w:val="right"/>
              <w:rPr>
                <w:rFonts w:ascii="Times New Roman" w:hAnsi="Times New Roman" w:cs="Times New Roman"/>
                <w:sz w:val="20"/>
                <w:szCs w:val="20"/>
              </w:rPr>
            </w:pPr>
            <w:r w:rsidRPr="7BF38582">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3162C4C7" w14:textId="37F79676"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856,5</w:t>
            </w:r>
          </w:p>
        </w:tc>
        <w:tc>
          <w:tcPr>
            <w:tcW w:w="1276" w:type="dxa"/>
            <w:tcBorders>
              <w:top w:val="nil"/>
              <w:left w:val="nil"/>
              <w:bottom w:val="single" w:sz="4" w:space="0" w:color="auto"/>
              <w:right w:val="single" w:sz="4" w:space="0" w:color="auto"/>
            </w:tcBorders>
            <w:shd w:val="clear" w:color="auto" w:fill="auto"/>
            <w:noWrap/>
            <w:vAlign w:val="center"/>
          </w:tcPr>
          <w:p w14:paraId="3523D3FF" w14:textId="21616D23"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rPr>
              <w:t>534,0</w:t>
            </w:r>
          </w:p>
        </w:tc>
        <w:tc>
          <w:tcPr>
            <w:tcW w:w="1075" w:type="dxa"/>
            <w:tcBorders>
              <w:top w:val="nil"/>
              <w:left w:val="nil"/>
              <w:bottom w:val="single" w:sz="4" w:space="0" w:color="auto"/>
              <w:right w:val="single" w:sz="4" w:space="0" w:color="auto"/>
            </w:tcBorders>
            <w:shd w:val="clear" w:color="auto" w:fill="auto"/>
            <w:noWrap/>
            <w:vAlign w:val="center"/>
          </w:tcPr>
          <w:p w14:paraId="3A889EFA" w14:textId="12A48FA5"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62,3</w:t>
            </w:r>
          </w:p>
        </w:tc>
        <w:tc>
          <w:tcPr>
            <w:tcW w:w="1103" w:type="dxa"/>
            <w:tcBorders>
              <w:top w:val="nil"/>
              <w:left w:val="nil"/>
              <w:bottom w:val="single" w:sz="4" w:space="0" w:color="auto"/>
              <w:right w:val="single" w:sz="4" w:space="0" w:color="auto"/>
            </w:tcBorders>
            <w:shd w:val="clear" w:color="auto" w:fill="auto"/>
            <w:noWrap/>
            <w:vAlign w:val="center"/>
          </w:tcPr>
          <w:p w14:paraId="26479F49" w14:textId="59C1627D"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845,7</w:t>
            </w:r>
          </w:p>
        </w:tc>
        <w:tc>
          <w:tcPr>
            <w:tcW w:w="1224" w:type="dxa"/>
            <w:tcBorders>
              <w:top w:val="nil"/>
              <w:left w:val="nil"/>
              <w:bottom w:val="single" w:sz="4" w:space="0" w:color="auto"/>
              <w:right w:val="single" w:sz="4" w:space="0" w:color="auto"/>
            </w:tcBorders>
            <w:shd w:val="clear" w:color="auto" w:fill="auto"/>
            <w:noWrap/>
            <w:vAlign w:val="center"/>
          </w:tcPr>
          <w:p w14:paraId="24B66B6B" w14:textId="01E8FB69"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506,6</w:t>
            </w:r>
          </w:p>
        </w:tc>
        <w:tc>
          <w:tcPr>
            <w:tcW w:w="1159" w:type="dxa"/>
            <w:tcBorders>
              <w:top w:val="nil"/>
              <w:left w:val="nil"/>
              <w:bottom w:val="single" w:sz="4" w:space="0" w:color="auto"/>
              <w:right w:val="single" w:sz="4" w:space="0" w:color="auto"/>
            </w:tcBorders>
            <w:shd w:val="clear" w:color="auto" w:fill="auto"/>
            <w:noWrap/>
            <w:vAlign w:val="center"/>
          </w:tcPr>
          <w:p w14:paraId="0543AEAF" w14:textId="70AB2867"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59,9</w:t>
            </w:r>
          </w:p>
        </w:tc>
        <w:tc>
          <w:tcPr>
            <w:tcW w:w="1113" w:type="dxa"/>
            <w:tcBorders>
              <w:top w:val="nil"/>
              <w:left w:val="nil"/>
              <w:bottom w:val="single" w:sz="4" w:space="0" w:color="auto"/>
              <w:right w:val="single" w:sz="4" w:space="0" w:color="auto"/>
            </w:tcBorders>
            <w:shd w:val="clear" w:color="auto" w:fill="auto"/>
            <w:noWrap/>
            <w:vAlign w:val="center"/>
          </w:tcPr>
          <w:p w14:paraId="109115A4" w14:textId="55DAD795"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94,9</w:t>
            </w:r>
          </w:p>
        </w:tc>
      </w:tr>
      <w:tr w:rsidR="00F41577" w:rsidRPr="00190176" w14:paraId="1E40C612"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B20A0A7" w14:textId="77777777" w:rsidR="00F41577" w:rsidRPr="00602E3C" w:rsidRDefault="00F41577" w:rsidP="00F41577">
            <w:pPr>
              <w:keepNext/>
              <w:keepLines/>
              <w:spacing w:before="120" w:after="120"/>
              <w:jc w:val="right"/>
              <w:rPr>
                <w:rFonts w:ascii="Times New Roman" w:hAnsi="Times New Roman" w:cs="Times New Roman"/>
                <w:sz w:val="20"/>
                <w:szCs w:val="20"/>
              </w:rPr>
            </w:pPr>
            <w:r w:rsidRPr="7BF38582">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3DBFFE8F" w14:textId="13771549"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718,3</w:t>
            </w:r>
          </w:p>
        </w:tc>
        <w:tc>
          <w:tcPr>
            <w:tcW w:w="1276" w:type="dxa"/>
            <w:tcBorders>
              <w:top w:val="nil"/>
              <w:left w:val="nil"/>
              <w:bottom w:val="single" w:sz="4" w:space="0" w:color="auto"/>
              <w:right w:val="single" w:sz="4" w:space="0" w:color="auto"/>
            </w:tcBorders>
            <w:shd w:val="clear" w:color="auto" w:fill="auto"/>
            <w:noWrap/>
            <w:vAlign w:val="center"/>
          </w:tcPr>
          <w:p w14:paraId="09959044" w14:textId="52BC7F27"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rPr>
              <w:t>365,6</w:t>
            </w:r>
          </w:p>
        </w:tc>
        <w:tc>
          <w:tcPr>
            <w:tcW w:w="1075" w:type="dxa"/>
            <w:tcBorders>
              <w:top w:val="nil"/>
              <w:left w:val="nil"/>
              <w:bottom w:val="single" w:sz="4" w:space="0" w:color="auto"/>
              <w:right w:val="single" w:sz="4" w:space="0" w:color="auto"/>
            </w:tcBorders>
            <w:shd w:val="clear" w:color="auto" w:fill="auto"/>
            <w:noWrap/>
            <w:vAlign w:val="center"/>
          </w:tcPr>
          <w:p w14:paraId="49CC2BC9" w14:textId="1A0BE81F"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50,9</w:t>
            </w:r>
          </w:p>
        </w:tc>
        <w:tc>
          <w:tcPr>
            <w:tcW w:w="1103" w:type="dxa"/>
            <w:tcBorders>
              <w:top w:val="nil"/>
              <w:left w:val="nil"/>
              <w:bottom w:val="single" w:sz="4" w:space="0" w:color="auto"/>
              <w:right w:val="single" w:sz="4" w:space="0" w:color="auto"/>
            </w:tcBorders>
            <w:shd w:val="clear" w:color="auto" w:fill="auto"/>
            <w:noWrap/>
            <w:vAlign w:val="center"/>
          </w:tcPr>
          <w:p w14:paraId="38B8A8DE" w14:textId="5CE75923"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757,2</w:t>
            </w:r>
          </w:p>
        </w:tc>
        <w:tc>
          <w:tcPr>
            <w:tcW w:w="1224" w:type="dxa"/>
            <w:tcBorders>
              <w:top w:val="nil"/>
              <w:left w:val="nil"/>
              <w:bottom w:val="single" w:sz="4" w:space="0" w:color="auto"/>
              <w:right w:val="single" w:sz="4" w:space="0" w:color="auto"/>
            </w:tcBorders>
            <w:shd w:val="clear" w:color="auto" w:fill="auto"/>
            <w:noWrap/>
            <w:vAlign w:val="center"/>
          </w:tcPr>
          <w:p w14:paraId="1F33273D" w14:textId="463FAB04"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417,5</w:t>
            </w:r>
          </w:p>
        </w:tc>
        <w:tc>
          <w:tcPr>
            <w:tcW w:w="1159" w:type="dxa"/>
            <w:tcBorders>
              <w:top w:val="nil"/>
              <w:left w:val="nil"/>
              <w:bottom w:val="single" w:sz="4" w:space="0" w:color="auto"/>
              <w:right w:val="single" w:sz="4" w:space="0" w:color="auto"/>
            </w:tcBorders>
            <w:shd w:val="clear" w:color="auto" w:fill="auto"/>
            <w:noWrap/>
            <w:vAlign w:val="center"/>
          </w:tcPr>
          <w:p w14:paraId="087519CB" w14:textId="2C20DABB"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55,1</w:t>
            </w:r>
          </w:p>
        </w:tc>
        <w:tc>
          <w:tcPr>
            <w:tcW w:w="1113" w:type="dxa"/>
            <w:tcBorders>
              <w:top w:val="nil"/>
              <w:left w:val="nil"/>
              <w:bottom w:val="single" w:sz="4" w:space="0" w:color="auto"/>
              <w:right w:val="single" w:sz="4" w:space="0" w:color="auto"/>
            </w:tcBorders>
            <w:shd w:val="clear" w:color="auto" w:fill="auto"/>
            <w:noWrap/>
            <w:vAlign w:val="center"/>
          </w:tcPr>
          <w:p w14:paraId="0F6B30EE" w14:textId="13EF4C3B"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114,2</w:t>
            </w:r>
          </w:p>
        </w:tc>
      </w:tr>
      <w:tr w:rsidR="00F41577" w:rsidRPr="003D514A" w14:paraId="76328518"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5FB6F71" w14:textId="77777777" w:rsidR="00F41577" w:rsidRPr="00602E3C" w:rsidRDefault="00F41577" w:rsidP="00F41577">
            <w:pPr>
              <w:keepNext/>
              <w:keepLines/>
              <w:spacing w:before="120" w:after="120"/>
              <w:rPr>
                <w:rFonts w:ascii="Times New Roman" w:hAnsi="Times New Roman" w:cs="Times New Roman"/>
                <w:b/>
                <w:bCs/>
                <w:sz w:val="20"/>
                <w:szCs w:val="20"/>
              </w:rPr>
            </w:pPr>
            <w:r w:rsidRPr="7BF38582">
              <w:rPr>
                <w:rFonts w:ascii="Times New Roman" w:hAnsi="Times New Roman" w:cs="Times New Roman"/>
                <w:b/>
                <w:bCs/>
                <w:sz w:val="20"/>
                <w:szCs w:val="20"/>
              </w:rPr>
              <w:t>Társadalombiztosítás pénzügyi alapjainak egyenlege</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09EEFFCC" w14:textId="2A04CFC0"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-230,1</w:t>
            </w:r>
          </w:p>
        </w:tc>
        <w:tc>
          <w:tcPr>
            <w:tcW w:w="1276" w:type="dxa"/>
            <w:tcBorders>
              <w:top w:val="nil"/>
              <w:left w:val="nil"/>
              <w:bottom w:val="single" w:sz="4" w:space="0" w:color="auto"/>
              <w:right w:val="single" w:sz="4" w:space="0" w:color="auto"/>
            </w:tcBorders>
            <w:shd w:val="clear" w:color="auto" w:fill="auto"/>
            <w:noWrap/>
            <w:vAlign w:val="center"/>
          </w:tcPr>
          <w:p w14:paraId="30D7DC00" w14:textId="1F95DDA3"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rPr>
              <w:t>-138,5</w:t>
            </w:r>
          </w:p>
        </w:tc>
        <w:tc>
          <w:tcPr>
            <w:tcW w:w="1075" w:type="dxa"/>
            <w:tcBorders>
              <w:top w:val="nil"/>
              <w:left w:val="nil"/>
              <w:bottom w:val="single" w:sz="4" w:space="0" w:color="auto"/>
              <w:right w:val="single" w:sz="4" w:space="0" w:color="auto"/>
            </w:tcBorders>
            <w:shd w:val="clear" w:color="auto" w:fill="auto"/>
            <w:noWrap/>
            <w:vAlign w:val="center"/>
          </w:tcPr>
          <w:p w14:paraId="641FA9E4" w14:textId="51061CA4"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60,2</w:t>
            </w:r>
          </w:p>
        </w:tc>
        <w:tc>
          <w:tcPr>
            <w:tcW w:w="1103" w:type="dxa"/>
            <w:tcBorders>
              <w:top w:val="nil"/>
              <w:left w:val="nil"/>
              <w:bottom w:val="single" w:sz="4" w:space="0" w:color="auto"/>
              <w:right w:val="single" w:sz="4" w:space="0" w:color="auto"/>
            </w:tcBorders>
            <w:shd w:val="clear" w:color="auto" w:fill="auto"/>
            <w:noWrap/>
            <w:vAlign w:val="center"/>
          </w:tcPr>
          <w:p w14:paraId="2DC56B04" w14:textId="0B1EE6C1"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0,0</w:t>
            </w:r>
          </w:p>
        </w:tc>
        <w:tc>
          <w:tcPr>
            <w:tcW w:w="1224" w:type="dxa"/>
            <w:tcBorders>
              <w:top w:val="nil"/>
              <w:left w:val="nil"/>
              <w:bottom w:val="single" w:sz="4" w:space="0" w:color="auto"/>
              <w:right w:val="single" w:sz="4" w:space="0" w:color="auto"/>
            </w:tcBorders>
            <w:shd w:val="clear" w:color="auto" w:fill="auto"/>
            <w:noWrap/>
            <w:vAlign w:val="center"/>
          </w:tcPr>
          <w:p w14:paraId="09A75478" w14:textId="4A20E038"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-95,6</w:t>
            </w:r>
          </w:p>
        </w:tc>
        <w:tc>
          <w:tcPr>
            <w:tcW w:w="1159" w:type="dxa"/>
            <w:tcBorders>
              <w:top w:val="nil"/>
              <w:left w:val="nil"/>
              <w:bottom w:val="single" w:sz="4" w:space="0" w:color="auto"/>
              <w:right w:val="single" w:sz="4" w:space="0" w:color="auto"/>
            </w:tcBorders>
            <w:shd w:val="clear" w:color="auto" w:fill="auto"/>
            <w:noWrap/>
            <w:vAlign w:val="center"/>
          </w:tcPr>
          <w:p w14:paraId="7360352A" w14:textId="3331F71C"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 </w:t>
            </w:r>
          </w:p>
        </w:tc>
        <w:tc>
          <w:tcPr>
            <w:tcW w:w="1113" w:type="dxa"/>
            <w:tcBorders>
              <w:top w:val="nil"/>
              <w:left w:val="nil"/>
              <w:bottom w:val="single" w:sz="4" w:space="0" w:color="auto"/>
              <w:right w:val="single" w:sz="4" w:space="0" w:color="auto"/>
            </w:tcBorders>
            <w:shd w:val="clear" w:color="auto" w:fill="auto"/>
            <w:noWrap/>
            <w:vAlign w:val="center"/>
          </w:tcPr>
          <w:p w14:paraId="4CE48797" w14:textId="52B43CC4"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69,0</w:t>
            </w:r>
          </w:p>
        </w:tc>
      </w:tr>
      <w:tr w:rsidR="00F41577" w:rsidRPr="003D514A" w14:paraId="019242A3"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0B28D060" w14:textId="77777777" w:rsidR="00F41577" w:rsidRPr="00602E3C" w:rsidRDefault="00F41577" w:rsidP="00F41577">
            <w:pPr>
              <w:keepNext/>
              <w:keepLines/>
              <w:spacing w:before="120" w:after="120"/>
              <w:jc w:val="right"/>
              <w:rPr>
                <w:rFonts w:ascii="Times New Roman" w:hAnsi="Times New Roman" w:cs="Times New Roman"/>
                <w:sz w:val="20"/>
                <w:szCs w:val="20"/>
              </w:rPr>
            </w:pPr>
            <w:r w:rsidRPr="7BF38582">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37CEA0A8" w14:textId="03CC701A"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10 526,1</w:t>
            </w:r>
          </w:p>
        </w:tc>
        <w:tc>
          <w:tcPr>
            <w:tcW w:w="1276" w:type="dxa"/>
            <w:tcBorders>
              <w:top w:val="nil"/>
              <w:left w:val="nil"/>
              <w:bottom w:val="single" w:sz="4" w:space="0" w:color="auto"/>
              <w:right w:val="single" w:sz="4" w:space="0" w:color="auto"/>
            </w:tcBorders>
            <w:shd w:val="clear" w:color="auto" w:fill="auto"/>
            <w:noWrap/>
            <w:vAlign w:val="center"/>
          </w:tcPr>
          <w:p w14:paraId="0CF62633" w14:textId="5E8E7357"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rPr>
              <w:t>6 303,8</w:t>
            </w:r>
          </w:p>
        </w:tc>
        <w:tc>
          <w:tcPr>
            <w:tcW w:w="1075" w:type="dxa"/>
            <w:tcBorders>
              <w:top w:val="nil"/>
              <w:left w:val="nil"/>
              <w:bottom w:val="single" w:sz="4" w:space="0" w:color="auto"/>
              <w:right w:val="single" w:sz="4" w:space="0" w:color="auto"/>
            </w:tcBorders>
            <w:shd w:val="clear" w:color="auto" w:fill="auto"/>
            <w:noWrap/>
            <w:vAlign w:val="center"/>
          </w:tcPr>
          <w:p w14:paraId="5A242BD9" w14:textId="02105C6B"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59,9</w:t>
            </w:r>
          </w:p>
        </w:tc>
        <w:tc>
          <w:tcPr>
            <w:tcW w:w="1103" w:type="dxa"/>
            <w:tcBorders>
              <w:top w:val="nil"/>
              <w:left w:val="nil"/>
              <w:bottom w:val="single" w:sz="4" w:space="0" w:color="auto"/>
              <w:right w:val="single" w:sz="4" w:space="0" w:color="auto"/>
            </w:tcBorders>
            <w:shd w:val="clear" w:color="auto" w:fill="auto"/>
            <w:noWrap/>
            <w:vAlign w:val="center"/>
          </w:tcPr>
          <w:p w14:paraId="38B2FBF3" w14:textId="0C1D53B4"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45786421" w14:textId="73C88DAB"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6 787,2</w:t>
            </w:r>
          </w:p>
        </w:tc>
        <w:tc>
          <w:tcPr>
            <w:tcW w:w="1159" w:type="dxa"/>
            <w:tcBorders>
              <w:top w:val="nil"/>
              <w:left w:val="nil"/>
              <w:bottom w:val="single" w:sz="4" w:space="0" w:color="auto"/>
              <w:right w:val="single" w:sz="4" w:space="0" w:color="auto"/>
            </w:tcBorders>
            <w:shd w:val="clear" w:color="auto" w:fill="auto"/>
            <w:noWrap/>
            <w:vAlign w:val="center"/>
          </w:tcPr>
          <w:p w14:paraId="36A63170" w14:textId="5F62B79E"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60,3</w:t>
            </w:r>
          </w:p>
        </w:tc>
        <w:tc>
          <w:tcPr>
            <w:tcW w:w="1113" w:type="dxa"/>
            <w:tcBorders>
              <w:top w:val="nil"/>
              <w:left w:val="nil"/>
              <w:bottom w:val="single" w:sz="4" w:space="0" w:color="auto"/>
              <w:right w:val="single" w:sz="4" w:space="0" w:color="auto"/>
            </w:tcBorders>
            <w:shd w:val="clear" w:color="auto" w:fill="auto"/>
            <w:noWrap/>
            <w:vAlign w:val="center"/>
          </w:tcPr>
          <w:p w14:paraId="20C35B4C" w14:textId="372074DC"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107,7</w:t>
            </w:r>
          </w:p>
        </w:tc>
      </w:tr>
      <w:tr w:rsidR="00F41577" w:rsidRPr="003D514A" w14:paraId="57754C66"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131A64" w14:textId="77777777" w:rsidR="00F41577" w:rsidRPr="00602E3C" w:rsidRDefault="00F41577" w:rsidP="00F41577">
            <w:pPr>
              <w:keepNext/>
              <w:keepLines/>
              <w:spacing w:before="120" w:after="120"/>
              <w:jc w:val="right"/>
              <w:rPr>
                <w:rFonts w:ascii="Times New Roman" w:hAnsi="Times New Roman" w:cs="Times New Roman"/>
                <w:sz w:val="20"/>
                <w:szCs w:val="20"/>
              </w:rPr>
            </w:pPr>
            <w:r w:rsidRPr="7BF38582">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6EE84A7D" w14:textId="11F9CB42"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10 756,2</w:t>
            </w:r>
          </w:p>
        </w:tc>
        <w:tc>
          <w:tcPr>
            <w:tcW w:w="1276" w:type="dxa"/>
            <w:tcBorders>
              <w:top w:val="nil"/>
              <w:left w:val="nil"/>
              <w:bottom w:val="single" w:sz="4" w:space="0" w:color="auto"/>
              <w:right w:val="single" w:sz="4" w:space="0" w:color="auto"/>
            </w:tcBorders>
            <w:shd w:val="clear" w:color="auto" w:fill="auto"/>
            <w:noWrap/>
            <w:vAlign w:val="center"/>
          </w:tcPr>
          <w:p w14:paraId="607E92BF" w14:textId="486F00D0"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rPr>
              <w:t>6 442,3</w:t>
            </w:r>
          </w:p>
        </w:tc>
        <w:tc>
          <w:tcPr>
            <w:tcW w:w="1075" w:type="dxa"/>
            <w:tcBorders>
              <w:top w:val="nil"/>
              <w:left w:val="nil"/>
              <w:bottom w:val="single" w:sz="4" w:space="0" w:color="auto"/>
              <w:right w:val="single" w:sz="4" w:space="0" w:color="auto"/>
            </w:tcBorders>
            <w:shd w:val="clear" w:color="auto" w:fill="auto"/>
            <w:noWrap/>
            <w:vAlign w:val="center"/>
          </w:tcPr>
          <w:p w14:paraId="72D0949B" w14:textId="57943458"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59,9</w:t>
            </w:r>
          </w:p>
        </w:tc>
        <w:tc>
          <w:tcPr>
            <w:tcW w:w="1103" w:type="dxa"/>
            <w:tcBorders>
              <w:top w:val="nil"/>
              <w:left w:val="nil"/>
              <w:bottom w:val="single" w:sz="4" w:space="0" w:color="auto"/>
              <w:right w:val="single" w:sz="4" w:space="0" w:color="auto"/>
            </w:tcBorders>
            <w:shd w:val="clear" w:color="auto" w:fill="auto"/>
            <w:noWrap/>
            <w:vAlign w:val="center"/>
          </w:tcPr>
          <w:p w14:paraId="46E1FBBD" w14:textId="4C55DD3F"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66835E32" w14:textId="7AD37594"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6 882,8</w:t>
            </w:r>
          </w:p>
        </w:tc>
        <w:tc>
          <w:tcPr>
            <w:tcW w:w="1159" w:type="dxa"/>
            <w:tcBorders>
              <w:top w:val="nil"/>
              <w:left w:val="nil"/>
              <w:bottom w:val="single" w:sz="4" w:space="0" w:color="auto"/>
              <w:right w:val="single" w:sz="4" w:space="0" w:color="auto"/>
            </w:tcBorders>
            <w:shd w:val="clear" w:color="auto" w:fill="auto"/>
            <w:noWrap/>
            <w:vAlign w:val="center"/>
          </w:tcPr>
          <w:p w14:paraId="58C18A84" w14:textId="093464A7"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61,1</w:t>
            </w:r>
          </w:p>
        </w:tc>
        <w:tc>
          <w:tcPr>
            <w:tcW w:w="1113" w:type="dxa"/>
            <w:tcBorders>
              <w:top w:val="nil"/>
              <w:left w:val="nil"/>
              <w:bottom w:val="single" w:sz="4" w:space="0" w:color="auto"/>
              <w:right w:val="single" w:sz="4" w:space="0" w:color="auto"/>
            </w:tcBorders>
            <w:shd w:val="clear" w:color="auto" w:fill="auto"/>
            <w:noWrap/>
            <w:vAlign w:val="center"/>
          </w:tcPr>
          <w:p w14:paraId="13EBC871" w14:textId="1692C505"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106,8</w:t>
            </w:r>
          </w:p>
        </w:tc>
      </w:tr>
      <w:tr w:rsidR="00F41577" w:rsidRPr="003D514A" w14:paraId="0BB4AC6A"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A00CB7B" w14:textId="77777777" w:rsidR="00F41577" w:rsidRPr="00602E3C" w:rsidRDefault="00F41577" w:rsidP="00F41577">
            <w:pPr>
              <w:keepNext/>
              <w:keepLines/>
              <w:spacing w:before="120" w:after="120"/>
              <w:rPr>
                <w:rFonts w:ascii="Times New Roman" w:hAnsi="Times New Roman" w:cs="Times New Roman"/>
                <w:b/>
                <w:bCs/>
                <w:sz w:val="20"/>
                <w:szCs w:val="20"/>
              </w:rPr>
            </w:pPr>
            <w:r w:rsidRPr="7BF38582">
              <w:rPr>
                <w:rFonts w:ascii="Times New Roman" w:hAnsi="Times New Roman" w:cs="Times New Roman"/>
                <w:b/>
                <w:bCs/>
                <w:sz w:val="20"/>
                <w:szCs w:val="20"/>
              </w:rPr>
              <w:t>Egyenleg összesen</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1B8B1324" w14:textId="7F55906C"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-4 095,8</w:t>
            </w:r>
          </w:p>
        </w:tc>
        <w:tc>
          <w:tcPr>
            <w:tcW w:w="1276" w:type="dxa"/>
            <w:tcBorders>
              <w:top w:val="nil"/>
              <w:left w:val="nil"/>
              <w:bottom w:val="single" w:sz="4" w:space="0" w:color="auto"/>
              <w:right w:val="single" w:sz="4" w:space="0" w:color="auto"/>
            </w:tcBorders>
            <w:shd w:val="clear" w:color="auto" w:fill="auto"/>
            <w:noWrap/>
            <w:vAlign w:val="center"/>
          </w:tcPr>
          <w:p w14:paraId="4169FD4E" w14:textId="5D0AB60F"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rPr>
              <w:t>-2 443,3</w:t>
            </w:r>
          </w:p>
        </w:tc>
        <w:tc>
          <w:tcPr>
            <w:tcW w:w="1075" w:type="dxa"/>
            <w:tcBorders>
              <w:top w:val="nil"/>
              <w:left w:val="nil"/>
              <w:bottom w:val="single" w:sz="4" w:space="0" w:color="auto"/>
              <w:right w:val="single" w:sz="4" w:space="0" w:color="auto"/>
            </w:tcBorders>
            <w:shd w:val="clear" w:color="auto" w:fill="auto"/>
            <w:noWrap/>
            <w:vAlign w:val="center"/>
          </w:tcPr>
          <w:p w14:paraId="1A278024" w14:textId="6FF9620F"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59,7</w:t>
            </w:r>
          </w:p>
        </w:tc>
        <w:tc>
          <w:tcPr>
            <w:tcW w:w="1103" w:type="dxa"/>
            <w:tcBorders>
              <w:top w:val="nil"/>
              <w:left w:val="nil"/>
              <w:bottom w:val="single" w:sz="4" w:space="0" w:color="auto"/>
              <w:right w:val="single" w:sz="4" w:space="0" w:color="auto"/>
            </w:tcBorders>
            <w:shd w:val="clear" w:color="auto" w:fill="auto"/>
            <w:noWrap/>
            <w:vAlign w:val="center"/>
          </w:tcPr>
          <w:p w14:paraId="786BA0A5" w14:textId="54692482"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-4 123,0</w:t>
            </w:r>
          </w:p>
        </w:tc>
        <w:tc>
          <w:tcPr>
            <w:tcW w:w="1224" w:type="dxa"/>
            <w:tcBorders>
              <w:top w:val="nil"/>
              <w:left w:val="nil"/>
              <w:bottom w:val="single" w:sz="4" w:space="0" w:color="auto"/>
              <w:right w:val="single" w:sz="4" w:space="0" w:color="auto"/>
            </w:tcBorders>
            <w:shd w:val="clear" w:color="auto" w:fill="auto"/>
            <w:noWrap/>
            <w:vAlign w:val="center"/>
          </w:tcPr>
          <w:p w14:paraId="53FEC34A" w14:textId="0428E761" w:rsidR="00F41577" w:rsidRPr="007007A3" w:rsidRDefault="00F41577" w:rsidP="00F41577">
            <w:pPr>
              <w:spacing w:before="120" w:after="120"/>
              <w:jc w:val="right"/>
              <w:rPr>
                <w:rFonts w:ascii="Times New Roman" w:hAnsi="Times New Roman" w:cs="Times New Roman"/>
                <w:b/>
                <w:bCs/>
                <w:sz w:val="20"/>
                <w:szCs w:val="20"/>
              </w:rPr>
            </w:pPr>
            <w:r w:rsidRPr="005E56B7">
              <w:rPr>
                <w:rFonts w:ascii="Garamond" w:hAnsi="Garamond"/>
                <w:b/>
                <w:bCs/>
                <w:szCs w:val="20"/>
              </w:rPr>
              <w:t>-2 786,4</w:t>
            </w:r>
          </w:p>
        </w:tc>
        <w:tc>
          <w:tcPr>
            <w:tcW w:w="1159" w:type="dxa"/>
            <w:tcBorders>
              <w:top w:val="nil"/>
              <w:left w:val="nil"/>
              <w:bottom w:val="single" w:sz="4" w:space="0" w:color="auto"/>
              <w:right w:val="single" w:sz="4" w:space="0" w:color="auto"/>
            </w:tcBorders>
            <w:shd w:val="clear" w:color="auto" w:fill="auto"/>
            <w:noWrap/>
            <w:vAlign w:val="center"/>
          </w:tcPr>
          <w:p w14:paraId="6F96D6B4" w14:textId="4D2A99D6"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67,6</w:t>
            </w:r>
          </w:p>
        </w:tc>
        <w:tc>
          <w:tcPr>
            <w:tcW w:w="1113" w:type="dxa"/>
            <w:tcBorders>
              <w:top w:val="nil"/>
              <w:left w:val="nil"/>
              <w:bottom w:val="single" w:sz="4" w:space="0" w:color="auto"/>
              <w:right w:val="single" w:sz="4" w:space="0" w:color="auto"/>
            </w:tcBorders>
            <w:shd w:val="clear" w:color="auto" w:fill="auto"/>
            <w:noWrap/>
            <w:vAlign w:val="center"/>
          </w:tcPr>
          <w:p w14:paraId="08B7BC04" w14:textId="54DA9004"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114,0</w:t>
            </w:r>
          </w:p>
        </w:tc>
      </w:tr>
      <w:tr w:rsidR="00F41577" w:rsidRPr="003D514A" w14:paraId="54A89CE6"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2D471282" w14:textId="77777777" w:rsidR="00F41577" w:rsidRPr="00602E3C" w:rsidRDefault="00F41577" w:rsidP="00F41577">
            <w:pPr>
              <w:keepNext/>
              <w:keepLines/>
              <w:spacing w:before="120" w:after="120"/>
              <w:jc w:val="right"/>
              <w:rPr>
                <w:rFonts w:ascii="Times New Roman" w:hAnsi="Times New Roman" w:cs="Times New Roman"/>
                <w:sz w:val="20"/>
                <w:szCs w:val="20"/>
              </w:rPr>
            </w:pPr>
            <w:r w:rsidRPr="7BF38582">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1A9DE151" w14:textId="5CB5465C"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38 038,2</w:t>
            </w:r>
          </w:p>
        </w:tc>
        <w:tc>
          <w:tcPr>
            <w:tcW w:w="1276" w:type="dxa"/>
            <w:tcBorders>
              <w:top w:val="nil"/>
              <w:left w:val="nil"/>
              <w:bottom w:val="single" w:sz="4" w:space="0" w:color="auto"/>
              <w:right w:val="single" w:sz="4" w:space="0" w:color="auto"/>
            </w:tcBorders>
            <w:shd w:val="clear" w:color="auto" w:fill="auto"/>
            <w:noWrap/>
            <w:vAlign w:val="center"/>
          </w:tcPr>
          <w:p w14:paraId="35D99CF8" w14:textId="4570158A"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rPr>
              <w:t>22 039,0</w:t>
            </w:r>
          </w:p>
        </w:tc>
        <w:tc>
          <w:tcPr>
            <w:tcW w:w="1075" w:type="dxa"/>
            <w:tcBorders>
              <w:top w:val="nil"/>
              <w:left w:val="nil"/>
              <w:bottom w:val="single" w:sz="4" w:space="0" w:color="auto"/>
              <w:right w:val="single" w:sz="4" w:space="0" w:color="auto"/>
            </w:tcBorders>
            <w:shd w:val="clear" w:color="auto" w:fill="auto"/>
            <w:noWrap/>
            <w:vAlign w:val="center"/>
          </w:tcPr>
          <w:p w14:paraId="7867A6F0" w14:textId="61449A9C"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57,9</w:t>
            </w:r>
          </w:p>
        </w:tc>
        <w:tc>
          <w:tcPr>
            <w:tcW w:w="1103" w:type="dxa"/>
            <w:tcBorders>
              <w:top w:val="nil"/>
              <w:left w:val="nil"/>
              <w:bottom w:val="single" w:sz="4" w:space="0" w:color="auto"/>
              <w:right w:val="single" w:sz="4" w:space="0" w:color="auto"/>
            </w:tcBorders>
            <w:shd w:val="clear" w:color="auto" w:fill="auto"/>
            <w:noWrap/>
            <w:vAlign w:val="center"/>
          </w:tcPr>
          <w:p w14:paraId="3B7C4504" w14:textId="4309E889"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38 728,8</w:t>
            </w:r>
          </w:p>
        </w:tc>
        <w:tc>
          <w:tcPr>
            <w:tcW w:w="1224" w:type="dxa"/>
            <w:tcBorders>
              <w:top w:val="nil"/>
              <w:left w:val="nil"/>
              <w:bottom w:val="single" w:sz="4" w:space="0" w:color="auto"/>
              <w:right w:val="single" w:sz="4" w:space="0" w:color="auto"/>
            </w:tcBorders>
            <w:shd w:val="clear" w:color="auto" w:fill="auto"/>
            <w:noWrap/>
            <w:vAlign w:val="center"/>
          </w:tcPr>
          <w:p w14:paraId="29707FCC" w14:textId="7809BCB3"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23 394,9</w:t>
            </w:r>
          </w:p>
        </w:tc>
        <w:tc>
          <w:tcPr>
            <w:tcW w:w="1159" w:type="dxa"/>
            <w:tcBorders>
              <w:top w:val="nil"/>
              <w:left w:val="nil"/>
              <w:bottom w:val="single" w:sz="4" w:space="0" w:color="auto"/>
              <w:right w:val="single" w:sz="4" w:space="0" w:color="auto"/>
            </w:tcBorders>
            <w:shd w:val="clear" w:color="auto" w:fill="auto"/>
            <w:noWrap/>
            <w:vAlign w:val="center"/>
          </w:tcPr>
          <w:p w14:paraId="5BE38AAD" w14:textId="1480F57F"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60,4</w:t>
            </w:r>
          </w:p>
        </w:tc>
        <w:tc>
          <w:tcPr>
            <w:tcW w:w="1113" w:type="dxa"/>
            <w:tcBorders>
              <w:top w:val="nil"/>
              <w:left w:val="nil"/>
              <w:bottom w:val="single" w:sz="4" w:space="0" w:color="auto"/>
              <w:right w:val="single" w:sz="4" w:space="0" w:color="auto"/>
            </w:tcBorders>
            <w:shd w:val="clear" w:color="auto" w:fill="auto"/>
            <w:noWrap/>
            <w:vAlign w:val="center"/>
          </w:tcPr>
          <w:p w14:paraId="434BF952" w14:textId="4401CB0B"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106,2</w:t>
            </w:r>
          </w:p>
        </w:tc>
      </w:tr>
      <w:tr w:rsidR="00F41577" w:rsidRPr="0096527E" w14:paraId="7BAEDA41" w14:textId="77777777" w:rsidTr="00F41577">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9802C9" w14:textId="77777777" w:rsidR="00F41577" w:rsidRPr="00602E3C" w:rsidRDefault="00F41577" w:rsidP="00F41577">
            <w:pPr>
              <w:keepNext/>
              <w:keepLines/>
              <w:spacing w:before="120" w:after="120"/>
              <w:jc w:val="right"/>
              <w:rPr>
                <w:rFonts w:ascii="Times New Roman" w:hAnsi="Times New Roman" w:cs="Times New Roman"/>
                <w:sz w:val="20"/>
                <w:szCs w:val="20"/>
              </w:rPr>
            </w:pPr>
            <w:r w:rsidRPr="7BF38582">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59AFD40D" w14:textId="450538BB"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42 134,0</w:t>
            </w:r>
          </w:p>
        </w:tc>
        <w:tc>
          <w:tcPr>
            <w:tcW w:w="1276" w:type="dxa"/>
            <w:tcBorders>
              <w:top w:val="nil"/>
              <w:left w:val="nil"/>
              <w:bottom w:val="single" w:sz="4" w:space="0" w:color="auto"/>
              <w:right w:val="single" w:sz="4" w:space="0" w:color="auto"/>
            </w:tcBorders>
            <w:shd w:val="clear" w:color="auto" w:fill="auto"/>
            <w:noWrap/>
            <w:vAlign w:val="center"/>
          </w:tcPr>
          <w:p w14:paraId="4966DA4D" w14:textId="5E4F0FEF"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rPr>
              <w:t>24 482,3</w:t>
            </w:r>
          </w:p>
        </w:tc>
        <w:tc>
          <w:tcPr>
            <w:tcW w:w="1075" w:type="dxa"/>
            <w:tcBorders>
              <w:top w:val="nil"/>
              <w:left w:val="nil"/>
              <w:bottom w:val="single" w:sz="4" w:space="0" w:color="auto"/>
              <w:right w:val="single" w:sz="4" w:space="0" w:color="auto"/>
            </w:tcBorders>
            <w:shd w:val="clear" w:color="auto" w:fill="auto"/>
            <w:noWrap/>
            <w:vAlign w:val="center"/>
          </w:tcPr>
          <w:p w14:paraId="09D1A52D" w14:textId="54C4DFEC"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58,1</w:t>
            </w:r>
          </w:p>
        </w:tc>
        <w:tc>
          <w:tcPr>
            <w:tcW w:w="1103" w:type="dxa"/>
            <w:tcBorders>
              <w:top w:val="nil"/>
              <w:left w:val="nil"/>
              <w:bottom w:val="single" w:sz="4" w:space="0" w:color="auto"/>
              <w:right w:val="single" w:sz="4" w:space="0" w:color="auto"/>
            </w:tcBorders>
            <w:shd w:val="clear" w:color="auto" w:fill="auto"/>
            <w:noWrap/>
            <w:vAlign w:val="center"/>
          </w:tcPr>
          <w:p w14:paraId="4ABA63B9" w14:textId="6E2ED23E"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42 851,8</w:t>
            </w:r>
          </w:p>
        </w:tc>
        <w:tc>
          <w:tcPr>
            <w:tcW w:w="1224" w:type="dxa"/>
            <w:tcBorders>
              <w:top w:val="nil"/>
              <w:left w:val="nil"/>
              <w:bottom w:val="single" w:sz="4" w:space="0" w:color="auto"/>
              <w:right w:val="single" w:sz="4" w:space="0" w:color="auto"/>
            </w:tcBorders>
            <w:shd w:val="clear" w:color="auto" w:fill="auto"/>
            <w:noWrap/>
            <w:vAlign w:val="center"/>
          </w:tcPr>
          <w:p w14:paraId="6B9088C5" w14:textId="7F615F79"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26 181,3</w:t>
            </w:r>
          </w:p>
        </w:tc>
        <w:tc>
          <w:tcPr>
            <w:tcW w:w="1159" w:type="dxa"/>
            <w:tcBorders>
              <w:top w:val="nil"/>
              <w:left w:val="nil"/>
              <w:bottom w:val="single" w:sz="4" w:space="0" w:color="auto"/>
              <w:right w:val="single" w:sz="4" w:space="0" w:color="auto"/>
            </w:tcBorders>
            <w:shd w:val="clear" w:color="auto" w:fill="auto"/>
            <w:noWrap/>
            <w:vAlign w:val="center"/>
          </w:tcPr>
          <w:p w14:paraId="22DBE23B" w14:textId="5D1BBB05"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61,1</w:t>
            </w:r>
          </w:p>
        </w:tc>
        <w:tc>
          <w:tcPr>
            <w:tcW w:w="1113" w:type="dxa"/>
            <w:tcBorders>
              <w:top w:val="nil"/>
              <w:left w:val="nil"/>
              <w:bottom w:val="single" w:sz="4" w:space="0" w:color="auto"/>
              <w:right w:val="single" w:sz="4" w:space="0" w:color="auto"/>
            </w:tcBorders>
            <w:shd w:val="clear" w:color="auto" w:fill="auto"/>
            <w:noWrap/>
            <w:vAlign w:val="center"/>
          </w:tcPr>
          <w:p w14:paraId="6882C43A" w14:textId="0FE5E113" w:rsidR="00F41577" w:rsidRPr="007007A3" w:rsidRDefault="00F41577" w:rsidP="00F41577">
            <w:pPr>
              <w:spacing w:before="120" w:after="120"/>
              <w:jc w:val="right"/>
              <w:rPr>
                <w:rFonts w:ascii="Times New Roman" w:hAnsi="Times New Roman" w:cs="Times New Roman"/>
                <w:sz w:val="20"/>
                <w:szCs w:val="20"/>
              </w:rPr>
            </w:pPr>
            <w:r w:rsidRPr="005E56B7">
              <w:rPr>
                <w:rFonts w:ascii="Garamond" w:hAnsi="Garamond"/>
                <w:szCs w:val="20"/>
              </w:rPr>
              <w:t>106,9</w:t>
            </w:r>
          </w:p>
        </w:tc>
      </w:tr>
    </w:tbl>
    <w:p w14:paraId="651BA2DD" w14:textId="77777777" w:rsidR="005171E0" w:rsidRDefault="005171E0" w:rsidP="00794A5E">
      <w:pPr>
        <w:jc w:val="both"/>
        <w:rPr>
          <w:rFonts w:ascii="Times New Roman" w:eastAsia="Times New Roman" w:hAnsi="Times New Roman" w:cs="Times New Roman"/>
          <w:sz w:val="26"/>
          <w:szCs w:val="26"/>
          <w:lang w:eastAsia="hu-HU"/>
        </w:rPr>
      </w:pPr>
    </w:p>
    <w:p w14:paraId="6530C941" w14:textId="77777777" w:rsidR="00794A5E" w:rsidRDefault="00794A5E" w:rsidP="00794A5E">
      <w:pPr>
        <w:jc w:val="both"/>
        <w:rPr>
          <w:rFonts w:ascii="Times New Roman" w:eastAsia="Times New Roman" w:hAnsi="Times New Roman" w:cs="Times New Roman"/>
          <w:sz w:val="26"/>
          <w:szCs w:val="26"/>
          <w:lang w:eastAsia="hu-HU"/>
        </w:rPr>
      </w:pPr>
    </w:p>
    <w:p w14:paraId="47665E44" w14:textId="77777777" w:rsidR="00794A5E" w:rsidRPr="00377D59" w:rsidRDefault="7BF38582" w:rsidP="7BF38582">
      <w:pPr>
        <w:keepNext/>
        <w:spacing w:line="240" w:lineRule="auto"/>
        <w:ind w:left="425" w:hanging="425"/>
        <w:jc w:val="center"/>
        <w:outlineLvl w:val="3"/>
        <w:rPr>
          <w:rFonts w:ascii="Times New Roman" w:eastAsia="Times New Roman" w:hAnsi="Times New Roman" w:cs="Times New Roman"/>
          <w:b/>
          <w:bCs/>
          <w:caps/>
          <w:sz w:val="26"/>
          <w:szCs w:val="26"/>
          <w:lang w:eastAsia="hu-HU"/>
        </w:rPr>
      </w:pPr>
      <w:r w:rsidRPr="7BF38582">
        <w:rPr>
          <w:rFonts w:ascii="Times New Roman" w:eastAsia="Times New Roman" w:hAnsi="Times New Roman" w:cs="Times New Roman"/>
          <w:b/>
          <w:bCs/>
          <w:caps/>
          <w:sz w:val="26"/>
          <w:szCs w:val="26"/>
          <w:lang w:eastAsia="hu-HU"/>
        </w:rPr>
        <w:t>Az államháztartás központi alrendszerének HIÁNYA</w:t>
      </w:r>
    </w:p>
    <w:p w14:paraId="48257848" w14:textId="075C0814" w:rsidR="00794A5E" w:rsidRPr="00794A5E" w:rsidRDefault="7BF38582" w:rsidP="7BF38582">
      <w:pPr>
        <w:jc w:val="both"/>
        <w:rPr>
          <w:rFonts w:ascii="Times New Roman" w:eastAsia="Times New Roman" w:hAnsi="Times New Roman" w:cs="Times New Roman"/>
          <w:color w:val="000000" w:themeColor="text1"/>
          <w:sz w:val="26"/>
          <w:szCs w:val="26"/>
          <w:lang w:eastAsia="hu-HU"/>
        </w:rPr>
      </w:pPr>
      <w:r w:rsidRPr="7BF38582">
        <w:rPr>
          <w:rFonts w:ascii="Times New Roman" w:eastAsia="Times New Roman" w:hAnsi="Times New Roman" w:cs="Times New Roman"/>
          <w:color w:val="000000" w:themeColor="text1"/>
          <w:sz w:val="26"/>
          <w:szCs w:val="26"/>
          <w:lang w:eastAsia="hu-HU"/>
        </w:rPr>
        <w:t>Az államháztartás központi alrendszerének az elfogadott költségvetési törvényben szereplő 3,7%-os ESA-hiányhoz tartozó pénzforgalmi hiánya 4123,0 milliárd forint.</w:t>
      </w:r>
    </w:p>
    <w:p w14:paraId="60844057" w14:textId="56FB7248" w:rsidR="00794A5E" w:rsidRPr="00794A5E" w:rsidRDefault="7BF38582" w:rsidP="7BF38582">
      <w:pPr>
        <w:jc w:val="both"/>
        <w:rPr>
          <w:rFonts w:ascii="Times New Roman" w:eastAsia="Times New Roman" w:hAnsi="Times New Roman" w:cs="Times New Roman"/>
          <w:color w:val="000000" w:themeColor="text1"/>
          <w:sz w:val="26"/>
          <w:szCs w:val="26"/>
          <w:lang w:eastAsia="hu-HU"/>
        </w:rPr>
      </w:pPr>
      <w:r w:rsidRPr="7BF38582">
        <w:rPr>
          <w:rFonts w:ascii="Times New Roman" w:eastAsia="Times New Roman" w:hAnsi="Times New Roman" w:cs="Times New Roman"/>
          <w:color w:val="000000" w:themeColor="text1"/>
          <w:sz w:val="26"/>
          <w:szCs w:val="26"/>
          <w:lang w:eastAsia="hu-HU"/>
        </w:rPr>
        <w:t>A 4,1%-os várható ESA-hiányhoz tartozó várható éves pénzforgalmi hiány ugyanakkor 4774,0 milliárd forint. A központi alrendszer jú</w:t>
      </w:r>
      <w:r w:rsidR="00F41577">
        <w:rPr>
          <w:rFonts w:ascii="Times New Roman" w:eastAsia="Times New Roman" w:hAnsi="Times New Roman" w:cs="Times New Roman"/>
          <w:color w:val="000000" w:themeColor="text1"/>
          <w:sz w:val="26"/>
          <w:szCs w:val="26"/>
          <w:lang w:eastAsia="hu-HU"/>
        </w:rPr>
        <w:t>l</w:t>
      </w:r>
      <w:r w:rsidRPr="7BF38582">
        <w:rPr>
          <w:rFonts w:ascii="Times New Roman" w:eastAsia="Times New Roman" w:hAnsi="Times New Roman" w:cs="Times New Roman"/>
          <w:color w:val="000000" w:themeColor="text1"/>
          <w:sz w:val="26"/>
          <w:szCs w:val="26"/>
          <w:lang w:eastAsia="hu-HU"/>
        </w:rPr>
        <w:t>ius végi hiánya (27</w:t>
      </w:r>
      <w:r w:rsidR="002B5961">
        <w:rPr>
          <w:rFonts w:ascii="Times New Roman" w:eastAsia="Times New Roman" w:hAnsi="Times New Roman" w:cs="Times New Roman"/>
          <w:color w:val="000000" w:themeColor="text1"/>
          <w:sz w:val="26"/>
          <w:szCs w:val="26"/>
          <w:lang w:eastAsia="hu-HU"/>
        </w:rPr>
        <w:t>86,4</w:t>
      </w:r>
      <w:r w:rsidRPr="7BF38582">
        <w:rPr>
          <w:rFonts w:ascii="Times New Roman" w:eastAsia="Times New Roman" w:hAnsi="Times New Roman" w:cs="Times New Roman"/>
          <w:color w:val="000000" w:themeColor="text1"/>
          <w:sz w:val="26"/>
          <w:szCs w:val="26"/>
          <w:lang w:eastAsia="hu-HU"/>
        </w:rPr>
        <w:t xml:space="preserve"> milliárd forint) ennek 58,</w:t>
      </w:r>
      <w:r w:rsidR="002B5961">
        <w:rPr>
          <w:rFonts w:ascii="Times New Roman" w:eastAsia="Times New Roman" w:hAnsi="Times New Roman" w:cs="Times New Roman"/>
          <w:color w:val="000000" w:themeColor="text1"/>
          <w:sz w:val="26"/>
          <w:szCs w:val="26"/>
          <w:lang w:eastAsia="hu-HU"/>
        </w:rPr>
        <w:t>4</w:t>
      </w:r>
      <w:r w:rsidRPr="7BF38582">
        <w:rPr>
          <w:rFonts w:ascii="Times New Roman" w:eastAsia="Times New Roman" w:hAnsi="Times New Roman" w:cs="Times New Roman"/>
          <w:color w:val="000000" w:themeColor="text1"/>
          <w:sz w:val="26"/>
          <w:szCs w:val="26"/>
          <w:lang w:eastAsia="hu-HU"/>
        </w:rPr>
        <w:t>%-a.</w:t>
      </w:r>
    </w:p>
    <w:p w14:paraId="1A0A9898" w14:textId="77777777" w:rsidR="00794A5E" w:rsidRDefault="00794A5E" w:rsidP="00794A5E">
      <w:pPr>
        <w:jc w:val="both"/>
        <w:rPr>
          <w:rFonts w:ascii="Times New Roman" w:eastAsia="Times New Roman" w:hAnsi="Times New Roman" w:cs="Times New Roman"/>
          <w:sz w:val="26"/>
          <w:szCs w:val="26"/>
          <w:lang w:eastAsia="hu-HU"/>
        </w:rPr>
      </w:pPr>
    </w:p>
    <w:p w14:paraId="5D2837F8" w14:textId="77777777" w:rsidR="006D5492" w:rsidRDefault="006D5492" w:rsidP="006D5492">
      <w:pPr>
        <w:pageBreakBefore/>
        <w:spacing w:after="120" w:line="240" w:lineRule="auto"/>
        <w:jc w:val="center"/>
        <w:rPr>
          <w:rFonts w:ascii="Times New Roman" w:eastAsia="Times New Roman" w:hAnsi="Times New Roman" w:cs="Times New Roman"/>
          <w:b/>
          <w:bCs/>
          <w:sz w:val="26"/>
          <w:szCs w:val="26"/>
          <w:lang w:eastAsia="hu-HU"/>
        </w:rPr>
      </w:pPr>
    </w:p>
    <w:p w14:paraId="7B768A93" w14:textId="77777777" w:rsidR="00B155FE" w:rsidRPr="00377D59" w:rsidRDefault="7BF38582" w:rsidP="7BF38582">
      <w:pPr>
        <w:spacing w:after="120" w:line="240" w:lineRule="auto"/>
        <w:jc w:val="center"/>
        <w:rPr>
          <w:rFonts w:ascii="Times New Roman" w:eastAsia="Times New Roman" w:hAnsi="Times New Roman" w:cs="Times New Roman"/>
          <w:b/>
          <w:bCs/>
          <w:sz w:val="26"/>
          <w:szCs w:val="26"/>
          <w:lang w:eastAsia="hu-HU"/>
        </w:rPr>
      </w:pPr>
      <w:r w:rsidRPr="7BF38582">
        <w:rPr>
          <w:rFonts w:ascii="Times New Roman" w:eastAsia="Times New Roman" w:hAnsi="Times New Roman" w:cs="Times New Roman"/>
          <w:b/>
          <w:bCs/>
          <w:sz w:val="26"/>
          <w:szCs w:val="26"/>
          <w:lang w:eastAsia="hu-HU"/>
        </w:rPr>
        <w:t>I.</w:t>
      </w:r>
    </w:p>
    <w:p w14:paraId="7B768A94" w14:textId="77777777" w:rsidR="00B155FE" w:rsidRPr="00377D59" w:rsidRDefault="7BF38582" w:rsidP="7BF38582">
      <w:pPr>
        <w:keepNext/>
        <w:spacing w:after="120" w:line="240" w:lineRule="auto"/>
        <w:jc w:val="center"/>
        <w:outlineLvl w:val="1"/>
        <w:rPr>
          <w:rFonts w:ascii="Times New Roman" w:eastAsia="Times New Roman" w:hAnsi="Times New Roman" w:cs="Times New Roman"/>
          <w:b/>
          <w:bCs/>
          <w:caps/>
          <w:sz w:val="26"/>
          <w:szCs w:val="26"/>
          <w:lang w:eastAsia="hu-HU"/>
        </w:rPr>
      </w:pPr>
      <w:r w:rsidRPr="7BF38582">
        <w:rPr>
          <w:rFonts w:ascii="Times New Roman" w:eastAsia="Times New Roman" w:hAnsi="Times New Roman" w:cs="Times New Roman"/>
          <w:b/>
          <w:bCs/>
          <w:caps/>
          <w:sz w:val="26"/>
          <w:szCs w:val="26"/>
          <w:lang w:eastAsia="hu-HU"/>
        </w:rPr>
        <w:t xml:space="preserve">A központi alrendszer pénzügyi folyamatainak </w:t>
      </w:r>
      <w:r w:rsidR="13E847AC">
        <w:br/>
      </w:r>
      <w:r w:rsidRPr="7BF38582">
        <w:rPr>
          <w:rFonts w:ascii="Times New Roman" w:eastAsia="Times New Roman" w:hAnsi="Times New Roman" w:cs="Times New Roman"/>
          <w:b/>
          <w:bCs/>
          <w:caps/>
          <w:sz w:val="26"/>
          <w:szCs w:val="26"/>
          <w:lang w:eastAsia="hu-HU"/>
        </w:rPr>
        <w:t>alakulása</w:t>
      </w:r>
    </w:p>
    <w:p w14:paraId="6D461365" w14:textId="08DC9FC2" w:rsidR="0004032B" w:rsidRPr="00377D59" w:rsidRDefault="7BF38582" w:rsidP="7BF38582">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7BF38582">
        <w:rPr>
          <w:rFonts w:ascii="Times New Roman" w:eastAsia="Times New Roman" w:hAnsi="Times New Roman" w:cs="Times New Roman"/>
          <w:b/>
          <w:bCs/>
          <w:smallCaps/>
          <w:sz w:val="28"/>
          <w:szCs w:val="28"/>
          <w:lang w:eastAsia="hu-HU"/>
        </w:rPr>
        <w:t>A főbb bevételek</w:t>
      </w:r>
    </w:p>
    <w:p w14:paraId="1618CD2C" w14:textId="2D51492D" w:rsidR="00C561BC" w:rsidRDefault="7BF38582" w:rsidP="7BF38582">
      <w:pPr>
        <w:jc w:val="both"/>
        <w:rPr>
          <w:rFonts w:ascii="Times New Roman" w:eastAsia="Times New Roman" w:hAnsi="Times New Roman" w:cs="Times New Roman"/>
          <w:b/>
          <w:bCs/>
          <w:sz w:val="26"/>
          <w:szCs w:val="26"/>
        </w:rPr>
      </w:pPr>
      <w:r w:rsidRPr="7BF38582">
        <w:rPr>
          <w:rFonts w:ascii="Times New Roman" w:eastAsia="Times New Roman" w:hAnsi="Times New Roman" w:cs="Times New Roman"/>
          <w:b/>
          <w:bCs/>
          <w:sz w:val="26"/>
          <w:szCs w:val="26"/>
        </w:rPr>
        <w:t xml:space="preserve">A központi alrendszer </w:t>
      </w:r>
      <w:r w:rsidR="00F41577" w:rsidRPr="00F41577">
        <w:rPr>
          <w:rFonts w:ascii="Times New Roman" w:eastAsia="Times New Roman" w:hAnsi="Times New Roman" w:cs="Times New Roman"/>
          <w:b/>
          <w:bCs/>
          <w:sz w:val="26"/>
          <w:szCs w:val="26"/>
        </w:rPr>
        <w:t>július végi 23</w:t>
      </w:r>
      <w:r w:rsidR="00F41577">
        <w:rPr>
          <w:rFonts w:ascii="Times New Roman" w:eastAsia="Times New Roman" w:hAnsi="Times New Roman" w:cs="Times New Roman"/>
          <w:b/>
          <w:bCs/>
          <w:sz w:val="26"/>
          <w:szCs w:val="26"/>
        </w:rPr>
        <w:t> </w:t>
      </w:r>
      <w:r w:rsidR="00F41577" w:rsidRPr="00F41577">
        <w:rPr>
          <w:rFonts w:ascii="Times New Roman" w:eastAsia="Times New Roman" w:hAnsi="Times New Roman" w:cs="Times New Roman"/>
          <w:b/>
          <w:bCs/>
          <w:sz w:val="26"/>
          <w:szCs w:val="26"/>
        </w:rPr>
        <w:t>394,9 milliárd forint összegű bevételei az előző év azonos időszakához képest 1355,9 milliárd forinttal, 6,2%-kal magasabb összegben alakultak</w:t>
      </w:r>
      <w:r w:rsidRPr="7BF38582">
        <w:rPr>
          <w:rFonts w:ascii="Times New Roman" w:eastAsia="Times New Roman" w:hAnsi="Times New Roman" w:cs="Times New Roman"/>
          <w:b/>
          <w:bCs/>
          <w:sz w:val="26"/>
          <w:szCs w:val="26"/>
        </w:rPr>
        <w:t>.</w:t>
      </w:r>
    </w:p>
    <w:p w14:paraId="6BBE59DE" w14:textId="7EEA8BEC" w:rsidR="00CF551C" w:rsidRDefault="00F41577" w:rsidP="00C11940">
      <w:pPr>
        <w:pStyle w:val="NormlWeb"/>
        <w:spacing w:before="0" w:beforeAutospacing="0" w:after="120" w:afterAutospacing="0"/>
        <w:jc w:val="center"/>
      </w:pPr>
      <w:r>
        <w:rPr>
          <w:noProof/>
        </w:rPr>
        <w:drawing>
          <wp:inline distT="0" distB="0" distL="0" distR="0" wp14:anchorId="0706D453" wp14:editId="4CBA869F">
            <wp:extent cx="5940425" cy="2407285"/>
            <wp:effectExtent l="0" t="0" r="3175" b="0"/>
            <wp:docPr id="162368901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89015" name=""/>
                    <pic:cNvPicPr/>
                  </pic:nvPicPr>
                  <pic:blipFill>
                    <a:blip r:embed="rId14"/>
                    <a:stretch>
                      <a:fillRect/>
                    </a:stretch>
                  </pic:blipFill>
                  <pic:spPr>
                    <a:xfrm>
                      <a:off x="0" y="0"/>
                      <a:ext cx="5940425" cy="2407285"/>
                    </a:xfrm>
                    <a:prstGeom prst="rect">
                      <a:avLst/>
                    </a:prstGeom>
                  </pic:spPr>
                </pic:pic>
              </a:graphicData>
            </a:graphic>
          </wp:inline>
        </w:drawing>
      </w:r>
    </w:p>
    <w:p w14:paraId="7F9A3AB2" w14:textId="77777777" w:rsidR="002A41A8" w:rsidRPr="002A41A8" w:rsidRDefault="002A41A8" w:rsidP="002B5961">
      <w:pPr>
        <w:jc w:val="both"/>
        <w:rPr>
          <w:rFonts w:ascii="Times New Roman" w:eastAsia="Times New Roman" w:hAnsi="Times New Roman" w:cs="Times New Roman"/>
          <w:sz w:val="26"/>
          <w:szCs w:val="20"/>
          <w:highlight w:val="yellow"/>
          <w:lang w:eastAsia="hu-HU"/>
        </w:rPr>
      </w:pPr>
      <w:r w:rsidRPr="002A41A8">
        <w:rPr>
          <w:rFonts w:ascii="Times New Roman" w:eastAsia="Times New Roman" w:hAnsi="Times New Roman" w:cs="Times New Roman"/>
          <w:b/>
          <w:bCs/>
          <w:sz w:val="26"/>
          <w:szCs w:val="20"/>
          <w:lang w:eastAsia="hu-HU"/>
        </w:rPr>
        <w:t xml:space="preserve">Társasági adó </w:t>
      </w:r>
      <w:r w:rsidRPr="002A41A8">
        <w:rPr>
          <w:rFonts w:ascii="Times New Roman" w:eastAsia="Times New Roman" w:hAnsi="Times New Roman" w:cs="Times New Roman"/>
          <w:sz w:val="26"/>
          <w:szCs w:val="20"/>
          <w:lang w:eastAsia="hu-HU"/>
        </w:rPr>
        <w:t>jogcímen a 2025. év első hét hónapjában 659,1 milliárd forint realizálódott, amely az előző év egyenlegétől 28,7 milliárd forinttal maradt el. A bázisévhez viszonyítva az eltérést az előlegek előző évinél alacsonyabb szintje magyarázza.</w:t>
      </w:r>
    </w:p>
    <w:p w14:paraId="5ACAB8CC" w14:textId="6D75DE18" w:rsidR="002A41A8" w:rsidRPr="002A41A8" w:rsidRDefault="002A41A8" w:rsidP="002B5961">
      <w:pPr>
        <w:jc w:val="both"/>
        <w:rPr>
          <w:rFonts w:ascii="Times New Roman" w:eastAsia="Times New Roman" w:hAnsi="Times New Roman" w:cs="Times New Roman"/>
          <w:sz w:val="26"/>
          <w:szCs w:val="20"/>
          <w:highlight w:val="yellow"/>
          <w:lang w:eastAsia="hu-HU"/>
        </w:rPr>
      </w:pPr>
      <w:r w:rsidRPr="002A41A8">
        <w:rPr>
          <w:rFonts w:ascii="Times New Roman" w:eastAsia="Times New Roman" w:hAnsi="Times New Roman" w:cs="Times New Roman"/>
          <w:bCs/>
          <w:sz w:val="26"/>
          <w:szCs w:val="20"/>
          <w:lang w:eastAsia="hu-HU"/>
        </w:rPr>
        <w:t>A</w:t>
      </w:r>
      <w:r w:rsidRPr="002A41A8">
        <w:rPr>
          <w:rFonts w:ascii="Times New Roman" w:eastAsia="Times New Roman" w:hAnsi="Times New Roman" w:cs="Times New Roman"/>
          <w:b/>
          <w:bCs/>
          <w:sz w:val="26"/>
          <w:szCs w:val="20"/>
          <w:lang w:eastAsia="hu-HU"/>
        </w:rPr>
        <w:t xml:space="preserve"> pénzügyi szervezetek befizetései</w:t>
      </w:r>
      <w:r w:rsidRPr="002A41A8">
        <w:rPr>
          <w:rFonts w:ascii="Times New Roman" w:eastAsia="Times New Roman" w:hAnsi="Times New Roman" w:cs="Times New Roman"/>
          <w:sz w:val="26"/>
          <w:szCs w:val="20"/>
          <w:lang w:eastAsia="hu-HU"/>
        </w:rPr>
        <w:t xml:space="preserve"> mérlegsoron a 2025. év első hét hónapjában 220,1 milliárd forint teljesült, amely az előző év egyenlegét 45,6 milliárd forinttal haladja meg. Ennek oka az előírt magasabb előlegkötelezettségek a pénzügyi szervezetek különadója esetén</w:t>
      </w:r>
      <w:r w:rsidR="00221A06">
        <w:rPr>
          <w:rFonts w:ascii="Times New Roman" w:eastAsia="Times New Roman" w:hAnsi="Times New Roman" w:cs="Times New Roman"/>
          <w:sz w:val="26"/>
          <w:szCs w:val="20"/>
          <w:lang w:eastAsia="hu-HU"/>
        </w:rPr>
        <w:t>, valamint</w:t>
      </w:r>
      <w:r w:rsidRPr="002A41A8">
        <w:rPr>
          <w:rFonts w:ascii="Times New Roman" w:eastAsia="Times New Roman" w:hAnsi="Times New Roman" w:cs="Times New Roman"/>
          <w:sz w:val="26"/>
          <w:szCs w:val="20"/>
          <w:lang w:eastAsia="hu-HU"/>
        </w:rPr>
        <w:t xml:space="preserve"> a magasabb előírt hitelintézeti extraprofitadó bevétel.</w:t>
      </w:r>
    </w:p>
    <w:p w14:paraId="2E2046F2" w14:textId="77777777" w:rsidR="002A41A8" w:rsidRPr="002A41A8" w:rsidRDefault="002A41A8" w:rsidP="002B5961">
      <w:pPr>
        <w:jc w:val="both"/>
        <w:rPr>
          <w:rFonts w:ascii="Times New Roman" w:eastAsia="Times New Roman" w:hAnsi="Times New Roman" w:cs="Times New Roman"/>
          <w:sz w:val="26"/>
          <w:szCs w:val="20"/>
          <w:lang w:eastAsia="hu-HU"/>
        </w:rPr>
      </w:pPr>
      <w:r w:rsidRPr="002A41A8">
        <w:rPr>
          <w:rFonts w:ascii="Times New Roman" w:eastAsia="Times New Roman" w:hAnsi="Times New Roman" w:cs="Times New Roman"/>
          <w:bCs/>
          <w:sz w:val="26"/>
          <w:szCs w:val="20"/>
          <w:lang w:eastAsia="hu-HU"/>
        </w:rPr>
        <w:t>A</w:t>
      </w:r>
      <w:r w:rsidRPr="002A41A8">
        <w:rPr>
          <w:rFonts w:ascii="Times New Roman" w:eastAsia="Times New Roman" w:hAnsi="Times New Roman" w:cs="Times New Roman"/>
          <w:b/>
          <w:bCs/>
          <w:sz w:val="26"/>
          <w:szCs w:val="20"/>
          <w:lang w:eastAsia="hu-HU"/>
        </w:rPr>
        <w:t xml:space="preserve"> kisadózók tételes adójából</w:t>
      </w:r>
      <w:r w:rsidRPr="002A41A8">
        <w:rPr>
          <w:rFonts w:ascii="Times New Roman" w:eastAsia="Times New Roman" w:hAnsi="Times New Roman" w:cs="Times New Roman"/>
          <w:sz w:val="26"/>
          <w:szCs w:val="20"/>
          <w:lang w:eastAsia="hu-HU"/>
        </w:rPr>
        <w:t xml:space="preserve"> 2025 első hét hónapjában a költségvetésnek 40,8 milliárd forint bevétele keletkezett, amely 1,8 milliárd forinttal több az egy évvel korábbinál. Ennek oka az adónemet választók magasabb létszáma.</w:t>
      </w:r>
    </w:p>
    <w:p w14:paraId="2B763A6A" w14:textId="5FE9B475" w:rsidR="006A6F7F" w:rsidRPr="002A41A8" w:rsidRDefault="002A41A8" w:rsidP="002B5961">
      <w:pPr>
        <w:jc w:val="both"/>
        <w:rPr>
          <w:rFonts w:ascii="Times New Roman" w:eastAsia="Times New Roman" w:hAnsi="Times New Roman" w:cs="Times New Roman"/>
          <w:sz w:val="26"/>
          <w:szCs w:val="20"/>
          <w:highlight w:val="yellow"/>
          <w:lang w:eastAsia="hu-HU"/>
        </w:rPr>
      </w:pPr>
      <w:r w:rsidRPr="002A41A8">
        <w:rPr>
          <w:rFonts w:ascii="Times New Roman" w:eastAsia="Times New Roman" w:hAnsi="Times New Roman" w:cs="Times New Roman"/>
          <w:bCs/>
          <w:sz w:val="26"/>
          <w:szCs w:val="20"/>
          <w:lang w:eastAsia="hu-HU"/>
        </w:rPr>
        <w:t>A</w:t>
      </w:r>
      <w:r w:rsidRPr="002A41A8">
        <w:rPr>
          <w:rFonts w:ascii="Times New Roman" w:eastAsia="Times New Roman" w:hAnsi="Times New Roman" w:cs="Times New Roman"/>
          <w:b/>
          <w:bCs/>
          <w:sz w:val="26"/>
          <w:szCs w:val="20"/>
          <w:lang w:eastAsia="hu-HU"/>
        </w:rPr>
        <w:t xml:space="preserve"> kisvállalati adóból</w:t>
      </w:r>
      <w:r w:rsidRPr="002A41A8">
        <w:rPr>
          <w:rFonts w:ascii="Times New Roman" w:eastAsia="Times New Roman" w:hAnsi="Times New Roman" w:cs="Times New Roman"/>
          <w:sz w:val="26"/>
          <w:szCs w:val="20"/>
          <w:lang w:eastAsia="hu-HU"/>
        </w:rPr>
        <w:t xml:space="preserve"> származó bevétel a 2025. év első hét hónapjában 168,8 milliárd forint volt, amely 19,5</w:t>
      </w:r>
      <w:r w:rsidR="00221A06">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milliárd forinttal magasabb az előző év egyenlegénél. Ennek oka az adóalanyok számának jelentős mértékű bővülése. 2025</w:t>
      </w:r>
      <w:r w:rsidR="00221A06">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július</w:t>
      </w:r>
      <w:r w:rsidR="00221A06">
        <w:rPr>
          <w:rFonts w:ascii="Times New Roman" w:eastAsia="Times New Roman" w:hAnsi="Times New Roman" w:cs="Times New Roman"/>
          <w:sz w:val="26"/>
          <w:szCs w:val="20"/>
          <w:lang w:eastAsia="hu-HU"/>
        </w:rPr>
        <w:t>ában</w:t>
      </w:r>
      <w:r w:rsidRPr="002A41A8">
        <w:rPr>
          <w:rFonts w:ascii="Times New Roman" w:eastAsia="Times New Roman" w:hAnsi="Times New Roman" w:cs="Times New Roman"/>
          <w:sz w:val="26"/>
          <w:szCs w:val="20"/>
          <w:lang w:eastAsia="hu-HU"/>
        </w:rPr>
        <w:t xml:space="preserve"> a KIVA alanyok száma 98,9</w:t>
      </w:r>
      <w:r w:rsidR="00221A06">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ezer</w:t>
      </w:r>
      <w:r w:rsidR="00221A06">
        <w:rPr>
          <w:rFonts w:ascii="Times New Roman" w:eastAsia="Times New Roman" w:hAnsi="Times New Roman" w:cs="Times New Roman"/>
          <w:sz w:val="26"/>
          <w:szCs w:val="20"/>
          <w:lang w:eastAsia="hu-HU"/>
        </w:rPr>
        <w:t xml:space="preserve"> volt</w:t>
      </w:r>
      <w:r w:rsidRPr="002A41A8">
        <w:rPr>
          <w:rFonts w:ascii="Times New Roman" w:eastAsia="Times New Roman" w:hAnsi="Times New Roman" w:cs="Times New Roman"/>
          <w:sz w:val="26"/>
          <w:szCs w:val="20"/>
          <w:lang w:eastAsia="hu-HU"/>
        </w:rPr>
        <w:t>.</w:t>
      </w:r>
    </w:p>
    <w:p w14:paraId="05A0FCFD" w14:textId="096D34F1" w:rsidR="00640595" w:rsidRDefault="75809766" w:rsidP="002B5961">
      <w:pPr>
        <w:jc w:val="both"/>
        <w:rPr>
          <w:rFonts w:ascii="Times New Roman" w:eastAsia="Times New Roman" w:hAnsi="Times New Roman" w:cs="Times New Roman"/>
          <w:sz w:val="26"/>
          <w:szCs w:val="26"/>
        </w:rPr>
      </w:pPr>
      <w:r w:rsidRPr="75809766">
        <w:rPr>
          <w:rFonts w:ascii="Times New Roman" w:eastAsia="Times New Roman" w:hAnsi="Times New Roman" w:cs="Times New Roman"/>
          <w:sz w:val="26"/>
          <w:szCs w:val="26"/>
        </w:rPr>
        <w:t xml:space="preserve">A </w:t>
      </w:r>
      <w:r w:rsidRPr="75809766">
        <w:rPr>
          <w:rFonts w:ascii="Times New Roman" w:eastAsia="Times New Roman" w:hAnsi="Times New Roman" w:cs="Times New Roman"/>
          <w:b/>
          <w:bCs/>
          <w:sz w:val="26"/>
          <w:szCs w:val="26"/>
        </w:rPr>
        <w:t>bányajáradék-bevétel</w:t>
      </w:r>
      <w:r w:rsidRPr="75809766">
        <w:rPr>
          <w:rFonts w:ascii="Times New Roman" w:eastAsia="Times New Roman" w:hAnsi="Times New Roman" w:cs="Times New Roman"/>
          <w:sz w:val="26"/>
          <w:szCs w:val="26"/>
        </w:rPr>
        <w:t xml:space="preserve"> 2025 első hét hónapjában 71,8 milliárd forint volt, amely 4,4 milliárd forinttal teljesült magasabban az előző év azonos időszakához képest, amelynek fő oka </w:t>
      </w:r>
      <w:r w:rsidR="00E022A9">
        <w:rPr>
          <w:rFonts w:ascii="Times New Roman" w:eastAsia="Times New Roman" w:hAnsi="Times New Roman" w:cs="Times New Roman"/>
          <w:sz w:val="26"/>
          <w:szCs w:val="26"/>
        </w:rPr>
        <w:t xml:space="preserve">a </w:t>
      </w:r>
      <w:r w:rsidR="5170D769" w:rsidRPr="5170D769">
        <w:rPr>
          <w:rFonts w:ascii="Times New Roman" w:eastAsia="Times New Roman" w:hAnsi="Times New Roman" w:cs="Times New Roman"/>
          <w:sz w:val="26"/>
          <w:szCs w:val="26"/>
        </w:rPr>
        <w:t xml:space="preserve">számítási szabályok év eleji kisebb változása és </w:t>
      </w:r>
      <w:r w:rsidRPr="75809766">
        <w:rPr>
          <w:rFonts w:ascii="Times New Roman" w:eastAsia="Times New Roman" w:hAnsi="Times New Roman" w:cs="Times New Roman"/>
          <w:sz w:val="26"/>
          <w:szCs w:val="26"/>
        </w:rPr>
        <w:t xml:space="preserve">a bányajáradék számításához kapcsolódó makroparaméterek (olajár, gázár, árfolyamok) </w:t>
      </w:r>
      <w:r w:rsidR="5170D769" w:rsidRPr="5170D769">
        <w:rPr>
          <w:rFonts w:ascii="Times New Roman" w:eastAsia="Times New Roman" w:hAnsi="Times New Roman" w:cs="Times New Roman"/>
          <w:sz w:val="26"/>
          <w:szCs w:val="26"/>
        </w:rPr>
        <w:t>alakulásának együttes eredője</w:t>
      </w:r>
      <w:r w:rsidRPr="75809766">
        <w:rPr>
          <w:rFonts w:ascii="Times New Roman" w:eastAsia="Times New Roman" w:hAnsi="Times New Roman" w:cs="Times New Roman"/>
          <w:sz w:val="26"/>
          <w:szCs w:val="26"/>
        </w:rPr>
        <w:t>.</w:t>
      </w:r>
    </w:p>
    <w:p w14:paraId="2708C9A3" w14:textId="77777777" w:rsidR="00C561BC" w:rsidRDefault="00C561BC" w:rsidP="002B5961">
      <w:pPr>
        <w:jc w:val="both"/>
        <w:rPr>
          <w:rFonts w:ascii="Times New Roman" w:eastAsia="Times New Roman" w:hAnsi="Times New Roman" w:cs="Times New Roman"/>
          <w:sz w:val="26"/>
          <w:szCs w:val="26"/>
        </w:rPr>
      </w:pPr>
    </w:p>
    <w:p w14:paraId="5322C39E" w14:textId="76B0A34D" w:rsidR="72AFD5C4" w:rsidRPr="00377D59" w:rsidRDefault="7BF38582" w:rsidP="002B5961">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lastRenderedPageBreak/>
        <w:t xml:space="preserve">Az </w:t>
      </w:r>
      <w:r w:rsidRPr="7BF38582">
        <w:rPr>
          <w:rFonts w:ascii="Times New Roman" w:eastAsia="Times New Roman" w:hAnsi="Times New Roman" w:cs="Times New Roman"/>
          <w:b/>
          <w:bCs/>
          <w:sz w:val="26"/>
          <w:szCs w:val="26"/>
        </w:rPr>
        <w:t>útdíjakból származó bevétel</w:t>
      </w:r>
      <w:r w:rsidRPr="7BF38582">
        <w:rPr>
          <w:rFonts w:ascii="Times New Roman" w:eastAsia="Times New Roman" w:hAnsi="Times New Roman" w:cs="Times New Roman"/>
          <w:sz w:val="26"/>
          <w:szCs w:val="26"/>
        </w:rPr>
        <w:t xml:space="preserve"> 2024-től külön mérlegsoron jelenik meg, mely az elektronikus útdíj rendszer és az időalapú útdíj rendszer bevételeinek együttes összegét tartalmazza. Az útdíjakból 2025 júliusáig 364,3 milliárd forint költségvetési bevétel teljesült ezen a mérlegsoron, amely 18,</w:t>
      </w:r>
      <w:r w:rsidR="00351743">
        <w:rPr>
          <w:rFonts w:ascii="Times New Roman" w:eastAsia="Times New Roman" w:hAnsi="Times New Roman" w:cs="Times New Roman"/>
          <w:sz w:val="26"/>
          <w:szCs w:val="26"/>
        </w:rPr>
        <w:t>0</w:t>
      </w:r>
      <w:r w:rsidRPr="7BF38582">
        <w:rPr>
          <w:rFonts w:ascii="Times New Roman" w:eastAsia="Times New Roman" w:hAnsi="Times New Roman" w:cs="Times New Roman"/>
          <w:sz w:val="26"/>
          <w:szCs w:val="26"/>
        </w:rPr>
        <w:t> milliárd forinttal magasabb az előző év azonos időszakához viszonyítva. A magasabb teljesülést alapvetően a forgalmi viszonyok, valamint a díjrendszereket érintő jogszabályi keretek változása okozza.</w:t>
      </w:r>
    </w:p>
    <w:p w14:paraId="685BE235" w14:textId="037DDD3A" w:rsidR="008A66DB" w:rsidRDefault="75809766" w:rsidP="002B5961">
      <w:pPr>
        <w:jc w:val="both"/>
        <w:rPr>
          <w:rFonts w:ascii="Times New Roman" w:eastAsia="Times New Roman" w:hAnsi="Times New Roman" w:cs="Times New Roman"/>
          <w:sz w:val="26"/>
          <w:szCs w:val="26"/>
        </w:rPr>
      </w:pPr>
      <w:r w:rsidRPr="75809766">
        <w:rPr>
          <w:rFonts w:ascii="Times New Roman" w:eastAsia="Times New Roman" w:hAnsi="Times New Roman" w:cs="Times New Roman"/>
          <w:b/>
          <w:bCs/>
          <w:sz w:val="26"/>
          <w:szCs w:val="26"/>
        </w:rPr>
        <w:t xml:space="preserve">Egyéb központosított bevételekből </w:t>
      </w:r>
      <w:r w:rsidRPr="75809766">
        <w:rPr>
          <w:rFonts w:ascii="Times New Roman" w:eastAsia="Times New Roman" w:hAnsi="Times New Roman" w:cs="Times New Roman"/>
          <w:sz w:val="26"/>
          <w:szCs w:val="26"/>
        </w:rPr>
        <w:t>az év első hét hónapjában 114,1 milliárd forint bevétel teljesült, amely a törvényi előirányzat 62,8%-ának felel meg. Ezen belül kiemelked</w:t>
      </w:r>
      <w:r w:rsidRPr="003772C6">
        <w:rPr>
          <w:rFonts w:ascii="Times New Roman" w:eastAsia="Times New Roman" w:hAnsi="Times New Roman" w:cs="Times New Roman"/>
          <w:sz w:val="26"/>
          <w:szCs w:val="26"/>
        </w:rPr>
        <w:t>ő a bírságbevételekből befolyt 56,4 milliárd forint.</w:t>
      </w:r>
    </w:p>
    <w:p w14:paraId="500DA435" w14:textId="3FA77B43" w:rsidR="002A41A8" w:rsidRPr="002A41A8" w:rsidRDefault="002A41A8" w:rsidP="002B5961">
      <w:pPr>
        <w:jc w:val="both"/>
        <w:rPr>
          <w:rFonts w:ascii="Times New Roman" w:eastAsia="Times New Roman" w:hAnsi="Times New Roman" w:cs="Times New Roman"/>
          <w:b/>
          <w:sz w:val="26"/>
          <w:szCs w:val="20"/>
          <w:highlight w:val="yellow"/>
          <w:lang w:eastAsia="hu-HU"/>
        </w:rPr>
      </w:pPr>
      <w:r w:rsidRPr="002A41A8">
        <w:rPr>
          <w:rFonts w:ascii="Times New Roman" w:eastAsia="Times New Roman" w:hAnsi="Times New Roman" w:cs="Times New Roman"/>
          <w:sz w:val="26"/>
          <w:szCs w:val="20"/>
          <w:lang w:eastAsia="hu-HU"/>
        </w:rPr>
        <w:t>Az</w:t>
      </w:r>
      <w:r w:rsidRPr="002A41A8">
        <w:rPr>
          <w:rFonts w:ascii="Times New Roman" w:eastAsia="Times New Roman" w:hAnsi="Times New Roman" w:cs="Times New Roman"/>
          <w:b/>
          <w:sz w:val="26"/>
          <w:szCs w:val="20"/>
          <w:lang w:eastAsia="hu-HU"/>
        </w:rPr>
        <w:t xml:space="preserve"> energia ágazat befizetései </w:t>
      </w:r>
      <w:r w:rsidRPr="002A41A8">
        <w:rPr>
          <w:rFonts w:ascii="Times New Roman" w:eastAsia="Times New Roman" w:hAnsi="Times New Roman" w:cs="Times New Roman"/>
          <w:sz w:val="26"/>
          <w:szCs w:val="20"/>
          <w:lang w:eastAsia="hu-HU"/>
        </w:rPr>
        <w:t xml:space="preserve">jogcímen </w:t>
      </w:r>
      <w:r w:rsidR="007600C9">
        <w:rPr>
          <w:rFonts w:ascii="Times New Roman" w:eastAsia="Times New Roman" w:hAnsi="Times New Roman" w:cs="Times New Roman"/>
          <w:sz w:val="26"/>
          <w:szCs w:val="20"/>
          <w:lang w:eastAsia="hu-HU"/>
        </w:rPr>
        <w:t xml:space="preserve">a </w:t>
      </w:r>
      <w:r w:rsidRPr="002A41A8">
        <w:rPr>
          <w:rFonts w:ascii="Times New Roman" w:eastAsia="Times New Roman" w:hAnsi="Times New Roman" w:cs="Times New Roman"/>
          <w:sz w:val="26"/>
          <w:szCs w:val="20"/>
          <w:lang w:eastAsia="hu-HU"/>
        </w:rPr>
        <w:t xml:space="preserve">2025. év első hét hónapjában 162,4 milliárd forint pénzforgalom teljesült, amely az előző év egyenlegétől 27,4 milliárd forinttal maradt el. A bázisévhez viszonyított eltérés oka az Ural-Brent spread különadó </w:t>
      </w:r>
      <w:r w:rsidR="007600C9" w:rsidRPr="007600C9">
        <w:rPr>
          <w:rFonts w:ascii="Times New Roman" w:eastAsia="Times New Roman" w:hAnsi="Times New Roman" w:cs="Times New Roman"/>
          <w:sz w:val="26"/>
          <w:szCs w:val="20"/>
          <w:lang w:eastAsia="hu-HU"/>
        </w:rPr>
        <w:t>alacsonyabb mértékű teljesüléséhez köthető.</w:t>
      </w:r>
    </w:p>
    <w:p w14:paraId="3661629E" w14:textId="77777777" w:rsidR="002A41A8" w:rsidRPr="002A41A8" w:rsidRDefault="002A41A8" w:rsidP="002B5961">
      <w:pPr>
        <w:jc w:val="both"/>
        <w:rPr>
          <w:rFonts w:ascii="Times New Roman" w:eastAsia="Times New Roman" w:hAnsi="Times New Roman" w:cs="Times New Roman"/>
          <w:sz w:val="26"/>
          <w:szCs w:val="20"/>
          <w:highlight w:val="yellow"/>
          <w:lang w:eastAsia="hu-HU"/>
        </w:rPr>
      </w:pPr>
      <w:r w:rsidRPr="002A41A8">
        <w:rPr>
          <w:rFonts w:ascii="Times New Roman" w:eastAsia="Times New Roman" w:hAnsi="Times New Roman" w:cs="Times New Roman"/>
          <w:b/>
          <w:sz w:val="26"/>
          <w:szCs w:val="20"/>
          <w:lang w:eastAsia="hu-HU"/>
        </w:rPr>
        <w:t>K</w:t>
      </w:r>
      <w:r w:rsidRPr="002A41A8">
        <w:rPr>
          <w:rFonts w:ascii="Times New Roman" w:eastAsia="Times New Roman" w:hAnsi="Times New Roman" w:cs="Times New Roman"/>
          <w:b/>
          <w:bCs/>
          <w:sz w:val="26"/>
          <w:szCs w:val="20"/>
          <w:lang w:eastAsia="hu-HU"/>
        </w:rPr>
        <w:t xml:space="preserve">iskereskedelmi adó </w:t>
      </w:r>
      <w:r w:rsidRPr="002A41A8">
        <w:rPr>
          <w:rFonts w:ascii="Times New Roman" w:eastAsia="Times New Roman" w:hAnsi="Times New Roman" w:cs="Times New Roman"/>
          <w:sz w:val="26"/>
          <w:szCs w:val="20"/>
          <w:lang w:eastAsia="hu-HU"/>
        </w:rPr>
        <w:t>jogcímen a 2025. év első hét hónapjában 115,4 milliárd forint bevétel teljesült, amely a 2024. évi egyenlegénél 3,4 milliárd forinttal magasabb. A bevételek alakulásának hátterében a júliusi első előlegfizetés, valamint az elszámolásokhoz köthető befizetések állnak.</w:t>
      </w:r>
    </w:p>
    <w:p w14:paraId="51110750" w14:textId="715EAB64" w:rsidR="002A41A8" w:rsidRPr="002A41A8" w:rsidRDefault="002A41A8" w:rsidP="002B5961">
      <w:pPr>
        <w:jc w:val="both"/>
        <w:rPr>
          <w:rFonts w:ascii="Times New Roman" w:eastAsia="Times New Roman" w:hAnsi="Times New Roman" w:cs="Times New Roman"/>
          <w:b/>
          <w:sz w:val="26"/>
          <w:szCs w:val="20"/>
          <w:highlight w:val="yellow"/>
          <w:lang w:eastAsia="hu-HU"/>
        </w:rPr>
      </w:pPr>
      <w:r w:rsidRPr="002A41A8">
        <w:rPr>
          <w:rFonts w:ascii="Times New Roman" w:eastAsia="Times New Roman" w:hAnsi="Times New Roman" w:cs="Times New Roman"/>
          <w:b/>
          <w:sz w:val="26"/>
          <w:szCs w:val="20"/>
          <w:lang w:eastAsia="hu-HU"/>
        </w:rPr>
        <w:t xml:space="preserve">Gyógyszergyártói adó </w:t>
      </w:r>
      <w:r w:rsidRPr="002A41A8">
        <w:rPr>
          <w:rFonts w:ascii="Times New Roman" w:eastAsia="Times New Roman" w:hAnsi="Times New Roman" w:cs="Times New Roman"/>
          <w:sz w:val="26"/>
          <w:szCs w:val="20"/>
          <w:lang w:eastAsia="hu-HU"/>
        </w:rPr>
        <w:t xml:space="preserve">jogcímen </w:t>
      </w:r>
      <w:r w:rsidR="007600C9">
        <w:rPr>
          <w:rFonts w:ascii="Times New Roman" w:eastAsia="Times New Roman" w:hAnsi="Times New Roman" w:cs="Times New Roman"/>
          <w:sz w:val="26"/>
          <w:szCs w:val="20"/>
          <w:lang w:eastAsia="hu-HU"/>
        </w:rPr>
        <w:t xml:space="preserve">a </w:t>
      </w:r>
      <w:r w:rsidRPr="002A41A8">
        <w:rPr>
          <w:rFonts w:ascii="Times New Roman" w:eastAsia="Times New Roman" w:hAnsi="Times New Roman" w:cs="Times New Roman"/>
          <w:sz w:val="26"/>
          <w:szCs w:val="20"/>
          <w:lang w:eastAsia="hu-HU"/>
        </w:rPr>
        <w:t>2025. év első hét hónapjában 0,4 milliárd forint pénzforgalom teljesült, amely 10,5</w:t>
      </w:r>
      <w:r w:rsidR="007600C9">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 xml:space="preserve">milliárd forinttal maradt el az előző év azonos időszakához képest. Ennek oka, hogy az eltérő üzleti éves adózói kör már az előző évben megfizette a 2024. évi adókötelezettségét. Az adónem </w:t>
      </w:r>
      <w:r w:rsidR="0037227B">
        <w:rPr>
          <w:rFonts w:ascii="Times New Roman" w:eastAsia="Times New Roman" w:hAnsi="Times New Roman" w:cs="Times New Roman"/>
          <w:sz w:val="26"/>
          <w:szCs w:val="20"/>
          <w:lang w:eastAsia="hu-HU"/>
        </w:rPr>
        <w:t xml:space="preserve">a </w:t>
      </w:r>
      <w:r w:rsidRPr="002A41A8">
        <w:rPr>
          <w:rFonts w:ascii="Times New Roman" w:eastAsia="Times New Roman" w:hAnsi="Times New Roman" w:cs="Times New Roman"/>
          <w:sz w:val="26"/>
          <w:szCs w:val="20"/>
          <w:lang w:eastAsia="hu-HU"/>
        </w:rPr>
        <w:t>2025. évben megszűnt.</w:t>
      </w:r>
    </w:p>
    <w:p w14:paraId="15525F95" w14:textId="77777777" w:rsidR="002A41A8" w:rsidRPr="002A41A8" w:rsidRDefault="002A41A8" w:rsidP="002B5961">
      <w:pPr>
        <w:widowControl w:val="0"/>
        <w:jc w:val="both"/>
        <w:rPr>
          <w:rFonts w:ascii="Times New Roman" w:eastAsia="Times New Roman" w:hAnsi="Times New Roman" w:cs="Times New Roman"/>
          <w:sz w:val="26"/>
          <w:szCs w:val="20"/>
          <w:lang w:eastAsia="hu-HU"/>
        </w:rPr>
      </w:pPr>
      <w:r w:rsidRPr="002A41A8">
        <w:rPr>
          <w:rFonts w:ascii="Times New Roman" w:eastAsia="Times New Roman" w:hAnsi="Times New Roman" w:cs="Times New Roman"/>
          <w:sz w:val="26"/>
          <w:szCs w:val="20"/>
          <w:lang w:eastAsia="hu-HU"/>
        </w:rPr>
        <w:t xml:space="preserve">A </w:t>
      </w:r>
      <w:r w:rsidRPr="002A41A8">
        <w:rPr>
          <w:rFonts w:ascii="Times New Roman" w:eastAsia="Times New Roman" w:hAnsi="Times New Roman" w:cs="Times New Roman"/>
          <w:b/>
          <w:bCs/>
          <w:sz w:val="26"/>
          <w:szCs w:val="20"/>
          <w:lang w:eastAsia="hu-HU"/>
        </w:rPr>
        <w:t xml:space="preserve">rehabilitációs hozzájárulásból </w:t>
      </w:r>
      <w:r w:rsidRPr="002A41A8">
        <w:rPr>
          <w:rFonts w:ascii="Times New Roman" w:eastAsia="Times New Roman" w:hAnsi="Times New Roman" w:cs="Times New Roman"/>
          <w:bCs/>
          <w:sz w:val="26"/>
          <w:szCs w:val="20"/>
          <w:lang w:eastAsia="hu-HU"/>
        </w:rPr>
        <w:t>származó bevétel az év első hét hónapjában</w:t>
      </w:r>
      <w:r w:rsidRPr="002A41A8">
        <w:rPr>
          <w:rFonts w:ascii="Times New Roman" w:eastAsia="Times New Roman" w:hAnsi="Times New Roman" w:cs="Times New Roman"/>
          <w:sz w:val="26"/>
          <w:szCs w:val="20"/>
          <w:lang w:eastAsia="hu-HU"/>
        </w:rPr>
        <w:t xml:space="preserve"> 142,4 milliárd forint volt, amely 12,3 milliárd forinttal magasabb az egy évvel korábbi összegnél. Ennek oka a minimálbérnek, így az adó mértékének az emelkedése.</w:t>
      </w:r>
    </w:p>
    <w:p w14:paraId="54046E48" w14:textId="34E5F612" w:rsidR="006330AD" w:rsidRDefault="002A41A8" w:rsidP="002B5961">
      <w:pPr>
        <w:widowControl w:val="0"/>
        <w:tabs>
          <w:tab w:val="left" w:pos="3105"/>
        </w:tabs>
        <w:jc w:val="both"/>
        <w:rPr>
          <w:rFonts w:ascii="Times New Roman" w:eastAsia="Times New Roman" w:hAnsi="Times New Roman" w:cs="Times New Roman"/>
          <w:sz w:val="26"/>
          <w:szCs w:val="20"/>
          <w:lang w:eastAsia="hu-HU"/>
        </w:rPr>
      </w:pPr>
      <w:r w:rsidRPr="002A41A8">
        <w:rPr>
          <w:rFonts w:ascii="Times New Roman" w:eastAsia="Times New Roman" w:hAnsi="Times New Roman" w:cs="Times New Roman"/>
          <w:sz w:val="26"/>
          <w:szCs w:val="20"/>
          <w:lang w:eastAsia="hu-HU"/>
        </w:rPr>
        <w:t>A</w:t>
      </w:r>
      <w:r w:rsidR="007600C9">
        <w:rPr>
          <w:rFonts w:ascii="Times New Roman" w:eastAsia="Times New Roman" w:hAnsi="Times New Roman" w:cs="Times New Roman"/>
          <w:sz w:val="26"/>
          <w:szCs w:val="20"/>
          <w:lang w:eastAsia="hu-HU"/>
        </w:rPr>
        <w:t xml:space="preserve">z </w:t>
      </w:r>
      <w:r w:rsidRPr="002A41A8">
        <w:rPr>
          <w:rFonts w:ascii="Times New Roman" w:eastAsia="Times New Roman" w:hAnsi="Times New Roman" w:cs="Times New Roman"/>
          <w:sz w:val="26"/>
          <w:szCs w:val="20"/>
          <w:lang w:eastAsia="hu-HU"/>
        </w:rPr>
        <w:t xml:space="preserve">év első hét hónapjában az </w:t>
      </w:r>
      <w:r w:rsidRPr="002A41A8">
        <w:rPr>
          <w:rFonts w:ascii="Times New Roman" w:eastAsia="Times New Roman" w:hAnsi="Times New Roman" w:cs="Times New Roman"/>
          <w:b/>
          <w:bCs/>
          <w:sz w:val="26"/>
          <w:szCs w:val="20"/>
          <w:lang w:eastAsia="hu-HU"/>
        </w:rPr>
        <w:t>általános forgalmi adóból</w:t>
      </w:r>
      <w:r w:rsidRPr="002A41A8">
        <w:rPr>
          <w:rFonts w:ascii="Times New Roman" w:eastAsia="Times New Roman" w:hAnsi="Times New Roman" w:cs="Times New Roman"/>
          <w:sz w:val="26"/>
          <w:szCs w:val="20"/>
          <w:lang w:eastAsia="hu-HU"/>
        </w:rPr>
        <w:t xml:space="preserve"> 4858,6</w:t>
      </w:r>
      <w:r w:rsidRPr="002A41A8">
        <w:rPr>
          <w:rFonts w:ascii="Times New Roman" w:eastAsia="Times New Roman" w:hAnsi="Times New Roman" w:cs="Times New Roman"/>
          <w:color w:val="000000"/>
          <w:sz w:val="26"/>
          <w:szCs w:val="20"/>
          <w:lang w:eastAsia="hu-HU"/>
        </w:rPr>
        <w:t> </w:t>
      </w:r>
      <w:r w:rsidRPr="002A41A8">
        <w:rPr>
          <w:rFonts w:ascii="Times New Roman" w:eastAsia="Times New Roman" w:hAnsi="Times New Roman" w:cs="Times New Roman"/>
          <w:sz w:val="26"/>
          <w:szCs w:val="20"/>
          <w:lang w:eastAsia="hu-HU"/>
        </w:rPr>
        <w:t>milliárd forint bevétele keletkezett a költségvetésnek, ami az egy évvel korábbi bevételt 539,9</w:t>
      </w:r>
      <w:r w:rsidRPr="002A41A8">
        <w:rPr>
          <w:rFonts w:ascii="Times New Roman" w:eastAsia="Times New Roman" w:hAnsi="Times New Roman" w:cs="Times New Roman"/>
          <w:color w:val="000000"/>
          <w:sz w:val="26"/>
          <w:szCs w:val="20"/>
          <w:lang w:eastAsia="hu-HU"/>
        </w:rPr>
        <w:t> </w:t>
      </w:r>
      <w:r w:rsidRPr="002A41A8">
        <w:rPr>
          <w:rFonts w:ascii="Times New Roman" w:eastAsia="Times New Roman" w:hAnsi="Times New Roman" w:cs="Times New Roman"/>
          <w:sz w:val="26"/>
          <w:szCs w:val="20"/>
          <w:lang w:eastAsia="hu-HU"/>
        </w:rPr>
        <w:t>milliárd forinttal haladja meg.</w:t>
      </w:r>
    </w:p>
    <w:tbl>
      <w:tblPr>
        <w:tblW w:w="6905" w:type="dxa"/>
        <w:jc w:val="center"/>
        <w:tblCellMar>
          <w:left w:w="70" w:type="dxa"/>
          <w:right w:w="70" w:type="dxa"/>
        </w:tblCellMar>
        <w:tblLook w:val="04A0" w:firstRow="1" w:lastRow="0" w:firstColumn="1" w:lastColumn="0" w:noHBand="0" w:noVBand="1"/>
      </w:tblPr>
      <w:tblGrid>
        <w:gridCol w:w="1537"/>
        <w:gridCol w:w="1724"/>
        <w:gridCol w:w="1700"/>
        <w:gridCol w:w="993"/>
        <w:gridCol w:w="951"/>
      </w:tblGrid>
      <w:tr w:rsidR="002A41A8" w:rsidRPr="00D16A5D" w14:paraId="383BA02E" w14:textId="77777777" w:rsidTr="00F17FDD">
        <w:trPr>
          <w:trHeight w:val="255"/>
          <w:jc w:val="center"/>
        </w:trPr>
        <w:tc>
          <w:tcPr>
            <w:tcW w:w="6905" w:type="dxa"/>
            <w:gridSpan w:val="5"/>
            <w:tcBorders>
              <w:top w:val="nil"/>
              <w:left w:val="nil"/>
              <w:bottom w:val="nil"/>
              <w:right w:val="nil"/>
            </w:tcBorders>
            <w:noWrap/>
            <w:vAlign w:val="bottom"/>
            <w:hideMark/>
          </w:tcPr>
          <w:p w14:paraId="7DF4ED2C" w14:textId="77777777" w:rsidR="002A41A8" w:rsidRPr="005861AE" w:rsidRDefault="002A41A8" w:rsidP="00F17FDD">
            <w:pPr>
              <w:widowControl w:val="0"/>
              <w:spacing w:before="120"/>
              <w:jc w:val="center"/>
              <w:rPr>
                <w:rFonts w:ascii="Times New Roman" w:hAnsi="Times New Roman" w:cs="Times New Roman"/>
                <w:b/>
                <w:bCs/>
              </w:rPr>
            </w:pPr>
            <w:r w:rsidRPr="005861AE">
              <w:rPr>
                <w:rFonts w:ascii="Times New Roman" w:hAnsi="Times New Roman" w:cs="Times New Roman"/>
                <w:b/>
                <w:bCs/>
              </w:rPr>
              <w:t xml:space="preserve">Általános forgalmi adó bevétel alakulása (milliárd forint) </w:t>
            </w:r>
          </w:p>
        </w:tc>
      </w:tr>
      <w:tr w:rsidR="002A41A8" w:rsidRPr="00D16A5D" w14:paraId="1B9D30CD" w14:textId="77777777" w:rsidTr="002B5961">
        <w:trPr>
          <w:trHeight w:val="340"/>
          <w:jc w:val="center"/>
        </w:trPr>
        <w:tc>
          <w:tcPr>
            <w:tcW w:w="153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27CCD77" w14:textId="77777777" w:rsidR="002A41A8" w:rsidRPr="00F41577" w:rsidRDefault="002A41A8" w:rsidP="00F17FDD">
            <w:pPr>
              <w:spacing w:after="0"/>
              <w:jc w:val="center"/>
              <w:rPr>
                <w:rFonts w:ascii="Times New Roman" w:hAnsi="Times New Roman" w:cs="Times New Roman"/>
                <w:b/>
                <w:bCs/>
              </w:rPr>
            </w:pPr>
            <w:r w:rsidRPr="00F41577">
              <w:rPr>
                <w:rFonts w:ascii="Times New Roman" w:hAnsi="Times New Roman" w:cs="Times New Roman"/>
                <w:b/>
                <w:bCs/>
              </w:rPr>
              <w:t>Megnevezés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E33661" w14:textId="77777777" w:rsidR="002A41A8" w:rsidRPr="00F41577" w:rsidRDefault="002A41A8" w:rsidP="00F17FDD">
            <w:pPr>
              <w:spacing w:after="0"/>
              <w:jc w:val="center"/>
              <w:rPr>
                <w:rFonts w:ascii="Times New Roman" w:hAnsi="Times New Roman" w:cs="Times New Roman"/>
                <w:b/>
                <w:bCs/>
              </w:rPr>
            </w:pPr>
            <w:r w:rsidRPr="00F41577">
              <w:rPr>
                <w:rFonts w:ascii="Times New Roman" w:hAnsi="Times New Roman" w:cs="Times New Roman"/>
                <w:b/>
                <w:bCs/>
              </w:rPr>
              <w:t>2024.</w:t>
            </w:r>
          </w:p>
          <w:p w14:paraId="6FAA1382" w14:textId="7D207CD7" w:rsidR="002A41A8" w:rsidRPr="00F41577" w:rsidRDefault="002A41A8" w:rsidP="00F17FDD">
            <w:pPr>
              <w:spacing w:after="0"/>
              <w:jc w:val="center"/>
              <w:rPr>
                <w:rFonts w:ascii="Times New Roman" w:hAnsi="Times New Roman" w:cs="Times New Roman"/>
                <w:b/>
                <w:bCs/>
              </w:rPr>
            </w:pPr>
            <w:r w:rsidRPr="00F41577">
              <w:rPr>
                <w:rFonts w:ascii="Times New Roman" w:hAnsi="Times New Roman" w:cs="Times New Roman"/>
                <w:b/>
                <w:bCs/>
              </w:rPr>
              <w:t>I-VII. hó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BB4E1F" w14:textId="77777777" w:rsidR="002A41A8" w:rsidRPr="00F41577" w:rsidRDefault="002A41A8" w:rsidP="00F17FDD">
            <w:pPr>
              <w:spacing w:after="0"/>
              <w:jc w:val="center"/>
              <w:rPr>
                <w:rFonts w:ascii="Times New Roman" w:hAnsi="Times New Roman" w:cs="Times New Roman"/>
                <w:b/>
                <w:bCs/>
              </w:rPr>
            </w:pPr>
            <w:r w:rsidRPr="00F41577">
              <w:rPr>
                <w:rFonts w:ascii="Times New Roman" w:hAnsi="Times New Roman" w:cs="Times New Roman"/>
                <w:b/>
                <w:bCs/>
              </w:rPr>
              <w:t>2025.</w:t>
            </w:r>
          </w:p>
          <w:p w14:paraId="2EB0EAAE" w14:textId="7E428BB3" w:rsidR="002A41A8" w:rsidRPr="00F41577" w:rsidRDefault="002A41A8" w:rsidP="00F17FDD">
            <w:pPr>
              <w:spacing w:after="0"/>
              <w:jc w:val="center"/>
              <w:rPr>
                <w:rFonts w:ascii="Times New Roman" w:hAnsi="Times New Roman" w:cs="Times New Roman"/>
                <w:b/>
                <w:bCs/>
              </w:rPr>
            </w:pPr>
            <w:r w:rsidRPr="00F41577">
              <w:rPr>
                <w:rFonts w:ascii="Times New Roman" w:hAnsi="Times New Roman" w:cs="Times New Roman"/>
                <w:b/>
                <w:bCs/>
              </w:rPr>
              <w:t>I-VII. hó</w:t>
            </w:r>
          </w:p>
        </w:tc>
        <w:tc>
          <w:tcPr>
            <w:tcW w:w="194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427F2DF" w14:textId="77777777"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Eltérés</w:t>
            </w:r>
          </w:p>
        </w:tc>
      </w:tr>
      <w:tr w:rsidR="002A41A8" w:rsidRPr="00D16A5D" w14:paraId="152DF9A6" w14:textId="77777777" w:rsidTr="002B5961">
        <w:trPr>
          <w:trHeight w:val="340"/>
          <w:jc w:val="center"/>
        </w:trPr>
        <w:tc>
          <w:tcPr>
            <w:tcW w:w="153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65EF80" w14:textId="77777777" w:rsidR="002A41A8" w:rsidRPr="00F41577" w:rsidRDefault="002A41A8" w:rsidP="00F17FDD">
            <w:pPr>
              <w:spacing w:after="0"/>
              <w:rPr>
                <w:rFonts w:ascii="Times New Roman" w:hAnsi="Times New Roman" w:cs="Times New Roman"/>
                <w:b/>
                <w:bCs/>
              </w:rPr>
            </w:pPr>
          </w:p>
        </w:tc>
        <w:tc>
          <w:tcPr>
            <w:tcW w:w="172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A20931" w14:textId="77777777" w:rsidR="002A41A8" w:rsidRPr="00F41577" w:rsidRDefault="002A41A8" w:rsidP="00F17FDD">
            <w:pPr>
              <w:spacing w:after="0"/>
              <w:rPr>
                <w:rFonts w:ascii="Times New Roman" w:hAnsi="Times New Roman" w:cs="Times New Roman"/>
                <w:b/>
                <w:bCs/>
              </w:rPr>
            </w:pPr>
          </w:p>
        </w:tc>
        <w:tc>
          <w:tcPr>
            <w:tcW w:w="17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479B34" w14:textId="77777777" w:rsidR="002A41A8" w:rsidRPr="00F41577" w:rsidRDefault="002A41A8" w:rsidP="00F17FDD">
            <w:pPr>
              <w:spacing w:after="0"/>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E1A0437" w14:textId="77777777"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Mrd Ft</w:t>
            </w:r>
          </w:p>
        </w:tc>
        <w:tc>
          <w:tcPr>
            <w:tcW w:w="95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7208227" w14:textId="77777777"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w:t>
            </w:r>
          </w:p>
        </w:tc>
      </w:tr>
      <w:tr w:rsidR="002A41A8" w:rsidRPr="004645E3" w14:paraId="42DB508D" w14:textId="77777777" w:rsidTr="00F17FDD">
        <w:trPr>
          <w:trHeight w:val="340"/>
          <w:jc w:val="center"/>
        </w:trPr>
        <w:tc>
          <w:tcPr>
            <w:tcW w:w="1537" w:type="dxa"/>
            <w:tcBorders>
              <w:top w:val="single" w:sz="4" w:space="0" w:color="auto"/>
              <w:left w:val="single" w:sz="4" w:space="0" w:color="auto"/>
              <w:bottom w:val="single" w:sz="4" w:space="0" w:color="auto"/>
              <w:right w:val="single" w:sz="4" w:space="0" w:color="auto"/>
            </w:tcBorders>
            <w:noWrap/>
            <w:vAlign w:val="center"/>
            <w:hideMark/>
          </w:tcPr>
          <w:p w14:paraId="1FCF02DD" w14:textId="77777777" w:rsidR="002A41A8" w:rsidRPr="00F41577" w:rsidRDefault="002A41A8" w:rsidP="00F17FDD">
            <w:pPr>
              <w:spacing w:after="0"/>
              <w:rPr>
                <w:rFonts w:ascii="Times New Roman" w:hAnsi="Times New Roman" w:cs="Times New Roman"/>
              </w:rPr>
            </w:pPr>
            <w:r w:rsidRPr="00F41577">
              <w:rPr>
                <w:rFonts w:ascii="Times New Roman" w:hAnsi="Times New Roman" w:cs="Times New Roman"/>
              </w:rPr>
              <w:t>Befizetés</w:t>
            </w:r>
          </w:p>
        </w:tc>
        <w:tc>
          <w:tcPr>
            <w:tcW w:w="1724" w:type="dxa"/>
            <w:tcBorders>
              <w:top w:val="single" w:sz="4" w:space="0" w:color="auto"/>
              <w:left w:val="single" w:sz="4" w:space="0" w:color="auto"/>
              <w:bottom w:val="single" w:sz="4" w:space="0" w:color="auto"/>
              <w:right w:val="single" w:sz="4" w:space="0" w:color="auto"/>
            </w:tcBorders>
            <w:noWrap/>
            <w:vAlign w:val="center"/>
          </w:tcPr>
          <w:p w14:paraId="63AD9C8B" w14:textId="77777777" w:rsidR="002A41A8" w:rsidRPr="00F41577" w:rsidRDefault="002A41A8" w:rsidP="00F17FDD">
            <w:pPr>
              <w:spacing w:after="0"/>
              <w:jc w:val="right"/>
              <w:rPr>
                <w:rFonts w:ascii="Times New Roman" w:hAnsi="Times New Roman" w:cs="Times New Roman"/>
              </w:rPr>
            </w:pPr>
            <w:r w:rsidRPr="00F41577">
              <w:rPr>
                <w:rFonts w:ascii="Times New Roman" w:hAnsi="Times New Roman" w:cs="Times New Roman"/>
              </w:rPr>
              <w:t>7 442,4</w:t>
            </w:r>
          </w:p>
        </w:tc>
        <w:tc>
          <w:tcPr>
            <w:tcW w:w="1700" w:type="dxa"/>
            <w:tcBorders>
              <w:top w:val="single" w:sz="4" w:space="0" w:color="auto"/>
              <w:left w:val="single" w:sz="4" w:space="0" w:color="auto"/>
              <w:bottom w:val="single" w:sz="4" w:space="0" w:color="auto"/>
              <w:right w:val="single" w:sz="4" w:space="0" w:color="auto"/>
            </w:tcBorders>
            <w:noWrap/>
            <w:vAlign w:val="center"/>
          </w:tcPr>
          <w:p w14:paraId="165B6C8C" w14:textId="77777777" w:rsidR="002A41A8" w:rsidRPr="00F41577" w:rsidRDefault="002A41A8" w:rsidP="00F17FDD">
            <w:pPr>
              <w:spacing w:after="0"/>
              <w:jc w:val="right"/>
              <w:rPr>
                <w:rFonts w:ascii="Times New Roman" w:hAnsi="Times New Roman" w:cs="Times New Roman"/>
              </w:rPr>
            </w:pPr>
            <w:r w:rsidRPr="00F41577">
              <w:rPr>
                <w:rFonts w:ascii="Times New Roman" w:hAnsi="Times New Roman" w:cs="Times New Roman"/>
              </w:rPr>
              <w:t>7 908,4</w:t>
            </w:r>
          </w:p>
        </w:tc>
        <w:tc>
          <w:tcPr>
            <w:tcW w:w="993" w:type="dxa"/>
            <w:tcBorders>
              <w:top w:val="single" w:sz="4" w:space="0" w:color="auto"/>
              <w:left w:val="single" w:sz="4" w:space="0" w:color="auto"/>
              <w:bottom w:val="single" w:sz="4" w:space="0" w:color="auto"/>
              <w:right w:val="single" w:sz="4" w:space="0" w:color="auto"/>
            </w:tcBorders>
            <w:noWrap/>
            <w:vAlign w:val="center"/>
          </w:tcPr>
          <w:p w14:paraId="4C5FE77D" w14:textId="77777777" w:rsidR="002A41A8" w:rsidRPr="005861AE" w:rsidRDefault="002A41A8" w:rsidP="00F17FDD">
            <w:pPr>
              <w:spacing w:after="0"/>
              <w:jc w:val="right"/>
              <w:rPr>
                <w:rFonts w:ascii="Times New Roman" w:hAnsi="Times New Roman" w:cs="Times New Roman"/>
              </w:rPr>
            </w:pPr>
            <w:r w:rsidRPr="005861AE">
              <w:rPr>
                <w:rFonts w:ascii="Times New Roman" w:hAnsi="Times New Roman" w:cs="Times New Roman"/>
              </w:rPr>
              <w:t>466,0</w:t>
            </w:r>
          </w:p>
        </w:tc>
        <w:tc>
          <w:tcPr>
            <w:tcW w:w="951" w:type="dxa"/>
            <w:tcBorders>
              <w:top w:val="single" w:sz="4" w:space="0" w:color="auto"/>
              <w:left w:val="single" w:sz="4" w:space="0" w:color="auto"/>
              <w:bottom w:val="single" w:sz="4" w:space="0" w:color="auto"/>
              <w:right w:val="single" w:sz="4" w:space="0" w:color="auto"/>
            </w:tcBorders>
            <w:noWrap/>
            <w:vAlign w:val="center"/>
          </w:tcPr>
          <w:p w14:paraId="16407BD5" w14:textId="77777777" w:rsidR="002A41A8" w:rsidRPr="005861AE" w:rsidRDefault="002A41A8" w:rsidP="00F17FDD">
            <w:pPr>
              <w:spacing w:after="0"/>
              <w:jc w:val="right"/>
              <w:rPr>
                <w:rFonts w:ascii="Times New Roman" w:hAnsi="Times New Roman" w:cs="Times New Roman"/>
              </w:rPr>
            </w:pPr>
            <w:r w:rsidRPr="005861AE">
              <w:rPr>
                <w:rFonts w:ascii="Times New Roman" w:hAnsi="Times New Roman" w:cs="Times New Roman"/>
              </w:rPr>
              <w:t>106,3</w:t>
            </w:r>
          </w:p>
        </w:tc>
      </w:tr>
      <w:tr w:rsidR="002A41A8" w:rsidRPr="004645E3" w14:paraId="2B7DE866" w14:textId="77777777" w:rsidTr="00F17FDD">
        <w:trPr>
          <w:trHeight w:val="340"/>
          <w:jc w:val="center"/>
        </w:trPr>
        <w:tc>
          <w:tcPr>
            <w:tcW w:w="1537" w:type="dxa"/>
            <w:tcBorders>
              <w:top w:val="single" w:sz="4" w:space="0" w:color="auto"/>
              <w:left w:val="single" w:sz="4" w:space="0" w:color="auto"/>
              <w:bottom w:val="single" w:sz="4" w:space="0" w:color="auto"/>
              <w:right w:val="single" w:sz="4" w:space="0" w:color="auto"/>
            </w:tcBorders>
            <w:noWrap/>
            <w:vAlign w:val="center"/>
            <w:hideMark/>
          </w:tcPr>
          <w:p w14:paraId="72AE1792" w14:textId="77777777" w:rsidR="002A41A8" w:rsidRPr="00F41577" w:rsidRDefault="002A41A8" w:rsidP="00F17FDD">
            <w:pPr>
              <w:spacing w:after="0"/>
              <w:rPr>
                <w:rFonts w:ascii="Times New Roman" w:hAnsi="Times New Roman" w:cs="Times New Roman"/>
              </w:rPr>
            </w:pPr>
            <w:r w:rsidRPr="00F41577">
              <w:rPr>
                <w:rFonts w:ascii="Times New Roman" w:hAnsi="Times New Roman" w:cs="Times New Roman"/>
              </w:rPr>
              <w:t>Kiutalás</w:t>
            </w:r>
          </w:p>
        </w:tc>
        <w:tc>
          <w:tcPr>
            <w:tcW w:w="1724" w:type="dxa"/>
            <w:tcBorders>
              <w:top w:val="single" w:sz="4" w:space="0" w:color="auto"/>
              <w:left w:val="single" w:sz="4" w:space="0" w:color="auto"/>
              <w:bottom w:val="single" w:sz="4" w:space="0" w:color="auto"/>
              <w:right w:val="single" w:sz="4" w:space="0" w:color="auto"/>
            </w:tcBorders>
            <w:noWrap/>
            <w:vAlign w:val="center"/>
          </w:tcPr>
          <w:p w14:paraId="1BCB40E4" w14:textId="77777777" w:rsidR="002A41A8" w:rsidRPr="00F41577" w:rsidRDefault="002A41A8" w:rsidP="00F17FDD">
            <w:pPr>
              <w:spacing w:after="0"/>
              <w:jc w:val="right"/>
              <w:rPr>
                <w:rFonts w:ascii="Times New Roman" w:hAnsi="Times New Roman" w:cs="Times New Roman"/>
              </w:rPr>
            </w:pPr>
            <w:r w:rsidRPr="00F41577">
              <w:rPr>
                <w:rFonts w:ascii="Times New Roman" w:hAnsi="Times New Roman" w:cs="Times New Roman"/>
              </w:rPr>
              <w:t>3 123,7</w:t>
            </w:r>
          </w:p>
        </w:tc>
        <w:tc>
          <w:tcPr>
            <w:tcW w:w="1700" w:type="dxa"/>
            <w:tcBorders>
              <w:top w:val="single" w:sz="4" w:space="0" w:color="auto"/>
              <w:left w:val="single" w:sz="4" w:space="0" w:color="auto"/>
              <w:bottom w:val="single" w:sz="4" w:space="0" w:color="auto"/>
              <w:right w:val="single" w:sz="4" w:space="0" w:color="auto"/>
            </w:tcBorders>
            <w:noWrap/>
            <w:vAlign w:val="center"/>
          </w:tcPr>
          <w:p w14:paraId="5F852040" w14:textId="77777777" w:rsidR="002A41A8" w:rsidRPr="00F41577" w:rsidRDefault="002A41A8" w:rsidP="00F17FDD">
            <w:pPr>
              <w:spacing w:after="0"/>
              <w:jc w:val="right"/>
              <w:rPr>
                <w:rFonts w:ascii="Times New Roman" w:hAnsi="Times New Roman" w:cs="Times New Roman"/>
              </w:rPr>
            </w:pPr>
            <w:r w:rsidRPr="00F41577">
              <w:rPr>
                <w:rFonts w:ascii="Times New Roman" w:hAnsi="Times New Roman" w:cs="Times New Roman"/>
              </w:rPr>
              <w:t>3 049,8</w:t>
            </w:r>
          </w:p>
        </w:tc>
        <w:tc>
          <w:tcPr>
            <w:tcW w:w="993" w:type="dxa"/>
            <w:tcBorders>
              <w:top w:val="single" w:sz="4" w:space="0" w:color="auto"/>
              <w:left w:val="single" w:sz="4" w:space="0" w:color="auto"/>
              <w:bottom w:val="single" w:sz="4" w:space="0" w:color="auto"/>
              <w:right w:val="single" w:sz="4" w:space="0" w:color="auto"/>
            </w:tcBorders>
            <w:noWrap/>
            <w:vAlign w:val="center"/>
          </w:tcPr>
          <w:p w14:paraId="113324A6" w14:textId="77777777" w:rsidR="002A41A8" w:rsidRPr="005861AE" w:rsidRDefault="002A41A8" w:rsidP="00F17FDD">
            <w:pPr>
              <w:spacing w:after="0"/>
              <w:jc w:val="right"/>
              <w:rPr>
                <w:rFonts w:ascii="Times New Roman" w:hAnsi="Times New Roman" w:cs="Times New Roman"/>
              </w:rPr>
            </w:pPr>
            <w:r w:rsidRPr="005861AE">
              <w:rPr>
                <w:rFonts w:ascii="Times New Roman" w:hAnsi="Times New Roman" w:cs="Times New Roman"/>
              </w:rPr>
              <w:t>-73,9</w:t>
            </w:r>
          </w:p>
        </w:tc>
        <w:tc>
          <w:tcPr>
            <w:tcW w:w="951" w:type="dxa"/>
            <w:tcBorders>
              <w:top w:val="single" w:sz="4" w:space="0" w:color="auto"/>
              <w:left w:val="single" w:sz="4" w:space="0" w:color="auto"/>
              <w:bottom w:val="single" w:sz="4" w:space="0" w:color="auto"/>
              <w:right w:val="single" w:sz="4" w:space="0" w:color="auto"/>
            </w:tcBorders>
            <w:noWrap/>
            <w:vAlign w:val="center"/>
          </w:tcPr>
          <w:p w14:paraId="7211AF45" w14:textId="77777777" w:rsidR="002A41A8" w:rsidRPr="005861AE" w:rsidRDefault="002A41A8" w:rsidP="00F17FDD">
            <w:pPr>
              <w:spacing w:after="0"/>
              <w:jc w:val="right"/>
              <w:rPr>
                <w:rFonts w:ascii="Times New Roman" w:hAnsi="Times New Roman" w:cs="Times New Roman"/>
              </w:rPr>
            </w:pPr>
            <w:r w:rsidRPr="005861AE">
              <w:rPr>
                <w:rFonts w:ascii="Times New Roman" w:hAnsi="Times New Roman" w:cs="Times New Roman"/>
              </w:rPr>
              <w:t>97,6</w:t>
            </w:r>
          </w:p>
        </w:tc>
      </w:tr>
      <w:tr w:rsidR="002A41A8" w:rsidRPr="004645E3" w14:paraId="7715BAEF" w14:textId="77777777" w:rsidTr="00F17FDD">
        <w:trPr>
          <w:trHeight w:val="340"/>
          <w:jc w:val="center"/>
        </w:trPr>
        <w:tc>
          <w:tcPr>
            <w:tcW w:w="1537" w:type="dxa"/>
            <w:tcBorders>
              <w:top w:val="single" w:sz="4" w:space="0" w:color="auto"/>
              <w:left w:val="single" w:sz="4" w:space="0" w:color="auto"/>
              <w:bottom w:val="single" w:sz="4" w:space="0" w:color="auto"/>
              <w:right w:val="single" w:sz="4" w:space="0" w:color="auto"/>
            </w:tcBorders>
            <w:noWrap/>
            <w:vAlign w:val="center"/>
            <w:hideMark/>
          </w:tcPr>
          <w:p w14:paraId="18494E20" w14:textId="77777777" w:rsidR="002A41A8" w:rsidRPr="00F41577" w:rsidRDefault="002A41A8" w:rsidP="00F17FDD">
            <w:pPr>
              <w:spacing w:after="0"/>
              <w:rPr>
                <w:rFonts w:ascii="Times New Roman" w:hAnsi="Times New Roman" w:cs="Times New Roman"/>
                <w:b/>
                <w:bCs/>
              </w:rPr>
            </w:pPr>
            <w:r w:rsidRPr="00F41577">
              <w:rPr>
                <w:rFonts w:ascii="Times New Roman" w:hAnsi="Times New Roman" w:cs="Times New Roman"/>
                <w:b/>
                <w:bCs/>
              </w:rPr>
              <w:t>Egyenleg</w:t>
            </w:r>
          </w:p>
        </w:tc>
        <w:tc>
          <w:tcPr>
            <w:tcW w:w="1724" w:type="dxa"/>
            <w:tcBorders>
              <w:top w:val="single" w:sz="4" w:space="0" w:color="auto"/>
              <w:left w:val="single" w:sz="4" w:space="0" w:color="auto"/>
              <w:bottom w:val="single" w:sz="4" w:space="0" w:color="auto"/>
              <w:right w:val="single" w:sz="4" w:space="0" w:color="auto"/>
            </w:tcBorders>
            <w:noWrap/>
            <w:vAlign w:val="center"/>
          </w:tcPr>
          <w:p w14:paraId="4F46D686" w14:textId="77777777" w:rsidR="002A41A8" w:rsidRPr="00F41577" w:rsidRDefault="002A41A8" w:rsidP="00F17FDD">
            <w:pPr>
              <w:spacing w:after="0"/>
              <w:jc w:val="right"/>
              <w:rPr>
                <w:rFonts w:ascii="Times New Roman" w:hAnsi="Times New Roman" w:cs="Times New Roman"/>
                <w:b/>
                <w:bCs/>
              </w:rPr>
            </w:pPr>
            <w:r w:rsidRPr="00F41577">
              <w:rPr>
                <w:rFonts w:ascii="Times New Roman" w:hAnsi="Times New Roman" w:cs="Times New Roman"/>
                <w:b/>
                <w:bCs/>
              </w:rPr>
              <w:t>4 318,7</w:t>
            </w:r>
          </w:p>
        </w:tc>
        <w:tc>
          <w:tcPr>
            <w:tcW w:w="1700" w:type="dxa"/>
            <w:tcBorders>
              <w:top w:val="single" w:sz="4" w:space="0" w:color="auto"/>
              <w:left w:val="single" w:sz="4" w:space="0" w:color="auto"/>
              <w:bottom w:val="single" w:sz="4" w:space="0" w:color="auto"/>
              <w:right w:val="single" w:sz="4" w:space="0" w:color="auto"/>
            </w:tcBorders>
            <w:noWrap/>
            <w:vAlign w:val="center"/>
          </w:tcPr>
          <w:p w14:paraId="6BA0B5A8" w14:textId="77777777" w:rsidR="002A41A8" w:rsidRPr="00F41577" w:rsidRDefault="002A41A8" w:rsidP="00F17FDD">
            <w:pPr>
              <w:spacing w:after="0"/>
              <w:jc w:val="right"/>
              <w:rPr>
                <w:rFonts w:ascii="Times New Roman" w:hAnsi="Times New Roman" w:cs="Times New Roman"/>
                <w:b/>
                <w:bCs/>
              </w:rPr>
            </w:pPr>
            <w:r w:rsidRPr="00F41577">
              <w:rPr>
                <w:rFonts w:ascii="Times New Roman" w:hAnsi="Times New Roman" w:cs="Times New Roman"/>
                <w:b/>
                <w:bCs/>
              </w:rPr>
              <w:t>4 858,6</w:t>
            </w:r>
          </w:p>
        </w:tc>
        <w:tc>
          <w:tcPr>
            <w:tcW w:w="993" w:type="dxa"/>
            <w:tcBorders>
              <w:top w:val="single" w:sz="4" w:space="0" w:color="auto"/>
              <w:left w:val="single" w:sz="4" w:space="0" w:color="auto"/>
              <w:bottom w:val="single" w:sz="4" w:space="0" w:color="auto"/>
              <w:right w:val="single" w:sz="4" w:space="0" w:color="auto"/>
            </w:tcBorders>
            <w:noWrap/>
            <w:vAlign w:val="center"/>
          </w:tcPr>
          <w:p w14:paraId="0F65EC37" w14:textId="77777777" w:rsidR="002A41A8" w:rsidRPr="005861AE" w:rsidRDefault="002A41A8" w:rsidP="00F17FDD">
            <w:pPr>
              <w:spacing w:after="0"/>
              <w:jc w:val="right"/>
              <w:rPr>
                <w:rFonts w:ascii="Times New Roman" w:hAnsi="Times New Roman" w:cs="Times New Roman"/>
                <w:b/>
                <w:bCs/>
              </w:rPr>
            </w:pPr>
            <w:r w:rsidRPr="005861AE">
              <w:rPr>
                <w:rFonts w:ascii="Times New Roman" w:hAnsi="Times New Roman" w:cs="Times New Roman"/>
                <w:b/>
                <w:bCs/>
              </w:rPr>
              <w:t>539,9</w:t>
            </w:r>
          </w:p>
        </w:tc>
        <w:tc>
          <w:tcPr>
            <w:tcW w:w="951" w:type="dxa"/>
            <w:tcBorders>
              <w:top w:val="single" w:sz="4" w:space="0" w:color="auto"/>
              <w:left w:val="single" w:sz="4" w:space="0" w:color="auto"/>
              <w:bottom w:val="single" w:sz="4" w:space="0" w:color="auto"/>
              <w:right w:val="single" w:sz="4" w:space="0" w:color="auto"/>
            </w:tcBorders>
            <w:noWrap/>
            <w:vAlign w:val="center"/>
          </w:tcPr>
          <w:p w14:paraId="5423A8F6" w14:textId="77777777" w:rsidR="002A41A8" w:rsidRPr="005861AE" w:rsidRDefault="002A41A8" w:rsidP="00F17FDD">
            <w:pPr>
              <w:spacing w:after="0"/>
              <w:jc w:val="right"/>
              <w:rPr>
                <w:rFonts w:ascii="Times New Roman" w:hAnsi="Times New Roman" w:cs="Times New Roman"/>
                <w:b/>
                <w:bCs/>
              </w:rPr>
            </w:pPr>
            <w:r w:rsidRPr="005861AE">
              <w:rPr>
                <w:rFonts w:ascii="Times New Roman" w:hAnsi="Times New Roman" w:cs="Times New Roman"/>
                <w:b/>
                <w:bCs/>
              </w:rPr>
              <w:t>112,5</w:t>
            </w:r>
          </w:p>
        </w:tc>
      </w:tr>
    </w:tbl>
    <w:p w14:paraId="7BD8A1E9" w14:textId="59E16B63" w:rsidR="002A41A8" w:rsidRPr="002A41A8" w:rsidRDefault="002A41A8" w:rsidP="0037227B">
      <w:pPr>
        <w:spacing w:before="240"/>
        <w:jc w:val="both"/>
        <w:rPr>
          <w:rFonts w:ascii="Times New Roman" w:eastAsia="Times New Roman" w:hAnsi="Times New Roman" w:cs="Times New Roman"/>
          <w:sz w:val="26"/>
          <w:szCs w:val="20"/>
          <w:highlight w:val="yellow"/>
          <w:lang w:eastAsia="hu-HU"/>
        </w:rPr>
      </w:pPr>
      <w:r w:rsidRPr="002A41A8">
        <w:rPr>
          <w:rFonts w:ascii="Times New Roman" w:eastAsia="Times New Roman" w:hAnsi="Times New Roman" w:cs="Times New Roman"/>
          <w:sz w:val="26"/>
          <w:szCs w:val="20"/>
          <w:lang w:eastAsia="hu-HU"/>
        </w:rPr>
        <w:t>A belföldi befizetések és az import utáni áfabevételek növekedtek, ugyanakkor a dohány</w:t>
      </w:r>
      <w:r w:rsidR="00FD77E6">
        <w:rPr>
          <w:rFonts w:ascii="Times New Roman" w:eastAsia="Times New Roman" w:hAnsi="Times New Roman" w:cs="Times New Roman"/>
          <w:sz w:val="26"/>
          <w:szCs w:val="20"/>
          <w:lang w:eastAsia="hu-HU"/>
        </w:rPr>
        <w:t>-</w:t>
      </w:r>
      <w:r w:rsidRPr="002A41A8">
        <w:rPr>
          <w:rFonts w:ascii="Times New Roman" w:eastAsia="Times New Roman" w:hAnsi="Times New Roman" w:cs="Times New Roman"/>
          <w:sz w:val="26"/>
          <w:szCs w:val="20"/>
          <w:lang w:eastAsia="hu-HU"/>
        </w:rPr>
        <w:t>termékek utáni áfabevétel csökkent. A belföldi befizetések növekedése elsősorban a</w:t>
      </w:r>
      <w:r w:rsidR="005861AE">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kereskedelem ágazathoz köthető. Az import utáni befizetések növekedése hátterében a</w:t>
      </w:r>
      <w:r w:rsidR="005861AE">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forgalom alakulása áll. A dohánytermékek utáni bevételek alacsonyabb teljesülését a</w:t>
      </w:r>
      <w:r w:rsidR="005861AE">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2025.</w:t>
      </w:r>
      <w:r w:rsidR="005861AE">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januári jövedéki adómérték-emelésre adott piaci reakció, a készletezési hatás</w:t>
      </w:r>
      <w:r w:rsidR="00331B23">
        <w:rPr>
          <w:rFonts w:ascii="Times New Roman" w:eastAsia="Times New Roman" w:hAnsi="Times New Roman" w:cs="Times New Roman"/>
          <w:sz w:val="26"/>
          <w:szCs w:val="20"/>
          <w:lang w:eastAsia="hu-HU"/>
        </w:rPr>
        <w:t>,</w:t>
      </w:r>
      <w:r w:rsidRPr="002A41A8">
        <w:rPr>
          <w:rFonts w:ascii="Times New Roman" w:eastAsia="Times New Roman" w:hAnsi="Times New Roman" w:cs="Times New Roman"/>
          <w:sz w:val="26"/>
          <w:szCs w:val="20"/>
          <w:lang w:eastAsia="hu-HU"/>
        </w:rPr>
        <w:t xml:space="preserve"> </w:t>
      </w:r>
      <w:r w:rsidRPr="002A41A8">
        <w:rPr>
          <w:rFonts w:ascii="Times New Roman" w:eastAsia="Times New Roman" w:hAnsi="Times New Roman" w:cs="Times New Roman"/>
          <w:sz w:val="26"/>
          <w:szCs w:val="20"/>
          <w:lang w:eastAsia="hu-HU"/>
        </w:rPr>
        <w:lastRenderedPageBreak/>
        <w:t>valamint az ízesített, hevített dohánytermékekre vonatkozó jogszabályváltozás miatti 2024.</w:t>
      </w:r>
      <w:r w:rsidR="00331B23">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júliusi készletezés együttes hatása magyarázza. A kiutalások alakulását a köztes ágazatok befizetése befolyásolja.</w:t>
      </w:r>
    </w:p>
    <w:p w14:paraId="6BE93CF3" w14:textId="77777777" w:rsidR="00024158" w:rsidRPr="006330AD" w:rsidRDefault="00024158" w:rsidP="00024158">
      <w:pPr>
        <w:spacing w:after="0"/>
        <w:jc w:val="both"/>
        <w:rPr>
          <w:rFonts w:ascii="Times New Roman" w:eastAsia="Times New Roman" w:hAnsi="Times New Roman" w:cs="Times New Roman"/>
          <w:sz w:val="26"/>
          <w:szCs w:val="20"/>
          <w:lang w:eastAsia="hu-HU"/>
        </w:rPr>
      </w:pPr>
    </w:p>
    <w:p w14:paraId="6A4419C7" w14:textId="5B946F49" w:rsidR="00CF551C" w:rsidRPr="00945E04" w:rsidRDefault="005861AE" w:rsidP="004C0575">
      <w:pPr>
        <w:pStyle w:val="NormlWeb"/>
        <w:spacing w:before="0" w:beforeAutospacing="0" w:after="0" w:afterAutospacing="0"/>
        <w:jc w:val="center"/>
        <w:rPr>
          <w:sz w:val="22"/>
        </w:rPr>
      </w:pPr>
      <w:r>
        <w:rPr>
          <w:noProof/>
        </w:rPr>
        <w:drawing>
          <wp:inline distT="0" distB="0" distL="0" distR="0" wp14:anchorId="687E2B11" wp14:editId="59282593">
            <wp:extent cx="5940425" cy="3784600"/>
            <wp:effectExtent l="0" t="0" r="3175" b="6350"/>
            <wp:docPr id="130261472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14725" name=""/>
                    <pic:cNvPicPr/>
                  </pic:nvPicPr>
                  <pic:blipFill>
                    <a:blip r:embed="rId15"/>
                    <a:stretch>
                      <a:fillRect/>
                    </a:stretch>
                  </pic:blipFill>
                  <pic:spPr>
                    <a:xfrm>
                      <a:off x="0" y="0"/>
                      <a:ext cx="5940425" cy="3784600"/>
                    </a:xfrm>
                    <a:prstGeom prst="rect">
                      <a:avLst/>
                    </a:prstGeom>
                  </pic:spPr>
                </pic:pic>
              </a:graphicData>
            </a:graphic>
          </wp:inline>
        </w:drawing>
      </w:r>
    </w:p>
    <w:p w14:paraId="130D3D7F" w14:textId="3C21EEF4" w:rsidR="002A41A8" w:rsidRDefault="002A41A8" w:rsidP="0037227B">
      <w:pPr>
        <w:spacing w:before="240"/>
        <w:jc w:val="both"/>
        <w:rPr>
          <w:rFonts w:ascii="Times New Roman" w:eastAsia="Times New Roman" w:hAnsi="Times New Roman" w:cs="Times New Roman"/>
          <w:sz w:val="26"/>
          <w:szCs w:val="20"/>
          <w:lang w:eastAsia="hu-HU"/>
        </w:rPr>
      </w:pPr>
      <w:r w:rsidRPr="002A41A8">
        <w:rPr>
          <w:rFonts w:ascii="Times New Roman" w:eastAsia="Times New Roman" w:hAnsi="Times New Roman" w:cs="Times New Roman"/>
          <w:sz w:val="26"/>
          <w:szCs w:val="20"/>
          <w:lang w:eastAsia="hu-HU"/>
        </w:rPr>
        <w:t xml:space="preserve">A </w:t>
      </w:r>
      <w:r w:rsidRPr="002A41A8">
        <w:rPr>
          <w:rFonts w:ascii="Times New Roman" w:eastAsia="Times New Roman" w:hAnsi="Times New Roman" w:cs="Times New Roman"/>
          <w:b/>
          <w:sz w:val="26"/>
          <w:szCs w:val="20"/>
          <w:lang w:eastAsia="hu-HU"/>
        </w:rPr>
        <w:t>jövedéki adóból</w:t>
      </w:r>
      <w:r w:rsidRPr="002A41A8">
        <w:rPr>
          <w:rFonts w:ascii="Times New Roman" w:eastAsia="Times New Roman" w:hAnsi="Times New Roman" w:cs="Times New Roman"/>
          <w:sz w:val="26"/>
          <w:szCs w:val="20"/>
          <w:lang w:eastAsia="hu-HU"/>
        </w:rPr>
        <w:t xml:space="preserve"> származó bevétel a</w:t>
      </w:r>
      <w:r w:rsidR="008D1089">
        <w:rPr>
          <w:rFonts w:ascii="Times New Roman" w:eastAsia="Times New Roman" w:hAnsi="Times New Roman" w:cs="Times New Roman"/>
          <w:sz w:val="26"/>
          <w:szCs w:val="20"/>
          <w:lang w:eastAsia="hu-HU"/>
        </w:rPr>
        <w:t>z</w:t>
      </w:r>
      <w:r w:rsidRPr="002A41A8">
        <w:rPr>
          <w:rFonts w:ascii="Times New Roman" w:eastAsia="Times New Roman" w:hAnsi="Times New Roman" w:cs="Times New Roman"/>
          <w:sz w:val="26"/>
          <w:szCs w:val="20"/>
          <w:lang w:eastAsia="hu-HU"/>
        </w:rPr>
        <w:t xml:space="preserve"> év első hét hónapjában 895,6</w:t>
      </w:r>
      <w:r w:rsidRPr="002A41A8">
        <w:rPr>
          <w:rFonts w:ascii="Times New Roman" w:eastAsia="Times New Roman" w:hAnsi="Times New Roman" w:cs="Times New Roman"/>
          <w:color w:val="000000"/>
          <w:sz w:val="26"/>
          <w:szCs w:val="20"/>
          <w:lang w:eastAsia="hu-HU"/>
        </w:rPr>
        <w:t> </w:t>
      </w:r>
      <w:r w:rsidRPr="002A41A8">
        <w:rPr>
          <w:rFonts w:ascii="Times New Roman" w:eastAsia="Times New Roman" w:hAnsi="Times New Roman" w:cs="Times New Roman"/>
          <w:sz w:val="26"/>
          <w:szCs w:val="20"/>
          <w:lang w:eastAsia="hu-HU"/>
        </w:rPr>
        <w:t>milliárd forintot tett ki, amely 35,5 milliárd forinttal alacsonyabb az egy évvel korábbi bevételnél. Az</w:t>
      </w:r>
      <w:r w:rsidR="000E5A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üzemanyagok utáni bevételek növekedését a 2025. január 1-</w:t>
      </w:r>
      <w:r w:rsidR="00892166">
        <w:rPr>
          <w:rFonts w:ascii="Times New Roman" w:eastAsia="Times New Roman" w:hAnsi="Times New Roman" w:cs="Times New Roman"/>
          <w:sz w:val="26"/>
          <w:szCs w:val="20"/>
          <w:lang w:eastAsia="hu-HU"/>
        </w:rPr>
        <w:t>jé</w:t>
      </w:r>
      <w:r w:rsidRPr="002A41A8">
        <w:rPr>
          <w:rFonts w:ascii="Times New Roman" w:eastAsia="Times New Roman" w:hAnsi="Times New Roman" w:cs="Times New Roman"/>
          <w:sz w:val="26"/>
          <w:szCs w:val="20"/>
          <w:lang w:eastAsia="hu-HU"/>
        </w:rPr>
        <w:t>től hatályos magasabb adómértékek magyarázzák. A dohánytermékek utáni bevételek csökkenésének hátterében a</w:t>
      </w:r>
      <w:r w:rsidR="005278BA">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2025.</w:t>
      </w:r>
      <w:r w:rsidR="00A50F8A">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januári adómérték-emelésből fakadó készletezési hatás</w:t>
      </w:r>
      <w:r w:rsidR="00A50F8A">
        <w:rPr>
          <w:rFonts w:ascii="Times New Roman" w:eastAsia="Times New Roman" w:hAnsi="Times New Roman" w:cs="Times New Roman"/>
          <w:sz w:val="26"/>
          <w:szCs w:val="20"/>
          <w:lang w:eastAsia="hu-HU"/>
        </w:rPr>
        <w:t>,</w:t>
      </w:r>
      <w:r w:rsidRPr="002A41A8">
        <w:rPr>
          <w:rFonts w:ascii="Times New Roman" w:eastAsia="Times New Roman" w:hAnsi="Times New Roman" w:cs="Times New Roman"/>
          <w:sz w:val="26"/>
          <w:szCs w:val="20"/>
          <w:lang w:eastAsia="hu-HU"/>
        </w:rPr>
        <w:t xml:space="preserve"> valamint az ízesített, hevített dohánytermékekre vonatkozó jogszabályváltozásra adott piaci reakció, a</w:t>
      </w:r>
      <w:r w:rsidR="0037227B">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2024.</w:t>
      </w:r>
      <w:r w:rsidR="0037227B">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júliusi készletezés együttes hatása áll. A szeszesitalok és egyéb termékek esetében a bevételek csökkenését az alacsonyabb forgalom indokolja. Az energiaadó bevételek növekedése adónem-elszámoláshoz köthető.</w:t>
      </w:r>
    </w:p>
    <w:tbl>
      <w:tblPr>
        <w:tblW w:w="8752" w:type="dxa"/>
        <w:jc w:val="center"/>
        <w:tblCellMar>
          <w:left w:w="70" w:type="dxa"/>
          <w:right w:w="70" w:type="dxa"/>
        </w:tblCellMar>
        <w:tblLook w:val="04A0" w:firstRow="1" w:lastRow="0" w:firstColumn="1" w:lastColumn="0" w:noHBand="0" w:noVBand="1"/>
      </w:tblPr>
      <w:tblGrid>
        <w:gridCol w:w="3402"/>
        <w:gridCol w:w="1560"/>
        <w:gridCol w:w="1594"/>
        <w:gridCol w:w="1061"/>
        <w:gridCol w:w="1135"/>
      </w:tblGrid>
      <w:tr w:rsidR="002A41A8" w:rsidRPr="00D16A5D" w14:paraId="39E9D707" w14:textId="77777777" w:rsidTr="00F17FDD">
        <w:trPr>
          <w:trHeight w:val="255"/>
          <w:jc w:val="center"/>
        </w:trPr>
        <w:tc>
          <w:tcPr>
            <w:tcW w:w="8752" w:type="dxa"/>
            <w:gridSpan w:val="5"/>
            <w:tcBorders>
              <w:top w:val="nil"/>
              <w:left w:val="nil"/>
              <w:bottom w:val="single" w:sz="4" w:space="0" w:color="auto"/>
              <w:right w:val="nil"/>
            </w:tcBorders>
            <w:noWrap/>
            <w:vAlign w:val="bottom"/>
            <w:hideMark/>
          </w:tcPr>
          <w:p w14:paraId="062AFAF2" w14:textId="77777777" w:rsidR="002A41A8" w:rsidRPr="005861AE" w:rsidRDefault="002A41A8" w:rsidP="00F17FDD">
            <w:pPr>
              <w:spacing w:before="120"/>
              <w:jc w:val="center"/>
              <w:rPr>
                <w:rFonts w:ascii="Times New Roman" w:hAnsi="Times New Roman" w:cs="Times New Roman"/>
                <w:b/>
                <w:bCs/>
              </w:rPr>
            </w:pPr>
            <w:r w:rsidRPr="005861AE">
              <w:rPr>
                <w:rFonts w:ascii="Times New Roman" w:hAnsi="Times New Roman" w:cs="Times New Roman"/>
                <w:b/>
                <w:bCs/>
              </w:rPr>
              <w:t>Jövedéki adó bevétel alakulása (milliárd forint)</w:t>
            </w:r>
          </w:p>
        </w:tc>
      </w:tr>
      <w:tr w:rsidR="002A41A8" w:rsidRPr="00D16A5D" w14:paraId="52687E9D" w14:textId="77777777" w:rsidTr="0037227B">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AEAFB76" w14:textId="77777777"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Megnevezés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BDC87F" w14:textId="77777777"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2024.</w:t>
            </w:r>
          </w:p>
          <w:p w14:paraId="22C14F75" w14:textId="4EBEFC0C"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I-VII. hó</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12127E" w14:textId="77777777"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2025.</w:t>
            </w:r>
          </w:p>
          <w:p w14:paraId="695C678E" w14:textId="372A56EF"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I-VII. hó</w:t>
            </w:r>
          </w:p>
        </w:tc>
        <w:tc>
          <w:tcPr>
            <w:tcW w:w="21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8FD8F20" w14:textId="77777777"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Eltérés</w:t>
            </w:r>
          </w:p>
        </w:tc>
      </w:tr>
      <w:tr w:rsidR="002A41A8" w:rsidRPr="00D16A5D" w14:paraId="5ECC6652" w14:textId="77777777" w:rsidTr="0037227B">
        <w:trPr>
          <w:trHeight w:val="340"/>
          <w:jc w:val="center"/>
        </w:trPr>
        <w:tc>
          <w:tcPr>
            <w:tcW w:w="340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CE2B86" w14:textId="77777777" w:rsidR="002A41A8" w:rsidRPr="005861AE" w:rsidRDefault="002A41A8" w:rsidP="00F17FDD">
            <w:pPr>
              <w:spacing w:after="0"/>
              <w:rPr>
                <w:rFonts w:ascii="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9686908" w14:textId="77777777" w:rsidR="002A41A8" w:rsidRPr="005861AE" w:rsidRDefault="002A41A8" w:rsidP="00F17FDD">
            <w:pPr>
              <w:spacing w:after="0"/>
              <w:jc w:val="center"/>
              <w:rPr>
                <w:rFonts w:ascii="Times New Roman" w:hAnsi="Times New Roman" w:cs="Times New Roman"/>
                <w:b/>
                <w:bCs/>
              </w:rPr>
            </w:pPr>
          </w:p>
        </w:tc>
        <w:tc>
          <w:tcPr>
            <w:tcW w:w="159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59217F8" w14:textId="77777777" w:rsidR="002A41A8" w:rsidRPr="005861AE" w:rsidRDefault="002A41A8" w:rsidP="00F17FDD">
            <w:pPr>
              <w:spacing w:after="0"/>
              <w:jc w:val="center"/>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0AE6A8D" w14:textId="77777777"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Mrd Ft</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E3A549A" w14:textId="77777777"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w:t>
            </w:r>
          </w:p>
        </w:tc>
      </w:tr>
      <w:tr w:rsidR="002A41A8" w:rsidRPr="00D16A5D" w14:paraId="096199EE" w14:textId="77777777" w:rsidTr="00F17FDD">
        <w:trPr>
          <w:trHeight w:val="340"/>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14:paraId="627E3CF1" w14:textId="77777777" w:rsidR="002A41A8" w:rsidRPr="005861AE" w:rsidRDefault="002A41A8" w:rsidP="00F17FDD">
            <w:pPr>
              <w:spacing w:after="0"/>
              <w:rPr>
                <w:rFonts w:ascii="Times New Roman" w:hAnsi="Times New Roman" w:cs="Times New Roman"/>
              </w:rPr>
            </w:pPr>
            <w:r w:rsidRPr="005861AE">
              <w:rPr>
                <w:rFonts w:ascii="Times New Roman" w:hAnsi="Times New Roman" w:cs="Times New Roman"/>
              </w:rPr>
              <w:t>Üzemanyag jövedéki adó</w:t>
            </w:r>
          </w:p>
        </w:tc>
        <w:tc>
          <w:tcPr>
            <w:tcW w:w="1560" w:type="dxa"/>
            <w:tcBorders>
              <w:top w:val="single" w:sz="4" w:space="0" w:color="auto"/>
              <w:left w:val="single" w:sz="4" w:space="0" w:color="auto"/>
              <w:bottom w:val="single" w:sz="4" w:space="0" w:color="auto"/>
              <w:right w:val="single" w:sz="4" w:space="0" w:color="auto"/>
            </w:tcBorders>
            <w:noWrap/>
            <w:vAlign w:val="center"/>
          </w:tcPr>
          <w:p w14:paraId="1FF4CBA2"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494,9</w:t>
            </w:r>
          </w:p>
        </w:tc>
        <w:tc>
          <w:tcPr>
            <w:tcW w:w="1594" w:type="dxa"/>
            <w:tcBorders>
              <w:top w:val="single" w:sz="4" w:space="0" w:color="auto"/>
              <w:left w:val="single" w:sz="4" w:space="0" w:color="auto"/>
              <w:bottom w:val="single" w:sz="4" w:space="0" w:color="auto"/>
              <w:right w:val="single" w:sz="4" w:space="0" w:color="auto"/>
            </w:tcBorders>
            <w:noWrap/>
            <w:vAlign w:val="center"/>
          </w:tcPr>
          <w:p w14:paraId="0D34D6C7"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526,7</w:t>
            </w:r>
          </w:p>
        </w:tc>
        <w:tc>
          <w:tcPr>
            <w:tcW w:w="1061" w:type="dxa"/>
            <w:tcBorders>
              <w:top w:val="single" w:sz="4" w:space="0" w:color="auto"/>
              <w:left w:val="single" w:sz="4" w:space="0" w:color="auto"/>
              <w:bottom w:val="single" w:sz="4" w:space="0" w:color="auto"/>
              <w:right w:val="single" w:sz="4" w:space="0" w:color="auto"/>
            </w:tcBorders>
            <w:noWrap/>
            <w:vAlign w:val="center"/>
          </w:tcPr>
          <w:p w14:paraId="3F204A5D"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31,8</w:t>
            </w:r>
          </w:p>
        </w:tc>
        <w:tc>
          <w:tcPr>
            <w:tcW w:w="1135" w:type="dxa"/>
            <w:tcBorders>
              <w:top w:val="single" w:sz="4" w:space="0" w:color="auto"/>
              <w:left w:val="single" w:sz="4" w:space="0" w:color="auto"/>
              <w:bottom w:val="single" w:sz="4" w:space="0" w:color="auto"/>
              <w:right w:val="single" w:sz="4" w:space="0" w:color="auto"/>
            </w:tcBorders>
            <w:noWrap/>
            <w:vAlign w:val="center"/>
          </w:tcPr>
          <w:p w14:paraId="54D1A2DB"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106,4</w:t>
            </w:r>
          </w:p>
        </w:tc>
      </w:tr>
      <w:tr w:rsidR="002A41A8" w:rsidRPr="00D16A5D" w14:paraId="59C1E468" w14:textId="77777777" w:rsidTr="00F17FDD">
        <w:trPr>
          <w:trHeight w:val="340"/>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14:paraId="005B084C" w14:textId="77777777" w:rsidR="002A41A8" w:rsidRPr="005861AE" w:rsidRDefault="002A41A8" w:rsidP="00F17FDD">
            <w:pPr>
              <w:spacing w:after="0"/>
              <w:rPr>
                <w:rFonts w:ascii="Times New Roman" w:hAnsi="Times New Roman" w:cs="Times New Roman"/>
              </w:rPr>
            </w:pPr>
            <w:r w:rsidRPr="005861AE">
              <w:rPr>
                <w:rFonts w:ascii="Times New Roman" w:hAnsi="Times New Roman" w:cs="Times New Roman"/>
              </w:rPr>
              <w:t>Dohánygyártmány jövedéki adó</w:t>
            </w:r>
          </w:p>
        </w:tc>
        <w:tc>
          <w:tcPr>
            <w:tcW w:w="1560" w:type="dxa"/>
            <w:tcBorders>
              <w:top w:val="single" w:sz="4" w:space="0" w:color="auto"/>
              <w:left w:val="single" w:sz="4" w:space="0" w:color="auto"/>
              <w:bottom w:val="single" w:sz="4" w:space="0" w:color="auto"/>
              <w:right w:val="single" w:sz="4" w:space="0" w:color="auto"/>
            </w:tcBorders>
            <w:noWrap/>
            <w:vAlign w:val="center"/>
          </w:tcPr>
          <w:p w14:paraId="3F59EE00"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343,9</w:t>
            </w:r>
          </w:p>
        </w:tc>
        <w:tc>
          <w:tcPr>
            <w:tcW w:w="1594" w:type="dxa"/>
            <w:tcBorders>
              <w:top w:val="single" w:sz="4" w:space="0" w:color="auto"/>
              <w:left w:val="single" w:sz="4" w:space="0" w:color="auto"/>
              <w:bottom w:val="single" w:sz="4" w:space="0" w:color="auto"/>
              <w:right w:val="single" w:sz="4" w:space="0" w:color="auto"/>
            </w:tcBorders>
            <w:noWrap/>
            <w:vAlign w:val="center"/>
          </w:tcPr>
          <w:p w14:paraId="780C5E26"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280,1</w:t>
            </w:r>
          </w:p>
        </w:tc>
        <w:tc>
          <w:tcPr>
            <w:tcW w:w="1061" w:type="dxa"/>
            <w:tcBorders>
              <w:top w:val="single" w:sz="4" w:space="0" w:color="auto"/>
              <w:left w:val="single" w:sz="4" w:space="0" w:color="auto"/>
              <w:bottom w:val="single" w:sz="4" w:space="0" w:color="auto"/>
              <w:right w:val="single" w:sz="4" w:space="0" w:color="auto"/>
            </w:tcBorders>
            <w:noWrap/>
            <w:vAlign w:val="center"/>
          </w:tcPr>
          <w:p w14:paraId="0D84D277"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-63,8</w:t>
            </w:r>
          </w:p>
        </w:tc>
        <w:tc>
          <w:tcPr>
            <w:tcW w:w="1135" w:type="dxa"/>
            <w:tcBorders>
              <w:top w:val="single" w:sz="4" w:space="0" w:color="auto"/>
              <w:left w:val="single" w:sz="4" w:space="0" w:color="auto"/>
              <w:bottom w:val="single" w:sz="4" w:space="0" w:color="auto"/>
              <w:right w:val="single" w:sz="4" w:space="0" w:color="auto"/>
            </w:tcBorders>
            <w:noWrap/>
            <w:vAlign w:val="center"/>
          </w:tcPr>
          <w:p w14:paraId="3B8AE00B"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81,4</w:t>
            </w:r>
          </w:p>
        </w:tc>
      </w:tr>
      <w:tr w:rsidR="002A41A8" w:rsidRPr="00D16A5D" w14:paraId="22582E0C" w14:textId="77777777" w:rsidTr="00F17FDD">
        <w:trPr>
          <w:trHeight w:val="340"/>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14:paraId="7E643E86" w14:textId="77777777" w:rsidR="002A41A8" w:rsidRPr="005861AE" w:rsidRDefault="002A41A8" w:rsidP="00F17FDD">
            <w:pPr>
              <w:spacing w:after="0"/>
              <w:rPr>
                <w:rFonts w:ascii="Times New Roman" w:hAnsi="Times New Roman" w:cs="Times New Roman"/>
              </w:rPr>
            </w:pPr>
            <w:r w:rsidRPr="005861AE">
              <w:rPr>
                <w:rFonts w:ascii="Times New Roman" w:hAnsi="Times New Roman" w:cs="Times New Roman"/>
              </w:rPr>
              <w:t>Egyéb termék jövedéki adó</w:t>
            </w:r>
          </w:p>
        </w:tc>
        <w:tc>
          <w:tcPr>
            <w:tcW w:w="1560" w:type="dxa"/>
            <w:tcBorders>
              <w:top w:val="single" w:sz="4" w:space="0" w:color="auto"/>
              <w:left w:val="single" w:sz="4" w:space="0" w:color="auto"/>
              <w:bottom w:val="single" w:sz="4" w:space="0" w:color="auto"/>
              <w:right w:val="single" w:sz="4" w:space="0" w:color="auto"/>
            </w:tcBorders>
            <w:noWrap/>
            <w:vAlign w:val="center"/>
          </w:tcPr>
          <w:p w14:paraId="66BF853A" w14:textId="389EEA2F"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79</w:t>
            </w:r>
            <w:r w:rsidR="00FD77E6">
              <w:rPr>
                <w:rFonts w:ascii="Times New Roman" w:hAnsi="Times New Roman" w:cs="Times New Roman"/>
                <w:color w:val="000000"/>
              </w:rPr>
              <w:t>,0</w:t>
            </w:r>
          </w:p>
        </w:tc>
        <w:tc>
          <w:tcPr>
            <w:tcW w:w="1594" w:type="dxa"/>
            <w:tcBorders>
              <w:top w:val="single" w:sz="4" w:space="0" w:color="auto"/>
              <w:left w:val="single" w:sz="4" w:space="0" w:color="auto"/>
              <w:bottom w:val="single" w:sz="4" w:space="0" w:color="auto"/>
              <w:right w:val="single" w:sz="4" w:space="0" w:color="auto"/>
            </w:tcBorders>
            <w:noWrap/>
            <w:vAlign w:val="center"/>
          </w:tcPr>
          <w:p w14:paraId="5C66E74C"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74,4</w:t>
            </w:r>
          </w:p>
        </w:tc>
        <w:tc>
          <w:tcPr>
            <w:tcW w:w="1061" w:type="dxa"/>
            <w:tcBorders>
              <w:top w:val="single" w:sz="4" w:space="0" w:color="auto"/>
              <w:left w:val="single" w:sz="4" w:space="0" w:color="auto"/>
              <w:bottom w:val="single" w:sz="4" w:space="0" w:color="auto"/>
              <w:right w:val="single" w:sz="4" w:space="0" w:color="auto"/>
            </w:tcBorders>
            <w:noWrap/>
            <w:vAlign w:val="center"/>
          </w:tcPr>
          <w:p w14:paraId="72C437A8"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-4,6</w:t>
            </w:r>
          </w:p>
        </w:tc>
        <w:tc>
          <w:tcPr>
            <w:tcW w:w="1135" w:type="dxa"/>
            <w:tcBorders>
              <w:top w:val="single" w:sz="4" w:space="0" w:color="auto"/>
              <w:left w:val="single" w:sz="4" w:space="0" w:color="auto"/>
              <w:bottom w:val="single" w:sz="4" w:space="0" w:color="auto"/>
              <w:right w:val="single" w:sz="4" w:space="0" w:color="auto"/>
            </w:tcBorders>
            <w:noWrap/>
            <w:vAlign w:val="center"/>
          </w:tcPr>
          <w:p w14:paraId="6C981B32"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94,2</w:t>
            </w:r>
          </w:p>
        </w:tc>
      </w:tr>
      <w:tr w:rsidR="002A41A8" w:rsidRPr="00D16A5D" w14:paraId="1DEFE2A9" w14:textId="77777777" w:rsidTr="00F17FDD">
        <w:trPr>
          <w:trHeight w:val="340"/>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14:paraId="2BEB56F4" w14:textId="77777777" w:rsidR="002A41A8" w:rsidRPr="005861AE" w:rsidRDefault="002A41A8" w:rsidP="00F17FDD">
            <w:pPr>
              <w:spacing w:after="0"/>
              <w:rPr>
                <w:rFonts w:ascii="Times New Roman" w:hAnsi="Times New Roman" w:cs="Times New Roman"/>
              </w:rPr>
            </w:pPr>
            <w:r w:rsidRPr="005861AE">
              <w:rPr>
                <w:rFonts w:ascii="Times New Roman" w:hAnsi="Times New Roman" w:cs="Times New Roman"/>
              </w:rPr>
              <w:t>Import jövedéki adó és energiaadó</w:t>
            </w:r>
          </w:p>
        </w:tc>
        <w:tc>
          <w:tcPr>
            <w:tcW w:w="1560" w:type="dxa"/>
            <w:tcBorders>
              <w:top w:val="single" w:sz="4" w:space="0" w:color="auto"/>
              <w:left w:val="single" w:sz="4" w:space="0" w:color="auto"/>
              <w:bottom w:val="single" w:sz="4" w:space="0" w:color="auto"/>
              <w:right w:val="single" w:sz="4" w:space="0" w:color="auto"/>
            </w:tcBorders>
            <w:noWrap/>
            <w:vAlign w:val="center"/>
          </w:tcPr>
          <w:p w14:paraId="7E73AB40"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13,3</w:t>
            </w:r>
          </w:p>
        </w:tc>
        <w:tc>
          <w:tcPr>
            <w:tcW w:w="1594" w:type="dxa"/>
            <w:tcBorders>
              <w:top w:val="single" w:sz="4" w:space="0" w:color="auto"/>
              <w:left w:val="single" w:sz="4" w:space="0" w:color="auto"/>
              <w:bottom w:val="single" w:sz="4" w:space="0" w:color="auto"/>
              <w:right w:val="single" w:sz="4" w:space="0" w:color="auto"/>
            </w:tcBorders>
            <w:noWrap/>
            <w:vAlign w:val="center"/>
          </w:tcPr>
          <w:p w14:paraId="367DA392"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14,4</w:t>
            </w:r>
          </w:p>
        </w:tc>
        <w:tc>
          <w:tcPr>
            <w:tcW w:w="1061" w:type="dxa"/>
            <w:tcBorders>
              <w:top w:val="single" w:sz="4" w:space="0" w:color="auto"/>
              <w:left w:val="single" w:sz="4" w:space="0" w:color="auto"/>
              <w:bottom w:val="single" w:sz="4" w:space="0" w:color="auto"/>
              <w:right w:val="single" w:sz="4" w:space="0" w:color="auto"/>
            </w:tcBorders>
            <w:noWrap/>
            <w:vAlign w:val="center"/>
          </w:tcPr>
          <w:p w14:paraId="0CF8F27B"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1,1</w:t>
            </w:r>
          </w:p>
        </w:tc>
        <w:tc>
          <w:tcPr>
            <w:tcW w:w="1135" w:type="dxa"/>
            <w:tcBorders>
              <w:top w:val="single" w:sz="4" w:space="0" w:color="auto"/>
              <w:left w:val="single" w:sz="4" w:space="0" w:color="auto"/>
              <w:bottom w:val="single" w:sz="4" w:space="0" w:color="auto"/>
              <w:right w:val="single" w:sz="4" w:space="0" w:color="auto"/>
            </w:tcBorders>
            <w:noWrap/>
            <w:vAlign w:val="center"/>
          </w:tcPr>
          <w:p w14:paraId="457B1560" w14:textId="77777777" w:rsidR="002A41A8" w:rsidRPr="005861AE" w:rsidRDefault="002A41A8" w:rsidP="00F17FDD">
            <w:pPr>
              <w:spacing w:after="0"/>
              <w:jc w:val="right"/>
              <w:rPr>
                <w:rFonts w:ascii="Times New Roman" w:hAnsi="Times New Roman" w:cs="Times New Roman"/>
                <w:highlight w:val="yellow"/>
              </w:rPr>
            </w:pPr>
            <w:r w:rsidRPr="005861AE">
              <w:rPr>
                <w:rFonts w:ascii="Times New Roman" w:hAnsi="Times New Roman" w:cs="Times New Roman"/>
                <w:color w:val="000000"/>
              </w:rPr>
              <w:t>108,3</w:t>
            </w:r>
          </w:p>
        </w:tc>
      </w:tr>
      <w:tr w:rsidR="002A41A8" w:rsidRPr="00D16A5D" w14:paraId="3BD3C92F" w14:textId="77777777" w:rsidTr="00F17FDD">
        <w:trPr>
          <w:trHeight w:val="340"/>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14:paraId="16D73E9F" w14:textId="77777777" w:rsidR="002A41A8" w:rsidRPr="005861AE" w:rsidRDefault="002A41A8" w:rsidP="00F17FDD">
            <w:pPr>
              <w:spacing w:after="0"/>
              <w:rPr>
                <w:rFonts w:ascii="Times New Roman" w:hAnsi="Times New Roman" w:cs="Times New Roman"/>
                <w:b/>
                <w:bCs/>
              </w:rPr>
            </w:pPr>
            <w:r w:rsidRPr="005861AE">
              <w:rPr>
                <w:rFonts w:ascii="Times New Roman" w:hAnsi="Times New Roman" w:cs="Times New Roman"/>
                <w:b/>
                <w:bCs/>
              </w:rPr>
              <w:t>Jövedéki adók összesen</w:t>
            </w:r>
          </w:p>
        </w:tc>
        <w:tc>
          <w:tcPr>
            <w:tcW w:w="1560" w:type="dxa"/>
            <w:tcBorders>
              <w:top w:val="single" w:sz="4" w:space="0" w:color="auto"/>
              <w:left w:val="single" w:sz="4" w:space="0" w:color="auto"/>
              <w:bottom w:val="single" w:sz="4" w:space="0" w:color="auto"/>
              <w:right w:val="single" w:sz="4" w:space="0" w:color="auto"/>
            </w:tcBorders>
            <w:noWrap/>
            <w:vAlign w:val="center"/>
          </w:tcPr>
          <w:p w14:paraId="5A8A0957" w14:textId="77777777" w:rsidR="002A41A8" w:rsidRPr="005861AE" w:rsidRDefault="002A41A8" w:rsidP="00F17FDD">
            <w:pPr>
              <w:spacing w:after="0"/>
              <w:jc w:val="right"/>
              <w:rPr>
                <w:rFonts w:ascii="Times New Roman" w:hAnsi="Times New Roman" w:cs="Times New Roman"/>
                <w:b/>
                <w:bCs/>
                <w:highlight w:val="yellow"/>
              </w:rPr>
            </w:pPr>
            <w:r w:rsidRPr="005861AE">
              <w:rPr>
                <w:rFonts w:ascii="Times New Roman" w:hAnsi="Times New Roman" w:cs="Times New Roman"/>
                <w:b/>
                <w:bCs/>
                <w:color w:val="000000"/>
              </w:rPr>
              <w:t>931,1</w:t>
            </w:r>
          </w:p>
        </w:tc>
        <w:tc>
          <w:tcPr>
            <w:tcW w:w="1594" w:type="dxa"/>
            <w:tcBorders>
              <w:top w:val="single" w:sz="4" w:space="0" w:color="auto"/>
              <w:left w:val="single" w:sz="4" w:space="0" w:color="auto"/>
              <w:bottom w:val="single" w:sz="4" w:space="0" w:color="auto"/>
              <w:right w:val="single" w:sz="4" w:space="0" w:color="auto"/>
            </w:tcBorders>
            <w:noWrap/>
            <w:vAlign w:val="center"/>
          </w:tcPr>
          <w:p w14:paraId="7C95358E" w14:textId="77777777" w:rsidR="002A41A8" w:rsidRPr="005861AE" w:rsidRDefault="002A41A8" w:rsidP="00F17FDD">
            <w:pPr>
              <w:spacing w:after="0"/>
              <w:jc w:val="right"/>
              <w:rPr>
                <w:rFonts w:ascii="Times New Roman" w:hAnsi="Times New Roman" w:cs="Times New Roman"/>
                <w:b/>
                <w:bCs/>
                <w:highlight w:val="yellow"/>
              </w:rPr>
            </w:pPr>
            <w:r w:rsidRPr="005861AE">
              <w:rPr>
                <w:rFonts w:ascii="Times New Roman" w:hAnsi="Times New Roman" w:cs="Times New Roman"/>
                <w:b/>
                <w:bCs/>
                <w:color w:val="000000"/>
              </w:rPr>
              <w:t>895,6</w:t>
            </w:r>
          </w:p>
        </w:tc>
        <w:tc>
          <w:tcPr>
            <w:tcW w:w="1061" w:type="dxa"/>
            <w:tcBorders>
              <w:top w:val="single" w:sz="4" w:space="0" w:color="auto"/>
              <w:left w:val="single" w:sz="4" w:space="0" w:color="auto"/>
              <w:bottom w:val="single" w:sz="4" w:space="0" w:color="auto"/>
              <w:right w:val="single" w:sz="4" w:space="0" w:color="auto"/>
            </w:tcBorders>
            <w:noWrap/>
            <w:vAlign w:val="center"/>
          </w:tcPr>
          <w:p w14:paraId="03347875" w14:textId="77777777" w:rsidR="002A41A8" w:rsidRPr="005861AE" w:rsidRDefault="002A41A8" w:rsidP="00F17FDD">
            <w:pPr>
              <w:spacing w:after="0"/>
              <w:jc w:val="right"/>
              <w:rPr>
                <w:rFonts w:ascii="Times New Roman" w:hAnsi="Times New Roman" w:cs="Times New Roman"/>
                <w:b/>
                <w:bCs/>
                <w:highlight w:val="yellow"/>
              </w:rPr>
            </w:pPr>
            <w:r w:rsidRPr="005861AE">
              <w:rPr>
                <w:rFonts w:ascii="Times New Roman" w:hAnsi="Times New Roman" w:cs="Times New Roman"/>
                <w:b/>
                <w:bCs/>
                <w:color w:val="000000"/>
              </w:rPr>
              <w:t>-35,5</w:t>
            </w:r>
          </w:p>
        </w:tc>
        <w:tc>
          <w:tcPr>
            <w:tcW w:w="1135" w:type="dxa"/>
            <w:tcBorders>
              <w:top w:val="single" w:sz="4" w:space="0" w:color="auto"/>
              <w:left w:val="single" w:sz="4" w:space="0" w:color="auto"/>
              <w:bottom w:val="single" w:sz="4" w:space="0" w:color="auto"/>
              <w:right w:val="single" w:sz="4" w:space="0" w:color="auto"/>
            </w:tcBorders>
            <w:noWrap/>
            <w:vAlign w:val="center"/>
          </w:tcPr>
          <w:p w14:paraId="0EFDDB53" w14:textId="77777777" w:rsidR="002A41A8" w:rsidRPr="005861AE" w:rsidRDefault="002A41A8" w:rsidP="00F17FDD">
            <w:pPr>
              <w:spacing w:after="0"/>
              <w:jc w:val="right"/>
              <w:rPr>
                <w:rFonts w:ascii="Times New Roman" w:hAnsi="Times New Roman" w:cs="Times New Roman"/>
                <w:b/>
                <w:bCs/>
                <w:highlight w:val="yellow"/>
              </w:rPr>
            </w:pPr>
            <w:r w:rsidRPr="005861AE">
              <w:rPr>
                <w:rFonts w:ascii="Times New Roman" w:hAnsi="Times New Roman" w:cs="Times New Roman"/>
                <w:b/>
                <w:bCs/>
                <w:color w:val="000000"/>
              </w:rPr>
              <w:t>96,2</w:t>
            </w:r>
          </w:p>
        </w:tc>
      </w:tr>
    </w:tbl>
    <w:p w14:paraId="6CC96AF3" w14:textId="77777777" w:rsidR="002A41A8" w:rsidRDefault="002A41A8" w:rsidP="002A41A8">
      <w:pPr>
        <w:spacing w:before="120" w:after="120" w:line="240" w:lineRule="auto"/>
        <w:jc w:val="both"/>
        <w:rPr>
          <w:rFonts w:ascii="Times New Roman" w:eastAsia="Times New Roman" w:hAnsi="Times New Roman" w:cs="Times New Roman"/>
          <w:sz w:val="26"/>
          <w:szCs w:val="20"/>
          <w:lang w:eastAsia="hu-HU"/>
        </w:rPr>
      </w:pPr>
    </w:p>
    <w:p w14:paraId="51412BDD" w14:textId="348B0D99" w:rsidR="002A41A8" w:rsidRPr="002A41A8" w:rsidRDefault="002A41A8" w:rsidP="00A0268E">
      <w:pPr>
        <w:jc w:val="both"/>
        <w:rPr>
          <w:rFonts w:ascii="Times New Roman" w:eastAsia="Times New Roman" w:hAnsi="Times New Roman" w:cs="Times New Roman"/>
          <w:sz w:val="26"/>
          <w:szCs w:val="20"/>
          <w:highlight w:val="yellow"/>
          <w:lang w:eastAsia="hu-HU"/>
        </w:rPr>
      </w:pPr>
      <w:r w:rsidRPr="002A41A8">
        <w:rPr>
          <w:rFonts w:ascii="Times New Roman" w:eastAsia="Times New Roman" w:hAnsi="Times New Roman" w:cs="Times New Roman"/>
          <w:b/>
          <w:sz w:val="26"/>
          <w:szCs w:val="20"/>
          <w:lang w:eastAsia="hu-HU"/>
        </w:rPr>
        <w:lastRenderedPageBreak/>
        <w:t>Pénzügyi tranzakciós illetékből</w:t>
      </w:r>
      <w:r w:rsidRPr="002A41A8">
        <w:rPr>
          <w:rFonts w:ascii="Times New Roman" w:eastAsia="Times New Roman" w:hAnsi="Times New Roman" w:cs="Times New Roman"/>
          <w:sz w:val="26"/>
          <w:szCs w:val="20"/>
          <w:lang w:eastAsia="hu-HU"/>
        </w:rPr>
        <w:t xml:space="preserve"> 2025</w:t>
      </w:r>
      <w:r w:rsidR="00A0268E">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első hét hónapjában 335,3 milliárd forint bevétele keletkezett a költségvetésnek, ami 137,4 milliárd</w:t>
      </w:r>
      <w:r w:rsidR="005278BA">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forinttal haladta meg az egy évvel korábbi összeget. A bevételek növekedésének hátterében a 2024. augusztus 1-</w:t>
      </w:r>
      <w:r w:rsidR="00BE7A65">
        <w:rPr>
          <w:rFonts w:ascii="Times New Roman" w:eastAsia="Times New Roman" w:hAnsi="Times New Roman" w:cs="Times New Roman"/>
          <w:sz w:val="26"/>
          <w:szCs w:val="20"/>
          <w:lang w:eastAsia="hu-HU"/>
        </w:rPr>
        <w:t>jé</w:t>
      </w:r>
      <w:r w:rsidRPr="002A41A8">
        <w:rPr>
          <w:rFonts w:ascii="Times New Roman" w:eastAsia="Times New Roman" w:hAnsi="Times New Roman" w:cs="Times New Roman"/>
          <w:sz w:val="26"/>
          <w:szCs w:val="20"/>
          <w:lang w:eastAsia="hu-HU"/>
        </w:rPr>
        <w:t>től hatályos megemelt adómértékek, valamint a 2024. október elsejétől az adó hatálya alá tartozó konverziót tartalmazó műveletek állnak.</w:t>
      </w:r>
    </w:p>
    <w:p w14:paraId="4C3C8BBC" w14:textId="555CA0B0" w:rsidR="002A41A8" w:rsidRPr="002A41A8" w:rsidRDefault="002A41A8" w:rsidP="00A0268E">
      <w:pPr>
        <w:jc w:val="both"/>
        <w:rPr>
          <w:rFonts w:ascii="Times New Roman" w:eastAsia="Times New Roman" w:hAnsi="Times New Roman" w:cs="Times New Roman"/>
          <w:sz w:val="26"/>
          <w:szCs w:val="20"/>
          <w:highlight w:val="yellow"/>
          <w:lang w:eastAsia="hu-HU"/>
        </w:rPr>
      </w:pPr>
      <w:r w:rsidRPr="002A41A8">
        <w:rPr>
          <w:rFonts w:ascii="Times New Roman" w:eastAsia="Times New Roman" w:hAnsi="Times New Roman" w:cs="Times New Roman"/>
          <w:sz w:val="26"/>
          <w:szCs w:val="20"/>
          <w:lang w:eastAsia="hu-HU"/>
        </w:rPr>
        <w:t xml:space="preserve">A </w:t>
      </w:r>
      <w:r w:rsidRPr="002A41A8">
        <w:rPr>
          <w:rFonts w:ascii="Times New Roman" w:eastAsia="Times New Roman" w:hAnsi="Times New Roman" w:cs="Times New Roman"/>
          <w:b/>
          <w:sz w:val="26"/>
          <w:szCs w:val="20"/>
          <w:lang w:eastAsia="hu-HU"/>
        </w:rPr>
        <w:t xml:space="preserve">biztosítási adóból </w:t>
      </w:r>
      <w:r w:rsidRPr="002A41A8">
        <w:rPr>
          <w:rFonts w:ascii="Times New Roman" w:eastAsia="Times New Roman" w:hAnsi="Times New Roman" w:cs="Times New Roman"/>
          <w:sz w:val="26"/>
          <w:szCs w:val="20"/>
          <w:lang w:eastAsia="hu-HU"/>
        </w:rPr>
        <w:t xml:space="preserve">származó bevétel </w:t>
      </w:r>
      <w:r w:rsidR="005278BA">
        <w:rPr>
          <w:rFonts w:ascii="Times New Roman" w:eastAsia="Times New Roman" w:hAnsi="Times New Roman" w:cs="Times New Roman"/>
          <w:sz w:val="26"/>
          <w:szCs w:val="20"/>
          <w:lang w:eastAsia="hu-HU"/>
        </w:rPr>
        <w:t>az</w:t>
      </w:r>
      <w:r w:rsidRPr="002A41A8">
        <w:rPr>
          <w:rFonts w:ascii="Times New Roman" w:eastAsia="Times New Roman" w:hAnsi="Times New Roman" w:cs="Times New Roman"/>
          <w:sz w:val="26"/>
          <w:szCs w:val="20"/>
          <w:lang w:eastAsia="hu-HU"/>
        </w:rPr>
        <w:t xml:space="preserve"> </w:t>
      </w:r>
      <w:r w:rsidR="00F030E1">
        <w:rPr>
          <w:rFonts w:ascii="Times New Roman" w:eastAsia="Times New Roman" w:hAnsi="Times New Roman" w:cs="Times New Roman"/>
          <w:sz w:val="26"/>
          <w:szCs w:val="20"/>
          <w:lang w:eastAsia="hu-HU"/>
        </w:rPr>
        <w:t xml:space="preserve">év </w:t>
      </w:r>
      <w:r w:rsidRPr="002A41A8">
        <w:rPr>
          <w:rFonts w:ascii="Times New Roman" w:eastAsia="Times New Roman" w:hAnsi="Times New Roman" w:cs="Times New Roman"/>
          <w:sz w:val="26"/>
          <w:szCs w:val="20"/>
          <w:lang w:eastAsia="hu-HU"/>
        </w:rPr>
        <w:t>első hét hónapjában 108,6</w:t>
      </w:r>
      <w:r w:rsidR="00F030E1">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0"/>
          <w:lang w:eastAsia="hu-HU"/>
        </w:rPr>
        <w:t>milliárd forintot tett ki, amely 65,6 milliárd forinttal alacsonyabb az egy évvel korábbi bevételnél. A bevételek előző évhez viszonyított alacsonyabb teljesülését egyrészt a 2023. évi biztosítási pótadó-kötelezettség 2024. januári és júliusi elszámolásából fakadó többletbevétel, másrészt a 2024. évi pótadóelőleg első, 2024 május havi befizetése befolyásolja.</w:t>
      </w:r>
    </w:p>
    <w:p w14:paraId="68EDBC78" w14:textId="7173F520" w:rsidR="006330AD" w:rsidRPr="006330AD" w:rsidRDefault="002A41A8" w:rsidP="00A0268E">
      <w:pPr>
        <w:jc w:val="both"/>
        <w:rPr>
          <w:rFonts w:ascii="Times New Roman" w:eastAsia="Times New Roman" w:hAnsi="Times New Roman" w:cs="Times New Roman"/>
          <w:color w:val="000000" w:themeColor="text1"/>
          <w:sz w:val="26"/>
          <w:szCs w:val="26"/>
          <w:lang w:eastAsia="hu-HU"/>
        </w:rPr>
      </w:pPr>
      <w:r w:rsidRPr="002A41A8">
        <w:rPr>
          <w:rFonts w:ascii="Times New Roman" w:eastAsia="Times New Roman" w:hAnsi="Times New Roman" w:cs="Times New Roman"/>
          <w:color w:val="000000"/>
          <w:sz w:val="26"/>
          <w:szCs w:val="20"/>
          <w:lang w:eastAsia="hu-HU"/>
        </w:rPr>
        <w:t xml:space="preserve">A </w:t>
      </w:r>
      <w:r w:rsidRPr="002A41A8">
        <w:rPr>
          <w:rFonts w:ascii="Times New Roman" w:eastAsia="Times New Roman" w:hAnsi="Times New Roman" w:cs="Times New Roman"/>
          <w:b/>
          <w:bCs/>
          <w:color w:val="000000"/>
          <w:sz w:val="26"/>
          <w:szCs w:val="20"/>
          <w:lang w:eastAsia="hu-HU"/>
        </w:rPr>
        <w:t>személyi jövedelemadó</w:t>
      </w:r>
      <w:r w:rsidRPr="002A41A8">
        <w:rPr>
          <w:rFonts w:ascii="Times New Roman" w:eastAsia="Times New Roman" w:hAnsi="Times New Roman" w:cs="Times New Roman"/>
          <w:color w:val="000000"/>
          <w:sz w:val="26"/>
          <w:szCs w:val="20"/>
          <w:lang w:eastAsia="hu-HU"/>
        </w:rPr>
        <w:t xml:space="preserve"> bevétele 2025 első hét hónapjában 2</w:t>
      </w:r>
      <w:r w:rsidRPr="002A41A8">
        <w:rPr>
          <w:rFonts w:ascii="Times New Roman" w:eastAsia="Times New Roman" w:hAnsi="Times New Roman" w:cs="Times New Roman"/>
          <w:sz w:val="26"/>
          <w:szCs w:val="20"/>
          <w:lang w:eastAsia="hu-HU"/>
        </w:rPr>
        <w:t>866,7 </w:t>
      </w:r>
      <w:r w:rsidRPr="002A41A8">
        <w:rPr>
          <w:rFonts w:ascii="Times New Roman" w:eastAsia="Times New Roman" w:hAnsi="Times New Roman" w:cs="Times New Roman"/>
          <w:color w:val="000000"/>
          <w:sz w:val="26"/>
          <w:szCs w:val="20"/>
          <w:lang w:eastAsia="hu-HU"/>
        </w:rPr>
        <w:t>milliárd</w:t>
      </w:r>
      <w:r w:rsidRPr="002A41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color w:val="000000"/>
          <w:sz w:val="26"/>
          <w:szCs w:val="20"/>
          <w:lang w:eastAsia="hu-HU"/>
        </w:rPr>
        <w:t>forint volt, amely 259,0</w:t>
      </w:r>
      <w:r w:rsidRPr="002A41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color w:val="000000"/>
          <w:sz w:val="26"/>
          <w:szCs w:val="20"/>
          <w:lang w:eastAsia="hu-HU"/>
        </w:rPr>
        <w:t>milliárd</w:t>
      </w:r>
      <w:r w:rsidRPr="002A41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color w:val="000000"/>
          <w:sz w:val="26"/>
          <w:szCs w:val="20"/>
          <w:lang w:eastAsia="hu-HU"/>
        </w:rPr>
        <w:t>forinttal magasabb az egy évvel korábbi összegnél. Ennek oka a bértömeg növekedése.</w:t>
      </w:r>
    </w:p>
    <w:p w14:paraId="4AD2F5D6" w14:textId="3FECE57E" w:rsidR="00085C37" w:rsidRPr="005861AE" w:rsidRDefault="7BF38582" w:rsidP="7BF38582">
      <w:pPr>
        <w:spacing w:before="240"/>
        <w:jc w:val="center"/>
        <w:rPr>
          <w:rFonts w:ascii="Times New Roman" w:hAnsi="Times New Roman" w:cs="Times New Roman"/>
          <w:b/>
          <w:bCs/>
        </w:rPr>
      </w:pPr>
      <w:r w:rsidRPr="005861AE">
        <w:rPr>
          <w:rFonts w:ascii="Times New Roman" w:hAnsi="Times New Roman" w:cs="Times New Roman"/>
          <w:b/>
          <w:bCs/>
        </w:rPr>
        <w:t>Személyi jövedelemadó bevétel alakulása (milliárd forint)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9"/>
        <w:gridCol w:w="1645"/>
        <w:gridCol w:w="1701"/>
        <w:gridCol w:w="992"/>
        <w:gridCol w:w="992"/>
      </w:tblGrid>
      <w:tr w:rsidR="002A41A8" w:rsidRPr="005861AE" w14:paraId="0F2A5BCF" w14:textId="77777777" w:rsidTr="00A0268E">
        <w:trPr>
          <w:trHeight w:val="283"/>
          <w:jc w:val="center"/>
        </w:trPr>
        <w:tc>
          <w:tcPr>
            <w:tcW w:w="1469" w:type="dxa"/>
            <w:vMerge w:val="restart"/>
            <w:shd w:val="clear" w:color="auto" w:fill="BDD6EE" w:themeFill="accent1" w:themeFillTint="66"/>
            <w:noWrap/>
            <w:vAlign w:val="center"/>
            <w:hideMark/>
          </w:tcPr>
          <w:p w14:paraId="1AAEDE27" w14:textId="77777777" w:rsidR="002A41A8" w:rsidRPr="005861AE" w:rsidRDefault="002A41A8" w:rsidP="00F17FDD">
            <w:pPr>
              <w:keepNext/>
              <w:keepLines/>
              <w:spacing w:after="0"/>
              <w:jc w:val="center"/>
              <w:rPr>
                <w:rFonts w:ascii="Times New Roman" w:hAnsi="Times New Roman" w:cs="Times New Roman"/>
                <w:b/>
                <w:bCs/>
              </w:rPr>
            </w:pPr>
            <w:r w:rsidRPr="005861AE">
              <w:rPr>
                <w:rFonts w:ascii="Times New Roman" w:hAnsi="Times New Roman" w:cs="Times New Roman"/>
                <w:b/>
                <w:bCs/>
              </w:rPr>
              <w:t>Megnevezés</w:t>
            </w:r>
          </w:p>
        </w:tc>
        <w:tc>
          <w:tcPr>
            <w:tcW w:w="1645" w:type="dxa"/>
            <w:vMerge w:val="restart"/>
            <w:shd w:val="clear" w:color="auto" w:fill="BDD6EE" w:themeFill="accent1" w:themeFillTint="66"/>
            <w:vAlign w:val="center"/>
            <w:hideMark/>
          </w:tcPr>
          <w:p w14:paraId="418D2BB9" w14:textId="3CAB572F"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 xml:space="preserve">2024. </w:t>
            </w:r>
            <w:r w:rsidRPr="005861AE">
              <w:rPr>
                <w:rFonts w:ascii="Times New Roman" w:hAnsi="Times New Roman" w:cs="Times New Roman"/>
                <w:b/>
                <w:bCs/>
              </w:rPr>
              <w:br/>
              <w:t>I-VII. hó</w:t>
            </w:r>
          </w:p>
        </w:tc>
        <w:tc>
          <w:tcPr>
            <w:tcW w:w="1701" w:type="dxa"/>
            <w:vMerge w:val="restart"/>
            <w:shd w:val="clear" w:color="auto" w:fill="BDD6EE" w:themeFill="accent1" w:themeFillTint="66"/>
            <w:vAlign w:val="center"/>
            <w:hideMark/>
          </w:tcPr>
          <w:p w14:paraId="5FD342D4" w14:textId="143C8982" w:rsidR="002A41A8" w:rsidRPr="005861AE" w:rsidRDefault="002A41A8" w:rsidP="00F17FDD">
            <w:pPr>
              <w:spacing w:after="0"/>
              <w:jc w:val="center"/>
              <w:rPr>
                <w:rFonts w:ascii="Times New Roman" w:hAnsi="Times New Roman" w:cs="Times New Roman"/>
                <w:b/>
                <w:bCs/>
              </w:rPr>
            </w:pPr>
            <w:r w:rsidRPr="005861AE">
              <w:rPr>
                <w:rFonts w:ascii="Times New Roman" w:hAnsi="Times New Roman" w:cs="Times New Roman"/>
                <w:b/>
                <w:bCs/>
              </w:rPr>
              <w:t>2025.</w:t>
            </w:r>
            <w:r w:rsidRPr="005861AE">
              <w:rPr>
                <w:rFonts w:ascii="Times New Roman" w:hAnsi="Times New Roman" w:cs="Times New Roman"/>
                <w:b/>
                <w:bCs/>
              </w:rPr>
              <w:br/>
              <w:t>I-VII. hó</w:t>
            </w:r>
          </w:p>
        </w:tc>
        <w:tc>
          <w:tcPr>
            <w:tcW w:w="1984" w:type="dxa"/>
            <w:gridSpan w:val="2"/>
            <w:shd w:val="clear" w:color="auto" w:fill="BDD6EE" w:themeFill="accent1" w:themeFillTint="66"/>
            <w:vAlign w:val="center"/>
            <w:hideMark/>
          </w:tcPr>
          <w:p w14:paraId="46B7AB10" w14:textId="77777777" w:rsidR="002A41A8" w:rsidRPr="005861AE" w:rsidRDefault="002A41A8" w:rsidP="00F17FDD">
            <w:pPr>
              <w:keepNext/>
              <w:keepLines/>
              <w:spacing w:after="0"/>
              <w:jc w:val="center"/>
              <w:rPr>
                <w:rFonts w:ascii="Times New Roman" w:hAnsi="Times New Roman" w:cs="Times New Roman"/>
                <w:b/>
                <w:bCs/>
              </w:rPr>
            </w:pPr>
            <w:r w:rsidRPr="005861AE">
              <w:rPr>
                <w:rFonts w:ascii="Times New Roman" w:hAnsi="Times New Roman" w:cs="Times New Roman"/>
                <w:b/>
                <w:bCs/>
              </w:rPr>
              <w:t>Eltérés</w:t>
            </w:r>
          </w:p>
        </w:tc>
      </w:tr>
      <w:tr w:rsidR="002A41A8" w:rsidRPr="005861AE" w14:paraId="0F8C70B0" w14:textId="77777777" w:rsidTr="00A0268E">
        <w:trPr>
          <w:trHeight w:val="283"/>
          <w:jc w:val="center"/>
        </w:trPr>
        <w:tc>
          <w:tcPr>
            <w:tcW w:w="1469" w:type="dxa"/>
            <w:vMerge/>
            <w:shd w:val="clear" w:color="auto" w:fill="BDD6EE" w:themeFill="accent1" w:themeFillTint="66"/>
            <w:noWrap/>
            <w:vAlign w:val="center"/>
          </w:tcPr>
          <w:p w14:paraId="6710C341" w14:textId="77777777" w:rsidR="002A41A8" w:rsidRPr="005861AE" w:rsidRDefault="002A41A8" w:rsidP="00F17FDD">
            <w:pPr>
              <w:keepNext/>
              <w:keepLines/>
              <w:spacing w:after="0"/>
              <w:jc w:val="center"/>
              <w:rPr>
                <w:rFonts w:ascii="Times New Roman" w:hAnsi="Times New Roman" w:cs="Times New Roman"/>
                <w:b/>
                <w:bCs/>
              </w:rPr>
            </w:pPr>
          </w:p>
        </w:tc>
        <w:tc>
          <w:tcPr>
            <w:tcW w:w="1645" w:type="dxa"/>
            <w:vMerge/>
            <w:shd w:val="clear" w:color="auto" w:fill="BDD6EE" w:themeFill="accent1" w:themeFillTint="66"/>
            <w:vAlign w:val="center"/>
          </w:tcPr>
          <w:p w14:paraId="091F7127" w14:textId="77777777" w:rsidR="002A41A8" w:rsidRPr="005861AE" w:rsidRDefault="002A41A8" w:rsidP="00F17FDD">
            <w:pPr>
              <w:spacing w:after="0"/>
              <w:jc w:val="center"/>
              <w:rPr>
                <w:rFonts w:ascii="Times New Roman" w:hAnsi="Times New Roman" w:cs="Times New Roman"/>
                <w:b/>
                <w:bCs/>
              </w:rPr>
            </w:pPr>
          </w:p>
        </w:tc>
        <w:tc>
          <w:tcPr>
            <w:tcW w:w="1701" w:type="dxa"/>
            <w:vMerge/>
            <w:shd w:val="clear" w:color="auto" w:fill="BDD6EE" w:themeFill="accent1" w:themeFillTint="66"/>
            <w:vAlign w:val="center"/>
          </w:tcPr>
          <w:p w14:paraId="1644A529" w14:textId="77777777" w:rsidR="002A41A8" w:rsidRPr="005861AE" w:rsidRDefault="002A41A8" w:rsidP="00F17FDD">
            <w:pPr>
              <w:spacing w:after="0"/>
              <w:jc w:val="center"/>
              <w:rPr>
                <w:rFonts w:ascii="Times New Roman" w:hAnsi="Times New Roman" w:cs="Times New Roman"/>
                <w:b/>
                <w:bCs/>
              </w:rPr>
            </w:pPr>
          </w:p>
        </w:tc>
        <w:tc>
          <w:tcPr>
            <w:tcW w:w="992" w:type="dxa"/>
            <w:shd w:val="clear" w:color="auto" w:fill="BDD6EE" w:themeFill="accent1" w:themeFillTint="66"/>
            <w:vAlign w:val="center"/>
          </w:tcPr>
          <w:p w14:paraId="6280CE04" w14:textId="77777777" w:rsidR="002A41A8" w:rsidRPr="005861AE" w:rsidRDefault="002A41A8" w:rsidP="00F17FDD">
            <w:pPr>
              <w:keepNext/>
              <w:keepLines/>
              <w:spacing w:after="0"/>
              <w:jc w:val="center"/>
              <w:rPr>
                <w:rFonts w:ascii="Times New Roman" w:hAnsi="Times New Roman" w:cs="Times New Roman"/>
                <w:b/>
                <w:bCs/>
              </w:rPr>
            </w:pPr>
            <w:r w:rsidRPr="005861AE">
              <w:rPr>
                <w:rFonts w:ascii="Times New Roman" w:hAnsi="Times New Roman" w:cs="Times New Roman"/>
                <w:b/>
                <w:bCs/>
              </w:rPr>
              <w:t>Mrd Ft</w:t>
            </w:r>
          </w:p>
        </w:tc>
        <w:tc>
          <w:tcPr>
            <w:tcW w:w="992" w:type="dxa"/>
            <w:shd w:val="clear" w:color="auto" w:fill="BDD6EE" w:themeFill="accent1" w:themeFillTint="66"/>
          </w:tcPr>
          <w:p w14:paraId="026C4B2B" w14:textId="77777777" w:rsidR="002A41A8" w:rsidRPr="005861AE" w:rsidRDefault="002A41A8" w:rsidP="00F17FDD">
            <w:pPr>
              <w:keepNext/>
              <w:keepLines/>
              <w:spacing w:after="0"/>
              <w:jc w:val="center"/>
              <w:rPr>
                <w:rFonts w:ascii="Times New Roman" w:hAnsi="Times New Roman" w:cs="Times New Roman"/>
                <w:b/>
                <w:bCs/>
              </w:rPr>
            </w:pPr>
            <w:r w:rsidRPr="005861AE">
              <w:rPr>
                <w:rFonts w:ascii="Times New Roman" w:hAnsi="Times New Roman" w:cs="Times New Roman"/>
                <w:b/>
                <w:bCs/>
              </w:rPr>
              <w:t>%</w:t>
            </w:r>
          </w:p>
        </w:tc>
      </w:tr>
      <w:tr w:rsidR="002A41A8" w:rsidRPr="003772C6" w14:paraId="675A7EEA" w14:textId="77777777" w:rsidTr="00F17FDD">
        <w:trPr>
          <w:trHeight w:val="340"/>
          <w:jc w:val="center"/>
        </w:trPr>
        <w:tc>
          <w:tcPr>
            <w:tcW w:w="1469" w:type="dxa"/>
            <w:noWrap/>
            <w:vAlign w:val="center"/>
            <w:hideMark/>
          </w:tcPr>
          <w:p w14:paraId="19CBCF08" w14:textId="77777777" w:rsidR="002A41A8" w:rsidRPr="003772C6" w:rsidRDefault="002A41A8" w:rsidP="00F17FDD">
            <w:pPr>
              <w:keepNext/>
              <w:keepLines/>
              <w:spacing w:after="0"/>
              <w:rPr>
                <w:rFonts w:ascii="Times New Roman" w:hAnsi="Times New Roman" w:cs="Times New Roman"/>
              </w:rPr>
            </w:pPr>
            <w:r w:rsidRPr="003772C6">
              <w:rPr>
                <w:rFonts w:ascii="Times New Roman" w:hAnsi="Times New Roman" w:cs="Times New Roman"/>
              </w:rPr>
              <w:t>Befizetés</w:t>
            </w:r>
          </w:p>
        </w:tc>
        <w:tc>
          <w:tcPr>
            <w:tcW w:w="1645" w:type="dxa"/>
            <w:noWrap/>
            <w:vAlign w:val="center"/>
          </w:tcPr>
          <w:p w14:paraId="3AD22E23" w14:textId="77777777" w:rsidR="002A41A8" w:rsidRPr="003772C6" w:rsidRDefault="002A41A8" w:rsidP="00F17FDD">
            <w:pPr>
              <w:keepNext/>
              <w:keepLines/>
              <w:spacing w:after="0"/>
              <w:jc w:val="right"/>
              <w:rPr>
                <w:rFonts w:ascii="Times New Roman" w:hAnsi="Times New Roman" w:cs="Times New Roman"/>
              </w:rPr>
            </w:pPr>
            <w:r w:rsidRPr="003772C6">
              <w:rPr>
                <w:rFonts w:ascii="Times New Roman" w:hAnsi="Times New Roman" w:cs="Times New Roman"/>
              </w:rPr>
              <w:t>2 826,7</w:t>
            </w:r>
          </w:p>
        </w:tc>
        <w:tc>
          <w:tcPr>
            <w:tcW w:w="1701" w:type="dxa"/>
            <w:noWrap/>
            <w:vAlign w:val="center"/>
          </w:tcPr>
          <w:p w14:paraId="2C40D274" w14:textId="77777777" w:rsidR="002A41A8" w:rsidRPr="003772C6" w:rsidRDefault="002A41A8" w:rsidP="00F17FDD">
            <w:pPr>
              <w:keepNext/>
              <w:keepLines/>
              <w:spacing w:after="0"/>
              <w:jc w:val="right"/>
              <w:rPr>
                <w:rFonts w:ascii="Times New Roman" w:hAnsi="Times New Roman" w:cs="Times New Roman"/>
              </w:rPr>
            </w:pPr>
            <w:r w:rsidRPr="003772C6">
              <w:rPr>
                <w:rFonts w:ascii="Times New Roman" w:hAnsi="Times New Roman" w:cs="Times New Roman"/>
              </w:rPr>
              <w:t>3 103,6</w:t>
            </w:r>
          </w:p>
        </w:tc>
        <w:tc>
          <w:tcPr>
            <w:tcW w:w="992" w:type="dxa"/>
            <w:noWrap/>
            <w:vAlign w:val="center"/>
          </w:tcPr>
          <w:p w14:paraId="4DD66888" w14:textId="77777777" w:rsidR="002A41A8" w:rsidRPr="003772C6" w:rsidRDefault="002A41A8" w:rsidP="00F17FDD">
            <w:pPr>
              <w:keepNext/>
              <w:keepLines/>
              <w:spacing w:after="0"/>
              <w:jc w:val="right"/>
              <w:rPr>
                <w:rFonts w:ascii="Times New Roman" w:hAnsi="Times New Roman" w:cs="Times New Roman"/>
              </w:rPr>
            </w:pPr>
            <w:r w:rsidRPr="003772C6">
              <w:rPr>
                <w:rFonts w:ascii="Times New Roman" w:hAnsi="Times New Roman" w:cs="Times New Roman"/>
              </w:rPr>
              <w:t>276,9</w:t>
            </w:r>
          </w:p>
        </w:tc>
        <w:tc>
          <w:tcPr>
            <w:tcW w:w="992" w:type="dxa"/>
            <w:vAlign w:val="center"/>
          </w:tcPr>
          <w:p w14:paraId="357512AE" w14:textId="77777777" w:rsidR="002A41A8" w:rsidRPr="003772C6" w:rsidRDefault="002A41A8" w:rsidP="00F17FDD">
            <w:pPr>
              <w:keepNext/>
              <w:keepLines/>
              <w:spacing w:after="0"/>
              <w:jc w:val="right"/>
              <w:rPr>
                <w:rFonts w:ascii="Times New Roman" w:hAnsi="Times New Roman" w:cs="Times New Roman"/>
              </w:rPr>
            </w:pPr>
            <w:r w:rsidRPr="003772C6">
              <w:rPr>
                <w:rFonts w:ascii="Times New Roman" w:hAnsi="Times New Roman" w:cs="Times New Roman"/>
              </w:rPr>
              <w:t>109,8</w:t>
            </w:r>
          </w:p>
        </w:tc>
      </w:tr>
      <w:tr w:rsidR="002A41A8" w:rsidRPr="003772C6" w14:paraId="75A708BB" w14:textId="77777777" w:rsidTr="00F17FDD">
        <w:trPr>
          <w:trHeight w:val="340"/>
          <w:jc w:val="center"/>
        </w:trPr>
        <w:tc>
          <w:tcPr>
            <w:tcW w:w="1469" w:type="dxa"/>
            <w:noWrap/>
            <w:vAlign w:val="center"/>
            <w:hideMark/>
          </w:tcPr>
          <w:p w14:paraId="15C3D1D1" w14:textId="77777777" w:rsidR="002A41A8" w:rsidRPr="003772C6" w:rsidRDefault="002A41A8" w:rsidP="00F17FDD">
            <w:pPr>
              <w:keepNext/>
              <w:keepLines/>
              <w:spacing w:after="0"/>
              <w:rPr>
                <w:rFonts w:ascii="Times New Roman" w:hAnsi="Times New Roman" w:cs="Times New Roman"/>
              </w:rPr>
            </w:pPr>
            <w:r w:rsidRPr="003772C6">
              <w:rPr>
                <w:rFonts w:ascii="Times New Roman" w:hAnsi="Times New Roman" w:cs="Times New Roman"/>
              </w:rPr>
              <w:t>Kiutalás</w:t>
            </w:r>
          </w:p>
        </w:tc>
        <w:tc>
          <w:tcPr>
            <w:tcW w:w="1645" w:type="dxa"/>
            <w:noWrap/>
            <w:vAlign w:val="center"/>
          </w:tcPr>
          <w:p w14:paraId="14550D9A" w14:textId="77777777" w:rsidR="002A41A8" w:rsidRPr="003772C6" w:rsidRDefault="002A41A8" w:rsidP="00F17FDD">
            <w:pPr>
              <w:keepNext/>
              <w:keepLines/>
              <w:spacing w:after="0"/>
              <w:jc w:val="right"/>
              <w:rPr>
                <w:rFonts w:ascii="Times New Roman" w:hAnsi="Times New Roman" w:cs="Times New Roman"/>
              </w:rPr>
            </w:pPr>
            <w:r w:rsidRPr="003772C6">
              <w:rPr>
                <w:rFonts w:ascii="Times New Roman" w:hAnsi="Times New Roman" w:cs="Times New Roman"/>
              </w:rPr>
              <w:t>219,0</w:t>
            </w:r>
          </w:p>
        </w:tc>
        <w:tc>
          <w:tcPr>
            <w:tcW w:w="1701" w:type="dxa"/>
            <w:noWrap/>
            <w:vAlign w:val="center"/>
          </w:tcPr>
          <w:p w14:paraId="1DF79C26" w14:textId="77777777" w:rsidR="002A41A8" w:rsidRPr="003772C6" w:rsidRDefault="002A41A8" w:rsidP="00F17FDD">
            <w:pPr>
              <w:keepNext/>
              <w:keepLines/>
              <w:spacing w:after="0"/>
              <w:jc w:val="right"/>
              <w:rPr>
                <w:rFonts w:ascii="Times New Roman" w:hAnsi="Times New Roman" w:cs="Times New Roman"/>
              </w:rPr>
            </w:pPr>
            <w:r w:rsidRPr="003772C6">
              <w:rPr>
                <w:rFonts w:ascii="Times New Roman" w:hAnsi="Times New Roman" w:cs="Times New Roman"/>
              </w:rPr>
              <w:t>236,9</w:t>
            </w:r>
          </w:p>
        </w:tc>
        <w:tc>
          <w:tcPr>
            <w:tcW w:w="992" w:type="dxa"/>
            <w:noWrap/>
            <w:vAlign w:val="center"/>
          </w:tcPr>
          <w:p w14:paraId="3F2E110E" w14:textId="77777777" w:rsidR="002A41A8" w:rsidRPr="003772C6" w:rsidRDefault="002A41A8" w:rsidP="00F17FDD">
            <w:pPr>
              <w:keepNext/>
              <w:keepLines/>
              <w:spacing w:after="0"/>
              <w:jc w:val="right"/>
              <w:rPr>
                <w:rFonts w:ascii="Times New Roman" w:hAnsi="Times New Roman" w:cs="Times New Roman"/>
              </w:rPr>
            </w:pPr>
            <w:r w:rsidRPr="003772C6">
              <w:rPr>
                <w:rFonts w:ascii="Times New Roman" w:hAnsi="Times New Roman" w:cs="Times New Roman"/>
              </w:rPr>
              <w:t>17,9</w:t>
            </w:r>
          </w:p>
        </w:tc>
        <w:tc>
          <w:tcPr>
            <w:tcW w:w="992" w:type="dxa"/>
            <w:vAlign w:val="center"/>
          </w:tcPr>
          <w:p w14:paraId="65512937" w14:textId="77777777" w:rsidR="002A41A8" w:rsidRPr="003772C6" w:rsidRDefault="002A41A8" w:rsidP="00F17FDD">
            <w:pPr>
              <w:keepNext/>
              <w:keepLines/>
              <w:spacing w:after="0"/>
              <w:jc w:val="right"/>
              <w:rPr>
                <w:rFonts w:ascii="Times New Roman" w:hAnsi="Times New Roman" w:cs="Times New Roman"/>
              </w:rPr>
            </w:pPr>
            <w:r w:rsidRPr="003772C6">
              <w:rPr>
                <w:rFonts w:ascii="Times New Roman" w:hAnsi="Times New Roman" w:cs="Times New Roman"/>
              </w:rPr>
              <w:t>108,2</w:t>
            </w:r>
          </w:p>
        </w:tc>
      </w:tr>
      <w:tr w:rsidR="002A41A8" w:rsidRPr="003772C6" w14:paraId="002A88AF" w14:textId="77777777" w:rsidTr="00F17FDD">
        <w:trPr>
          <w:trHeight w:val="340"/>
          <w:jc w:val="center"/>
        </w:trPr>
        <w:tc>
          <w:tcPr>
            <w:tcW w:w="1469" w:type="dxa"/>
            <w:noWrap/>
            <w:vAlign w:val="center"/>
            <w:hideMark/>
          </w:tcPr>
          <w:p w14:paraId="2406E166" w14:textId="77777777" w:rsidR="002A41A8" w:rsidRPr="003772C6" w:rsidRDefault="002A41A8" w:rsidP="00F17FDD">
            <w:pPr>
              <w:widowControl w:val="0"/>
              <w:spacing w:after="0"/>
              <w:rPr>
                <w:rFonts w:ascii="Times New Roman" w:hAnsi="Times New Roman" w:cs="Times New Roman"/>
                <w:b/>
                <w:bCs/>
              </w:rPr>
            </w:pPr>
            <w:r w:rsidRPr="003772C6">
              <w:rPr>
                <w:rFonts w:ascii="Times New Roman" w:hAnsi="Times New Roman" w:cs="Times New Roman"/>
                <w:b/>
                <w:bCs/>
              </w:rPr>
              <w:t>Egyenleg</w:t>
            </w:r>
          </w:p>
        </w:tc>
        <w:tc>
          <w:tcPr>
            <w:tcW w:w="1645" w:type="dxa"/>
            <w:noWrap/>
            <w:vAlign w:val="center"/>
          </w:tcPr>
          <w:p w14:paraId="3701DC73" w14:textId="77777777" w:rsidR="002A41A8" w:rsidRPr="003772C6" w:rsidRDefault="002A41A8" w:rsidP="00F17FDD">
            <w:pPr>
              <w:widowControl w:val="0"/>
              <w:spacing w:after="0"/>
              <w:jc w:val="right"/>
              <w:rPr>
                <w:rFonts w:ascii="Times New Roman" w:hAnsi="Times New Roman" w:cs="Times New Roman"/>
                <w:b/>
                <w:bCs/>
              </w:rPr>
            </w:pPr>
            <w:r w:rsidRPr="003772C6">
              <w:rPr>
                <w:rFonts w:ascii="Times New Roman" w:hAnsi="Times New Roman" w:cs="Times New Roman"/>
                <w:b/>
                <w:bCs/>
              </w:rPr>
              <w:t>2 607,7</w:t>
            </w:r>
          </w:p>
        </w:tc>
        <w:tc>
          <w:tcPr>
            <w:tcW w:w="1701" w:type="dxa"/>
            <w:noWrap/>
            <w:vAlign w:val="center"/>
          </w:tcPr>
          <w:p w14:paraId="5D72EBD0" w14:textId="77777777" w:rsidR="002A41A8" w:rsidRPr="003772C6" w:rsidRDefault="002A41A8" w:rsidP="00F17FDD">
            <w:pPr>
              <w:widowControl w:val="0"/>
              <w:spacing w:after="0"/>
              <w:jc w:val="right"/>
              <w:rPr>
                <w:rFonts w:ascii="Times New Roman" w:hAnsi="Times New Roman" w:cs="Times New Roman"/>
                <w:b/>
                <w:bCs/>
              </w:rPr>
            </w:pPr>
            <w:r w:rsidRPr="003772C6">
              <w:rPr>
                <w:rFonts w:ascii="Times New Roman" w:hAnsi="Times New Roman" w:cs="Times New Roman"/>
                <w:b/>
                <w:bCs/>
              </w:rPr>
              <w:t>2 866,7</w:t>
            </w:r>
          </w:p>
        </w:tc>
        <w:tc>
          <w:tcPr>
            <w:tcW w:w="992" w:type="dxa"/>
            <w:noWrap/>
            <w:vAlign w:val="center"/>
          </w:tcPr>
          <w:p w14:paraId="1CCD61B5" w14:textId="77777777" w:rsidR="002A41A8" w:rsidRPr="003772C6" w:rsidRDefault="002A41A8" w:rsidP="00F17FDD">
            <w:pPr>
              <w:widowControl w:val="0"/>
              <w:spacing w:after="0"/>
              <w:jc w:val="right"/>
              <w:rPr>
                <w:rFonts w:ascii="Times New Roman" w:hAnsi="Times New Roman" w:cs="Times New Roman"/>
                <w:b/>
                <w:bCs/>
              </w:rPr>
            </w:pPr>
            <w:r w:rsidRPr="003772C6">
              <w:rPr>
                <w:rFonts w:ascii="Times New Roman" w:hAnsi="Times New Roman" w:cs="Times New Roman"/>
                <w:b/>
                <w:bCs/>
              </w:rPr>
              <w:t>259,0</w:t>
            </w:r>
          </w:p>
        </w:tc>
        <w:tc>
          <w:tcPr>
            <w:tcW w:w="992" w:type="dxa"/>
            <w:vAlign w:val="center"/>
          </w:tcPr>
          <w:p w14:paraId="0E2A19C0" w14:textId="77777777" w:rsidR="002A41A8" w:rsidRPr="003772C6" w:rsidRDefault="002A41A8" w:rsidP="00F17FDD">
            <w:pPr>
              <w:widowControl w:val="0"/>
              <w:spacing w:after="0"/>
              <w:jc w:val="right"/>
              <w:rPr>
                <w:rFonts w:ascii="Times New Roman" w:hAnsi="Times New Roman" w:cs="Times New Roman"/>
                <w:b/>
                <w:bCs/>
              </w:rPr>
            </w:pPr>
            <w:r w:rsidRPr="003772C6">
              <w:rPr>
                <w:rFonts w:ascii="Times New Roman" w:hAnsi="Times New Roman" w:cs="Times New Roman"/>
                <w:b/>
                <w:bCs/>
              </w:rPr>
              <w:t>109,9</w:t>
            </w:r>
          </w:p>
        </w:tc>
      </w:tr>
    </w:tbl>
    <w:p w14:paraId="54234F12" w14:textId="4E8B7ED7" w:rsidR="123EFD2F" w:rsidRPr="00381A54" w:rsidRDefault="7BF38582" w:rsidP="00A0268E">
      <w:pPr>
        <w:spacing w:before="240"/>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Központi Maradványelszámolási Alapba</w:t>
      </w:r>
      <w:r w:rsidRPr="7BF38582">
        <w:rPr>
          <w:rFonts w:ascii="Times New Roman" w:eastAsia="Times New Roman" w:hAnsi="Times New Roman" w:cs="Times New Roman"/>
          <w:sz w:val="26"/>
          <w:szCs w:val="26"/>
        </w:rPr>
        <w:t xml:space="preserve"> </w:t>
      </w:r>
      <w:r w:rsidRPr="7BF38582">
        <w:rPr>
          <w:rFonts w:ascii="Times New Roman" w:eastAsia="Times New Roman" w:hAnsi="Times New Roman" w:cs="Times New Roman"/>
          <w:b/>
          <w:bCs/>
          <w:sz w:val="26"/>
          <w:szCs w:val="26"/>
        </w:rPr>
        <w:t>történő befizetések</w:t>
      </w:r>
      <w:r w:rsidRPr="7BF38582">
        <w:rPr>
          <w:rFonts w:ascii="Times New Roman" w:eastAsia="Times New Roman" w:hAnsi="Times New Roman" w:cs="Times New Roman"/>
          <w:sz w:val="26"/>
          <w:szCs w:val="26"/>
        </w:rPr>
        <w:t xml:space="preserve"> mérlegsorra az év első hét hónapjában 331,1 milliárd forint maradvány került befizetésre, szemben az előző év azonos időszakában befolyt 161,8 milliárd forintos összeggel.</w:t>
      </w:r>
    </w:p>
    <w:p w14:paraId="25C427CE" w14:textId="3CDDA25D" w:rsidR="029C2633" w:rsidRPr="00381A54" w:rsidRDefault="7BF38582" w:rsidP="00A0268E">
      <w:pPr>
        <w:jc w:val="both"/>
        <w:rPr>
          <w:rFonts w:ascii="Times New Roman" w:eastAsia="Times New Roman" w:hAnsi="Times New Roman" w:cs="Times New Roman"/>
          <w:b/>
          <w:bCs/>
          <w:sz w:val="26"/>
          <w:szCs w:val="26"/>
        </w:rPr>
      </w:pPr>
      <w:r w:rsidRPr="001B4158">
        <w:rPr>
          <w:rFonts w:ascii="Times New Roman" w:eastAsia="Times New Roman" w:hAnsi="Times New Roman" w:cs="Times New Roman"/>
          <w:sz w:val="26"/>
          <w:szCs w:val="26"/>
        </w:rPr>
        <w:t xml:space="preserve">Az </w:t>
      </w:r>
      <w:r w:rsidRPr="001B4158">
        <w:rPr>
          <w:rFonts w:ascii="Times New Roman" w:eastAsia="Times New Roman" w:hAnsi="Times New Roman" w:cs="Times New Roman"/>
          <w:b/>
          <w:bCs/>
          <w:sz w:val="26"/>
          <w:szCs w:val="26"/>
        </w:rPr>
        <w:t xml:space="preserve">állami vagyonnal kapcsolatos befizetések </w:t>
      </w:r>
      <w:r w:rsidRPr="001B4158">
        <w:rPr>
          <w:rFonts w:ascii="Times New Roman" w:eastAsia="Times New Roman" w:hAnsi="Times New Roman" w:cs="Times New Roman"/>
          <w:sz w:val="26"/>
          <w:szCs w:val="26"/>
        </w:rPr>
        <w:t>2025 első héthavi összege közel 590,7 milliárd forint, amelynek meghatározó tétele az osztalékbefizetés volt.</w:t>
      </w:r>
      <w:r w:rsidRPr="7BF38582">
        <w:rPr>
          <w:rFonts w:ascii="Times New Roman" w:eastAsia="Times New Roman" w:hAnsi="Times New Roman" w:cs="Times New Roman"/>
          <w:b/>
          <w:bCs/>
          <w:sz w:val="26"/>
          <w:szCs w:val="26"/>
        </w:rPr>
        <w:t xml:space="preserve"> </w:t>
      </w:r>
    </w:p>
    <w:p w14:paraId="0D0F2783" w14:textId="6F57E04E" w:rsidR="009D55B4" w:rsidRPr="00377D59" w:rsidRDefault="005861AE" w:rsidP="009D55B4">
      <w:pPr>
        <w:jc w:val="center"/>
        <w:rPr>
          <w:rFonts w:ascii="Times New Roman" w:eastAsia="Times New Roman" w:hAnsi="Times New Roman" w:cs="Times New Roman"/>
          <w:sz w:val="26"/>
          <w:szCs w:val="26"/>
        </w:rPr>
      </w:pPr>
      <w:r>
        <w:rPr>
          <w:noProof/>
        </w:rPr>
        <w:drawing>
          <wp:inline distT="0" distB="0" distL="0" distR="0" wp14:anchorId="1944F079" wp14:editId="77E3AD56">
            <wp:extent cx="5450495" cy="3302924"/>
            <wp:effectExtent l="0" t="0" r="0" b="0"/>
            <wp:docPr id="211724012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40125" name=""/>
                    <pic:cNvPicPr/>
                  </pic:nvPicPr>
                  <pic:blipFill>
                    <a:blip r:embed="rId16"/>
                    <a:stretch>
                      <a:fillRect/>
                    </a:stretch>
                  </pic:blipFill>
                  <pic:spPr>
                    <a:xfrm>
                      <a:off x="0" y="0"/>
                      <a:ext cx="5464071" cy="3311151"/>
                    </a:xfrm>
                    <a:prstGeom prst="rect">
                      <a:avLst/>
                    </a:prstGeom>
                  </pic:spPr>
                </pic:pic>
              </a:graphicData>
            </a:graphic>
          </wp:inline>
        </w:drawing>
      </w:r>
    </w:p>
    <w:p w14:paraId="23623F4E" w14:textId="141718A2" w:rsidR="5B67C7D7" w:rsidRPr="00920F4D" w:rsidRDefault="7BF38582" w:rsidP="00A0268E">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lastRenderedPageBreak/>
        <w:t xml:space="preserve">A költségvetés XLV. </w:t>
      </w:r>
      <w:r w:rsidRPr="7BF38582">
        <w:rPr>
          <w:rFonts w:ascii="Times New Roman" w:eastAsia="Times New Roman" w:hAnsi="Times New Roman" w:cs="Times New Roman"/>
          <w:b/>
          <w:bCs/>
          <w:sz w:val="26"/>
          <w:szCs w:val="26"/>
        </w:rPr>
        <w:t>Állami beruházások</w:t>
      </w:r>
      <w:r w:rsidRPr="7BF38582">
        <w:rPr>
          <w:rFonts w:ascii="Times New Roman" w:eastAsia="Times New Roman" w:hAnsi="Times New Roman" w:cs="Times New Roman"/>
          <w:sz w:val="26"/>
          <w:szCs w:val="26"/>
        </w:rPr>
        <w:t xml:space="preserve"> fejezetének bevételei 2025. július végéig 157,1 milliárd forintot tettek ki.</w:t>
      </w:r>
    </w:p>
    <w:p w14:paraId="4BE4CA6A" w14:textId="7EF78DD2" w:rsidR="39728167" w:rsidRPr="00377D59" w:rsidRDefault="75809766" w:rsidP="00A0268E">
      <w:pPr>
        <w:jc w:val="both"/>
        <w:rPr>
          <w:rFonts w:ascii="Times New Roman" w:hAnsi="Times New Roman" w:cs="Times New Roman"/>
        </w:rPr>
      </w:pPr>
      <w:r w:rsidRPr="75809766">
        <w:rPr>
          <w:rFonts w:ascii="Times New Roman" w:eastAsia="Times New Roman" w:hAnsi="Times New Roman" w:cs="Times New Roman"/>
          <w:sz w:val="26"/>
          <w:szCs w:val="26"/>
        </w:rPr>
        <w:t xml:space="preserve">Az uniós bevételek főszabály szerint a XLII. A költségvetés közvetlen bevételei és kiadásai fejezetbe érkeznek, ezek kimutatására szolgálnak az </w:t>
      </w:r>
      <w:r w:rsidRPr="75809766">
        <w:rPr>
          <w:rFonts w:ascii="Times New Roman" w:eastAsia="Times New Roman" w:hAnsi="Times New Roman" w:cs="Times New Roman"/>
          <w:b/>
          <w:bCs/>
          <w:sz w:val="26"/>
          <w:szCs w:val="26"/>
        </w:rPr>
        <w:t>Uniós programok bevételei</w:t>
      </w:r>
      <w:r w:rsidRPr="75809766">
        <w:rPr>
          <w:rFonts w:ascii="Times New Roman" w:eastAsia="Times New Roman" w:hAnsi="Times New Roman" w:cs="Times New Roman"/>
          <w:sz w:val="26"/>
          <w:szCs w:val="26"/>
        </w:rPr>
        <w:t xml:space="preserve">, valamint az </w:t>
      </w:r>
      <w:r w:rsidRPr="75809766">
        <w:rPr>
          <w:rFonts w:ascii="Times New Roman" w:eastAsia="Times New Roman" w:hAnsi="Times New Roman" w:cs="Times New Roman"/>
          <w:b/>
          <w:bCs/>
          <w:sz w:val="26"/>
          <w:szCs w:val="26"/>
        </w:rPr>
        <w:t>Egyéb uniós bevételek</w:t>
      </w:r>
      <w:r w:rsidRPr="75809766">
        <w:rPr>
          <w:rFonts w:ascii="Times New Roman" w:eastAsia="Times New Roman" w:hAnsi="Times New Roman" w:cs="Times New Roman"/>
          <w:sz w:val="26"/>
          <w:szCs w:val="26"/>
        </w:rPr>
        <w:t xml:space="preserve"> mérlegsorok.</w:t>
      </w:r>
    </w:p>
    <w:p w14:paraId="3C3A66C8" w14:textId="483D090E" w:rsidR="74B9DF17" w:rsidRDefault="7BF38582" w:rsidP="00A0268E">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Az </w:t>
      </w:r>
      <w:r w:rsidRPr="7BF38582">
        <w:rPr>
          <w:rFonts w:ascii="Times New Roman" w:eastAsia="Times New Roman" w:hAnsi="Times New Roman" w:cs="Times New Roman"/>
          <w:b/>
          <w:bCs/>
          <w:sz w:val="26"/>
          <w:szCs w:val="26"/>
        </w:rPr>
        <w:t>Uniós programok bevételei</w:t>
      </w:r>
      <w:r w:rsidRPr="7BF38582">
        <w:rPr>
          <w:rFonts w:ascii="Times New Roman" w:eastAsia="Times New Roman" w:hAnsi="Times New Roman" w:cs="Times New Roman"/>
          <w:sz w:val="26"/>
          <w:szCs w:val="26"/>
        </w:rPr>
        <w:t xml:space="preserve"> mérlegsoron 2025.</w:t>
      </w:r>
      <w:r w:rsidR="004726B3">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július</w:t>
      </w:r>
      <w:r w:rsidR="004726B3">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végéig 181,8</w:t>
      </w:r>
      <w:r w:rsidR="0044396F">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w:t>
      </w:r>
      <w:r w:rsidR="0044396F">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forint bevétel keletkezett. Ez az összeg a törvényi előirányzat (2235,9</w:t>
      </w:r>
      <w:r w:rsidR="004726B3">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 8,1%-át teszi ki. A teljesült bevételből 125,5</w:t>
      </w:r>
      <w:r w:rsidR="004726B3">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 az uniós és 56,3</w:t>
      </w:r>
      <w:r w:rsidR="004726B3">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 az egyéb bevételekhez tartozik.</w:t>
      </w:r>
    </w:p>
    <w:p w14:paraId="040E2327" w14:textId="6F5341D2" w:rsidR="74B9DF17" w:rsidRPr="00FE12D5" w:rsidRDefault="7BF38582" w:rsidP="00A0268E">
      <w:pPr>
        <w:jc w:val="both"/>
        <w:rPr>
          <w:rFonts w:ascii="Times New Roman" w:hAnsi="Times New Roman" w:cs="Times New Roman"/>
        </w:rPr>
      </w:pPr>
      <w:r w:rsidRPr="7BF38582">
        <w:rPr>
          <w:rFonts w:ascii="Times New Roman" w:eastAsia="Times New Roman" w:hAnsi="Times New Roman" w:cs="Times New Roman"/>
          <w:sz w:val="26"/>
          <w:szCs w:val="26"/>
        </w:rPr>
        <w:t xml:space="preserve">Az </w:t>
      </w:r>
      <w:r w:rsidRPr="7BF38582">
        <w:rPr>
          <w:rFonts w:ascii="Times New Roman" w:eastAsia="Times New Roman" w:hAnsi="Times New Roman" w:cs="Times New Roman"/>
          <w:b/>
          <w:bCs/>
          <w:sz w:val="26"/>
          <w:szCs w:val="26"/>
        </w:rPr>
        <w:t xml:space="preserve">Egyéb uniós bevételek </w:t>
      </w:r>
      <w:r w:rsidRPr="7BF38582">
        <w:rPr>
          <w:rFonts w:ascii="Times New Roman" w:eastAsia="Times New Roman" w:hAnsi="Times New Roman" w:cs="Times New Roman"/>
          <w:sz w:val="26"/>
          <w:szCs w:val="26"/>
        </w:rPr>
        <w:t>soron a vámbeszedési költség megtérítése jelenik meg, mely 20,1</w:t>
      </w:r>
      <w:r w:rsidR="0044396F">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forintot tett ki 2025 júliusáig. Ez az összeg a törvényi előirányzat 63,4%-a</w:t>
      </w:r>
      <w:r w:rsidR="0044396F">
        <w:rPr>
          <w:rFonts w:ascii="Times New Roman" w:eastAsia="Times New Roman" w:hAnsi="Times New Roman" w:cs="Times New Roman"/>
          <w:sz w:val="26"/>
          <w:szCs w:val="26"/>
        </w:rPr>
        <w:t>,</w:t>
      </w:r>
      <w:r w:rsidRPr="7BF38582">
        <w:rPr>
          <w:rFonts w:ascii="Times New Roman" w:eastAsia="Times New Roman" w:hAnsi="Times New Roman" w:cs="Times New Roman"/>
          <w:sz w:val="26"/>
          <w:szCs w:val="26"/>
        </w:rPr>
        <w:t xml:space="preserve"> és 2,8</w:t>
      </w:r>
      <w:r w:rsidR="0044396F">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forinttal haladja meg a 2024. év azonos időszakában keletkezett bevételt.</w:t>
      </w:r>
    </w:p>
    <w:p w14:paraId="186FF916" w14:textId="77777777" w:rsidR="002A41A8" w:rsidRPr="002A41A8" w:rsidRDefault="002A41A8" w:rsidP="00A0268E">
      <w:pPr>
        <w:jc w:val="both"/>
        <w:rPr>
          <w:rFonts w:ascii="Times New Roman" w:eastAsia="Calibri" w:hAnsi="Times New Roman" w:cs="Times New Roman"/>
          <w:sz w:val="26"/>
          <w:szCs w:val="26"/>
          <w:lang w:eastAsia="hu-HU"/>
        </w:rPr>
      </w:pPr>
      <w:r w:rsidRPr="002A41A8">
        <w:rPr>
          <w:rFonts w:ascii="Times New Roman" w:eastAsia="Calibri" w:hAnsi="Times New Roman" w:cs="Times New Roman"/>
          <w:sz w:val="26"/>
          <w:szCs w:val="26"/>
          <w:lang w:eastAsia="hu-HU"/>
        </w:rPr>
        <w:t xml:space="preserve">A befizetett társadalombiztosítási járulék 8,1%-át az állami adóhatóság a foglalkoztatási programokkal kapcsolatos elkülönített állami pénzalapnak utalja át. 2025. július végéig a </w:t>
      </w:r>
      <w:r w:rsidRPr="002A41A8">
        <w:rPr>
          <w:rFonts w:ascii="Times New Roman" w:eastAsia="Calibri" w:hAnsi="Times New Roman" w:cs="Times New Roman"/>
          <w:b/>
          <w:bCs/>
          <w:sz w:val="26"/>
          <w:szCs w:val="26"/>
          <w:lang w:eastAsia="hu-HU"/>
        </w:rPr>
        <w:t xml:space="preserve">társadalombiztosítási járulék </w:t>
      </w:r>
      <w:r w:rsidRPr="002A41A8">
        <w:rPr>
          <w:rFonts w:ascii="Times New Roman" w:eastAsia="Times New Roman" w:hAnsi="Times New Roman" w:cs="Times New Roman"/>
          <w:b/>
          <w:bCs/>
          <w:sz w:val="26"/>
          <w:szCs w:val="26"/>
          <w:lang w:eastAsia="hu-HU"/>
        </w:rPr>
        <w:t xml:space="preserve">Nemzeti Foglalkoztatási </w:t>
      </w:r>
      <w:r w:rsidRPr="002A41A8">
        <w:rPr>
          <w:rFonts w:ascii="Times New Roman" w:eastAsia="Calibri" w:hAnsi="Times New Roman" w:cs="Times New Roman"/>
          <w:b/>
          <w:bCs/>
          <w:sz w:val="26"/>
          <w:szCs w:val="26"/>
          <w:lang w:eastAsia="hu-HU"/>
        </w:rPr>
        <w:t xml:space="preserve">Alapot megillető része </w:t>
      </w:r>
      <w:r w:rsidRPr="002A41A8">
        <w:rPr>
          <w:rFonts w:ascii="Times New Roman" w:eastAsia="Calibri" w:hAnsi="Times New Roman" w:cs="Times New Roman"/>
          <w:bCs/>
          <w:sz w:val="26"/>
          <w:szCs w:val="26"/>
          <w:lang w:eastAsia="hu-HU"/>
        </w:rPr>
        <w:t>253,3</w:t>
      </w:r>
      <w:r w:rsidRPr="002A41A8">
        <w:rPr>
          <w:rFonts w:ascii="Times New Roman" w:eastAsia="Calibri" w:hAnsi="Times New Roman" w:cs="Times New Roman"/>
          <w:sz w:val="26"/>
          <w:szCs w:val="26"/>
          <w:lang w:eastAsia="hu-HU"/>
        </w:rPr>
        <w:t> milliárd</w:t>
      </w:r>
      <w:r w:rsidRPr="002A41A8">
        <w:rPr>
          <w:rFonts w:ascii="Times New Roman" w:eastAsia="Times New Roman" w:hAnsi="Times New Roman" w:cs="Times New Roman"/>
          <w:sz w:val="26"/>
          <w:szCs w:val="20"/>
          <w:lang w:eastAsia="hu-HU"/>
        </w:rPr>
        <w:t> </w:t>
      </w:r>
      <w:r w:rsidRPr="002A41A8">
        <w:rPr>
          <w:rFonts w:ascii="Times New Roman" w:eastAsia="Calibri" w:hAnsi="Times New Roman" w:cs="Times New Roman"/>
          <w:sz w:val="26"/>
          <w:szCs w:val="26"/>
          <w:lang w:eastAsia="hu-HU"/>
        </w:rPr>
        <w:t>forintban teljesült, amely az előző év azonos időszakában befolyt bevételt 21,2</w:t>
      </w:r>
      <w:r w:rsidRPr="002A41A8">
        <w:rPr>
          <w:rFonts w:ascii="Times New Roman" w:eastAsia="Times New Roman" w:hAnsi="Times New Roman" w:cs="Times New Roman"/>
          <w:sz w:val="26"/>
          <w:szCs w:val="20"/>
          <w:lang w:eastAsia="hu-HU"/>
        </w:rPr>
        <w:t> </w:t>
      </w:r>
      <w:r w:rsidRPr="002A41A8">
        <w:rPr>
          <w:rFonts w:ascii="Times New Roman" w:eastAsia="Calibri" w:hAnsi="Times New Roman" w:cs="Times New Roman"/>
          <w:sz w:val="26"/>
          <w:szCs w:val="26"/>
          <w:lang w:eastAsia="hu-HU"/>
        </w:rPr>
        <w:t>milliárd</w:t>
      </w:r>
      <w:r w:rsidRPr="002A41A8">
        <w:rPr>
          <w:rFonts w:ascii="Times New Roman" w:eastAsia="Times New Roman" w:hAnsi="Times New Roman" w:cs="Times New Roman"/>
          <w:sz w:val="26"/>
          <w:szCs w:val="20"/>
          <w:lang w:eastAsia="hu-HU"/>
        </w:rPr>
        <w:t> </w:t>
      </w:r>
      <w:r w:rsidRPr="002A41A8">
        <w:rPr>
          <w:rFonts w:ascii="Times New Roman" w:eastAsia="Calibri" w:hAnsi="Times New Roman" w:cs="Times New Roman"/>
          <w:sz w:val="26"/>
          <w:szCs w:val="26"/>
          <w:lang w:eastAsia="hu-HU"/>
        </w:rPr>
        <w:t>forinttal haladta meg. A bevételnövekedés oka a járulékköteles jövedelmek növekedése.</w:t>
      </w:r>
    </w:p>
    <w:p w14:paraId="1AB372D2" w14:textId="747DB9AB" w:rsidR="002A41A8" w:rsidRPr="002A41A8" w:rsidRDefault="002A41A8" w:rsidP="00A0268E">
      <w:pPr>
        <w:jc w:val="both"/>
        <w:rPr>
          <w:rFonts w:ascii="Times New Roman" w:eastAsia="Times New Roman" w:hAnsi="Times New Roman" w:cs="Times New Roman"/>
          <w:sz w:val="26"/>
          <w:szCs w:val="26"/>
          <w:lang w:eastAsia="hu-HU"/>
        </w:rPr>
      </w:pPr>
      <w:r w:rsidRPr="002A41A8">
        <w:rPr>
          <w:rFonts w:ascii="Times New Roman" w:eastAsia="Times New Roman" w:hAnsi="Times New Roman" w:cs="Times New Roman"/>
          <w:sz w:val="26"/>
          <w:szCs w:val="26"/>
          <w:lang w:eastAsia="hu-HU"/>
        </w:rPr>
        <w:t xml:space="preserve">2025-ben a szociális hozzájárulási adó megfizetett összegének 86,96%-a a Nyugdíjbiztosítási Alapot illeti meg. A </w:t>
      </w:r>
      <w:r w:rsidRPr="002A41A8">
        <w:rPr>
          <w:rFonts w:ascii="Times New Roman" w:eastAsia="Times New Roman" w:hAnsi="Times New Roman" w:cs="Times New Roman"/>
          <w:b/>
          <w:bCs/>
          <w:sz w:val="26"/>
          <w:szCs w:val="26"/>
          <w:lang w:eastAsia="hu-HU"/>
        </w:rPr>
        <w:t xml:space="preserve">szociális hozzájárulási adó Nyugdíjbiztosítási Alapot megillető része </w:t>
      </w:r>
      <w:r w:rsidRPr="002A41A8">
        <w:rPr>
          <w:rFonts w:ascii="Times New Roman" w:eastAsia="Times New Roman" w:hAnsi="Times New Roman" w:cs="Times New Roman"/>
          <w:bCs/>
          <w:sz w:val="26"/>
          <w:szCs w:val="26"/>
          <w:lang w:eastAsia="hu-HU"/>
        </w:rPr>
        <w:t>2025 első hét hónapjában</w:t>
      </w:r>
      <w:r w:rsidRPr="002A41A8">
        <w:rPr>
          <w:rFonts w:ascii="Times New Roman" w:eastAsia="Times New Roman" w:hAnsi="Times New Roman" w:cs="Times New Roman"/>
          <w:sz w:val="26"/>
          <w:szCs w:val="26"/>
          <w:lang w:eastAsia="hu-HU"/>
        </w:rPr>
        <w:t xml:space="preserve"> 1710,3</w:t>
      </w:r>
      <w:r w:rsidRPr="002A41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6"/>
          <w:lang w:eastAsia="hu-HU"/>
        </w:rPr>
        <w:t>milliárd</w:t>
      </w:r>
      <w:r w:rsidRPr="002A41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6"/>
          <w:lang w:eastAsia="hu-HU"/>
        </w:rPr>
        <w:t>forintban teljesült, amely 126,0</w:t>
      </w:r>
      <w:r w:rsidRPr="002A41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6"/>
          <w:lang w:eastAsia="hu-HU"/>
        </w:rPr>
        <w:t>milliárd</w:t>
      </w:r>
      <w:r w:rsidRPr="002A41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6"/>
          <w:lang w:eastAsia="hu-HU"/>
        </w:rPr>
        <w:t>forinttal haladta meg az előző év azonos időszakában befolyt bevételt. A bevétel változása az adóköteles jövedelmek növekedésével és az alapok közötti megoszlási arány változásával magyarázható.</w:t>
      </w:r>
    </w:p>
    <w:p w14:paraId="14944D8E" w14:textId="645915F9" w:rsidR="002A41A8" w:rsidRDefault="002A41A8" w:rsidP="00A0268E">
      <w:pPr>
        <w:jc w:val="both"/>
        <w:rPr>
          <w:rFonts w:ascii="Times New Roman" w:eastAsia="Calibri" w:hAnsi="Times New Roman" w:cs="Times New Roman"/>
          <w:sz w:val="26"/>
          <w:szCs w:val="26"/>
          <w:lang w:eastAsia="hu-HU"/>
        </w:rPr>
      </w:pPr>
      <w:r w:rsidRPr="002A41A8">
        <w:rPr>
          <w:rFonts w:ascii="Times New Roman" w:eastAsia="Times New Roman" w:hAnsi="Times New Roman" w:cs="Times New Roman"/>
          <w:sz w:val="26"/>
          <w:szCs w:val="26"/>
          <w:lang w:eastAsia="hu-HU"/>
        </w:rPr>
        <w:t xml:space="preserve">A befizetett társadalombiztosítási járulék 54%-át az állami adóhatóság a Nyugdíjbiztosítási Alapnak utalja át. 2025. július végéig a </w:t>
      </w:r>
      <w:r w:rsidRPr="002A41A8">
        <w:rPr>
          <w:rFonts w:ascii="Times New Roman" w:eastAsia="Times New Roman" w:hAnsi="Times New Roman" w:cs="Times New Roman"/>
          <w:b/>
          <w:bCs/>
          <w:sz w:val="26"/>
          <w:szCs w:val="26"/>
          <w:lang w:eastAsia="hu-HU"/>
        </w:rPr>
        <w:t>társadalombiztosítási járulék Nyugdíjbiztosítási Alapot megillető része és nyugdíjjárulék</w:t>
      </w:r>
      <w:r w:rsidRPr="002A41A8">
        <w:rPr>
          <w:rFonts w:ascii="Times New Roman" w:eastAsia="Times New Roman" w:hAnsi="Times New Roman" w:cs="Times New Roman"/>
          <w:sz w:val="26"/>
          <w:szCs w:val="26"/>
          <w:lang w:eastAsia="hu-HU"/>
        </w:rPr>
        <w:t xml:space="preserve"> 1723,9</w:t>
      </w:r>
      <w:r w:rsidRPr="002A41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6"/>
          <w:lang w:eastAsia="hu-HU"/>
        </w:rPr>
        <w:t>milliárd</w:t>
      </w:r>
      <w:r w:rsidRPr="002A41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6"/>
          <w:lang w:eastAsia="hu-HU"/>
        </w:rPr>
        <w:t>forintban teljesült, amely az előző év azonos időszakában befolyt bevételt 142,9</w:t>
      </w:r>
      <w:r w:rsidRPr="002A41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6"/>
          <w:lang w:eastAsia="hu-HU"/>
        </w:rPr>
        <w:t>milliárd</w:t>
      </w:r>
      <w:r w:rsidRPr="002A41A8">
        <w:rPr>
          <w:rFonts w:ascii="Times New Roman" w:eastAsia="Times New Roman" w:hAnsi="Times New Roman" w:cs="Times New Roman"/>
          <w:sz w:val="26"/>
          <w:szCs w:val="20"/>
          <w:lang w:eastAsia="hu-HU"/>
        </w:rPr>
        <w:t> </w:t>
      </w:r>
      <w:r w:rsidRPr="002A41A8">
        <w:rPr>
          <w:rFonts w:ascii="Times New Roman" w:eastAsia="Times New Roman" w:hAnsi="Times New Roman" w:cs="Times New Roman"/>
          <w:sz w:val="26"/>
          <w:szCs w:val="26"/>
          <w:lang w:eastAsia="hu-HU"/>
        </w:rPr>
        <w:t xml:space="preserve">forinttal haladta meg. </w:t>
      </w:r>
      <w:r w:rsidRPr="002A41A8">
        <w:rPr>
          <w:rFonts w:ascii="Times New Roman" w:eastAsia="Calibri" w:hAnsi="Times New Roman" w:cs="Times New Roman"/>
          <w:sz w:val="26"/>
          <w:szCs w:val="26"/>
          <w:lang w:eastAsia="hu-HU"/>
        </w:rPr>
        <w:t>A</w:t>
      </w:r>
      <w:r w:rsidR="005861AE">
        <w:rPr>
          <w:rFonts w:ascii="Times New Roman" w:eastAsia="Calibri" w:hAnsi="Times New Roman" w:cs="Times New Roman"/>
          <w:sz w:val="26"/>
          <w:szCs w:val="26"/>
          <w:lang w:eastAsia="hu-HU"/>
        </w:rPr>
        <w:t> </w:t>
      </w:r>
      <w:r w:rsidRPr="002A41A8">
        <w:rPr>
          <w:rFonts w:ascii="Times New Roman" w:eastAsia="Calibri" w:hAnsi="Times New Roman" w:cs="Times New Roman"/>
          <w:sz w:val="26"/>
          <w:szCs w:val="26"/>
          <w:lang w:eastAsia="hu-HU"/>
        </w:rPr>
        <w:t>bevételnövekedés oka a járulékköteles jövedelmek növekedése.</w:t>
      </w:r>
    </w:p>
    <w:p w14:paraId="6512C1A9" w14:textId="1F517F7B" w:rsidR="00462EDD" w:rsidRPr="00462EDD" w:rsidRDefault="7BF38582" w:rsidP="00A0268E">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Nyugdíjbiztosítási Alap</w:t>
      </w:r>
      <w:r w:rsidRPr="7BF38582">
        <w:rPr>
          <w:rFonts w:ascii="Times New Roman" w:eastAsia="Times New Roman" w:hAnsi="Times New Roman" w:cs="Times New Roman"/>
          <w:sz w:val="26"/>
          <w:szCs w:val="26"/>
        </w:rPr>
        <w:t xml:space="preserve"> 2025. évi költségvetése az ellátási kiadások támogatására 564,5 milliárd forint központi </w:t>
      </w:r>
      <w:r w:rsidRPr="7BF38582">
        <w:rPr>
          <w:rFonts w:ascii="Times New Roman" w:eastAsia="Times New Roman" w:hAnsi="Times New Roman" w:cs="Times New Roman"/>
          <w:b/>
          <w:bCs/>
          <w:sz w:val="26"/>
          <w:szCs w:val="26"/>
        </w:rPr>
        <w:t>költségvetési hozzájárulást</w:t>
      </w:r>
      <w:r w:rsidRPr="7BF38582">
        <w:rPr>
          <w:rFonts w:ascii="Times New Roman" w:eastAsia="Times New Roman" w:hAnsi="Times New Roman" w:cs="Times New Roman"/>
          <w:sz w:val="26"/>
          <w:szCs w:val="26"/>
        </w:rPr>
        <w:t xml:space="preserve"> tartalmaz, ami 33,1 milliárd forinttal haladja meg az előző évi előirányzatot.</w:t>
      </w:r>
    </w:p>
    <w:p w14:paraId="1B9C4A3C" w14:textId="19DB75C2" w:rsidR="00462EDD" w:rsidRPr="00462EDD" w:rsidRDefault="7BF38582" w:rsidP="00A0268E">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A központi költségvetés 77,4 milliárd forintot biztosít az Alap részére pénzeszközátadás útján, míg további 487,1 milliárd forintot – a 13. havi nyugdíj és a nyugdíjprémium fedezeteként – címzett támogatás formájában. A 13. havi nyugdíj és a nyugdíjprémium támogatásának előirányzatai év közben előirányzat-módosítás nélkül túlléphetők.</w:t>
      </w:r>
    </w:p>
    <w:p w14:paraId="2CBF9A93" w14:textId="79C83A5D" w:rsidR="19667954" w:rsidRDefault="7BF38582" w:rsidP="00A0268E">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 Magyar Államkincstár az ellátási kiadások támogatására a Nyugdíjbiztosítási Alap részére 2025. július végéig 45,2 milliárd forint központi támogatást utalt át </w:t>
      </w:r>
      <w:r w:rsidRPr="7BF38582">
        <w:rPr>
          <w:rFonts w:ascii="Times New Roman" w:eastAsia="Times New Roman" w:hAnsi="Times New Roman" w:cs="Times New Roman"/>
          <w:b/>
          <w:bCs/>
          <w:sz w:val="26"/>
          <w:szCs w:val="26"/>
        </w:rPr>
        <w:t>pénzeszköz-átadás</w:t>
      </w:r>
      <w:r w:rsidRPr="7BF38582">
        <w:rPr>
          <w:rFonts w:ascii="Times New Roman" w:eastAsia="Times New Roman" w:hAnsi="Times New Roman" w:cs="Times New Roman"/>
          <w:sz w:val="26"/>
          <w:szCs w:val="26"/>
        </w:rPr>
        <w:t xml:space="preserve"> jogcímen, ami 9,1 milliárd forinttal magasabb az előző év azonos időszakában </w:t>
      </w:r>
      <w:r w:rsidRPr="7BF38582">
        <w:rPr>
          <w:rFonts w:ascii="Times New Roman" w:eastAsia="Times New Roman" w:hAnsi="Times New Roman" w:cs="Times New Roman"/>
          <w:sz w:val="26"/>
          <w:szCs w:val="26"/>
        </w:rPr>
        <w:lastRenderedPageBreak/>
        <w:t>nyújtott támogatás összegénél. A pénzeszköz-átadás a Nyugdíjbiztosítási Alap költségvetési egyensúlyának biztosítását szolgálja.</w:t>
      </w:r>
    </w:p>
    <w:p w14:paraId="6BF2F156" w14:textId="4BC83F57" w:rsidR="00A76FE3"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13. havi nyugdíj kifizetésének</w:t>
      </w:r>
      <w:r w:rsidRPr="7BF38582">
        <w:rPr>
          <w:rFonts w:ascii="Times New Roman" w:eastAsia="Times New Roman" w:hAnsi="Times New Roman" w:cs="Times New Roman"/>
          <w:sz w:val="26"/>
          <w:szCs w:val="26"/>
        </w:rPr>
        <w:t xml:space="preserve"> támogatására február hónapban 487,1 milliárd forint került átutalásra a Nyugdíjbiztosítási Alap részére, ami 38,1 milliárd forinttal haladja meg az előző év azonos időszakában ugyanezen a jogcímen nyújtott támogatás összegét.</w:t>
      </w:r>
    </w:p>
    <w:p w14:paraId="1E5039D7" w14:textId="138B086A" w:rsidR="475F3A1A" w:rsidRDefault="005861AE" w:rsidP="005861AE">
      <w:pPr>
        <w:jc w:val="center"/>
        <w:rPr>
          <w:rFonts w:ascii="Times New Roman" w:eastAsia="Times New Roman" w:hAnsi="Times New Roman" w:cs="Times New Roman"/>
          <w:sz w:val="26"/>
          <w:szCs w:val="26"/>
        </w:rPr>
      </w:pPr>
      <w:r>
        <w:rPr>
          <w:noProof/>
        </w:rPr>
        <w:drawing>
          <wp:inline distT="0" distB="0" distL="0" distR="0" wp14:anchorId="57CE7AE9" wp14:editId="5B6D6BE2">
            <wp:extent cx="5940425" cy="2391410"/>
            <wp:effectExtent l="0" t="0" r="3175" b="8890"/>
            <wp:docPr id="105159697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96972" name=""/>
                    <pic:cNvPicPr/>
                  </pic:nvPicPr>
                  <pic:blipFill>
                    <a:blip r:embed="rId17"/>
                    <a:stretch>
                      <a:fillRect/>
                    </a:stretch>
                  </pic:blipFill>
                  <pic:spPr>
                    <a:xfrm>
                      <a:off x="0" y="0"/>
                      <a:ext cx="5940425" cy="2391410"/>
                    </a:xfrm>
                    <a:prstGeom prst="rect">
                      <a:avLst/>
                    </a:prstGeom>
                  </pic:spPr>
                </pic:pic>
              </a:graphicData>
            </a:graphic>
          </wp:inline>
        </w:drawing>
      </w:r>
    </w:p>
    <w:p w14:paraId="549B16FB" w14:textId="54D3D455" w:rsidR="002A41A8" w:rsidRPr="002A41A8" w:rsidRDefault="002A41A8" w:rsidP="00A0268E">
      <w:pPr>
        <w:jc w:val="both"/>
        <w:rPr>
          <w:rFonts w:ascii="Times New Roman" w:eastAsia="Times New Roman" w:hAnsi="Times New Roman" w:cs="Times New Roman"/>
          <w:sz w:val="26"/>
          <w:szCs w:val="26"/>
          <w:lang w:eastAsia="hu-HU"/>
        </w:rPr>
      </w:pPr>
      <w:r w:rsidRPr="002A41A8">
        <w:rPr>
          <w:rFonts w:ascii="Times New Roman" w:eastAsia="Calibri" w:hAnsi="Times New Roman" w:cs="Times New Roman"/>
          <w:sz w:val="26"/>
          <w:szCs w:val="26"/>
          <w:lang w:eastAsia="hu-HU"/>
        </w:rPr>
        <w:t>2025-ben a szociális hozzájárulási adó megfizetett összegének 13,04%-a az</w:t>
      </w:r>
      <w:r w:rsidR="005861AE">
        <w:rPr>
          <w:rFonts w:ascii="Times New Roman" w:eastAsia="Calibri" w:hAnsi="Times New Roman" w:cs="Times New Roman"/>
          <w:sz w:val="26"/>
          <w:szCs w:val="26"/>
          <w:lang w:eastAsia="hu-HU"/>
        </w:rPr>
        <w:t> </w:t>
      </w:r>
      <w:r w:rsidRPr="002A41A8">
        <w:rPr>
          <w:rFonts w:ascii="Times New Roman" w:eastAsia="Calibri" w:hAnsi="Times New Roman" w:cs="Times New Roman"/>
          <w:sz w:val="26"/>
          <w:szCs w:val="26"/>
          <w:lang w:eastAsia="hu-HU"/>
        </w:rPr>
        <w:t xml:space="preserve">Egészségbiztosítási Alapot illeti meg. 2025 első hét hónapjában a </w:t>
      </w:r>
      <w:r w:rsidRPr="002A41A8">
        <w:rPr>
          <w:rFonts w:ascii="Times New Roman" w:eastAsia="Calibri" w:hAnsi="Times New Roman" w:cs="Times New Roman"/>
          <w:b/>
          <w:bCs/>
          <w:sz w:val="26"/>
          <w:szCs w:val="26"/>
          <w:lang w:eastAsia="hu-HU"/>
        </w:rPr>
        <w:t>szociális hozzájárulási adó Egészségbiztosítási Alapot megillető része</w:t>
      </w:r>
      <w:r w:rsidRPr="002A41A8">
        <w:rPr>
          <w:rFonts w:ascii="Times New Roman" w:eastAsia="Calibri" w:hAnsi="Times New Roman" w:cs="Times New Roman"/>
          <w:sz w:val="26"/>
          <w:szCs w:val="26"/>
          <w:lang w:eastAsia="hu-HU"/>
        </w:rPr>
        <w:t xml:space="preserve"> 256,5</w:t>
      </w:r>
      <w:r w:rsidRPr="002A41A8">
        <w:rPr>
          <w:rFonts w:ascii="Times New Roman" w:eastAsia="Times New Roman" w:hAnsi="Times New Roman" w:cs="Times New Roman"/>
          <w:sz w:val="26"/>
          <w:szCs w:val="20"/>
          <w:lang w:eastAsia="hu-HU"/>
        </w:rPr>
        <w:t> </w:t>
      </w:r>
      <w:r w:rsidRPr="002A41A8">
        <w:rPr>
          <w:rFonts w:ascii="Times New Roman" w:eastAsia="Calibri" w:hAnsi="Times New Roman" w:cs="Times New Roman"/>
          <w:sz w:val="26"/>
          <w:szCs w:val="26"/>
          <w:lang w:eastAsia="hu-HU"/>
        </w:rPr>
        <w:t>milliárd</w:t>
      </w:r>
      <w:r w:rsidRPr="002A41A8">
        <w:rPr>
          <w:rFonts w:ascii="Times New Roman" w:eastAsia="Times New Roman" w:hAnsi="Times New Roman" w:cs="Times New Roman"/>
          <w:sz w:val="26"/>
          <w:szCs w:val="20"/>
          <w:lang w:eastAsia="hu-HU"/>
        </w:rPr>
        <w:t> </w:t>
      </w:r>
      <w:r w:rsidRPr="002A41A8">
        <w:rPr>
          <w:rFonts w:ascii="Times New Roman" w:eastAsia="Calibri" w:hAnsi="Times New Roman" w:cs="Times New Roman"/>
          <w:sz w:val="26"/>
          <w:szCs w:val="26"/>
          <w:lang w:eastAsia="hu-HU"/>
        </w:rPr>
        <w:t>forintban teljesült, amely 63,5</w:t>
      </w:r>
      <w:r w:rsidRPr="002A41A8">
        <w:rPr>
          <w:rFonts w:ascii="Times New Roman" w:eastAsia="Times New Roman" w:hAnsi="Times New Roman" w:cs="Times New Roman"/>
          <w:sz w:val="26"/>
          <w:szCs w:val="20"/>
          <w:lang w:eastAsia="hu-HU"/>
        </w:rPr>
        <w:t> </w:t>
      </w:r>
      <w:r w:rsidRPr="002A41A8">
        <w:rPr>
          <w:rFonts w:ascii="Times New Roman" w:eastAsia="Calibri" w:hAnsi="Times New Roman" w:cs="Times New Roman"/>
          <w:sz w:val="26"/>
          <w:szCs w:val="26"/>
          <w:lang w:eastAsia="hu-HU"/>
        </w:rPr>
        <w:t>milliárd</w:t>
      </w:r>
      <w:r w:rsidRPr="002A41A8">
        <w:rPr>
          <w:rFonts w:ascii="Times New Roman" w:eastAsia="Times New Roman" w:hAnsi="Times New Roman" w:cs="Times New Roman"/>
          <w:sz w:val="26"/>
          <w:szCs w:val="20"/>
          <w:lang w:eastAsia="hu-HU"/>
        </w:rPr>
        <w:t> </w:t>
      </w:r>
      <w:r w:rsidRPr="002A41A8">
        <w:rPr>
          <w:rFonts w:ascii="Times New Roman" w:eastAsia="Calibri" w:hAnsi="Times New Roman" w:cs="Times New Roman"/>
          <w:sz w:val="26"/>
          <w:szCs w:val="26"/>
          <w:lang w:eastAsia="hu-HU"/>
        </w:rPr>
        <w:t xml:space="preserve">forinttal </w:t>
      </w:r>
      <w:r w:rsidRPr="002A41A8">
        <w:rPr>
          <w:rFonts w:ascii="Times New Roman" w:eastAsia="Times New Roman" w:hAnsi="Times New Roman" w:cs="Times New Roman"/>
          <w:sz w:val="26"/>
          <w:szCs w:val="26"/>
          <w:lang w:eastAsia="hu-HU"/>
        </w:rPr>
        <w:t>haladta meg az előző év azonos időszakában befolyt bevételt</w:t>
      </w:r>
      <w:r w:rsidRPr="002A41A8">
        <w:rPr>
          <w:rFonts w:ascii="Times New Roman" w:eastAsia="Calibri" w:hAnsi="Times New Roman" w:cs="Times New Roman"/>
          <w:sz w:val="26"/>
          <w:szCs w:val="26"/>
          <w:lang w:eastAsia="hu-HU"/>
        </w:rPr>
        <w:t xml:space="preserve">. </w:t>
      </w:r>
      <w:r w:rsidRPr="002A41A8">
        <w:rPr>
          <w:rFonts w:ascii="Times New Roman" w:eastAsia="Times New Roman" w:hAnsi="Times New Roman" w:cs="Times New Roman"/>
          <w:sz w:val="26"/>
          <w:szCs w:val="26"/>
          <w:lang w:eastAsia="hu-HU"/>
        </w:rPr>
        <w:t>A</w:t>
      </w:r>
      <w:r w:rsidR="005861AE">
        <w:rPr>
          <w:rFonts w:ascii="Times New Roman" w:eastAsia="Times New Roman" w:hAnsi="Times New Roman" w:cs="Times New Roman"/>
          <w:sz w:val="26"/>
          <w:szCs w:val="26"/>
          <w:lang w:eastAsia="hu-HU"/>
        </w:rPr>
        <w:t> </w:t>
      </w:r>
      <w:r w:rsidRPr="002A41A8">
        <w:rPr>
          <w:rFonts w:ascii="Times New Roman" w:eastAsia="Times New Roman" w:hAnsi="Times New Roman" w:cs="Times New Roman"/>
          <w:sz w:val="26"/>
          <w:szCs w:val="26"/>
          <w:lang w:eastAsia="hu-HU"/>
        </w:rPr>
        <w:t>bevétel változása az adóköteles jövedelmek növekedésével és az alapok közötti megoszlási arány változásának együttes hatásával magyarázható.</w:t>
      </w:r>
    </w:p>
    <w:p w14:paraId="0BFBC401" w14:textId="1B327FE2" w:rsidR="002A41A8" w:rsidRDefault="002A41A8" w:rsidP="00A0268E">
      <w:pPr>
        <w:jc w:val="both"/>
        <w:rPr>
          <w:rFonts w:ascii="Times New Roman" w:eastAsia="Calibri" w:hAnsi="Times New Roman" w:cs="Times New Roman"/>
          <w:sz w:val="26"/>
          <w:szCs w:val="26"/>
          <w:lang w:eastAsia="hu-HU"/>
        </w:rPr>
      </w:pPr>
      <w:r w:rsidRPr="002A41A8">
        <w:rPr>
          <w:rFonts w:ascii="Times New Roman" w:eastAsia="Calibri" w:hAnsi="Times New Roman" w:cs="Times New Roman"/>
          <w:sz w:val="26"/>
          <w:szCs w:val="26"/>
          <w:lang w:eastAsia="hu-HU"/>
        </w:rPr>
        <w:t>A befizetett társadalombiztosítási járulék 37,9%-át az állami adóhatóság az</w:t>
      </w:r>
      <w:r w:rsidR="005861AE">
        <w:rPr>
          <w:rFonts w:ascii="Times New Roman" w:eastAsia="Calibri" w:hAnsi="Times New Roman" w:cs="Times New Roman"/>
          <w:sz w:val="26"/>
          <w:szCs w:val="26"/>
          <w:lang w:eastAsia="hu-HU"/>
        </w:rPr>
        <w:t> </w:t>
      </w:r>
      <w:r w:rsidRPr="002A41A8">
        <w:rPr>
          <w:rFonts w:ascii="Times New Roman" w:eastAsia="Calibri" w:hAnsi="Times New Roman" w:cs="Times New Roman"/>
          <w:sz w:val="26"/>
          <w:szCs w:val="26"/>
          <w:lang w:eastAsia="hu-HU"/>
        </w:rPr>
        <w:t xml:space="preserve">Egészségbiztosítási Alapnak utalja át. 2025. július végéig a </w:t>
      </w:r>
      <w:r w:rsidRPr="002A41A8">
        <w:rPr>
          <w:rFonts w:ascii="Times New Roman" w:eastAsia="Calibri" w:hAnsi="Times New Roman" w:cs="Times New Roman"/>
          <w:b/>
          <w:bCs/>
          <w:sz w:val="26"/>
          <w:szCs w:val="26"/>
          <w:lang w:eastAsia="hu-HU"/>
        </w:rPr>
        <w:t>társadalombiztosítási járulék Egészségbiztosítási Alapot megillető része és egészségbiztosítási járulék</w:t>
      </w:r>
      <w:r w:rsidRPr="002A41A8">
        <w:rPr>
          <w:rFonts w:ascii="Times New Roman" w:eastAsia="Calibri" w:hAnsi="Times New Roman" w:cs="Times New Roman"/>
          <w:sz w:val="26"/>
          <w:szCs w:val="26"/>
          <w:lang w:eastAsia="hu-HU"/>
        </w:rPr>
        <w:t xml:space="preserve"> 1175,3</w:t>
      </w:r>
      <w:r w:rsidRPr="002A41A8">
        <w:rPr>
          <w:rFonts w:ascii="Times New Roman" w:eastAsia="Times New Roman" w:hAnsi="Times New Roman" w:cs="Times New Roman"/>
          <w:sz w:val="26"/>
          <w:szCs w:val="20"/>
          <w:lang w:eastAsia="hu-HU"/>
        </w:rPr>
        <w:t> </w:t>
      </w:r>
      <w:r w:rsidRPr="002A41A8">
        <w:rPr>
          <w:rFonts w:ascii="Times New Roman" w:eastAsia="Calibri" w:hAnsi="Times New Roman" w:cs="Times New Roman"/>
          <w:sz w:val="26"/>
          <w:szCs w:val="26"/>
          <w:lang w:eastAsia="hu-HU"/>
        </w:rPr>
        <w:t>milliárd</w:t>
      </w:r>
      <w:r w:rsidRPr="002A41A8">
        <w:rPr>
          <w:rFonts w:ascii="Times New Roman" w:eastAsia="Times New Roman" w:hAnsi="Times New Roman" w:cs="Times New Roman"/>
          <w:sz w:val="26"/>
          <w:szCs w:val="20"/>
          <w:lang w:eastAsia="hu-HU"/>
        </w:rPr>
        <w:t> </w:t>
      </w:r>
      <w:r w:rsidRPr="002A41A8">
        <w:rPr>
          <w:rFonts w:ascii="Times New Roman" w:eastAsia="Calibri" w:hAnsi="Times New Roman" w:cs="Times New Roman"/>
          <w:sz w:val="26"/>
          <w:szCs w:val="26"/>
          <w:lang w:eastAsia="hu-HU"/>
        </w:rPr>
        <w:t xml:space="preserve">forintban teljesült, </w:t>
      </w:r>
      <w:r w:rsidRPr="002A41A8">
        <w:rPr>
          <w:rFonts w:ascii="Times New Roman" w:eastAsia="Times New Roman" w:hAnsi="Times New Roman" w:cs="Times New Roman"/>
          <w:sz w:val="26"/>
          <w:szCs w:val="26"/>
          <w:lang w:eastAsia="hu-HU"/>
        </w:rPr>
        <w:t>amely az előző év azonos időszakában befolyt bevételt</w:t>
      </w:r>
      <w:r w:rsidRPr="002A41A8">
        <w:rPr>
          <w:rFonts w:ascii="Times New Roman" w:eastAsia="Calibri" w:hAnsi="Times New Roman" w:cs="Times New Roman"/>
          <w:sz w:val="26"/>
          <w:szCs w:val="26"/>
          <w:lang w:eastAsia="hu-HU"/>
        </w:rPr>
        <w:t xml:space="preserve"> 97,2 milliárd</w:t>
      </w:r>
      <w:r w:rsidRPr="002A41A8">
        <w:rPr>
          <w:rFonts w:ascii="Times New Roman" w:eastAsia="Times New Roman" w:hAnsi="Times New Roman" w:cs="Times New Roman"/>
          <w:sz w:val="26"/>
          <w:szCs w:val="20"/>
          <w:lang w:eastAsia="hu-HU"/>
        </w:rPr>
        <w:t> </w:t>
      </w:r>
      <w:r w:rsidRPr="002A41A8">
        <w:rPr>
          <w:rFonts w:ascii="Times New Roman" w:eastAsia="Calibri" w:hAnsi="Times New Roman" w:cs="Times New Roman"/>
          <w:sz w:val="26"/>
          <w:szCs w:val="26"/>
          <w:lang w:eastAsia="hu-HU"/>
        </w:rPr>
        <w:t>forinttal haladta meg. A bevételnövekedés oka a járulékköteles jövedelmek növekedése.</w:t>
      </w:r>
    </w:p>
    <w:p w14:paraId="1E047965" w14:textId="5B03B099" w:rsidR="005961B9" w:rsidRPr="00455A9C" w:rsidRDefault="7BF38582" w:rsidP="00A0268E">
      <w:pPr>
        <w:jc w:val="both"/>
        <w:rPr>
          <w:rFonts w:ascii="Times New Roman" w:hAnsi="Times New Roman" w:cs="Times New Roman"/>
          <w:sz w:val="26"/>
          <w:szCs w:val="26"/>
        </w:rPr>
      </w:pPr>
      <w:r w:rsidRPr="7BF38582">
        <w:rPr>
          <w:rFonts w:ascii="Times New Roman" w:hAnsi="Times New Roman" w:cs="Times New Roman"/>
          <w:sz w:val="26"/>
          <w:szCs w:val="26"/>
        </w:rPr>
        <w:t xml:space="preserve">Az </w:t>
      </w:r>
      <w:r w:rsidRPr="7BF38582">
        <w:rPr>
          <w:rFonts w:ascii="Times New Roman" w:hAnsi="Times New Roman" w:cs="Times New Roman"/>
          <w:b/>
          <w:bCs/>
          <w:sz w:val="26"/>
          <w:szCs w:val="26"/>
        </w:rPr>
        <w:t>Egészségbiztosítási Alap költségvetési hozzájárulásai</w:t>
      </w:r>
      <w:r w:rsidRPr="7BF38582">
        <w:rPr>
          <w:rFonts w:ascii="Times New Roman" w:hAnsi="Times New Roman" w:cs="Times New Roman"/>
          <w:sz w:val="26"/>
          <w:szCs w:val="26"/>
        </w:rPr>
        <w:t xml:space="preserve"> 2025 első hét hónapjában összesen 1102,0 milliárd forintot tettek ki, amely 1,1</w:t>
      </w:r>
      <w:r w:rsidR="00761C71">
        <w:rPr>
          <w:rFonts w:ascii="Times New Roman" w:hAnsi="Times New Roman" w:cs="Times New Roman"/>
          <w:sz w:val="26"/>
          <w:szCs w:val="26"/>
        </w:rPr>
        <w:t> </w:t>
      </w:r>
      <w:r w:rsidRPr="7BF38582">
        <w:rPr>
          <w:rFonts w:ascii="Times New Roman" w:hAnsi="Times New Roman" w:cs="Times New Roman"/>
          <w:sz w:val="26"/>
          <w:szCs w:val="26"/>
        </w:rPr>
        <w:t>milliárd forinttal alacsonyabb, mint az előző év azonos időszakában átutalt összeg. 2025 július végéig az Egészségbiztosítási Alap járulék címen átvett pénzeszközként 403,8 milliárd forint támogatást kapott, szemben a tavalyi év azonos időszakában átutalt 380,9 milliárd forint összeggel. Az alap kiadásainak támogatására szolgáló tervezett pénzeszköz-átvétel és az egészségügyi feladatok ellátásával kapcsolatos hozzájárulás együttes összege 2025. július végéig 698,2 milliárd forintot tett ki, amely 24,0 milliárd forinttal elmarad a tavalyi év ugyanezen időszakában átutalt összegtől.</w:t>
      </w:r>
    </w:p>
    <w:p w14:paraId="754C440E" w14:textId="6FA8B559" w:rsidR="005961B9" w:rsidRDefault="005961B9" w:rsidP="21A055E4">
      <w:pPr>
        <w:rPr>
          <w:rFonts w:ascii="Times New Roman" w:hAnsi="Times New Roman" w:cs="Times New Roman"/>
          <w:sz w:val="26"/>
          <w:szCs w:val="26"/>
        </w:rPr>
      </w:pPr>
      <w:r w:rsidRPr="21A055E4">
        <w:rPr>
          <w:rFonts w:ascii="Times New Roman" w:hAnsi="Times New Roman" w:cs="Times New Roman"/>
          <w:sz w:val="26"/>
          <w:szCs w:val="26"/>
        </w:rPr>
        <w:br w:type="page"/>
      </w:r>
    </w:p>
    <w:p w14:paraId="51F08DF7" w14:textId="6FA8B559" w:rsidR="009E34AE" w:rsidRPr="00377D59" w:rsidRDefault="7BF38582" w:rsidP="7BF38582">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7BF38582">
        <w:rPr>
          <w:rFonts w:ascii="Times New Roman" w:eastAsia="Times New Roman" w:hAnsi="Times New Roman" w:cs="Times New Roman"/>
          <w:b/>
          <w:bCs/>
          <w:smallCaps/>
          <w:sz w:val="28"/>
          <w:szCs w:val="28"/>
          <w:lang w:eastAsia="hu-HU"/>
        </w:rPr>
        <w:lastRenderedPageBreak/>
        <w:t xml:space="preserve">A főbb kiadások </w:t>
      </w:r>
    </w:p>
    <w:p w14:paraId="709F1B00" w14:textId="60B328F6" w:rsidR="005861AE" w:rsidRPr="005861AE" w:rsidRDefault="7BF38582" w:rsidP="00A0268E">
      <w:pPr>
        <w:jc w:val="both"/>
        <w:rPr>
          <w:rFonts w:ascii="Times New Roman" w:eastAsia="Times New Roman" w:hAnsi="Times New Roman" w:cs="Times New Roman"/>
          <w:b/>
          <w:bCs/>
          <w:sz w:val="26"/>
          <w:szCs w:val="26"/>
          <w:lang w:eastAsia="hu-HU"/>
        </w:rPr>
      </w:pPr>
      <w:r w:rsidRPr="7BF38582">
        <w:rPr>
          <w:rFonts w:ascii="Times New Roman" w:eastAsia="Times New Roman" w:hAnsi="Times New Roman" w:cs="Times New Roman"/>
          <w:b/>
          <w:bCs/>
          <w:sz w:val="26"/>
          <w:szCs w:val="26"/>
          <w:lang w:eastAsia="hu-HU"/>
        </w:rPr>
        <w:t xml:space="preserve">A központi alrendszer </w:t>
      </w:r>
      <w:bookmarkStart w:id="0" w:name="_Hlk203486744"/>
      <w:r w:rsidR="005861AE" w:rsidRPr="005861AE">
        <w:rPr>
          <w:rFonts w:ascii="Times New Roman" w:eastAsia="Times New Roman" w:hAnsi="Times New Roman" w:cs="Times New Roman"/>
          <w:b/>
          <w:bCs/>
          <w:sz w:val="26"/>
          <w:szCs w:val="26"/>
          <w:lang w:eastAsia="hu-HU"/>
        </w:rPr>
        <w:t>július végi 26</w:t>
      </w:r>
      <w:r w:rsidR="00C97255">
        <w:rPr>
          <w:rFonts w:ascii="Times New Roman" w:eastAsia="Times New Roman" w:hAnsi="Times New Roman" w:cs="Times New Roman"/>
          <w:b/>
          <w:bCs/>
          <w:sz w:val="26"/>
          <w:szCs w:val="26"/>
          <w:lang w:eastAsia="hu-HU"/>
        </w:rPr>
        <w:t> </w:t>
      </w:r>
      <w:r w:rsidR="005861AE" w:rsidRPr="005861AE">
        <w:rPr>
          <w:rFonts w:ascii="Times New Roman" w:eastAsia="Times New Roman" w:hAnsi="Times New Roman" w:cs="Times New Roman"/>
          <w:b/>
          <w:bCs/>
          <w:sz w:val="26"/>
          <w:szCs w:val="26"/>
          <w:lang w:eastAsia="hu-HU"/>
        </w:rPr>
        <w:t>181,3 milliárd forint összegű kiadásai 1699,0</w:t>
      </w:r>
      <w:r w:rsidR="00C97255">
        <w:rPr>
          <w:rFonts w:ascii="Times New Roman" w:eastAsia="Times New Roman" w:hAnsi="Times New Roman" w:cs="Times New Roman"/>
          <w:b/>
          <w:bCs/>
          <w:sz w:val="26"/>
          <w:szCs w:val="26"/>
          <w:lang w:eastAsia="hu-HU"/>
        </w:rPr>
        <w:t> </w:t>
      </w:r>
      <w:r w:rsidR="005861AE" w:rsidRPr="005861AE">
        <w:rPr>
          <w:rFonts w:ascii="Times New Roman" w:eastAsia="Times New Roman" w:hAnsi="Times New Roman" w:cs="Times New Roman"/>
          <w:b/>
          <w:bCs/>
          <w:sz w:val="26"/>
          <w:szCs w:val="26"/>
          <w:lang w:eastAsia="hu-HU"/>
        </w:rPr>
        <w:t xml:space="preserve">milliárd forinttal, 6,9%-kal haladták meg az előző év azonos időszaki adatát. </w:t>
      </w:r>
    </w:p>
    <w:p w14:paraId="22DBCCCF" w14:textId="6AEA5319" w:rsidR="005861AE" w:rsidRPr="005861AE" w:rsidRDefault="005861AE" w:rsidP="00A0268E">
      <w:pPr>
        <w:jc w:val="both"/>
        <w:rPr>
          <w:rFonts w:ascii="Times New Roman" w:eastAsia="Times New Roman" w:hAnsi="Times New Roman" w:cs="Times New Roman"/>
          <w:b/>
          <w:bCs/>
          <w:sz w:val="26"/>
          <w:szCs w:val="26"/>
          <w:lang w:eastAsia="hu-HU"/>
        </w:rPr>
      </w:pPr>
      <w:r w:rsidRPr="005861AE">
        <w:rPr>
          <w:rFonts w:ascii="Times New Roman" w:eastAsia="Times New Roman" w:hAnsi="Times New Roman" w:cs="Times New Roman"/>
          <w:b/>
          <w:bCs/>
          <w:sz w:val="26"/>
          <w:szCs w:val="26"/>
          <w:lang w:eastAsia="hu-HU"/>
        </w:rPr>
        <w:t>Magasabban teljesültek az egy évvel korábbihoz képest többek között az állami közlekedési és közüzemi szolgáltatások, a babaváró támogatások, a költségvetési szervek kiadásai, a szakmai fejezeti kezelésű előirányzatok kiadásai, a</w:t>
      </w:r>
      <w:r w:rsidR="00C97255">
        <w:rPr>
          <w:rFonts w:ascii="Times New Roman" w:eastAsia="Times New Roman" w:hAnsi="Times New Roman" w:cs="Times New Roman"/>
          <w:b/>
          <w:bCs/>
          <w:sz w:val="26"/>
          <w:szCs w:val="26"/>
          <w:lang w:eastAsia="hu-HU"/>
        </w:rPr>
        <w:t> </w:t>
      </w:r>
      <w:r w:rsidRPr="005861AE">
        <w:rPr>
          <w:rFonts w:ascii="Times New Roman" w:eastAsia="Times New Roman" w:hAnsi="Times New Roman" w:cs="Times New Roman"/>
          <w:b/>
          <w:bCs/>
          <w:sz w:val="26"/>
          <w:szCs w:val="26"/>
          <w:lang w:eastAsia="hu-HU"/>
        </w:rPr>
        <w:t>kamatkiadások és a helyi önkormányzatok támogatásai.</w:t>
      </w:r>
    </w:p>
    <w:p w14:paraId="6FE8DFF4" w14:textId="53AC762D" w:rsidR="00AC5231" w:rsidRPr="00377D59" w:rsidRDefault="005861AE" w:rsidP="00A0268E">
      <w:pPr>
        <w:jc w:val="both"/>
        <w:rPr>
          <w:rFonts w:ascii="Times New Roman" w:eastAsia="Times New Roman" w:hAnsi="Times New Roman" w:cs="Times New Roman"/>
          <w:b/>
          <w:bCs/>
          <w:sz w:val="26"/>
          <w:szCs w:val="26"/>
          <w:lang w:eastAsia="hu-HU"/>
        </w:rPr>
      </w:pPr>
      <w:r w:rsidRPr="005861AE">
        <w:rPr>
          <w:rFonts w:ascii="Times New Roman" w:eastAsia="Times New Roman" w:hAnsi="Times New Roman" w:cs="Times New Roman"/>
          <w:b/>
          <w:bCs/>
          <w:sz w:val="26"/>
          <w:szCs w:val="26"/>
          <w:lang w:eastAsia="hu-HU"/>
        </w:rPr>
        <w:t xml:space="preserve">Meghaladták az egy évvel korábbi kifizetést a nyugellátásokra és a gyógyító-megelőző ellátásra fordított összegek is. Nyugellátásokra </w:t>
      </w:r>
      <w:r w:rsidR="00AD034A">
        <w:rPr>
          <w:rFonts w:ascii="Times New Roman" w:eastAsia="Times New Roman" w:hAnsi="Times New Roman" w:cs="Times New Roman"/>
          <w:b/>
          <w:bCs/>
          <w:sz w:val="26"/>
          <w:szCs w:val="26"/>
          <w:lang w:eastAsia="hu-HU"/>
        </w:rPr>
        <w:t>és nyugdíjszerű ellátásokra 4400,8 </w:t>
      </w:r>
      <w:r w:rsidRPr="005861AE">
        <w:rPr>
          <w:rFonts w:ascii="Times New Roman" w:eastAsia="Times New Roman" w:hAnsi="Times New Roman" w:cs="Times New Roman"/>
          <w:b/>
          <w:bCs/>
          <w:sz w:val="26"/>
          <w:szCs w:val="26"/>
          <w:lang w:eastAsia="hu-HU"/>
        </w:rPr>
        <w:t>milliárd forint, míg a gyógyító-megelőző ellátásra 1732,0</w:t>
      </w:r>
      <w:r w:rsidR="00AD034A">
        <w:rPr>
          <w:rFonts w:ascii="Times New Roman" w:eastAsia="Times New Roman" w:hAnsi="Times New Roman" w:cs="Times New Roman"/>
          <w:b/>
          <w:bCs/>
          <w:sz w:val="26"/>
          <w:szCs w:val="26"/>
          <w:lang w:eastAsia="hu-HU"/>
        </w:rPr>
        <w:t> </w:t>
      </w:r>
      <w:r w:rsidRPr="005861AE">
        <w:rPr>
          <w:rFonts w:ascii="Times New Roman" w:eastAsia="Times New Roman" w:hAnsi="Times New Roman" w:cs="Times New Roman"/>
          <w:b/>
          <w:bCs/>
          <w:sz w:val="26"/>
          <w:szCs w:val="26"/>
          <w:lang w:eastAsia="hu-HU"/>
        </w:rPr>
        <w:t>milliárd forint került kifizetésre július végéig</w:t>
      </w:r>
      <w:r w:rsidR="7BF38582" w:rsidRPr="7BF38582">
        <w:rPr>
          <w:rFonts w:ascii="Times New Roman" w:eastAsia="Times New Roman" w:hAnsi="Times New Roman" w:cs="Times New Roman"/>
          <w:b/>
          <w:bCs/>
          <w:sz w:val="26"/>
          <w:szCs w:val="26"/>
          <w:lang w:eastAsia="hu-HU"/>
        </w:rPr>
        <w:t>.</w:t>
      </w:r>
    </w:p>
    <w:bookmarkEnd w:id="0"/>
    <w:p w14:paraId="71AFDEF8" w14:textId="0EFE3ECC" w:rsidR="00C35E13" w:rsidRDefault="00C97255" w:rsidP="00591D8B">
      <w:pPr>
        <w:pStyle w:val="NormlWeb"/>
        <w:spacing w:after="0" w:afterAutospacing="0"/>
        <w:jc w:val="center"/>
      </w:pPr>
      <w:r>
        <w:rPr>
          <w:noProof/>
        </w:rPr>
        <w:drawing>
          <wp:inline distT="0" distB="0" distL="0" distR="0" wp14:anchorId="4ABBCF42" wp14:editId="00BB8984">
            <wp:extent cx="5940425" cy="2150225"/>
            <wp:effectExtent l="0" t="0" r="3175" b="2540"/>
            <wp:docPr id="194636212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62128" name=""/>
                    <pic:cNvPicPr/>
                  </pic:nvPicPr>
                  <pic:blipFill>
                    <a:blip r:embed="rId18"/>
                    <a:stretch>
                      <a:fillRect/>
                    </a:stretch>
                  </pic:blipFill>
                  <pic:spPr>
                    <a:xfrm>
                      <a:off x="0" y="0"/>
                      <a:ext cx="5942671" cy="2151038"/>
                    </a:xfrm>
                    <a:prstGeom prst="rect">
                      <a:avLst/>
                    </a:prstGeom>
                  </pic:spPr>
                </pic:pic>
              </a:graphicData>
            </a:graphic>
          </wp:inline>
        </w:drawing>
      </w:r>
    </w:p>
    <w:p w14:paraId="4B8141ED" w14:textId="3D413456" w:rsidR="3268830B" w:rsidRDefault="75809766" w:rsidP="00A0268E">
      <w:pPr>
        <w:spacing w:before="240"/>
        <w:jc w:val="both"/>
        <w:rPr>
          <w:rFonts w:ascii="Times New Roman" w:eastAsia="Times New Roman" w:hAnsi="Times New Roman" w:cs="Times New Roman"/>
          <w:sz w:val="26"/>
          <w:szCs w:val="26"/>
        </w:rPr>
      </w:pPr>
      <w:r w:rsidRPr="75809766">
        <w:rPr>
          <w:rFonts w:ascii="Times New Roman" w:eastAsia="Times New Roman" w:hAnsi="Times New Roman" w:cs="Times New Roman"/>
          <w:sz w:val="26"/>
          <w:szCs w:val="26"/>
        </w:rPr>
        <w:t xml:space="preserve">Az </w:t>
      </w:r>
      <w:r w:rsidRPr="75809766">
        <w:rPr>
          <w:rFonts w:ascii="Times New Roman" w:eastAsia="Times New Roman" w:hAnsi="Times New Roman" w:cs="Times New Roman"/>
          <w:b/>
          <w:bCs/>
          <w:sz w:val="26"/>
          <w:szCs w:val="26"/>
        </w:rPr>
        <w:t>úthálózat rendelkezésre állási díjak</w:t>
      </w:r>
      <w:r w:rsidRPr="75809766">
        <w:rPr>
          <w:rFonts w:ascii="Times New Roman" w:eastAsia="Times New Roman" w:hAnsi="Times New Roman" w:cs="Times New Roman"/>
          <w:sz w:val="26"/>
          <w:szCs w:val="26"/>
        </w:rPr>
        <w:t xml:space="preserve"> mérlegsor tartalmazza az M5, M6 autópálya rendelkezésre állási díjak, valamint a gyorsforgalmi úthálózat rendelkezésre állási díj előirányzatok kiadásait, amelynek összege 2025</w:t>
      </w:r>
      <w:r w:rsidR="00E27C42">
        <w:rPr>
          <w:rFonts w:ascii="Times New Roman" w:eastAsia="Times New Roman" w:hAnsi="Times New Roman" w:cs="Times New Roman"/>
          <w:sz w:val="26"/>
          <w:szCs w:val="26"/>
        </w:rPr>
        <w:t>.</w:t>
      </w:r>
      <w:r w:rsidRPr="75809766">
        <w:rPr>
          <w:rFonts w:ascii="Times New Roman" w:eastAsia="Times New Roman" w:hAnsi="Times New Roman" w:cs="Times New Roman"/>
          <w:sz w:val="26"/>
          <w:szCs w:val="26"/>
        </w:rPr>
        <w:t xml:space="preserve"> július végéig 377,2</w:t>
      </w:r>
      <w:r w:rsidR="002A4F7A">
        <w:rPr>
          <w:rFonts w:ascii="Times New Roman" w:eastAsia="Times New Roman" w:hAnsi="Times New Roman" w:cs="Times New Roman"/>
          <w:sz w:val="26"/>
          <w:szCs w:val="26"/>
        </w:rPr>
        <w:t> </w:t>
      </w:r>
      <w:r w:rsidRPr="75809766">
        <w:rPr>
          <w:rFonts w:ascii="Times New Roman" w:eastAsia="Times New Roman" w:hAnsi="Times New Roman" w:cs="Times New Roman"/>
          <w:sz w:val="26"/>
          <w:szCs w:val="26"/>
        </w:rPr>
        <w:t>milliárd forint volt, ami 161,0 milliárd forinttal magasabban alakult a 2024. év azonos időszakához képest. Az</w:t>
      </w:r>
      <w:r w:rsidR="00C97255">
        <w:rPr>
          <w:rFonts w:ascii="Times New Roman" w:eastAsia="Times New Roman" w:hAnsi="Times New Roman" w:cs="Times New Roman"/>
          <w:sz w:val="26"/>
          <w:szCs w:val="26"/>
        </w:rPr>
        <w:t> </w:t>
      </w:r>
      <w:r w:rsidRPr="75809766">
        <w:rPr>
          <w:rFonts w:ascii="Times New Roman" w:eastAsia="Times New Roman" w:hAnsi="Times New Roman" w:cs="Times New Roman"/>
          <w:sz w:val="26"/>
          <w:szCs w:val="26"/>
        </w:rPr>
        <w:t xml:space="preserve">eltérést egyrészt a gyorsforgalmi úthálózat rendelkezésre állási díjának szerződésből fakadó változása, </w:t>
      </w:r>
      <w:r w:rsidR="009A0B96">
        <w:rPr>
          <w:rFonts w:ascii="Times New Roman" w:eastAsia="Times New Roman" w:hAnsi="Times New Roman" w:cs="Times New Roman"/>
          <w:sz w:val="26"/>
          <w:szCs w:val="26"/>
        </w:rPr>
        <w:t>másrészt</w:t>
      </w:r>
      <w:r w:rsidRPr="75809766">
        <w:rPr>
          <w:rFonts w:ascii="Times New Roman" w:eastAsia="Times New Roman" w:hAnsi="Times New Roman" w:cs="Times New Roman"/>
          <w:sz w:val="26"/>
          <w:szCs w:val="26"/>
        </w:rPr>
        <w:t xml:space="preserve"> egyedi elemként </w:t>
      </w:r>
      <w:r w:rsidR="009A0B96">
        <w:rPr>
          <w:rFonts w:ascii="Times New Roman" w:eastAsia="Times New Roman" w:hAnsi="Times New Roman" w:cs="Times New Roman"/>
          <w:sz w:val="26"/>
          <w:szCs w:val="26"/>
        </w:rPr>
        <w:t xml:space="preserve">egyes </w:t>
      </w:r>
      <w:r w:rsidRPr="75809766">
        <w:rPr>
          <w:rFonts w:ascii="Times New Roman" w:eastAsia="Times New Roman" w:hAnsi="Times New Roman" w:cs="Times New Roman"/>
          <w:sz w:val="26"/>
          <w:szCs w:val="26"/>
        </w:rPr>
        <w:t xml:space="preserve">felújítási munkákból és nagykarbantartási munkákból </w:t>
      </w:r>
      <w:r w:rsidR="009A0B96">
        <w:rPr>
          <w:rFonts w:ascii="Times New Roman" w:eastAsia="Times New Roman" w:hAnsi="Times New Roman" w:cs="Times New Roman"/>
          <w:sz w:val="26"/>
          <w:szCs w:val="26"/>
        </w:rPr>
        <w:t>történő</w:t>
      </w:r>
      <w:r w:rsidRPr="75809766">
        <w:rPr>
          <w:rFonts w:ascii="Times New Roman" w:eastAsia="Times New Roman" w:hAnsi="Times New Roman" w:cs="Times New Roman"/>
          <w:sz w:val="26"/>
          <w:szCs w:val="26"/>
        </w:rPr>
        <w:t xml:space="preserve"> kifizetése</w:t>
      </w:r>
      <w:r w:rsidR="009A0B96">
        <w:rPr>
          <w:rFonts w:ascii="Times New Roman" w:eastAsia="Times New Roman" w:hAnsi="Times New Roman" w:cs="Times New Roman"/>
          <w:sz w:val="26"/>
          <w:szCs w:val="26"/>
        </w:rPr>
        <w:t>k</w:t>
      </w:r>
      <w:r w:rsidRPr="75809766">
        <w:rPr>
          <w:rFonts w:ascii="Times New Roman" w:eastAsia="Times New Roman" w:hAnsi="Times New Roman" w:cs="Times New Roman"/>
          <w:sz w:val="26"/>
          <w:szCs w:val="26"/>
        </w:rPr>
        <w:t xml:space="preserve"> magyarázz</w:t>
      </w:r>
      <w:r w:rsidR="009A0B96">
        <w:rPr>
          <w:rFonts w:ascii="Times New Roman" w:eastAsia="Times New Roman" w:hAnsi="Times New Roman" w:cs="Times New Roman"/>
          <w:sz w:val="26"/>
          <w:szCs w:val="26"/>
        </w:rPr>
        <w:t>ák.</w:t>
      </w:r>
    </w:p>
    <w:p w14:paraId="182A3A7A" w14:textId="17E45DDC" w:rsidR="1EBF714E" w:rsidRPr="003772C6" w:rsidRDefault="7BF38582" w:rsidP="7BF38582">
      <w:pPr>
        <w:jc w:val="both"/>
        <w:rPr>
          <w:rFonts w:ascii="Times New Roman" w:eastAsia="Times New Roman" w:hAnsi="Times New Roman" w:cs="Times New Roman"/>
          <w:sz w:val="26"/>
          <w:szCs w:val="26"/>
          <w:highlight w:val="yellow"/>
        </w:rPr>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közösségi közlekedés költségtérítés és támogatás</w:t>
      </w:r>
      <w:r w:rsidRPr="7BF38582">
        <w:rPr>
          <w:rFonts w:ascii="Times New Roman" w:eastAsia="Times New Roman" w:hAnsi="Times New Roman" w:cs="Times New Roman"/>
          <w:sz w:val="26"/>
          <w:szCs w:val="26"/>
        </w:rPr>
        <w:t xml:space="preserve"> mérlegsor kiadásai 2025. jú</w:t>
      </w:r>
      <w:r w:rsidR="00DA1C11">
        <w:rPr>
          <w:rFonts w:ascii="Times New Roman" w:eastAsia="Times New Roman" w:hAnsi="Times New Roman" w:cs="Times New Roman"/>
          <w:sz w:val="26"/>
          <w:szCs w:val="26"/>
        </w:rPr>
        <w:t>l</w:t>
      </w:r>
      <w:r w:rsidRPr="7BF38582">
        <w:rPr>
          <w:rFonts w:ascii="Times New Roman" w:eastAsia="Times New Roman" w:hAnsi="Times New Roman" w:cs="Times New Roman"/>
          <w:sz w:val="26"/>
          <w:szCs w:val="26"/>
        </w:rPr>
        <w:t xml:space="preserve">ius végéig </w:t>
      </w:r>
      <w:r w:rsidR="00DA1C11">
        <w:rPr>
          <w:rFonts w:ascii="Times New Roman" w:eastAsia="Times New Roman" w:hAnsi="Times New Roman" w:cs="Times New Roman"/>
          <w:sz w:val="26"/>
          <w:szCs w:val="26"/>
        </w:rPr>
        <w:t>524,2</w:t>
      </w:r>
      <w:r w:rsidRPr="7BF38582">
        <w:rPr>
          <w:rFonts w:ascii="Times New Roman" w:eastAsia="Times New Roman" w:hAnsi="Times New Roman" w:cs="Times New Roman"/>
          <w:sz w:val="26"/>
          <w:szCs w:val="26"/>
        </w:rPr>
        <w:t xml:space="preserve"> milliárd forintot tettek ki, amelyből a szociálpolitikai menetdíj támogatás </w:t>
      </w:r>
      <w:r w:rsidRPr="003772C6">
        <w:rPr>
          <w:rFonts w:ascii="Times New Roman" w:eastAsia="Times New Roman" w:hAnsi="Times New Roman" w:cs="Times New Roman"/>
          <w:sz w:val="26"/>
          <w:szCs w:val="26"/>
        </w:rPr>
        <w:t>9</w:t>
      </w:r>
      <w:r w:rsidR="003772C6" w:rsidRPr="003772C6">
        <w:rPr>
          <w:rFonts w:ascii="Times New Roman" w:eastAsia="Times New Roman" w:hAnsi="Times New Roman" w:cs="Times New Roman"/>
          <w:sz w:val="26"/>
          <w:szCs w:val="26"/>
        </w:rPr>
        <w:t>5,2</w:t>
      </w:r>
      <w:r w:rsidRPr="003772C6">
        <w:rPr>
          <w:rFonts w:ascii="Times New Roman" w:eastAsia="Times New Roman" w:hAnsi="Times New Roman" w:cs="Times New Roman"/>
          <w:sz w:val="26"/>
          <w:szCs w:val="26"/>
        </w:rPr>
        <w:t> milliárd forint.</w:t>
      </w:r>
      <w:r w:rsidRPr="7BF38582">
        <w:rPr>
          <w:rFonts w:ascii="Times New Roman" w:eastAsia="Times New Roman" w:hAnsi="Times New Roman" w:cs="Times New Roman"/>
          <w:sz w:val="26"/>
          <w:szCs w:val="26"/>
        </w:rPr>
        <w:t xml:space="preserve"> Az összes kiadás </w:t>
      </w:r>
      <w:r w:rsidR="00DA1C11">
        <w:rPr>
          <w:rFonts w:ascii="Times New Roman" w:eastAsia="Times New Roman" w:hAnsi="Times New Roman" w:cs="Times New Roman"/>
          <w:sz w:val="26"/>
          <w:szCs w:val="26"/>
        </w:rPr>
        <w:t>4</w:t>
      </w:r>
      <w:r w:rsidRPr="7BF38582">
        <w:rPr>
          <w:rFonts w:ascii="Times New Roman" w:eastAsia="Times New Roman" w:hAnsi="Times New Roman" w:cs="Times New Roman"/>
          <w:sz w:val="26"/>
          <w:szCs w:val="26"/>
        </w:rPr>
        <w:t>2,</w:t>
      </w:r>
      <w:r w:rsidR="00DA1C11">
        <w:rPr>
          <w:rFonts w:ascii="Times New Roman" w:eastAsia="Times New Roman" w:hAnsi="Times New Roman" w:cs="Times New Roman"/>
          <w:sz w:val="26"/>
          <w:szCs w:val="26"/>
        </w:rPr>
        <w:t>8 </w:t>
      </w:r>
      <w:r w:rsidRPr="7BF38582">
        <w:rPr>
          <w:rFonts w:ascii="Times New Roman" w:eastAsia="Times New Roman" w:hAnsi="Times New Roman" w:cs="Times New Roman"/>
          <w:sz w:val="26"/>
          <w:szCs w:val="26"/>
        </w:rPr>
        <w:t>milliárd</w:t>
      </w:r>
      <w:r w:rsidR="00EC69BA">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 xml:space="preserve">forinttal több, mint a megelőző év azonos időszaki teljesítése. </w:t>
      </w:r>
    </w:p>
    <w:p w14:paraId="3B52873E" w14:textId="44D013FC" w:rsidR="008D3E76"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közüzemi szolgáltatások támogatása</w:t>
      </w:r>
      <w:r w:rsidRPr="7BF38582">
        <w:rPr>
          <w:rFonts w:ascii="Times New Roman" w:eastAsia="Times New Roman" w:hAnsi="Times New Roman" w:cs="Times New Roman"/>
          <w:sz w:val="26"/>
          <w:szCs w:val="26"/>
        </w:rPr>
        <w:t xml:space="preserve"> mérlegsor tartalmazza a lakossági energia rezsivédelmi szolgáltatás, a rezsivédelmi készletezési szolgáltatás és a távhőszolgáltatók kompenzációjával kapcsolatos kiadásokat, valamint a Víziközmű-fejlesztési és Ellentételezési Alap kiadásait is. A közüzemi szolgáltatások támogatására fordított kiadások 2025. július végéig 660,3 milliárd forintot tettek ki, amely magában foglalja a különleges földgázkészlet fenntartásának 2025. április 1-jéig történő finanszírozása érdekében februárban folyósított 3,0 milliárd forint, valamint az annak további fenntartása </w:t>
      </w:r>
      <w:r w:rsidRPr="7BF38582">
        <w:rPr>
          <w:rFonts w:ascii="Times New Roman" w:eastAsia="Times New Roman" w:hAnsi="Times New Roman" w:cs="Times New Roman"/>
          <w:sz w:val="26"/>
          <w:szCs w:val="26"/>
        </w:rPr>
        <w:lastRenderedPageBreak/>
        <w:t xml:space="preserve">érdekében júniusban átadott 3,3 milliárd forint támogatást. Továbbá tartalmazza a Víziközmű-fejlesztési és Ellentételezési Alapból a víziközmű-szolgáltatók részére a </w:t>
      </w:r>
      <w:r w:rsidRPr="0051029C">
        <w:rPr>
          <w:rFonts w:ascii="Times New Roman" w:eastAsia="Times New Roman" w:hAnsi="Times New Roman" w:cs="Times New Roman"/>
          <w:sz w:val="26"/>
          <w:szCs w:val="26"/>
        </w:rPr>
        <w:t>2024. év IV. negyedévi és a 2025. év I-II. negyedévi működésük ellentételezésére nyújtott összesen 91,0</w:t>
      </w:r>
      <w:r w:rsidR="00322101">
        <w:rPr>
          <w:rFonts w:ascii="Times New Roman" w:eastAsia="Times New Roman" w:hAnsi="Times New Roman" w:cs="Times New Roman"/>
          <w:sz w:val="26"/>
          <w:szCs w:val="26"/>
        </w:rPr>
        <w:t> </w:t>
      </w:r>
      <w:r w:rsidRPr="0051029C">
        <w:rPr>
          <w:rFonts w:ascii="Times New Roman" w:eastAsia="Times New Roman" w:hAnsi="Times New Roman" w:cs="Times New Roman"/>
          <w:sz w:val="26"/>
          <w:szCs w:val="26"/>
        </w:rPr>
        <w:t>milliárd forintos kiadást is.</w:t>
      </w:r>
      <w:r w:rsidRPr="7BF38582">
        <w:rPr>
          <w:rFonts w:ascii="Times New Roman" w:eastAsia="Times New Roman" w:hAnsi="Times New Roman" w:cs="Times New Roman"/>
          <w:sz w:val="26"/>
          <w:szCs w:val="26"/>
        </w:rPr>
        <w:t xml:space="preserve"> A 2024-ben létrehozott Alapból a – negyedévet követő hónapban esedékes – kifizetések 2024 áprilisában kezdődtek meg. A mérlegsor jelenlegi teljesítése 30,9 milliárd forinttal magasabb, mint a 2024. év azonos időszakában a közüzemi szolgáltatások teljesítésére fordított 629,4 milliárd forint, ez részben a kifizetések eltérő ütemezéséből, részben a megnövekedett támogatási igényekből fakadt.</w:t>
      </w:r>
    </w:p>
    <w:p w14:paraId="79E44A54" w14:textId="301FB0D2" w:rsidR="0F03D9E1"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b/>
          <w:bCs/>
          <w:sz w:val="26"/>
          <w:szCs w:val="26"/>
          <w:lang w:eastAsia="hu-HU"/>
        </w:rPr>
        <w:t xml:space="preserve">Lakástámogatásokra </w:t>
      </w:r>
      <w:r w:rsidRPr="7BF38582">
        <w:rPr>
          <w:rFonts w:ascii="Times New Roman" w:eastAsia="Times New Roman" w:hAnsi="Times New Roman" w:cs="Times New Roman"/>
          <w:sz w:val="26"/>
          <w:szCs w:val="26"/>
        </w:rPr>
        <w:t>fordított kiadások összege július végéig 91,6 milliárd forint volt, mely az előző év azonos időszakához viszonyítva 7,0 milliárd forinttal teljesült alacsonyabban.</w:t>
      </w:r>
    </w:p>
    <w:p w14:paraId="33223970" w14:textId="25DDB887" w:rsidR="0F03D9E1"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Nemzeti Család- és Szociálpolitikai Alap</w:t>
      </w:r>
      <w:r w:rsidRPr="7BF38582">
        <w:rPr>
          <w:rFonts w:ascii="Times New Roman" w:eastAsia="Times New Roman" w:hAnsi="Times New Roman" w:cs="Times New Roman"/>
          <w:sz w:val="26"/>
          <w:szCs w:val="26"/>
        </w:rPr>
        <w:t xml:space="preserve"> a családi támogatásokat, a korhatár alatti ellátásokat, a jövedelempótló és jövedelemkiegészítő szociális támogatásokat, valamint a különféle jogcímen adott térítéseket tartalmazza. A főbb támogatásokat a következő táblázat részletezi:</w:t>
      </w:r>
    </w:p>
    <w:p w14:paraId="46398944" w14:textId="2D482933" w:rsidR="00621840" w:rsidRPr="00B32682" w:rsidRDefault="7BF38582" w:rsidP="7BF38582">
      <w:pPr>
        <w:spacing w:after="0"/>
        <w:jc w:val="center"/>
        <w:rPr>
          <w:rFonts w:ascii="Times New Roman" w:eastAsia="Times New Roman" w:hAnsi="Times New Roman" w:cs="Times New Roman"/>
        </w:rPr>
      </w:pPr>
      <w:r w:rsidRPr="7BF38582">
        <w:rPr>
          <w:rFonts w:ascii="Times New Roman" w:hAnsi="Times New Roman" w:cs="Times New Roman"/>
          <w:b/>
          <w:bCs/>
          <w:color w:val="000000" w:themeColor="text1"/>
        </w:rPr>
        <w:t>A Nemzeti Család- és Szociálpolitikai Alap kiadásainak alakulása (milliárd forint)</w:t>
      </w:r>
    </w:p>
    <w:tbl>
      <w:tblPr>
        <w:tblW w:w="9356" w:type="dxa"/>
        <w:tblCellMar>
          <w:left w:w="70" w:type="dxa"/>
          <w:right w:w="70" w:type="dxa"/>
        </w:tblCellMar>
        <w:tblLook w:val="04A0" w:firstRow="1" w:lastRow="0" w:firstColumn="1" w:lastColumn="0" w:noHBand="0" w:noVBand="1"/>
      </w:tblPr>
      <w:tblGrid>
        <w:gridCol w:w="5670"/>
        <w:gridCol w:w="993"/>
        <w:gridCol w:w="992"/>
        <w:gridCol w:w="850"/>
        <w:gridCol w:w="851"/>
      </w:tblGrid>
      <w:tr w:rsidR="006068B4" w:rsidRPr="00B32682" w14:paraId="2A7C74BD" w14:textId="77777777" w:rsidTr="75809766">
        <w:trPr>
          <w:trHeight w:hRule="exact" w:val="284"/>
        </w:trPr>
        <w:tc>
          <w:tcPr>
            <w:tcW w:w="9356" w:type="dxa"/>
            <w:gridSpan w:val="5"/>
            <w:tcBorders>
              <w:top w:val="nil"/>
              <w:left w:val="nil"/>
              <w:bottom w:val="single" w:sz="4" w:space="0" w:color="auto"/>
              <w:right w:val="nil"/>
            </w:tcBorders>
            <w:shd w:val="clear" w:color="auto" w:fill="auto"/>
            <w:noWrap/>
            <w:vAlign w:val="center"/>
            <w:hideMark/>
          </w:tcPr>
          <w:p w14:paraId="003FCBDC" w14:textId="77777777" w:rsidR="006068B4" w:rsidRPr="00B32682" w:rsidRDefault="006068B4" w:rsidP="000C1105">
            <w:pPr>
              <w:spacing w:after="0"/>
              <w:jc w:val="center"/>
              <w:rPr>
                <w:rFonts w:ascii="Times New Roman" w:hAnsi="Times New Roman" w:cs="Times New Roman"/>
                <w:b/>
                <w:bCs/>
                <w:color w:val="000000"/>
              </w:rPr>
            </w:pPr>
          </w:p>
        </w:tc>
      </w:tr>
      <w:tr w:rsidR="00081A16" w:rsidRPr="006068B4" w14:paraId="485D9574" w14:textId="77777777" w:rsidTr="75809766">
        <w:trPr>
          <w:trHeight w:hRule="exact" w:val="284"/>
        </w:trPr>
        <w:tc>
          <w:tcPr>
            <w:tcW w:w="5670" w:type="dxa"/>
            <w:vMerge w:val="restart"/>
            <w:tcBorders>
              <w:top w:val="nil"/>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03974AE3" w14:textId="77777777" w:rsidR="00081A16" w:rsidRPr="00DD7FD1" w:rsidRDefault="7BF38582" w:rsidP="7BF38582">
            <w:pPr>
              <w:spacing w:after="0" w:line="240" w:lineRule="auto"/>
              <w:jc w:val="center"/>
              <w:rPr>
                <w:rFonts w:ascii="Times New Roman" w:hAnsi="Times New Roman" w:cs="Times New Roman"/>
                <w:b/>
                <w:bCs/>
                <w:color w:val="000000" w:themeColor="text1"/>
              </w:rPr>
            </w:pPr>
            <w:r w:rsidRPr="7BF38582">
              <w:rPr>
                <w:rFonts w:ascii="Times New Roman" w:hAnsi="Times New Roman" w:cs="Times New Roman"/>
                <w:b/>
                <w:bCs/>
                <w:color w:val="000000" w:themeColor="text1"/>
              </w:rPr>
              <w:t>Megnevezés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19955B" w14:textId="30BE9847" w:rsidR="00081A16" w:rsidRPr="00DD7FD1" w:rsidRDefault="75809766" w:rsidP="75809766">
            <w:pPr>
              <w:spacing w:after="0" w:line="240" w:lineRule="auto"/>
              <w:jc w:val="center"/>
              <w:rPr>
                <w:rFonts w:ascii="Times New Roman" w:hAnsi="Times New Roman" w:cs="Times New Roman"/>
                <w:b/>
                <w:bCs/>
                <w:color w:val="000000" w:themeColor="text1"/>
              </w:rPr>
            </w:pPr>
            <w:r w:rsidRPr="75809766">
              <w:rPr>
                <w:rFonts w:ascii="Times New Roman" w:eastAsia="Times New Roman" w:hAnsi="Times New Roman" w:cs="Times New Roman"/>
                <w:b/>
                <w:bCs/>
                <w:lang w:eastAsia="hu-HU"/>
              </w:rPr>
              <w:t xml:space="preserve">2024. </w:t>
            </w:r>
          </w:p>
          <w:p w14:paraId="5E208842" w14:textId="1D77A095" w:rsidR="00081A16" w:rsidRPr="00DD7FD1" w:rsidRDefault="7BF38582" w:rsidP="7BF38582">
            <w:pPr>
              <w:spacing w:after="0" w:line="240" w:lineRule="auto"/>
              <w:jc w:val="center"/>
              <w:rPr>
                <w:rFonts w:ascii="Times New Roman" w:hAnsi="Times New Roman" w:cs="Times New Roman"/>
                <w:b/>
                <w:bCs/>
                <w:color w:val="000000" w:themeColor="text1"/>
              </w:rPr>
            </w:pPr>
            <w:r w:rsidRPr="7BF38582">
              <w:rPr>
                <w:rFonts w:ascii="Times New Roman" w:eastAsia="Times New Roman" w:hAnsi="Times New Roman" w:cs="Times New Roman"/>
                <w:b/>
                <w:bCs/>
                <w:lang w:eastAsia="hu-HU"/>
              </w:rPr>
              <w:t>I-VII. hó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515045" w14:textId="76BFE4BD" w:rsidR="00081A16" w:rsidRPr="00DD7FD1" w:rsidRDefault="75809766" w:rsidP="75809766">
            <w:pPr>
              <w:spacing w:after="0" w:line="240" w:lineRule="auto"/>
              <w:jc w:val="center"/>
              <w:rPr>
                <w:rFonts w:ascii="Times New Roman" w:hAnsi="Times New Roman" w:cs="Times New Roman"/>
                <w:b/>
                <w:bCs/>
                <w:color w:val="000000" w:themeColor="text1"/>
              </w:rPr>
            </w:pPr>
            <w:r w:rsidRPr="75809766">
              <w:rPr>
                <w:rFonts w:ascii="Times New Roman" w:eastAsia="Times New Roman" w:hAnsi="Times New Roman" w:cs="Times New Roman"/>
                <w:b/>
                <w:bCs/>
                <w:lang w:eastAsia="hu-HU"/>
              </w:rPr>
              <w:t xml:space="preserve">2025. </w:t>
            </w:r>
          </w:p>
          <w:p w14:paraId="211822BF" w14:textId="2B548E8A" w:rsidR="00081A16" w:rsidRPr="00DD7FD1" w:rsidRDefault="7BF38582" w:rsidP="7BF38582">
            <w:pPr>
              <w:spacing w:after="0" w:line="240" w:lineRule="auto"/>
              <w:jc w:val="center"/>
              <w:rPr>
                <w:rFonts w:ascii="Times New Roman" w:hAnsi="Times New Roman" w:cs="Times New Roman"/>
                <w:b/>
                <w:bCs/>
                <w:color w:val="000000" w:themeColor="text1"/>
              </w:rPr>
            </w:pPr>
            <w:r w:rsidRPr="7BF38582">
              <w:rPr>
                <w:rFonts w:ascii="Times New Roman" w:eastAsia="Times New Roman" w:hAnsi="Times New Roman" w:cs="Times New Roman"/>
                <w:b/>
                <w:bCs/>
                <w:lang w:eastAsia="hu-HU"/>
              </w:rPr>
              <w:t>I-VII. hó</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5F9B9E7" w14:textId="77777777" w:rsidR="00081A16" w:rsidRPr="00DD7FD1" w:rsidRDefault="7BF38582" w:rsidP="7BF38582">
            <w:pPr>
              <w:jc w:val="center"/>
              <w:rPr>
                <w:rFonts w:ascii="Times New Roman" w:hAnsi="Times New Roman" w:cs="Times New Roman"/>
                <w:b/>
                <w:bCs/>
                <w:color w:val="000000" w:themeColor="text1"/>
              </w:rPr>
            </w:pPr>
            <w:r w:rsidRPr="7BF38582">
              <w:rPr>
                <w:rFonts w:ascii="Times New Roman" w:hAnsi="Times New Roman" w:cs="Times New Roman"/>
                <w:b/>
                <w:bCs/>
                <w:color w:val="000000" w:themeColor="text1"/>
              </w:rPr>
              <w:t>Eltérés</w:t>
            </w:r>
          </w:p>
        </w:tc>
      </w:tr>
      <w:tr w:rsidR="006068B4" w:rsidRPr="006068B4" w14:paraId="2BEB1728" w14:textId="77777777" w:rsidTr="75809766">
        <w:trPr>
          <w:trHeight w:hRule="exact" w:val="569"/>
        </w:trPr>
        <w:tc>
          <w:tcPr>
            <w:tcW w:w="5670"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493B685E" w14:textId="77777777" w:rsidR="006068B4" w:rsidRPr="00DD7FD1" w:rsidRDefault="006068B4" w:rsidP="000C1105">
            <w:pPr>
              <w:rPr>
                <w:rFonts w:ascii="Times New Roman" w:hAnsi="Times New Roman" w:cs="Times New Roman"/>
                <w:b/>
                <w:bCs/>
                <w:color w:val="000000"/>
              </w:rPr>
            </w:pPr>
          </w:p>
        </w:tc>
        <w:tc>
          <w:tcPr>
            <w:tcW w:w="993"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071FC734" w14:textId="77777777" w:rsidR="006068B4" w:rsidRPr="00DD7FD1" w:rsidRDefault="006068B4" w:rsidP="000C1105">
            <w:pPr>
              <w:rPr>
                <w:rFonts w:ascii="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929BC54" w14:textId="77777777" w:rsidR="006068B4" w:rsidRPr="00DD7FD1" w:rsidRDefault="006068B4" w:rsidP="000C1105">
            <w:pPr>
              <w:rPr>
                <w:rFonts w:ascii="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BDD6EE" w:themeFill="accent1" w:themeFillTint="66"/>
            <w:noWrap/>
            <w:vAlign w:val="bottom"/>
            <w:hideMark/>
          </w:tcPr>
          <w:p w14:paraId="012AC354" w14:textId="77777777" w:rsidR="006068B4" w:rsidRPr="00DD7FD1" w:rsidRDefault="7BF38582" w:rsidP="7BF38582">
            <w:pPr>
              <w:jc w:val="center"/>
              <w:rPr>
                <w:rFonts w:ascii="Times New Roman" w:hAnsi="Times New Roman" w:cs="Times New Roman"/>
                <w:b/>
                <w:bCs/>
                <w:color w:val="000000" w:themeColor="text1"/>
              </w:rPr>
            </w:pPr>
            <w:r w:rsidRPr="7BF38582">
              <w:rPr>
                <w:rFonts w:ascii="Times New Roman" w:hAnsi="Times New Roman" w:cs="Times New Roman"/>
                <w:b/>
                <w:bCs/>
                <w:color w:val="000000" w:themeColor="text1"/>
              </w:rPr>
              <w:t>Mrd Ft</w:t>
            </w:r>
          </w:p>
        </w:tc>
        <w:tc>
          <w:tcPr>
            <w:tcW w:w="851" w:type="dxa"/>
            <w:tcBorders>
              <w:top w:val="nil"/>
              <w:left w:val="nil"/>
              <w:bottom w:val="single" w:sz="4" w:space="0" w:color="auto"/>
              <w:right w:val="single" w:sz="4" w:space="0" w:color="auto"/>
            </w:tcBorders>
            <w:shd w:val="clear" w:color="auto" w:fill="BDD6EE" w:themeFill="accent1" w:themeFillTint="66"/>
            <w:noWrap/>
            <w:vAlign w:val="bottom"/>
            <w:hideMark/>
          </w:tcPr>
          <w:p w14:paraId="609414B4" w14:textId="77777777" w:rsidR="006068B4" w:rsidRPr="00DD7FD1" w:rsidRDefault="7BF38582" w:rsidP="7BF38582">
            <w:pPr>
              <w:jc w:val="center"/>
              <w:rPr>
                <w:rFonts w:ascii="Times New Roman" w:hAnsi="Times New Roman" w:cs="Times New Roman"/>
                <w:b/>
                <w:bCs/>
                <w:color w:val="000000" w:themeColor="text1"/>
              </w:rPr>
            </w:pPr>
            <w:r w:rsidRPr="7BF38582">
              <w:rPr>
                <w:rFonts w:ascii="Times New Roman" w:hAnsi="Times New Roman" w:cs="Times New Roman"/>
                <w:b/>
                <w:bCs/>
                <w:color w:val="000000" w:themeColor="text1"/>
              </w:rPr>
              <w:t>%</w:t>
            </w:r>
          </w:p>
        </w:tc>
      </w:tr>
      <w:tr w:rsidR="00DA488F" w:rsidRPr="006068B4" w14:paraId="49EB33A2"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4E42FB2" w14:textId="77777777" w:rsidR="00DA488F" w:rsidRPr="006068B4" w:rsidRDefault="7BF38582" w:rsidP="7BF38582">
            <w:pPr>
              <w:spacing w:line="240" w:lineRule="auto"/>
              <w:rPr>
                <w:rFonts w:ascii="Times New Roman" w:hAnsi="Times New Roman" w:cs="Times New Roman"/>
                <w:b/>
                <w:bCs/>
                <w:color w:val="000000" w:themeColor="text1"/>
                <w:sz w:val="20"/>
                <w:szCs w:val="20"/>
              </w:rPr>
            </w:pPr>
            <w:r w:rsidRPr="7BF38582">
              <w:rPr>
                <w:rFonts w:ascii="Times New Roman" w:hAnsi="Times New Roman" w:cs="Times New Roman"/>
                <w:b/>
                <w:bCs/>
                <w:color w:val="000000" w:themeColor="text1"/>
                <w:sz w:val="20"/>
                <w:szCs w:val="20"/>
              </w:rPr>
              <w:t>Családi támogatások</w:t>
            </w:r>
          </w:p>
        </w:tc>
        <w:tc>
          <w:tcPr>
            <w:tcW w:w="993" w:type="dxa"/>
            <w:tcBorders>
              <w:top w:val="nil"/>
              <w:left w:val="nil"/>
              <w:bottom w:val="single" w:sz="4" w:space="0" w:color="auto"/>
              <w:right w:val="single" w:sz="4" w:space="0" w:color="auto"/>
            </w:tcBorders>
            <w:shd w:val="clear" w:color="auto" w:fill="auto"/>
            <w:noWrap/>
            <w:hideMark/>
          </w:tcPr>
          <w:p w14:paraId="7106BB85" w14:textId="3BB6B072"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245,9</w:t>
            </w:r>
          </w:p>
        </w:tc>
        <w:tc>
          <w:tcPr>
            <w:tcW w:w="992" w:type="dxa"/>
            <w:tcBorders>
              <w:top w:val="nil"/>
              <w:left w:val="nil"/>
              <w:bottom w:val="single" w:sz="4" w:space="0" w:color="auto"/>
              <w:right w:val="single" w:sz="4" w:space="0" w:color="auto"/>
            </w:tcBorders>
            <w:shd w:val="clear" w:color="auto" w:fill="auto"/>
            <w:noWrap/>
            <w:hideMark/>
          </w:tcPr>
          <w:p w14:paraId="2A54C0E6" w14:textId="088A0E9F"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231,6</w:t>
            </w:r>
          </w:p>
        </w:tc>
        <w:tc>
          <w:tcPr>
            <w:tcW w:w="850" w:type="dxa"/>
            <w:tcBorders>
              <w:top w:val="nil"/>
              <w:left w:val="nil"/>
              <w:bottom w:val="single" w:sz="4" w:space="0" w:color="auto"/>
              <w:right w:val="single" w:sz="4" w:space="0" w:color="auto"/>
            </w:tcBorders>
            <w:shd w:val="clear" w:color="auto" w:fill="auto"/>
            <w:noWrap/>
            <w:hideMark/>
          </w:tcPr>
          <w:p w14:paraId="1078FA78" w14:textId="3EE1F595"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-14,3</w:t>
            </w:r>
          </w:p>
        </w:tc>
        <w:tc>
          <w:tcPr>
            <w:tcW w:w="851" w:type="dxa"/>
            <w:tcBorders>
              <w:top w:val="nil"/>
              <w:left w:val="nil"/>
              <w:bottom w:val="single" w:sz="4" w:space="0" w:color="auto"/>
              <w:right w:val="single" w:sz="4" w:space="0" w:color="auto"/>
            </w:tcBorders>
            <w:shd w:val="clear" w:color="auto" w:fill="auto"/>
            <w:noWrap/>
            <w:hideMark/>
          </w:tcPr>
          <w:p w14:paraId="0C2D88F1" w14:textId="462EEBE7"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94,2</w:t>
            </w:r>
          </w:p>
        </w:tc>
      </w:tr>
      <w:tr w:rsidR="00DA488F" w:rsidRPr="006068B4" w14:paraId="18F11EAE"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F289C86" w14:textId="77777777" w:rsidR="00DA488F" w:rsidRPr="006068B4" w:rsidRDefault="7BF38582" w:rsidP="7BF38582">
            <w:pPr>
              <w:spacing w:line="240" w:lineRule="auto"/>
              <w:ind w:firstLineChars="100" w:firstLine="2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3409B63E" w14:textId="38F34D08"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73A14223" w14:textId="68DF0F09"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0C731BD9" w14:textId="5050B205"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3700134C" w14:textId="42CA5D48"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77E3B96"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532CB68" w14:textId="77777777" w:rsidR="00DA488F" w:rsidRPr="006068B4" w:rsidRDefault="7BF38582" w:rsidP="7BF38582">
            <w:pPr>
              <w:spacing w:line="240" w:lineRule="auto"/>
              <w:ind w:firstLineChars="400" w:firstLine="8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családi pótlék</w:t>
            </w:r>
          </w:p>
        </w:tc>
        <w:tc>
          <w:tcPr>
            <w:tcW w:w="993" w:type="dxa"/>
            <w:tcBorders>
              <w:top w:val="nil"/>
              <w:left w:val="nil"/>
              <w:bottom w:val="single" w:sz="4" w:space="0" w:color="auto"/>
              <w:right w:val="single" w:sz="4" w:space="0" w:color="auto"/>
            </w:tcBorders>
            <w:shd w:val="clear" w:color="auto" w:fill="auto"/>
            <w:noWrap/>
            <w:hideMark/>
          </w:tcPr>
          <w:p w14:paraId="38B23896" w14:textId="71BE0273"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178,7</w:t>
            </w:r>
          </w:p>
        </w:tc>
        <w:tc>
          <w:tcPr>
            <w:tcW w:w="992" w:type="dxa"/>
            <w:tcBorders>
              <w:top w:val="nil"/>
              <w:left w:val="nil"/>
              <w:bottom w:val="single" w:sz="4" w:space="0" w:color="auto"/>
              <w:right w:val="single" w:sz="4" w:space="0" w:color="auto"/>
            </w:tcBorders>
            <w:shd w:val="clear" w:color="auto" w:fill="auto"/>
            <w:noWrap/>
            <w:hideMark/>
          </w:tcPr>
          <w:p w14:paraId="2831AA3C" w14:textId="373C6DCF"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177,3</w:t>
            </w:r>
          </w:p>
        </w:tc>
        <w:tc>
          <w:tcPr>
            <w:tcW w:w="850" w:type="dxa"/>
            <w:tcBorders>
              <w:top w:val="nil"/>
              <w:left w:val="nil"/>
              <w:bottom w:val="single" w:sz="4" w:space="0" w:color="auto"/>
              <w:right w:val="single" w:sz="4" w:space="0" w:color="auto"/>
            </w:tcBorders>
            <w:shd w:val="clear" w:color="auto" w:fill="auto"/>
            <w:noWrap/>
            <w:hideMark/>
          </w:tcPr>
          <w:p w14:paraId="145C8E2D" w14:textId="075A3666"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-1,4</w:t>
            </w:r>
          </w:p>
        </w:tc>
        <w:tc>
          <w:tcPr>
            <w:tcW w:w="851" w:type="dxa"/>
            <w:tcBorders>
              <w:top w:val="nil"/>
              <w:left w:val="nil"/>
              <w:bottom w:val="single" w:sz="4" w:space="0" w:color="auto"/>
              <w:right w:val="single" w:sz="4" w:space="0" w:color="auto"/>
            </w:tcBorders>
            <w:shd w:val="clear" w:color="auto" w:fill="auto"/>
            <w:noWrap/>
            <w:hideMark/>
          </w:tcPr>
          <w:p w14:paraId="3DC707AD" w14:textId="30D2FD43"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99,2</w:t>
            </w:r>
          </w:p>
        </w:tc>
      </w:tr>
      <w:tr w:rsidR="00DA488F" w:rsidRPr="006068B4" w14:paraId="750E94DE"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0C0A4C2" w14:textId="77777777" w:rsidR="00DA488F" w:rsidRPr="006068B4" w:rsidRDefault="7BF38582" w:rsidP="7BF38582">
            <w:pPr>
              <w:spacing w:line="240" w:lineRule="auto"/>
              <w:ind w:firstLineChars="400" w:firstLine="8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anyasági támogatás</w:t>
            </w:r>
          </w:p>
        </w:tc>
        <w:tc>
          <w:tcPr>
            <w:tcW w:w="993" w:type="dxa"/>
            <w:tcBorders>
              <w:top w:val="nil"/>
              <w:left w:val="nil"/>
              <w:bottom w:val="single" w:sz="4" w:space="0" w:color="auto"/>
              <w:right w:val="single" w:sz="4" w:space="0" w:color="auto"/>
            </w:tcBorders>
            <w:shd w:val="clear" w:color="auto" w:fill="auto"/>
            <w:noWrap/>
            <w:hideMark/>
          </w:tcPr>
          <w:p w14:paraId="597D9A51" w14:textId="1557D205"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3,1</w:t>
            </w:r>
          </w:p>
        </w:tc>
        <w:tc>
          <w:tcPr>
            <w:tcW w:w="992" w:type="dxa"/>
            <w:tcBorders>
              <w:top w:val="nil"/>
              <w:left w:val="nil"/>
              <w:bottom w:val="single" w:sz="4" w:space="0" w:color="auto"/>
              <w:right w:val="single" w:sz="4" w:space="0" w:color="auto"/>
            </w:tcBorders>
            <w:shd w:val="clear" w:color="auto" w:fill="auto"/>
            <w:noWrap/>
            <w:hideMark/>
          </w:tcPr>
          <w:p w14:paraId="4295E839" w14:textId="0423793A"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2,9</w:t>
            </w:r>
          </w:p>
        </w:tc>
        <w:tc>
          <w:tcPr>
            <w:tcW w:w="850" w:type="dxa"/>
            <w:tcBorders>
              <w:top w:val="nil"/>
              <w:left w:val="nil"/>
              <w:bottom w:val="single" w:sz="4" w:space="0" w:color="auto"/>
              <w:right w:val="single" w:sz="4" w:space="0" w:color="auto"/>
            </w:tcBorders>
            <w:shd w:val="clear" w:color="auto" w:fill="auto"/>
            <w:noWrap/>
            <w:hideMark/>
          </w:tcPr>
          <w:p w14:paraId="0BFAA189" w14:textId="21CF3B83"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2913BB8B" w14:textId="4ED61446"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93,5</w:t>
            </w:r>
          </w:p>
        </w:tc>
      </w:tr>
      <w:tr w:rsidR="00DA488F" w:rsidRPr="006068B4" w14:paraId="723C4BB5"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B71EC87" w14:textId="77777777" w:rsidR="00DA488F" w:rsidRPr="006068B4" w:rsidRDefault="7BF38582" w:rsidP="7BF38582">
            <w:pPr>
              <w:spacing w:line="240" w:lineRule="auto"/>
              <w:ind w:firstLineChars="400" w:firstLine="8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gyermekgondozást segítő ellátás</w:t>
            </w:r>
          </w:p>
        </w:tc>
        <w:tc>
          <w:tcPr>
            <w:tcW w:w="993" w:type="dxa"/>
            <w:tcBorders>
              <w:top w:val="nil"/>
              <w:left w:val="nil"/>
              <w:bottom w:val="single" w:sz="4" w:space="0" w:color="auto"/>
              <w:right w:val="single" w:sz="4" w:space="0" w:color="auto"/>
            </w:tcBorders>
            <w:shd w:val="clear" w:color="auto" w:fill="auto"/>
            <w:noWrap/>
            <w:hideMark/>
          </w:tcPr>
          <w:p w14:paraId="6C8BD5D3" w14:textId="7BAC5E8A"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31,2</w:t>
            </w:r>
          </w:p>
        </w:tc>
        <w:tc>
          <w:tcPr>
            <w:tcW w:w="992" w:type="dxa"/>
            <w:tcBorders>
              <w:top w:val="nil"/>
              <w:left w:val="nil"/>
              <w:bottom w:val="single" w:sz="4" w:space="0" w:color="auto"/>
              <w:right w:val="single" w:sz="4" w:space="0" w:color="auto"/>
            </w:tcBorders>
            <w:shd w:val="clear" w:color="auto" w:fill="auto"/>
            <w:noWrap/>
            <w:hideMark/>
          </w:tcPr>
          <w:p w14:paraId="4B96F73D" w14:textId="6ADDE904"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30,9</w:t>
            </w:r>
          </w:p>
        </w:tc>
        <w:tc>
          <w:tcPr>
            <w:tcW w:w="850" w:type="dxa"/>
            <w:tcBorders>
              <w:top w:val="nil"/>
              <w:left w:val="nil"/>
              <w:bottom w:val="single" w:sz="4" w:space="0" w:color="auto"/>
              <w:right w:val="single" w:sz="4" w:space="0" w:color="auto"/>
            </w:tcBorders>
            <w:shd w:val="clear" w:color="auto" w:fill="auto"/>
            <w:noWrap/>
            <w:hideMark/>
          </w:tcPr>
          <w:p w14:paraId="7997B51A" w14:textId="6D9E43E6"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noWrap/>
            <w:hideMark/>
          </w:tcPr>
          <w:p w14:paraId="4C0B8D65" w14:textId="4DA76C6B"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99,0</w:t>
            </w:r>
          </w:p>
        </w:tc>
      </w:tr>
      <w:tr w:rsidR="00DA488F" w:rsidRPr="006068B4" w14:paraId="4C1A9EFC"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E314DCD" w14:textId="77777777" w:rsidR="00DA488F" w:rsidRPr="006068B4" w:rsidRDefault="7BF38582" w:rsidP="7BF38582">
            <w:pPr>
              <w:spacing w:line="240" w:lineRule="auto"/>
              <w:ind w:firstLineChars="400" w:firstLine="8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gyermeknevelési támogatás</w:t>
            </w:r>
          </w:p>
        </w:tc>
        <w:tc>
          <w:tcPr>
            <w:tcW w:w="993" w:type="dxa"/>
            <w:tcBorders>
              <w:top w:val="nil"/>
              <w:left w:val="nil"/>
              <w:bottom w:val="single" w:sz="4" w:space="0" w:color="auto"/>
              <w:right w:val="single" w:sz="4" w:space="0" w:color="auto"/>
            </w:tcBorders>
            <w:shd w:val="clear" w:color="auto" w:fill="auto"/>
            <w:noWrap/>
            <w:hideMark/>
          </w:tcPr>
          <w:p w14:paraId="14826C72" w14:textId="0AD909A5"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5,5</w:t>
            </w:r>
          </w:p>
        </w:tc>
        <w:tc>
          <w:tcPr>
            <w:tcW w:w="992" w:type="dxa"/>
            <w:tcBorders>
              <w:top w:val="nil"/>
              <w:left w:val="nil"/>
              <w:bottom w:val="single" w:sz="4" w:space="0" w:color="auto"/>
              <w:right w:val="single" w:sz="4" w:space="0" w:color="auto"/>
            </w:tcBorders>
            <w:shd w:val="clear" w:color="auto" w:fill="auto"/>
            <w:noWrap/>
            <w:hideMark/>
          </w:tcPr>
          <w:p w14:paraId="6A870304" w14:textId="11BCDC0E"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5,2</w:t>
            </w:r>
          </w:p>
        </w:tc>
        <w:tc>
          <w:tcPr>
            <w:tcW w:w="850" w:type="dxa"/>
            <w:tcBorders>
              <w:top w:val="nil"/>
              <w:left w:val="nil"/>
              <w:bottom w:val="single" w:sz="4" w:space="0" w:color="auto"/>
              <w:right w:val="single" w:sz="4" w:space="0" w:color="auto"/>
            </w:tcBorders>
            <w:shd w:val="clear" w:color="auto" w:fill="auto"/>
            <w:noWrap/>
            <w:hideMark/>
          </w:tcPr>
          <w:p w14:paraId="588B93BB" w14:textId="5440D059"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noWrap/>
            <w:hideMark/>
          </w:tcPr>
          <w:p w14:paraId="7DAF609F" w14:textId="4C2243C8"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94,5</w:t>
            </w:r>
          </w:p>
        </w:tc>
      </w:tr>
      <w:tr w:rsidR="00DA488F" w:rsidRPr="006068B4" w14:paraId="49AE6306"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45200B1" w14:textId="77777777" w:rsidR="00DA488F" w:rsidRPr="006068B4" w:rsidRDefault="7BF38582" w:rsidP="7BF38582">
            <w:pPr>
              <w:spacing w:line="240" w:lineRule="auto"/>
              <w:ind w:firstLineChars="400" w:firstLine="8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gyermekek születésével kapcsolatos szabadság megtérítése</w:t>
            </w:r>
          </w:p>
        </w:tc>
        <w:tc>
          <w:tcPr>
            <w:tcW w:w="993" w:type="dxa"/>
            <w:tcBorders>
              <w:top w:val="nil"/>
              <w:left w:val="nil"/>
              <w:bottom w:val="single" w:sz="4" w:space="0" w:color="auto"/>
              <w:right w:val="single" w:sz="4" w:space="0" w:color="auto"/>
            </w:tcBorders>
            <w:shd w:val="clear" w:color="auto" w:fill="auto"/>
            <w:noWrap/>
            <w:hideMark/>
          </w:tcPr>
          <w:p w14:paraId="48F1434B" w14:textId="2771B366"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3,6</w:t>
            </w:r>
          </w:p>
        </w:tc>
        <w:tc>
          <w:tcPr>
            <w:tcW w:w="992" w:type="dxa"/>
            <w:tcBorders>
              <w:top w:val="nil"/>
              <w:left w:val="nil"/>
              <w:bottom w:val="single" w:sz="4" w:space="0" w:color="auto"/>
              <w:right w:val="single" w:sz="4" w:space="0" w:color="auto"/>
            </w:tcBorders>
            <w:shd w:val="clear" w:color="auto" w:fill="auto"/>
            <w:noWrap/>
            <w:hideMark/>
          </w:tcPr>
          <w:p w14:paraId="6AAF688A" w14:textId="0686529E"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3,9</w:t>
            </w:r>
          </w:p>
        </w:tc>
        <w:tc>
          <w:tcPr>
            <w:tcW w:w="850" w:type="dxa"/>
            <w:tcBorders>
              <w:top w:val="nil"/>
              <w:left w:val="nil"/>
              <w:bottom w:val="single" w:sz="4" w:space="0" w:color="auto"/>
              <w:right w:val="single" w:sz="4" w:space="0" w:color="auto"/>
            </w:tcBorders>
            <w:shd w:val="clear" w:color="auto" w:fill="auto"/>
            <w:noWrap/>
            <w:hideMark/>
          </w:tcPr>
          <w:p w14:paraId="664A5D3B" w14:textId="15066C9F"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noWrap/>
            <w:hideMark/>
          </w:tcPr>
          <w:p w14:paraId="4DE79E3D" w14:textId="379BFE57"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108,3</w:t>
            </w:r>
          </w:p>
        </w:tc>
      </w:tr>
      <w:tr w:rsidR="00DA488F" w:rsidRPr="006068B4" w14:paraId="31537421"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219C75A" w14:textId="77777777" w:rsidR="00DA488F" w:rsidRPr="006068B4" w:rsidRDefault="7BF38582" w:rsidP="7BF38582">
            <w:pPr>
              <w:spacing w:line="240" w:lineRule="auto"/>
              <w:ind w:firstLineChars="400" w:firstLine="8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életkezdési támogatás</w:t>
            </w:r>
          </w:p>
        </w:tc>
        <w:tc>
          <w:tcPr>
            <w:tcW w:w="993" w:type="dxa"/>
            <w:tcBorders>
              <w:top w:val="nil"/>
              <w:left w:val="nil"/>
              <w:bottom w:val="single" w:sz="4" w:space="0" w:color="auto"/>
              <w:right w:val="single" w:sz="4" w:space="0" w:color="auto"/>
            </w:tcBorders>
            <w:shd w:val="clear" w:color="auto" w:fill="auto"/>
            <w:noWrap/>
            <w:hideMark/>
          </w:tcPr>
          <w:p w14:paraId="7201B04B" w14:textId="1188B657"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22,7</w:t>
            </w:r>
          </w:p>
        </w:tc>
        <w:tc>
          <w:tcPr>
            <w:tcW w:w="992" w:type="dxa"/>
            <w:tcBorders>
              <w:top w:val="nil"/>
              <w:left w:val="nil"/>
              <w:bottom w:val="single" w:sz="4" w:space="0" w:color="auto"/>
              <w:right w:val="single" w:sz="4" w:space="0" w:color="auto"/>
            </w:tcBorders>
            <w:shd w:val="clear" w:color="auto" w:fill="auto"/>
            <w:noWrap/>
            <w:hideMark/>
          </w:tcPr>
          <w:p w14:paraId="45D51CF7" w14:textId="3805FA4B"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10,0</w:t>
            </w:r>
          </w:p>
        </w:tc>
        <w:tc>
          <w:tcPr>
            <w:tcW w:w="850" w:type="dxa"/>
            <w:tcBorders>
              <w:top w:val="nil"/>
              <w:left w:val="nil"/>
              <w:bottom w:val="single" w:sz="4" w:space="0" w:color="auto"/>
              <w:right w:val="single" w:sz="4" w:space="0" w:color="auto"/>
            </w:tcBorders>
            <w:shd w:val="clear" w:color="auto" w:fill="auto"/>
            <w:noWrap/>
            <w:hideMark/>
          </w:tcPr>
          <w:p w14:paraId="1BC502FA" w14:textId="35660E47"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-12,7</w:t>
            </w:r>
          </w:p>
        </w:tc>
        <w:tc>
          <w:tcPr>
            <w:tcW w:w="851" w:type="dxa"/>
            <w:tcBorders>
              <w:top w:val="nil"/>
              <w:left w:val="nil"/>
              <w:bottom w:val="single" w:sz="4" w:space="0" w:color="auto"/>
              <w:right w:val="single" w:sz="4" w:space="0" w:color="auto"/>
            </w:tcBorders>
            <w:shd w:val="clear" w:color="auto" w:fill="auto"/>
            <w:noWrap/>
            <w:hideMark/>
          </w:tcPr>
          <w:p w14:paraId="70100317" w14:textId="2B91F760"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44,1</w:t>
            </w:r>
          </w:p>
        </w:tc>
      </w:tr>
      <w:tr w:rsidR="00DA488F" w:rsidRPr="006068B4" w14:paraId="7D88A7FB"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99AE9AE" w14:textId="77777777" w:rsidR="00DA488F" w:rsidRPr="006068B4" w:rsidRDefault="7BF38582" w:rsidP="7BF38582">
            <w:pPr>
              <w:spacing w:line="240" w:lineRule="auto"/>
              <w:rPr>
                <w:rFonts w:ascii="Times New Roman" w:hAnsi="Times New Roman" w:cs="Times New Roman"/>
                <w:b/>
                <w:bCs/>
                <w:color w:val="000000" w:themeColor="text1"/>
                <w:sz w:val="20"/>
                <w:szCs w:val="20"/>
              </w:rPr>
            </w:pPr>
            <w:r w:rsidRPr="7BF38582">
              <w:rPr>
                <w:rFonts w:ascii="Times New Roman" w:hAnsi="Times New Roman" w:cs="Times New Roman"/>
                <w:b/>
                <w:bCs/>
                <w:color w:val="000000" w:themeColor="text1"/>
                <w:sz w:val="20"/>
                <w:szCs w:val="20"/>
              </w:rPr>
              <w:t>Korhatár alatti ellátások</w:t>
            </w:r>
          </w:p>
        </w:tc>
        <w:tc>
          <w:tcPr>
            <w:tcW w:w="993" w:type="dxa"/>
            <w:tcBorders>
              <w:top w:val="nil"/>
              <w:left w:val="nil"/>
              <w:bottom w:val="single" w:sz="4" w:space="0" w:color="auto"/>
              <w:right w:val="single" w:sz="4" w:space="0" w:color="auto"/>
            </w:tcBorders>
            <w:shd w:val="clear" w:color="auto" w:fill="auto"/>
            <w:noWrap/>
            <w:hideMark/>
          </w:tcPr>
          <w:p w14:paraId="7703B44A" w14:textId="301A4C7D"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77,9</w:t>
            </w:r>
          </w:p>
        </w:tc>
        <w:tc>
          <w:tcPr>
            <w:tcW w:w="992" w:type="dxa"/>
            <w:tcBorders>
              <w:top w:val="nil"/>
              <w:left w:val="nil"/>
              <w:bottom w:val="single" w:sz="4" w:space="0" w:color="auto"/>
              <w:right w:val="single" w:sz="4" w:space="0" w:color="auto"/>
            </w:tcBorders>
            <w:shd w:val="clear" w:color="auto" w:fill="auto"/>
            <w:noWrap/>
            <w:hideMark/>
          </w:tcPr>
          <w:p w14:paraId="6428734A" w14:textId="52CC57F4"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74,7</w:t>
            </w:r>
          </w:p>
        </w:tc>
        <w:tc>
          <w:tcPr>
            <w:tcW w:w="850" w:type="dxa"/>
            <w:tcBorders>
              <w:top w:val="nil"/>
              <w:left w:val="nil"/>
              <w:bottom w:val="single" w:sz="4" w:space="0" w:color="auto"/>
              <w:right w:val="single" w:sz="4" w:space="0" w:color="auto"/>
            </w:tcBorders>
            <w:shd w:val="clear" w:color="auto" w:fill="auto"/>
            <w:noWrap/>
            <w:hideMark/>
          </w:tcPr>
          <w:p w14:paraId="7EDBDA2F" w14:textId="22DBBF5F"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-3,2</w:t>
            </w:r>
          </w:p>
        </w:tc>
        <w:tc>
          <w:tcPr>
            <w:tcW w:w="851" w:type="dxa"/>
            <w:tcBorders>
              <w:top w:val="nil"/>
              <w:left w:val="nil"/>
              <w:bottom w:val="single" w:sz="4" w:space="0" w:color="auto"/>
              <w:right w:val="single" w:sz="4" w:space="0" w:color="auto"/>
            </w:tcBorders>
            <w:shd w:val="clear" w:color="auto" w:fill="auto"/>
            <w:noWrap/>
            <w:hideMark/>
          </w:tcPr>
          <w:p w14:paraId="534E4A63" w14:textId="294C7DFC"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95,9</w:t>
            </w:r>
          </w:p>
        </w:tc>
      </w:tr>
      <w:tr w:rsidR="00DA488F" w:rsidRPr="006068B4" w14:paraId="2D32D206"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EA13739" w14:textId="77777777" w:rsidR="00DA488F" w:rsidRPr="006068B4" w:rsidRDefault="7BF38582" w:rsidP="7BF38582">
            <w:pPr>
              <w:spacing w:line="240" w:lineRule="auto"/>
              <w:rPr>
                <w:rFonts w:ascii="Times New Roman" w:hAnsi="Times New Roman" w:cs="Times New Roman"/>
                <w:b/>
                <w:bCs/>
                <w:color w:val="000000" w:themeColor="text1"/>
                <w:sz w:val="20"/>
                <w:szCs w:val="20"/>
              </w:rPr>
            </w:pPr>
            <w:r w:rsidRPr="7BF38582">
              <w:rPr>
                <w:rFonts w:ascii="Times New Roman" w:hAnsi="Times New Roman" w:cs="Times New Roman"/>
                <w:b/>
                <w:bCs/>
                <w:color w:val="000000" w:themeColor="text1"/>
                <w:sz w:val="20"/>
                <w:szCs w:val="20"/>
              </w:rPr>
              <w:t>Jövedelempótló és jövedelemkiegészítő szociális támogatások</w:t>
            </w:r>
          </w:p>
        </w:tc>
        <w:tc>
          <w:tcPr>
            <w:tcW w:w="993" w:type="dxa"/>
            <w:tcBorders>
              <w:top w:val="nil"/>
              <w:left w:val="nil"/>
              <w:bottom w:val="single" w:sz="4" w:space="0" w:color="auto"/>
              <w:right w:val="single" w:sz="4" w:space="0" w:color="auto"/>
            </w:tcBorders>
            <w:shd w:val="clear" w:color="auto" w:fill="auto"/>
            <w:noWrap/>
            <w:hideMark/>
          </w:tcPr>
          <w:p w14:paraId="09D08D68" w14:textId="2A596AB3"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124,6</w:t>
            </w:r>
          </w:p>
        </w:tc>
        <w:tc>
          <w:tcPr>
            <w:tcW w:w="992" w:type="dxa"/>
            <w:tcBorders>
              <w:top w:val="nil"/>
              <w:left w:val="nil"/>
              <w:bottom w:val="single" w:sz="4" w:space="0" w:color="auto"/>
              <w:right w:val="single" w:sz="4" w:space="0" w:color="auto"/>
            </w:tcBorders>
            <w:shd w:val="clear" w:color="auto" w:fill="auto"/>
            <w:noWrap/>
            <w:hideMark/>
          </w:tcPr>
          <w:p w14:paraId="20CD8076" w14:textId="43D191C7"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137,5</w:t>
            </w:r>
          </w:p>
        </w:tc>
        <w:tc>
          <w:tcPr>
            <w:tcW w:w="850" w:type="dxa"/>
            <w:tcBorders>
              <w:top w:val="nil"/>
              <w:left w:val="nil"/>
              <w:bottom w:val="single" w:sz="4" w:space="0" w:color="auto"/>
              <w:right w:val="single" w:sz="4" w:space="0" w:color="auto"/>
            </w:tcBorders>
            <w:shd w:val="clear" w:color="auto" w:fill="auto"/>
            <w:noWrap/>
            <w:hideMark/>
          </w:tcPr>
          <w:p w14:paraId="06C5F2C2" w14:textId="1ACEDE44"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12,9</w:t>
            </w:r>
          </w:p>
        </w:tc>
        <w:tc>
          <w:tcPr>
            <w:tcW w:w="851" w:type="dxa"/>
            <w:tcBorders>
              <w:top w:val="nil"/>
              <w:left w:val="nil"/>
              <w:bottom w:val="single" w:sz="4" w:space="0" w:color="auto"/>
              <w:right w:val="single" w:sz="4" w:space="0" w:color="auto"/>
            </w:tcBorders>
            <w:shd w:val="clear" w:color="auto" w:fill="auto"/>
            <w:noWrap/>
            <w:hideMark/>
          </w:tcPr>
          <w:p w14:paraId="72FE9F51" w14:textId="61EE87F9"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110,4</w:t>
            </w:r>
          </w:p>
        </w:tc>
      </w:tr>
      <w:tr w:rsidR="00DA488F" w:rsidRPr="006068B4" w14:paraId="5788F37E"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1B003BA" w14:textId="77777777" w:rsidR="00DA488F" w:rsidRPr="006068B4" w:rsidRDefault="7BF38582" w:rsidP="7BF38582">
            <w:pPr>
              <w:spacing w:line="240" w:lineRule="auto"/>
              <w:ind w:firstLineChars="100" w:firstLine="2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88BBE5A" w14:textId="2B3F6537"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14125CFD" w14:textId="3A1AADC5"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1F8604AB" w14:textId="2C8940A6"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736DD4C8" w14:textId="2881F13B" w:rsidR="00DA488F" w:rsidRPr="00DA488F" w:rsidRDefault="00DA488F" w:rsidP="00DA488F">
            <w:pPr>
              <w:spacing w:line="240" w:lineRule="auto"/>
              <w:jc w:val="right"/>
              <w:rPr>
                <w:rFonts w:ascii="Times New Roman" w:hAnsi="Times New Roman" w:cs="Times New Roman"/>
                <w:b/>
                <w:bCs/>
                <w:sz w:val="20"/>
                <w:szCs w:val="20"/>
              </w:rPr>
            </w:pPr>
          </w:p>
        </w:tc>
      </w:tr>
      <w:tr w:rsidR="00DA488F" w:rsidRPr="006068B4" w14:paraId="2B9D2C3D"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3BF205E9" w14:textId="77777777" w:rsidR="00DA488F" w:rsidRPr="006068B4" w:rsidRDefault="7BF38582" w:rsidP="7BF38582">
            <w:pPr>
              <w:spacing w:line="240" w:lineRule="auto"/>
              <w:ind w:firstLineChars="400" w:firstLine="8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Jövedelempótló és jövedelemkiegészítő ellátások</w:t>
            </w:r>
          </w:p>
        </w:tc>
        <w:tc>
          <w:tcPr>
            <w:tcW w:w="993" w:type="dxa"/>
            <w:tcBorders>
              <w:top w:val="nil"/>
              <w:left w:val="nil"/>
              <w:bottom w:val="single" w:sz="4" w:space="0" w:color="auto"/>
              <w:right w:val="single" w:sz="4" w:space="0" w:color="auto"/>
            </w:tcBorders>
            <w:shd w:val="clear" w:color="auto" w:fill="auto"/>
            <w:noWrap/>
            <w:hideMark/>
          </w:tcPr>
          <w:p w14:paraId="4ED98D04" w14:textId="24824B1E"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48,5</w:t>
            </w:r>
          </w:p>
        </w:tc>
        <w:tc>
          <w:tcPr>
            <w:tcW w:w="992" w:type="dxa"/>
            <w:tcBorders>
              <w:top w:val="nil"/>
              <w:left w:val="nil"/>
              <w:bottom w:val="single" w:sz="4" w:space="0" w:color="auto"/>
              <w:right w:val="single" w:sz="4" w:space="0" w:color="auto"/>
            </w:tcBorders>
            <w:shd w:val="clear" w:color="auto" w:fill="auto"/>
            <w:noWrap/>
            <w:hideMark/>
          </w:tcPr>
          <w:p w14:paraId="0B03B656" w14:textId="2E99C3B0"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48,8</w:t>
            </w:r>
          </w:p>
        </w:tc>
        <w:tc>
          <w:tcPr>
            <w:tcW w:w="850" w:type="dxa"/>
            <w:tcBorders>
              <w:top w:val="nil"/>
              <w:left w:val="nil"/>
              <w:bottom w:val="single" w:sz="4" w:space="0" w:color="auto"/>
              <w:right w:val="single" w:sz="4" w:space="0" w:color="auto"/>
            </w:tcBorders>
            <w:shd w:val="clear" w:color="auto" w:fill="auto"/>
            <w:noWrap/>
            <w:hideMark/>
          </w:tcPr>
          <w:p w14:paraId="2876B997" w14:textId="20A0480D"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noWrap/>
            <w:hideMark/>
          </w:tcPr>
          <w:p w14:paraId="6DBAA01B" w14:textId="4033266D"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100,6</w:t>
            </w:r>
          </w:p>
        </w:tc>
      </w:tr>
      <w:tr w:rsidR="00DA488F" w:rsidRPr="006068B4" w14:paraId="65888AD0"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47B6E086" w14:textId="77777777" w:rsidR="00DA488F" w:rsidRPr="006068B4" w:rsidRDefault="7BF38582" w:rsidP="7BF38582">
            <w:pPr>
              <w:spacing w:line="240" w:lineRule="auto"/>
              <w:ind w:firstLineChars="400" w:firstLine="8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Járási szociális feladatok ellátása</w:t>
            </w:r>
          </w:p>
        </w:tc>
        <w:tc>
          <w:tcPr>
            <w:tcW w:w="993" w:type="dxa"/>
            <w:tcBorders>
              <w:top w:val="nil"/>
              <w:left w:val="nil"/>
              <w:bottom w:val="single" w:sz="4" w:space="0" w:color="auto"/>
              <w:right w:val="single" w:sz="4" w:space="0" w:color="auto"/>
            </w:tcBorders>
            <w:shd w:val="clear" w:color="auto" w:fill="auto"/>
            <w:noWrap/>
            <w:hideMark/>
          </w:tcPr>
          <w:p w14:paraId="4DD04FA4" w14:textId="4F4AFF39"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76,1</w:t>
            </w:r>
          </w:p>
        </w:tc>
        <w:tc>
          <w:tcPr>
            <w:tcW w:w="992" w:type="dxa"/>
            <w:tcBorders>
              <w:top w:val="nil"/>
              <w:left w:val="nil"/>
              <w:bottom w:val="single" w:sz="4" w:space="0" w:color="auto"/>
              <w:right w:val="single" w:sz="4" w:space="0" w:color="auto"/>
            </w:tcBorders>
            <w:shd w:val="clear" w:color="auto" w:fill="auto"/>
            <w:noWrap/>
            <w:hideMark/>
          </w:tcPr>
          <w:p w14:paraId="4B8C340C" w14:textId="06A5A2A3"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88,7</w:t>
            </w:r>
          </w:p>
        </w:tc>
        <w:tc>
          <w:tcPr>
            <w:tcW w:w="850" w:type="dxa"/>
            <w:tcBorders>
              <w:top w:val="nil"/>
              <w:left w:val="nil"/>
              <w:bottom w:val="single" w:sz="4" w:space="0" w:color="auto"/>
              <w:right w:val="single" w:sz="4" w:space="0" w:color="auto"/>
            </w:tcBorders>
            <w:shd w:val="clear" w:color="auto" w:fill="auto"/>
            <w:noWrap/>
            <w:hideMark/>
          </w:tcPr>
          <w:p w14:paraId="5CB598A8" w14:textId="643D11D8"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12,6</w:t>
            </w:r>
          </w:p>
        </w:tc>
        <w:tc>
          <w:tcPr>
            <w:tcW w:w="851" w:type="dxa"/>
            <w:tcBorders>
              <w:top w:val="nil"/>
              <w:left w:val="nil"/>
              <w:bottom w:val="single" w:sz="4" w:space="0" w:color="auto"/>
              <w:right w:val="single" w:sz="4" w:space="0" w:color="auto"/>
            </w:tcBorders>
            <w:shd w:val="clear" w:color="auto" w:fill="auto"/>
            <w:noWrap/>
            <w:hideMark/>
          </w:tcPr>
          <w:p w14:paraId="3DAE5F3D" w14:textId="3D552977"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116,6</w:t>
            </w:r>
          </w:p>
        </w:tc>
      </w:tr>
      <w:tr w:rsidR="00DA488F" w:rsidRPr="006068B4" w14:paraId="030B4DBA"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2423DBB" w14:textId="77777777" w:rsidR="00DA488F" w:rsidRPr="006068B4" w:rsidRDefault="7BF38582" w:rsidP="7BF38582">
            <w:pPr>
              <w:spacing w:line="240" w:lineRule="auto"/>
              <w:rPr>
                <w:rFonts w:ascii="Times New Roman" w:hAnsi="Times New Roman" w:cs="Times New Roman"/>
                <w:b/>
                <w:bCs/>
                <w:color w:val="000000" w:themeColor="text1"/>
                <w:sz w:val="20"/>
                <w:szCs w:val="20"/>
              </w:rPr>
            </w:pPr>
            <w:r w:rsidRPr="7BF38582">
              <w:rPr>
                <w:rFonts w:ascii="Times New Roman" w:hAnsi="Times New Roman" w:cs="Times New Roman"/>
                <w:b/>
                <w:bCs/>
                <w:color w:val="000000" w:themeColor="text1"/>
                <w:sz w:val="20"/>
                <w:szCs w:val="20"/>
              </w:rPr>
              <w:t>Különféle jogcímen adott térítések</w:t>
            </w:r>
          </w:p>
        </w:tc>
        <w:tc>
          <w:tcPr>
            <w:tcW w:w="993" w:type="dxa"/>
            <w:tcBorders>
              <w:top w:val="nil"/>
              <w:left w:val="nil"/>
              <w:bottom w:val="single" w:sz="4" w:space="0" w:color="auto"/>
              <w:right w:val="single" w:sz="4" w:space="0" w:color="auto"/>
            </w:tcBorders>
            <w:shd w:val="clear" w:color="auto" w:fill="auto"/>
            <w:noWrap/>
            <w:hideMark/>
          </w:tcPr>
          <w:p w14:paraId="0247058E" w14:textId="1584345D"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13,</w:t>
            </w:r>
            <w:r w:rsidR="004B7DC9">
              <w:rPr>
                <w:rFonts w:ascii="Times New Roman" w:hAnsi="Times New Roman" w:cs="Times New Roman"/>
                <w:b/>
                <w:bCs/>
                <w:sz w:val="20"/>
                <w:szCs w:val="20"/>
              </w:rPr>
              <w:t>4</w:t>
            </w:r>
          </w:p>
        </w:tc>
        <w:tc>
          <w:tcPr>
            <w:tcW w:w="992" w:type="dxa"/>
            <w:tcBorders>
              <w:top w:val="nil"/>
              <w:left w:val="nil"/>
              <w:bottom w:val="single" w:sz="4" w:space="0" w:color="auto"/>
              <w:right w:val="single" w:sz="4" w:space="0" w:color="auto"/>
            </w:tcBorders>
            <w:shd w:val="clear" w:color="auto" w:fill="auto"/>
            <w:noWrap/>
            <w:hideMark/>
          </w:tcPr>
          <w:p w14:paraId="79ACCB29" w14:textId="294D0798"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13,0</w:t>
            </w:r>
          </w:p>
        </w:tc>
        <w:tc>
          <w:tcPr>
            <w:tcW w:w="850" w:type="dxa"/>
            <w:tcBorders>
              <w:top w:val="nil"/>
              <w:left w:val="nil"/>
              <w:bottom w:val="single" w:sz="4" w:space="0" w:color="auto"/>
              <w:right w:val="single" w:sz="4" w:space="0" w:color="auto"/>
            </w:tcBorders>
            <w:shd w:val="clear" w:color="auto" w:fill="auto"/>
            <w:noWrap/>
            <w:hideMark/>
          </w:tcPr>
          <w:p w14:paraId="74FAD509" w14:textId="351270E6"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-0,</w:t>
            </w:r>
            <w:r w:rsidR="004B7DC9">
              <w:rPr>
                <w:rFonts w:ascii="Times New Roman" w:hAnsi="Times New Roman" w:cs="Times New Roman"/>
                <w:b/>
                <w:bCs/>
                <w:sz w:val="20"/>
                <w:szCs w:val="20"/>
              </w:rPr>
              <w:t>4</w:t>
            </w:r>
          </w:p>
        </w:tc>
        <w:tc>
          <w:tcPr>
            <w:tcW w:w="851" w:type="dxa"/>
            <w:tcBorders>
              <w:top w:val="nil"/>
              <w:left w:val="nil"/>
              <w:bottom w:val="single" w:sz="4" w:space="0" w:color="auto"/>
              <w:right w:val="single" w:sz="4" w:space="0" w:color="auto"/>
            </w:tcBorders>
            <w:shd w:val="clear" w:color="auto" w:fill="auto"/>
            <w:noWrap/>
            <w:hideMark/>
          </w:tcPr>
          <w:p w14:paraId="55CBB5D3" w14:textId="63EC1308"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9</w:t>
            </w:r>
            <w:r w:rsidR="004B7DC9">
              <w:rPr>
                <w:rFonts w:ascii="Times New Roman" w:hAnsi="Times New Roman" w:cs="Times New Roman"/>
                <w:b/>
                <w:bCs/>
                <w:sz w:val="20"/>
                <w:szCs w:val="20"/>
              </w:rPr>
              <w:t>7</w:t>
            </w:r>
            <w:r w:rsidRPr="75809766">
              <w:rPr>
                <w:rFonts w:ascii="Times New Roman" w:hAnsi="Times New Roman" w:cs="Times New Roman"/>
                <w:b/>
                <w:bCs/>
                <w:sz w:val="20"/>
                <w:szCs w:val="20"/>
              </w:rPr>
              <w:t>,</w:t>
            </w:r>
            <w:r w:rsidR="004B7DC9">
              <w:rPr>
                <w:rFonts w:ascii="Times New Roman" w:hAnsi="Times New Roman" w:cs="Times New Roman"/>
                <w:b/>
                <w:bCs/>
                <w:sz w:val="20"/>
                <w:szCs w:val="20"/>
              </w:rPr>
              <w:t>0</w:t>
            </w:r>
          </w:p>
        </w:tc>
      </w:tr>
      <w:tr w:rsidR="00DA488F" w:rsidRPr="006068B4" w14:paraId="217EDD81"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3B18587" w14:textId="77777777" w:rsidR="00DA488F" w:rsidRPr="006068B4" w:rsidRDefault="7BF38582" w:rsidP="7BF38582">
            <w:pPr>
              <w:spacing w:line="240" w:lineRule="auto"/>
              <w:ind w:firstLineChars="100" w:firstLine="2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C5C6549" w14:textId="55BA2136"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6FA678CF" w14:textId="6098F400"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60758E7D" w14:textId="66D5869B"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18E843D4" w14:textId="2899C3A6"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66A0870" w14:textId="77777777" w:rsidTr="75809766">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B046E44" w14:textId="77777777" w:rsidR="00DA488F" w:rsidRPr="006068B4" w:rsidRDefault="7BF38582" w:rsidP="7BF38582">
            <w:pPr>
              <w:spacing w:line="240" w:lineRule="auto"/>
              <w:ind w:firstLineChars="400" w:firstLine="800"/>
              <w:rPr>
                <w:rFonts w:ascii="Times New Roman" w:hAnsi="Times New Roman" w:cs="Times New Roman"/>
                <w:i/>
                <w:iCs/>
                <w:color w:val="000000" w:themeColor="text1"/>
                <w:sz w:val="20"/>
                <w:szCs w:val="20"/>
              </w:rPr>
            </w:pPr>
            <w:r w:rsidRPr="7BF38582">
              <w:rPr>
                <w:rFonts w:ascii="Times New Roman" w:hAnsi="Times New Roman" w:cs="Times New Roman"/>
                <w:i/>
                <w:iCs/>
                <w:color w:val="000000" w:themeColor="text1"/>
                <w:sz w:val="20"/>
                <w:szCs w:val="20"/>
              </w:rPr>
              <w:t>közgyógyellátás</w:t>
            </w:r>
          </w:p>
        </w:tc>
        <w:tc>
          <w:tcPr>
            <w:tcW w:w="993" w:type="dxa"/>
            <w:tcBorders>
              <w:top w:val="nil"/>
              <w:left w:val="nil"/>
              <w:bottom w:val="single" w:sz="4" w:space="0" w:color="auto"/>
              <w:right w:val="single" w:sz="4" w:space="0" w:color="auto"/>
            </w:tcBorders>
            <w:shd w:val="clear" w:color="auto" w:fill="auto"/>
            <w:noWrap/>
            <w:hideMark/>
          </w:tcPr>
          <w:p w14:paraId="1406D65C" w14:textId="2B801770"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8,9</w:t>
            </w:r>
          </w:p>
        </w:tc>
        <w:tc>
          <w:tcPr>
            <w:tcW w:w="992" w:type="dxa"/>
            <w:tcBorders>
              <w:top w:val="nil"/>
              <w:left w:val="nil"/>
              <w:bottom w:val="single" w:sz="4" w:space="0" w:color="auto"/>
              <w:right w:val="single" w:sz="4" w:space="0" w:color="auto"/>
            </w:tcBorders>
            <w:shd w:val="clear" w:color="auto" w:fill="auto"/>
            <w:noWrap/>
            <w:hideMark/>
          </w:tcPr>
          <w:p w14:paraId="655A4EFA" w14:textId="446B7BCF"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8,4</w:t>
            </w:r>
          </w:p>
        </w:tc>
        <w:tc>
          <w:tcPr>
            <w:tcW w:w="850" w:type="dxa"/>
            <w:tcBorders>
              <w:top w:val="nil"/>
              <w:left w:val="nil"/>
              <w:bottom w:val="single" w:sz="4" w:space="0" w:color="auto"/>
              <w:right w:val="single" w:sz="4" w:space="0" w:color="auto"/>
            </w:tcBorders>
            <w:shd w:val="clear" w:color="auto" w:fill="auto"/>
            <w:noWrap/>
            <w:hideMark/>
          </w:tcPr>
          <w:p w14:paraId="5494B891" w14:textId="32B6AA04"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-0,5</w:t>
            </w:r>
          </w:p>
        </w:tc>
        <w:tc>
          <w:tcPr>
            <w:tcW w:w="851" w:type="dxa"/>
            <w:tcBorders>
              <w:top w:val="nil"/>
              <w:left w:val="nil"/>
              <w:bottom w:val="single" w:sz="4" w:space="0" w:color="auto"/>
              <w:right w:val="single" w:sz="4" w:space="0" w:color="auto"/>
            </w:tcBorders>
            <w:shd w:val="clear" w:color="auto" w:fill="auto"/>
            <w:noWrap/>
            <w:hideMark/>
          </w:tcPr>
          <w:p w14:paraId="68797428" w14:textId="5E7320C8" w:rsidR="00DA488F" w:rsidRPr="00DA488F" w:rsidRDefault="75809766" w:rsidP="75809766">
            <w:pPr>
              <w:spacing w:line="240" w:lineRule="auto"/>
              <w:jc w:val="right"/>
              <w:rPr>
                <w:rFonts w:ascii="Times New Roman" w:hAnsi="Times New Roman" w:cs="Times New Roman"/>
                <w:sz w:val="20"/>
                <w:szCs w:val="20"/>
              </w:rPr>
            </w:pPr>
            <w:r w:rsidRPr="75809766">
              <w:rPr>
                <w:rFonts w:ascii="Times New Roman" w:hAnsi="Times New Roman" w:cs="Times New Roman"/>
                <w:sz w:val="20"/>
                <w:szCs w:val="20"/>
              </w:rPr>
              <w:t>94,4</w:t>
            </w:r>
          </w:p>
        </w:tc>
      </w:tr>
      <w:tr w:rsidR="00DA488F" w:rsidRPr="006068B4" w14:paraId="393A56CC" w14:textId="77777777" w:rsidTr="75809766">
        <w:trPr>
          <w:trHeight w:hRule="exact" w:val="284"/>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655C" w14:textId="25FA69F9" w:rsidR="00DA488F" w:rsidRPr="006068B4" w:rsidRDefault="7BF38582" w:rsidP="7BF38582">
            <w:pPr>
              <w:spacing w:line="240" w:lineRule="auto"/>
              <w:rPr>
                <w:rFonts w:ascii="Times New Roman" w:hAnsi="Times New Roman" w:cs="Times New Roman"/>
                <w:b/>
                <w:bCs/>
                <w:color w:val="000000" w:themeColor="text1"/>
                <w:sz w:val="20"/>
                <w:szCs w:val="20"/>
              </w:rPr>
            </w:pPr>
            <w:r w:rsidRPr="7BF38582">
              <w:rPr>
                <w:rFonts w:ascii="Times New Roman" w:hAnsi="Times New Roman" w:cs="Times New Roman"/>
                <w:b/>
                <w:bCs/>
                <w:color w:val="000000" w:themeColor="text1"/>
                <w:sz w:val="20"/>
                <w:szCs w:val="20"/>
              </w:rPr>
              <w:t>Összesen</w:t>
            </w:r>
          </w:p>
        </w:tc>
        <w:tc>
          <w:tcPr>
            <w:tcW w:w="993" w:type="dxa"/>
            <w:tcBorders>
              <w:top w:val="single" w:sz="4" w:space="0" w:color="auto"/>
              <w:left w:val="nil"/>
              <w:bottom w:val="single" w:sz="4" w:space="0" w:color="auto"/>
              <w:right w:val="single" w:sz="4" w:space="0" w:color="auto"/>
            </w:tcBorders>
            <w:shd w:val="clear" w:color="auto" w:fill="auto"/>
            <w:noWrap/>
            <w:hideMark/>
          </w:tcPr>
          <w:p w14:paraId="2E876EDD" w14:textId="270A8BE7"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461,8</w:t>
            </w:r>
          </w:p>
        </w:tc>
        <w:tc>
          <w:tcPr>
            <w:tcW w:w="992" w:type="dxa"/>
            <w:tcBorders>
              <w:top w:val="single" w:sz="4" w:space="0" w:color="auto"/>
              <w:left w:val="nil"/>
              <w:bottom w:val="single" w:sz="4" w:space="0" w:color="auto"/>
              <w:right w:val="single" w:sz="4" w:space="0" w:color="auto"/>
            </w:tcBorders>
            <w:shd w:val="clear" w:color="auto" w:fill="auto"/>
            <w:noWrap/>
            <w:hideMark/>
          </w:tcPr>
          <w:p w14:paraId="1CB4D241" w14:textId="73504C82"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456,8</w:t>
            </w:r>
          </w:p>
        </w:tc>
        <w:tc>
          <w:tcPr>
            <w:tcW w:w="850" w:type="dxa"/>
            <w:tcBorders>
              <w:top w:val="single" w:sz="4" w:space="0" w:color="auto"/>
              <w:left w:val="nil"/>
              <w:bottom w:val="single" w:sz="4" w:space="0" w:color="auto"/>
              <w:right w:val="single" w:sz="4" w:space="0" w:color="auto"/>
            </w:tcBorders>
            <w:shd w:val="clear" w:color="auto" w:fill="auto"/>
            <w:noWrap/>
            <w:hideMark/>
          </w:tcPr>
          <w:p w14:paraId="5FF2C368" w14:textId="2D344514"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hideMark/>
          </w:tcPr>
          <w:p w14:paraId="7F3F44AB" w14:textId="4F313B6A" w:rsidR="00DA488F" w:rsidRPr="00DA488F" w:rsidRDefault="75809766" w:rsidP="75809766">
            <w:pPr>
              <w:spacing w:line="240" w:lineRule="auto"/>
              <w:jc w:val="right"/>
              <w:rPr>
                <w:rFonts w:ascii="Times New Roman" w:hAnsi="Times New Roman" w:cs="Times New Roman"/>
                <w:b/>
                <w:bCs/>
                <w:sz w:val="20"/>
                <w:szCs w:val="20"/>
              </w:rPr>
            </w:pPr>
            <w:r w:rsidRPr="75809766">
              <w:rPr>
                <w:rFonts w:ascii="Times New Roman" w:hAnsi="Times New Roman" w:cs="Times New Roman"/>
                <w:b/>
                <w:bCs/>
                <w:sz w:val="20"/>
                <w:szCs w:val="20"/>
              </w:rPr>
              <w:t>98,9</w:t>
            </w:r>
          </w:p>
        </w:tc>
      </w:tr>
    </w:tbl>
    <w:p w14:paraId="50B0843D" w14:textId="33E0BF16" w:rsidR="263C3F53" w:rsidRDefault="7BF38582" w:rsidP="00A0268E">
      <w:pPr>
        <w:spacing w:before="240"/>
        <w:jc w:val="both"/>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családi támogatásokra</w:t>
      </w:r>
      <w:r w:rsidRPr="7BF38582">
        <w:rPr>
          <w:rFonts w:ascii="Times New Roman" w:eastAsia="Times New Roman" w:hAnsi="Times New Roman" w:cs="Times New Roman"/>
          <w:sz w:val="26"/>
          <w:szCs w:val="26"/>
        </w:rPr>
        <w:t xml:space="preserve"> 2025 első hét hónapjában összesen 231,6</w:t>
      </w:r>
      <w:r w:rsidR="0012611D">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forintot fizettek ki, amely 14,3</w:t>
      </w:r>
      <w:r w:rsidR="0012611D">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forinttal volt alacsonyabb az előző évi teljesítésnél. Az</w:t>
      </w:r>
      <w:r w:rsidR="003C20B2">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 xml:space="preserve">eltérés elsősorban a Családi támogatások </w:t>
      </w:r>
      <w:r w:rsidR="00CE1DF7">
        <w:rPr>
          <w:rFonts w:ascii="Times New Roman" w:eastAsia="Times New Roman" w:hAnsi="Times New Roman" w:cs="Times New Roman"/>
          <w:sz w:val="26"/>
          <w:szCs w:val="26"/>
        </w:rPr>
        <w:t>alcímhez</w:t>
      </w:r>
      <w:r w:rsidRPr="7BF38582">
        <w:rPr>
          <w:rFonts w:ascii="Times New Roman" w:eastAsia="Times New Roman" w:hAnsi="Times New Roman" w:cs="Times New Roman"/>
          <w:sz w:val="26"/>
          <w:szCs w:val="26"/>
        </w:rPr>
        <w:t xml:space="preserve"> tartozó Életkezdési támogatás előirányzat kiadásai csökkenésének következménye, ami 12,7</w:t>
      </w:r>
      <w:r w:rsidR="00CE1DF7">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 xml:space="preserve">milliárd forinttal volt alacsonyabb </w:t>
      </w:r>
      <w:r w:rsidR="009A069E">
        <w:rPr>
          <w:rFonts w:ascii="Times New Roman" w:eastAsia="Times New Roman" w:hAnsi="Times New Roman" w:cs="Times New Roman"/>
          <w:sz w:val="26"/>
          <w:szCs w:val="26"/>
        </w:rPr>
        <w:t xml:space="preserve">az </w:t>
      </w:r>
      <w:r w:rsidRPr="7BF38582">
        <w:rPr>
          <w:rFonts w:ascii="Times New Roman" w:eastAsia="Times New Roman" w:hAnsi="Times New Roman" w:cs="Times New Roman"/>
          <w:sz w:val="26"/>
          <w:szCs w:val="26"/>
        </w:rPr>
        <w:t xml:space="preserve">előző év azonos időszakához képest. Ennek oka, hogy 2025-ben az életkezdési letéti számlákon nyilvántartott követelés összegére tekintettel fizetett kamat </w:t>
      </w:r>
      <w:r w:rsidRPr="7BF38582">
        <w:rPr>
          <w:rFonts w:ascii="Times New Roman" w:eastAsia="Times New Roman" w:hAnsi="Times New Roman" w:cs="Times New Roman"/>
          <w:sz w:val="26"/>
          <w:szCs w:val="26"/>
        </w:rPr>
        <w:lastRenderedPageBreak/>
        <w:t>mértéke 3,7% volt (a 2024.</w:t>
      </w:r>
      <w:r w:rsidR="00CE1DF7">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évi infláció mértékének megfelelően), ami jelentősen alacsonyabb a 2024-ben fizetett kamat mértékénél (17,6%).</w:t>
      </w:r>
    </w:p>
    <w:p w14:paraId="5EBD8D1A" w14:textId="5478346B" w:rsidR="263C3F53" w:rsidRDefault="7BF38582" w:rsidP="00A0268E">
      <w:pPr>
        <w:jc w:val="both"/>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korhatár alatti ellátások</w:t>
      </w:r>
      <w:r w:rsidRPr="7BF38582">
        <w:rPr>
          <w:rFonts w:ascii="Times New Roman" w:eastAsia="Times New Roman" w:hAnsi="Times New Roman" w:cs="Times New Roman"/>
          <w:sz w:val="26"/>
          <w:szCs w:val="26"/>
        </w:rPr>
        <w:t xml:space="preserve"> esetében a kiadás 3,2</w:t>
      </w:r>
      <w:r w:rsidR="00CE1DF7">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forinttal alacsonyabb volt az előző év azonos időszakához képest. A csökkenést az okozza, hogy a jogosultak elérik az öregségi nyugdíjkorhatárt, és nyugellátásra válnak jogosulttá, létszámuk folyamatosan csökken. Januárban sor került az ellátások 3,2%-os emelésére is, valamint a 13. havi nyugdíjhoz hasonlóan februárban a korhatár előtti ellátásban részesülő személyek is részesültek 13. havi ellátásban.</w:t>
      </w:r>
    </w:p>
    <w:p w14:paraId="0F1862E6" w14:textId="1BCBBC39" w:rsidR="263C3F53" w:rsidRDefault="7BF38582" w:rsidP="00A0268E">
      <w:pPr>
        <w:jc w:val="both"/>
      </w:pPr>
      <w:r w:rsidRPr="7BF38582">
        <w:rPr>
          <w:rFonts w:ascii="Times New Roman" w:eastAsia="Times New Roman" w:hAnsi="Times New Roman" w:cs="Times New Roman"/>
          <w:sz w:val="26"/>
          <w:szCs w:val="26"/>
        </w:rPr>
        <w:t xml:space="preserve">2025 júliusáig a </w:t>
      </w:r>
      <w:r w:rsidRPr="00CE1DF7">
        <w:rPr>
          <w:rFonts w:ascii="Times New Roman" w:eastAsia="Times New Roman" w:hAnsi="Times New Roman" w:cs="Times New Roman"/>
          <w:b/>
          <w:bCs/>
          <w:sz w:val="26"/>
          <w:szCs w:val="26"/>
        </w:rPr>
        <w:t>jövedelempótló és jövedelemkiegészítő szociális támogatásokra biztosított kiadásokon</w:t>
      </w:r>
      <w:r w:rsidRPr="7BF38582">
        <w:rPr>
          <w:rFonts w:ascii="Times New Roman" w:eastAsia="Times New Roman" w:hAnsi="Times New Roman" w:cs="Times New Roman"/>
          <w:sz w:val="26"/>
          <w:szCs w:val="26"/>
        </w:rPr>
        <w:t xml:space="preserve"> belül a </w:t>
      </w:r>
      <w:r w:rsidRPr="00CE1DF7">
        <w:rPr>
          <w:rFonts w:ascii="Times New Roman" w:eastAsia="Times New Roman" w:hAnsi="Times New Roman" w:cs="Times New Roman"/>
          <w:sz w:val="26"/>
          <w:szCs w:val="26"/>
        </w:rPr>
        <w:t>járási szociális feladatok</w:t>
      </w:r>
      <w:r w:rsidRPr="7BF38582">
        <w:rPr>
          <w:rFonts w:ascii="Times New Roman" w:eastAsia="Times New Roman" w:hAnsi="Times New Roman" w:cs="Times New Roman"/>
          <w:sz w:val="26"/>
          <w:szCs w:val="26"/>
        </w:rPr>
        <w:t xml:space="preserve"> ellátására (gyermekek otthongondozási díja, ápolási díj, időskorúak járadéka, foglalkoztatást helyettesítő támogatás, egészségkárosodási és gyermekfelügyeleti támogatás) 88,7</w:t>
      </w:r>
      <w:r w:rsidR="00C97255">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forintot fordítottak, mely 12,6</w:t>
      </w:r>
      <w:r w:rsidR="00C97255">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forinttal magasabb az előző évi adatnál. A növekedést elsődlegesen az okozza, hogy 2025.</w:t>
      </w:r>
      <w:r w:rsidR="00CE1DF7">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januártól a gyermekek otthongondozási díjának összege a minimálbér emelkedése miatt (266</w:t>
      </w:r>
      <w:r w:rsidR="00C97255">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800 forintról 290</w:t>
      </w:r>
      <w:r w:rsidR="00C97255">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800 forintra) emelkedett, az ápolási díj összege pedig 3,2%-kal nőtt, és folyamatosan emelkedik a gyermekek otthongondozási díjára jogosultak létszáma is.</w:t>
      </w:r>
    </w:p>
    <w:p w14:paraId="650A4FCE" w14:textId="10DBAF3C" w:rsidR="263C3F53" w:rsidRDefault="7BF38582" w:rsidP="00A0268E">
      <w:pPr>
        <w:jc w:val="both"/>
      </w:pPr>
      <w:r w:rsidRPr="7BF38582">
        <w:rPr>
          <w:rFonts w:ascii="Times New Roman" w:eastAsia="Times New Roman" w:hAnsi="Times New Roman" w:cs="Times New Roman"/>
          <w:sz w:val="26"/>
          <w:szCs w:val="26"/>
        </w:rPr>
        <w:t xml:space="preserve">A </w:t>
      </w:r>
      <w:r w:rsidRPr="00CE1DF7">
        <w:rPr>
          <w:rFonts w:ascii="Times New Roman" w:eastAsia="Times New Roman" w:hAnsi="Times New Roman" w:cs="Times New Roman"/>
          <w:sz w:val="26"/>
          <w:szCs w:val="26"/>
        </w:rPr>
        <w:t>Jövedelempótló és jövedelemkiegészítő ellátások</w:t>
      </w:r>
      <w:r w:rsidRPr="7BF38582">
        <w:rPr>
          <w:rFonts w:ascii="Times New Roman" w:eastAsia="Times New Roman" w:hAnsi="Times New Roman" w:cs="Times New Roman"/>
          <w:sz w:val="26"/>
          <w:szCs w:val="26"/>
        </w:rPr>
        <w:t xml:space="preserve"> előirányzat tartalmazza a</w:t>
      </w:r>
      <w:r w:rsidR="00C97255">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fogyatékossági támogatás, a vakok személyi járadéka, az átmeneti bányászjáradék és számos további, jellemzően kifutó jellegű ellátás (pl. mezőgazdasági járadék, politikai rehabilitációs és más nyugdíj-kiegészítések, házastársi pótlék) forrását. A jövedelempótló és jövedelemkiegészítő ellátásokra 48,8</w:t>
      </w:r>
      <w:r w:rsidR="00CE1DF7">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forintot fizettek ki, mely az előző évi kifizetésnél 0,3</w:t>
      </w:r>
      <w:r w:rsidR="00CE1DF7">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forinttal magasabb. A kiadások növekedését egyes ellátások januárban végrehajtott 3,2%-os emelésének, valamint a 2025. februárjában kifizetett 13.</w:t>
      </w:r>
      <w:r w:rsidR="00C97255">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havi ellátásnak a hatása okozza, amit a jogosultak létszámának csökkenése részben ellensúlyoz.</w:t>
      </w:r>
    </w:p>
    <w:p w14:paraId="5D542D67" w14:textId="4951F19F" w:rsidR="263C3F53" w:rsidRDefault="7BF38582" w:rsidP="00A0268E">
      <w:pPr>
        <w:jc w:val="both"/>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különféle jogcímen adott térítések</w:t>
      </w:r>
      <w:r w:rsidRPr="7BF38582">
        <w:rPr>
          <w:rFonts w:ascii="Times New Roman" w:eastAsia="Times New Roman" w:hAnsi="Times New Roman" w:cs="Times New Roman"/>
          <w:sz w:val="26"/>
          <w:szCs w:val="26"/>
        </w:rPr>
        <w:t xml:space="preserve"> 2025</w:t>
      </w:r>
      <w:r w:rsidR="00CE1DF7">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júliusi összege 0,</w:t>
      </w:r>
      <w:r w:rsidR="00313E8A">
        <w:rPr>
          <w:rFonts w:ascii="Times New Roman" w:eastAsia="Times New Roman" w:hAnsi="Times New Roman" w:cs="Times New Roman"/>
          <w:sz w:val="26"/>
          <w:szCs w:val="26"/>
        </w:rPr>
        <w:t>4</w:t>
      </w:r>
      <w:r w:rsidR="00CE1DF7">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forinttal alacsonyabb volt, mint az előző év azonos időszakában. A térítéseken belül a legnagyobb összeget, 8,4</w:t>
      </w:r>
      <w:r w:rsidR="00CE1DF7">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forintot a közgyógyellátásra fizették ki.</w:t>
      </w:r>
    </w:p>
    <w:p w14:paraId="2BBDBEB3" w14:textId="54B2C14E" w:rsidR="0032261D" w:rsidRPr="005C3ECD" w:rsidRDefault="75809766" w:rsidP="00A0268E">
      <w:pPr>
        <w:pStyle w:val="NormlWeb"/>
        <w:spacing w:before="0" w:beforeAutospacing="0" w:after="160" w:afterAutospacing="0" w:line="259" w:lineRule="auto"/>
        <w:jc w:val="both"/>
        <w:rPr>
          <w:sz w:val="26"/>
          <w:szCs w:val="26"/>
        </w:rPr>
      </w:pPr>
      <w:r w:rsidRPr="75809766">
        <w:rPr>
          <w:sz w:val="26"/>
          <w:szCs w:val="26"/>
        </w:rPr>
        <w:t xml:space="preserve">A </w:t>
      </w:r>
      <w:r w:rsidRPr="75809766">
        <w:rPr>
          <w:b/>
          <w:bCs/>
          <w:sz w:val="26"/>
          <w:szCs w:val="26"/>
        </w:rPr>
        <w:t>babaváró támogatásokra</w:t>
      </w:r>
      <w:r w:rsidRPr="75809766">
        <w:rPr>
          <w:sz w:val="26"/>
          <w:szCs w:val="26"/>
        </w:rPr>
        <w:t xml:space="preserve"> fordított kiadások összege július végéig 135,8 milliárd forintot tett ki, amely a törvényi előirányzat 54,0%-ának felel meg, és a 2024. év azonos időszakához viszonyítva 16,</w:t>
      </w:r>
      <w:r w:rsidR="004E7487">
        <w:rPr>
          <w:sz w:val="26"/>
          <w:szCs w:val="26"/>
        </w:rPr>
        <w:t>2</w:t>
      </w:r>
      <w:r w:rsidRPr="75809766">
        <w:rPr>
          <w:sz w:val="26"/>
          <w:szCs w:val="26"/>
        </w:rPr>
        <w:t> milliárd forinttal teljesült magasabban.</w:t>
      </w:r>
    </w:p>
    <w:p w14:paraId="31F9568C" w14:textId="0D2C2553" w:rsidR="00A31F84" w:rsidRDefault="7BF38582" w:rsidP="00A0268E">
      <w:pPr>
        <w:pStyle w:val="NormlWeb"/>
        <w:spacing w:before="0" w:beforeAutospacing="0" w:after="160" w:afterAutospacing="0" w:line="259" w:lineRule="auto"/>
        <w:jc w:val="both"/>
        <w:rPr>
          <w:sz w:val="26"/>
          <w:szCs w:val="26"/>
        </w:rPr>
      </w:pPr>
      <w:bookmarkStart w:id="1" w:name="_Hlk202786542"/>
      <w:r w:rsidRPr="7BF38582">
        <w:rPr>
          <w:sz w:val="26"/>
          <w:szCs w:val="26"/>
        </w:rPr>
        <w:t xml:space="preserve">A </w:t>
      </w:r>
      <w:r w:rsidRPr="7BF38582">
        <w:rPr>
          <w:b/>
          <w:bCs/>
          <w:sz w:val="26"/>
          <w:szCs w:val="26"/>
        </w:rPr>
        <w:t>helyi önkormányzatok</w:t>
      </w:r>
      <w:r w:rsidRPr="7BF38582">
        <w:rPr>
          <w:sz w:val="26"/>
          <w:szCs w:val="26"/>
        </w:rPr>
        <w:t xml:space="preserve"> 2025. évi feladataihoz a hatályos költségvetési törvény alapján </w:t>
      </w:r>
      <w:r w:rsidR="13E847AC">
        <w:br/>
      </w:r>
      <w:r w:rsidRPr="7BF38582">
        <w:rPr>
          <w:sz w:val="26"/>
          <w:szCs w:val="26"/>
        </w:rPr>
        <w:t>1305,7 milliárd forint állami támogatás került megállapításra. A július havi tényadat alapján 810,6 milliárd forint kifizetés történt. Az előző év azonos időszakához viszonyított 79,4 milliárd</w:t>
      </w:r>
      <w:r w:rsidR="00CE1DF7">
        <w:rPr>
          <w:sz w:val="26"/>
          <w:szCs w:val="26"/>
        </w:rPr>
        <w:t> </w:t>
      </w:r>
      <w:r w:rsidRPr="7BF38582">
        <w:rPr>
          <w:sz w:val="26"/>
          <w:szCs w:val="26"/>
        </w:rPr>
        <w:t>forint (10,9%-os) növekedés a tanárok és polgármesterek béremeléséből, valamint a szociális ágazat idei előirányzatának törvényi emeléséből fakad. A jelentősebb tételek alakulását a következő táblázat mutatja:</w:t>
      </w:r>
    </w:p>
    <w:p w14:paraId="5FD13206" w14:textId="77777777" w:rsidR="00A966B1" w:rsidRDefault="00A966B1" w:rsidP="002C6F14">
      <w:pPr>
        <w:pStyle w:val="NormlWeb"/>
        <w:spacing w:before="0" w:beforeAutospacing="0" w:after="160" w:afterAutospacing="0" w:line="259" w:lineRule="auto"/>
        <w:jc w:val="both"/>
        <w:rPr>
          <w:sz w:val="26"/>
          <w:szCs w:val="26"/>
        </w:rPr>
      </w:pPr>
    </w:p>
    <w:p w14:paraId="75EFF307" w14:textId="77777777" w:rsidR="00A966B1" w:rsidRDefault="00A966B1" w:rsidP="002C6F14">
      <w:pPr>
        <w:pStyle w:val="NormlWeb"/>
        <w:spacing w:before="0" w:beforeAutospacing="0" w:after="160" w:afterAutospacing="0" w:line="259" w:lineRule="auto"/>
        <w:jc w:val="both"/>
        <w:rPr>
          <w:sz w:val="26"/>
          <w:szCs w:val="26"/>
        </w:rPr>
      </w:pPr>
    </w:p>
    <w:p w14:paraId="2723D8B3" w14:textId="34B7D713" w:rsidR="00C24948" w:rsidRPr="00B32682" w:rsidRDefault="7BF38582" w:rsidP="7BF38582">
      <w:pPr>
        <w:pStyle w:val="NormlWeb"/>
        <w:spacing w:before="0" w:beforeAutospacing="0" w:after="160" w:afterAutospacing="0" w:line="259" w:lineRule="auto"/>
        <w:jc w:val="center"/>
      </w:pPr>
      <w:r w:rsidRPr="0051029C">
        <w:rPr>
          <w:b/>
          <w:bCs/>
        </w:rPr>
        <w:lastRenderedPageBreak/>
        <w:t>A helyi önkormányzatok támogatásának alakulása (milliárd forint)</w:t>
      </w:r>
    </w:p>
    <w:tbl>
      <w:tblPr>
        <w:tblpPr w:leftFromText="141" w:rightFromText="141" w:vertAnchor="text" w:horzAnchor="margin" w:tblpY="20"/>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196"/>
        <w:gridCol w:w="992"/>
        <w:gridCol w:w="850"/>
        <w:gridCol w:w="851"/>
      </w:tblGrid>
      <w:tr w:rsidR="00081A16" w:rsidRPr="00377D59" w14:paraId="6741B982" w14:textId="77777777" w:rsidTr="75809766">
        <w:trPr>
          <w:trHeight w:val="340"/>
        </w:trPr>
        <w:tc>
          <w:tcPr>
            <w:tcW w:w="5382" w:type="dxa"/>
            <w:vMerge w:val="restart"/>
            <w:shd w:val="clear" w:color="auto" w:fill="BDD6EE" w:themeFill="accent1" w:themeFillTint="66"/>
            <w:noWrap/>
            <w:vAlign w:val="center"/>
            <w:hideMark/>
          </w:tcPr>
          <w:p w14:paraId="07514BAA" w14:textId="77777777" w:rsidR="00081A16" w:rsidRPr="00DD7FD1" w:rsidRDefault="7BF38582" w:rsidP="7BF38582">
            <w:pPr>
              <w:keepNext/>
              <w:keepLines/>
              <w:spacing w:after="0" w:line="240" w:lineRule="auto"/>
              <w:jc w:val="center"/>
              <w:rPr>
                <w:rFonts w:ascii="Times New Roman" w:eastAsia="Times New Roman" w:hAnsi="Times New Roman" w:cs="Times New Roman"/>
                <w:b/>
                <w:bCs/>
                <w:lang w:eastAsia="hu-HU"/>
              </w:rPr>
            </w:pPr>
            <w:r w:rsidRPr="7BF38582">
              <w:rPr>
                <w:rFonts w:ascii="Times New Roman" w:eastAsia="Times New Roman" w:hAnsi="Times New Roman" w:cs="Times New Roman"/>
                <w:b/>
                <w:bCs/>
                <w:lang w:eastAsia="hu-HU"/>
              </w:rPr>
              <w:t>Megnevezés</w:t>
            </w:r>
          </w:p>
        </w:tc>
        <w:tc>
          <w:tcPr>
            <w:tcW w:w="1196" w:type="dxa"/>
            <w:vMerge w:val="restart"/>
            <w:shd w:val="clear" w:color="auto" w:fill="BDD6EE" w:themeFill="accent1" w:themeFillTint="66"/>
            <w:vAlign w:val="center"/>
            <w:hideMark/>
          </w:tcPr>
          <w:p w14:paraId="5DC080D6" w14:textId="2969DEE9" w:rsidR="00081A16" w:rsidRPr="00DD7FD1" w:rsidRDefault="7BF38582" w:rsidP="7BF38582">
            <w:pPr>
              <w:spacing w:after="0" w:line="240" w:lineRule="auto"/>
              <w:jc w:val="center"/>
              <w:rPr>
                <w:rFonts w:ascii="Times New Roman" w:eastAsia="Times New Roman" w:hAnsi="Times New Roman" w:cs="Times New Roman"/>
                <w:b/>
                <w:bCs/>
                <w:lang w:eastAsia="hu-HU"/>
              </w:rPr>
            </w:pPr>
            <w:r w:rsidRPr="7BF38582">
              <w:rPr>
                <w:rFonts w:ascii="Times New Roman" w:eastAsia="Times New Roman" w:hAnsi="Times New Roman" w:cs="Times New Roman"/>
                <w:b/>
                <w:bCs/>
                <w:lang w:eastAsia="hu-HU"/>
              </w:rPr>
              <w:t xml:space="preserve">2024. </w:t>
            </w:r>
            <w:r w:rsidR="13E847AC">
              <w:br/>
            </w:r>
            <w:r w:rsidRPr="7BF38582">
              <w:rPr>
                <w:rFonts w:ascii="Times New Roman" w:hAnsi="Times New Roman" w:cs="Times New Roman"/>
                <w:b/>
                <w:bCs/>
              </w:rPr>
              <w:t>I-VII. hó</w:t>
            </w:r>
          </w:p>
        </w:tc>
        <w:tc>
          <w:tcPr>
            <w:tcW w:w="992" w:type="dxa"/>
            <w:vMerge w:val="restart"/>
            <w:shd w:val="clear" w:color="auto" w:fill="BDD6EE" w:themeFill="accent1" w:themeFillTint="66"/>
            <w:vAlign w:val="center"/>
            <w:hideMark/>
          </w:tcPr>
          <w:p w14:paraId="626AC8BC" w14:textId="5D9968FC" w:rsidR="00081A16" w:rsidRPr="00DD7FD1" w:rsidRDefault="7BF38582" w:rsidP="7BF38582">
            <w:pPr>
              <w:spacing w:after="0" w:line="240" w:lineRule="auto"/>
              <w:jc w:val="center"/>
              <w:rPr>
                <w:rFonts w:ascii="Times New Roman" w:eastAsia="Times New Roman" w:hAnsi="Times New Roman" w:cs="Times New Roman"/>
                <w:b/>
                <w:bCs/>
                <w:lang w:eastAsia="hu-HU"/>
              </w:rPr>
            </w:pPr>
            <w:r w:rsidRPr="7BF38582">
              <w:rPr>
                <w:rFonts w:ascii="Times New Roman" w:eastAsia="Times New Roman" w:hAnsi="Times New Roman" w:cs="Times New Roman"/>
                <w:b/>
                <w:bCs/>
                <w:lang w:eastAsia="hu-HU"/>
              </w:rPr>
              <w:t xml:space="preserve">2025. </w:t>
            </w:r>
            <w:r w:rsidR="13E847AC">
              <w:br/>
            </w:r>
            <w:r w:rsidRPr="7BF38582">
              <w:rPr>
                <w:rFonts w:ascii="Times New Roman" w:hAnsi="Times New Roman" w:cs="Times New Roman"/>
                <w:b/>
                <w:bCs/>
              </w:rPr>
              <w:t>I-VII. hó</w:t>
            </w:r>
          </w:p>
        </w:tc>
        <w:tc>
          <w:tcPr>
            <w:tcW w:w="1701" w:type="dxa"/>
            <w:gridSpan w:val="2"/>
            <w:shd w:val="clear" w:color="auto" w:fill="BDD6EE" w:themeFill="accent1" w:themeFillTint="66"/>
            <w:noWrap/>
            <w:vAlign w:val="center"/>
            <w:hideMark/>
          </w:tcPr>
          <w:p w14:paraId="35A3C823" w14:textId="77777777" w:rsidR="00081A16" w:rsidRPr="00DD7FD1" w:rsidRDefault="7BF38582" w:rsidP="7BF38582">
            <w:pPr>
              <w:keepNext/>
              <w:keepLines/>
              <w:spacing w:after="0" w:line="240" w:lineRule="auto"/>
              <w:jc w:val="center"/>
              <w:rPr>
                <w:rFonts w:ascii="Times New Roman" w:eastAsia="Times New Roman" w:hAnsi="Times New Roman" w:cs="Times New Roman"/>
                <w:b/>
                <w:bCs/>
                <w:lang w:eastAsia="hu-HU"/>
              </w:rPr>
            </w:pPr>
            <w:r w:rsidRPr="7BF38582">
              <w:rPr>
                <w:rFonts w:ascii="Times New Roman" w:eastAsia="Times New Roman" w:hAnsi="Times New Roman" w:cs="Times New Roman"/>
                <w:b/>
                <w:bCs/>
                <w:lang w:eastAsia="hu-HU"/>
              </w:rPr>
              <w:t>Eltérés</w:t>
            </w:r>
          </w:p>
        </w:tc>
      </w:tr>
      <w:tr w:rsidR="00C24948" w:rsidRPr="00377D59" w14:paraId="2DD9A798" w14:textId="77777777" w:rsidTr="75809766">
        <w:trPr>
          <w:trHeight w:val="340"/>
        </w:trPr>
        <w:tc>
          <w:tcPr>
            <w:tcW w:w="5382" w:type="dxa"/>
            <w:vMerge/>
            <w:shd w:val="clear" w:color="auto" w:fill="BDD6EE" w:themeFill="accent1" w:themeFillTint="66"/>
            <w:vAlign w:val="center"/>
            <w:hideMark/>
          </w:tcPr>
          <w:p w14:paraId="5F76A56A" w14:textId="77777777" w:rsidR="00C24948" w:rsidRPr="00DD7FD1" w:rsidRDefault="00C24948" w:rsidP="00C24948">
            <w:pPr>
              <w:keepNext/>
              <w:keepLines/>
              <w:spacing w:after="0" w:line="240" w:lineRule="auto"/>
              <w:rPr>
                <w:rFonts w:ascii="Times New Roman" w:eastAsia="Times New Roman" w:hAnsi="Times New Roman" w:cs="Times New Roman"/>
                <w:b/>
                <w:bCs/>
                <w:lang w:eastAsia="hu-HU"/>
              </w:rPr>
            </w:pPr>
          </w:p>
        </w:tc>
        <w:tc>
          <w:tcPr>
            <w:tcW w:w="1196" w:type="dxa"/>
            <w:vMerge/>
            <w:tcBorders>
              <w:bottom w:val="single" w:sz="4" w:space="0" w:color="auto"/>
            </w:tcBorders>
            <w:shd w:val="clear" w:color="auto" w:fill="BDD6EE" w:themeFill="accent1" w:themeFillTint="66"/>
            <w:vAlign w:val="center"/>
            <w:hideMark/>
          </w:tcPr>
          <w:p w14:paraId="65B4B0A4"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992" w:type="dxa"/>
            <w:vMerge/>
            <w:tcBorders>
              <w:bottom w:val="single" w:sz="4" w:space="0" w:color="auto"/>
            </w:tcBorders>
            <w:shd w:val="clear" w:color="auto" w:fill="BDD6EE" w:themeFill="accent1" w:themeFillTint="66"/>
            <w:vAlign w:val="center"/>
            <w:hideMark/>
          </w:tcPr>
          <w:p w14:paraId="5FE97B50"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850" w:type="dxa"/>
            <w:tcBorders>
              <w:bottom w:val="single" w:sz="4" w:space="0" w:color="auto"/>
            </w:tcBorders>
            <w:shd w:val="clear" w:color="auto" w:fill="BDD6EE" w:themeFill="accent1" w:themeFillTint="66"/>
            <w:noWrap/>
            <w:vAlign w:val="center"/>
            <w:hideMark/>
          </w:tcPr>
          <w:p w14:paraId="1B2C8FF2" w14:textId="77777777" w:rsidR="00C24948" w:rsidRPr="00DD7FD1" w:rsidRDefault="7BF38582" w:rsidP="7BF38582">
            <w:pPr>
              <w:keepNext/>
              <w:keepLines/>
              <w:spacing w:after="0" w:line="240" w:lineRule="auto"/>
              <w:jc w:val="center"/>
              <w:rPr>
                <w:rFonts w:ascii="Times New Roman" w:eastAsia="Times New Roman" w:hAnsi="Times New Roman" w:cs="Times New Roman"/>
                <w:b/>
                <w:bCs/>
                <w:lang w:eastAsia="hu-HU"/>
              </w:rPr>
            </w:pPr>
            <w:r w:rsidRPr="7BF38582">
              <w:rPr>
                <w:rFonts w:ascii="Times New Roman" w:eastAsia="Times New Roman" w:hAnsi="Times New Roman" w:cs="Times New Roman"/>
                <w:b/>
                <w:bCs/>
                <w:lang w:eastAsia="hu-HU"/>
              </w:rPr>
              <w:t>Mrd Ft</w:t>
            </w:r>
          </w:p>
        </w:tc>
        <w:tc>
          <w:tcPr>
            <w:tcW w:w="851" w:type="dxa"/>
            <w:tcBorders>
              <w:bottom w:val="single" w:sz="4" w:space="0" w:color="auto"/>
            </w:tcBorders>
            <w:shd w:val="clear" w:color="auto" w:fill="BDD6EE" w:themeFill="accent1" w:themeFillTint="66"/>
            <w:noWrap/>
            <w:vAlign w:val="center"/>
            <w:hideMark/>
          </w:tcPr>
          <w:p w14:paraId="179AEF43" w14:textId="77777777" w:rsidR="00C24948" w:rsidRPr="00DD7FD1" w:rsidRDefault="7BF38582" w:rsidP="7BF38582">
            <w:pPr>
              <w:keepNext/>
              <w:keepLines/>
              <w:spacing w:after="0" w:line="240" w:lineRule="auto"/>
              <w:jc w:val="center"/>
              <w:rPr>
                <w:rFonts w:ascii="Times New Roman" w:eastAsia="Times New Roman" w:hAnsi="Times New Roman" w:cs="Times New Roman"/>
                <w:b/>
                <w:bCs/>
                <w:lang w:eastAsia="hu-HU"/>
              </w:rPr>
            </w:pPr>
            <w:r w:rsidRPr="7BF38582">
              <w:rPr>
                <w:rFonts w:ascii="Times New Roman" w:eastAsia="Times New Roman" w:hAnsi="Times New Roman" w:cs="Times New Roman"/>
                <w:b/>
                <w:bCs/>
                <w:lang w:eastAsia="hu-HU"/>
              </w:rPr>
              <w:t>%</w:t>
            </w:r>
          </w:p>
        </w:tc>
      </w:tr>
      <w:tr w:rsidR="00D81D97" w:rsidRPr="00377D59" w14:paraId="5CF52B9C" w14:textId="77777777" w:rsidTr="003E634A">
        <w:trPr>
          <w:trHeight w:val="510"/>
        </w:trPr>
        <w:tc>
          <w:tcPr>
            <w:tcW w:w="5382" w:type="dxa"/>
            <w:shd w:val="clear" w:color="auto" w:fill="auto"/>
            <w:vAlign w:val="center"/>
            <w:hideMark/>
          </w:tcPr>
          <w:p w14:paraId="11FF4C49" w14:textId="77777777" w:rsidR="00D81D97" w:rsidRPr="00976E1E" w:rsidRDefault="7BF38582" w:rsidP="7BF38582">
            <w:pPr>
              <w:keepNext/>
              <w:keepLines/>
              <w:spacing w:after="0" w:line="240" w:lineRule="auto"/>
              <w:rPr>
                <w:rFonts w:ascii="Times New Roman" w:eastAsia="Times New Roman" w:hAnsi="Times New Roman" w:cs="Times New Roman"/>
                <w:b/>
                <w:bCs/>
                <w:sz w:val="20"/>
                <w:szCs w:val="20"/>
                <w:lang w:eastAsia="hu-HU"/>
              </w:rPr>
            </w:pPr>
            <w:r w:rsidRPr="7BF38582">
              <w:rPr>
                <w:rFonts w:ascii="Times New Roman" w:eastAsia="Times New Roman" w:hAnsi="Times New Roman" w:cs="Times New Roman"/>
                <w:b/>
                <w:bCs/>
                <w:sz w:val="20"/>
                <w:szCs w:val="20"/>
                <w:lang w:eastAsia="hu-HU"/>
              </w:rPr>
              <w:t>A helyi önkormányzatok általános működésének és ágazati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0A1E4CBD" w14:textId="1F4A66D5"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667,5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9553" w14:textId="366912DF"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717,8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76081" w14:textId="12AF296E"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50,3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DF60E" w14:textId="5E585487"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107,5</w:t>
            </w:r>
          </w:p>
        </w:tc>
      </w:tr>
      <w:tr w:rsidR="00D81D97" w:rsidRPr="00377D59" w14:paraId="66D88640" w14:textId="77777777" w:rsidTr="003E634A">
        <w:trPr>
          <w:trHeight w:val="340"/>
        </w:trPr>
        <w:tc>
          <w:tcPr>
            <w:tcW w:w="5382" w:type="dxa"/>
            <w:shd w:val="clear" w:color="auto" w:fill="auto"/>
            <w:vAlign w:val="center"/>
            <w:hideMark/>
          </w:tcPr>
          <w:p w14:paraId="4496E62C" w14:textId="77777777" w:rsidR="00D81D97" w:rsidRPr="00976E1E" w:rsidRDefault="7BF38582" w:rsidP="7BF38582">
            <w:pPr>
              <w:keepNext/>
              <w:keepLines/>
              <w:spacing w:after="0" w:line="240" w:lineRule="auto"/>
              <w:rPr>
                <w:rFonts w:ascii="Times New Roman" w:eastAsia="Times New Roman" w:hAnsi="Times New Roman" w:cs="Times New Roman"/>
                <w:i/>
                <w:iCs/>
                <w:sz w:val="20"/>
                <w:szCs w:val="20"/>
                <w:lang w:eastAsia="hu-HU"/>
              </w:rPr>
            </w:pPr>
            <w:r w:rsidRPr="7BF38582">
              <w:rPr>
                <w:rFonts w:ascii="Times New Roman" w:eastAsia="Times New Roman" w:hAnsi="Times New Roman" w:cs="Times New Roman"/>
                <w:i/>
                <w:iCs/>
                <w:sz w:val="20"/>
                <w:szCs w:val="20"/>
                <w:lang w:eastAsia="hu-HU"/>
              </w:rPr>
              <w:t>A helyi önkormányzatok működésének általános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6C091267" w14:textId="5945F132"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187,6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3F341" w14:textId="041DFD96"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187,9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7C594" w14:textId="5166807D"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384BF" w14:textId="3EF523E7"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100,2</w:t>
            </w:r>
          </w:p>
        </w:tc>
      </w:tr>
      <w:tr w:rsidR="00D81D97" w:rsidRPr="00377D59" w14:paraId="644FC967" w14:textId="77777777" w:rsidTr="003E634A">
        <w:trPr>
          <w:trHeight w:val="510"/>
        </w:trPr>
        <w:tc>
          <w:tcPr>
            <w:tcW w:w="5382" w:type="dxa"/>
            <w:shd w:val="clear" w:color="auto" w:fill="auto"/>
            <w:vAlign w:val="center"/>
            <w:hideMark/>
          </w:tcPr>
          <w:p w14:paraId="1BA330A0" w14:textId="77777777" w:rsidR="00D81D97" w:rsidRPr="00976E1E" w:rsidRDefault="7BF38582" w:rsidP="7BF38582">
            <w:pPr>
              <w:keepNext/>
              <w:keepLines/>
              <w:spacing w:after="0" w:line="240" w:lineRule="auto"/>
              <w:rPr>
                <w:rFonts w:ascii="Times New Roman" w:eastAsia="Times New Roman" w:hAnsi="Times New Roman" w:cs="Times New Roman"/>
                <w:i/>
                <w:iCs/>
                <w:sz w:val="20"/>
                <w:szCs w:val="20"/>
                <w:lang w:eastAsia="hu-HU"/>
              </w:rPr>
            </w:pPr>
            <w:r w:rsidRPr="7BF38582">
              <w:rPr>
                <w:rFonts w:ascii="Times New Roman" w:eastAsia="Times New Roman" w:hAnsi="Times New Roman" w:cs="Times New Roman"/>
                <w:i/>
                <w:iCs/>
                <w:sz w:val="20"/>
                <w:szCs w:val="20"/>
                <w:lang w:eastAsia="hu-HU"/>
              </w:rPr>
              <w:t>A települési önkormányzatok egyes köznevelési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5E8D28C3" w14:textId="09F7C178"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212,2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1BB58" w14:textId="3D2777C0"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240,5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D1E80" w14:textId="140D4E84"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28,3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7CDD1" w14:textId="0BF4D1F9"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113,3</w:t>
            </w:r>
          </w:p>
        </w:tc>
      </w:tr>
      <w:tr w:rsidR="00D81D97" w:rsidRPr="00377D59" w14:paraId="11F06AEB" w14:textId="77777777" w:rsidTr="003E634A">
        <w:trPr>
          <w:trHeight w:val="510"/>
        </w:trPr>
        <w:tc>
          <w:tcPr>
            <w:tcW w:w="5382" w:type="dxa"/>
            <w:shd w:val="clear" w:color="auto" w:fill="auto"/>
            <w:vAlign w:val="center"/>
            <w:hideMark/>
          </w:tcPr>
          <w:p w14:paraId="63EE65A2" w14:textId="77777777" w:rsidR="00D81D97" w:rsidRPr="00976E1E" w:rsidRDefault="7BF38582" w:rsidP="7BF38582">
            <w:pPr>
              <w:keepNext/>
              <w:keepLines/>
              <w:spacing w:after="0" w:line="240" w:lineRule="auto"/>
              <w:rPr>
                <w:rFonts w:ascii="Times New Roman" w:eastAsia="Times New Roman" w:hAnsi="Times New Roman" w:cs="Times New Roman"/>
                <w:i/>
                <w:iCs/>
                <w:sz w:val="20"/>
                <w:szCs w:val="20"/>
                <w:lang w:eastAsia="hu-HU"/>
              </w:rPr>
            </w:pPr>
            <w:r w:rsidRPr="7BF38582">
              <w:rPr>
                <w:rFonts w:ascii="Times New Roman" w:eastAsia="Times New Roman" w:hAnsi="Times New Roman" w:cs="Times New Roman"/>
                <w:i/>
                <w:iCs/>
                <w:sz w:val="20"/>
                <w:szCs w:val="20"/>
                <w:lang w:eastAsia="hu-HU"/>
              </w:rPr>
              <w:t>A települési önkormányzatok egyes szociális, gyermekjóléti és gyermekétkeztetési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BBDE34C" w14:textId="781F4055"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254,2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5C695" w14:textId="654722B8"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275,9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01228" w14:textId="6486630E"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53BB5" w14:textId="2EC7F9D9"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108,5</w:t>
            </w:r>
          </w:p>
        </w:tc>
      </w:tr>
      <w:tr w:rsidR="00D81D97" w:rsidRPr="00377D59" w14:paraId="1FC403F4" w14:textId="77777777" w:rsidTr="003E634A">
        <w:trPr>
          <w:trHeight w:val="340"/>
        </w:trPr>
        <w:tc>
          <w:tcPr>
            <w:tcW w:w="5382" w:type="dxa"/>
            <w:shd w:val="clear" w:color="auto" w:fill="auto"/>
            <w:vAlign w:val="center"/>
            <w:hideMark/>
          </w:tcPr>
          <w:p w14:paraId="4F427CE2" w14:textId="77777777" w:rsidR="00D81D97" w:rsidRPr="00976E1E" w:rsidRDefault="7BF38582" w:rsidP="7BF38582">
            <w:pPr>
              <w:keepNext/>
              <w:keepLines/>
              <w:spacing w:after="0" w:line="240" w:lineRule="auto"/>
              <w:rPr>
                <w:rFonts w:ascii="Times New Roman" w:eastAsia="Times New Roman" w:hAnsi="Times New Roman" w:cs="Times New Roman"/>
                <w:i/>
                <w:iCs/>
                <w:sz w:val="20"/>
                <w:szCs w:val="20"/>
                <w:lang w:eastAsia="hu-HU"/>
              </w:rPr>
            </w:pPr>
            <w:r w:rsidRPr="7BF38582">
              <w:rPr>
                <w:rFonts w:ascii="Times New Roman" w:eastAsia="Times New Roman" w:hAnsi="Times New Roman" w:cs="Times New Roman"/>
                <w:i/>
                <w:iCs/>
                <w:sz w:val="20"/>
                <w:szCs w:val="20"/>
                <w:lang w:eastAsia="hu-HU"/>
              </w:rPr>
              <w:t>A települési önkormányzatok kulturális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4BDB6D4" w14:textId="5BC93B04"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13,5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BBCDB" w14:textId="17C5C473"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13,5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8EF3A" w14:textId="6C3923F5" w:rsidR="00D81D97" w:rsidRPr="00D81D97" w:rsidRDefault="0051029C" w:rsidP="75809766">
            <w:pPr>
              <w:keepNext/>
              <w:keepLines/>
              <w:spacing w:after="0" w:line="240" w:lineRule="auto"/>
              <w:jc w:val="right"/>
              <w:rPr>
                <w:rFonts w:ascii="Times New Roman" w:eastAsia="Times New Roman" w:hAnsi="Times New Roman" w:cs="Times New Roman"/>
                <w:i/>
                <w:iCs/>
                <w:sz w:val="20"/>
                <w:szCs w:val="20"/>
                <w:lang w:eastAsia="hu-HU"/>
              </w:rPr>
            </w:pPr>
            <w:r>
              <w:rPr>
                <w:rFonts w:ascii="Times New Roman" w:hAnsi="Times New Roman" w:cs="Times New Roman"/>
                <w:i/>
                <w:iCs/>
              </w:rPr>
              <w:t>0,</w:t>
            </w:r>
            <w:r w:rsidR="75809766" w:rsidRPr="75809766">
              <w:rPr>
                <w:rFonts w:ascii="Times New Roman" w:hAnsi="Times New Roman" w:cs="Times New Roman"/>
                <w:i/>
                <w:iCs/>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83D2" w14:textId="0FB13C0F" w:rsidR="00D81D97" w:rsidRPr="00D81D97" w:rsidRDefault="75809766" w:rsidP="75809766">
            <w:pPr>
              <w:keepNext/>
              <w:keepLines/>
              <w:spacing w:after="0" w:line="240" w:lineRule="auto"/>
              <w:jc w:val="right"/>
              <w:rPr>
                <w:rFonts w:ascii="Times New Roman" w:eastAsia="Times New Roman" w:hAnsi="Times New Roman" w:cs="Times New Roman"/>
                <w:i/>
                <w:iCs/>
                <w:sz w:val="20"/>
                <w:szCs w:val="20"/>
                <w:lang w:eastAsia="hu-HU"/>
              </w:rPr>
            </w:pPr>
            <w:r w:rsidRPr="75809766">
              <w:rPr>
                <w:rFonts w:ascii="Times New Roman" w:hAnsi="Times New Roman" w:cs="Times New Roman"/>
                <w:i/>
                <w:iCs/>
              </w:rPr>
              <w:t>100,0</w:t>
            </w:r>
          </w:p>
        </w:tc>
      </w:tr>
      <w:tr w:rsidR="00D81D97" w:rsidRPr="00377D59" w14:paraId="44EF96BF" w14:textId="77777777" w:rsidTr="003E634A">
        <w:trPr>
          <w:trHeight w:val="340"/>
        </w:trPr>
        <w:tc>
          <w:tcPr>
            <w:tcW w:w="5382" w:type="dxa"/>
            <w:shd w:val="clear" w:color="auto" w:fill="auto"/>
            <w:vAlign w:val="center"/>
            <w:hideMark/>
          </w:tcPr>
          <w:p w14:paraId="3DD87A70" w14:textId="766307B5" w:rsidR="00D81D97" w:rsidRPr="00976E1E" w:rsidRDefault="7BF38582" w:rsidP="7BF38582">
            <w:pPr>
              <w:keepNext/>
              <w:keepLines/>
              <w:spacing w:after="0" w:line="240" w:lineRule="auto"/>
              <w:rPr>
                <w:rFonts w:ascii="Times New Roman" w:eastAsia="Times New Roman" w:hAnsi="Times New Roman" w:cs="Times New Roman"/>
                <w:b/>
                <w:bCs/>
                <w:sz w:val="20"/>
                <w:szCs w:val="20"/>
                <w:lang w:eastAsia="hu-HU"/>
              </w:rPr>
            </w:pPr>
            <w:r w:rsidRPr="7BF38582">
              <w:rPr>
                <w:rFonts w:ascii="Times New Roman" w:eastAsia="Times New Roman" w:hAnsi="Times New Roman" w:cs="Times New Roman"/>
                <w:b/>
                <w:bCs/>
                <w:sz w:val="20"/>
                <w:szCs w:val="20"/>
                <w:lang w:eastAsia="hu-HU"/>
              </w:rPr>
              <w:t>Helyi önkormányzatok kiegészítő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34DDE983" w14:textId="16B95EE0"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423BA" w14:textId="3046995D"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87,9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B67F0" w14:textId="1A277CAA"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33,0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F6C6E" w14:textId="563FC3B1"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160,1</w:t>
            </w:r>
          </w:p>
        </w:tc>
      </w:tr>
      <w:tr w:rsidR="00D81D97" w:rsidRPr="00377D59" w14:paraId="648C3F54" w14:textId="77777777" w:rsidTr="003E634A">
        <w:trPr>
          <w:trHeight w:val="340"/>
        </w:trPr>
        <w:tc>
          <w:tcPr>
            <w:tcW w:w="5382" w:type="dxa"/>
            <w:shd w:val="clear" w:color="auto" w:fill="auto"/>
            <w:vAlign w:val="center"/>
            <w:hideMark/>
          </w:tcPr>
          <w:p w14:paraId="3676EE9C" w14:textId="4925EF27" w:rsidR="00D81D97" w:rsidRPr="00976E1E" w:rsidRDefault="7BF38582" w:rsidP="7BF38582">
            <w:pPr>
              <w:keepNext/>
              <w:keepLines/>
              <w:spacing w:after="0" w:line="240" w:lineRule="auto"/>
              <w:rPr>
                <w:rFonts w:ascii="Times New Roman" w:eastAsia="Times New Roman" w:hAnsi="Times New Roman" w:cs="Times New Roman"/>
                <w:b/>
                <w:bCs/>
                <w:sz w:val="20"/>
                <w:szCs w:val="20"/>
                <w:lang w:eastAsia="hu-HU"/>
              </w:rPr>
            </w:pPr>
            <w:r w:rsidRPr="7BF38582">
              <w:rPr>
                <w:rFonts w:ascii="Times New Roman" w:eastAsia="Times New Roman" w:hAnsi="Times New Roman" w:cs="Times New Roman"/>
                <w:b/>
                <w:bCs/>
                <w:sz w:val="20"/>
                <w:szCs w:val="20"/>
                <w:lang w:eastAsia="hu-HU"/>
              </w:rPr>
              <w:t>Év közben létrejött új jogcímek kiadásai</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0BACAC9E" w14:textId="1AA11AFE"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6E9FC" w14:textId="44B492FD"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B586A" w14:textId="37DA70DE"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BBBB0" w14:textId="013EB1D4"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55,7</w:t>
            </w:r>
          </w:p>
        </w:tc>
      </w:tr>
      <w:tr w:rsidR="00D81D97" w:rsidRPr="00377D59" w14:paraId="60064293" w14:textId="77777777" w:rsidTr="003E634A">
        <w:trPr>
          <w:trHeight w:val="340"/>
        </w:trPr>
        <w:tc>
          <w:tcPr>
            <w:tcW w:w="5382" w:type="dxa"/>
            <w:shd w:val="clear" w:color="auto" w:fill="auto"/>
            <w:noWrap/>
            <w:vAlign w:val="center"/>
            <w:hideMark/>
          </w:tcPr>
          <w:p w14:paraId="73666509" w14:textId="770E1DDA" w:rsidR="00D81D97" w:rsidRPr="00976E1E" w:rsidRDefault="7BF38582" w:rsidP="7BF38582">
            <w:pPr>
              <w:widowControl w:val="0"/>
              <w:spacing w:after="0" w:line="240" w:lineRule="auto"/>
              <w:rPr>
                <w:rFonts w:ascii="Times New Roman" w:eastAsia="Times New Roman" w:hAnsi="Times New Roman" w:cs="Times New Roman"/>
                <w:b/>
                <w:bCs/>
                <w:sz w:val="20"/>
                <w:szCs w:val="20"/>
                <w:lang w:eastAsia="hu-HU"/>
              </w:rPr>
            </w:pPr>
            <w:r w:rsidRPr="7BF38582">
              <w:rPr>
                <w:rFonts w:ascii="Times New Roman" w:eastAsia="Times New Roman" w:hAnsi="Times New Roman" w:cs="Times New Roman"/>
                <w:b/>
                <w:bCs/>
                <w:sz w:val="20"/>
                <w:szCs w:val="20"/>
                <w:lang w:eastAsia="hu-HU"/>
              </w:rPr>
              <w:t>Összesen</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3A3EFD36" w14:textId="675634ED"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731,2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4CCAC" w14:textId="3EEAEB9B"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810,6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CA3FA" w14:textId="7E257E51"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79,4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B57DC" w14:textId="694D9E7A" w:rsidR="00D81D97" w:rsidRPr="00D81D97" w:rsidRDefault="75809766" w:rsidP="75809766">
            <w:pPr>
              <w:keepNext/>
              <w:keepLines/>
              <w:spacing w:after="0" w:line="240" w:lineRule="auto"/>
              <w:jc w:val="right"/>
              <w:rPr>
                <w:rFonts w:ascii="Times New Roman" w:eastAsia="Times New Roman" w:hAnsi="Times New Roman" w:cs="Times New Roman"/>
                <w:b/>
                <w:bCs/>
                <w:sz w:val="20"/>
                <w:szCs w:val="20"/>
                <w:lang w:eastAsia="hu-HU"/>
              </w:rPr>
            </w:pPr>
            <w:r w:rsidRPr="75809766">
              <w:rPr>
                <w:rFonts w:ascii="Times New Roman" w:hAnsi="Times New Roman" w:cs="Times New Roman"/>
                <w:b/>
                <w:bCs/>
              </w:rPr>
              <w:t>110,9</w:t>
            </w:r>
          </w:p>
        </w:tc>
      </w:tr>
    </w:tbl>
    <w:bookmarkEnd w:id="1"/>
    <w:p w14:paraId="294CBB33" w14:textId="7BA54763" w:rsidR="74B9DF17" w:rsidRPr="00CD1AC2" w:rsidRDefault="7BF38582" w:rsidP="00A0268E">
      <w:pPr>
        <w:spacing w:before="240"/>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Az </w:t>
      </w:r>
      <w:r w:rsidRPr="7BF38582">
        <w:rPr>
          <w:rFonts w:ascii="Times New Roman" w:eastAsia="Times New Roman" w:hAnsi="Times New Roman" w:cs="Times New Roman"/>
          <w:b/>
          <w:bCs/>
          <w:sz w:val="26"/>
          <w:szCs w:val="26"/>
        </w:rPr>
        <w:t>Uniós programok kiadásai</w:t>
      </w:r>
      <w:r w:rsidRPr="7BF38582">
        <w:rPr>
          <w:rFonts w:ascii="Times New Roman" w:eastAsia="Times New Roman" w:hAnsi="Times New Roman" w:cs="Times New Roman"/>
          <w:i/>
          <w:iCs/>
          <w:sz w:val="26"/>
          <w:szCs w:val="26"/>
        </w:rPr>
        <w:t xml:space="preserve"> </w:t>
      </w:r>
      <w:r w:rsidRPr="7BF38582">
        <w:rPr>
          <w:rFonts w:ascii="Times New Roman" w:eastAsia="Times New Roman" w:hAnsi="Times New Roman" w:cs="Times New Roman"/>
          <w:sz w:val="26"/>
          <w:szCs w:val="26"/>
        </w:rPr>
        <w:t>mérlegsoron 2025. július végéig 1325,5</w:t>
      </w:r>
      <w:r w:rsidR="00656077">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 összegű kifizetés történt, amely a törvényi előirányzat (3023,8</w:t>
      </w:r>
      <w:r w:rsidR="00656077">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 43,8%-os teljesítését jelenti. A felmerült kiadások jelentős részét a 2021-2027-es Széchenyi Terv Plusz programjai adták.</w:t>
      </w:r>
    </w:p>
    <w:p w14:paraId="6ABC464B" w14:textId="7E382B0D" w:rsidR="74B9DF17" w:rsidRPr="00CD1AC2" w:rsidRDefault="7BF38582" w:rsidP="7BF38582">
      <w:pPr>
        <w:spacing w:before="160"/>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A legnagyobb összegű kifizetéseket ezen időszakban a Széchenyi Terv Plusz operatív programok közül a Terület- és Településfejlesztési OP (TOP Plusz) és az Emberi Erőforrás Fejlesztési OP Plusz (EFOP Plusz) teljesítette. Kiemelkedők továbbá a Vidékfejlesztési Program és a KAP Stratégiai Terv Vidékfejlesztési Intézkedéseinek kifizetése.</w:t>
      </w:r>
    </w:p>
    <w:p w14:paraId="0EE0B389" w14:textId="7A51F289" w:rsidR="029C2633" w:rsidRPr="00CD1AC2" w:rsidRDefault="7BF38582" w:rsidP="7BF38582">
      <w:pPr>
        <w:keepLines/>
        <w:spacing w:before="160"/>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Az </w:t>
      </w:r>
      <w:r w:rsidRPr="7BF38582">
        <w:rPr>
          <w:rFonts w:ascii="Times New Roman" w:eastAsia="Times New Roman" w:hAnsi="Times New Roman" w:cs="Times New Roman"/>
          <w:b/>
          <w:bCs/>
          <w:sz w:val="26"/>
          <w:szCs w:val="26"/>
        </w:rPr>
        <w:t>állami vagyonnal kapcsolatos kiadások</w:t>
      </w:r>
      <w:r w:rsidRPr="7BF38582">
        <w:rPr>
          <w:rFonts w:ascii="Times New Roman" w:eastAsia="Times New Roman" w:hAnsi="Times New Roman" w:cs="Times New Roman"/>
          <w:sz w:val="26"/>
          <w:szCs w:val="26"/>
        </w:rPr>
        <w:t xml:space="preserve"> 2025 első héthavi összege 436,4 milliárd forint volt, amelynek meghatározó része ingatlanokhoz kapcsolódóan került kifizetésre.</w:t>
      </w:r>
    </w:p>
    <w:p w14:paraId="4D36018A" w14:textId="6CF48AE6" w:rsidR="000B49AE" w:rsidRPr="00377D59" w:rsidRDefault="00C97255" w:rsidP="000B49AE">
      <w:pPr>
        <w:spacing w:before="240" w:after="120" w:line="240" w:lineRule="auto"/>
        <w:jc w:val="center"/>
        <w:rPr>
          <w:rFonts w:ascii="Times New Roman" w:eastAsia="Times New Roman" w:hAnsi="Times New Roman" w:cs="Times New Roman"/>
          <w:b/>
          <w:bCs/>
          <w:sz w:val="26"/>
          <w:szCs w:val="26"/>
        </w:rPr>
      </w:pPr>
      <w:r>
        <w:rPr>
          <w:noProof/>
        </w:rPr>
        <w:drawing>
          <wp:inline distT="0" distB="0" distL="0" distR="0" wp14:anchorId="7C81897F" wp14:editId="13952FE6">
            <wp:extent cx="5587786" cy="3507971"/>
            <wp:effectExtent l="0" t="0" r="0" b="0"/>
            <wp:docPr id="126422216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22161" name=""/>
                    <pic:cNvPicPr/>
                  </pic:nvPicPr>
                  <pic:blipFill rotWithShape="1">
                    <a:blip r:embed="rId19"/>
                    <a:srcRect t="3166"/>
                    <a:stretch/>
                  </pic:blipFill>
                  <pic:spPr bwMode="auto">
                    <a:xfrm>
                      <a:off x="0" y="0"/>
                      <a:ext cx="5608677" cy="3521086"/>
                    </a:xfrm>
                    <a:prstGeom prst="rect">
                      <a:avLst/>
                    </a:prstGeom>
                    <a:ln>
                      <a:noFill/>
                    </a:ln>
                    <a:extLst>
                      <a:ext uri="{53640926-AAD7-44D8-BBD7-CCE9431645EC}">
                        <a14:shadowObscured xmlns:a14="http://schemas.microsoft.com/office/drawing/2010/main"/>
                      </a:ext>
                    </a:extLst>
                  </pic:spPr>
                </pic:pic>
              </a:graphicData>
            </a:graphic>
          </wp:inline>
        </w:drawing>
      </w:r>
    </w:p>
    <w:p w14:paraId="030326D3" w14:textId="4912240E" w:rsidR="5B67C7D7" w:rsidRPr="00CB07DE"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lastRenderedPageBreak/>
        <w:t xml:space="preserve">Az </w:t>
      </w:r>
      <w:r w:rsidRPr="7BF38582">
        <w:rPr>
          <w:rFonts w:ascii="Times New Roman" w:eastAsia="Times New Roman" w:hAnsi="Times New Roman" w:cs="Times New Roman"/>
          <w:b/>
          <w:bCs/>
          <w:sz w:val="26"/>
          <w:szCs w:val="26"/>
        </w:rPr>
        <w:t xml:space="preserve">állami beruházási fejezet kiadásait </w:t>
      </w:r>
      <w:r w:rsidRPr="7BF38582">
        <w:rPr>
          <w:rFonts w:ascii="Times New Roman" w:eastAsia="Times New Roman" w:hAnsi="Times New Roman" w:cs="Times New Roman"/>
          <w:sz w:val="26"/>
          <w:szCs w:val="26"/>
        </w:rPr>
        <w:t xml:space="preserve">alapvetően az egyes projektek előrehaladása határozza meg. 2025 első hét hónapjában 266,6 milliárd forint kiadás teljesült, amely magasabb a 2024 azonos időszakában teljesültekhez képest. </w:t>
      </w:r>
      <w:r w:rsidRPr="007F6469">
        <w:rPr>
          <w:rFonts w:ascii="Times New Roman" w:eastAsia="Times New Roman" w:hAnsi="Times New Roman" w:cs="Times New Roman"/>
          <w:sz w:val="26"/>
          <w:szCs w:val="26"/>
        </w:rPr>
        <w:t>A kifizetések nagy része az állami közútfejlesztési beruházásokhoz (174,9 milliárd forint), az európai uniós forrásokból megvalósuló beruházásokhoz (67,1 milliárd forint) és az egyedi magasépítési beruházásokhoz (15,2 milliárd forint) kapcsolódtak</w:t>
      </w:r>
      <w:r w:rsidRPr="007F6469">
        <w:rPr>
          <w:rFonts w:ascii="Times New Roman" w:eastAsia="Times New Roman" w:hAnsi="Times New Roman" w:cs="Times New Roman"/>
          <w:sz w:val="24"/>
          <w:szCs w:val="24"/>
        </w:rPr>
        <w:t>.</w:t>
      </w:r>
    </w:p>
    <w:p w14:paraId="598CEA5E" w14:textId="6DCACA37" w:rsidR="00C224F5"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Az </w:t>
      </w:r>
      <w:r w:rsidRPr="7BF38582">
        <w:rPr>
          <w:rFonts w:ascii="Times New Roman" w:eastAsia="Times New Roman" w:hAnsi="Times New Roman" w:cs="Times New Roman"/>
          <w:b/>
          <w:bCs/>
          <w:sz w:val="26"/>
          <w:szCs w:val="26"/>
        </w:rPr>
        <w:t>egyéb kiadások</w:t>
      </w:r>
      <w:r w:rsidRPr="7BF38582">
        <w:rPr>
          <w:rFonts w:ascii="Times New Roman" w:eastAsia="Times New Roman" w:hAnsi="Times New Roman" w:cs="Times New Roman"/>
          <w:sz w:val="26"/>
          <w:szCs w:val="26"/>
        </w:rPr>
        <w:t xml:space="preserve"> 2025. évi első h</w:t>
      </w:r>
      <w:r w:rsidR="00DD6B24">
        <w:rPr>
          <w:rFonts w:ascii="Times New Roman" w:eastAsia="Times New Roman" w:hAnsi="Times New Roman" w:cs="Times New Roman"/>
          <w:sz w:val="26"/>
          <w:szCs w:val="26"/>
        </w:rPr>
        <w:t>é</w:t>
      </w:r>
      <w:r w:rsidRPr="7BF38582">
        <w:rPr>
          <w:rFonts w:ascii="Times New Roman" w:eastAsia="Times New Roman" w:hAnsi="Times New Roman" w:cs="Times New Roman"/>
          <w:sz w:val="26"/>
          <w:szCs w:val="26"/>
        </w:rPr>
        <w:t xml:space="preserve">thavi teljesítése </w:t>
      </w:r>
      <w:r w:rsidR="001B4158">
        <w:rPr>
          <w:rFonts w:ascii="Times New Roman" w:eastAsia="Times New Roman" w:hAnsi="Times New Roman" w:cs="Times New Roman"/>
          <w:sz w:val="26"/>
          <w:szCs w:val="26"/>
        </w:rPr>
        <w:t>318,</w:t>
      </w:r>
      <w:r w:rsidR="000E4BA6">
        <w:rPr>
          <w:rFonts w:ascii="Times New Roman" w:eastAsia="Times New Roman" w:hAnsi="Times New Roman" w:cs="Times New Roman"/>
          <w:sz w:val="26"/>
          <w:szCs w:val="26"/>
        </w:rPr>
        <w:t>4</w:t>
      </w:r>
      <w:r w:rsidRPr="7BF38582">
        <w:rPr>
          <w:rFonts w:ascii="Times New Roman" w:eastAsia="Times New Roman" w:hAnsi="Times New Roman" w:cs="Times New Roman"/>
          <w:sz w:val="26"/>
          <w:szCs w:val="26"/>
        </w:rPr>
        <w:t xml:space="preserve"> milliárd forint lett, ami </w:t>
      </w:r>
      <w:r w:rsidR="00DD6B24">
        <w:rPr>
          <w:rFonts w:ascii="Times New Roman" w:eastAsia="Times New Roman" w:hAnsi="Times New Roman" w:cs="Times New Roman"/>
          <w:sz w:val="26"/>
          <w:szCs w:val="26"/>
        </w:rPr>
        <w:t>27,7</w:t>
      </w:r>
      <w:r w:rsidRPr="7BF38582">
        <w:rPr>
          <w:rFonts w:ascii="Times New Roman" w:eastAsia="Times New Roman" w:hAnsi="Times New Roman" w:cs="Times New Roman"/>
          <w:sz w:val="26"/>
          <w:szCs w:val="26"/>
        </w:rPr>
        <w:t xml:space="preserve"> milliárd forinttal magasabban alakult az előző év azonos időszakához képest. </w:t>
      </w:r>
    </w:p>
    <w:p w14:paraId="15F013A7" w14:textId="355F93B4" w:rsidR="74B9DF17"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Hozzájárulás az EU költségvetéséhez</w:t>
      </w:r>
      <w:r w:rsidRPr="7BF38582">
        <w:rPr>
          <w:rFonts w:ascii="Times New Roman" w:eastAsia="Times New Roman" w:hAnsi="Times New Roman" w:cs="Times New Roman"/>
          <w:sz w:val="26"/>
          <w:szCs w:val="26"/>
        </w:rPr>
        <w:t xml:space="preserve"> mérlegsoron 2025.</w:t>
      </w:r>
      <w:r w:rsidR="00DD6B24">
        <w:rPr>
          <w:rFonts w:ascii="Times New Roman" w:eastAsia="Times New Roman" w:hAnsi="Times New Roman" w:cs="Times New Roman"/>
          <w:sz w:val="26"/>
          <w:szCs w:val="26"/>
        </w:rPr>
        <w:t xml:space="preserve"> </w:t>
      </w:r>
      <w:r w:rsidRPr="7BF38582">
        <w:rPr>
          <w:rFonts w:ascii="Times New Roman" w:eastAsia="Times New Roman" w:hAnsi="Times New Roman" w:cs="Times New Roman"/>
          <w:sz w:val="26"/>
          <w:szCs w:val="26"/>
        </w:rPr>
        <w:t>július végéig 437,1</w:t>
      </w:r>
      <w:r w:rsidR="00DD6B24">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 kiadás teljesült, ami a törvényi előirányzat 62,6%-a. E hozzájárulás 55,7</w:t>
      </w:r>
      <w:r w:rsidR="00DD6B24">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forinttal haladja meg a 2024. év azonos időszakában teljesített kiadásokat.</w:t>
      </w:r>
    </w:p>
    <w:p w14:paraId="0F5A0F03" w14:textId="10E87E4B" w:rsidR="6462B5A6" w:rsidRPr="00920F4D"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Nemzeti Kutatási, Fejlesztési és Innovációs Alapból</w:t>
      </w:r>
      <w:r w:rsidRPr="7BF38582">
        <w:rPr>
          <w:rFonts w:ascii="Times New Roman" w:eastAsia="Times New Roman" w:hAnsi="Times New Roman" w:cs="Times New Roman"/>
          <w:sz w:val="26"/>
          <w:szCs w:val="26"/>
        </w:rPr>
        <w:t xml:space="preserve"> (NKFI Alap) 2025. július végéig 71,5 milliárd forint kiadás teljesült, ami 15,6 milliárd forinttal kevesebb kifizetést jelent a 2024. évi azonos időszak teljesítéséhez képest. </w:t>
      </w:r>
    </w:p>
    <w:p w14:paraId="17605E21" w14:textId="766528B8" w:rsidR="6462B5A6" w:rsidRPr="00CB07DE"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Nemzeti Foglalkoztatási Alap</w:t>
      </w:r>
      <w:r w:rsidRPr="7BF38582">
        <w:rPr>
          <w:rFonts w:ascii="Times New Roman" w:eastAsia="Times New Roman" w:hAnsi="Times New Roman" w:cs="Times New Roman"/>
          <w:sz w:val="26"/>
          <w:szCs w:val="26"/>
        </w:rPr>
        <w:t xml:space="preserve"> (NFA) kiadásai esetében a Start-munkaprogramra összesen </w:t>
      </w:r>
      <w:r w:rsidR="00DD6B24">
        <w:rPr>
          <w:rFonts w:ascii="Times New Roman" w:eastAsia="Times New Roman" w:hAnsi="Times New Roman" w:cs="Times New Roman"/>
          <w:sz w:val="26"/>
          <w:szCs w:val="26"/>
        </w:rPr>
        <w:t>8</w:t>
      </w:r>
      <w:r w:rsidRPr="7BF38582">
        <w:rPr>
          <w:rFonts w:ascii="Times New Roman" w:eastAsia="Times New Roman" w:hAnsi="Times New Roman" w:cs="Times New Roman"/>
          <w:sz w:val="26"/>
          <w:szCs w:val="26"/>
        </w:rPr>
        <w:t xml:space="preserve">2,1 milliárd forint teljesült. Az uniós elő- és társfinanszírozásra </w:t>
      </w:r>
      <w:r w:rsidR="00DD6B24">
        <w:rPr>
          <w:rFonts w:ascii="Times New Roman" w:eastAsia="Times New Roman" w:hAnsi="Times New Roman" w:cs="Times New Roman"/>
          <w:sz w:val="26"/>
          <w:szCs w:val="26"/>
        </w:rPr>
        <w:t>31,</w:t>
      </w:r>
      <w:r w:rsidRPr="7BF38582">
        <w:rPr>
          <w:rFonts w:ascii="Times New Roman" w:eastAsia="Times New Roman" w:hAnsi="Times New Roman" w:cs="Times New Roman"/>
          <w:sz w:val="26"/>
          <w:szCs w:val="26"/>
        </w:rPr>
        <w:t>6 milliárd forintot fordítottak.</w:t>
      </w:r>
    </w:p>
    <w:p w14:paraId="76B18BB1" w14:textId="113B616E" w:rsidR="123EFD2F" w:rsidRPr="00CB07DE"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A</w:t>
      </w:r>
      <w:r w:rsidRPr="7BF38582">
        <w:rPr>
          <w:rFonts w:ascii="Times New Roman" w:eastAsia="Times New Roman" w:hAnsi="Times New Roman" w:cs="Times New Roman"/>
          <w:b/>
          <w:bCs/>
          <w:sz w:val="26"/>
          <w:szCs w:val="26"/>
        </w:rPr>
        <w:t xml:space="preserve"> Bethlen Gábor Alapból</w:t>
      </w:r>
      <w:r w:rsidRPr="7BF38582">
        <w:rPr>
          <w:rFonts w:ascii="Times New Roman" w:eastAsia="Times New Roman" w:hAnsi="Times New Roman" w:cs="Times New Roman"/>
          <w:sz w:val="26"/>
          <w:szCs w:val="26"/>
        </w:rPr>
        <w:t xml:space="preserve"> (BGA) az év első hét hónapjában összesen 51,0</w:t>
      </w:r>
      <w:r w:rsidR="00DD6B24">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 forint kiadás teljesült. Az alapból nyújtott támogatások a BGA irányítását ellátó Bizottság döntései alapján, ütemezetten kerültek kifizetésre.</w:t>
      </w:r>
    </w:p>
    <w:p w14:paraId="51683CC2" w14:textId="0C3EC288" w:rsidR="00043E49" w:rsidRPr="00CB07DE"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Nyugdíjbiztosítási Alap</w:t>
      </w:r>
      <w:r w:rsidRPr="7BF38582">
        <w:rPr>
          <w:rFonts w:ascii="Times New Roman" w:eastAsia="Times New Roman" w:hAnsi="Times New Roman" w:cs="Times New Roman"/>
          <w:sz w:val="26"/>
          <w:szCs w:val="26"/>
        </w:rPr>
        <w:t xml:space="preserve"> nyugellátási kiadásai július végéig 3994,6 milliárd forintban teljesültek, ami 190,9 milliárd forinttal haladta meg az előző év azonos időszakának teljesítési adatait. Az 5%-os kiadásnövekedést a tárgyév január hónapban végrehajtott inflációkövető nyugdíjemelés hatása, valamint az eltelt időszakban bekövetkezett létszámváltozás és cserélődés együttes hatása eredményezte.</w:t>
      </w:r>
    </w:p>
    <w:p w14:paraId="26EFB518" w14:textId="2466E132" w:rsidR="00043E49" w:rsidRPr="00CB07DE"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Február hónapban több, mint 2 millió öregségi nyugdíjban és hozzátartozói nyugellátásban részesülő személy részére folyósítottak 13. havi nyugdíjat. A 13. havi nyugdíj Nyugdíjbiztosítási Alapot terhelő kiadása július végéig 493,5 milliárd forint volt, ami 22,1 milliárd forinttal haladta meg az előző év azonos időszakában ezen a jogcímen teljesített kiadások összegét.</w:t>
      </w:r>
    </w:p>
    <w:p w14:paraId="168226B1" w14:textId="0D1E7641" w:rsidR="00D72777" w:rsidRPr="00CB07DE"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Az első hét hónap adatai alapján a nyugellátási kiadásokon belül a korbetöltött öregségi nyugellátások 5,6%-kal, a nők 40 év jogosultsági idővel igénybe vehető öregségi nyugdíja („nők 40”) pedig 3,1%-kal haladta meg az előző év azonos időszakának kiadásait.</w:t>
      </w:r>
    </w:p>
    <w:p w14:paraId="0F073B32" w14:textId="7637AC6C" w:rsidR="00C35E13" w:rsidRDefault="00E56F21" w:rsidP="00C35E13">
      <w:pPr>
        <w:pStyle w:val="NormlWeb"/>
        <w:jc w:val="center"/>
      </w:pPr>
      <w:r>
        <w:rPr>
          <w:noProof/>
        </w:rPr>
        <w:lastRenderedPageBreak/>
        <w:drawing>
          <wp:inline distT="0" distB="0" distL="0" distR="0" wp14:anchorId="50DEAFDC" wp14:editId="5365942E">
            <wp:extent cx="5940425" cy="2442210"/>
            <wp:effectExtent l="0" t="0" r="3175" b="0"/>
            <wp:docPr id="141260314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03144" name=""/>
                    <pic:cNvPicPr/>
                  </pic:nvPicPr>
                  <pic:blipFill>
                    <a:blip r:embed="rId20"/>
                    <a:stretch>
                      <a:fillRect/>
                    </a:stretch>
                  </pic:blipFill>
                  <pic:spPr>
                    <a:xfrm>
                      <a:off x="0" y="0"/>
                      <a:ext cx="5940425" cy="2442210"/>
                    </a:xfrm>
                    <a:prstGeom prst="rect">
                      <a:avLst/>
                    </a:prstGeom>
                  </pic:spPr>
                </pic:pic>
              </a:graphicData>
            </a:graphic>
          </wp:inline>
        </w:drawing>
      </w:r>
    </w:p>
    <w:p w14:paraId="1E774D45" w14:textId="00A7DC36" w:rsidR="00884EDC" w:rsidRPr="00CB07DE"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Az öregségi nyugdíjban részesülők 2025. július havi </w:t>
      </w:r>
      <w:r w:rsidRPr="7BF38582">
        <w:rPr>
          <w:rFonts w:ascii="Times New Roman" w:eastAsia="Times New Roman" w:hAnsi="Times New Roman" w:cs="Times New Roman"/>
          <w:b/>
          <w:bCs/>
          <w:sz w:val="26"/>
          <w:szCs w:val="26"/>
        </w:rPr>
        <w:t>átlagos statisztikai állományi létszáma</w:t>
      </w:r>
      <w:r w:rsidRPr="7BF38582">
        <w:rPr>
          <w:rFonts w:ascii="Times New Roman" w:eastAsia="Times New Roman" w:hAnsi="Times New Roman" w:cs="Times New Roman"/>
          <w:sz w:val="26"/>
          <w:szCs w:val="26"/>
        </w:rPr>
        <w:t xml:space="preserve"> kis mértékben növekedett, 1874 fővel haladta meg az előző év azonos időszakának létszámát. Az öregségi nyugdíjban részesülők létszámán belül a nők kedvezményes nyugdíjában részesülők (korhatár alattiak) létszáma a korhatárbetöltés, az újonnan belépők és az elhalálozás együttes hatásaként 4532 fővel csökkent a 2024. júliusi adathoz képest, jelenleg 138 128 fő veszi igénybe a „nők 40” kedvezményes ellátást.</w:t>
      </w:r>
    </w:p>
    <w:p w14:paraId="61DC0A5C" w14:textId="0A43AEB8" w:rsidR="00884EDC" w:rsidRPr="00CB07DE"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Az öregségi nyugdíjak átlagos havi összege egy év alatt 12</w:t>
      </w:r>
      <w:r w:rsidR="00E56F21">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038 forinttal emelkedett, idén 2025. júliusban 244 990 forint volt.</w:t>
      </w:r>
    </w:p>
    <w:p w14:paraId="725BF303" w14:textId="379510CD" w:rsidR="7BF38582"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Az ellátások egy főre jutó havi átlagos összege az egyes ellátotti jogcímeken belül az előző év azonos időszakával összehasonlítva az alábbiak szerint növekedett.</w:t>
      </w:r>
    </w:p>
    <w:p w14:paraId="503DFEB7" w14:textId="1C88287F" w:rsidR="00EF1F5B" w:rsidRDefault="00E56F21" w:rsidP="002D6802">
      <w:pPr>
        <w:pStyle w:val="NormlWeb"/>
        <w:spacing w:before="0" w:beforeAutospacing="0" w:after="0" w:afterAutospacing="0"/>
        <w:jc w:val="center"/>
      </w:pPr>
      <w:r>
        <w:rPr>
          <w:noProof/>
        </w:rPr>
        <w:drawing>
          <wp:inline distT="0" distB="0" distL="0" distR="0" wp14:anchorId="2E86543F" wp14:editId="3D3A78E6">
            <wp:extent cx="5191549" cy="3240462"/>
            <wp:effectExtent l="0" t="0" r="9525" b="0"/>
            <wp:docPr id="165783190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31905" name=""/>
                    <pic:cNvPicPr/>
                  </pic:nvPicPr>
                  <pic:blipFill rotWithShape="1">
                    <a:blip r:embed="rId21"/>
                    <a:srcRect t="2501"/>
                    <a:stretch/>
                  </pic:blipFill>
                  <pic:spPr bwMode="auto">
                    <a:xfrm>
                      <a:off x="0" y="0"/>
                      <a:ext cx="5203927" cy="3248188"/>
                    </a:xfrm>
                    <a:prstGeom prst="rect">
                      <a:avLst/>
                    </a:prstGeom>
                    <a:ln>
                      <a:noFill/>
                    </a:ln>
                    <a:extLst>
                      <a:ext uri="{53640926-AAD7-44D8-BBD7-CCE9431645EC}">
                        <a14:shadowObscured xmlns:a14="http://schemas.microsoft.com/office/drawing/2010/main"/>
                      </a:ext>
                    </a:extLst>
                  </pic:spPr>
                </pic:pic>
              </a:graphicData>
            </a:graphic>
          </wp:inline>
        </w:drawing>
      </w:r>
    </w:p>
    <w:p w14:paraId="3779DB9C" w14:textId="522A5F6A" w:rsidR="0022104D" w:rsidRDefault="7BF38582" w:rsidP="00A31F84">
      <w:pPr>
        <w:widowControl w:val="0"/>
        <w:spacing w:before="240"/>
        <w:jc w:val="both"/>
      </w:pPr>
      <w:r w:rsidRPr="7BF38582">
        <w:rPr>
          <w:rFonts w:ascii="Times New Roman" w:eastAsia="Times New Roman" w:hAnsi="Times New Roman" w:cs="Times New Roman"/>
          <w:sz w:val="26"/>
          <w:szCs w:val="26"/>
        </w:rPr>
        <w:t xml:space="preserve">Az öregségi nyugdíjban, hozzátartozói nyugellátásban részesülők jogcím szerinti megoszlásának összehasonlítását a korábbi adatokkal az alábbi ábrák mutatják. </w:t>
      </w:r>
    </w:p>
    <w:p w14:paraId="6E229341" w14:textId="3C606513" w:rsidR="00EF1F5B" w:rsidRDefault="00E56F21" w:rsidP="00A31F84">
      <w:pPr>
        <w:pStyle w:val="NormlWeb"/>
        <w:widowControl w:val="0"/>
        <w:jc w:val="center"/>
      </w:pPr>
      <w:r>
        <w:rPr>
          <w:noProof/>
        </w:rPr>
        <w:lastRenderedPageBreak/>
        <w:drawing>
          <wp:inline distT="0" distB="0" distL="0" distR="0" wp14:anchorId="5912629E" wp14:editId="581A897A">
            <wp:extent cx="5940425" cy="2333106"/>
            <wp:effectExtent l="0" t="0" r="3175" b="0"/>
            <wp:docPr id="12238428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4281" name=""/>
                    <pic:cNvPicPr/>
                  </pic:nvPicPr>
                  <pic:blipFill rotWithShape="1">
                    <a:blip r:embed="rId22"/>
                    <a:srcRect b="6888"/>
                    <a:stretch/>
                  </pic:blipFill>
                  <pic:spPr bwMode="auto">
                    <a:xfrm>
                      <a:off x="0" y="0"/>
                      <a:ext cx="5940425" cy="2333106"/>
                    </a:xfrm>
                    <a:prstGeom prst="rect">
                      <a:avLst/>
                    </a:prstGeom>
                    <a:ln>
                      <a:noFill/>
                    </a:ln>
                    <a:extLst>
                      <a:ext uri="{53640926-AAD7-44D8-BBD7-CCE9431645EC}">
                        <a14:shadowObscured xmlns:a14="http://schemas.microsoft.com/office/drawing/2010/main"/>
                      </a:ext>
                    </a:extLst>
                  </pic:spPr>
                </pic:pic>
              </a:graphicData>
            </a:graphic>
          </wp:inline>
        </w:drawing>
      </w:r>
    </w:p>
    <w:p w14:paraId="2A4F88FB" w14:textId="558B9764" w:rsidR="00D4148C" w:rsidRPr="002B492B" w:rsidRDefault="7BF38582" w:rsidP="7BF38582">
      <w:pPr>
        <w:widowControl w:val="0"/>
        <w:rPr>
          <w:rFonts w:ascii="Times New Roman" w:eastAsia="Times New Roman" w:hAnsi="Times New Roman" w:cs="Times New Roman"/>
          <w:b/>
          <w:bCs/>
          <w:sz w:val="26"/>
          <w:szCs w:val="26"/>
        </w:rPr>
      </w:pPr>
      <w:r w:rsidRPr="7BF38582">
        <w:rPr>
          <w:rFonts w:ascii="Times New Roman" w:eastAsia="Times New Roman" w:hAnsi="Times New Roman" w:cs="Times New Roman"/>
          <w:sz w:val="26"/>
          <w:szCs w:val="26"/>
        </w:rPr>
        <w:t xml:space="preserve">Az </w:t>
      </w:r>
      <w:r w:rsidRPr="7BF38582">
        <w:rPr>
          <w:rFonts w:ascii="Times New Roman" w:eastAsia="Times New Roman" w:hAnsi="Times New Roman" w:cs="Times New Roman"/>
          <w:b/>
          <w:bCs/>
          <w:sz w:val="26"/>
          <w:szCs w:val="26"/>
        </w:rPr>
        <w:t>Egészségbiztosítási Alap kiadásainak</w:t>
      </w:r>
      <w:r w:rsidRPr="7BF38582">
        <w:rPr>
          <w:rFonts w:ascii="Times New Roman" w:eastAsia="Times New Roman" w:hAnsi="Times New Roman" w:cs="Times New Roman"/>
          <w:sz w:val="26"/>
          <w:szCs w:val="26"/>
        </w:rPr>
        <w:t xml:space="preserve"> összetételét a következő ábra mutatja be:</w:t>
      </w:r>
      <w:r w:rsidRPr="7BF38582">
        <w:rPr>
          <w:rFonts w:ascii="Times New Roman" w:eastAsia="Times New Roman" w:hAnsi="Times New Roman" w:cs="Times New Roman"/>
          <w:b/>
          <w:bCs/>
          <w:sz w:val="26"/>
          <w:szCs w:val="26"/>
        </w:rPr>
        <w:t xml:space="preserve"> </w:t>
      </w:r>
    </w:p>
    <w:p w14:paraId="57C38B59" w14:textId="4F5AA1D3" w:rsidR="00D4148C" w:rsidRDefault="00E56F21" w:rsidP="00A31F84">
      <w:pPr>
        <w:widowControl w:val="0"/>
        <w:spacing w:after="240"/>
        <w:jc w:val="center"/>
        <w:rPr>
          <w:rFonts w:ascii="Times New Roman" w:eastAsia="Times New Roman" w:hAnsi="Times New Roman" w:cs="Times New Roman"/>
          <w:sz w:val="26"/>
          <w:szCs w:val="26"/>
        </w:rPr>
      </w:pPr>
      <w:r>
        <w:rPr>
          <w:noProof/>
        </w:rPr>
        <w:drawing>
          <wp:inline distT="0" distB="0" distL="0" distR="0" wp14:anchorId="62FEFFFB" wp14:editId="74DAD9D4">
            <wp:extent cx="5748869" cy="2161309"/>
            <wp:effectExtent l="0" t="0" r="4445" b="0"/>
            <wp:docPr id="109403249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32499" name=""/>
                    <pic:cNvPicPr/>
                  </pic:nvPicPr>
                  <pic:blipFill rotWithShape="1">
                    <a:blip r:embed="rId23"/>
                    <a:srcRect t="5113" b="5326"/>
                    <a:stretch/>
                  </pic:blipFill>
                  <pic:spPr bwMode="auto">
                    <a:xfrm>
                      <a:off x="0" y="0"/>
                      <a:ext cx="5765709" cy="2167640"/>
                    </a:xfrm>
                    <a:prstGeom prst="rect">
                      <a:avLst/>
                    </a:prstGeom>
                    <a:ln>
                      <a:noFill/>
                    </a:ln>
                    <a:extLst>
                      <a:ext uri="{53640926-AAD7-44D8-BBD7-CCE9431645EC}">
                        <a14:shadowObscured xmlns:a14="http://schemas.microsoft.com/office/drawing/2010/main"/>
                      </a:ext>
                    </a:extLst>
                  </pic:spPr>
                </pic:pic>
              </a:graphicData>
            </a:graphic>
          </wp:inline>
        </w:drawing>
      </w:r>
    </w:p>
    <w:p w14:paraId="19FDF989" w14:textId="6E358A0D" w:rsidR="00CA3468" w:rsidRDefault="7BF38582" w:rsidP="7BF38582">
      <w:pPr>
        <w:widowControl w:val="0"/>
        <w:spacing w:after="240"/>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Az </w:t>
      </w:r>
      <w:r w:rsidRPr="7BF38582">
        <w:rPr>
          <w:rFonts w:ascii="Times New Roman" w:eastAsia="Times New Roman" w:hAnsi="Times New Roman" w:cs="Times New Roman"/>
          <w:b/>
          <w:bCs/>
          <w:sz w:val="26"/>
          <w:szCs w:val="26"/>
        </w:rPr>
        <w:t>Egészségbiztosítási Alap</w:t>
      </w:r>
      <w:r w:rsidRPr="7BF38582">
        <w:rPr>
          <w:rFonts w:ascii="Times New Roman" w:eastAsia="Times New Roman" w:hAnsi="Times New Roman" w:cs="Times New Roman"/>
          <w:sz w:val="26"/>
          <w:szCs w:val="26"/>
        </w:rPr>
        <w:t xml:space="preserve"> összes kiadásának 25,3%-át a </w:t>
      </w:r>
      <w:r w:rsidRPr="7BF38582">
        <w:rPr>
          <w:rFonts w:ascii="Times New Roman" w:eastAsia="Times New Roman" w:hAnsi="Times New Roman" w:cs="Times New Roman"/>
          <w:b/>
          <w:bCs/>
          <w:sz w:val="26"/>
          <w:szCs w:val="26"/>
        </w:rPr>
        <w:t>pénzbeli ellátásokra</w:t>
      </w:r>
      <w:r w:rsidRPr="7BF38582">
        <w:rPr>
          <w:rFonts w:ascii="Times New Roman" w:eastAsia="Times New Roman" w:hAnsi="Times New Roman" w:cs="Times New Roman"/>
          <w:sz w:val="26"/>
          <w:szCs w:val="26"/>
        </w:rPr>
        <w:t xml:space="preserve"> fordított összeg adta. Az ellátások részletes bemutatását a következő táblázat tartalmazza:</w:t>
      </w:r>
    </w:p>
    <w:p w14:paraId="1D31F2C8" w14:textId="3F5AAC59" w:rsidR="00DA4FBC" w:rsidRPr="001074A1" w:rsidRDefault="7BF38582" w:rsidP="7BF38582">
      <w:pPr>
        <w:widowControl w:val="0"/>
        <w:spacing w:after="240"/>
        <w:jc w:val="center"/>
        <w:rPr>
          <w:rFonts w:ascii="Times New Roman" w:eastAsia="Times New Roman" w:hAnsi="Times New Roman" w:cs="Times New Roman"/>
          <w:b/>
          <w:bCs/>
        </w:rPr>
      </w:pPr>
      <w:r w:rsidRPr="7BF38582">
        <w:rPr>
          <w:rFonts w:ascii="Times New Roman" w:eastAsia="Times New Roman" w:hAnsi="Times New Roman" w:cs="Times New Roman"/>
          <w:b/>
          <w:bCs/>
        </w:rPr>
        <w:t>Az Egészségbiztosítási Alap pénzbeli ellátásokra fordított kiadásainak alakulása (milliárd forint)</w:t>
      </w:r>
    </w:p>
    <w:tbl>
      <w:tblPr>
        <w:tblpPr w:leftFromText="141" w:rightFromText="141" w:vertAnchor="text" w:tblpXSpec="center" w:tblpY="1"/>
        <w:tblOverlap w:val="never"/>
        <w:tblW w:w="8718" w:type="dxa"/>
        <w:tblLayout w:type="fixed"/>
        <w:tblCellMar>
          <w:left w:w="70" w:type="dxa"/>
          <w:right w:w="70" w:type="dxa"/>
        </w:tblCellMar>
        <w:tblLook w:val="04A0" w:firstRow="1" w:lastRow="0" w:firstColumn="1" w:lastColumn="0" w:noHBand="0" w:noVBand="1"/>
      </w:tblPr>
      <w:tblGrid>
        <w:gridCol w:w="4248"/>
        <w:gridCol w:w="1276"/>
        <w:gridCol w:w="1209"/>
        <w:gridCol w:w="992"/>
        <w:gridCol w:w="993"/>
      </w:tblGrid>
      <w:tr w:rsidR="00E601EF" w:rsidRPr="00377D59" w14:paraId="06E6BC15" w14:textId="77777777" w:rsidTr="75809766">
        <w:trPr>
          <w:trHeight w:val="340"/>
        </w:trPr>
        <w:tc>
          <w:tcPr>
            <w:tcW w:w="4248" w:type="dxa"/>
            <w:vMerge w:val="restart"/>
            <w:tcBorders>
              <w:top w:val="single" w:sz="4" w:space="0" w:color="auto"/>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510863DA" w14:textId="77777777" w:rsidR="00E601EF" w:rsidRPr="00377D59" w:rsidRDefault="7BF38582" w:rsidP="7BF38582">
            <w:pPr>
              <w:widowControl w:val="0"/>
              <w:spacing w:after="0" w:line="240" w:lineRule="auto"/>
              <w:jc w:val="center"/>
              <w:rPr>
                <w:rFonts w:ascii="Times New Roman" w:eastAsia="Times New Roman" w:hAnsi="Times New Roman" w:cs="Times New Roman"/>
                <w:b/>
                <w:bCs/>
              </w:rPr>
            </w:pPr>
            <w:r w:rsidRPr="7BF38582">
              <w:rPr>
                <w:rFonts w:ascii="Times New Roman" w:eastAsia="Times New Roman" w:hAnsi="Times New Roman" w:cs="Times New Roman"/>
                <w:b/>
                <w:bCs/>
              </w:rPr>
              <w:t>Megnevezés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B44369" w14:textId="3CE9CCD6" w:rsidR="00E601EF" w:rsidRPr="00377D59" w:rsidRDefault="7BF38582" w:rsidP="7BF38582">
            <w:pPr>
              <w:widowControl w:val="0"/>
              <w:spacing w:after="0" w:line="240" w:lineRule="auto"/>
              <w:jc w:val="center"/>
              <w:rPr>
                <w:rFonts w:ascii="Times New Roman" w:eastAsia="Times New Roman" w:hAnsi="Times New Roman" w:cs="Times New Roman"/>
                <w:b/>
                <w:bCs/>
              </w:rPr>
            </w:pPr>
            <w:r w:rsidRPr="7BF38582">
              <w:rPr>
                <w:rFonts w:ascii="Times New Roman" w:eastAsia="Times New Roman" w:hAnsi="Times New Roman" w:cs="Times New Roman"/>
                <w:b/>
                <w:bCs/>
              </w:rPr>
              <w:t xml:space="preserve">2024. </w:t>
            </w:r>
            <w:r w:rsidR="13E847AC">
              <w:br/>
            </w:r>
            <w:r w:rsidRPr="7BF38582">
              <w:rPr>
                <w:rFonts w:ascii="Times New Roman" w:eastAsia="Times New Roman" w:hAnsi="Times New Roman" w:cs="Times New Roman"/>
                <w:b/>
                <w:bCs/>
              </w:rPr>
              <w:t>I-VII. hó</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1BFE64" w14:textId="21FC213F" w:rsidR="00E601EF" w:rsidRPr="00377D59" w:rsidRDefault="7BF38582" w:rsidP="7BF38582">
            <w:pPr>
              <w:widowControl w:val="0"/>
              <w:spacing w:after="0" w:line="240" w:lineRule="auto"/>
              <w:jc w:val="center"/>
              <w:rPr>
                <w:rFonts w:ascii="Times New Roman" w:eastAsia="Times New Roman" w:hAnsi="Times New Roman" w:cs="Times New Roman"/>
                <w:b/>
                <w:bCs/>
              </w:rPr>
            </w:pPr>
            <w:r w:rsidRPr="7BF38582">
              <w:rPr>
                <w:rFonts w:ascii="Times New Roman" w:eastAsia="Times New Roman" w:hAnsi="Times New Roman" w:cs="Times New Roman"/>
                <w:b/>
                <w:bCs/>
              </w:rPr>
              <w:t xml:space="preserve">2025. </w:t>
            </w:r>
            <w:r w:rsidR="13E847AC">
              <w:br/>
            </w:r>
            <w:r w:rsidRPr="7BF38582">
              <w:rPr>
                <w:rFonts w:ascii="Times New Roman" w:eastAsia="Times New Roman" w:hAnsi="Times New Roman" w:cs="Times New Roman"/>
                <w:b/>
                <w:bCs/>
              </w:rPr>
              <w:t>I-VII. hó</w:t>
            </w:r>
          </w:p>
        </w:tc>
        <w:tc>
          <w:tcPr>
            <w:tcW w:w="1985"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EFB39D6" w14:textId="77777777" w:rsidR="00E601EF" w:rsidRPr="00377D59" w:rsidRDefault="7BF38582" w:rsidP="7BF38582">
            <w:pPr>
              <w:widowControl w:val="0"/>
              <w:spacing w:after="0" w:line="240" w:lineRule="auto"/>
              <w:jc w:val="center"/>
              <w:rPr>
                <w:rFonts w:ascii="Times New Roman" w:eastAsia="Times New Roman" w:hAnsi="Times New Roman" w:cs="Times New Roman"/>
                <w:b/>
                <w:bCs/>
              </w:rPr>
            </w:pPr>
            <w:r w:rsidRPr="7BF38582">
              <w:rPr>
                <w:rFonts w:ascii="Times New Roman" w:eastAsia="Times New Roman" w:hAnsi="Times New Roman" w:cs="Times New Roman"/>
                <w:b/>
                <w:bCs/>
              </w:rPr>
              <w:t>Eltérés</w:t>
            </w:r>
          </w:p>
        </w:tc>
      </w:tr>
      <w:tr w:rsidR="00E601EF" w:rsidRPr="00377D59" w14:paraId="67C6C54B" w14:textId="77777777" w:rsidTr="75809766">
        <w:trPr>
          <w:trHeight w:val="340"/>
        </w:trPr>
        <w:tc>
          <w:tcPr>
            <w:tcW w:w="4248"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CCA367D" w14:textId="77777777" w:rsidR="00E601EF" w:rsidRPr="00377D59" w:rsidRDefault="00E601EF" w:rsidP="00A31F84">
            <w:pPr>
              <w:widowControl w:val="0"/>
              <w:spacing w:after="0" w:line="240" w:lineRule="auto"/>
              <w:rPr>
                <w:rFonts w:ascii="Times New Roman" w:eastAsia="Times New Roman" w:hAnsi="Times New Roman" w:cs="Times New Roman"/>
                <w:b/>
                <w:bCs/>
                <w:lang w:eastAsia="hu-HU"/>
              </w:rPr>
            </w:pPr>
          </w:p>
        </w:tc>
        <w:tc>
          <w:tcPr>
            <w:tcW w:w="127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99307A" w14:textId="77777777" w:rsidR="00E601EF" w:rsidRPr="00377D59" w:rsidRDefault="00E601EF" w:rsidP="00A31F84">
            <w:pPr>
              <w:widowControl w:val="0"/>
              <w:spacing w:after="0" w:line="240" w:lineRule="auto"/>
              <w:jc w:val="center"/>
              <w:rPr>
                <w:rFonts w:ascii="Times New Roman" w:eastAsia="Times New Roman" w:hAnsi="Times New Roman" w:cs="Times New Roman"/>
                <w:b/>
                <w:bCs/>
                <w:lang w:eastAsia="hu-HU"/>
              </w:rPr>
            </w:pPr>
          </w:p>
        </w:tc>
        <w:tc>
          <w:tcPr>
            <w:tcW w:w="120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E594B6" w14:textId="77777777" w:rsidR="00E601EF" w:rsidRPr="00377D59" w:rsidRDefault="00E601EF" w:rsidP="00A31F84">
            <w:pPr>
              <w:widowControl w:val="0"/>
              <w:spacing w:after="0" w:line="240" w:lineRule="auto"/>
              <w:jc w:val="center"/>
              <w:rPr>
                <w:rFonts w:ascii="Times New Roman" w:eastAsia="Times New Roman" w:hAnsi="Times New Roman" w:cs="Times New Roman"/>
                <w:b/>
                <w:bCs/>
                <w:lang w:eastAsia="hu-HU"/>
              </w:rPr>
            </w:pP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986BC2B" w14:textId="77777777" w:rsidR="00E601EF" w:rsidRPr="00377D59" w:rsidRDefault="7BF38582" w:rsidP="7BF38582">
            <w:pPr>
              <w:widowControl w:val="0"/>
              <w:spacing w:after="0" w:line="240" w:lineRule="auto"/>
              <w:jc w:val="center"/>
              <w:rPr>
                <w:rFonts w:ascii="Times New Roman" w:eastAsia="Times New Roman" w:hAnsi="Times New Roman" w:cs="Times New Roman"/>
                <w:b/>
                <w:bCs/>
                <w:lang w:eastAsia="hu-HU"/>
              </w:rPr>
            </w:pPr>
            <w:r w:rsidRPr="7BF38582">
              <w:rPr>
                <w:rFonts w:ascii="Times New Roman" w:eastAsia="Times New Roman" w:hAnsi="Times New Roman" w:cs="Times New Roman"/>
                <w:b/>
                <w:bCs/>
                <w:lang w:eastAsia="hu-HU"/>
              </w:rPr>
              <w:t>Mrd Ft</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0EDA458" w14:textId="77777777" w:rsidR="00E601EF" w:rsidRPr="00377D59" w:rsidRDefault="7BF38582" w:rsidP="7BF38582">
            <w:pPr>
              <w:widowControl w:val="0"/>
              <w:spacing w:after="0" w:line="240" w:lineRule="auto"/>
              <w:jc w:val="center"/>
              <w:rPr>
                <w:rFonts w:ascii="Times New Roman" w:eastAsia="Times New Roman" w:hAnsi="Times New Roman" w:cs="Times New Roman"/>
                <w:b/>
                <w:bCs/>
                <w:lang w:eastAsia="hu-HU"/>
              </w:rPr>
            </w:pPr>
            <w:r w:rsidRPr="7BF38582">
              <w:rPr>
                <w:rFonts w:ascii="Times New Roman" w:eastAsia="Times New Roman" w:hAnsi="Times New Roman" w:cs="Times New Roman"/>
                <w:b/>
                <w:bCs/>
                <w:lang w:eastAsia="hu-HU"/>
              </w:rPr>
              <w:t>%</w:t>
            </w:r>
          </w:p>
        </w:tc>
      </w:tr>
      <w:tr w:rsidR="00494D4B" w:rsidRPr="00377D59" w14:paraId="0F7FB8C0" w14:textId="77777777" w:rsidTr="75809766">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F8BBBDE" w14:textId="77777777" w:rsidR="00494D4B" w:rsidRPr="00377D59" w:rsidRDefault="7BF38582" w:rsidP="7BF38582">
            <w:pPr>
              <w:widowControl w:val="0"/>
              <w:spacing w:after="0" w:line="240" w:lineRule="auto"/>
              <w:ind w:firstLine="67"/>
              <w:rPr>
                <w:rFonts w:ascii="Times New Roman" w:eastAsia="Times New Roman" w:hAnsi="Times New Roman" w:cs="Times New Roman"/>
                <w:b/>
                <w:bCs/>
                <w:lang w:eastAsia="hu-HU"/>
              </w:rPr>
            </w:pPr>
            <w:r w:rsidRPr="7BF38582">
              <w:rPr>
                <w:rFonts w:ascii="Times New Roman" w:eastAsia="Times New Roman" w:hAnsi="Times New Roman" w:cs="Times New Roman"/>
                <w:b/>
                <w:bCs/>
                <w:lang w:eastAsia="hu-HU"/>
              </w:rPr>
              <w:t>Pénzbeli ellátások</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30386" w14:textId="72F265E9" w:rsidR="00494D4B" w:rsidRPr="001074A1" w:rsidRDefault="75809766" w:rsidP="75809766">
            <w:pPr>
              <w:widowControl w:val="0"/>
              <w:spacing w:after="0"/>
              <w:jc w:val="right"/>
              <w:rPr>
                <w:rFonts w:ascii="Times New Roman" w:eastAsia="Times New Roman" w:hAnsi="Times New Roman" w:cs="Times New Roman"/>
                <w:b/>
                <w:bCs/>
                <w:lang w:eastAsia="hu-HU"/>
              </w:rPr>
            </w:pPr>
            <w:r w:rsidRPr="75809766">
              <w:rPr>
                <w:rFonts w:ascii="Times New Roman" w:eastAsia="Times New Roman" w:hAnsi="Times New Roman" w:cs="Times New Roman"/>
                <w:b/>
                <w:bCs/>
                <w:lang w:eastAsia="hu-HU"/>
              </w:rPr>
              <w:t>679,1</w:t>
            </w:r>
            <w:r w:rsidRPr="75809766">
              <w:rPr>
                <w:rFonts w:ascii="Times New Roman" w:eastAsia="Times New Roman" w:hAnsi="Times New Roman" w:cs="Times New Roman"/>
                <w:lang w:eastAsia="hu-HU"/>
              </w:rPr>
              <w:t> </w:t>
            </w:r>
          </w:p>
        </w:tc>
        <w:tc>
          <w:tcPr>
            <w:tcW w:w="1209" w:type="dxa"/>
            <w:tcBorders>
              <w:top w:val="single" w:sz="4" w:space="0" w:color="auto"/>
              <w:left w:val="nil"/>
              <w:bottom w:val="single" w:sz="4" w:space="0" w:color="auto"/>
              <w:right w:val="single" w:sz="4" w:space="0" w:color="auto"/>
            </w:tcBorders>
            <w:shd w:val="clear" w:color="auto" w:fill="auto"/>
            <w:vAlign w:val="center"/>
          </w:tcPr>
          <w:p w14:paraId="749AF748" w14:textId="5CE675CE" w:rsidR="00494D4B" w:rsidRPr="001074A1" w:rsidRDefault="75809766" w:rsidP="75809766">
            <w:pPr>
              <w:widowControl w:val="0"/>
              <w:spacing w:after="0"/>
              <w:jc w:val="right"/>
              <w:rPr>
                <w:rFonts w:ascii="Times New Roman" w:eastAsia="Times New Roman" w:hAnsi="Times New Roman" w:cs="Times New Roman"/>
                <w:b/>
                <w:bCs/>
                <w:lang w:eastAsia="hu-HU"/>
              </w:rPr>
            </w:pPr>
            <w:r w:rsidRPr="75809766">
              <w:rPr>
                <w:rFonts w:ascii="Times New Roman" w:eastAsia="Times New Roman" w:hAnsi="Times New Roman" w:cs="Times New Roman"/>
                <w:b/>
                <w:bCs/>
                <w:lang w:eastAsia="hu-HU"/>
              </w:rPr>
              <w:t>729,7</w:t>
            </w:r>
            <w:r w:rsidRPr="75809766">
              <w:rPr>
                <w:rFonts w:ascii="Times New Roman" w:eastAsia="Times New Roman" w:hAnsi="Times New Roman" w:cs="Times New Roman"/>
                <w:lang w:eastAsia="hu-HU"/>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0D698F" w14:textId="15483EE4" w:rsidR="00494D4B" w:rsidRPr="001074A1" w:rsidRDefault="75809766" w:rsidP="75809766">
            <w:pPr>
              <w:widowControl w:val="0"/>
              <w:spacing w:after="0"/>
              <w:jc w:val="right"/>
              <w:rPr>
                <w:rFonts w:ascii="Times New Roman" w:eastAsia="Times New Roman" w:hAnsi="Times New Roman" w:cs="Times New Roman"/>
                <w:b/>
                <w:bCs/>
                <w:lang w:eastAsia="hu-HU"/>
              </w:rPr>
            </w:pPr>
            <w:r w:rsidRPr="75809766">
              <w:rPr>
                <w:rFonts w:ascii="Times New Roman" w:eastAsia="Times New Roman" w:hAnsi="Times New Roman" w:cs="Times New Roman"/>
                <w:b/>
                <w:bCs/>
                <w:lang w:eastAsia="hu-HU"/>
              </w:rPr>
              <w:t>50,6</w:t>
            </w:r>
            <w:r w:rsidRPr="75809766">
              <w:rPr>
                <w:rFonts w:ascii="Times New Roman" w:eastAsia="Times New Roman" w:hAnsi="Times New Roman" w:cs="Times New Roman"/>
                <w:lang w:eastAsia="hu-HU"/>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977C13" w14:textId="28A6914B" w:rsidR="00494D4B" w:rsidRPr="001074A1" w:rsidRDefault="75809766" w:rsidP="75809766">
            <w:pPr>
              <w:widowControl w:val="0"/>
              <w:spacing w:after="0"/>
              <w:jc w:val="right"/>
              <w:rPr>
                <w:rFonts w:ascii="Times New Roman" w:eastAsia="Times New Roman" w:hAnsi="Times New Roman" w:cs="Times New Roman"/>
                <w:b/>
                <w:bCs/>
                <w:lang w:eastAsia="hu-HU"/>
              </w:rPr>
            </w:pPr>
            <w:r w:rsidRPr="75809766">
              <w:rPr>
                <w:rFonts w:ascii="Times New Roman" w:eastAsia="Times New Roman" w:hAnsi="Times New Roman" w:cs="Times New Roman"/>
                <w:b/>
                <w:bCs/>
                <w:lang w:eastAsia="hu-HU"/>
              </w:rPr>
              <w:t>107,5</w:t>
            </w:r>
            <w:r w:rsidRPr="75809766">
              <w:rPr>
                <w:rFonts w:ascii="Times New Roman" w:eastAsia="Times New Roman" w:hAnsi="Times New Roman" w:cs="Times New Roman"/>
                <w:lang w:eastAsia="hu-HU"/>
              </w:rPr>
              <w:t> </w:t>
            </w:r>
          </w:p>
        </w:tc>
      </w:tr>
      <w:tr w:rsidR="00494D4B" w:rsidRPr="00377D59" w14:paraId="07715518" w14:textId="77777777" w:rsidTr="75809766">
        <w:trPr>
          <w:trHeight w:val="28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1DF5B0B" w14:textId="77777777" w:rsidR="00494D4B" w:rsidRPr="003D21B5" w:rsidRDefault="7BF38582" w:rsidP="7BF38582">
            <w:pPr>
              <w:widowControl w:val="0"/>
              <w:spacing w:after="0" w:line="240" w:lineRule="auto"/>
              <w:ind w:firstLine="285"/>
              <w:rPr>
                <w:rFonts w:ascii="Times New Roman" w:eastAsia="Times New Roman" w:hAnsi="Times New Roman" w:cs="Times New Roman"/>
                <w:i/>
                <w:iCs/>
                <w:lang w:eastAsia="hu-HU"/>
              </w:rPr>
            </w:pPr>
            <w:r w:rsidRPr="003D21B5">
              <w:rPr>
                <w:rFonts w:ascii="Times New Roman" w:eastAsia="Times New Roman" w:hAnsi="Times New Roman" w:cs="Times New Roman"/>
                <w:i/>
                <w:iCs/>
                <w:lang w:eastAsia="hu-HU"/>
              </w:rPr>
              <w:t>Ebből:</w:t>
            </w:r>
          </w:p>
        </w:tc>
        <w:tc>
          <w:tcPr>
            <w:tcW w:w="4470" w:type="dxa"/>
            <w:gridSpan w:val="4"/>
            <w:tcBorders>
              <w:top w:val="single" w:sz="4" w:space="0" w:color="auto"/>
              <w:left w:val="nil"/>
              <w:bottom w:val="single" w:sz="4" w:space="0" w:color="auto"/>
              <w:right w:val="single" w:sz="4" w:space="0" w:color="auto"/>
            </w:tcBorders>
            <w:shd w:val="clear" w:color="auto" w:fill="auto"/>
            <w:vAlign w:val="center"/>
          </w:tcPr>
          <w:p w14:paraId="60B47ECC" w14:textId="007D4839" w:rsidR="00494D4B" w:rsidRPr="003D21B5" w:rsidRDefault="75809766" w:rsidP="75809766">
            <w:pPr>
              <w:widowControl w:val="0"/>
              <w:spacing w:after="0" w:line="240" w:lineRule="auto"/>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 </w:t>
            </w:r>
          </w:p>
        </w:tc>
      </w:tr>
      <w:tr w:rsidR="00494D4B" w:rsidRPr="00377D59" w14:paraId="72B9616A" w14:textId="77777777" w:rsidTr="75809766">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1DA2C4C" w14:textId="77777777" w:rsidR="00494D4B" w:rsidRPr="003D21B5" w:rsidRDefault="7BF38582" w:rsidP="7BF38582">
            <w:pPr>
              <w:widowControl w:val="0"/>
              <w:spacing w:after="0" w:line="240" w:lineRule="auto"/>
              <w:ind w:firstLine="67"/>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Rokkantsági, rehabilitációs ellátások</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E22A63" w14:textId="10317EF3"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245,3 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0480FC73" w14:textId="66CB7CCC"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257,0 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616B24" w14:textId="34EF2BFE"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11,7 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583A17" w14:textId="556588EA"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104,8 </w:t>
            </w:r>
          </w:p>
        </w:tc>
      </w:tr>
      <w:tr w:rsidR="00494D4B" w:rsidRPr="00377D59" w14:paraId="778FD915" w14:textId="77777777" w:rsidTr="75809766">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CDB1046" w14:textId="4891E4FD" w:rsidR="00494D4B" w:rsidRPr="003D21B5" w:rsidRDefault="7BF38582" w:rsidP="7BF38582">
            <w:pPr>
              <w:widowControl w:val="0"/>
              <w:spacing w:after="0" w:line="240" w:lineRule="auto"/>
              <w:ind w:firstLine="67"/>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Gyermekgondozási díj és örökbefogadói díj</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0C3582" w14:textId="76973AA7"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217,1 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6E6D7B2A" w14:textId="08417574"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231,8 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1AEA46" w14:textId="5077C7D8"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14,7 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9A6E8D" w14:textId="304AE745"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106,8 </w:t>
            </w:r>
          </w:p>
        </w:tc>
      </w:tr>
      <w:tr w:rsidR="00494D4B" w:rsidRPr="00377D59" w14:paraId="7D62EFFD" w14:textId="77777777" w:rsidTr="75809766">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EDDE" w14:textId="77777777" w:rsidR="00494D4B" w:rsidRPr="003D21B5" w:rsidRDefault="7BF38582" w:rsidP="7BF38582">
            <w:pPr>
              <w:widowControl w:val="0"/>
              <w:spacing w:after="0" w:line="240" w:lineRule="auto"/>
              <w:ind w:firstLine="67"/>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Táppénz</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BD4593" w14:textId="7D4F5D11"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117,6 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7122EFC4" w14:textId="38AF1EC6"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137,0 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552A76" w14:textId="0669C688"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19,4 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4ADF3D" w14:textId="37DFB425" w:rsidR="00494D4B" w:rsidRPr="003D21B5" w:rsidRDefault="75809766" w:rsidP="75809766">
            <w:pPr>
              <w:widowControl w:val="0"/>
              <w:spacing w:after="0"/>
              <w:jc w:val="right"/>
              <w:rPr>
                <w:rFonts w:ascii="Times New Roman" w:eastAsia="Times New Roman" w:hAnsi="Times New Roman" w:cs="Times New Roman"/>
                <w:lang w:eastAsia="hu-HU"/>
              </w:rPr>
            </w:pPr>
            <w:r w:rsidRPr="003D21B5">
              <w:rPr>
                <w:rFonts w:ascii="Times New Roman" w:eastAsia="Times New Roman" w:hAnsi="Times New Roman" w:cs="Times New Roman"/>
                <w:lang w:eastAsia="hu-HU"/>
              </w:rPr>
              <w:t>116,5 </w:t>
            </w:r>
          </w:p>
        </w:tc>
      </w:tr>
    </w:tbl>
    <w:p w14:paraId="7F2895FE" w14:textId="58B710D7" w:rsidR="001074A1" w:rsidRDefault="7BF38582" w:rsidP="7BF38582">
      <w:pPr>
        <w:widowControl w:val="0"/>
        <w:spacing w:before="240"/>
        <w:jc w:val="both"/>
        <w:rPr>
          <w:rFonts w:ascii="Times New Roman" w:eastAsia="Times New Roman" w:hAnsi="Times New Roman" w:cs="Times New Roman"/>
          <w:sz w:val="26"/>
          <w:szCs w:val="26"/>
        </w:rPr>
      </w:pPr>
      <w:r w:rsidRPr="7BF38582">
        <w:rPr>
          <w:rFonts w:ascii="Times New Roman" w:eastAsia="Times New Roman" w:hAnsi="Times New Roman" w:cs="Times New Roman"/>
          <w:sz w:val="26"/>
          <w:szCs w:val="26"/>
        </w:rPr>
        <w:t xml:space="preserve">A </w:t>
      </w:r>
      <w:r w:rsidRPr="7BF38582">
        <w:rPr>
          <w:rFonts w:ascii="Times New Roman" w:eastAsia="Times New Roman" w:hAnsi="Times New Roman" w:cs="Times New Roman"/>
          <w:b/>
          <w:bCs/>
          <w:sz w:val="26"/>
          <w:szCs w:val="26"/>
        </w:rPr>
        <w:t>gyógyító-megelőző ellátásokra</w:t>
      </w:r>
      <w:r w:rsidRPr="7BF38582">
        <w:rPr>
          <w:rFonts w:ascii="Times New Roman" w:eastAsia="Times New Roman" w:hAnsi="Times New Roman" w:cs="Times New Roman"/>
          <w:sz w:val="26"/>
          <w:szCs w:val="26"/>
        </w:rPr>
        <w:t xml:space="preserve"> fordított kiadás 2025 első hét hónapjában 1732,0 milliárd forintot tett ki a 2024 azonos időszakában felmerülő 1562,6 milliárd forint összegű kiadással szemben.</w:t>
      </w:r>
    </w:p>
    <w:p w14:paraId="63C09739" w14:textId="69E48371" w:rsidR="13E847AC" w:rsidRDefault="7BF38582" w:rsidP="13E847AC">
      <w:pPr>
        <w:jc w:val="both"/>
      </w:pPr>
      <w:r w:rsidRPr="7BF38582">
        <w:rPr>
          <w:rFonts w:ascii="Times New Roman" w:eastAsia="Times New Roman" w:hAnsi="Times New Roman" w:cs="Times New Roman"/>
          <w:sz w:val="26"/>
          <w:szCs w:val="26"/>
        </w:rPr>
        <w:t xml:space="preserve">Az előző évhez viszonyított magasabb összegű kiadás – többek között – az egészségügyi ágazati előmeneteli szabályok hatálya alá tartozó egészségügyi szakdolgozókat és egészségügyben dolgozókat 2024. március 1-jétől megillető, átlagosan 20%-os, valamint </w:t>
      </w:r>
      <w:r w:rsidRPr="7BF38582">
        <w:rPr>
          <w:rFonts w:ascii="Times New Roman" w:eastAsia="Times New Roman" w:hAnsi="Times New Roman" w:cs="Times New Roman"/>
          <w:sz w:val="26"/>
          <w:szCs w:val="26"/>
        </w:rPr>
        <w:lastRenderedPageBreak/>
        <w:t>az alapellátásban dolgozó egészségügyi dolgozók azonos mértékű béremelésével kapcsolatosan jelentkező, 2025. évre áthúzódó hatásból ered.</w:t>
      </w:r>
    </w:p>
    <w:p w14:paraId="32E93D9D" w14:textId="3481962E" w:rsidR="13E847AC" w:rsidRDefault="7BF38582" w:rsidP="13E847AC">
      <w:pPr>
        <w:jc w:val="both"/>
      </w:pPr>
      <w:r w:rsidRPr="7BF38582">
        <w:rPr>
          <w:rFonts w:ascii="Times New Roman" w:eastAsia="Times New Roman" w:hAnsi="Times New Roman" w:cs="Times New Roman"/>
          <w:sz w:val="26"/>
          <w:szCs w:val="26"/>
        </w:rPr>
        <w:t>Az előző évhez viszonyított növekedést az is magyarázza, hogy a fekvő- és járóbeteg-szakellátás és laboratóriumi ellátás teljesítményegységeinek forintértékéről szóló új BM</w:t>
      </w:r>
      <w:r w:rsidR="00A23458">
        <w:rPr>
          <w:rFonts w:ascii="Times New Roman" w:eastAsia="Times New Roman" w:hAnsi="Times New Roman" w:cs="Times New Roman"/>
          <w:sz w:val="26"/>
          <w:szCs w:val="26"/>
        </w:rPr>
        <w:noBreakHyphen/>
      </w:r>
      <w:r w:rsidRPr="7BF38582">
        <w:rPr>
          <w:rFonts w:ascii="Times New Roman" w:eastAsia="Times New Roman" w:hAnsi="Times New Roman" w:cs="Times New Roman"/>
          <w:sz w:val="26"/>
          <w:szCs w:val="26"/>
        </w:rPr>
        <w:t>NGM együttes közlemény, illetve a Nemzeti Dialízis Központ létrehozásával kapcsolatos feladatokról és egyéb, az egészségügyi szolgáltatókat segítő finanszírozási intézkedésekről szóló 66/2025. (IV. 4.) Korm. rendelet, valamint az egészségügyi ágazati szakmai képzésekkel és az egészségügyi szolgáltatók finanszírozásával összefüggő miniszteri rendeletek módosításáról szóló 10/2025. (IV. 4.) BM rendelet alapján az Egészségbiztosítási Alap Gyógyító-megelőző ellátás alcímének 150,0</w:t>
      </w:r>
      <w:r w:rsidR="006F326F">
        <w:rPr>
          <w:rFonts w:ascii="Times New Roman" w:eastAsia="Times New Roman" w:hAnsi="Times New Roman" w:cs="Times New Roman"/>
          <w:sz w:val="26"/>
          <w:szCs w:val="26"/>
        </w:rPr>
        <w:t> </w:t>
      </w:r>
      <w:r w:rsidRPr="7BF38582">
        <w:rPr>
          <w:rFonts w:ascii="Times New Roman" w:eastAsia="Times New Roman" w:hAnsi="Times New Roman" w:cs="Times New Roman"/>
          <w:sz w:val="26"/>
          <w:szCs w:val="26"/>
        </w:rPr>
        <w:t>milliárd</w:t>
      </w:r>
      <w:r w:rsidR="006F326F">
        <w:rPr>
          <w:rFonts w:ascii="Times New Roman" w:eastAsia="Times New Roman" w:hAnsi="Times New Roman" w:cs="Times New Roman"/>
          <w:sz w:val="26"/>
          <w:szCs w:val="26"/>
        </w:rPr>
        <w:t> forin</w:t>
      </w:r>
      <w:r w:rsidRPr="7BF38582">
        <w:rPr>
          <w:rFonts w:ascii="Times New Roman" w:eastAsia="Times New Roman" w:hAnsi="Times New Roman" w:cs="Times New Roman"/>
          <w:sz w:val="26"/>
          <w:szCs w:val="26"/>
        </w:rPr>
        <w:t>t összegű, az Egészségügyi szolgáltatók kiegészítő finanszírozása megnevezésű jogcímcsoport felhasználásával 2025. januártól megtörténik a közfinanszírozásban részesülő egészségügyi szolgáltatók kifizetése.</w:t>
      </w:r>
    </w:p>
    <w:p w14:paraId="69E4940B" w14:textId="0F95B1D8" w:rsidR="001074A1" w:rsidRDefault="7BF38582" w:rsidP="7BF38582">
      <w:pPr>
        <w:jc w:val="both"/>
        <w:rPr>
          <w:rFonts w:ascii="Times New Roman" w:eastAsia="Times New Roman" w:hAnsi="Times New Roman" w:cs="Times New Roman"/>
          <w:sz w:val="26"/>
          <w:szCs w:val="26"/>
        </w:rPr>
      </w:pPr>
      <w:r w:rsidRPr="7BF38582">
        <w:rPr>
          <w:rFonts w:ascii="Times New Roman" w:eastAsia="Times New Roman" w:hAnsi="Times New Roman" w:cs="Times New Roman"/>
          <w:b/>
          <w:bCs/>
          <w:sz w:val="26"/>
          <w:szCs w:val="26"/>
        </w:rPr>
        <w:t>Gyógyszertámogatásra</w:t>
      </w:r>
      <w:r w:rsidRPr="7BF38582">
        <w:rPr>
          <w:rFonts w:ascii="Times New Roman" w:eastAsia="Times New Roman" w:hAnsi="Times New Roman" w:cs="Times New Roman"/>
          <w:sz w:val="26"/>
          <w:szCs w:val="26"/>
        </w:rPr>
        <w:t xml:space="preserve"> 2025. július végéig 337,3 milliárd forint került kifizetésre, amely 24,3 milliárd forinttal magasabb az előző év azonos időszakában kifizetett összegnél.</w:t>
      </w:r>
    </w:p>
    <w:p w14:paraId="7B768C24" w14:textId="4F783F64" w:rsidR="00B155FE" w:rsidRPr="004966FE" w:rsidRDefault="7BF38582" w:rsidP="7BF38582">
      <w:pPr>
        <w:keepNext/>
        <w:pageBreakBefore/>
        <w:numPr>
          <w:ilvl w:val="0"/>
          <w:numId w:val="3"/>
        </w:numPr>
        <w:spacing w:after="120" w:line="240" w:lineRule="auto"/>
        <w:ind w:left="714" w:hanging="357"/>
        <w:jc w:val="both"/>
        <w:outlineLvl w:val="2"/>
        <w:rPr>
          <w:rFonts w:ascii="Times New Roman" w:eastAsia="Times New Roman" w:hAnsi="Times New Roman" w:cs="Times New Roman"/>
          <w:b/>
          <w:bCs/>
          <w:smallCaps/>
          <w:sz w:val="28"/>
          <w:szCs w:val="28"/>
          <w:lang w:eastAsia="hu-HU"/>
        </w:rPr>
      </w:pPr>
      <w:r w:rsidRPr="7BF38582">
        <w:rPr>
          <w:rFonts w:ascii="Times New Roman" w:eastAsia="Times New Roman" w:hAnsi="Times New Roman" w:cs="Times New Roman"/>
          <w:b/>
          <w:bCs/>
          <w:smallCaps/>
          <w:sz w:val="28"/>
          <w:szCs w:val="28"/>
          <w:lang w:eastAsia="hu-HU"/>
        </w:rPr>
        <w:lastRenderedPageBreak/>
        <w:t>A költségvetési szervek és fejezeti kezelésű előirányzatok alakulása</w:t>
      </w:r>
    </w:p>
    <w:p w14:paraId="0CFDE309" w14:textId="253D6D39" w:rsidR="00266768" w:rsidRPr="00920B37" w:rsidRDefault="7BF38582" w:rsidP="00A0268E">
      <w:pPr>
        <w:spacing w:before="240"/>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sz w:val="26"/>
          <w:szCs w:val="26"/>
          <w:lang w:eastAsia="hu-HU"/>
        </w:rPr>
        <w:t xml:space="preserve">A </w:t>
      </w:r>
      <w:r w:rsidRPr="7BF38582">
        <w:rPr>
          <w:rFonts w:ascii="Times New Roman" w:eastAsia="Times New Roman" w:hAnsi="Times New Roman" w:cs="Times New Roman"/>
          <w:b/>
          <w:bCs/>
          <w:sz w:val="26"/>
          <w:szCs w:val="26"/>
          <w:lang w:eastAsia="hu-HU"/>
        </w:rPr>
        <w:t>költségvetési szervek bevételei</w:t>
      </w:r>
      <w:r w:rsidRPr="7BF38582">
        <w:rPr>
          <w:rFonts w:ascii="Times New Roman" w:eastAsia="Times New Roman" w:hAnsi="Times New Roman" w:cs="Times New Roman"/>
          <w:sz w:val="26"/>
          <w:szCs w:val="26"/>
          <w:lang w:eastAsia="hu-HU"/>
        </w:rPr>
        <w:t xml:space="preserve"> 2025 első </w:t>
      </w:r>
      <w:r w:rsidR="00920B37">
        <w:rPr>
          <w:rFonts w:ascii="Times New Roman" w:eastAsia="Times New Roman" w:hAnsi="Times New Roman" w:cs="Times New Roman"/>
          <w:sz w:val="26"/>
          <w:szCs w:val="26"/>
          <w:lang w:eastAsia="hu-HU"/>
        </w:rPr>
        <w:t>hét hónapjában</w:t>
      </w:r>
      <w:r w:rsidRPr="7BF38582">
        <w:rPr>
          <w:rFonts w:ascii="Times New Roman" w:eastAsia="Times New Roman" w:hAnsi="Times New Roman" w:cs="Times New Roman"/>
          <w:sz w:val="26"/>
          <w:szCs w:val="26"/>
          <w:lang w:eastAsia="hu-HU"/>
        </w:rPr>
        <w:t xml:space="preserve"> 1</w:t>
      </w:r>
      <w:r w:rsidR="00920B37">
        <w:rPr>
          <w:rFonts w:ascii="Times New Roman" w:eastAsia="Times New Roman" w:hAnsi="Times New Roman" w:cs="Times New Roman"/>
          <w:sz w:val="26"/>
          <w:szCs w:val="26"/>
          <w:lang w:eastAsia="hu-HU"/>
        </w:rPr>
        <w:t>931,3</w:t>
      </w:r>
      <w:r w:rsidRPr="7BF38582">
        <w:rPr>
          <w:rFonts w:ascii="Times New Roman" w:eastAsia="Times New Roman" w:hAnsi="Times New Roman" w:cs="Times New Roman"/>
          <w:sz w:val="26"/>
          <w:szCs w:val="26"/>
          <w:lang w:eastAsia="hu-HU"/>
        </w:rPr>
        <w:t xml:space="preserve"> milliárd forintot tettek </w:t>
      </w:r>
      <w:r w:rsidRPr="00920B37">
        <w:rPr>
          <w:rFonts w:ascii="Times New Roman" w:eastAsia="Times New Roman" w:hAnsi="Times New Roman" w:cs="Times New Roman"/>
          <w:sz w:val="26"/>
          <w:szCs w:val="26"/>
          <w:lang w:eastAsia="hu-HU"/>
        </w:rPr>
        <w:t>ki, amely 18,</w:t>
      </w:r>
      <w:r w:rsidR="00920B37" w:rsidRPr="00920B37">
        <w:rPr>
          <w:rFonts w:ascii="Times New Roman" w:eastAsia="Times New Roman" w:hAnsi="Times New Roman" w:cs="Times New Roman"/>
          <w:sz w:val="26"/>
          <w:szCs w:val="26"/>
          <w:lang w:eastAsia="hu-HU"/>
        </w:rPr>
        <w:t>4</w:t>
      </w:r>
      <w:r w:rsidRPr="00920B37">
        <w:rPr>
          <w:rFonts w:ascii="Times New Roman" w:eastAsia="Times New Roman" w:hAnsi="Times New Roman" w:cs="Times New Roman"/>
          <w:sz w:val="26"/>
          <w:szCs w:val="26"/>
          <w:lang w:eastAsia="hu-HU"/>
        </w:rPr>
        <w:t xml:space="preserve">%-kal magasabb az előző év azonos időszakának bevételeihez képest. Az intézmények bevételei közül </w:t>
      </w:r>
      <w:r w:rsidR="00920B37" w:rsidRPr="00920B37">
        <w:rPr>
          <w:rFonts w:ascii="Times New Roman" w:eastAsia="Times New Roman" w:hAnsi="Times New Roman" w:cs="Times New Roman"/>
          <w:sz w:val="26"/>
          <w:szCs w:val="26"/>
          <w:lang w:eastAsia="hu-HU"/>
        </w:rPr>
        <w:t>937,4</w:t>
      </w:r>
      <w:r w:rsidRPr="00920B37">
        <w:rPr>
          <w:rFonts w:ascii="Times New Roman" w:eastAsia="Times New Roman" w:hAnsi="Times New Roman" w:cs="Times New Roman"/>
          <w:sz w:val="26"/>
          <w:szCs w:val="26"/>
          <w:lang w:eastAsia="hu-HU"/>
        </w:rPr>
        <w:t> milliárd forintot tett ki a Nemzeti Egészségbiztosítási Alapkezelő által az egészségügyi intézményeknek utalt támogatás.</w:t>
      </w:r>
    </w:p>
    <w:p w14:paraId="02FB9B34" w14:textId="7C08141A" w:rsidR="00266768" w:rsidRPr="007B6DF2" w:rsidRDefault="7BF38582" w:rsidP="7BF38582">
      <w:pPr>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sz w:val="26"/>
          <w:szCs w:val="26"/>
          <w:lang w:eastAsia="hu-HU"/>
        </w:rPr>
        <w:t xml:space="preserve">A </w:t>
      </w:r>
      <w:r w:rsidRPr="7BF38582">
        <w:rPr>
          <w:rFonts w:ascii="Times New Roman" w:eastAsia="Times New Roman" w:hAnsi="Times New Roman" w:cs="Times New Roman"/>
          <w:b/>
          <w:bCs/>
          <w:sz w:val="26"/>
          <w:szCs w:val="26"/>
          <w:lang w:eastAsia="hu-HU"/>
        </w:rPr>
        <w:t>szakmai fejezeti kezelésű előirányzatok bevételei</w:t>
      </w:r>
      <w:r w:rsidRPr="7BF38582">
        <w:rPr>
          <w:rFonts w:ascii="Times New Roman" w:eastAsia="Times New Roman" w:hAnsi="Times New Roman" w:cs="Times New Roman"/>
          <w:sz w:val="26"/>
          <w:szCs w:val="26"/>
          <w:lang w:eastAsia="hu-HU"/>
        </w:rPr>
        <w:t xml:space="preserve"> 2025 első </w:t>
      </w:r>
      <w:r w:rsidR="00920B37">
        <w:rPr>
          <w:rFonts w:ascii="Times New Roman" w:eastAsia="Times New Roman" w:hAnsi="Times New Roman" w:cs="Times New Roman"/>
          <w:sz w:val="26"/>
          <w:szCs w:val="26"/>
          <w:lang w:eastAsia="hu-HU"/>
        </w:rPr>
        <w:t>hét hónapjában</w:t>
      </w:r>
      <w:r w:rsidRPr="7BF38582">
        <w:rPr>
          <w:rFonts w:ascii="Times New Roman" w:eastAsia="Times New Roman" w:hAnsi="Times New Roman" w:cs="Times New Roman"/>
          <w:sz w:val="26"/>
          <w:szCs w:val="26"/>
          <w:lang w:eastAsia="hu-HU"/>
        </w:rPr>
        <w:t xml:space="preserve"> 2</w:t>
      </w:r>
      <w:r w:rsidR="00920B37">
        <w:rPr>
          <w:rFonts w:ascii="Times New Roman" w:eastAsia="Times New Roman" w:hAnsi="Times New Roman" w:cs="Times New Roman"/>
          <w:sz w:val="26"/>
          <w:szCs w:val="26"/>
          <w:lang w:eastAsia="hu-HU"/>
        </w:rPr>
        <w:t>93,1</w:t>
      </w:r>
      <w:r w:rsidRPr="7BF38582">
        <w:rPr>
          <w:rFonts w:ascii="Times New Roman" w:eastAsia="Times New Roman" w:hAnsi="Times New Roman" w:cs="Times New Roman"/>
          <w:sz w:val="26"/>
          <w:szCs w:val="26"/>
          <w:lang w:eastAsia="hu-HU"/>
        </w:rPr>
        <w:t> milliárd forintot tettek ki, mely 1</w:t>
      </w:r>
      <w:r w:rsidR="00920B37">
        <w:rPr>
          <w:rFonts w:ascii="Times New Roman" w:eastAsia="Times New Roman" w:hAnsi="Times New Roman" w:cs="Times New Roman"/>
          <w:sz w:val="26"/>
          <w:szCs w:val="26"/>
          <w:lang w:eastAsia="hu-HU"/>
        </w:rPr>
        <w:t>1,2</w:t>
      </w:r>
      <w:r w:rsidRPr="7BF38582">
        <w:rPr>
          <w:rFonts w:ascii="Times New Roman" w:eastAsia="Times New Roman" w:hAnsi="Times New Roman" w:cs="Times New Roman"/>
          <w:sz w:val="26"/>
          <w:szCs w:val="26"/>
          <w:lang w:eastAsia="hu-HU"/>
        </w:rPr>
        <w:t xml:space="preserve">%-kal </w:t>
      </w:r>
      <w:r w:rsidR="00920B37">
        <w:rPr>
          <w:rFonts w:ascii="Times New Roman" w:eastAsia="Times New Roman" w:hAnsi="Times New Roman" w:cs="Times New Roman"/>
          <w:sz w:val="26"/>
          <w:szCs w:val="26"/>
          <w:lang w:eastAsia="hu-HU"/>
        </w:rPr>
        <w:t>magasabb</w:t>
      </w:r>
      <w:r w:rsidRPr="7BF38582">
        <w:rPr>
          <w:rFonts w:ascii="Times New Roman" w:eastAsia="Times New Roman" w:hAnsi="Times New Roman" w:cs="Times New Roman"/>
          <w:sz w:val="26"/>
          <w:szCs w:val="26"/>
          <w:lang w:eastAsia="hu-HU"/>
        </w:rPr>
        <w:t xml:space="preserve"> az előző év azonos időszakának bevételéhez képest. A bevételek jelentős részét az „Alapok alapja GINOP pénzügyi eszközök” törvényi sorra befolyt összegek teszik ki, melyek nem uniós bevételként jóváírt tételek.</w:t>
      </w:r>
    </w:p>
    <w:p w14:paraId="56786471" w14:textId="032F1B99" w:rsidR="00B63DA3" w:rsidRPr="004966FE" w:rsidRDefault="7BF38582" w:rsidP="7BF38582">
      <w:pPr>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sz w:val="26"/>
          <w:szCs w:val="26"/>
          <w:lang w:eastAsia="hu-HU"/>
        </w:rPr>
        <w:t xml:space="preserve">A </w:t>
      </w:r>
      <w:r w:rsidRPr="7BF38582">
        <w:rPr>
          <w:rFonts w:ascii="Times New Roman" w:hAnsi="Times New Roman" w:cs="Times New Roman"/>
          <w:sz w:val="26"/>
          <w:szCs w:val="26"/>
          <w:lang w:eastAsia="hu-HU"/>
        </w:rPr>
        <w:t xml:space="preserve">2025. év első </w:t>
      </w:r>
      <w:r w:rsidR="00920B37">
        <w:rPr>
          <w:rFonts w:ascii="Times New Roman" w:hAnsi="Times New Roman" w:cs="Times New Roman"/>
          <w:sz w:val="26"/>
          <w:szCs w:val="26"/>
          <w:lang w:eastAsia="hu-HU"/>
        </w:rPr>
        <w:t>héthavi</w:t>
      </w:r>
      <w:r w:rsidRPr="7BF38582">
        <w:rPr>
          <w:rFonts w:ascii="Times New Roman" w:hAnsi="Times New Roman" w:cs="Times New Roman"/>
          <w:sz w:val="26"/>
          <w:szCs w:val="26"/>
          <w:lang w:eastAsia="hu-HU"/>
        </w:rPr>
        <w:t>, </w:t>
      </w:r>
      <w:r w:rsidR="00920B37">
        <w:rPr>
          <w:rFonts w:ascii="Times New Roman" w:hAnsi="Times New Roman" w:cs="Times New Roman"/>
          <w:sz w:val="26"/>
          <w:szCs w:val="26"/>
          <w:lang w:eastAsia="hu-HU"/>
        </w:rPr>
        <w:t>2224,4</w:t>
      </w:r>
      <w:r w:rsidRPr="7BF38582">
        <w:rPr>
          <w:rFonts w:ascii="Times New Roman" w:hAnsi="Times New Roman" w:cs="Times New Roman"/>
          <w:sz w:val="26"/>
          <w:szCs w:val="26"/>
          <w:lang w:eastAsia="hu-HU"/>
        </w:rPr>
        <w:t> milliárd forint összegű bevételek megoszlását a következő grafikon szemlélteti</w:t>
      </w:r>
      <w:r w:rsidRPr="7BF38582">
        <w:rPr>
          <w:rFonts w:ascii="Times New Roman" w:eastAsia="Times New Roman" w:hAnsi="Times New Roman" w:cs="Times New Roman"/>
          <w:sz w:val="26"/>
          <w:szCs w:val="26"/>
          <w:lang w:eastAsia="hu-HU"/>
        </w:rPr>
        <w:t>:</w:t>
      </w:r>
    </w:p>
    <w:p w14:paraId="576D18BB" w14:textId="5F6EDBC9" w:rsidR="00B056CC" w:rsidRPr="00377D59" w:rsidRDefault="00E56F21" w:rsidP="00C2238F">
      <w:pPr>
        <w:spacing w:before="240" w:after="120"/>
        <w:jc w:val="center"/>
        <w:rPr>
          <w:rFonts w:ascii="Times New Roman" w:eastAsia="Times New Roman" w:hAnsi="Times New Roman" w:cs="Times New Roman"/>
          <w:b/>
          <w:sz w:val="26"/>
          <w:szCs w:val="26"/>
        </w:rPr>
      </w:pPr>
      <w:r>
        <w:rPr>
          <w:noProof/>
        </w:rPr>
        <w:drawing>
          <wp:inline distT="0" distB="0" distL="0" distR="0" wp14:anchorId="3AF286E3" wp14:editId="2C306C0E">
            <wp:extent cx="5669280" cy="3099166"/>
            <wp:effectExtent l="0" t="0" r="7620" b="6350"/>
            <wp:docPr id="90050537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505379" name=""/>
                    <pic:cNvPicPr/>
                  </pic:nvPicPr>
                  <pic:blipFill>
                    <a:blip r:embed="rId24"/>
                    <a:stretch>
                      <a:fillRect/>
                    </a:stretch>
                  </pic:blipFill>
                  <pic:spPr>
                    <a:xfrm>
                      <a:off x="0" y="0"/>
                      <a:ext cx="5678159" cy="3104020"/>
                    </a:xfrm>
                    <a:prstGeom prst="rect">
                      <a:avLst/>
                    </a:prstGeom>
                  </pic:spPr>
                </pic:pic>
              </a:graphicData>
            </a:graphic>
          </wp:inline>
        </w:drawing>
      </w:r>
    </w:p>
    <w:p w14:paraId="47C331B2" w14:textId="2144AF6C" w:rsidR="00266768" w:rsidRPr="00E56F21" w:rsidRDefault="7BF38582" w:rsidP="00A0268E">
      <w:pPr>
        <w:spacing w:before="240"/>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sz w:val="26"/>
          <w:szCs w:val="26"/>
          <w:lang w:eastAsia="hu-HU"/>
        </w:rPr>
        <w:t xml:space="preserve">A </w:t>
      </w:r>
      <w:r w:rsidRPr="7BF38582">
        <w:rPr>
          <w:rFonts w:ascii="Times New Roman" w:eastAsia="Times New Roman" w:hAnsi="Times New Roman" w:cs="Times New Roman"/>
          <w:b/>
          <w:bCs/>
          <w:sz w:val="26"/>
          <w:szCs w:val="26"/>
          <w:lang w:eastAsia="hu-HU"/>
        </w:rPr>
        <w:t>költségvetési szervek kiadásai</w:t>
      </w:r>
      <w:r w:rsidRPr="7BF38582">
        <w:rPr>
          <w:rFonts w:ascii="Times New Roman" w:eastAsia="Times New Roman" w:hAnsi="Times New Roman" w:cs="Times New Roman"/>
          <w:sz w:val="26"/>
          <w:szCs w:val="26"/>
          <w:lang w:eastAsia="hu-HU"/>
        </w:rPr>
        <w:t xml:space="preserve"> mérlegsoron 2025 első </w:t>
      </w:r>
      <w:r w:rsidR="00920B37">
        <w:rPr>
          <w:rFonts w:ascii="Times New Roman" w:eastAsia="Times New Roman" w:hAnsi="Times New Roman" w:cs="Times New Roman"/>
          <w:sz w:val="26"/>
          <w:szCs w:val="26"/>
          <w:lang w:eastAsia="hu-HU"/>
        </w:rPr>
        <w:t>hét hónapjában</w:t>
      </w:r>
      <w:r w:rsidRPr="7BF38582">
        <w:rPr>
          <w:rFonts w:ascii="Times New Roman" w:eastAsia="Times New Roman" w:hAnsi="Times New Roman" w:cs="Times New Roman"/>
          <w:sz w:val="26"/>
          <w:szCs w:val="26"/>
          <w:lang w:eastAsia="hu-HU"/>
        </w:rPr>
        <w:t xml:space="preserve"> </w:t>
      </w:r>
      <w:r w:rsidR="00920B37">
        <w:rPr>
          <w:rFonts w:ascii="Times New Roman" w:eastAsia="Times New Roman" w:hAnsi="Times New Roman" w:cs="Times New Roman"/>
          <w:sz w:val="26"/>
          <w:szCs w:val="26"/>
          <w:lang w:eastAsia="hu-HU"/>
        </w:rPr>
        <w:t>5421,8</w:t>
      </w:r>
      <w:r w:rsidRPr="7BF38582">
        <w:rPr>
          <w:rFonts w:ascii="Times New Roman" w:eastAsia="Times New Roman" w:hAnsi="Times New Roman" w:cs="Times New Roman"/>
          <w:sz w:val="26"/>
          <w:szCs w:val="26"/>
          <w:lang w:eastAsia="hu-HU"/>
        </w:rPr>
        <w:t xml:space="preserve"> milliárd forint kiadás teljesült, mely </w:t>
      </w:r>
      <w:r w:rsidR="00920B37">
        <w:rPr>
          <w:rFonts w:ascii="Times New Roman" w:eastAsia="Times New Roman" w:hAnsi="Times New Roman" w:cs="Times New Roman"/>
          <w:sz w:val="26"/>
          <w:szCs w:val="26"/>
          <w:lang w:eastAsia="hu-HU"/>
        </w:rPr>
        <w:t>10,8</w:t>
      </w:r>
      <w:r w:rsidRPr="7BF38582">
        <w:rPr>
          <w:rFonts w:ascii="Times New Roman" w:eastAsia="Times New Roman" w:hAnsi="Times New Roman" w:cs="Times New Roman"/>
          <w:sz w:val="26"/>
          <w:szCs w:val="26"/>
          <w:lang w:eastAsia="hu-HU"/>
        </w:rPr>
        <w:t xml:space="preserve">%-kal magasabb az előző év azonos időszakának kiadásaihoz </w:t>
      </w:r>
      <w:r w:rsidRPr="00920B37">
        <w:rPr>
          <w:rFonts w:ascii="Times New Roman" w:eastAsia="Times New Roman" w:hAnsi="Times New Roman" w:cs="Times New Roman"/>
          <w:sz w:val="26"/>
          <w:szCs w:val="26"/>
          <w:lang w:eastAsia="hu-HU"/>
        </w:rPr>
        <w:t xml:space="preserve">képest. A kiadásból </w:t>
      </w:r>
      <w:r w:rsidR="00920B37" w:rsidRPr="00920B37">
        <w:rPr>
          <w:rFonts w:ascii="Times New Roman" w:eastAsia="Times New Roman" w:hAnsi="Times New Roman" w:cs="Times New Roman"/>
          <w:sz w:val="26"/>
          <w:szCs w:val="26"/>
          <w:lang w:eastAsia="hu-HU"/>
        </w:rPr>
        <w:t>3038,5</w:t>
      </w:r>
      <w:r w:rsidRPr="00920B37">
        <w:rPr>
          <w:rFonts w:ascii="Times New Roman" w:eastAsia="Times New Roman" w:hAnsi="Times New Roman" w:cs="Times New Roman"/>
          <w:sz w:val="26"/>
          <w:szCs w:val="26"/>
          <w:lang w:eastAsia="hu-HU"/>
        </w:rPr>
        <w:t> milliárd forint a személyi juttatásokra és munkaadókat terhelő járulékokra kifizetett összeg.</w:t>
      </w:r>
    </w:p>
    <w:p w14:paraId="690E18FB" w14:textId="75616208" w:rsidR="0074788C" w:rsidRPr="004966FE" w:rsidRDefault="7BF38582" w:rsidP="00A0268E">
      <w:pPr>
        <w:spacing w:before="240"/>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sz w:val="26"/>
          <w:szCs w:val="26"/>
          <w:lang w:eastAsia="hu-HU"/>
        </w:rPr>
        <w:t xml:space="preserve">A </w:t>
      </w:r>
      <w:r w:rsidRPr="7BF38582">
        <w:rPr>
          <w:rFonts w:ascii="Times New Roman" w:eastAsia="Times New Roman" w:hAnsi="Times New Roman" w:cs="Times New Roman"/>
          <w:b/>
          <w:bCs/>
          <w:sz w:val="26"/>
          <w:szCs w:val="26"/>
          <w:lang w:eastAsia="hu-HU"/>
        </w:rPr>
        <w:t>szakmai fejezeti kezelésű előirányzatok kiadásai</w:t>
      </w:r>
      <w:r w:rsidRPr="7BF38582">
        <w:rPr>
          <w:rFonts w:ascii="Times New Roman" w:eastAsia="Times New Roman" w:hAnsi="Times New Roman" w:cs="Times New Roman"/>
          <w:sz w:val="26"/>
          <w:szCs w:val="26"/>
          <w:lang w:eastAsia="hu-HU"/>
        </w:rPr>
        <w:t xml:space="preserve"> mérlegsoron 2025 első </w:t>
      </w:r>
      <w:r w:rsidR="00920B37">
        <w:rPr>
          <w:rFonts w:ascii="Times New Roman" w:eastAsia="Times New Roman" w:hAnsi="Times New Roman" w:cs="Times New Roman"/>
          <w:sz w:val="26"/>
          <w:szCs w:val="26"/>
          <w:lang w:eastAsia="hu-HU"/>
        </w:rPr>
        <w:t>hét</w:t>
      </w:r>
      <w:r w:rsidR="00CE12F5">
        <w:rPr>
          <w:rFonts w:ascii="Times New Roman" w:eastAsia="Times New Roman" w:hAnsi="Times New Roman" w:cs="Times New Roman"/>
          <w:sz w:val="26"/>
          <w:szCs w:val="26"/>
          <w:lang w:eastAsia="hu-HU"/>
        </w:rPr>
        <w:t> </w:t>
      </w:r>
      <w:r w:rsidR="00920B37">
        <w:rPr>
          <w:rFonts w:ascii="Times New Roman" w:eastAsia="Times New Roman" w:hAnsi="Times New Roman" w:cs="Times New Roman"/>
          <w:sz w:val="26"/>
          <w:szCs w:val="26"/>
          <w:lang w:eastAsia="hu-HU"/>
        </w:rPr>
        <w:t>hónapjában</w:t>
      </w:r>
      <w:r w:rsidRPr="7BF38582">
        <w:rPr>
          <w:rFonts w:ascii="Times New Roman" w:eastAsia="Times New Roman" w:hAnsi="Times New Roman" w:cs="Times New Roman"/>
          <w:sz w:val="26"/>
          <w:szCs w:val="26"/>
          <w:lang w:eastAsia="hu-HU"/>
        </w:rPr>
        <w:t xml:space="preserve"> </w:t>
      </w:r>
      <w:r w:rsidR="00920B37">
        <w:rPr>
          <w:rFonts w:ascii="Times New Roman" w:eastAsia="Times New Roman" w:hAnsi="Times New Roman" w:cs="Times New Roman"/>
          <w:sz w:val="26"/>
          <w:szCs w:val="26"/>
          <w:lang w:eastAsia="hu-HU"/>
        </w:rPr>
        <w:t>3095,8</w:t>
      </w:r>
      <w:r w:rsidRPr="7BF38582">
        <w:rPr>
          <w:rFonts w:ascii="Times New Roman" w:eastAsia="Times New Roman" w:hAnsi="Times New Roman" w:cs="Times New Roman"/>
          <w:sz w:val="26"/>
          <w:szCs w:val="26"/>
          <w:lang w:eastAsia="hu-HU"/>
        </w:rPr>
        <w:t xml:space="preserve"> milliárd forint kiadás teljesült, mely </w:t>
      </w:r>
      <w:r w:rsidR="00920B37">
        <w:rPr>
          <w:rFonts w:ascii="Times New Roman" w:eastAsia="Times New Roman" w:hAnsi="Times New Roman" w:cs="Times New Roman"/>
          <w:sz w:val="26"/>
          <w:szCs w:val="26"/>
          <w:lang w:eastAsia="hu-HU"/>
        </w:rPr>
        <w:t>13,2</w:t>
      </w:r>
      <w:r w:rsidRPr="7BF38582">
        <w:rPr>
          <w:rFonts w:ascii="Times New Roman" w:eastAsia="Times New Roman" w:hAnsi="Times New Roman" w:cs="Times New Roman"/>
          <w:sz w:val="26"/>
          <w:szCs w:val="26"/>
          <w:lang w:eastAsia="hu-HU"/>
        </w:rPr>
        <w:t>%-kal magasabb, mint az előző év azonos időszakának kiadása. Ezen időszak teljesítéséből az alábbi kiadások emelhetők ki:</w:t>
      </w:r>
    </w:p>
    <w:p w14:paraId="1F07A5C3" w14:textId="5CE13A09" w:rsidR="000E4F73" w:rsidRPr="00BE4BAC" w:rsidRDefault="5DC4A04A" w:rsidP="0E6BB81D">
      <w:pPr>
        <w:jc w:val="both"/>
        <w:rPr>
          <w:rFonts w:ascii="Times New Roman" w:eastAsia="Times New Roman" w:hAnsi="Times New Roman" w:cs="Times New Roman"/>
          <w:sz w:val="26"/>
          <w:szCs w:val="26"/>
          <w:lang w:eastAsia="hu-HU"/>
        </w:rPr>
      </w:pPr>
      <w:r w:rsidRPr="004966FE">
        <w:rPr>
          <w:rFonts w:ascii="Times New Roman" w:eastAsia="Times New Roman" w:hAnsi="Times New Roman" w:cs="Times New Roman"/>
          <w:color w:val="FF0000"/>
          <w:sz w:val="26"/>
          <w:szCs w:val="26"/>
          <w:lang w:eastAsia="hu-HU"/>
        </w:rPr>
        <w:br w:type="page"/>
      </w:r>
    </w:p>
    <w:p w14:paraId="036EE87C" w14:textId="77777777" w:rsidR="000E4F73" w:rsidRPr="00A61DE1" w:rsidRDefault="7BF38582" w:rsidP="7BF38582">
      <w:pPr>
        <w:spacing w:after="120" w:line="240" w:lineRule="auto"/>
        <w:jc w:val="right"/>
        <w:rPr>
          <w:rFonts w:ascii="Times New Roman" w:eastAsia="Times New Roman" w:hAnsi="Times New Roman" w:cs="Times New Roman"/>
          <w:i/>
          <w:iCs/>
          <w:sz w:val="20"/>
          <w:szCs w:val="20"/>
          <w:lang w:eastAsia="hu-HU"/>
        </w:rPr>
      </w:pPr>
      <w:r w:rsidRPr="7BF38582">
        <w:rPr>
          <w:rFonts w:ascii="Times New Roman" w:eastAsia="Times New Roman" w:hAnsi="Times New Roman" w:cs="Times New Roman"/>
          <w:i/>
          <w:iCs/>
          <w:sz w:val="20"/>
          <w:szCs w:val="20"/>
          <w:lang w:eastAsia="hu-HU"/>
        </w:rPr>
        <w:lastRenderedPageBreak/>
        <w:t>milliárd forint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92"/>
        <w:gridCol w:w="851"/>
      </w:tblGrid>
      <w:tr w:rsidR="00D33705" w:rsidRPr="00D33705" w14:paraId="26A524AC" w14:textId="77777777" w:rsidTr="75809766">
        <w:trPr>
          <w:trHeight w:val="340"/>
        </w:trPr>
        <w:tc>
          <w:tcPr>
            <w:tcW w:w="8392" w:type="dxa"/>
            <w:tcMar>
              <w:top w:w="0" w:type="dxa"/>
              <w:left w:w="108" w:type="dxa"/>
              <w:bottom w:w="0" w:type="dxa"/>
              <w:right w:w="108" w:type="dxa"/>
            </w:tcMar>
            <w:vAlign w:val="center"/>
            <w:hideMark/>
          </w:tcPr>
          <w:p w14:paraId="6ABFE3F3" w14:textId="77777777" w:rsidR="009E65F5" w:rsidRPr="00D33705" w:rsidRDefault="7BF38582" w:rsidP="7BF38582">
            <w:pPr>
              <w:spacing w:after="0" w:line="240" w:lineRule="auto"/>
              <w:jc w:val="both"/>
              <w:rPr>
                <w:rFonts w:ascii="Times New Roman" w:hAnsi="Times New Roman" w:cs="Times New Roman"/>
                <w:sz w:val="24"/>
                <w:szCs w:val="24"/>
                <w:lang w:eastAsia="hu-HU"/>
              </w:rPr>
            </w:pPr>
            <w:r w:rsidRPr="7BF38582">
              <w:rPr>
                <w:rFonts w:ascii="Times New Roman" w:hAnsi="Times New Roman" w:cs="Times New Roman"/>
                <w:sz w:val="24"/>
                <w:szCs w:val="24"/>
                <w:lang w:eastAsia="hu-HU"/>
              </w:rPr>
              <w:t>Normatív finanszírozás (köznevelési célú humánszolgáltatás és működési támogatás, hit- és erkölcstanoktatás és tankönyvtámogatás, illetve szociális, gyermekvédelmi, gyermekjóléti és fogyatékos személyek esélyegyenlőségét elősegítő célelőirányzatok)</w:t>
            </w:r>
          </w:p>
        </w:tc>
        <w:tc>
          <w:tcPr>
            <w:tcW w:w="851" w:type="dxa"/>
            <w:noWrap/>
            <w:tcMar>
              <w:top w:w="0" w:type="dxa"/>
              <w:left w:w="108" w:type="dxa"/>
              <w:bottom w:w="0" w:type="dxa"/>
              <w:right w:w="108" w:type="dxa"/>
            </w:tcMar>
            <w:vAlign w:val="center"/>
          </w:tcPr>
          <w:p w14:paraId="5E98CAB3" w14:textId="6C7FD294" w:rsidR="009E65F5" w:rsidRPr="00D33705" w:rsidRDefault="00920B37" w:rsidP="75809766">
            <w:pPr>
              <w:spacing w:after="0" w:line="240" w:lineRule="auto"/>
              <w:jc w:val="right"/>
              <w:rPr>
                <w:rFonts w:ascii="Times New Roman" w:hAnsi="Times New Roman" w:cs="Times New Roman"/>
                <w:sz w:val="24"/>
                <w:szCs w:val="24"/>
                <w:lang w:eastAsia="hu-HU"/>
              </w:rPr>
            </w:pPr>
            <w:r>
              <w:rPr>
                <w:rFonts w:ascii="Times New Roman" w:hAnsi="Times New Roman" w:cs="Times New Roman"/>
                <w:sz w:val="24"/>
                <w:szCs w:val="24"/>
                <w:lang w:eastAsia="hu-HU"/>
              </w:rPr>
              <w:t>608,5</w:t>
            </w:r>
          </w:p>
        </w:tc>
      </w:tr>
      <w:tr w:rsidR="00D33705" w:rsidRPr="00D33705" w14:paraId="0AE5AE84" w14:textId="77777777" w:rsidTr="75809766">
        <w:trPr>
          <w:trHeight w:val="283"/>
        </w:trPr>
        <w:tc>
          <w:tcPr>
            <w:tcW w:w="8392" w:type="dxa"/>
            <w:tcMar>
              <w:top w:w="0" w:type="dxa"/>
              <w:left w:w="108" w:type="dxa"/>
              <w:bottom w:w="0" w:type="dxa"/>
              <w:right w:w="108" w:type="dxa"/>
            </w:tcMar>
            <w:vAlign w:val="center"/>
            <w:hideMark/>
          </w:tcPr>
          <w:p w14:paraId="788D5244" w14:textId="77777777" w:rsidR="004F3641" w:rsidRPr="00D33705" w:rsidRDefault="7BF38582" w:rsidP="7BF38582">
            <w:pPr>
              <w:spacing w:after="0" w:line="240" w:lineRule="auto"/>
              <w:jc w:val="both"/>
              <w:rPr>
                <w:rFonts w:ascii="Times New Roman" w:hAnsi="Times New Roman" w:cs="Times New Roman"/>
                <w:sz w:val="24"/>
                <w:szCs w:val="24"/>
                <w:lang w:eastAsia="hu-HU"/>
              </w:rPr>
            </w:pPr>
            <w:r w:rsidRPr="7BF38582">
              <w:rPr>
                <w:rFonts w:ascii="Times New Roman" w:hAnsi="Times New Roman" w:cs="Times New Roman"/>
                <w:sz w:val="24"/>
                <w:szCs w:val="24"/>
                <w:lang w:eastAsia="hu-HU"/>
              </w:rPr>
              <w:t>Nem állami felsőoktatási intézmények támogatása</w:t>
            </w:r>
          </w:p>
        </w:tc>
        <w:tc>
          <w:tcPr>
            <w:tcW w:w="851" w:type="dxa"/>
            <w:noWrap/>
            <w:tcMar>
              <w:top w:w="0" w:type="dxa"/>
              <w:left w:w="108" w:type="dxa"/>
              <w:bottom w:w="0" w:type="dxa"/>
              <w:right w:w="108" w:type="dxa"/>
            </w:tcMar>
            <w:vAlign w:val="center"/>
          </w:tcPr>
          <w:p w14:paraId="6099E4A6" w14:textId="1A438A7D" w:rsidR="004F3641" w:rsidRPr="00D33705" w:rsidRDefault="75809766" w:rsidP="75809766">
            <w:pPr>
              <w:spacing w:after="0" w:line="240" w:lineRule="auto"/>
              <w:jc w:val="right"/>
              <w:rPr>
                <w:rFonts w:ascii="Times New Roman" w:hAnsi="Times New Roman" w:cs="Times New Roman"/>
                <w:sz w:val="24"/>
                <w:szCs w:val="24"/>
                <w:lang w:eastAsia="hu-HU"/>
              </w:rPr>
            </w:pPr>
            <w:r w:rsidRPr="75809766">
              <w:rPr>
                <w:rFonts w:ascii="Times New Roman" w:hAnsi="Times New Roman" w:cs="Times New Roman"/>
                <w:sz w:val="24"/>
                <w:szCs w:val="24"/>
                <w:lang w:eastAsia="hu-HU"/>
              </w:rPr>
              <w:t>3</w:t>
            </w:r>
            <w:r w:rsidR="00920B37">
              <w:rPr>
                <w:rFonts w:ascii="Times New Roman" w:hAnsi="Times New Roman" w:cs="Times New Roman"/>
                <w:sz w:val="24"/>
                <w:szCs w:val="24"/>
                <w:lang w:eastAsia="hu-HU"/>
              </w:rPr>
              <w:t>51,3</w:t>
            </w:r>
          </w:p>
        </w:tc>
      </w:tr>
      <w:tr w:rsidR="005E5043" w:rsidRPr="00D33705" w14:paraId="10831F7B" w14:textId="77777777" w:rsidTr="00E57393">
        <w:trPr>
          <w:trHeight w:val="278"/>
        </w:trPr>
        <w:tc>
          <w:tcPr>
            <w:tcW w:w="8392" w:type="dxa"/>
            <w:tcMar>
              <w:top w:w="0" w:type="dxa"/>
              <w:left w:w="108" w:type="dxa"/>
              <w:bottom w:w="0" w:type="dxa"/>
              <w:right w:w="108" w:type="dxa"/>
            </w:tcMar>
            <w:vAlign w:val="center"/>
            <w:hideMark/>
          </w:tcPr>
          <w:p w14:paraId="3B056F19" w14:textId="77777777" w:rsidR="005E5043" w:rsidRPr="00D33705" w:rsidRDefault="005E5043" w:rsidP="00E57393">
            <w:pPr>
              <w:spacing w:after="0" w:line="240" w:lineRule="auto"/>
              <w:jc w:val="both"/>
              <w:rPr>
                <w:rFonts w:ascii="Times New Roman" w:hAnsi="Times New Roman" w:cs="Times New Roman"/>
                <w:sz w:val="24"/>
                <w:szCs w:val="24"/>
                <w:lang w:eastAsia="hu-HU"/>
              </w:rPr>
            </w:pPr>
            <w:r w:rsidRPr="7BF38582">
              <w:rPr>
                <w:rFonts w:ascii="Times New Roman" w:hAnsi="Times New Roman" w:cs="Times New Roman"/>
                <w:sz w:val="24"/>
                <w:szCs w:val="24"/>
                <w:lang w:eastAsia="hu-HU"/>
              </w:rPr>
              <w:t>Turisztikai fejlesztési célelőirányzat</w:t>
            </w:r>
          </w:p>
        </w:tc>
        <w:tc>
          <w:tcPr>
            <w:tcW w:w="851" w:type="dxa"/>
            <w:noWrap/>
            <w:tcMar>
              <w:top w:w="0" w:type="dxa"/>
              <w:left w:w="108" w:type="dxa"/>
              <w:bottom w:w="0" w:type="dxa"/>
              <w:right w:w="108" w:type="dxa"/>
            </w:tcMar>
            <w:vAlign w:val="center"/>
          </w:tcPr>
          <w:p w14:paraId="5A83E207" w14:textId="3A98E375" w:rsidR="005E5043" w:rsidRPr="00D33705" w:rsidRDefault="005E5043" w:rsidP="00E57393">
            <w:pPr>
              <w:spacing w:after="0" w:line="240" w:lineRule="auto"/>
              <w:jc w:val="right"/>
              <w:rPr>
                <w:rFonts w:ascii="Times New Roman" w:hAnsi="Times New Roman" w:cs="Times New Roman"/>
                <w:sz w:val="24"/>
                <w:szCs w:val="24"/>
                <w:lang w:eastAsia="hu-HU"/>
              </w:rPr>
            </w:pPr>
            <w:r>
              <w:rPr>
                <w:rFonts w:ascii="Times New Roman" w:hAnsi="Times New Roman" w:cs="Times New Roman"/>
                <w:sz w:val="24"/>
                <w:szCs w:val="24"/>
                <w:lang w:eastAsia="hu-HU"/>
              </w:rPr>
              <w:t>94,6</w:t>
            </w:r>
          </w:p>
        </w:tc>
      </w:tr>
      <w:tr w:rsidR="00D33705" w:rsidRPr="00D33705" w14:paraId="7FA8470F" w14:textId="77777777" w:rsidTr="75809766">
        <w:trPr>
          <w:trHeight w:val="283"/>
        </w:trPr>
        <w:tc>
          <w:tcPr>
            <w:tcW w:w="8392" w:type="dxa"/>
            <w:tcMar>
              <w:top w:w="0" w:type="dxa"/>
              <w:left w:w="108" w:type="dxa"/>
              <w:bottom w:w="0" w:type="dxa"/>
              <w:right w:w="108" w:type="dxa"/>
            </w:tcMar>
            <w:vAlign w:val="center"/>
          </w:tcPr>
          <w:p w14:paraId="72345CFD" w14:textId="77777777" w:rsidR="00D33705" w:rsidRPr="00D33705" w:rsidRDefault="7BF38582" w:rsidP="7BF38582">
            <w:pPr>
              <w:spacing w:after="0" w:line="240" w:lineRule="auto"/>
              <w:jc w:val="both"/>
              <w:rPr>
                <w:rFonts w:ascii="Times New Roman" w:hAnsi="Times New Roman" w:cs="Times New Roman"/>
                <w:sz w:val="24"/>
                <w:szCs w:val="24"/>
                <w:lang w:eastAsia="hu-HU"/>
              </w:rPr>
            </w:pPr>
            <w:r w:rsidRPr="7BF38582">
              <w:rPr>
                <w:rFonts w:ascii="Times New Roman" w:hAnsi="Times New Roman" w:cs="Times New Roman"/>
                <w:sz w:val="24"/>
                <w:szCs w:val="24"/>
                <w:lang w:eastAsia="hu-HU"/>
              </w:rPr>
              <w:t>Közlekedési ágazati programok</w:t>
            </w:r>
          </w:p>
        </w:tc>
        <w:tc>
          <w:tcPr>
            <w:tcW w:w="851" w:type="dxa"/>
            <w:noWrap/>
            <w:tcMar>
              <w:top w:w="0" w:type="dxa"/>
              <w:left w:w="108" w:type="dxa"/>
              <w:bottom w:w="0" w:type="dxa"/>
              <w:right w:w="108" w:type="dxa"/>
            </w:tcMar>
            <w:vAlign w:val="center"/>
          </w:tcPr>
          <w:p w14:paraId="5DE04447" w14:textId="57FD528B" w:rsidR="00D33705" w:rsidRPr="00D33705" w:rsidRDefault="75809766" w:rsidP="75809766">
            <w:pPr>
              <w:spacing w:after="0" w:line="240" w:lineRule="auto"/>
              <w:jc w:val="right"/>
              <w:rPr>
                <w:rFonts w:ascii="Times New Roman" w:hAnsi="Times New Roman" w:cs="Times New Roman"/>
                <w:sz w:val="24"/>
                <w:szCs w:val="24"/>
                <w:lang w:eastAsia="hu-HU"/>
              </w:rPr>
            </w:pPr>
            <w:r w:rsidRPr="75809766">
              <w:rPr>
                <w:rFonts w:ascii="Times New Roman" w:hAnsi="Times New Roman" w:cs="Times New Roman"/>
                <w:sz w:val="24"/>
                <w:szCs w:val="24"/>
                <w:lang w:eastAsia="hu-HU"/>
              </w:rPr>
              <w:t>86,6</w:t>
            </w:r>
          </w:p>
        </w:tc>
      </w:tr>
      <w:tr w:rsidR="00D33705" w:rsidRPr="00D33705" w14:paraId="42DCA3C3" w14:textId="77777777" w:rsidTr="75809766">
        <w:trPr>
          <w:trHeight w:val="283"/>
        </w:trPr>
        <w:tc>
          <w:tcPr>
            <w:tcW w:w="8392" w:type="dxa"/>
            <w:tcMar>
              <w:top w:w="0" w:type="dxa"/>
              <w:left w:w="108" w:type="dxa"/>
              <w:bottom w:w="0" w:type="dxa"/>
              <w:right w:w="108" w:type="dxa"/>
            </w:tcMar>
            <w:vAlign w:val="center"/>
          </w:tcPr>
          <w:p w14:paraId="7FA3B2CA" w14:textId="7C75A97E" w:rsidR="00A61DE1" w:rsidRPr="00D33705" w:rsidRDefault="7BF38582" w:rsidP="7BF38582">
            <w:pPr>
              <w:spacing w:after="0" w:line="240" w:lineRule="auto"/>
              <w:jc w:val="both"/>
              <w:rPr>
                <w:rFonts w:ascii="Times New Roman" w:hAnsi="Times New Roman" w:cs="Times New Roman"/>
                <w:sz w:val="24"/>
                <w:szCs w:val="24"/>
                <w:lang w:eastAsia="hu-HU"/>
              </w:rPr>
            </w:pPr>
            <w:r w:rsidRPr="7BF38582">
              <w:rPr>
                <w:rFonts w:ascii="Times New Roman" w:hAnsi="Times New Roman" w:cs="Times New Roman"/>
                <w:sz w:val="24"/>
                <w:szCs w:val="24"/>
                <w:lang w:eastAsia="hu-HU"/>
              </w:rPr>
              <w:t>Térségi fejlesztési feladatok</w:t>
            </w:r>
          </w:p>
        </w:tc>
        <w:tc>
          <w:tcPr>
            <w:tcW w:w="851" w:type="dxa"/>
            <w:noWrap/>
            <w:tcMar>
              <w:top w:w="0" w:type="dxa"/>
              <w:left w:w="108" w:type="dxa"/>
              <w:bottom w:w="0" w:type="dxa"/>
              <w:right w:w="108" w:type="dxa"/>
            </w:tcMar>
            <w:vAlign w:val="center"/>
          </w:tcPr>
          <w:p w14:paraId="460EDA61" w14:textId="5A8AD550" w:rsidR="00A61DE1" w:rsidRPr="00D33705" w:rsidRDefault="005E5043" w:rsidP="75809766">
            <w:pPr>
              <w:spacing w:after="0" w:line="240" w:lineRule="auto"/>
              <w:jc w:val="right"/>
              <w:rPr>
                <w:rFonts w:ascii="Times New Roman" w:hAnsi="Times New Roman" w:cs="Times New Roman"/>
                <w:sz w:val="24"/>
                <w:szCs w:val="24"/>
                <w:lang w:eastAsia="hu-HU"/>
              </w:rPr>
            </w:pPr>
            <w:r>
              <w:rPr>
                <w:rFonts w:ascii="Times New Roman" w:hAnsi="Times New Roman" w:cs="Times New Roman"/>
                <w:sz w:val="24"/>
                <w:szCs w:val="24"/>
                <w:lang w:eastAsia="hu-HU"/>
              </w:rPr>
              <w:t>71,4</w:t>
            </w:r>
          </w:p>
        </w:tc>
      </w:tr>
      <w:tr w:rsidR="00D33705" w:rsidRPr="00D33705" w14:paraId="54E44312" w14:textId="77777777" w:rsidTr="75809766">
        <w:trPr>
          <w:trHeight w:val="283"/>
        </w:trPr>
        <w:tc>
          <w:tcPr>
            <w:tcW w:w="8392" w:type="dxa"/>
            <w:tcMar>
              <w:top w:w="0" w:type="dxa"/>
              <w:left w:w="108" w:type="dxa"/>
              <w:bottom w:w="0" w:type="dxa"/>
              <w:right w:w="108" w:type="dxa"/>
            </w:tcMar>
            <w:vAlign w:val="center"/>
          </w:tcPr>
          <w:p w14:paraId="15AF8429" w14:textId="7663E529" w:rsidR="009E65F5" w:rsidRPr="00D33705" w:rsidRDefault="005E5043" w:rsidP="7BF38582">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Megváltozott munkaképességű munkavállalók foglalkoztatásának támogatás</w:t>
            </w:r>
          </w:p>
        </w:tc>
        <w:tc>
          <w:tcPr>
            <w:tcW w:w="851" w:type="dxa"/>
            <w:noWrap/>
            <w:tcMar>
              <w:top w:w="0" w:type="dxa"/>
              <w:left w:w="108" w:type="dxa"/>
              <w:bottom w:w="0" w:type="dxa"/>
              <w:right w:w="108" w:type="dxa"/>
            </w:tcMar>
            <w:vAlign w:val="center"/>
          </w:tcPr>
          <w:p w14:paraId="096DD07F" w14:textId="378253D8" w:rsidR="009E65F5" w:rsidRPr="00D33705" w:rsidRDefault="005E5043" w:rsidP="75809766">
            <w:pPr>
              <w:spacing w:after="0" w:line="240" w:lineRule="auto"/>
              <w:jc w:val="right"/>
              <w:rPr>
                <w:rFonts w:ascii="Times New Roman" w:hAnsi="Times New Roman" w:cs="Times New Roman"/>
                <w:sz w:val="24"/>
                <w:szCs w:val="24"/>
                <w:lang w:eastAsia="hu-HU"/>
              </w:rPr>
            </w:pPr>
            <w:r>
              <w:rPr>
                <w:rFonts w:ascii="Times New Roman" w:hAnsi="Times New Roman" w:cs="Times New Roman"/>
                <w:sz w:val="24"/>
                <w:szCs w:val="24"/>
                <w:lang w:eastAsia="hu-HU"/>
              </w:rPr>
              <w:t>42,3</w:t>
            </w:r>
          </w:p>
        </w:tc>
      </w:tr>
      <w:tr w:rsidR="005E5043" w:rsidRPr="00D33705" w14:paraId="691BD3D5" w14:textId="77777777" w:rsidTr="75809766">
        <w:trPr>
          <w:trHeight w:val="283"/>
        </w:trPr>
        <w:tc>
          <w:tcPr>
            <w:tcW w:w="8392" w:type="dxa"/>
            <w:tcMar>
              <w:top w:w="0" w:type="dxa"/>
              <w:left w:w="108" w:type="dxa"/>
              <w:bottom w:w="0" w:type="dxa"/>
              <w:right w:w="108" w:type="dxa"/>
            </w:tcMar>
            <w:vAlign w:val="center"/>
          </w:tcPr>
          <w:p w14:paraId="005FD7E5" w14:textId="4D256046" w:rsidR="005E5043" w:rsidRPr="00D33705" w:rsidRDefault="005E5043" w:rsidP="7BF38582">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Beruházás ösztönzési célelőirányzat</w:t>
            </w:r>
          </w:p>
        </w:tc>
        <w:tc>
          <w:tcPr>
            <w:tcW w:w="851" w:type="dxa"/>
            <w:noWrap/>
            <w:tcMar>
              <w:top w:w="0" w:type="dxa"/>
              <w:left w:w="108" w:type="dxa"/>
              <w:bottom w:w="0" w:type="dxa"/>
              <w:right w:w="108" w:type="dxa"/>
            </w:tcMar>
            <w:vAlign w:val="center"/>
          </w:tcPr>
          <w:p w14:paraId="77EA0DAE" w14:textId="5722DD73" w:rsidR="005E5043" w:rsidRPr="00D33705" w:rsidRDefault="005E5043" w:rsidP="75809766">
            <w:pPr>
              <w:spacing w:after="0" w:line="240" w:lineRule="auto"/>
              <w:jc w:val="right"/>
              <w:rPr>
                <w:rFonts w:ascii="Times New Roman" w:hAnsi="Times New Roman" w:cs="Times New Roman"/>
                <w:sz w:val="24"/>
                <w:szCs w:val="24"/>
                <w:lang w:eastAsia="hu-HU"/>
              </w:rPr>
            </w:pPr>
            <w:r>
              <w:rPr>
                <w:rFonts w:ascii="Times New Roman" w:hAnsi="Times New Roman" w:cs="Times New Roman"/>
                <w:sz w:val="24"/>
                <w:szCs w:val="24"/>
                <w:lang w:eastAsia="hu-HU"/>
              </w:rPr>
              <w:t>41,8</w:t>
            </w:r>
          </w:p>
        </w:tc>
      </w:tr>
    </w:tbl>
    <w:p w14:paraId="130E1B4D" w14:textId="68DBC39C" w:rsidR="0033462C" w:rsidRPr="00A61DE1" w:rsidRDefault="7BF38582" w:rsidP="7BF38582">
      <w:pPr>
        <w:spacing w:before="160" w:after="0"/>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sz w:val="26"/>
          <w:szCs w:val="26"/>
          <w:lang w:eastAsia="hu-HU"/>
        </w:rPr>
        <w:t xml:space="preserve">A 2025. év első </w:t>
      </w:r>
      <w:r w:rsidR="00920B37">
        <w:rPr>
          <w:rFonts w:ascii="Times New Roman" w:eastAsia="Times New Roman" w:hAnsi="Times New Roman" w:cs="Times New Roman"/>
          <w:sz w:val="26"/>
          <w:szCs w:val="26"/>
          <w:lang w:eastAsia="hu-HU"/>
        </w:rPr>
        <w:t>héthavi</w:t>
      </w:r>
      <w:r w:rsidRPr="7BF38582">
        <w:rPr>
          <w:rFonts w:ascii="Times New Roman" w:eastAsia="Times New Roman" w:hAnsi="Times New Roman" w:cs="Times New Roman"/>
          <w:sz w:val="26"/>
          <w:szCs w:val="26"/>
          <w:lang w:eastAsia="hu-HU"/>
        </w:rPr>
        <w:t xml:space="preserve">, </w:t>
      </w:r>
      <w:r w:rsidR="00920B37">
        <w:rPr>
          <w:rFonts w:ascii="Times New Roman" w:eastAsia="Times New Roman" w:hAnsi="Times New Roman" w:cs="Times New Roman"/>
          <w:sz w:val="26"/>
          <w:szCs w:val="26"/>
          <w:lang w:eastAsia="hu-HU"/>
        </w:rPr>
        <w:t>8517,6</w:t>
      </w:r>
      <w:r w:rsidRPr="7BF38582">
        <w:rPr>
          <w:rFonts w:ascii="Times New Roman" w:eastAsia="Times New Roman" w:hAnsi="Times New Roman" w:cs="Times New Roman"/>
          <w:sz w:val="26"/>
          <w:szCs w:val="26"/>
          <w:lang w:eastAsia="hu-HU"/>
        </w:rPr>
        <w:t> milliárd forint összegű kiadás</w:t>
      </w:r>
      <w:r w:rsidR="002D1B11">
        <w:rPr>
          <w:rFonts w:ascii="Times New Roman" w:eastAsia="Times New Roman" w:hAnsi="Times New Roman" w:cs="Times New Roman"/>
          <w:sz w:val="26"/>
          <w:szCs w:val="26"/>
          <w:lang w:eastAsia="hu-HU"/>
        </w:rPr>
        <w:t>ok</w:t>
      </w:r>
      <w:r w:rsidRPr="7BF38582">
        <w:rPr>
          <w:rFonts w:ascii="Times New Roman" w:eastAsia="Times New Roman" w:hAnsi="Times New Roman" w:cs="Times New Roman"/>
          <w:sz w:val="26"/>
          <w:szCs w:val="26"/>
          <w:lang w:eastAsia="hu-HU"/>
        </w:rPr>
        <w:t xml:space="preserve"> megoszlását a következő grafikon szemlélteti:</w:t>
      </w:r>
    </w:p>
    <w:p w14:paraId="3599A16D" w14:textId="1A6F3BD6" w:rsidR="00B056CC" w:rsidRDefault="00E56F21" w:rsidP="009C33A4">
      <w:pPr>
        <w:spacing w:before="240"/>
        <w:jc w:val="center"/>
        <w:rPr>
          <w:rFonts w:ascii="Times New Roman" w:eastAsia="Times New Roman" w:hAnsi="Times New Roman" w:cs="Times New Roman"/>
          <w:b/>
          <w:sz w:val="26"/>
          <w:szCs w:val="26"/>
        </w:rPr>
      </w:pPr>
      <w:r>
        <w:rPr>
          <w:noProof/>
        </w:rPr>
        <w:drawing>
          <wp:inline distT="0" distB="0" distL="0" distR="0" wp14:anchorId="38573F02" wp14:editId="468EAB9F">
            <wp:extent cx="5558443" cy="3275558"/>
            <wp:effectExtent l="0" t="0" r="4445" b="1270"/>
            <wp:docPr id="99362355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3552" name=""/>
                    <pic:cNvPicPr/>
                  </pic:nvPicPr>
                  <pic:blipFill rotWithShape="1">
                    <a:blip r:embed="rId25"/>
                    <a:srcRect l="2799" b="1479"/>
                    <a:stretch/>
                  </pic:blipFill>
                  <pic:spPr bwMode="auto">
                    <a:xfrm>
                      <a:off x="0" y="0"/>
                      <a:ext cx="5570003" cy="3282370"/>
                    </a:xfrm>
                    <a:prstGeom prst="rect">
                      <a:avLst/>
                    </a:prstGeom>
                    <a:ln>
                      <a:noFill/>
                    </a:ln>
                    <a:extLst>
                      <a:ext uri="{53640926-AAD7-44D8-BBD7-CCE9431645EC}">
                        <a14:shadowObscured xmlns:a14="http://schemas.microsoft.com/office/drawing/2010/main"/>
                      </a:ext>
                    </a:extLst>
                  </pic:spPr>
                </pic:pic>
              </a:graphicData>
            </a:graphic>
          </wp:inline>
        </w:drawing>
      </w:r>
    </w:p>
    <w:p w14:paraId="7B768C4E" w14:textId="3E063542" w:rsidR="00B155FE" w:rsidRPr="00377D59" w:rsidRDefault="7BF38582" w:rsidP="7BF38582">
      <w:pPr>
        <w:keepNext/>
        <w:numPr>
          <w:ilvl w:val="0"/>
          <w:numId w:val="3"/>
        </w:numPr>
        <w:ind w:left="714" w:hanging="357"/>
        <w:jc w:val="both"/>
        <w:outlineLvl w:val="2"/>
        <w:rPr>
          <w:rFonts w:ascii="Times New Roman" w:eastAsia="Times New Roman" w:hAnsi="Times New Roman" w:cs="Times New Roman"/>
          <w:b/>
          <w:bCs/>
          <w:smallCaps/>
          <w:sz w:val="28"/>
          <w:szCs w:val="28"/>
          <w:lang w:eastAsia="hu-HU"/>
        </w:rPr>
      </w:pPr>
      <w:r w:rsidRPr="7BF38582">
        <w:rPr>
          <w:rFonts w:ascii="Times New Roman" w:eastAsia="Times New Roman" w:hAnsi="Times New Roman" w:cs="Times New Roman"/>
          <w:b/>
          <w:bCs/>
          <w:smallCaps/>
          <w:sz w:val="28"/>
          <w:szCs w:val="28"/>
          <w:lang w:eastAsia="hu-HU"/>
        </w:rPr>
        <w:t>Kamategyenleg</w:t>
      </w:r>
    </w:p>
    <w:p w14:paraId="0047F521" w14:textId="7A0AED26" w:rsidR="003F3151" w:rsidRDefault="7BF38582" w:rsidP="7BF38582">
      <w:pPr>
        <w:jc w:val="both"/>
        <w:rPr>
          <w:rFonts w:ascii="Times New Roman" w:hAnsi="Times New Roman" w:cs="Times New Roman"/>
          <w:sz w:val="26"/>
          <w:szCs w:val="26"/>
        </w:rPr>
      </w:pPr>
      <w:r w:rsidRPr="7BF38582">
        <w:rPr>
          <w:rFonts w:ascii="Times New Roman" w:hAnsi="Times New Roman" w:cs="Times New Roman"/>
          <w:sz w:val="26"/>
          <w:szCs w:val="26"/>
          <w:lang w:eastAsia="hu-HU"/>
        </w:rPr>
        <w:t xml:space="preserve">A bevételek és kiadások egyenlegeként adódó 2524,4 milliárd forint összegű </w:t>
      </w:r>
      <w:r w:rsidRPr="7BF38582">
        <w:rPr>
          <w:rFonts w:ascii="Times New Roman" w:hAnsi="Times New Roman" w:cs="Times New Roman"/>
          <w:b/>
          <w:bCs/>
          <w:sz w:val="26"/>
          <w:szCs w:val="26"/>
          <w:lang w:eastAsia="hu-HU"/>
        </w:rPr>
        <w:t>nettó</w:t>
      </w:r>
      <w:r w:rsidRPr="7BF38582">
        <w:rPr>
          <w:rFonts w:ascii="Times New Roman" w:hAnsi="Times New Roman" w:cs="Times New Roman"/>
          <w:b/>
          <w:bCs/>
          <w:sz w:val="26"/>
          <w:szCs w:val="26"/>
        </w:rPr>
        <w:t xml:space="preserve"> kamatkiadás</w:t>
      </w:r>
      <w:r w:rsidRPr="7BF38582">
        <w:rPr>
          <w:rFonts w:ascii="Times New Roman" w:hAnsi="Times New Roman" w:cs="Times New Roman"/>
          <w:sz w:val="26"/>
          <w:szCs w:val="26"/>
        </w:rPr>
        <w:t xml:space="preserve"> július végéig 571,2 milliárd forinttal lett magasabb az előző évhez képest, mely az előző évitől különböző hozamokkal és finanszírozási szerkezettel magyarázható.</w:t>
      </w:r>
    </w:p>
    <w:p w14:paraId="7B768C50" w14:textId="77777777" w:rsidR="00B155FE" w:rsidRPr="00377D59" w:rsidRDefault="00B155FE" w:rsidP="00B155FE">
      <w:pPr>
        <w:tabs>
          <w:tab w:val="left" w:pos="550"/>
        </w:tabs>
        <w:spacing w:before="120" w:after="120" w:line="240" w:lineRule="auto"/>
        <w:jc w:val="both"/>
        <w:rPr>
          <w:rFonts w:ascii="Times New Roman" w:eastAsia="Times New Roman" w:hAnsi="Times New Roman" w:cs="Times New Roman"/>
          <w:caps/>
          <w:sz w:val="26"/>
          <w:szCs w:val="20"/>
          <w:lang w:eastAsia="hu-HU"/>
        </w:rPr>
      </w:pPr>
      <w:r w:rsidRPr="00377D59">
        <w:rPr>
          <w:rFonts w:ascii="Times New Roman" w:eastAsia="Times New Roman" w:hAnsi="Times New Roman" w:cs="Times New Roman"/>
          <w:caps/>
          <w:sz w:val="26"/>
          <w:szCs w:val="20"/>
          <w:lang w:eastAsia="hu-HU"/>
        </w:rPr>
        <w:br w:type="page"/>
      </w:r>
    </w:p>
    <w:p w14:paraId="688B9DA7" w14:textId="77777777" w:rsidR="00C9408B" w:rsidRDefault="7BF38582" w:rsidP="7BF38582">
      <w:pPr>
        <w:keepNext/>
        <w:spacing w:after="120" w:line="240" w:lineRule="auto"/>
        <w:jc w:val="center"/>
        <w:outlineLvl w:val="3"/>
        <w:rPr>
          <w:rFonts w:ascii="Times New Roman" w:eastAsia="Times New Roman" w:hAnsi="Times New Roman" w:cs="Times New Roman"/>
          <w:b/>
          <w:bCs/>
          <w:caps/>
          <w:sz w:val="26"/>
          <w:szCs w:val="26"/>
          <w:lang w:eastAsia="hu-HU"/>
        </w:rPr>
      </w:pPr>
      <w:r w:rsidRPr="7BF38582">
        <w:rPr>
          <w:rFonts w:ascii="Times New Roman" w:eastAsia="Times New Roman" w:hAnsi="Times New Roman" w:cs="Times New Roman"/>
          <w:b/>
          <w:bCs/>
          <w:caps/>
          <w:sz w:val="26"/>
          <w:szCs w:val="26"/>
          <w:lang w:eastAsia="hu-HU"/>
        </w:rPr>
        <w:lastRenderedPageBreak/>
        <w:t>II.</w:t>
      </w:r>
    </w:p>
    <w:p w14:paraId="7B768C51" w14:textId="63BB059C" w:rsidR="00B155FE" w:rsidRPr="00377D59" w:rsidRDefault="7BF38582" w:rsidP="7BF38582">
      <w:pPr>
        <w:keepNext/>
        <w:spacing w:after="240" w:line="240" w:lineRule="auto"/>
        <w:jc w:val="center"/>
        <w:outlineLvl w:val="3"/>
        <w:rPr>
          <w:rFonts w:ascii="Times New Roman" w:eastAsia="Times New Roman" w:hAnsi="Times New Roman" w:cs="Times New Roman"/>
          <w:b/>
          <w:bCs/>
          <w:caps/>
          <w:sz w:val="26"/>
          <w:szCs w:val="26"/>
          <w:lang w:eastAsia="hu-HU"/>
        </w:rPr>
      </w:pPr>
      <w:r w:rsidRPr="7BF38582">
        <w:rPr>
          <w:rFonts w:ascii="Times New Roman" w:eastAsia="Times New Roman" w:hAnsi="Times New Roman" w:cs="Times New Roman"/>
          <w:b/>
          <w:bCs/>
          <w:caps/>
          <w:sz w:val="26"/>
          <w:szCs w:val="26"/>
          <w:lang w:eastAsia="hu-HU"/>
        </w:rPr>
        <w:t>Az államháztartás központi alrendszerének finanszírozása</w:t>
      </w:r>
    </w:p>
    <w:p w14:paraId="06C778E7" w14:textId="51EC267D" w:rsidR="00710A26" w:rsidRPr="008E6DF0" w:rsidRDefault="7BF38582" w:rsidP="7BF38582">
      <w:pPr>
        <w:ind w:right="23"/>
        <w:jc w:val="both"/>
        <w:rPr>
          <w:rFonts w:ascii="Times New Roman" w:eastAsia="Times New Roman" w:hAnsi="Times New Roman" w:cs="Times New Roman"/>
          <w:b/>
          <w:bCs/>
          <w:sz w:val="26"/>
          <w:szCs w:val="26"/>
          <w:lang w:eastAsia="hu-HU"/>
        </w:rPr>
      </w:pPr>
      <w:r w:rsidRPr="7BF38582">
        <w:rPr>
          <w:rFonts w:ascii="Times New Roman" w:eastAsia="Times New Roman" w:hAnsi="Times New Roman" w:cs="Times New Roman"/>
          <w:sz w:val="26"/>
          <w:szCs w:val="26"/>
          <w:lang w:eastAsia="hu-HU"/>
        </w:rPr>
        <w:t>A központi költségvetés adóssága 2025. július végéig 4695,9 milliárd forinttal növekedett a következő négy tényező eredményeképpen:</w:t>
      </w:r>
    </w:p>
    <w:p w14:paraId="15763855" w14:textId="6B8D7C0C" w:rsidR="007B0B76" w:rsidRPr="007B0B76" w:rsidRDefault="7BF38582" w:rsidP="7BF38582">
      <w:pPr>
        <w:pStyle w:val="Listaszerbekezds"/>
        <w:numPr>
          <w:ilvl w:val="0"/>
          <w:numId w:val="2"/>
        </w:numPr>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b/>
          <w:bCs/>
          <w:sz w:val="26"/>
          <w:szCs w:val="26"/>
          <w:lang w:eastAsia="hu-HU"/>
        </w:rPr>
        <w:t>Az első tényező a nettó forintkibocsátás,</w:t>
      </w:r>
      <w:r w:rsidRPr="7BF38582">
        <w:rPr>
          <w:rFonts w:ascii="Times New Roman" w:eastAsia="Times New Roman" w:hAnsi="Times New Roman" w:cs="Times New Roman"/>
          <w:sz w:val="26"/>
          <w:szCs w:val="26"/>
          <w:lang w:eastAsia="hu-HU"/>
        </w:rPr>
        <w:t xml:space="preserve"> amely 2460,4 milliárd forinttal növelte az adósságot, így segítette a költségvetési hiány egy részének finanszírozását.</w:t>
      </w:r>
    </w:p>
    <w:p w14:paraId="5F984159" w14:textId="2DDCD51E" w:rsidR="00E5484A" w:rsidRDefault="7BF38582" w:rsidP="7BF38582">
      <w:pPr>
        <w:pStyle w:val="Listaszerbekezds"/>
        <w:numPr>
          <w:ilvl w:val="0"/>
          <w:numId w:val="2"/>
        </w:numPr>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b/>
          <w:bCs/>
          <w:sz w:val="26"/>
          <w:szCs w:val="26"/>
          <w:lang w:eastAsia="hu-HU"/>
        </w:rPr>
        <w:t>A második – szintén növelő hatású – tényező</w:t>
      </w:r>
      <w:r w:rsidRPr="7BF38582">
        <w:rPr>
          <w:rFonts w:ascii="Times New Roman" w:eastAsia="Times New Roman" w:hAnsi="Times New Roman" w:cs="Times New Roman"/>
          <w:sz w:val="26"/>
          <w:szCs w:val="26"/>
          <w:lang w:eastAsia="hu-HU"/>
        </w:rPr>
        <w:t xml:space="preserve"> a nettó devizakibocsátás, amely 2828,7 milliárd forint összegben hozzájárul a hiány finanszírozásához és a devizabetétállomány növekedéséhez.</w:t>
      </w:r>
    </w:p>
    <w:p w14:paraId="743050E5" w14:textId="60345159" w:rsidR="007B0B76" w:rsidRDefault="7BF38582" w:rsidP="7BF38582">
      <w:pPr>
        <w:pStyle w:val="Listaszerbekezds"/>
        <w:numPr>
          <w:ilvl w:val="0"/>
          <w:numId w:val="2"/>
        </w:numPr>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b/>
          <w:bCs/>
          <w:sz w:val="26"/>
          <w:szCs w:val="26"/>
          <w:lang w:eastAsia="hu-HU"/>
        </w:rPr>
        <w:t>A harmadik – fentiekkel ellentétes, csökkentő hatású – tényező</w:t>
      </w:r>
      <w:r w:rsidRPr="7BF38582">
        <w:rPr>
          <w:rFonts w:ascii="Times New Roman" w:eastAsia="Times New Roman" w:hAnsi="Times New Roman" w:cs="Times New Roman"/>
          <w:sz w:val="26"/>
          <w:szCs w:val="26"/>
          <w:lang w:eastAsia="hu-HU"/>
        </w:rPr>
        <w:t xml:space="preserve"> a forint árfolyamának az elmúlt év végéhez képest bekövetkezett erősödése, amely az adósság devizában fennálló részének forintban számított nyilvántartási értékét 485,2 milliárd forinttal mérsékelte.</w:t>
      </w:r>
    </w:p>
    <w:p w14:paraId="6EF36E84" w14:textId="3E1B5FBA" w:rsidR="007B0B76" w:rsidRDefault="75809766" w:rsidP="75809766">
      <w:pPr>
        <w:pStyle w:val="Listaszerbekezds"/>
        <w:numPr>
          <w:ilvl w:val="0"/>
          <w:numId w:val="2"/>
        </w:numPr>
        <w:jc w:val="both"/>
        <w:rPr>
          <w:rFonts w:ascii="Times New Roman" w:eastAsia="Times New Roman" w:hAnsi="Times New Roman" w:cs="Times New Roman"/>
          <w:sz w:val="26"/>
          <w:szCs w:val="26"/>
          <w:lang w:eastAsia="hu-HU"/>
        </w:rPr>
      </w:pPr>
      <w:r w:rsidRPr="75809766">
        <w:rPr>
          <w:rFonts w:ascii="Times New Roman" w:eastAsia="Times New Roman" w:hAnsi="Times New Roman" w:cs="Times New Roman"/>
          <w:b/>
          <w:bCs/>
          <w:sz w:val="26"/>
          <w:szCs w:val="26"/>
          <w:lang w:eastAsia="hu-HU"/>
        </w:rPr>
        <w:t>A negyedik – további csökkentő hatású – tényező</w:t>
      </w:r>
      <w:r w:rsidRPr="75809766">
        <w:rPr>
          <w:rFonts w:ascii="Times New Roman" w:eastAsia="Times New Roman" w:hAnsi="Times New Roman" w:cs="Times New Roman"/>
          <w:sz w:val="26"/>
          <w:szCs w:val="26"/>
          <w:lang w:eastAsia="hu-HU"/>
        </w:rPr>
        <w:t xml:space="preserve"> a deviza-keresztárfolyamok változása és az egyéb tényezők miatt bekövetkezett mark-to-market betétállományok csökkenése 108,0 milliárd forint összegben.</w:t>
      </w:r>
    </w:p>
    <w:p w14:paraId="111568C6" w14:textId="77777777" w:rsidR="007B0B76" w:rsidRDefault="007B0B76" w:rsidP="007B0B76">
      <w:pPr>
        <w:jc w:val="both"/>
        <w:rPr>
          <w:rFonts w:ascii="Times New Roman" w:eastAsia="Times New Roman" w:hAnsi="Times New Roman" w:cs="Times New Roman"/>
          <w:sz w:val="26"/>
          <w:szCs w:val="26"/>
          <w:lang w:eastAsia="hu-HU"/>
        </w:rPr>
      </w:pPr>
    </w:p>
    <w:p w14:paraId="157CBCF7" w14:textId="192A582E" w:rsidR="007B0B76" w:rsidRPr="007B0B76" w:rsidRDefault="007B0B76" w:rsidP="007B0B76">
      <w:pPr>
        <w:jc w:val="both"/>
        <w:rPr>
          <w:rFonts w:ascii="Times New Roman" w:eastAsia="Times New Roman" w:hAnsi="Times New Roman" w:cs="Times New Roman"/>
          <w:sz w:val="26"/>
          <w:szCs w:val="26"/>
          <w:lang w:eastAsia="hu-HU"/>
        </w:rPr>
        <w:sectPr w:rsidR="007B0B76" w:rsidRPr="007B0B76" w:rsidSect="007449BF">
          <w:headerReference w:type="default" r:id="rId26"/>
          <w:footerReference w:type="default" r:id="rId27"/>
          <w:footnotePr>
            <w:numRestart w:val="eachPage"/>
          </w:footnotePr>
          <w:pgSz w:w="11907" w:h="16840" w:code="9"/>
          <w:pgMar w:top="1134" w:right="1134" w:bottom="1418" w:left="1418" w:header="709" w:footer="709" w:gutter="0"/>
          <w:cols w:space="708"/>
          <w:docGrid w:linePitch="354"/>
        </w:sectPr>
      </w:pPr>
    </w:p>
    <w:p w14:paraId="7B768C5C" w14:textId="60782CE8" w:rsidR="00B155FE" w:rsidRPr="00377D59" w:rsidRDefault="7BF38582" w:rsidP="7BF38582">
      <w:pPr>
        <w:spacing w:after="120" w:line="240" w:lineRule="auto"/>
        <w:ind w:right="23"/>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sz w:val="26"/>
          <w:szCs w:val="26"/>
          <w:lang w:eastAsia="hu-HU"/>
        </w:rPr>
        <w:lastRenderedPageBreak/>
        <w:t xml:space="preserve">Az előzetes adatok szerint 2025. július végén a </w:t>
      </w:r>
      <w:r w:rsidRPr="7BF38582">
        <w:rPr>
          <w:rFonts w:ascii="Times New Roman" w:eastAsia="Times New Roman" w:hAnsi="Times New Roman" w:cs="Times New Roman"/>
          <w:b/>
          <w:bCs/>
          <w:sz w:val="26"/>
          <w:szCs w:val="26"/>
          <w:lang w:eastAsia="hu-HU"/>
        </w:rPr>
        <w:t xml:space="preserve">központi költségvetés forint- és devizaadóssága </w:t>
      </w:r>
      <w:r w:rsidRPr="7BF38582">
        <w:rPr>
          <w:rFonts w:ascii="Times New Roman" w:eastAsia="Times New Roman" w:hAnsi="Times New Roman" w:cs="Times New Roman"/>
          <w:sz w:val="26"/>
          <w:szCs w:val="26"/>
          <w:lang w:eastAsia="hu-HU"/>
        </w:rPr>
        <w:t>az alábbiak szerint alakult:</w:t>
      </w:r>
    </w:p>
    <w:p w14:paraId="7B768C5D" w14:textId="252296E8" w:rsidR="00B155FE" w:rsidRDefault="7BF38582" w:rsidP="7BF38582">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7BF38582">
        <w:rPr>
          <w:rFonts w:ascii="Times New Roman" w:eastAsia="Times New Roman" w:hAnsi="Times New Roman" w:cs="Times New Roman"/>
          <w:sz w:val="26"/>
          <w:szCs w:val="26"/>
          <w:lang w:eastAsia="hu-HU"/>
        </w:rPr>
        <w:t>A központi költségvetés adósságának alakulása 2025-ben, milliárd forint</w:t>
      </w:r>
    </w:p>
    <w:p w14:paraId="31C86ED1" w14:textId="42460C24" w:rsidR="007B0B76" w:rsidRDefault="007B0B76" w:rsidP="13E847AC">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007B0B76">
        <w:rPr>
          <w:noProof/>
        </w:rPr>
        <w:drawing>
          <wp:inline distT="0" distB="0" distL="0" distR="0" wp14:anchorId="4CE59C53" wp14:editId="32AD6D47">
            <wp:extent cx="8936355" cy="4227830"/>
            <wp:effectExtent l="0" t="0" r="0" b="1270"/>
            <wp:docPr id="147796367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36355" cy="4227830"/>
                    </a:xfrm>
                    <a:prstGeom prst="rect">
                      <a:avLst/>
                    </a:prstGeom>
                    <a:noFill/>
                    <a:ln>
                      <a:noFill/>
                    </a:ln>
                  </pic:spPr>
                </pic:pic>
              </a:graphicData>
            </a:graphic>
          </wp:inline>
        </w:drawing>
      </w:r>
    </w:p>
    <w:p w14:paraId="7B768C5F" w14:textId="77777777" w:rsidR="00B155FE" w:rsidRPr="00377D59" w:rsidRDefault="7BF38582" w:rsidP="7BF38582">
      <w:pPr>
        <w:spacing w:after="120" w:line="240" w:lineRule="auto"/>
        <w:jc w:val="both"/>
        <w:rPr>
          <w:rFonts w:ascii="Times New Roman" w:eastAsia="Times New Roman" w:hAnsi="Times New Roman" w:cs="Times New Roman"/>
          <w:sz w:val="24"/>
          <w:szCs w:val="24"/>
          <w:lang w:eastAsia="hu-HU"/>
        </w:rPr>
      </w:pPr>
      <w:r w:rsidRPr="7BF38582">
        <w:rPr>
          <w:rFonts w:ascii="Times New Roman" w:eastAsia="Times New Roman" w:hAnsi="Times New Roman" w:cs="Times New Roman"/>
          <w:i/>
          <w:iCs/>
          <w:sz w:val="24"/>
          <w:szCs w:val="24"/>
          <w:lang w:eastAsia="hu-HU"/>
        </w:rPr>
        <w:t>Megjegyzés: a táblában szereplő tizedes eltérések kerekítésből adódnak.</w:t>
      </w:r>
    </w:p>
    <w:p w14:paraId="67FEF71B" w14:textId="4352F928" w:rsidR="00617877" w:rsidRPr="00377D59" w:rsidRDefault="00617877" w:rsidP="00617877">
      <w:pPr>
        <w:jc w:val="center"/>
        <w:rPr>
          <w:rFonts w:ascii="Times New Roman" w:eastAsia="Times New Roman" w:hAnsi="Times New Roman" w:cs="Times New Roman"/>
          <w:sz w:val="26"/>
          <w:szCs w:val="26"/>
          <w:lang w:eastAsia="hu-HU"/>
        </w:rPr>
      </w:pPr>
    </w:p>
    <w:p w14:paraId="612D5E01" w14:textId="247C2A7A" w:rsidR="00617877" w:rsidRPr="00377D59" w:rsidRDefault="00617877" w:rsidP="00617877">
      <w:pPr>
        <w:rPr>
          <w:rFonts w:ascii="Times New Roman" w:eastAsia="Times New Roman" w:hAnsi="Times New Roman" w:cs="Times New Roman"/>
          <w:sz w:val="26"/>
          <w:szCs w:val="26"/>
          <w:lang w:eastAsia="hu-HU"/>
        </w:rPr>
      </w:pPr>
    </w:p>
    <w:p w14:paraId="4A764331" w14:textId="77777777" w:rsidR="00EA1F58" w:rsidRPr="00377D59" w:rsidRDefault="00EA1F58" w:rsidP="00617877">
      <w:pPr>
        <w:rPr>
          <w:rFonts w:ascii="Times New Roman" w:eastAsia="Times New Roman" w:hAnsi="Times New Roman" w:cs="Times New Roman"/>
          <w:sz w:val="26"/>
          <w:szCs w:val="26"/>
          <w:lang w:eastAsia="hu-HU"/>
        </w:rPr>
        <w:sectPr w:rsidR="00EA1F58" w:rsidRPr="00377D59" w:rsidSect="007449BF">
          <w:headerReference w:type="default" r:id="rId29"/>
          <w:headerReference w:type="first" r:id="rId30"/>
          <w:footnotePr>
            <w:numRestart w:val="eachPage"/>
          </w:footnotePr>
          <w:pgSz w:w="16840" w:h="11907" w:orient="landscape" w:code="9"/>
          <w:pgMar w:top="993" w:right="1134" w:bottom="1134" w:left="1418" w:header="709" w:footer="709" w:gutter="0"/>
          <w:pgNumType w:start="19"/>
          <w:cols w:space="708"/>
          <w:titlePg/>
          <w:docGrid w:linePitch="299"/>
        </w:sectPr>
      </w:pPr>
    </w:p>
    <w:p w14:paraId="4E491639" w14:textId="31386A56" w:rsidR="007B0B76" w:rsidRPr="007B0B76" w:rsidRDefault="7BF38582" w:rsidP="7BF38582">
      <w:pPr>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b/>
          <w:bCs/>
          <w:sz w:val="26"/>
          <w:szCs w:val="26"/>
          <w:lang w:eastAsia="hu-HU"/>
        </w:rPr>
        <w:lastRenderedPageBreak/>
        <w:t>A központi költségvetés devizaadóssága</w:t>
      </w:r>
      <w:r w:rsidRPr="7BF38582">
        <w:rPr>
          <w:rFonts w:ascii="Times New Roman" w:eastAsia="Times New Roman" w:hAnsi="Times New Roman" w:cs="Times New Roman"/>
          <w:sz w:val="26"/>
          <w:szCs w:val="26"/>
          <w:lang w:eastAsia="hu-HU"/>
        </w:rPr>
        <w:t xml:space="preserve"> 2025-ben 2343,5 milliárd</w:t>
      </w:r>
      <w:r w:rsidR="007A4DC5">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forinttal 18 901,2 milliárd forintra növekedett az elmúlt év végéhez képest. A devizaadósság részaránya a 2024. év végi 29,8%-os szintről átmenetileg 31,4%-os szintre emelkedett a teljes adósságon belül.</w:t>
      </w:r>
    </w:p>
    <w:p w14:paraId="64E672CE" w14:textId="5D0605C8" w:rsidR="007B0B76" w:rsidRPr="007B0B76" w:rsidRDefault="75809766" w:rsidP="75809766">
      <w:pPr>
        <w:jc w:val="both"/>
        <w:rPr>
          <w:rFonts w:ascii="Times New Roman" w:eastAsia="Times New Roman" w:hAnsi="Times New Roman" w:cs="Times New Roman"/>
          <w:sz w:val="26"/>
          <w:szCs w:val="26"/>
          <w:lang w:eastAsia="hu-HU"/>
        </w:rPr>
      </w:pPr>
      <w:r w:rsidRPr="75809766">
        <w:rPr>
          <w:rFonts w:ascii="Times New Roman" w:eastAsia="Times New Roman" w:hAnsi="Times New Roman" w:cs="Times New Roman"/>
          <w:sz w:val="26"/>
          <w:szCs w:val="26"/>
          <w:lang w:eastAsia="hu-HU"/>
        </w:rPr>
        <w:t>A növekedés hátterében döntően a devizakötvény-kibocsátások állnak. 2025. január 7-én sor került az idei év első nemzetközi eurókötvény-kibocsátására összesen 1035,7 milliárd forint (2,5 milliárd EUR) összegben. Két sorozat piacra vitele történt meg, egy 10 éves futamidejű hagyományos sorozat 621,4 milliárd forint (1,5 milliárd EUR) és egy 15 éves futamidejű zöld sorozat 414,3 milliárd forint (1,0 milliárd EUR) összegben. 2025. június 16-án valósult meg a második nemzetközi devizakötvénykibocsátás, összesen 1404,6 milliárd</w:t>
      </w:r>
      <w:r w:rsidR="007247B7">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forint (4 milliárd</w:t>
      </w:r>
      <w:r w:rsidR="007247B7">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USD) értékben. Ez három tételből állt, az 5 éves futamidejű 526,7 milliárd</w:t>
      </w:r>
      <w:r w:rsidR="007247B7">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forint (1,5 milliárd</w:t>
      </w:r>
      <w:r w:rsidR="007247B7">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USD) összegű, a 10 éves futamidejű 351,1 milliárd</w:t>
      </w:r>
      <w:r w:rsidR="007247B7">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forint (1 milliárd</w:t>
      </w:r>
      <w:r w:rsidR="007247B7">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USD) összegű és a 30</w:t>
      </w:r>
      <w:r w:rsidR="007247B7">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éves futamidejű 526,7 milliárd forint (1,5 milliárd USD) összegű sorozatból. 2025.</w:t>
      </w:r>
      <w:r w:rsidR="006F326F">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július</w:t>
      </w:r>
      <w:r w:rsidR="006F326F">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22</w:t>
      </w:r>
      <w:r w:rsidR="006F326F">
        <w:rPr>
          <w:rFonts w:ascii="Times New Roman" w:eastAsia="Times New Roman" w:hAnsi="Times New Roman" w:cs="Times New Roman"/>
          <w:sz w:val="26"/>
          <w:szCs w:val="26"/>
          <w:lang w:eastAsia="hu-HU"/>
        </w:rPr>
        <w:noBreakHyphen/>
      </w:r>
      <w:r w:rsidRPr="75809766">
        <w:rPr>
          <w:rFonts w:ascii="Times New Roman" w:eastAsia="Times New Roman" w:hAnsi="Times New Roman" w:cs="Times New Roman"/>
          <w:sz w:val="26"/>
          <w:szCs w:val="26"/>
          <w:lang w:eastAsia="hu-HU"/>
        </w:rPr>
        <w:t>én volt Magyarország idei harmadik devizakötvény kibocsátása, amely egyben hazánk ötödik Panda Kötvény kibocsátása Kínában, összesen 237,8 milliárd</w:t>
      </w:r>
      <w:r w:rsidR="007A4DC5">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forint (5 milliárd yüan) összegben. Két sorozat értékesítése történt meg, egy 3 éves futamidejű 190,2 milliárd</w:t>
      </w:r>
      <w:r w:rsidR="006F326F">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forint (4 milliárd</w:t>
      </w:r>
      <w:r w:rsidR="006F326F">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yüan) és egy 5 éves futamidejű 47,6 milliárd</w:t>
      </w:r>
      <w:r w:rsidR="007A4DC5">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forint (1 milliárd</w:t>
      </w:r>
      <w:r w:rsidR="006F326F">
        <w:rPr>
          <w:rFonts w:ascii="Times New Roman" w:eastAsia="Times New Roman" w:hAnsi="Times New Roman" w:cs="Times New Roman"/>
          <w:sz w:val="26"/>
          <w:szCs w:val="26"/>
          <w:lang w:eastAsia="hu-HU"/>
        </w:rPr>
        <w:t> </w:t>
      </w:r>
      <w:r w:rsidRPr="75809766">
        <w:rPr>
          <w:rFonts w:ascii="Times New Roman" w:eastAsia="Times New Roman" w:hAnsi="Times New Roman" w:cs="Times New Roman"/>
          <w:sz w:val="26"/>
          <w:szCs w:val="26"/>
          <w:lang w:eastAsia="hu-HU"/>
        </w:rPr>
        <w:t>yüan) összegű.</w:t>
      </w:r>
    </w:p>
    <w:p w14:paraId="17BEDE00" w14:textId="0A679683" w:rsidR="007B0B76" w:rsidRPr="007B0B76" w:rsidRDefault="75809766" w:rsidP="75809766">
      <w:pPr>
        <w:jc w:val="both"/>
        <w:rPr>
          <w:rFonts w:ascii="Times New Roman" w:eastAsia="Times New Roman" w:hAnsi="Times New Roman" w:cs="Times New Roman"/>
          <w:sz w:val="26"/>
          <w:szCs w:val="26"/>
          <w:lang w:eastAsia="hu-HU"/>
        </w:rPr>
      </w:pPr>
      <w:r w:rsidRPr="75809766">
        <w:rPr>
          <w:rFonts w:ascii="Times New Roman" w:eastAsia="Times New Roman" w:hAnsi="Times New Roman" w:cs="Times New Roman"/>
          <w:sz w:val="26"/>
          <w:szCs w:val="26"/>
          <w:lang w:eastAsia="hu-HU"/>
        </w:rPr>
        <w:t>Az ECP (Euro Commercial Paper) program keretében áprilisban kibocsátott devizaértékpapírok összege 180,1 milliárd forint (500 millió USD) volt. A további devizahitel lehívások összege szintén emelte, míg az árfolyamerősödés ugyanakkor csökkentette a devizaadósság részarányát.</w:t>
      </w:r>
    </w:p>
    <w:p w14:paraId="10576E89" w14:textId="79039371" w:rsidR="007B0B76" w:rsidRDefault="7BF38582" w:rsidP="7BF38582">
      <w:pPr>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b/>
          <w:bCs/>
          <w:sz w:val="26"/>
          <w:szCs w:val="26"/>
          <w:lang w:eastAsia="hu-HU"/>
        </w:rPr>
        <w:t>A költségvetés forintadóssága</w:t>
      </w:r>
      <w:r w:rsidRPr="7BF38582">
        <w:rPr>
          <w:rFonts w:ascii="Times New Roman" w:eastAsia="Times New Roman" w:hAnsi="Times New Roman" w:cs="Times New Roman"/>
          <w:sz w:val="26"/>
          <w:szCs w:val="26"/>
          <w:lang w:eastAsia="hu-HU"/>
        </w:rPr>
        <w:t xml:space="preserve"> július végéig 2460,4 milliárd</w:t>
      </w:r>
      <w:r w:rsidR="007A4DC5">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forinttal növekedett és 41 162,1 milliárd forintot ért el, a forint adósság a teljes államadósság 68,4%-át teszi ki. 2024</w:t>
      </w:r>
      <w:r w:rsidR="007247B7">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decemberében ez az arány 69,8% volt.</w:t>
      </w:r>
    </w:p>
    <w:p w14:paraId="6B118BC8" w14:textId="72AB2D49" w:rsidR="007B0B76" w:rsidRPr="007B0B76" w:rsidRDefault="7BF38582" w:rsidP="7BF38582">
      <w:pPr>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sz w:val="26"/>
          <w:szCs w:val="26"/>
          <w:lang w:eastAsia="hu-HU"/>
        </w:rPr>
        <w:t>2025. július végén a forint lakossági állampapírok állománya 11 377,2 milliárd forintot tett ki, ami 114,3 milliárd forint növekedést jelent 2024.</w:t>
      </w:r>
      <w:r w:rsidR="007A4DC5">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december</w:t>
      </w:r>
      <w:r w:rsidR="007A4DC5">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vége óta. A Prémium Magyar Állampapír állománya 2025. július végére 2704,1 milliárd</w:t>
      </w:r>
      <w:r w:rsidR="007A4DC5">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forinttal csökkent, amely így 4256,9 milliárd forintot tett ki. A Fix Magyar Állampapír állománya 1769,0 milliárd forinttal növekedett és elérte a 2785,9 milliárd forintot hó végén. Szintén emelkedett a Bónusz Magyar Állampapír állománya is, 1151,1 milliárd</w:t>
      </w:r>
      <w:r w:rsidR="007A4DC5">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forint növekedést követően a hó végén 2360,0 milliárd forintot tett ki. A Magyar Állampapír Plusz állománya, a nyomdai kibocsátású és a korábban értékesített papírokkal együtt, 161,5 milliárd forintot emelkedett az előző hónaphoz képest így hó végén 924,1 milliárd forintot tett ki. A lakossági állampapírok közül a Fix Magyar Állampapír értékesítése volt a legmagasabb júliusban.</w:t>
      </w:r>
    </w:p>
    <w:p w14:paraId="1B2C5698" w14:textId="621516B0" w:rsidR="007B0B76" w:rsidRPr="007B0B76" w:rsidRDefault="7BF38582" w:rsidP="7BF38582">
      <w:pPr>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sz w:val="26"/>
          <w:szCs w:val="26"/>
          <w:lang w:eastAsia="hu-HU"/>
        </w:rPr>
        <w:t>Az ÁKK Zrt. július hó folyamán összesen 9,4 milliárd</w:t>
      </w:r>
      <w:r w:rsidR="002B4E58">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forint összegben vásárolt vissza lakossági állampapírokat a forgalmazó bankoktól. 2025</w:t>
      </w:r>
      <w:r w:rsidR="002B4E58">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áprilisától a forgalmazóknak lehetőség nyílt saját számlájukra került lakossági állampapírok cseréjére. Ennek keretében júliusban 35,2 milliárd</w:t>
      </w:r>
      <w:r w:rsidR="002B4E58">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 xml:space="preserve">forint összegben váltották be a saját számlájukra került lakossági </w:t>
      </w:r>
      <w:r w:rsidRPr="7BF38582">
        <w:rPr>
          <w:rFonts w:ascii="Times New Roman" w:eastAsia="Times New Roman" w:hAnsi="Times New Roman" w:cs="Times New Roman"/>
          <w:sz w:val="26"/>
          <w:szCs w:val="26"/>
          <w:lang w:eastAsia="hu-HU"/>
        </w:rPr>
        <w:lastRenderedPageBreak/>
        <w:t>állampapírokat az épp értékesítés alatt álló sorozatokra, amit a másodpiacon tovább értékesíthetnek a lakosság számára.</w:t>
      </w:r>
    </w:p>
    <w:p w14:paraId="0F02BE18" w14:textId="170D1B31" w:rsidR="007B0B76" w:rsidRPr="007B0B76" w:rsidRDefault="7BF38582" w:rsidP="7BF38582">
      <w:pPr>
        <w:jc w:val="both"/>
        <w:rPr>
          <w:rFonts w:ascii="Times New Roman" w:eastAsia="Times New Roman" w:hAnsi="Times New Roman" w:cs="Times New Roman"/>
          <w:sz w:val="26"/>
          <w:szCs w:val="26"/>
          <w:lang w:eastAsia="hu-HU"/>
        </w:rPr>
      </w:pPr>
      <w:r w:rsidRPr="7BF38582">
        <w:rPr>
          <w:rFonts w:ascii="Times New Roman" w:eastAsia="Times New Roman" w:hAnsi="Times New Roman" w:cs="Times New Roman"/>
          <w:b/>
          <w:bCs/>
          <w:sz w:val="26"/>
          <w:szCs w:val="26"/>
          <w:lang w:eastAsia="hu-HU"/>
        </w:rPr>
        <w:t>A külföldi befektetők állampapír állománya</w:t>
      </w:r>
      <w:r w:rsidRPr="7BF38582">
        <w:rPr>
          <w:rFonts w:ascii="Times New Roman" w:eastAsia="Times New Roman" w:hAnsi="Times New Roman" w:cs="Times New Roman"/>
          <w:sz w:val="26"/>
          <w:szCs w:val="26"/>
          <w:lang w:eastAsia="hu-HU"/>
        </w:rPr>
        <w:t xml:space="preserve"> júliusban 711,6 milliárd</w:t>
      </w:r>
      <w:r w:rsidR="002B4E58">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forinttal 6262,0 milliárd</w:t>
      </w:r>
      <w:r w:rsidR="002B4E58">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forintra emelkedett az előző hónaphoz képest. A külföldi állomány 99,7%-a, 6246,2 milliárd</w:t>
      </w:r>
      <w:r w:rsidR="002B4E58">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forint államkötvény, 0,3%-a, 15,8 milliárd</w:t>
      </w:r>
      <w:r w:rsidR="002B4E58">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forint diszkontkincstárjegy. A</w:t>
      </w:r>
      <w:r w:rsidR="007247B7">
        <w:rPr>
          <w:rFonts w:ascii="Times New Roman" w:eastAsia="Times New Roman" w:hAnsi="Times New Roman" w:cs="Times New Roman"/>
          <w:sz w:val="26"/>
          <w:szCs w:val="26"/>
          <w:lang w:eastAsia="hu-HU"/>
        </w:rPr>
        <w:t> </w:t>
      </w:r>
      <w:r w:rsidRPr="7BF38582">
        <w:rPr>
          <w:rFonts w:ascii="Times New Roman" w:eastAsia="Times New Roman" w:hAnsi="Times New Roman" w:cs="Times New Roman"/>
          <w:sz w:val="26"/>
          <w:szCs w:val="26"/>
          <w:lang w:eastAsia="hu-HU"/>
        </w:rPr>
        <w:t>külföldi állomány átlagos hátralévő futamideje július végén 5,4 év volt.</w:t>
      </w:r>
    </w:p>
    <w:p w14:paraId="43D54292" w14:textId="3088D40A" w:rsidR="007B0B76" w:rsidRDefault="75809766" w:rsidP="75809766">
      <w:pPr>
        <w:jc w:val="both"/>
        <w:rPr>
          <w:rFonts w:ascii="Times New Roman" w:eastAsia="Times New Roman" w:hAnsi="Times New Roman" w:cs="Times New Roman"/>
          <w:sz w:val="26"/>
          <w:szCs w:val="26"/>
          <w:lang w:eastAsia="hu-HU"/>
        </w:rPr>
      </w:pPr>
      <w:r w:rsidRPr="75809766">
        <w:rPr>
          <w:rFonts w:ascii="Times New Roman" w:eastAsia="Times New Roman" w:hAnsi="Times New Roman" w:cs="Times New Roman"/>
          <w:sz w:val="26"/>
          <w:szCs w:val="26"/>
          <w:lang w:eastAsia="hu-HU"/>
        </w:rPr>
        <w:t>A devizaállamadósság kockázatainak mérséklése érdekében az ÁKK Zrt. swapügyleteket köt. Ezen ügyletekhez kapcsolódóan az ÁKK Zrt.-nél elhelyezett fedezeti összegek (ún. mark-to-market betétek) az adósságállomány részét képezik, és az „egyéb kötelezettségek” soron kerülnek kimutatásra. A vizsgált időszakban az egyéb kötelezettségek állománya 108,0 milliárd forinttal csökkent. Július végén az állomány 111,6 milliárd forintot tett ki, ami a teljes államadósság 0,2%-át jelenti.</w:t>
      </w:r>
    </w:p>
    <w:p w14:paraId="41B275C0" w14:textId="77777777" w:rsidR="007B0B76" w:rsidRPr="007B0B76" w:rsidRDefault="007B0B76" w:rsidP="007B0B76">
      <w:pPr>
        <w:jc w:val="both"/>
        <w:rPr>
          <w:rFonts w:ascii="Times New Roman" w:eastAsia="Times New Roman" w:hAnsi="Times New Roman" w:cs="Times New Roman"/>
          <w:sz w:val="26"/>
          <w:szCs w:val="26"/>
          <w:lang w:eastAsia="hu-HU"/>
        </w:rPr>
      </w:pPr>
    </w:p>
    <w:sectPr w:rsidR="007B0B76" w:rsidRPr="007B0B76" w:rsidSect="007449BF">
      <w:headerReference w:type="even" r:id="rId31"/>
      <w:footerReference w:type="default" r:id="rId32"/>
      <w:footerReference w:type="first" r:id="rId33"/>
      <w:pgSz w:w="11906" w:h="16838"/>
      <w:pgMar w:top="1418" w:right="1134" w:bottom="1418" w:left="1134"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494C" w14:textId="77777777" w:rsidR="00482CC1" w:rsidRDefault="00482CC1" w:rsidP="00B155FE">
      <w:pPr>
        <w:spacing w:after="0" w:line="240" w:lineRule="auto"/>
      </w:pPr>
      <w:r>
        <w:separator/>
      </w:r>
    </w:p>
  </w:endnote>
  <w:endnote w:type="continuationSeparator" w:id="0">
    <w:p w14:paraId="0CF0A269" w14:textId="77777777" w:rsidR="00482CC1" w:rsidRDefault="00482CC1" w:rsidP="00B155FE">
      <w:pPr>
        <w:spacing w:after="0" w:line="240" w:lineRule="auto"/>
      </w:pPr>
      <w:r>
        <w:continuationSeparator/>
      </w:r>
    </w:p>
  </w:endnote>
  <w:endnote w:type="continuationNotice" w:id="1">
    <w:p w14:paraId="5A5417C1" w14:textId="77777777" w:rsidR="00482CC1" w:rsidRDefault="00482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2D1F" w14:textId="4DE2DC1D" w:rsidR="00473AC1" w:rsidRDefault="00473AC1">
    <w:pPr>
      <w:pStyle w:val="llb"/>
      <w:jc w:val="center"/>
    </w:pPr>
  </w:p>
  <w:p w14:paraId="41773F2F" w14:textId="77777777" w:rsidR="00473AC1" w:rsidRDefault="00473AC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154505"/>
      <w:docPartObj>
        <w:docPartGallery w:val="Page Numbers (Bottom of Page)"/>
        <w:docPartUnique/>
      </w:docPartObj>
    </w:sdtPr>
    <w:sdtEndPr>
      <w:rPr>
        <w:rFonts w:ascii="Times New Roman" w:hAnsi="Times New Roman" w:cs="Times New Roman"/>
        <w:sz w:val="24"/>
      </w:rPr>
    </w:sdtEndPr>
    <w:sdtContent>
      <w:p w14:paraId="52C756D2" w14:textId="3800D4A3" w:rsidR="00473AC1" w:rsidRPr="005A1E0F" w:rsidRDefault="00473AC1">
        <w:pPr>
          <w:pStyle w:val="llb"/>
          <w:jc w:val="center"/>
          <w:rPr>
            <w:rFonts w:ascii="Times New Roman" w:hAnsi="Times New Roman" w:cs="Times New Roman"/>
            <w:sz w:val="24"/>
          </w:rPr>
        </w:pPr>
        <w:r w:rsidRPr="005A1E0F">
          <w:rPr>
            <w:rFonts w:ascii="Times New Roman" w:hAnsi="Times New Roman" w:cs="Times New Roman"/>
          </w:rPr>
          <w:t>20</w:t>
        </w:r>
      </w:p>
    </w:sdtContent>
  </w:sdt>
  <w:p w14:paraId="64304736" w14:textId="77777777" w:rsidR="00473AC1" w:rsidRDefault="00473AC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558895"/>
      <w:docPartObj>
        <w:docPartGallery w:val="Page Numbers (Bottom of Page)"/>
        <w:docPartUnique/>
      </w:docPartObj>
    </w:sdtPr>
    <w:sdtEndPr>
      <w:rPr>
        <w:rFonts w:ascii="Times New Roman" w:hAnsi="Times New Roman" w:cs="Times New Roman"/>
        <w:sz w:val="24"/>
      </w:rPr>
    </w:sdtEndPr>
    <w:sdtContent>
      <w:p w14:paraId="10FD5F29" w14:textId="7D80A60B" w:rsidR="00473AC1" w:rsidRPr="00470868" w:rsidRDefault="00473AC1">
        <w:pPr>
          <w:pStyle w:val="llb"/>
          <w:jc w:val="center"/>
          <w:rPr>
            <w:rFonts w:ascii="Times New Roman" w:hAnsi="Times New Roman" w:cs="Times New Roman"/>
            <w:sz w:val="24"/>
          </w:rPr>
        </w:pPr>
        <w:r w:rsidRPr="00470868">
          <w:rPr>
            <w:rFonts w:ascii="Times New Roman" w:hAnsi="Times New Roman" w:cs="Times New Roman"/>
            <w:sz w:val="24"/>
          </w:rPr>
          <w:fldChar w:fldCharType="begin"/>
        </w:r>
        <w:r w:rsidRPr="00470868">
          <w:rPr>
            <w:rFonts w:ascii="Times New Roman" w:hAnsi="Times New Roman" w:cs="Times New Roman"/>
            <w:sz w:val="24"/>
          </w:rPr>
          <w:instrText>PAGE   \* MERGEFORMAT</w:instrText>
        </w:r>
        <w:r w:rsidRPr="00470868">
          <w:rPr>
            <w:rFonts w:ascii="Times New Roman" w:hAnsi="Times New Roman" w:cs="Times New Roman"/>
            <w:sz w:val="24"/>
          </w:rPr>
          <w:fldChar w:fldCharType="separate"/>
        </w:r>
        <w:r w:rsidR="007B6DF2">
          <w:rPr>
            <w:rFonts w:ascii="Times New Roman" w:hAnsi="Times New Roman" w:cs="Times New Roman"/>
            <w:noProof/>
            <w:sz w:val="24"/>
          </w:rPr>
          <w:t>19</w:t>
        </w:r>
        <w:r w:rsidRPr="00470868">
          <w:rPr>
            <w:rFonts w:ascii="Times New Roman" w:hAnsi="Times New Roman" w:cs="Times New Roman"/>
            <w:sz w:val="24"/>
          </w:rPr>
          <w:fldChar w:fldCharType="end"/>
        </w:r>
      </w:p>
    </w:sdtContent>
  </w:sdt>
  <w:p w14:paraId="17329691" w14:textId="773A5D5E" w:rsidR="00473AC1" w:rsidRPr="00556984" w:rsidRDefault="00473AC1" w:rsidP="00556984">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18299"/>
      <w:docPartObj>
        <w:docPartGallery w:val="Page Numbers (Bottom of Page)"/>
        <w:docPartUnique/>
      </w:docPartObj>
    </w:sdtPr>
    <w:sdtEndPr>
      <w:rPr>
        <w:rFonts w:ascii="Times New Roman" w:hAnsi="Times New Roman" w:cs="Times New Roman"/>
        <w:sz w:val="24"/>
      </w:rPr>
    </w:sdtEndPr>
    <w:sdtContent>
      <w:p w14:paraId="7ADCE6C8" w14:textId="77777777" w:rsidR="00473AC1" w:rsidRPr="00D4148C" w:rsidRDefault="00473AC1">
        <w:pPr>
          <w:pStyle w:val="llb"/>
          <w:jc w:val="center"/>
          <w:rPr>
            <w:rFonts w:ascii="Times New Roman" w:hAnsi="Times New Roman" w:cs="Times New Roman"/>
            <w:sz w:val="24"/>
          </w:rPr>
        </w:pPr>
        <w:r>
          <w:rPr>
            <w:rFonts w:ascii="Times New Roman" w:hAnsi="Times New Roman" w:cs="Times New Roman"/>
            <w:sz w:val="24"/>
          </w:rPr>
          <w:t>22</w:t>
        </w:r>
      </w:p>
    </w:sdtContent>
  </w:sdt>
  <w:p w14:paraId="078E8FA1" w14:textId="77777777" w:rsidR="00473AC1" w:rsidRDefault="00473AC1" w:rsidP="00C74E0F">
    <w:pPr>
      <w:pStyle w:val="llb"/>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40D1" w14:textId="0EBE225F" w:rsidR="00473AC1" w:rsidRDefault="75809766" w:rsidP="004A3001">
    <w:pPr>
      <w:pStyle w:val="llb"/>
      <w:jc w:val="center"/>
    </w:pPr>
    <w:r w:rsidRPr="75809766">
      <w:rPr>
        <w:rFonts w:ascii="Times New Roman" w:hAnsi="Times New Roman" w:cs="Times New Roman"/>
        <w:sz w:val="24"/>
        <w:szCs w:val="2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CC32" w14:textId="77777777" w:rsidR="00482CC1" w:rsidRDefault="00482CC1" w:rsidP="00B155FE">
      <w:pPr>
        <w:spacing w:after="0" w:line="240" w:lineRule="auto"/>
      </w:pPr>
      <w:r>
        <w:separator/>
      </w:r>
    </w:p>
  </w:footnote>
  <w:footnote w:type="continuationSeparator" w:id="0">
    <w:p w14:paraId="733D9209" w14:textId="77777777" w:rsidR="00482CC1" w:rsidRDefault="00482CC1" w:rsidP="00B155FE">
      <w:pPr>
        <w:spacing w:after="0" w:line="240" w:lineRule="auto"/>
      </w:pPr>
      <w:r>
        <w:continuationSeparator/>
      </w:r>
    </w:p>
  </w:footnote>
  <w:footnote w:type="continuationNotice" w:id="1">
    <w:p w14:paraId="6B5CF0C7" w14:textId="77777777" w:rsidR="00482CC1" w:rsidRDefault="00482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00473AC1" w14:paraId="1027336C" w14:textId="77777777" w:rsidTr="75E7E8C2">
      <w:tc>
        <w:tcPr>
          <w:tcW w:w="3118" w:type="dxa"/>
        </w:tcPr>
        <w:p w14:paraId="4C837DDD" w14:textId="79A8EEFC" w:rsidR="00473AC1" w:rsidRDefault="00473AC1" w:rsidP="75E7E8C2">
          <w:pPr>
            <w:pStyle w:val="lfej"/>
            <w:ind w:left="-115"/>
          </w:pPr>
        </w:p>
      </w:tc>
      <w:tc>
        <w:tcPr>
          <w:tcW w:w="3118" w:type="dxa"/>
        </w:tcPr>
        <w:p w14:paraId="215A5B55" w14:textId="4B5EFC16" w:rsidR="00473AC1" w:rsidRDefault="00473AC1" w:rsidP="75E7E8C2">
          <w:pPr>
            <w:pStyle w:val="lfej"/>
            <w:jc w:val="center"/>
          </w:pPr>
        </w:p>
      </w:tc>
      <w:tc>
        <w:tcPr>
          <w:tcW w:w="3118" w:type="dxa"/>
        </w:tcPr>
        <w:p w14:paraId="08CD3A76" w14:textId="283AC16D" w:rsidR="00473AC1" w:rsidRDefault="00473AC1" w:rsidP="75E7E8C2">
          <w:pPr>
            <w:pStyle w:val="lfej"/>
            <w:ind w:right="-115"/>
            <w:jc w:val="right"/>
          </w:pPr>
        </w:p>
      </w:tc>
    </w:tr>
  </w:tbl>
  <w:p w14:paraId="4176297E" w14:textId="7CD13837" w:rsidR="00473AC1" w:rsidRDefault="00473AC1" w:rsidP="75E7E8C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47D1" w14:textId="3D0DDD49" w:rsidR="00473AC1" w:rsidRDefault="00473AC1" w:rsidP="75E7E8C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8C96" w14:textId="77777777" w:rsidR="00473AC1" w:rsidRPr="00881044" w:rsidRDefault="00473AC1" w:rsidP="00C74E0F">
    <w:pPr>
      <w:pStyle w:val="lfej"/>
      <w:rPr>
        <w:rStyle w:val="Oldalszm"/>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8C97" w14:textId="77777777" w:rsidR="00473AC1" w:rsidRPr="00FE4DD1" w:rsidRDefault="00473AC1" w:rsidP="00C74E0F">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009518"/>
      <w:docPartObj>
        <w:docPartGallery w:val="Page Numbers (Top of Page)"/>
        <w:docPartUnique/>
      </w:docPartObj>
    </w:sdtPr>
    <w:sdtEndPr>
      <w:rPr>
        <w:noProof/>
      </w:rPr>
    </w:sdtEndPr>
    <w:sdtContent>
      <w:p w14:paraId="2CB15785" w14:textId="77777777" w:rsidR="00473AC1" w:rsidRDefault="00473AC1">
        <w:pPr>
          <w:pStyle w:val="lfej"/>
          <w:jc w:val="center"/>
        </w:pPr>
        <w:r>
          <w:fldChar w:fldCharType="begin"/>
        </w:r>
        <w:r>
          <w:instrText xml:space="preserve"> PAGE   \* MERGEFORMAT </w:instrText>
        </w:r>
        <w:r>
          <w:fldChar w:fldCharType="separate"/>
        </w:r>
        <w:r>
          <w:rPr>
            <w:noProof/>
          </w:rPr>
          <w:t>20</w:t>
        </w:r>
        <w:r>
          <w:rPr>
            <w:noProof/>
          </w:rPr>
          <w:fldChar w:fldCharType="end"/>
        </w:r>
      </w:p>
    </w:sdtContent>
  </w:sdt>
  <w:p w14:paraId="2A775F7D" w14:textId="77777777" w:rsidR="00473AC1" w:rsidRDefault="00473AC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602D43"/>
    <w:multiLevelType w:val="hybridMultilevel"/>
    <w:tmpl w:val="390E53F2"/>
    <w:lvl w:ilvl="0" w:tplc="F872D380">
      <w:start w:val="1"/>
      <w:numFmt w:val="bullet"/>
      <w:lvlText w:val=""/>
      <w:lvlJc w:val="left"/>
      <w:pPr>
        <w:ind w:left="720" w:hanging="360"/>
      </w:pPr>
      <w:rPr>
        <w:rFonts w:ascii="Symbol" w:hAnsi="Symbol" w:hint="default"/>
      </w:rPr>
    </w:lvl>
    <w:lvl w:ilvl="1" w:tplc="86BC4448">
      <w:start w:val="1"/>
      <w:numFmt w:val="bullet"/>
      <w:lvlText w:val="o"/>
      <w:lvlJc w:val="left"/>
      <w:pPr>
        <w:ind w:left="1440" w:hanging="360"/>
      </w:pPr>
      <w:rPr>
        <w:rFonts w:ascii="Courier New" w:hAnsi="Courier New" w:hint="default"/>
      </w:rPr>
    </w:lvl>
    <w:lvl w:ilvl="2" w:tplc="F05C9352">
      <w:start w:val="1"/>
      <w:numFmt w:val="bullet"/>
      <w:lvlText w:val=""/>
      <w:lvlJc w:val="left"/>
      <w:pPr>
        <w:ind w:left="2160" w:hanging="360"/>
      </w:pPr>
      <w:rPr>
        <w:rFonts w:ascii="Wingdings" w:hAnsi="Wingdings" w:hint="default"/>
      </w:rPr>
    </w:lvl>
    <w:lvl w:ilvl="3" w:tplc="232EF98C">
      <w:start w:val="1"/>
      <w:numFmt w:val="bullet"/>
      <w:lvlText w:val=""/>
      <w:lvlJc w:val="left"/>
      <w:pPr>
        <w:ind w:left="2880" w:hanging="360"/>
      </w:pPr>
      <w:rPr>
        <w:rFonts w:ascii="Symbol" w:hAnsi="Symbol" w:hint="default"/>
      </w:rPr>
    </w:lvl>
    <w:lvl w:ilvl="4" w:tplc="03066B72">
      <w:start w:val="1"/>
      <w:numFmt w:val="bullet"/>
      <w:lvlText w:val="o"/>
      <w:lvlJc w:val="left"/>
      <w:pPr>
        <w:ind w:left="3600" w:hanging="360"/>
      </w:pPr>
      <w:rPr>
        <w:rFonts w:ascii="Courier New" w:hAnsi="Courier New" w:hint="default"/>
      </w:rPr>
    </w:lvl>
    <w:lvl w:ilvl="5" w:tplc="7A906010">
      <w:start w:val="1"/>
      <w:numFmt w:val="bullet"/>
      <w:lvlText w:val=""/>
      <w:lvlJc w:val="left"/>
      <w:pPr>
        <w:ind w:left="4320" w:hanging="360"/>
      </w:pPr>
      <w:rPr>
        <w:rFonts w:ascii="Wingdings" w:hAnsi="Wingdings" w:hint="default"/>
      </w:rPr>
    </w:lvl>
    <w:lvl w:ilvl="6" w:tplc="9F6A3F04">
      <w:start w:val="1"/>
      <w:numFmt w:val="bullet"/>
      <w:lvlText w:val=""/>
      <w:lvlJc w:val="left"/>
      <w:pPr>
        <w:ind w:left="5040" w:hanging="360"/>
      </w:pPr>
      <w:rPr>
        <w:rFonts w:ascii="Symbol" w:hAnsi="Symbol" w:hint="default"/>
      </w:rPr>
    </w:lvl>
    <w:lvl w:ilvl="7" w:tplc="D5603E42">
      <w:start w:val="1"/>
      <w:numFmt w:val="bullet"/>
      <w:lvlText w:val="o"/>
      <w:lvlJc w:val="left"/>
      <w:pPr>
        <w:ind w:left="5760" w:hanging="360"/>
      </w:pPr>
      <w:rPr>
        <w:rFonts w:ascii="Courier New" w:hAnsi="Courier New" w:hint="default"/>
      </w:rPr>
    </w:lvl>
    <w:lvl w:ilvl="8" w:tplc="F1D4D0F8">
      <w:start w:val="1"/>
      <w:numFmt w:val="bullet"/>
      <w:lvlText w:val=""/>
      <w:lvlJc w:val="left"/>
      <w:pPr>
        <w:ind w:left="6480" w:hanging="360"/>
      </w:pPr>
      <w:rPr>
        <w:rFonts w:ascii="Wingdings" w:hAnsi="Wingdings" w:hint="default"/>
      </w:rPr>
    </w:lvl>
  </w:abstractNum>
  <w:abstractNum w:abstractNumId="2" w15:restartNumberingAfterBreak="0">
    <w:nsid w:val="3CC7670D"/>
    <w:multiLevelType w:val="hybridMultilevel"/>
    <w:tmpl w:val="FDDC7674"/>
    <w:lvl w:ilvl="0" w:tplc="9120DF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033469"/>
    <w:multiLevelType w:val="hybridMultilevel"/>
    <w:tmpl w:val="D612FE54"/>
    <w:lvl w:ilvl="0" w:tplc="85BCE940">
      <w:start w:val="1"/>
      <w:numFmt w:val="bullet"/>
      <w:lvlText w:val=""/>
      <w:lvlJc w:val="left"/>
      <w:pPr>
        <w:ind w:left="720" w:hanging="360"/>
      </w:pPr>
      <w:rPr>
        <w:rFonts w:ascii="Symbol" w:hAnsi="Symbol" w:hint="default"/>
      </w:rPr>
    </w:lvl>
    <w:lvl w:ilvl="1" w:tplc="EDE89D4A">
      <w:start w:val="1"/>
      <w:numFmt w:val="bullet"/>
      <w:lvlText w:val="o"/>
      <w:lvlJc w:val="left"/>
      <w:pPr>
        <w:ind w:left="1440" w:hanging="360"/>
      </w:pPr>
      <w:rPr>
        <w:rFonts w:ascii="Courier New" w:hAnsi="Courier New" w:hint="default"/>
      </w:rPr>
    </w:lvl>
    <w:lvl w:ilvl="2" w:tplc="91061732">
      <w:start w:val="1"/>
      <w:numFmt w:val="bullet"/>
      <w:lvlText w:val=""/>
      <w:lvlJc w:val="left"/>
      <w:pPr>
        <w:ind w:left="2160" w:hanging="360"/>
      </w:pPr>
      <w:rPr>
        <w:rFonts w:ascii="Wingdings" w:hAnsi="Wingdings" w:hint="default"/>
      </w:rPr>
    </w:lvl>
    <w:lvl w:ilvl="3" w:tplc="5D04C974">
      <w:start w:val="1"/>
      <w:numFmt w:val="bullet"/>
      <w:lvlText w:val=""/>
      <w:lvlJc w:val="left"/>
      <w:pPr>
        <w:ind w:left="2880" w:hanging="360"/>
      </w:pPr>
      <w:rPr>
        <w:rFonts w:ascii="Symbol" w:hAnsi="Symbol" w:hint="default"/>
      </w:rPr>
    </w:lvl>
    <w:lvl w:ilvl="4" w:tplc="1C648E36">
      <w:start w:val="1"/>
      <w:numFmt w:val="bullet"/>
      <w:lvlText w:val="o"/>
      <w:lvlJc w:val="left"/>
      <w:pPr>
        <w:ind w:left="3600" w:hanging="360"/>
      </w:pPr>
      <w:rPr>
        <w:rFonts w:ascii="Courier New" w:hAnsi="Courier New" w:hint="default"/>
      </w:rPr>
    </w:lvl>
    <w:lvl w:ilvl="5" w:tplc="2DB00CB0">
      <w:start w:val="1"/>
      <w:numFmt w:val="bullet"/>
      <w:lvlText w:val=""/>
      <w:lvlJc w:val="left"/>
      <w:pPr>
        <w:ind w:left="4320" w:hanging="360"/>
      </w:pPr>
      <w:rPr>
        <w:rFonts w:ascii="Wingdings" w:hAnsi="Wingdings" w:hint="default"/>
      </w:rPr>
    </w:lvl>
    <w:lvl w:ilvl="6" w:tplc="3C9E0854">
      <w:start w:val="1"/>
      <w:numFmt w:val="bullet"/>
      <w:lvlText w:val=""/>
      <w:lvlJc w:val="left"/>
      <w:pPr>
        <w:ind w:left="5040" w:hanging="360"/>
      </w:pPr>
      <w:rPr>
        <w:rFonts w:ascii="Symbol" w:hAnsi="Symbol" w:hint="default"/>
      </w:rPr>
    </w:lvl>
    <w:lvl w:ilvl="7" w:tplc="EF2AE296">
      <w:start w:val="1"/>
      <w:numFmt w:val="bullet"/>
      <w:lvlText w:val="o"/>
      <w:lvlJc w:val="left"/>
      <w:pPr>
        <w:ind w:left="5760" w:hanging="360"/>
      </w:pPr>
      <w:rPr>
        <w:rFonts w:ascii="Courier New" w:hAnsi="Courier New" w:hint="default"/>
      </w:rPr>
    </w:lvl>
    <w:lvl w:ilvl="8" w:tplc="1B7CE0FC">
      <w:start w:val="1"/>
      <w:numFmt w:val="bullet"/>
      <w:lvlText w:val=""/>
      <w:lvlJc w:val="left"/>
      <w:pPr>
        <w:ind w:left="6480" w:hanging="360"/>
      </w:pPr>
      <w:rPr>
        <w:rFonts w:ascii="Wingdings" w:hAnsi="Wingdings" w:hint="default"/>
      </w:rPr>
    </w:lvl>
  </w:abstractNum>
  <w:abstractNum w:abstractNumId="4"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70F720B"/>
    <w:multiLevelType w:val="hybridMultilevel"/>
    <w:tmpl w:val="9D346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47603289">
    <w:abstractNumId w:val="3"/>
  </w:num>
  <w:num w:numId="2" w16cid:durableId="1171026080">
    <w:abstractNumId w:val="4"/>
  </w:num>
  <w:num w:numId="3" w16cid:durableId="1245341741">
    <w:abstractNumId w:val="0"/>
  </w:num>
  <w:num w:numId="4" w16cid:durableId="1549414595">
    <w:abstractNumId w:val="5"/>
  </w:num>
  <w:num w:numId="5" w16cid:durableId="993993450">
    <w:abstractNumId w:val="2"/>
  </w:num>
  <w:num w:numId="6" w16cid:durableId="895353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FE"/>
    <w:rsid w:val="00000517"/>
    <w:rsid w:val="0000169C"/>
    <w:rsid w:val="00001DDD"/>
    <w:rsid w:val="000044C3"/>
    <w:rsid w:val="00007D4A"/>
    <w:rsid w:val="000103E9"/>
    <w:rsid w:val="000118DE"/>
    <w:rsid w:val="00015558"/>
    <w:rsid w:val="00015945"/>
    <w:rsid w:val="00020D17"/>
    <w:rsid w:val="0002105A"/>
    <w:rsid w:val="00022205"/>
    <w:rsid w:val="00022974"/>
    <w:rsid w:val="000237EA"/>
    <w:rsid w:val="00024158"/>
    <w:rsid w:val="0002586B"/>
    <w:rsid w:val="00025889"/>
    <w:rsid w:val="00026266"/>
    <w:rsid w:val="0002674A"/>
    <w:rsid w:val="000302F3"/>
    <w:rsid w:val="00031896"/>
    <w:rsid w:val="00031C82"/>
    <w:rsid w:val="00031C9D"/>
    <w:rsid w:val="00034760"/>
    <w:rsid w:val="000365DC"/>
    <w:rsid w:val="0003668B"/>
    <w:rsid w:val="0003701E"/>
    <w:rsid w:val="0004032B"/>
    <w:rsid w:val="000407DB"/>
    <w:rsid w:val="00043E49"/>
    <w:rsid w:val="00044042"/>
    <w:rsid w:val="000458BD"/>
    <w:rsid w:val="000471E4"/>
    <w:rsid w:val="000512BB"/>
    <w:rsid w:val="00051E9B"/>
    <w:rsid w:val="0005236D"/>
    <w:rsid w:val="00052502"/>
    <w:rsid w:val="0005250F"/>
    <w:rsid w:val="00052554"/>
    <w:rsid w:val="00052E4F"/>
    <w:rsid w:val="00054358"/>
    <w:rsid w:val="00054CDA"/>
    <w:rsid w:val="00055632"/>
    <w:rsid w:val="00057916"/>
    <w:rsid w:val="000611EC"/>
    <w:rsid w:val="000617B7"/>
    <w:rsid w:val="00064521"/>
    <w:rsid w:val="0006496D"/>
    <w:rsid w:val="00064D6A"/>
    <w:rsid w:val="00064E2A"/>
    <w:rsid w:val="00065E19"/>
    <w:rsid w:val="00067A57"/>
    <w:rsid w:val="00070EAC"/>
    <w:rsid w:val="00071FA3"/>
    <w:rsid w:val="00072A58"/>
    <w:rsid w:val="0007336F"/>
    <w:rsid w:val="0007525D"/>
    <w:rsid w:val="000770F3"/>
    <w:rsid w:val="00077440"/>
    <w:rsid w:val="0008062F"/>
    <w:rsid w:val="00081A0C"/>
    <w:rsid w:val="00081A16"/>
    <w:rsid w:val="00081FF0"/>
    <w:rsid w:val="00082ADE"/>
    <w:rsid w:val="000846A7"/>
    <w:rsid w:val="00085B09"/>
    <w:rsid w:val="00085C37"/>
    <w:rsid w:val="00085DCC"/>
    <w:rsid w:val="000874F4"/>
    <w:rsid w:val="00087C75"/>
    <w:rsid w:val="00091B18"/>
    <w:rsid w:val="00091F16"/>
    <w:rsid w:val="0009484D"/>
    <w:rsid w:val="00095983"/>
    <w:rsid w:val="00095C95"/>
    <w:rsid w:val="00096300"/>
    <w:rsid w:val="000A0A88"/>
    <w:rsid w:val="000A0C4E"/>
    <w:rsid w:val="000A18F9"/>
    <w:rsid w:val="000A1F24"/>
    <w:rsid w:val="000A2818"/>
    <w:rsid w:val="000A296F"/>
    <w:rsid w:val="000A2EAB"/>
    <w:rsid w:val="000A4669"/>
    <w:rsid w:val="000A4732"/>
    <w:rsid w:val="000A4839"/>
    <w:rsid w:val="000A531B"/>
    <w:rsid w:val="000A7964"/>
    <w:rsid w:val="000B1235"/>
    <w:rsid w:val="000B2569"/>
    <w:rsid w:val="000B49AE"/>
    <w:rsid w:val="000B58F0"/>
    <w:rsid w:val="000B6723"/>
    <w:rsid w:val="000B6BE0"/>
    <w:rsid w:val="000B7018"/>
    <w:rsid w:val="000C1105"/>
    <w:rsid w:val="000C13F2"/>
    <w:rsid w:val="000C1781"/>
    <w:rsid w:val="000C1B6F"/>
    <w:rsid w:val="000C20F7"/>
    <w:rsid w:val="000C2BFE"/>
    <w:rsid w:val="000C31E5"/>
    <w:rsid w:val="000C3D4C"/>
    <w:rsid w:val="000C46F3"/>
    <w:rsid w:val="000C7CC7"/>
    <w:rsid w:val="000D074C"/>
    <w:rsid w:val="000D1BA8"/>
    <w:rsid w:val="000D39EE"/>
    <w:rsid w:val="000D4A41"/>
    <w:rsid w:val="000D4E21"/>
    <w:rsid w:val="000D59E2"/>
    <w:rsid w:val="000D5A5C"/>
    <w:rsid w:val="000D6C88"/>
    <w:rsid w:val="000D76F4"/>
    <w:rsid w:val="000D7836"/>
    <w:rsid w:val="000D7C83"/>
    <w:rsid w:val="000D7EFD"/>
    <w:rsid w:val="000E3639"/>
    <w:rsid w:val="000E4202"/>
    <w:rsid w:val="000E4745"/>
    <w:rsid w:val="000E4B01"/>
    <w:rsid w:val="000E4BA6"/>
    <w:rsid w:val="000E4F73"/>
    <w:rsid w:val="000E5868"/>
    <w:rsid w:val="000E5AA8"/>
    <w:rsid w:val="000E690A"/>
    <w:rsid w:val="000E78FE"/>
    <w:rsid w:val="000F046E"/>
    <w:rsid w:val="000F13BA"/>
    <w:rsid w:val="000F63B6"/>
    <w:rsid w:val="000F765C"/>
    <w:rsid w:val="00101618"/>
    <w:rsid w:val="001023AC"/>
    <w:rsid w:val="00103FE9"/>
    <w:rsid w:val="00104A6A"/>
    <w:rsid w:val="001074A1"/>
    <w:rsid w:val="0010753C"/>
    <w:rsid w:val="00110C6D"/>
    <w:rsid w:val="001135FA"/>
    <w:rsid w:val="001138B8"/>
    <w:rsid w:val="00115834"/>
    <w:rsid w:val="00115AF5"/>
    <w:rsid w:val="00117E64"/>
    <w:rsid w:val="001209E7"/>
    <w:rsid w:val="00120B53"/>
    <w:rsid w:val="001215DC"/>
    <w:rsid w:val="0012490F"/>
    <w:rsid w:val="00125040"/>
    <w:rsid w:val="0012611D"/>
    <w:rsid w:val="001266D5"/>
    <w:rsid w:val="00126D53"/>
    <w:rsid w:val="00127579"/>
    <w:rsid w:val="00133EE6"/>
    <w:rsid w:val="0013421A"/>
    <w:rsid w:val="0013434A"/>
    <w:rsid w:val="00134BE6"/>
    <w:rsid w:val="00134EEA"/>
    <w:rsid w:val="0013596C"/>
    <w:rsid w:val="00135EA3"/>
    <w:rsid w:val="00136087"/>
    <w:rsid w:val="001366F9"/>
    <w:rsid w:val="001378AC"/>
    <w:rsid w:val="00142F01"/>
    <w:rsid w:val="00146517"/>
    <w:rsid w:val="00147C0E"/>
    <w:rsid w:val="00150CCD"/>
    <w:rsid w:val="0015256A"/>
    <w:rsid w:val="00153722"/>
    <w:rsid w:val="0015385C"/>
    <w:rsid w:val="00153C19"/>
    <w:rsid w:val="00155283"/>
    <w:rsid w:val="001552F0"/>
    <w:rsid w:val="00155301"/>
    <w:rsid w:val="00156079"/>
    <w:rsid w:val="001615DE"/>
    <w:rsid w:val="00161C4F"/>
    <w:rsid w:val="00162178"/>
    <w:rsid w:val="00167874"/>
    <w:rsid w:val="00170E23"/>
    <w:rsid w:val="00174A9A"/>
    <w:rsid w:val="001765F3"/>
    <w:rsid w:val="00180316"/>
    <w:rsid w:val="00180337"/>
    <w:rsid w:val="00182D6E"/>
    <w:rsid w:val="00183D4C"/>
    <w:rsid w:val="001849A2"/>
    <w:rsid w:val="00185268"/>
    <w:rsid w:val="001855C0"/>
    <w:rsid w:val="00186B09"/>
    <w:rsid w:val="00190E21"/>
    <w:rsid w:val="00193514"/>
    <w:rsid w:val="00193DF7"/>
    <w:rsid w:val="00194065"/>
    <w:rsid w:val="00194E8F"/>
    <w:rsid w:val="001967FC"/>
    <w:rsid w:val="001970FB"/>
    <w:rsid w:val="00197516"/>
    <w:rsid w:val="001A025E"/>
    <w:rsid w:val="001A2835"/>
    <w:rsid w:val="001A4175"/>
    <w:rsid w:val="001A4E5E"/>
    <w:rsid w:val="001A57FD"/>
    <w:rsid w:val="001A5B43"/>
    <w:rsid w:val="001A5BE2"/>
    <w:rsid w:val="001A7E0B"/>
    <w:rsid w:val="001B0DB1"/>
    <w:rsid w:val="001B307C"/>
    <w:rsid w:val="001B389C"/>
    <w:rsid w:val="001B4158"/>
    <w:rsid w:val="001B416B"/>
    <w:rsid w:val="001B4DF1"/>
    <w:rsid w:val="001B50D2"/>
    <w:rsid w:val="001B6F61"/>
    <w:rsid w:val="001C1935"/>
    <w:rsid w:val="001C456C"/>
    <w:rsid w:val="001D04A8"/>
    <w:rsid w:val="001D04FF"/>
    <w:rsid w:val="001D17F4"/>
    <w:rsid w:val="001D22D6"/>
    <w:rsid w:val="001D42E6"/>
    <w:rsid w:val="001D4975"/>
    <w:rsid w:val="001D49AD"/>
    <w:rsid w:val="001D6BA0"/>
    <w:rsid w:val="001D701F"/>
    <w:rsid w:val="001D709B"/>
    <w:rsid w:val="001D7FB5"/>
    <w:rsid w:val="001E0CF6"/>
    <w:rsid w:val="001E2D1E"/>
    <w:rsid w:val="001E4B4D"/>
    <w:rsid w:val="001E4C57"/>
    <w:rsid w:val="001E6717"/>
    <w:rsid w:val="001E6750"/>
    <w:rsid w:val="001E689B"/>
    <w:rsid w:val="001F10C2"/>
    <w:rsid w:val="001F14EB"/>
    <w:rsid w:val="001F4D95"/>
    <w:rsid w:val="001F7400"/>
    <w:rsid w:val="001F7BB0"/>
    <w:rsid w:val="001F7CA7"/>
    <w:rsid w:val="00201050"/>
    <w:rsid w:val="00201886"/>
    <w:rsid w:val="00202A40"/>
    <w:rsid w:val="0020367E"/>
    <w:rsid w:val="0020471C"/>
    <w:rsid w:val="00204EA6"/>
    <w:rsid w:val="0020759E"/>
    <w:rsid w:val="00210593"/>
    <w:rsid w:val="002107FF"/>
    <w:rsid w:val="00213E49"/>
    <w:rsid w:val="002147CD"/>
    <w:rsid w:val="00215B35"/>
    <w:rsid w:val="00215F73"/>
    <w:rsid w:val="00217D8B"/>
    <w:rsid w:val="0022104D"/>
    <w:rsid w:val="0022196A"/>
    <w:rsid w:val="00221A06"/>
    <w:rsid w:val="002223AF"/>
    <w:rsid w:val="0022447A"/>
    <w:rsid w:val="00224692"/>
    <w:rsid w:val="00224714"/>
    <w:rsid w:val="002247AD"/>
    <w:rsid w:val="002260BF"/>
    <w:rsid w:val="002267D0"/>
    <w:rsid w:val="00226A85"/>
    <w:rsid w:val="002276A7"/>
    <w:rsid w:val="0022DF0C"/>
    <w:rsid w:val="002310C9"/>
    <w:rsid w:val="00232288"/>
    <w:rsid w:val="00232FCD"/>
    <w:rsid w:val="00235F55"/>
    <w:rsid w:val="0023693F"/>
    <w:rsid w:val="00236BF8"/>
    <w:rsid w:val="0024009D"/>
    <w:rsid w:val="002400E5"/>
    <w:rsid w:val="002409BB"/>
    <w:rsid w:val="00241A82"/>
    <w:rsid w:val="00241E69"/>
    <w:rsid w:val="0024232D"/>
    <w:rsid w:val="0024586E"/>
    <w:rsid w:val="0025038B"/>
    <w:rsid w:val="0025229C"/>
    <w:rsid w:val="002564C4"/>
    <w:rsid w:val="00256C78"/>
    <w:rsid w:val="00257190"/>
    <w:rsid w:val="0026130A"/>
    <w:rsid w:val="00262041"/>
    <w:rsid w:val="0026208D"/>
    <w:rsid w:val="002655BB"/>
    <w:rsid w:val="00265E51"/>
    <w:rsid w:val="00266768"/>
    <w:rsid w:val="002678FB"/>
    <w:rsid w:val="00271066"/>
    <w:rsid w:val="00272765"/>
    <w:rsid w:val="00272CF0"/>
    <w:rsid w:val="002736E9"/>
    <w:rsid w:val="00275CF5"/>
    <w:rsid w:val="00280C09"/>
    <w:rsid w:val="00281CE8"/>
    <w:rsid w:val="00282A85"/>
    <w:rsid w:val="00286170"/>
    <w:rsid w:val="0028671F"/>
    <w:rsid w:val="00290289"/>
    <w:rsid w:val="002910F0"/>
    <w:rsid w:val="0029176A"/>
    <w:rsid w:val="002921A1"/>
    <w:rsid w:val="0029251A"/>
    <w:rsid w:val="0029365F"/>
    <w:rsid w:val="00293965"/>
    <w:rsid w:val="00295391"/>
    <w:rsid w:val="002954AA"/>
    <w:rsid w:val="00295EBB"/>
    <w:rsid w:val="002975B9"/>
    <w:rsid w:val="002A11AD"/>
    <w:rsid w:val="002A1BCD"/>
    <w:rsid w:val="002A34E6"/>
    <w:rsid w:val="002A41A8"/>
    <w:rsid w:val="002A4B97"/>
    <w:rsid w:val="002A4F7A"/>
    <w:rsid w:val="002B0545"/>
    <w:rsid w:val="002B09F4"/>
    <w:rsid w:val="002B2B83"/>
    <w:rsid w:val="002B39F8"/>
    <w:rsid w:val="002B492B"/>
    <w:rsid w:val="002B4E58"/>
    <w:rsid w:val="002B5961"/>
    <w:rsid w:val="002B7BB9"/>
    <w:rsid w:val="002B7C36"/>
    <w:rsid w:val="002C1531"/>
    <w:rsid w:val="002C25D3"/>
    <w:rsid w:val="002C34B8"/>
    <w:rsid w:val="002C4EE9"/>
    <w:rsid w:val="002C5F14"/>
    <w:rsid w:val="002C688F"/>
    <w:rsid w:val="002C6917"/>
    <w:rsid w:val="002C6F14"/>
    <w:rsid w:val="002D04D3"/>
    <w:rsid w:val="002D0677"/>
    <w:rsid w:val="002D1B11"/>
    <w:rsid w:val="002D387C"/>
    <w:rsid w:val="002D4984"/>
    <w:rsid w:val="002D56EC"/>
    <w:rsid w:val="002D6802"/>
    <w:rsid w:val="002D7478"/>
    <w:rsid w:val="002D7D55"/>
    <w:rsid w:val="002E08A7"/>
    <w:rsid w:val="002E1C57"/>
    <w:rsid w:val="002E2022"/>
    <w:rsid w:val="002E31EF"/>
    <w:rsid w:val="002E401D"/>
    <w:rsid w:val="002E4CE9"/>
    <w:rsid w:val="002E4E83"/>
    <w:rsid w:val="002E502E"/>
    <w:rsid w:val="002E589F"/>
    <w:rsid w:val="002E5FBF"/>
    <w:rsid w:val="002E7744"/>
    <w:rsid w:val="002F0795"/>
    <w:rsid w:val="002F0E70"/>
    <w:rsid w:val="002F150D"/>
    <w:rsid w:val="002F2521"/>
    <w:rsid w:val="002F25C3"/>
    <w:rsid w:val="002F4854"/>
    <w:rsid w:val="002F4E3B"/>
    <w:rsid w:val="002F5E69"/>
    <w:rsid w:val="002F6126"/>
    <w:rsid w:val="002F6DDD"/>
    <w:rsid w:val="002F7F1A"/>
    <w:rsid w:val="0030136A"/>
    <w:rsid w:val="003016AA"/>
    <w:rsid w:val="003018B0"/>
    <w:rsid w:val="00303306"/>
    <w:rsid w:val="003050ED"/>
    <w:rsid w:val="00306C97"/>
    <w:rsid w:val="00306EFA"/>
    <w:rsid w:val="00307C4F"/>
    <w:rsid w:val="003100A2"/>
    <w:rsid w:val="003112A9"/>
    <w:rsid w:val="00311E85"/>
    <w:rsid w:val="003138FC"/>
    <w:rsid w:val="00313E8A"/>
    <w:rsid w:val="00314245"/>
    <w:rsid w:val="0031479F"/>
    <w:rsid w:val="00315E40"/>
    <w:rsid w:val="00316788"/>
    <w:rsid w:val="00316DCC"/>
    <w:rsid w:val="003208C8"/>
    <w:rsid w:val="00322101"/>
    <w:rsid w:val="0032261D"/>
    <w:rsid w:val="00323B30"/>
    <w:rsid w:val="00324B1E"/>
    <w:rsid w:val="0032514C"/>
    <w:rsid w:val="00326644"/>
    <w:rsid w:val="00327378"/>
    <w:rsid w:val="00327D30"/>
    <w:rsid w:val="003310E3"/>
    <w:rsid w:val="00331938"/>
    <w:rsid w:val="00331B23"/>
    <w:rsid w:val="00331DCD"/>
    <w:rsid w:val="00333A2D"/>
    <w:rsid w:val="0033462C"/>
    <w:rsid w:val="00334DE1"/>
    <w:rsid w:val="00336B23"/>
    <w:rsid w:val="00336E30"/>
    <w:rsid w:val="0034134A"/>
    <w:rsid w:val="0034232F"/>
    <w:rsid w:val="00343A3D"/>
    <w:rsid w:val="00343F69"/>
    <w:rsid w:val="00345686"/>
    <w:rsid w:val="00346073"/>
    <w:rsid w:val="00346908"/>
    <w:rsid w:val="00347F4F"/>
    <w:rsid w:val="00350210"/>
    <w:rsid w:val="00350F76"/>
    <w:rsid w:val="00351743"/>
    <w:rsid w:val="003517A3"/>
    <w:rsid w:val="00351831"/>
    <w:rsid w:val="00351D59"/>
    <w:rsid w:val="003524B0"/>
    <w:rsid w:val="003526BB"/>
    <w:rsid w:val="003550F2"/>
    <w:rsid w:val="003558B8"/>
    <w:rsid w:val="003559D3"/>
    <w:rsid w:val="00356959"/>
    <w:rsid w:val="0035701C"/>
    <w:rsid w:val="00360024"/>
    <w:rsid w:val="00362276"/>
    <w:rsid w:val="003632EE"/>
    <w:rsid w:val="00364745"/>
    <w:rsid w:val="0036497A"/>
    <w:rsid w:val="00366359"/>
    <w:rsid w:val="00370B57"/>
    <w:rsid w:val="00370CD6"/>
    <w:rsid w:val="0037227B"/>
    <w:rsid w:val="003754BF"/>
    <w:rsid w:val="00375C19"/>
    <w:rsid w:val="003772C6"/>
    <w:rsid w:val="00377D59"/>
    <w:rsid w:val="003804A3"/>
    <w:rsid w:val="00380D8A"/>
    <w:rsid w:val="00381A54"/>
    <w:rsid w:val="003824FA"/>
    <w:rsid w:val="00382EE1"/>
    <w:rsid w:val="003847D8"/>
    <w:rsid w:val="00384AA3"/>
    <w:rsid w:val="003865FB"/>
    <w:rsid w:val="00387FF8"/>
    <w:rsid w:val="00390A19"/>
    <w:rsid w:val="00390D71"/>
    <w:rsid w:val="0039133A"/>
    <w:rsid w:val="003942C9"/>
    <w:rsid w:val="003943D5"/>
    <w:rsid w:val="00395832"/>
    <w:rsid w:val="00397C7F"/>
    <w:rsid w:val="003A0943"/>
    <w:rsid w:val="003A0BA1"/>
    <w:rsid w:val="003A2419"/>
    <w:rsid w:val="003A4B83"/>
    <w:rsid w:val="003A4D97"/>
    <w:rsid w:val="003A5C78"/>
    <w:rsid w:val="003A6B84"/>
    <w:rsid w:val="003A7E2F"/>
    <w:rsid w:val="003B04CA"/>
    <w:rsid w:val="003B2E1F"/>
    <w:rsid w:val="003B356C"/>
    <w:rsid w:val="003B53B6"/>
    <w:rsid w:val="003B55AB"/>
    <w:rsid w:val="003B5A9A"/>
    <w:rsid w:val="003C09EA"/>
    <w:rsid w:val="003C1306"/>
    <w:rsid w:val="003C13C6"/>
    <w:rsid w:val="003C1F7C"/>
    <w:rsid w:val="003C20B2"/>
    <w:rsid w:val="003C2D6B"/>
    <w:rsid w:val="003C391B"/>
    <w:rsid w:val="003C501E"/>
    <w:rsid w:val="003C57BB"/>
    <w:rsid w:val="003C6F64"/>
    <w:rsid w:val="003D0602"/>
    <w:rsid w:val="003D16B4"/>
    <w:rsid w:val="003D21B5"/>
    <w:rsid w:val="003D27F6"/>
    <w:rsid w:val="003D5132"/>
    <w:rsid w:val="003D61A8"/>
    <w:rsid w:val="003E2A67"/>
    <w:rsid w:val="003E46ED"/>
    <w:rsid w:val="003E4A11"/>
    <w:rsid w:val="003E4A41"/>
    <w:rsid w:val="003E508C"/>
    <w:rsid w:val="003E622C"/>
    <w:rsid w:val="003E634A"/>
    <w:rsid w:val="003E7547"/>
    <w:rsid w:val="003F1571"/>
    <w:rsid w:val="003F18A4"/>
    <w:rsid w:val="003F267F"/>
    <w:rsid w:val="003F3149"/>
    <w:rsid w:val="003F3151"/>
    <w:rsid w:val="003F417E"/>
    <w:rsid w:val="003F4F73"/>
    <w:rsid w:val="00400149"/>
    <w:rsid w:val="004003D1"/>
    <w:rsid w:val="00401229"/>
    <w:rsid w:val="00401B4D"/>
    <w:rsid w:val="00403D7E"/>
    <w:rsid w:val="00404793"/>
    <w:rsid w:val="0040704D"/>
    <w:rsid w:val="00411AC0"/>
    <w:rsid w:val="00411BDD"/>
    <w:rsid w:val="00414CDD"/>
    <w:rsid w:val="004163D7"/>
    <w:rsid w:val="004206D8"/>
    <w:rsid w:val="00421775"/>
    <w:rsid w:val="004220DE"/>
    <w:rsid w:val="00422213"/>
    <w:rsid w:val="0042380D"/>
    <w:rsid w:val="004269CF"/>
    <w:rsid w:val="00427EF9"/>
    <w:rsid w:val="00427F34"/>
    <w:rsid w:val="00427FBF"/>
    <w:rsid w:val="0043012E"/>
    <w:rsid w:val="00430D26"/>
    <w:rsid w:val="00433577"/>
    <w:rsid w:val="0043393D"/>
    <w:rsid w:val="00436C3A"/>
    <w:rsid w:val="004412D5"/>
    <w:rsid w:val="0044233D"/>
    <w:rsid w:val="00442993"/>
    <w:rsid w:val="0044396F"/>
    <w:rsid w:val="00444303"/>
    <w:rsid w:val="00444554"/>
    <w:rsid w:val="00444BD9"/>
    <w:rsid w:val="0044587B"/>
    <w:rsid w:val="00446026"/>
    <w:rsid w:val="004478CA"/>
    <w:rsid w:val="004523FE"/>
    <w:rsid w:val="00453786"/>
    <w:rsid w:val="00455A9C"/>
    <w:rsid w:val="004561EE"/>
    <w:rsid w:val="0045694E"/>
    <w:rsid w:val="00457124"/>
    <w:rsid w:val="00457711"/>
    <w:rsid w:val="00457918"/>
    <w:rsid w:val="00457950"/>
    <w:rsid w:val="004603AD"/>
    <w:rsid w:val="004605F2"/>
    <w:rsid w:val="00461216"/>
    <w:rsid w:val="00462EDD"/>
    <w:rsid w:val="00464B6D"/>
    <w:rsid w:val="00464D42"/>
    <w:rsid w:val="00465074"/>
    <w:rsid w:val="00466390"/>
    <w:rsid w:val="00466A47"/>
    <w:rsid w:val="00466C80"/>
    <w:rsid w:val="00467A58"/>
    <w:rsid w:val="00467BD6"/>
    <w:rsid w:val="00470868"/>
    <w:rsid w:val="004726B3"/>
    <w:rsid w:val="004727C2"/>
    <w:rsid w:val="004730BE"/>
    <w:rsid w:val="00473AC1"/>
    <w:rsid w:val="00474AC8"/>
    <w:rsid w:val="00477B37"/>
    <w:rsid w:val="004816C1"/>
    <w:rsid w:val="00482908"/>
    <w:rsid w:val="00482CC1"/>
    <w:rsid w:val="0048361E"/>
    <w:rsid w:val="004837DC"/>
    <w:rsid w:val="0048484D"/>
    <w:rsid w:val="00485019"/>
    <w:rsid w:val="004854D3"/>
    <w:rsid w:val="00485E1E"/>
    <w:rsid w:val="004879B8"/>
    <w:rsid w:val="00490330"/>
    <w:rsid w:val="0049287F"/>
    <w:rsid w:val="00492CAB"/>
    <w:rsid w:val="00494B89"/>
    <w:rsid w:val="00494D4B"/>
    <w:rsid w:val="004951E8"/>
    <w:rsid w:val="004966FE"/>
    <w:rsid w:val="00496C75"/>
    <w:rsid w:val="00496EAA"/>
    <w:rsid w:val="004971F1"/>
    <w:rsid w:val="004A0A15"/>
    <w:rsid w:val="004A2974"/>
    <w:rsid w:val="004A3001"/>
    <w:rsid w:val="004A6A8F"/>
    <w:rsid w:val="004A6DD1"/>
    <w:rsid w:val="004B0F31"/>
    <w:rsid w:val="004B1132"/>
    <w:rsid w:val="004B1AF1"/>
    <w:rsid w:val="004B2CAC"/>
    <w:rsid w:val="004B2DC3"/>
    <w:rsid w:val="004B30A3"/>
    <w:rsid w:val="004B3704"/>
    <w:rsid w:val="004B391E"/>
    <w:rsid w:val="004B60A5"/>
    <w:rsid w:val="004B7931"/>
    <w:rsid w:val="004B7DC9"/>
    <w:rsid w:val="004C0575"/>
    <w:rsid w:val="004C0F47"/>
    <w:rsid w:val="004C1AE7"/>
    <w:rsid w:val="004C1B57"/>
    <w:rsid w:val="004C3A05"/>
    <w:rsid w:val="004C3E54"/>
    <w:rsid w:val="004C5206"/>
    <w:rsid w:val="004C5E84"/>
    <w:rsid w:val="004C64E7"/>
    <w:rsid w:val="004C73AF"/>
    <w:rsid w:val="004C74F8"/>
    <w:rsid w:val="004D06BA"/>
    <w:rsid w:val="004D0EEC"/>
    <w:rsid w:val="004D32C3"/>
    <w:rsid w:val="004D3C6E"/>
    <w:rsid w:val="004D50F6"/>
    <w:rsid w:val="004D5146"/>
    <w:rsid w:val="004D549E"/>
    <w:rsid w:val="004D72BB"/>
    <w:rsid w:val="004D7623"/>
    <w:rsid w:val="004E069E"/>
    <w:rsid w:val="004E12D4"/>
    <w:rsid w:val="004E13F6"/>
    <w:rsid w:val="004E141D"/>
    <w:rsid w:val="004E1FF6"/>
    <w:rsid w:val="004E23DD"/>
    <w:rsid w:val="004E504E"/>
    <w:rsid w:val="004E6FA2"/>
    <w:rsid w:val="004E7487"/>
    <w:rsid w:val="004F2496"/>
    <w:rsid w:val="004F25F4"/>
    <w:rsid w:val="004F277F"/>
    <w:rsid w:val="004F3641"/>
    <w:rsid w:val="004F3AFD"/>
    <w:rsid w:val="004F3B57"/>
    <w:rsid w:val="004F3F73"/>
    <w:rsid w:val="004F41FE"/>
    <w:rsid w:val="004F4571"/>
    <w:rsid w:val="004F6040"/>
    <w:rsid w:val="004F63CD"/>
    <w:rsid w:val="00502998"/>
    <w:rsid w:val="00504F0B"/>
    <w:rsid w:val="0050611B"/>
    <w:rsid w:val="00507BC3"/>
    <w:rsid w:val="0051029C"/>
    <w:rsid w:val="00510390"/>
    <w:rsid w:val="00510655"/>
    <w:rsid w:val="005106CA"/>
    <w:rsid w:val="00512E06"/>
    <w:rsid w:val="00512F67"/>
    <w:rsid w:val="00515112"/>
    <w:rsid w:val="005171E0"/>
    <w:rsid w:val="005173AB"/>
    <w:rsid w:val="00520DE7"/>
    <w:rsid w:val="00521BEE"/>
    <w:rsid w:val="00523772"/>
    <w:rsid w:val="00523C26"/>
    <w:rsid w:val="005246B0"/>
    <w:rsid w:val="00526D67"/>
    <w:rsid w:val="005271DC"/>
    <w:rsid w:val="005278BA"/>
    <w:rsid w:val="00527BF5"/>
    <w:rsid w:val="0053032B"/>
    <w:rsid w:val="00530561"/>
    <w:rsid w:val="00530DB0"/>
    <w:rsid w:val="0053190B"/>
    <w:rsid w:val="00531A41"/>
    <w:rsid w:val="00533CAF"/>
    <w:rsid w:val="005349A5"/>
    <w:rsid w:val="00540FF8"/>
    <w:rsid w:val="00541866"/>
    <w:rsid w:val="00541988"/>
    <w:rsid w:val="00543F6A"/>
    <w:rsid w:val="00545562"/>
    <w:rsid w:val="00545BAB"/>
    <w:rsid w:val="0054669C"/>
    <w:rsid w:val="00546DC0"/>
    <w:rsid w:val="00547E18"/>
    <w:rsid w:val="0055132B"/>
    <w:rsid w:val="005518E4"/>
    <w:rsid w:val="005521BE"/>
    <w:rsid w:val="00553319"/>
    <w:rsid w:val="005535B5"/>
    <w:rsid w:val="00556984"/>
    <w:rsid w:val="0055711F"/>
    <w:rsid w:val="00557FA3"/>
    <w:rsid w:val="0056020F"/>
    <w:rsid w:val="00560E0A"/>
    <w:rsid w:val="0056202F"/>
    <w:rsid w:val="005635A9"/>
    <w:rsid w:val="005652EE"/>
    <w:rsid w:val="00565662"/>
    <w:rsid w:val="00567CCD"/>
    <w:rsid w:val="00570628"/>
    <w:rsid w:val="00572182"/>
    <w:rsid w:val="00577BC5"/>
    <w:rsid w:val="005824F1"/>
    <w:rsid w:val="00584382"/>
    <w:rsid w:val="00584DFC"/>
    <w:rsid w:val="00585F22"/>
    <w:rsid w:val="005861AE"/>
    <w:rsid w:val="005865EE"/>
    <w:rsid w:val="00587EF6"/>
    <w:rsid w:val="00590630"/>
    <w:rsid w:val="00590E73"/>
    <w:rsid w:val="005916AF"/>
    <w:rsid w:val="00591D8B"/>
    <w:rsid w:val="00591E27"/>
    <w:rsid w:val="005920CB"/>
    <w:rsid w:val="0059272E"/>
    <w:rsid w:val="005933D0"/>
    <w:rsid w:val="00595277"/>
    <w:rsid w:val="005961B9"/>
    <w:rsid w:val="00597117"/>
    <w:rsid w:val="005971AF"/>
    <w:rsid w:val="00597EA7"/>
    <w:rsid w:val="005A0706"/>
    <w:rsid w:val="005A0AFC"/>
    <w:rsid w:val="005A1631"/>
    <w:rsid w:val="005A1E0F"/>
    <w:rsid w:val="005A246F"/>
    <w:rsid w:val="005A29CC"/>
    <w:rsid w:val="005A2C54"/>
    <w:rsid w:val="005A2FAA"/>
    <w:rsid w:val="005A684D"/>
    <w:rsid w:val="005A799B"/>
    <w:rsid w:val="005B053D"/>
    <w:rsid w:val="005B0833"/>
    <w:rsid w:val="005B2320"/>
    <w:rsid w:val="005B2606"/>
    <w:rsid w:val="005B326D"/>
    <w:rsid w:val="005B3CDC"/>
    <w:rsid w:val="005B3D58"/>
    <w:rsid w:val="005B4611"/>
    <w:rsid w:val="005B5A7D"/>
    <w:rsid w:val="005C0096"/>
    <w:rsid w:val="005C15F7"/>
    <w:rsid w:val="005C1AC5"/>
    <w:rsid w:val="005C32F3"/>
    <w:rsid w:val="005C34CA"/>
    <w:rsid w:val="005C3CF0"/>
    <w:rsid w:val="005C3E1F"/>
    <w:rsid w:val="005C3ECD"/>
    <w:rsid w:val="005C4E5A"/>
    <w:rsid w:val="005D02FC"/>
    <w:rsid w:val="005D119B"/>
    <w:rsid w:val="005D2900"/>
    <w:rsid w:val="005D3512"/>
    <w:rsid w:val="005D3B78"/>
    <w:rsid w:val="005D42A9"/>
    <w:rsid w:val="005D513C"/>
    <w:rsid w:val="005D5304"/>
    <w:rsid w:val="005E0C48"/>
    <w:rsid w:val="005E1651"/>
    <w:rsid w:val="005E31AC"/>
    <w:rsid w:val="005E34FD"/>
    <w:rsid w:val="005E45B0"/>
    <w:rsid w:val="005E5043"/>
    <w:rsid w:val="005E58C2"/>
    <w:rsid w:val="005F0581"/>
    <w:rsid w:val="005F1EEB"/>
    <w:rsid w:val="005F252F"/>
    <w:rsid w:val="005F5EDA"/>
    <w:rsid w:val="005F608E"/>
    <w:rsid w:val="005F7D0D"/>
    <w:rsid w:val="006013D2"/>
    <w:rsid w:val="00601C5A"/>
    <w:rsid w:val="00602E3C"/>
    <w:rsid w:val="00603461"/>
    <w:rsid w:val="006068B4"/>
    <w:rsid w:val="00607B0F"/>
    <w:rsid w:val="00607C87"/>
    <w:rsid w:val="006106CD"/>
    <w:rsid w:val="006116FE"/>
    <w:rsid w:val="00611B90"/>
    <w:rsid w:val="00614293"/>
    <w:rsid w:val="00614FF0"/>
    <w:rsid w:val="00616AB4"/>
    <w:rsid w:val="00617877"/>
    <w:rsid w:val="00617ED1"/>
    <w:rsid w:val="006200F6"/>
    <w:rsid w:val="00620CC0"/>
    <w:rsid w:val="00621840"/>
    <w:rsid w:val="006222FA"/>
    <w:rsid w:val="006224FC"/>
    <w:rsid w:val="006246EB"/>
    <w:rsid w:val="00625A7C"/>
    <w:rsid w:val="006260BC"/>
    <w:rsid w:val="00626339"/>
    <w:rsid w:val="00626577"/>
    <w:rsid w:val="0063002E"/>
    <w:rsid w:val="006314BC"/>
    <w:rsid w:val="00631F76"/>
    <w:rsid w:val="006320E9"/>
    <w:rsid w:val="00632B6F"/>
    <w:rsid w:val="006330AD"/>
    <w:rsid w:val="00637245"/>
    <w:rsid w:val="0063782C"/>
    <w:rsid w:val="00637F9C"/>
    <w:rsid w:val="00640595"/>
    <w:rsid w:val="00641968"/>
    <w:rsid w:val="006449C9"/>
    <w:rsid w:val="006461FB"/>
    <w:rsid w:val="00650D65"/>
    <w:rsid w:val="00650D9E"/>
    <w:rsid w:val="00656077"/>
    <w:rsid w:val="006569D7"/>
    <w:rsid w:val="00656DFE"/>
    <w:rsid w:val="00656E38"/>
    <w:rsid w:val="00657D8D"/>
    <w:rsid w:val="00660576"/>
    <w:rsid w:val="0066185B"/>
    <w:rsid w:val="00667FF1"/>
    <w:rsid w:val="00670A50"/>
    <w:rsid w:val="0067190E"/>
    <w:rsid w:val="006737F6"/>
    <w:rsid w:val="00673E4A"/>
    <w:rsid w:val="00675784"/>
    <w:rsid w:val="006757CD"/>
    <w:rsid w:val="00676F5C"/>
    <w:rsid w:val="0067747F"/>
    <w:rsid w:val="00677483"/>
    <w:rsid w:val="006777EF"/>
    <w:rsid w:val="006817A6"/>
    <w:rsid w:val="006818BE"/>
    <w:rsid w:val="0068195E"/>
    <w:rsid w:val="00681D20"/>
    <w:rsid w:val="00681D46"/>
    <w:rsid w:val="00681D62"/>
    <w:rsid w:val="00681ED2"/>
    <w:rsid w:val="006821C2"/>
    <w:rsid w:val="006829CF"/>
    <w:rsid w:val="00684395"/>
    <w:rsid w:val="006843D1"/>
    <w:rsid w:val="00684D06"/>
    <w:rsid w:val="00685DCD"/>
    <w:rsid w:val="0068706A"/>
    <w:rsid w:val="006879C8"/>
    <w:rsid w:val="0068D30D"/>
    <w:rsid w:val="006909E9"/>
    <w:rsid w:val="0069214F"/>
    <w:rsid w:val="006921DD"/>
    <w:rsid w:val="00692C42"/>
    <w:rsid w:val="0069385B"/>
    <w:rsid w:val="006949BB"/>
    <w:rsid w:val="00695394"/>
    <w:rsid w:val="00695B1B"/>
    <w:rsid w:val="0069615E"/>
    <w:rsid w:val="00696F46"/>
    <w:rsid w:val="006A0D78"/>
    <w:rsid w:val="006A18B3"/>
    <w:rsid w:val="006A36E4"/>
    <w:rsid w:val="006A38AE"/>
    <w:rsid w:val="006A486D"/>
    <w:rsid w:val="006A4AFD"/>
    <w:rsid w:val="006A624D"/>
    <w:rsid w:val="006A6F7F"/>
    <w:rsid w:val="006B0D06"/>
    <w:rsid w:val="006B0E36"/>
    <w:rsid w:val="006B0F2B"/>
    <w:rsid w:val="006B1170"/>
    <w:rsid w:val="006B2682"/>
    <w:rsid w:val="006B3F67"/>
    <w:rsid w:val="006B5076"/>
    <w:rsid w:val="006B50D4"/>
    <w:rsid w:val="006B7816"/>
    <w:rsid w:val="006C1AFA"/>
    <w:rsid w:val="006C240C"/>
    <w:rsid w:val="006C2DF5"/>
    <w:rsid w:val="006C3879"/>
    <w:rsid w:val="006C5291"/>
    <w:rsid w:val="006C5426"/>
    <w:rsid w:val="006C7878"/>
    <w:rsid w:val="006C7960"/>
    <w:rsid w:val="006C7B4D"/>
    <w:rsid w:val="006D0DB6"/>
    <w:rsid w:val="006D25BB"/>
    <w:rsid w:val="006D304F"/>
    <w:rsid w:val="006D363A"/>
    <w:rsid w:val="006D3BF5"/>
    <w:rsid w:val="006D5492"/>
    <w:rsid w:val="006D57FF"/>
    <w:rsid w:val="006D626D"/>
    <w:rsid w:val="006D67B9"/>
    <w:rsid w:val="006D7645"/>
    <w:rsid w:val="006D7D00"/>
    <w:rsid w:val="006E045D"/>
    <w:rsid w:val="006E12D4"/>
    <w:rsid w:val="006E1380"/>
    <w:rsid w:val="006E1E70"/>
    <w:rsid w:val="006E311E"/>
    <w:rsid w:val="006E3762"/>
    <w:rsid w:val="006E3821"/>
    <w:rsid w:val="006E789B"/>
    <w:rsid w:val="006E7C4E"/>
    <w:rsid w:val="006F0DD1"/>
    <w:rsid w:val="006F1C22"/>
    <w:rsid w:val="006F2528"/>
    <w:rsid w:val="006F263E"/>
    <w:rsid w:val="006F2D56"/>
    <w:rsid w:val="006F326F"/>
    <w:rsid w:val="006F6524"/>
    <w:rsid w:val="006F7D2B"/>
    <w:rsid w:val="0070016B"/>
    <w:rsid w:val="007007A3"/>
    <w:rsid w:val="00700FD8"/>
    <w:rsid w:val="007046C5"/>
    <w:rsid w:val="0070715D"/>
    <w:rsid w:val="00710A26"/>
    <w:rsid w:val="00711792"/>
    <w:rsid w:val="00712EB6"/>
    <w:rsid w:val="00713E95"/>
    <w:rsid w:val="00714BC4"/>
    <w:rsid w:val="00715220"/>
    <w:rsid w:val="00715222"/>
    <w:rsid w:val="0071549A"/>
    <w:rsid w:val="007173BC"/>
    <w:rsid w:val="007176FE"/>
    <w:rsid w:val="0072076F"/>
    <w:rsid w:val="007211BE"/>
    <w:rsid w:val="00721D27"/>
    <w:rsid w:val="007225C9"/>
    <w:rsid w:val="007229B6"/>
    <w:rsid w:val="00723659"/>
    <w:rsid w:val="007247B7"/>
    <w:rsid w:val="00725531"/>
    <w:rsid w:val="00726F02"/>
    <w:rsid w:val="00727AFB"/>
    <w:rsid w:val="00727FE7"/>
    <w:rsid w:val="007308FE"/>
    <w:rsid w:val="007310D9"/>
    <w:rsid w:val="00731A13"/>
    <w:rsid w:val="007342E3"/>
    <w:rsid w:val="00734D72"/>
    <w:rsid w:val="007359C7"/>
    <w:rsid w:val="00736977"/>
    <w:rsid w:val="0073772C"/>
    <w:rsid w:val="00741A5C"/>
    <w:rsid w:val="00742B4A"/>
    <w:rsid w:val="007449BF"/>
    <w:rsid w:val="00745FE6"/>
    <w:rsid w:val="0074788C"/>
    <w:rsid w:val="00751A9D"/>
    <w:rsid w:val="007535E7"/>
    <w:rsid w:val="00753A39"/>
    <w:rsid w:val="00755595"/>
    <w:rsid w:val="007557AF"/>
    <w:rsid w:val="00756037"/>
    <w:rsid w:val="00757FD8"/>
    <w:rsid w:val="007600C9"/>
    <w:rsid w:val="00761C71"/>
    <w:rsid w:val="007627B9"/>
    <w:rsid w:val="00762DDE"/>
    <w:rsid w:val="00763ED2"/>
    <w:rsid w:val="00763F5B"/>
    <w:rsid w:val="00766F20"/>
    <w:rsid w:val="00767472"/>
    <w:rsid w:val="00767D38"/>
    <w:rsid w:val="00770976"/>
    <w:rsid w:val="00772B2E"/>
    <w:rsid w:val="00775995"/>
    <w:rsid w:val="00776277"/>
    <w:rsid w:val="0077698F"/>
    <w:rsid w:val="007770BD"/>
    <w:rsid w:val="007804BF"/>
    <w:rsid w:val="00780E0D"/>
    <w:rsid w:val="0078168D"/>
    <w:rsid w:val="00781776"/>
    <w:rsid w:val="00783764"/>
    <w:rsid w:val="00783E66"/>
    <w:rsid w:val="007847A7"/>
    <w:rsid w:val="00785089"/>
    <w:rsid w:val="0078542D"/>
    <w:rsid w:val="00785DD9"/>
    <w:rsid w:val="0078755A"/>
    <w:rsid w:val="00787E89"/>
    <w:rsid w:val="00794A5E"/>
    <w:rsid w:val="0079570B"/>
    <w:rsid w:val="00796589"/>
    <w:rsid w:val="007A45B7"/>
    <w:rsid w:val="007A4DC5"/>
    <w:rsid w:val="007A6AE5"/>
    <w:rsid w:val="007A6D89"/>
    <w:rsid w:val="007B0346"/>
    <w:rsid w:val="007B0B76"/>
    <w:rsid w:val="007B2A80"/>
    <w:rsid w:val="007B2B9E"/>
    <w:rsid w:val="007B2E0D"/>
    <w:rsid w:val="007B3563"/>
    <w:rsid w:val="007B6DF2"/>
    <w:rsid w:val="007B6E5B"/>
    <w:rsid w:val="007C2B68"/>
    <w:rsid w:val="007C6787"/>
    <w:rsid w:val="007C7FEB"/>
    <w:rsid w:val="007D0565"/>
    <w:rsid w:val="007D310A"/>
    <w:rsid w:val="007D7E03"/>
    <w:rsid w:val="007E123A"/>
    <w:rsid w:val="007E13DB"/>
    <w:rsid w:val="007E22F7"/>
    <w:rsid w:val="007E2E82"/>
    <w:rsid w:val="007E4009"/>
    <w:rsid w:val="007E43EC"/>
    <w:rsid w:val="007E6FFE"/>
    <w:rsid w:val="007F08CB"/>
    <w:rsid w:val="007F131A"/>
    <w:rsid w:val="007F13C6"/>
    <w:rsid w:val="007F13D1"/>
    <w:rsid w:val="007F1E17"/>
    <w:rsid w:val="007F3648"/>
    <w:rsid w:val="007F3717"/>
    <w:rsid w:val="007F3D0C"/>
    <w:rsid w:val="007F45B4"/>
    <w:rsid w:val="007F5DD2"/>
    <w:rsid w:val="007F6469"/>
    <w:rsid w:val="007F76C4"/>
    <w:rsid w:val="007F778F"/>
    <w:rsid w:val="00800328"/>
    <w:rsid w:val="00801AAF"/>
    <w:rsid w:val="00801B64"/>
    <w:rsid w:val="0080295F"/>
    <w:rsid w:val="00802964"/>
    <w:rsid w:val="00802AA9"/>
    <w:rsid w:val="00803666"/>
    <w:rsid w:val="0080387B"/>
    <w:rsid w:val="00803A01"/>
    <w:rsid w:val="0080426C"/>
    <w:rsid w:val="0080528F"/>
    <w:rsid w:val="0080731D"/>
    <w:rsid w:val="00812402"/>
    <w:rsid w:val="00812D11"/>
    <w:rsid w:val="00815AAA"/>
    <w:rsid w:val="00815E8F"/>
    <w:rsid w:val="008206F1"/>
    <w:rsid w:val="0082381D"/>
    <w:rsid w:val="008275C6"/>
    <w:rsid w:val="00827E74"/>
    <w:rsid w:val="008303AC"/>
    <w:rsid w:val="008317C5"/>
    <w:rsid w:val="00832955"/>
    <w:rsid w:val="008343F0"/>
    <w:rsid w:val="00835E74"/>
    <w:rsid w:val="00836208"/>
    <w:rsid w:val="0083681E"/>
    <w:rsid w:val="008408B4"/>
    <w:rsid w:val="00841ABD"/>
    <w:rsid w:val="0084253B"/>
    <w:rsid w:val="0084330A"/>
    <w:rsid w:val="00843640"/>
    <w:rsid w:val="00844879"/>
    <w:rsid w:val="008467BD"/>
    <w:rsid w:val="00847DD0"/>
    <w:rsid w:val="00852731"/>
    <w:rsid w:val="00856A6C"/>
    <w:rsid w:val="00856DEE"/>
    <w:rsid w:val="0086123B"/>
    <w:rsid w:val="00861563"/>
    <w:rsid w:val="008618F5"/>
    <w:rsid w:val="00863CDD"/>
    <w:rsid w:val="008642C6"/>
    <w:rsid w:val="008647C5"/>
    <w:rsid w:val="00865224"/>
    <w:rsid w:val="008655FB"/>
    <w:rsid w:val="00865CA2"/>
    <w:rsid w:val="00867A22"/>
    <w:rsid w:val="00872377"/>
    <w:rsid w:val="008728FD"/>
    <w:rsid w:val="00873644"/>
    <w:rsid w:val="00873BD8"/>
    <w:rsid w:val="00873F9F"/>
    <w:rsid w:val="00875487"/>
    <w:rsid w:val="00880C11"/>
    <w:rsid w:val="00880D1C"/>
    <w:rsid w:val="00884EDC"/>
    <w:rsid w:val="00885FCD"/>
    <w:rsid w:val="008877C7"/>
    <w:rsid w:val="00890C69"/>
    <w:rsid w:val="008916DB"/>
    <w:rsid w:val="00892166"/>
    <w:rsid w:val="0089371E"/>
    <w:rsid w:val="00893728"/>
    <w:rsid w:val="00897EAF"/>
    <w:rsid w:val="008A20E7"/>
    <w:rsid w:val="008A3B0D"/>
    <w:rsid w:val="008A3C12"/>
    <w:rsid w:val="008A4DB8"/>
    <w:rsid w:val="008A524B"/>
    <w:rsid w:val="008A66DB"/>
    <w:rsid w:val="008A6C91"/>
    <w:rsid w:val="008A7027"/>
    <w:rsid w:val="008A7D1D"/>
    <w:rsid w:val="008A7E51"/>
    <w:rsid w:val="008B047F"/>
    <w:rsid w:val="008B0614"/>
    <w:rsid w:val="008B14E9"/>
    <w:rsid w:val="008B2A36"/>
    <w:rsid w:val="008B4734"/>
    <w:rsid w:val="008B5D03"/>
    <w:rsid w:val="008B685D"/>
    <w:rsid w:val="008B75B5"/>
    <w:rsid w:val="008C06B6"/>
    <w:rsid w:val="008C22A1"/>
    <w:rsid w:val="008C2CFF"/>
    <w:rsid w:val="008C3359"/>
    <w:rsid w:val="008C355E"/>
    <w:rsid w:val="008C3E79"/>
    <w:rsid w:val="008C6211"/>
    <w:rsid w:val="008C74F0"/>
    <w:rsid w:val="008D01C3"/>
    <w:rsid w:val="008D0B8A"/>
    <w:rsid w:val="008D1089"/>
    <w:rsid w:val="008D17C3"/>
    <w:rsid w:val="008D1D54"/>
    <w:rsid w:val="008D1FFF"/>
    <w:rsid w:val="008D26F8"/>
    <w:rsid w:val="008D2842"/>
    <w:rsid w:val="008D2C21"/>
    <w:rsid w:val="008D3E76"/>
    <w:rsid w:val="008D41C5"/>
    <w:rsid w:val="008D6609"/>
    <w:rsid w:val="008E0260"/>
    <w:rsid w:val="008E0435"/>
    <w:rsid w:val="008E1BBA"/>
    <w:rsid w:val="008E2BC7"/>
    <w:rsid w:val="008E322E"/>
    <w:rsid w:val="008E5197"/>
    <w:rsid w:val="008E5513"/>
    <w:rsid w:val="008E5FE2"/>
    <w:rsid w:val="008E6833"/>
    <w:rsid w:val="008E6A94"/>
    <w:rsid w:val="008E6DF0"/>
    <w:rsid w:val="008E727C"/>
    <w:rsid w:val="008F0603"/>
    <w:rsid w:val="008F1384"/>
    <w:rsid w:val="008F18AC"/>
    <w:rsid w:val="008F2C57"/>
    <w:rsid w:val="008F4B41"/>
    <w:rsid w:val="008F511B"/>
    <w:rsid w:val="008F7D2C"/>
    <w:rsid w:val="009009EC"/>
    <w:rsid w:val="00901531"/>
    <w:rsid w:val="00902688"/>
    <w:rsid w:val="00903806"/>
    <w:rsid w:val="00904BD8"/>
    <w:rsid w:val="00906285"/>
    <w:rsid w:val="0090700E"/>
    <w:rsid w:val="00907735"/>
    <w:rsid w:val="00911ADC"/>
    <w:rsid w:val="00911D45"/>
    <w:rsid w:val="009120C5"/>
    <w:rsid w:val="00917632"/>
    <w:rsid w:val="00920B37"/>
    <w:rsid w:val="00920F4D"/>
    <w:rsid w:val="009221A4"/>
    <w:rsid w:val="00922213"/>
    <w:rsid w:val="00924572"/>
    <w:rsid w:val="0092636F"/>
    <w:rsid w:val="009267C3"/>
    <w:rsid w:val="009278F9"/>
    <w:rsid w:val="00927CAB"/>
    <w:rsid w:val="00930092"/>
    <w:rsid w:val="0093390F"/>
    <w:rsid w:val="00933DA0"/>
    <w:rsid w:val="00935118"/>
    <w:rsid w:val="009353CC"/>
    <w:rsid w:val="00935683"/>
    <w:rsid w:val="00936F84"/>
    <w:rsid w:val="009422F9"/>
    <w:rsid w:val="009430F8"/>
    <w:rsid w:val="00943165"/>
    <w:rsid w:val="009440B1"/>
    <w:rsid w:val="00945147"/>
    <w:rsid w:val="009454E1"/>
    <w:rsid w:val="00945CE5"/>
    <w:rsid w:val="00945E04"/>
    <w:rsid w:val="00946E3A"/>
    <w:rsid w:val="00947C6B"/>
    <w:rsid w:val="00947DAB"/>
    <w:rsid w:val="0095149A"/>
    <w:rsid w:val="009521B4"/>
    <w:rsid w:val="0095423E"/>
    <w:rsid w:val="00955BAE"/>
    <w:rsid w:val="00960E81"/>
    <w:rsid w:val="009621AE"/>
    <w:rsid w:val="00964981"/>
    <w:rsid w:val="00964AB3"/>
    <w:rsid w:val="00964C0D"/>
    <w:rsid w:val="00964F0D"/>
    <w:rsid w:val="009657EE"/>
    <w:rsid w:val="009704FA"/>
    <w:rsid w:val="00970EE4"/>
    <w:rsid w:val="00971B20"/>
    <w:rsid w:val="0097271E"/>
    <w:rsid w:val="0097327C"/>
    <w:rsid w:val="0097329F"/>
    <w:rsid w:val="0097449A"/>
    <w:rsid w:val="009756D7"/>
    <w:rsid w:val="00975C2C"/>
    <w:rsid w:val="00976E1E"/>
    <w:rsid w:val="00980084"/>
    <w:rsid w:val="0098678C"/>
    <w:rsid w:val="00987B39"/>
    <w:rsid w:val="00990E75"/>
    <w:rsid w:val="00991169"/>
    <w:rsid w:val="00991946"/>
    <w:rsid w:val="009926FC"/>
    <w:rsid w:val="00993967"/>
    <w:rsid w:val="009946F7"/>
    <w:rsid w:val="00995845"/>
    <w:rsid w:val="009969A9"/>
    <w:rsid w:val="00996A51"/>
    <w:rsid w:val="00996BA2"/>
    <w:rsid w:val="009A0101"/>
    <w:rsid w:val="009A069E"/>
    <w:rsid w:val="009A0B96"/>
    <w:rsid w:val="009A1DD5"/>
    <w:rsid w:val="009A20F3"/>
    <w:rsid w:val="009A3D4A"/>
    <w:rsid w:val="009A65D0"/>
    <w:rsid w:val="009A7DCA"/>
    <w:rsid w:val="009A7F54"/>
    <w:rsid w:val="009B1108"/>
    <w:rsid w:val="009B15B4"/>
    <w:rsid w:val="009B5E5D"/>
    <w:rsid w:val="009B5E74"/>
    <w:rsid w:val="009B7BB9"/>
    <w:rsid w:val="009C33A4"/>
    <w:rsid w:val="009C40EA"/>
    <w:rsid w:val="009C49CC"/>
    <w:rsid w:val="009C4C6C"/>
    <w:rsid w:val="009C73F5"/>
    <w:rsid w:val="009C7BDF"/>
    <w:rsid w:val="009D0583"/>
    <w:rsid w:val="009D0F61"/>
    <w:rsid w:val="009D353C"/>
    <w:rsid w:val="009D533D"/>
    <w:rsid w:val="009D55B4"/>
    <w:rsid w:val="009D64CC"/>
    <w:rsid w:val="009D7D92"/>
    <w:rsid w:val="009E34AE"/>
    <w:rsid w:val="009E3E8D"/>
    <w:rsid w:val="009E4399"/>
    <w:rsid w:val="009E49CA"/>
    <w:rsid w:val="009E60E7"/>
    <w:rsid w:val="009E65F5"/>
    <w:rsid w:val="009E6FFE"/>
    <w:rsid w:val="009F019D"/>
    <w:rsid w:val="009F0426"/>
    <w:rsid w:val="009F4052"/>
    <w:rsid w:val="009F5EE4"/>
    <w:rsid w:val="009F66DB"/>
    <w:rsid w:val="009F7C5E"/>
    <w:rsid w:val="00A01580"/>
    <w:rsid w:val="00A023F8"/>
    <w:rsid w:val="00A0268E"/>
    <w:rsid w:val="00A02DDD"/>
    <w:rsid w:val="00A0423B"/>
    <w:rsid w:val="00A0698F"/>
    <w:rsid w:val="00A07653"/>
    <w:rsid w:val="00A10571"/>
    <w:rsid w:val="00A1161C"/>
    <w:rsid w:val="00A12022"/>
    <w:rsid w:val="00A13316"/>
    <w:rsid w:val="00A136DD"/>
    <w:rsid w:val="00A14C8C"/>
    <w:rsid w:val="00A161A8"/>
    <w:rsid w:val="00A20692"/>
    <w:rsid w:val="00A23458"/>
    <w:rsid w:val="00A24316"/>
    <w:rsid w:val="00A254CF"/>
    <w:rsid w:val="00A26E31"/>
    <w:rsid w:val="00A3167F"/>
    <w:rsid w:val="00A31F84"/>
    <w:rsid w:val="00A3350E"/>
    <w:rsid w:val="00A349BC"/>
    <w:rsid w:val="00A3501B"/>
    <w:rsid w:val="00A358EC"/>
    <w:rsid w:val="00A36579"/>
    <w:rsid w:val="00A36ED5"/>
    <w:rsid w:val="00A37B00"/>
    <w:rsid w:val="00A40C03"/>
    <w:rsid w:val="00A40F40"/>
    <w:rsid w:val="00A41272"/>
    <w:rsid w:val="00A43A0F"/>
    <w:rsid w:val="00A47DF6"/>
    <w:rsid w:val="00A5012D"/>
    <w:rsid w:val="00A50271"/>
    <w:rsid w:val="00A5085A"/>
    <w:rsid w:val="00A50F8A"/>
    <w:rsid w:val="00A54466"/>
    <w:rsid w:val="00A54ACF"/>
    <w:rsid w:val="00A601F9"/>
    <w:rsid w:val="00A60BB8"/>
    <w:rsid w:val="00A61551"/>
    <w:rsid w:val="00A61DE1"/>
    <w:rsid w:val="00A62128"/>
    <w:rsid w:val="00A623E0"/>
    <w:rsid w:val="00A62991"/>
    <w:rsid w:val="00A62B93"/>
    <w:rsid w:val="00A6446F"/>
    <w:rsid w:val="00A64CED"/>
    <w:rsid w:val="00A650E2"/>
    <w:rsid w:val="00A658A3"/>
    <w:rsid w:val="00A66196"/>
    <w:rsid w:val="00A66651"/>
    <w:rsid w:val="00A67AF0"/>
    <w:rsid w:val="00A67F78"/>
    <w:rsid w:val="00A70976"/>
    <w:rsid w:val="00A71CD2"/>
    <w:rsid w:val="00A7235E"/>
    <w:rsid w:val="00A734E7"/>
    <w:rsid w:val="00A76FE3"/>
    <w:rsid w:val="00A77FE7"/>
    <w:rsid w:val="00A80FCF"/>
    <w:rsid w:val="00A813D3"/>
    <w:rsid w:val="00A82B69"/>
    <w:rsid w:val="00A82F6B"/>
    <w:rsid w:val="00A8723E"/>
    <w:rsid w:val="00A8797E"/>
    <w:rsid w:val="00A90970"/>
    <w:rsid w:val="00A928FF"/>
    <w:rsid w:val="00A94005"/>
    <w:rsid w:val="00A9433D"/>
    <w:rsid w:val="00A95CB6"/>
    <w:rsid w:val="00A95D1D"/>
    <w:rsid w:val="00A966B1"/>
    <w:rsid w:val="00A96796"/>
    <w:rsid w:val="00A9789C"/>
    <w:rsid w:val="00AA038F"/>
    <w:rsid w:val="00AA1864"/>
    <w:rsid w:val="00AA21D3"/>
    <w:rsid w:val="00AA21F5"/>
    <w:rsid w:val="00AA2D82"/>
    <w:rsid w:val="00AA5008"/>
    <w:rsid w:val="00AA7C1B"/>
    <w:rsid w:val="00AB083F"/>
    <w:rsid w:val="00AB129C"/>
    <w:rsid w:val="00AB3613"/>
    <w:rsid w:val="00AB7A63"/>
    <w:rsid w:val="00AC0CBB"/>
    <w:rsid w:val="00AC2A80"/>
    <w:rsid w:val="00AC5231"/>
    <w:rsid w:val="00AC5E67"/>
    <w:rsid w:val="00AC64A0"/>
    <w:rsid w:val="00AD034A"/>
    <w:rsid w:val="00AD1243"/>
    <w:rsid w:val="00AD169C"/>
    <w:rsid w:val="00AD2450"/>
    <w:rsid w:val="00AD2E40"/>
    <w:rsid w:val="00AD65BE"/>
    <w:rsid w:val="00AD6A38"/>
    <w:rsid w:val="00AD72B4"/>
    <w:rsid w:val="00AD7AA1"/>
    <w:rsid w:val="00AE3104"/>
    <w:rsid w:val="00AE43AD"/>
    <w:rsid w:val="00AE43BB"/>
    <w:rsid w:val="00AE53A6"/>
    <w:rsid w:val="00AE6B64"/>
    <w:rsid w:val="00AE6BB5"/>
    <w:rsid w:val="00AE73DC"/>
    <w:rsid w:val="00AE7710"/>
    <w:rsid w:val="00AF2CE8"/>
    <w:rsid w:val="00AF704D"/>
    <w:rsid w:val="00AF70F9"/>
    <w:rsid w:val="00AF7CEE"/>
    <w:rsid w:val="00AF7F6F"/>
    <w:rsid w:val="00B00CC3"/>
    <w:rsid w:val="00B0265A"/>
    <w:rsid w:val="00B04A14"/>
    <w:rsid w:val="00B05053"/>
    <w:rsid w:val="00B056CC"/>
    <w:rsid w:val="00B058B6"/>
    <w:rsid w:val="00B075D7"/>
    <w:rsid w:val="00B13AB1"/>
    <w:rsid w:val="00B14AB5"/>
    <w:rsid w:val="00B14D9C"/>
    <w:rsid w:val="00B155FE"/>
    <w:rsid w:val="00B15A4C"/>
    <w:rsid w:val="00B15CA6"/>
    <w:rsid w:val="00B15F8D"/>
    <w:rsid w:val="00B17819"/>
    <w:rsid w:val="00B206C1"/>
    <w:rsid w:val="00B2202B"/>
    <w:rsid w:val="00B221B5"/>
    <w:rsid w:val="00B22BD9"/>
    <w:rsid w:val="00B2454C"/>
    <w:rsid w:val="00B2544B"/>
    <w:rsid w:val="00B2734A"/>
    <w:rsid w:val="00B32682"/>
    <w:rsid w:val="00B33638"/>
    <w:rsid w:val="00B33C05"/>
    <w:rsid w:val="00B34A94"/>
    <w:rsid w:val="00B35B95"/>
    <w:rsid w:val="00B36150"/>
    <w:rsid w:val="00B40D0E"/>
    <w:rsid w:val="00B41B58"/>
    <w:rsid w:val="00B43A9F"/>
    <w:rsid w:val="00B44127"/>
    <w:rsid w:val="00B46352"/>
    <w:rsid w:val="00B51261"/>
    <w:rsid w:val="00B54171"/>
    <w:rsid w:val="00B56CB1"/>
    <w:rsid w:val="00B60534"/>
    <w:rsid w:val="00B6124E"/>
    <w:rsid w:val="00B622E5"/>
    <w:rsid w:val="00B62D08"/>
    <w:rsid w:val="00B63DA3"/>
    <w:rsid w:val="00B63EBC"/>
    <w:rsid w:val="00B6763B"/>
    <w:rsid w:val="00B70AB8"/>
    <w:rsid w:val="00B70FE4"/>
    <w:rsid w:val="00B72569"/>
    <w:rsid w:val="00B72FDD"/>
    <w:rsid w:val="00B7456C"/>
    <w:rsid w:val="00B7458D"/>
    <w:rsid w:val="00B745F4"/>
    <w:rsid w:val="00B75545"/>
    <w:rsid w:val="00B762E2"/>
    <w:rsid w:val="00B771CD"/>
    <w:rsid w:val="00B8241D"/>
    <w:rsid w:val="00B83F74"/>
    <w:rsid w:val="00B843B9"/>
    <w:rsid w:val="00B8447F"/>
    <w:rsid w:val="00B84AD1"/>
    <w:rsid w:val="00B850B8"/>
    <w:rsid w:val="00B85AD1"/>
    <w:rsid w:val="00B91ABD"/>
    <w:rsid w:val="00B92DCF"/>
    <w:rsid w:val="00B94CCA"/>
    <w:rsid w:val="00B95AD8"/>
    <w:rsid w:val="00B9640C"/>
    <w:rsid w:val="00B9670A"/>
    <w:rsid w:val="00B9709B"/>
    <w:rsid w:val="00B9738E"/>
    <w:rsid w:val="00B97A62"/>
    <w:rsid w:val="00BA016E"/>
    <w:rsid w:val="00BA04EA"/>
    <w:rsid w:val="00BA35CC"/>
    <w:rsid w:val="00BA3B98"/>
    <w:rsid w:val="00BA415E"/>
    <w:rsid w:val="00BA5D1C"/>
    <w:rsid w:val="00BA60BB"/>
    <w:rsid w:val="00BA62C3"/>
    <w:rsid w:val="00BB0472"/>
    <w:rsid w:val="00BB10E1"/>
    <w:rsid w:val="00BB12FE"/>
    <w:rsid w:val="00BB259D"/>
    <w:rsid w:val="00BB2A34"/>
    <w:rsid w:val="00BB4D90"/>
    <w:rsid w:val="00BB5D94"/>
    <w:rsid w:val="00BB75BE"/>
    <w:rsid w:val="00BB79F6"/>
    <w:rsid w:val="00BC03B1"/>
    <w:rsid w:val="00BC19CC"/>
    <w:rsid w:val="00BC2001"/>
    <w:rsid w:val="00BC24BF"/>
    <w:rsid w:val="00BC4B9F"/>
    <w:rsid w:val="00BC6D2B"/>
    <w:rsid w:val="00BC74C4"/>
    <w:rsid w:val="00BD2A9C"/>
    <w:rsid w:val="00BD2E25"/>
    <w:rsid w:val="00BD37C8"/>
    <w:rsid w:val="00BD3CEA"/>
    <w:rsid w:val="00BD4776"/>
    <w:rsid w:val="00BD63FF"/>
    <w:rsid w:val="00BD6602"/>
    <w:rsid w:val="00BD6AF3"/>
    <w:rsid w:val="00BD7229"/>
    <w:rsid w:val="00BD7C49"/>
    <w:rsid w:val="00BD7F31"/>
    <w:rsid w:val="00BE00CC"/>
    <w:rsid w:val="00BE055D"/>
    <w:rsid w:val="00BE0A4E"/>
    <w:rsid w:val="00BE0DA4"/>
    <w:rsid w:val="00BE0F9D"/>
    <w:rsid w:val="00BE2602"/>
    <w:rsid w:val="00BE354F"/>
    <w:rsid w:val="00BE3FC6"/>
    <w:rsid w:val="00BE4BAC"/>
    <w:rsid w:val="00BE530F"/>
    <w:rsid w:val="00BE5712"/>
    <w:rsid w:val="00BE7750"/>
    <w:rsid w:val="00BE7819"/>
    <w:rsid w:val="00BE7A65"/>
    <w:rsid w:val="00BF007B"/>
    <w:rsid w:val="00BF099A"/>
    <w:rsid w:val="00BF4035"/>
    <w:rsid w:val="00BF48C3"/>
    <w:rsid w:val="00BF5E09"/>
    <w:rsid w:val="00BF7707"/>
    <w:rsid w:val="00C00710"/>
    <w:rsid w:val="00C012D1"/>
    <w:rsid w:val="00C01545"/>
    <w:rsid w:val="00C0256F"/>
    <w:rsid w:val="00C02772"/>
    <w:rsid w:val="00C03376"/>
    <w:rsid w:val="00C03BE7"/>
    <w:rsid w:val="00C063C3"/>
    <w:rsid w:val="00C10ED3"/>
    <w:rsid w:val="00C1143E"/>
    <w:rsid w:val="00C11612"/>
    <w:rsid w:val="00C11940"/>
    <w:rsid w:val="00C12BFF"/>
    <w:rsid w:val="00C13291"/>
    <w:rsid w:val="00C13FAE"/>
    <w:rsid w:val="00C1582A"/>
    <w:rsid w:val="00C16149"/>
    <w:rsid w:val="00C178E3"/>
    <w:rsid w:val="00C21016"/>
    <w:rsid w:val="00C21761"/>
    <w:rsid w:val="00C2238F"/>
    <w:rsid w:val="00C224F5"/>
    <w:rsid w:val="00C24948"/>
    <w:rsid w:val="00C261DC"/>
    <w:rsid w:val="00C268BB"/>
    <w:rsid w:val="00C268F4"/>
    <w:rsid w:val="00C27BFB"/>
    <w:rsid w:val="00C27DF5"/>
    <w:rsid w:val="00C302BC"/>
    <w:rsid w:val="00C326EB"/>
    <w:rsid w:val="00C32924"/>
    <w:rsid w:val="00C32D53"/>
    <w:rsid w:val="00C35CE2"/>
    <w:rsid w:val="00C35E13"/>
    <w:rsid w:val="00C36894"/>
    <w:rsid w:val="00C36A62"/>
    <w:rsid w:val="00C45E7A"/>
    <w:rsid w:val="00C46F63"/>
    <w:rsid w:val="00C4762E"/>
    <w:rsid w:val="00C50404"/>
    <w:rsid w:val="00C5054A"/>
    <w:rsid w:val="00C52FED"/>
    <w:rsid w:val="00C5351F"/>
    <w:rsid w:val="00C53734"/>
    <w:rsid w:val="00C539FB"/>
    <w:rsid w:val="00C53C2A"/>
    <w:rsid w:val="00C561BC"/>
    <w:rsid w:val="00C566FB"/>
    <w:rsid w:val="00C56FEF"/>
    <w:rsid w:val="00C56FF4"/>
    <w:rsid w:val="00C61227"/>
    <w:rsid w:val="00C6157D"/>
    <w:rsid w:val="00C61D07"/>
    <w:rsid w:val="00C62668"/>
    <w:rsid w:val="00C63C88"/>
    <w:rsid w:val="00C64C54"/>
    <w:rsid w:val="00C65238"/>
    <w:rsid w:val="00C70F04"/>
    <w:rsid w:val="00C72068"/>
    <w:rsid w:val="00C74E0F"/>
    <w:rsid w:val="00C75D5A"/>
    <w:rsid w:val="00C75E27"/>
    <w:rsid w:val="00C7666C"/>
    <w:rsid w:val="00C768D3"/>
    <w:rsid w:val="00C770F2"/>
    <w:rsid w:val="00C7762C"/>
    <w:rsid w:val="00C776A0"/>
    <w:rsid w:val="00C8266F"/>
    <w:rsid w:val="00C83548"/>
    <w:rsid w:val="00C86437"/>
    <w:rsid w:val="00C86618"/>
    <w:rsid w:val="00C86EA4"/>
    <w:rsid w:val="00C87225"/>
    <w:rsid w:val="00C872F4"/>
    <w:rsid w:val="00C87909"/>
    <w:rsid w:val="00C91648"/>
    <w:rsid w:val="00C9408B"/>
    <w:rsid w:val="00C950DD"/>
    <w:rsid w:val="00C95900"/>
    <w:rsid w:val="00C97255"/>
    <w:rsid w:val="00C97321"/>
    <w:rsid w:val="00CA0692"/>
    <w:rsid w:val="00CA0CEB"/>
    <w:rsid w:val="00CA1438"/>
    <w:rsid w:val="00CA1C2C"/>
    <w:rsid w:val="00CA3468"/>
    <w:rsid w:val="00CA629D"/>
    <w:rsid w:val="00CA6D70"/>
    <w:rsid w:val="00CA7B88"/>
    <w:rsid w:val="00CB01DA"/>
    <w:rsid w:val="00CB07DE"/>
    <w:rsid w:val="00CB09E7"/>
    <w:rsid w:val="00CB1A82"/>
    <w:rsid w:val="00CB3696"/>
    <w:rsid w:val="00CB4082"/>
    <w:rsid w:val="00CB459B"/>
    <w:rsid w:val="00CB571B"/>
    <w:rsid w:val="00CB6C6E"/>
    <w:rsid w:val="00CB6F27"/>
    <w:rsid w:val="00CB7E48"/>
    <w:rsid w:val="00CB7FE1"/>
    <w:rsid w:val="00CC075B"/>
    <w:rsid w:val="00CC0866"/>
    <w:rsid w:val="00CC0CAD"/>
    <w:rsid w:val="00CC11BD"/>
    <w:rsid w:val="00CC18D6"/>
    <w:rsid w:val="00CC24D0"/>
    <w:rsid w:val="00CC4689"/>
    <w:rsid w:val="00CC54EB"/>
    <w:rsid w:val="00CC703F"/>
    <w:rsid w:val="00CC706B"/>
    <w:rsid w:val="00CC73DD"/>
    <w:rsid w:val="00CC7777"/>
    <w:rsid w:val="00CD0671"/>
    <w:rsid w:val="00CD06BE"/>
    <w:rsid w:val="00CD0F03"/>
    <w:rsid w:val="00CD1AC2"/>
    <w:rsid w:val="00CD1AD4"/>
    <w:rsid w:val="00CD1BD7"/>
    <w:rsid w:val="00CD1DE1"/>
    <w:rsid w:val="00CD2095"/>
    <w:rsid w:val="00CD45B0"/>
    <w:rsid w:val="00CE01FC"/>
    <w:rsid w:val="00CE0CA4"/>
    <w:rsid w:val="00CE0F40"/>
    <w:rsid w:val="00CE12F5"/>
    <w:rsid w:val="00CE1608"/>
    <w:rsid w:val="00CE1DF7"/>
    <w:rsid w:val="00CE4C8C"/>
    <w:rsid w:val="00CE5744"/>
    <w:rsid w:val="00CE7F07"/>
    <w:rsid w:val="00CF0DB6"/>
    <w:rsid w:val="00CF15E7"/>
    <w:rsid w:val="00CF1732"/>
    <w:rsid w:val="00CF533D"/>
    <w:rsid w:val="00CF551C"/>
    <w:rsid w:val="00CF5F2A"/>
    <w:rsid w:val="00CF667E"/>
    <w:rsid w:val="00CF75FB"/>
    <w:rsid w:val="00CF7986"/>
    <w:rsid w:val="00D008E3"/>
    <w:rsid w:val="00D0533C"/>
    <w:rsid w:val="00D06976"/>
    <w:rsid w:val="00D07BD8"/>
    <w:rsid w:val="00D07EA5"/>
    <w:rsid w:val="00D10EA2"/>
    <w:rsid w:val="00D11009"/>
    <w:rsid w:val="00D12DA6"/>
    <w:rsid w:val="00D14F38"/>
    <w:rsid w:val="00D1616F"/>
    <w:rsid w:val="00D16D89"/>
    <w:rsid w:val="00D21BAC"/>
    <w:rsid w:val="00D226F1"/>
    <w:rsid w:val="00D22ED2"/>
    <w:rsid w:val="00D23D8F"/>
    <w:rsid w:val="00D23FED"/>
    <w:rsid w:val="00D258D9"/>
    <w:rsid w:val="00D3076A"/>
    <w:rsid w:val="00D30DEE"/>
    <w:rsid w:val="00D31737"/>
    <w:rsid w:val="00D33705"/>
    <w:rsid w:val="00D33A8A"/>
    <w:rsid w:val="00D33B8F"/>
    <w:rsid w:val="00D34CD7"/>
    <w:rsid w:val="00D35813"/>
    <w:rsid w:val="00D36123"/>
    <w:rsid w:val="00D3672D"/>
    <w:rsid w:val="00D371DA"/>
    <w:rsid w:val="00D4148C"/>
    <w:rsid w:val="00D436B8"/>
    <w:rsid w:val="00D4434A"/>
    <w:rsid w:val="00D44A68"/>
    <w:rsid w:val="00D45ADC"/>
    <w:rsid w:val="00D479D4"/>
    <w:rsid w:val="00D503EA"/>
    <w:rsid w:val="00D5055E"/>
    <w:rsid w:val="00D50A39"/>
    <w:rsid w:val="00D50A45"/>
    <w:rsid w:val="00D511E9"/>
    <w:rsid w:val="00D51456"/>
    <w:rsid w:val="00D545F7"/>
    <w:rsid w:val="00D557C7"/>
    <w:rsid w:val="00D5594E"/>
    <w:rsid w:val="00D5677F"/>
    <w:rsid w:val="00D569CA"/>
    <w:rsid w:val="00D57B63"/>
    <w:rsid w:val="00D6008D"/>
    <w:rsid w:val="00D6274C"/>
    <w:rsid w:val="00D63897"/>
    <w:rsid w:val="00D63A8A"/>
    <w:rsid w:val="00D65C55"/>
    <w:rsid w:val="00D661F0"/>
    <w:rsid w:val="00D6691A"/>
    <w:rsid w:val="00D7202A"/>
    <w:rsid w:val="00D72777"/>
    <w:rsid w:val="00D7299C"/>
    <w:rsid w:val="00D73002"/>
    <w:rsid w:val="00D7302C"/>
    <w:rsid w:val="00D754E0"/>
    <w:rsid w:val="00D76BD4"/>
    <w:rsid w:val="00D77DDB"/>
    <w:rsid w:val="00D81D97"/>
    <w:rsid w:val="00D8222A"/>
    <w:rsid w:val="00D843D9"/>
    <w:rsid w:val="00D84846"/>
    <w:rsid w:val="00D86367"/>
    <w:rsid w:val="00D86A94"/>
    <w:rsid w:val="00D870CF"/>
    <w:rsid w:val="00D90B5A"/>
    <w:rsid w:val="00D916FA"/>
    <w:rsid w:val="00D91A99"/>
    <w:rsid w:val="00D92214"/>
    <w:rsid w:val="00D92384"/>
    <w:rsid w:val="00D925F7"/>
    <w:rsid w:val="00D9414C"/>
    <w:rsid w:val="00D96195"/>
    <w:rsid w:val="00D968BE"/>
    <w:rsid w:val="00DA143F"/>
    <w:rsid w:val="00DA15B5"/>
    <w:rsid w:val="00DA1682"/>
    <w:rsid w:val="00DA1C11"/>
    <w:rsid w:val="00DA30F4"/>
    <w:rsid w:val="00DA363F"/>
    <w:rsid w:val="00DA4434"/>
    <w:rsid w:val="00DA488F"/>
    <w:rsid w:val="00DA4FBC"/>
    <w:rsid w:val="00DA541C"/>
    <w:rsid w:val="00DA547D"/>
    <w:rsid w:val="00DA6CEE"/>
    <w:rsid w:val="00DA72D2"/>
    <w:rsid w:val="00DB02A9"/>
    <w:rsid w:val="00DB07FB"/>
    <w:rsid w:val="00DB12ED"/>
    <w:rsid w:val="00DB1326"/>
    <w:rsid w:val="00DB2547"/>
    <w:rsid w:val="00DB3DD8"/>
    <w:rsid w:val="00DB6953"/>
    <w:rsid w:val="00DB7DE0"/>
    <w:rsid w:val="00DC0B89"/>
    <w:rsid w:val="00DC15E6"/>
    <w:rsid w:val="00DC1F02"/>
    <w:rsid w:val="00DC22D9"/>
    <w:rsid w:val="00DC31DE"/>
    <w:rsid w:val="00DC46C9"/>
    <w:rsid w:val="00DC4E7F"/>
    <w:rsid w:val="00DC5639"/>
    <w:rsid w:val="00DD0EAE"/>
    <w:rsid w:val="00DD1BB1"/>
    <w:rsid w:val="00DD1EE7"/>
    <w:rsid w:val="00DD25C1"/>
    <w:rsid w:val="00DD30E6"/>
    <w:rsid w:val="00DD3916"/>
    <w:rsid w:val="00DD6B24"/>
    <w:rsid w:val="00DD7C34"/>
    <w:rsid w:val="00DD7FD1"/>
    <w:rsid w:val="00DE084E"/>
    <w:rsid w:val="00DE1B2C"/>
    <w:rsid w:val="00DE4C96"/>
    <w:rsid w:val="00DE7A5C"/>
    <w:rsid w:val="00DE7C03"/>
    <w:rsid w:val="00DF1268"/>
    <w:rsid w:val="00DF1E55"/>
    <w:rsid w:val="00DF5E25"/>
    <w:rsid w:val="00DF63FB"/>
    <w:rsid w:val="00DF7F4C"/>
    <w:rsid w:val="00E012DF"/>
    <w:rsid w:val="00E022A9"/>
    <w:rsid w:val="00E02497"/>
    <w:rsid w:val="00E02EEE"/>
    <w:rsid w:val="00E0335A"/>
    <w:rsid w:val="00E039B7"/>
    <w:rsid w:val="00E03AA3"/>
    <w:rsid w:val="00E049D4"/>
    <w:rsid w:val="00E04BAA"/>
    <w:rsid w:val="00E055C2"/>
    <w:rsid w:val="00E07128"/>
    <w:rsid w:val="00E12802"/>
    <w:rsid w:val="00E13207"/>
    <w:rsid w:val="00E14619"/>
    <w:rsid w:val="00E1527D"/>
    <w:rsid w:val="00E16566"/>
    <w:rsid w:val="00E167FF"/>
    <w:rsid w:val="00E17A94"/>
    <w:rsid w:val="00E2147C"/>
    <w:rsid w:val="00E23C29"/>
    <w:rsid w:val="00E23EA4"/>
    <w:rsid w:val="00E23FFC"/>
    <w:rsid w:val="00E26F1E"/>
    <w:rsid w:val="00E27C2A"/>
    <w:rsid w:val="00E27C42"/>
    <w:rsid w:val="00E3367D"/>
    <w:rsid w:val="00E36984"/>
    <w:rsid w:val="00E373AC"/>
    <w:rsid w:val="00E37BB5"/>
    <w:rsid w:val="00E37F8C"/>
    <w:rsid w:val="00E4062F"/>
    <w:rsid w:val="00E4131E"/>
    <w:rsid w:val="00E41BFB"/>
    <w:rsid w:val="00E42061"/>
    <w:rsid w:val="00E424F3"/>
    <w:rsid w:val="00E4406D"/>
    <w:rsid w:val="00E440AB"/>
    <w:rsid w:val="00E449FD"/>
    <w:rsid w:val="00E46055"/>
    <w:rsid w:val="00E46CB1"/>
    <w:rsid w:val="00E501C9"/>
    <w:rsid w:val="00E5484A"/>
    <w:rsid w:val="00E55CD7"/>
    <w:rsid w:val="00E561AD"/>
    <w:rsid w:val="00E56767"/>
    <w:rsid w:val="00E56F21"/>
    <w:rsid w:val="00E601EF"/>
    <w:rsid w:val="00E60670"/>
    <w:rsid w:val="00E60EB9"/>
    <w:rsid w:val="00E61389"/>
    <w:rsid w:val="00E632CB"/>
    <w:rsid w:val="00E63B72"/>
    <w:rsid w:val="00E63B79"/>
    <w:rsid w:val="00E67620"/>
    <w:rsid w:val="00E702C2"/>
    <w:rsid w:val="00E71F61"/>
    <w:rsid w:val="00E72811"/>
    <w:rsid w:val="00E72CB2"/>
    <w:rsid w:val="00E73AD4"/>
    <w:rsid w:val="00E81967"/>
    <w:rsid w:val="00E82306"/>
    <w:rsid w:val="00E823A7"/>
    <w:rsid w:val="00E83065"/>
    <w:rsid w:val="00E832D7"/>
    <w:rsid w:val="00E83D72"/>
    <w:rsid w:val="00E8589D"/>
    <w:rsid w:val="00E86D49"/>
    <w:rsid w:val="00E8721F"/>
    <w:rsid w:val="00E87537"/>
    <w:rsid w:val="00E92BE7"/>
    <w:rsid w:val="00E942CF"/>
    <w:rsid w:val="00E943EC"/>
    <w:rsid w:val="00E94D1D"/>
    <w:rsid w:val="00E97147"/>
    <w:rsid w:val="00E97430"/>
    <w:rsid w:val="00E978B6"/>
    <w:rsid w:val="00E97B76"/>
    <w:rsid w:val="00EA0D4A"/>
    <w:rsid w:val="00EA0EF7"/>
    <w:rsid w:val="00EA1037"/>
    <w:rsid w:val="00EA1F58"/>
    <w:rsid w:val="00EA29C4"/>
    <w:rsid w:val="00EA2D3A"/>
    <w:rsid w:val="00EA2DF8"/>
    <w:rsid w:val="00EA375F"/>
    <w:rsid w:val="00EA435E"/>
    <w:rsid w:val="00EA5289"/>
    <w:rsid w:val="00EA5C30"/>
    <w:rsid w:val="00EA626E"/>
    <w:rsid w:val="00EA7832"/>
    <w:rsid w:val="00EB26A0"/>
    <w:rsid w:val="00EB382B"/>
    <w:rsid w:val="00EB5F9F"/>
    <w:rsid w:val="00EC00A2"/>
    <w:rsid w:val="00EC0376"/>
    <w:rsid w:val="00EC0C4A"/>
    <w:rsid w:val="00EC2203"/>
    <w:rsid w:val="00EC3394"/>
    <w:rsid w:val="00EC3951"/>
    <w:rsid w:val="00EC3CCC"/>
    <w:rsid w:val="00EC421A"/>
    <w:rsid w:val="00EC589B"/>
    <w:rsid w:val="00EC69BA"/>
    <w:rsid w:val="00ED0EA7"/>
    <w:rsid w:val="00ED1137"/>
    <w:rsid w:val="00ED17C4"/>
    <w:rsid w:val="00ED1AEF"/>
    <w:rsid w:val="00ED219E"/>
    <w:rsid w:val="00ED2D97"/>
    <w:rsid w:val="00ED40C7"/>
    <w:rsid w:val="00ED4A6F"/>
    <w:rsid w:val="00ED57BA"/>
    <w:rsid w:val="00ED6136"/>
    <w:rsid w:val="00EE1DAE"/>
    <w:rsid w:val="00EE1E12"/>
    <w:rsid w:val="00EE2213"/>
    <w:rsid w:val="00EE34BB"/>
    <w:rsid w:val="00EE3EB9"/>
    <w:rsid w:val="00EE444B"/>
    <w:rsid w:val="00EE5EA4"/>
    <w:rsid w:val="00EF002E"/>
    <w:rsid w:val="00EF14BD"/>
    <w:rsid w:val="00EF1F5B"/>
    <w:rsid w:val="00EF22AA"/>
    <w:rsid w:val="00EF31E7"/>
    <w:rsid w:val="00EF4EF8"/>
    <w:rsid w:val="00EF5F48"/>
    <w:rsid w:val="00EF6820"/>
    <w:rsid w:val="00EF717B"/>
    <w:rsid w:val="00F01437"/>
    <w:rsid w:val="00F01A63"/>
    <w:rsid w:val="00F01C3C"/>
    <w:rsid w:val="00F030E1"/>
    <w:rsid w:val="00F05220"/>
    <w:rsid w:val="00F05815"/>
    <w:rsid w:val="00F06549"/>
    <w:rsid w:val="00F07044"/>
    <w:rsid w:val="00F1118B"/>
    <w:rsid w:val="00F11762"/>
    <w:rsid w:val="00F153EF"/>
    <w:rsid w:val="00F22077"/>
    <w:rsid w:val="00F224A0"/>
    <w:rsid w:val="00F22614"/>
    <w:rsid w:val="00F249DA"/>
    <w:rsid w:val="00F26244"/>
    <w:rsid w:val="00F26645"/>
    <w:rsid w:val="00F314E1"/>
    <w:rsid w:val="00F33AE7"/>
    <w:rsid w:val="00F34521"/>
    <w:rsid w:val="00F3505B"/>
    <w:rsid w:val="00F35767"/>
    <w:rsid w:val="00F357B2"/>
    <w:rsid w:val="00F3632E"/>
    <w:rsid w:val="00F37865"/>
    <w:rsid w:val="00F37E95"/>
    <w:rsid w:val="00F40920"/>
    <w:rsid w:val="00F40BBC"/>
    <w:rsid w:val="00F41577"/>
    <w:rsid w:val="00F4169D"/>
    <w:rsid w:val="00F46F83"/>
    <w:rsid w:val="00F47184"/>
    <w:rsid w:val="00F50CFA"/>
    <w:rsid w:val="00F53DB5"/>
    <w:rsid w:val="00F56068"/>
    <w:rsid w:val="00F57CC6"/>
    <w:rsid w:val="00F6044E"/>
    <w:rsid w:val="00F6258B"/>
    <w:rsid w:val="00F62EC5"/>
    <w:rsid w:val="00F632DF"/>
    <w:rsid w:val="00F6478D"/>
    <w:rsid w:val="00F71CAC"/>
    <w:rsid w:val="00F71FDE"/>
    <w:rsid w:val="00F72867"/>
    <w:rsid w:val="00F73CB9"/>
    <w:rsid w:val="00F7556A"/>
    <w:rsid w:val="00F75868"/>
    <w:rsid w:val="00F76EE9"/>
    <w:rsid w:val="00F805AE"/>
    <w:rsid w:val="00F8132B"/>
    <w:rsid w:val="00F90893"/>
    <w:rsid w:val="00F92C4C"/>
    <w:rsid w:val="00F93A93"/>
    <w:rsid w:val="00F9424C"/>
    <w:rsid w:val="00F946AB"/>
    <w:rsid w:val="00F95FB2"/>
    <w:rsid w:val="00F97910"/>
    <w:rsid w:val="00F97A64"/>
    <w:rsid w:val="00FA054E"/>
    <w:rsid w:val="00FA0C97"/>
    <w:rsid w:val="00FA31A9"/>
    <w:rsid w:val="00FA3BFF"/>
    <w:rsid w:val="00FA4634"/>
    <w:rsid w:val="00FA4EE4"/>
    <w:rsid w:val="00FA5AA9"/>
    <w:rsid w:val="00FA7FDB"/>
    <w:rsid w:val="00FB114C"/>
    <w:rsid w:val="00FB1921"/>
    <w:rsid w:val="00FB23DF"/>
    <w:rsid w:val="00FB287A"/>
    <w:rsid w:val="00FB28BD"/>
    <w:rsid w:val="00FB35A4"/>
    <w:rsid w:val="00FB59DC"/>
    <w:rsid w:val="00FB7355"/>
    <w:rsid w:val="00FC0D58"/>
    <w:rsid w:val="00FC114E"/>
    <w:rsid w:val="00FC2081"/>
    <w:rsid w:val="00FC4076"/>
    <w:rsid w:val="00FC49F4"/>
    <w:rsid w:val="00FC4CD2"/>
    <w:rsid w:val="00FC4CF0"/>
    <w:rsid w:val="00FC4EDF"/>
    <w:rsid w:val="00FC4F7E"/>
    <w:rsid w:val="00FC6530"/>
    <w:rsid w:val="00FC73A6"/>
    <w:rsid w:val="00FC7D15"/>
    <w:rsid w:val="00FC7DF0"/>
    <w:rsid w:val="00FD0226"/>
    <w:rsid w:val="00FD3C21"/>
    <w:rsid w:val="00FD3F05"/>
    <w:rsid w:val="00FD46EE"/>
    <w:rsid w:val="00FD65B4"/>
    <w:rsid w:val="00FD7247"/>
    <w:rsid w:val="00FD77E6"/>
    <w:rsid w:val="00FE0ACB"/>
    <w:rsid w:val="00FE0CFB"/>
    <w:rsid w:val="00FE12D5"/>
    <w:rsid w:val="00FE2CD2"/>
    <w:rsid w:val="00FE30F2"/>
    <w:rsid w:val="00FE32C3"/>
    <w:rsid w:val="00FE5F63"/>
    <w:rsid w:val="00FE6C0F"/>
    <w:rsid w:val="00FE7686"/>
    <w:rsid w:val="00FE7FA2"/>
    <w:rsid w:val="00FF0720"/>
    <w:rsid w:val="00FF13AD"/>
    <w:rsid w:val="00FF17E5"/>
    <w:rsid w:val="00FF30FF"/>
    <w:rsid w:val="00FF3A69"/>
    <w:rsid w:val="00FF50AB"/>
    <w:rsid w:val="00FF5AD9"/>
    <w:rsid w:val="00FF603C"/>
    <w:rsid w:val="00FF6CB2"/>
    <w:rsid w:val="010C1112"/>
    <w:rsid w:val="029C2633"/>
    <w:rsid w:val="03532116"/>
    <w:rsid w:val="03E3A3E9"/>
    <w:rsid w:val="03F51677"/>
    <w:rsid w:val="03F69F1A"/>
    <w:rsid w:val="05919A2D"/>
    <w:rsid w:val="05E9152B"/>
    <w:rsid w:val="06379433"/>
    <w:rsid w:val="063D6843"/>
    <w:rsid w:val="066432AC"/>
    <w:rsid w:val="069B7ADC"/>
    <w:rsid w:val="06BE6BE2"/>
    <w:rsid w:val="06FE8B66"/>
    <w:rsid w:val="0739E6C6"/>
    <w:rsid w:val="0763136A"/>
    <w:rsid w:val="07A6191C"/>
    <w:rsid w:val="07ABBEBB"/>
    <w:rsid w:val="07BA705A"/>
    <w:rsid w:val="0907052C"/>
    <w:rsid w:val="098051AA"/>
    <w:rsid w:val="0A24B9C4"/>
    <w:rsid w:val="0A613950"/>
    <w:rsid w:val="0A700B55"/>
    <w:rsid w:val="0B0022D9"/>
    <w:rsid w:val="0B48D58A"/>
    <w:rsid w:val="0C5E71B7"/>
    <w:rsid w:val="0C689E27"/>
    <w:rsid w:val="0C6C4946"/>
    <w:rsid w:val="0C85BE5D"/>
    <w:rsid w:val="0C9FAC85"/>
    <w:rsid w:val="0CB1253A"/>
    <w:rsid w:val="0DCFF88F"/>
    <w:rsid w:val="0DE04A9F"/>
    <w:rsid w:val="0E6BB81D"/>
    <w:rsid w:val="0E967858"/>
    <w:rsid w:val="0F03D9E1"/>
    <w:rsid w:val="0F3B75E8"/>
    <w:rsid w:val="0F95990C"/>
    <w:rsid w:val="0FD4C9D7"/>
    <w:rsid w:val="102F500D"/>
    <w:rsid w:val="10A4A11E"/>
    <w:rsid w:val="10FB2C97"/>
    <w:rsid w:val="1112F309"/>
    <w:rsid w:val="1114BA4E"/>
    <w:rsid w:val="112C6B7A"/>
    <w:rsid w:val="1198BEFD"/>
    <w:rsid w:val="11DD2B83"/>
    <w:rsid w:val="12008149"/>
    <w:rsid w:val="123EFD2F"/>
    <w:rsid w:val="1323E382"/>
    <w:rsid w:val="13A3A09E"/>
    <w:rsid w:val="13A79940"/>
    <w:rsid w:val="13E847AC"/>
    <w:rsid w:val="13F426FA"/>
    <w:rsid w:val="142D8494"/>
    <w:rsid w:val="1486A01F"/>
    <w:rsid w:val="15270E72"/>
    <w:rsid w:val="154090C5"/>
    <w:rsid w:val="15A58401"/>
    <w:rsid w:val="16287004"/>
    <w:rsid w:val="166F4922"/>
    <w:rsid w:val="17131A31"/>
    <w:rsid w:val="17C27382"/>
    <w:rsid w:val="17DC55AF"/>
    <w:rsid w:val="17FEF9E5"/>
    <w:rsid w:val="18B57E3D"/>
    <w:rsid w:val="18CE3240"/>
    <w:rsid w:val="19667954"/>
    <w:rsid w:val="19E6C14B"/>
    <w:rsid w:val="1A9A6D24"/>
    <w:rsid w:val="1AC17C3A"/>
    <w:rsid w:val="1ADA31FC"/>
    <w:rsid w:val="1B284C5D"/>
    <w:rsid w:val="1B597A7E"/>
    <w:rsid w:val="1BB71A66"/>
    <w:rsid w:val="1BD611AD"/>
    <w:rsid w:val="1CE469A7"/>
    <w:rsid w:val="1D481232"/>
    <w:rsid w:val="1DD9EF3C"/>
    <w:rsid w:val="1DF69EC9"/>
    <w:rsid w:val="1E25FE9E"/>
    <w:rsid w:val="1EBF714E"/>
    <w:rsid w:val="1EE22F19"/>
    <w:rsid w:val="1F152BF5"/>
    <w:rsid w:val="1F6DAFD8"/>
    <w:rsid w:val="1F84CC11"/>
    <w:rsid w:val="20BD1B28"/>
    <w:rsid w:val="218F7423"/>
    <w:rsid w:val="21A055E4"/>
    <w:rsid w:val="21CD325D"/>
    <w:rsid w:val="21F176C3"/>
    <w:rsid w:val="22B2E273"/>
    <w:rsid w:val="235944A0"/>
    <w:rsid w:val="244B8BA3"/>
    <w:rsid w:val="247593E9"/>
    <w:rsid w:val="2482AB30"/>
    <w:rsid w:val="24866881"/>
    <w:rsid w:val="248FB11B"/>
    <w:rsid w:val="24CA6B4B"/>
    <w:rsid w:val="25167A99"/>
    <w:rsid w:val="256E7D1F"/>
    <w:rsid w:val="263C3F53"/>
    <w:rsid w:val="266D0E36"/>
    <w:rsid w:val="2705F438"/>
    <w:rsid w:val="286F61AF"/>
    <w:rsid w:val="29171280"/>
    <w:rsid w:val="291EB04C"/>
    <w:rsid w:val="29AF17E1"/>
    <w:rsid w:val="29E24B52"/>
    <w:rsid w:val="2AB2F450"/>
    <w:rsid w:val="2AB70C23"/>
    <w:rsid w:val="2AEB4A54"/>
    <w:rsid w:val="2B04FDB1"/>
    <w:rsid w:val="2B1AC7DC"/>
    <w:rsid w:val="2BEF2B23"/>
    <w:rsid w:val="2CC507A0"/>
    <w:rsid w:val="2CE0FEC2"/>
    <w:rsid w:val="2CF1AE67"/>
    <w:rsid w:val="2D99E544"/>
    <w:rsid w:val="2DEB2C8A"/>
    <w:rsid w:val="2E2AB90F"/>
    <w:rsid w:val="2E3CCF42"/>
    <w:rsid w:val="2E8E4643"/>
    <w:rsid w:val="2E8E7D31"/>
    <w:rsid w:val="2EE8C294"/>
    <w:rsid w:val="2F7661F3"/>
    <w:rsid w:val="2FA6F2C0"/>
    <w:rsid w:val="30B89212"/>
    <w:rsid w:val="30EDBFC2"/>
    <w:rsid w:val="30FC3356"/>
    <w:rsid w:val="3192DD79"/>
    <w:rsid w:val="3205A40E"/>
    <w:rsid w:val="320BC70F"/>
    <w:rsid w:val="32158470"/>
    <w:rsid w:val="3268830B"/>
    <w:rsid w:val="32C1C859"/>
    <w:rsid w:val="33059570"/>
    <w:rsid w:val="33985B12"/>
    <w:rsid w:val="33E5B4FB"/>
    <w:rsid w:val="34DFCB06"/>
    <w:rsid w:val="34E998B1"/>
    <w:rsid w:val="34F06E92"/>
    <w:rsid w:val="3518770D"/>
    <w:rsid w:val="351F2960"/>
    <w:rsid w:val="3569ECBC"/>
    <w:rsid w:val="35821FBB"/>
    <w:rsid w:val="358BCD3F"/>
    <w:rsid w:val="35A59737"/>
    <w:rsid w:val="3630E3D9"/>
    <w:rsid w:val="36C1AD60"/>
    <w:rsid w:val="36E718BD"/>
    <w:rsid w:val="375E6B6B"/>
    <w:rsid w:val="3782F5BA"/>
    <w:rsid w:val="381054FE"/>
    <w:rsid w:val="382BB0E4"/>
    <w:rsid w:val="38303276"/>
    <w:rsid w:val="38D94B9A"/>
    <w:rsid w:val="39728167"/>
    <w:rsid w:val="397FF86C"/>
    <w:rsid w:val="39F787EA"/>
    <w:rsid w:val="3A1863B5"/>
    <w:rsid w:val="3A252E23"/>
    <w:rsid w:val="3AC975C0"/>
    <w:rsid w:val="3AE1C658"/>
    <w:rsid w:val="3AE87F4D"/>
    <w:rsid w:val="3B3759A5"/>
    <w:rsid w:val="3B799BCC"/>
    <w:rsid w:val="3BBDEFDF"/>
    <w:rsid w:val="3C09902F"/>
    <w:rsid w:val="3C205190"/>
    <w:rsid w:val="3C415B41"/>
    <w:rsid w:val="3C637521"/>
    <w:rsid w:val="3D1B7E88"/>
    <w:rsid w:val="3D23032C"/>
    <w:rsid w:val="3E0BD2A6"/>
    <w:rsid w:val="3E587F8E"/>
    <w:rsid w:val="3EEBE81C"/>
    <w:rsid w:val="3F8285E0"/>
    <w:rsid w:val="3FC738EB"/>
    <w:rsid w:val="3FF7CE88"/>
    <w:rsid w:val="404A42F7"/>
    <w:rsid w:val="405C61C0"/>
    <w:rsid w:val="40CDF8D1"/>
    <w:rsid w:val="4131F494"/>
    <w:rsid w:val="41531929"/>
    <w:rsid w:val="41B4A28C"/>
    <w:rsid w:val="4254DCC1"/>
    <w:rsid w:val="42EDEF6D"/>
    <w:rsid w:val="43768F17"/>
    <w:rsid w:val="451C38B0"/>
    <w:rsid w:val="45866D16"/>
    <w:rsid w:val="46186346"/>
    <w:rsid w:val="464F45A7"/>
    <w:rsid w:val="4660B91A"/>
    <w:rsid w:val="475F3A1A"/>
    <w:rsid w:val="47C26FF6"/>
    <w:rsid w:val="47CA3E1F"/>
    <w:rsid w:val="481A0B18"/>
    <w:rsid w:val="48375772"/>
    <w:rsid w:val="487623C5"/>
    <w:rsid w:val="4909FF02"/>
    <w:rsid w:val="4936E5BF"/>
    <w:rsid w:val="4959E051"/>
    <w:rsid w:val="4A1DDAEB"/>
    <w:rsid w:val="4A4DD050"/>
    <w:rsid w:val="4AA1AE5E"/>
    <w:rsid w:val="4B71E956"/>
    <w:rsid w:val="4C05280B"/>
    <w:rsid w:val="4C2A1218"/>
    <w:rsid w:val="4C8918ED"/>
    <w:rsid w:val="4D05D725"/>
    <w:rsid w:val="4D0967CF"/>
    <w:rsid w:val="4D65BC3A"/>
    <w:rsid w:val="4D8EC441"/>
    <w:rsid w:val="4DBA415A"/>
    <w:rsid w:val="4DE0175B"/>
    <w:rsid w:val="4E12A658"/>
    <w:rsid w:val="4E2B0E51"/>
    <w:rsid w:val="4EDF1A41"/>
    <w:rsid w:val="4EF92727"/>
    <w:rsid w:val="4F9EA472"/>
    <w:rsid w:val="4FCC0AD1"/>
    <w:rsid w:val="5018C294"/>
    <w:rsid w:val="510D766F"/>
    <w:rsid w:val="51115786"/>
    <w:rsid w:val="5170D769"/>
    <w:rsid w:val="526362D6"/>
    <w:rsid w:val="527DC273"/>
    <w:rsid w:val="52CC3B59"/>
    <w:rsid w:val="5369F3F4"/>
    <w:rsid w:val="537A5530"/>
    <w:rsid w:val="537B7A8F"/>
    <w:rsid w:val="547A2D94"/>
    <w:rsid w:val="547CDDA0"/>
    <w:rsid w:val="54ACA371"/>
    <w:rsid w:val="550BC2F9"/>
    <w:rsid w:val="558BDF90"/>
    <w:rsid w:val="559D80A3"/>
    <w:rsid w:val="56F1BA1B"/>
    <w:rsid w:val="57CD894D"/>
    <w:rsid w:val="58532BE8"/>
    <w:rsid w:val="587E035A"/>
    <w:rsid w:val="58A84EEA"/>
    <w:rsid w:val="58E96E3A"/>
    <w:rsid w:val="593AC637"/>
    <w:rsid w:val="593E5738"/>
    <w:rsid w:val="594C7A0B"/>
    <w:rsid w:val="59C112C8"/>
    <w:rsid w:val="5A4CF6CC"/>
    <w:rsid w:val="5AF03726"/>
    <w:rsid w:val="5B545F6C"/>
    <w:rsid w:val="5B67C7D7"/>
    <w:rsid w:val="5C24D288"/>
    <w:rsid w:val="5C6F8BC2"/>
    <w:rsid w:val="5CE41D62"/>
    <w:rsid w:val="5CEFEC53"/>
    <w:rsid w:val="5DC4A04A"/>
    <w:rsid w:val="5DD4D7CF"/>
    <w:rsid w:val="5E4023AB"/>
    <w:rsid w:val="5E7D70E4"/>
    <w:rsid w:val="5E97B0CB"/>
    <w:rsid w:val="5F62B1B6"/>
    <w:rsid w:val="5FAE97D8"/>
    <w:rsid w:val="5FD35E9D"/>
    <w:rsid w:val="600DB829"/>
    <w:rsid w:val="6079877E"/>
    <w:rsid w:val="62456E77"/>
    <w:rsid w:val="62BE2085"/>
    <w:rsid w:val="62C9B2EA"/>
    <w:rsid w:val="631FEBCA"/>
    <w:rsid w:val="639E9B9B"/>
    <w:rsid w:val="63BEA325"/>
    <w:rsid w:val="6462B5A6"/>
    <w:rsid w:val="649087DC"/>
    <w:rsid w:val="649395FB"/>
    <w:rsid w:val="64A4B944"/>
    <w:rsid w:val="64F692D4"/>
    <w:rsid w:val="656A1E2D"/>
    <w:rsid w:val="65772A6C"/>
    <w:rsid w:val="65A72BA2"/>
    <w:rsid w:val="66BD4B63"/>
    <w:rsid w:val="671C4404"/>
    <w:rsid w:val="67205E4B"/>
    <w:rsid w:val="67630FE3"/>
    <w:rsid w:val="67929FA3"/>
    <w:rsid w:val="67E5EF71"/>
    <w:rsid w:val="688EC8D6"/>
    <w:rsid w:val="68C2C5D5"/>
    <w:rsid w:val="68DB40FC"/>
    <w:rsid w:val="691A7037"/>
    <w:rsid w:val="6924D4D1"/>
    <w:rsid w:val="6987D822"/>
    <w:rsid w:val="6A0510BF"/>
    <w:rsid w:val="6A66705C"/>
    <w:rsid w:val="6AB03904"/>
    <w:rsid w:val="6ABC4D12"/>
    <w:rsid w:val="6B3C2582"/>
    <w:rsid w:val="6B5B80CE"/>
    <w:rsid w:val="6BF9886D"/>
    <w:rsid w:val="6C7E551B"/>
    <w:rsid w:val="6D488CFE"/>
    <w:rsid w:val="6D92290A"/>
    <w:rsid w:val="6DC8581C"/>
    <w:rsid w:val="6DE954D4"/>
    <w:rsid w:val="6E235B12"/>
    <w:rsid w:val="702EE3C2"/>
    <w:rsid w:val="70481CF2"/>
    <w:rsid w:val="70A625F7"/>
    <w:rsid w:val="70C006E6"/>
    <w:rsid w:val="7193A06A"/>
    <w:rsid w:val="71C31FE3"/>
    <w:rsid w:val="71E6426E"/>
    <w:rsid w:val="71F51864"/>
    <w:rsid w:val="724E9FAD"/>
    <w:rsid w:val="727A167A"/>
    <w:rsid w:val="72AFD5C4"/>
    <w:rsid w:val="72D168A5"/>
    <w:rsid w:val="72F6ECCE"/>
    <w:rsid w:val="730FCCFB"/>
    <w:rsid w:val="73BF3F6F"/>
    <w:rsid w:val="73C5D9BC"/>
    <w:rsid w:val="73F401F8"/>
    <w:rsid w:val="74B9DF17"/>
    <w:rsid w:val="75207B8F"/>
    <w:rsid w:val="75809766"/>
    <w:rsid w:val="75BE7B32"/>
    <w:rsid w:val="75E7E8C2"/>
    <w:rsid w:val="766E7AF6"/>
    <w:rsid w:val="76825172"/>
    <w:rsid w:val="76B67B90"/>
    <w:rsid w:val="77316144"/>
    <w:rsid w:val="77359BF2"/>
    <w:rsid w:val="77446A4A"/>
    <w:rsid w:val="777ECC86"/>
    <w:rsid w:val="77D2CA7A"/>
    <w:rsid w:val="78206F1E"/>
    <w:rsid w:val="784B72B7"/>
    <w:rsid w:val="7929D98B"/>
    <w:rsid w:val="79B17F01"/>
    <w:rsid w:val="79BEC7F1"/>
    <w:rsid w:val="79CB34D5"/>
    <w:rsid w:val="7A6AF975"/>
    <w:rsid w:val="7A75D9C9"/>
    <w:rsid w:val="7B254AC1"/>
    <w:rsid w:val="7B51F349"/>
    <w:rsid w:val="7BAD7C19"/>
    <w:rsid w:val="7BEE4526"/>
    <w:rsid w:val="7BF38582"/>
    <w:rsid w:val="7C297149"/>
    <w:rsid w:val="7C97CD75"/>
    <w:rsid w:val="7D073C85"/>
    <w:rsid w:val="7D0CF5E0"/>
    <w:rsid w:val="7DA9163B"/>
    <w:rsid w:val="7DEED1A8"/>
    <w:rsid w:val="7E030E9E"/>
    <w:rsid w:val="7E1955CF"/>
    <w:rsid w:val="7FA29CDC"/>
    <w:rsid w:val="7FD37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689E2"/>
  <w15:docId w15:val="{38D6A328-5785-4CB2-BD85-E77B755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55A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155FE"/>
    <w:pPr>
      <w:tabs>
        <w:tab w:val="center" w:pos="4536"/>
        <w:tab w:val="right" w:pos="9072"/>
      </w:tabs>
      <w:spacing w:after="0" w:line="240" w:lineRule="auto"/>
    </w:pPr>
  </w:style>
  <w:style w:type="character" w:customStyle="1" w:styleId="lfejChar">
    <w:name w:val="Élőfej Char"/>
    <w:basedOn w:val="Bekezdsalapbettpusa"/>
    <w:link w:val="lfej"/>
    <w:uiPriority w:val="99"/>
    <w:rsid w:val="00B155FE"/>
  </w:style>
  <w:style w:type="paragraph" w:styleId="llb">
    <w:name w:val="footer"/>
    <w:basedOn w:val="Norml"/>
    <w:link w:val="llbChar"/>
    <w:uiPriority w:val="99"/>
    <w:unhideWhenUsed/>
    <w:rsid w:val="00B155FE"/>
    <w:pPr>
      <w:tabs>
        <w:tab w:val="center" w:pos="4536"/>
        <w:tab w:val="right" w:pos="9072"/>
      </w:tabs>
      <w:spacing w:after="0" w:line="240" w:lineRule="auto"/>
    </w:pPr>
  </w:style>
  <w:style w:type="character" w:customStyle="1" w:styleId="llbChar">
    <w:name w:val="Élőláb Char"/>
    <w:basedOn w:val="Bekezdsalapbettpusa"/>
    <w:link w:val="llb"/>
    <w:uiPriority w:val="99"/>
    <w:rsid w:val="00B155FE"/>
  </w:style>
  <w:style w:type="paragraph" w:styleId="Lbjegyzetszveg">
    <w:name w:val="footnote text"/>
    <w:basedOn w:val="Norml"/>
    <w:link w:val="LbjegyzetszvegChar"/>
    <w:uiPriority w:val="99"/>
    <w:semiHidden/>
    <w:unhideWhenUsed/>
    <w:rsid w:val="00B155F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155FE"/>
    <w:rPr>
      <w:sz w:val="20"/>
      <w:szCs w:val="20"/>
    </w:rPr>
  </w:style>
  <w:style w:type="character" w:styleId="Lbjegyzet-hivatkozs">
    <w:name w:val="footnote reference"/>
    <w:semiHidden/>
    <w:rsid w:val="00B155FE"/>
    <w:rPr>
      <w:vertAlign w:val="superscript"/>
    </w:rPr>
  </w:style>
  <w:style w:type="character" w:styleId="Oldalszm">
    <w:name w:val="page number"/>
    <w:basedOn w:val="Bekezdsalapbettpusa"/>
    <w:rsid w:val="00B155FE"/>
  </w:style>
  <w:style w:type="paragraph" w:styleId="Buborkszveg">
    <w:name w:val="Balloon Text"/>
    <w:basedOn w:val="Norml"/>
    <w:link w:val="BuborkszvegChar"/>
    <w:uiPriority w:val="99"/>
    <w:semiHidden/>
    <w:unhideWhenUsed/>
    <w:rsid w:val="009732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27C"/>
    <w:rPr>
      <w:rFonts w:ascii="Tahoma" w:hAnsi="Tahoma" w:cs="Tahoma"/>
      <w:sz w:val="16"/>
      <w:szCs w:val="16"/>
    </w:rPr>
  </w:style>
  <w:style w:type="paragraph" w:styleId="Listaszerbekezds">
    <w:name w:val="List Paragraph"/>
    <w:basedOn w:val="Norml"/>
    <w:uiPriority w:val="34"/>
    <w:qFormat/>
    <w:rsid w:val="00F71CAC"/>
    <w:pPr>
      <w:ind w:left="720"/>
      <w:contextualSpacing/>
    </w:p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table" w:styleId="Rcsostblzat">
    <w:name w:val="Table Grid"/>
    <w:basedOn w:val="Normltblzat"/>
    <w:uiPriority w:val="39"/>
    <w:rsid w:val="00D4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165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Pr>
      <w:color w:val="0563C1" w:themeColor="hyperlink"/>
      <w:u w:val="single"/>
    </w:rPr>
  </w:style>
  <w:style w:type="table" w:styleId="Tblzatrcsos1vilgos1jellszn">
    <w:name w:val="Grid Table 1 Light Accent 1"/>
    <w:basedOn w:val="Normltblzat"/>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Megjegyzstrgya">
    <w:name w:val="annotation subject"/>
    <w:basedOn w:val="Jegyzetszveg"/>
    <w:next w:val="Jegyzetszveg"/>
    <w:link w:val="MegjegyzstrgyaChar"/>
    <w:uiPriority w:val="99"/>
    <w:semiHidden/>
    <w:unhideWhenUsed/>
    <w:rsid w:val="00C75D5A"/>
    <w:rPr>
      <w:b/>
      <w:bCs/>
    </w:rPr>
  </w:style>
  <w:style w:type="character" w:customStyle="1" w:styleId="MegjegyzstrgyaChar">
    <w:name w:val="Megjegyzés tárgya Char"/>
    <w:basedOn w:val="JegyzetszvegChar"/>
    <w:link w:val="Megjegyzstrgya"/>
    <w:uiPriority w:val="99"/>
    <w:semiHidden/>
    <w:rsid w:val="00C75D5A"/>
    <w:rPr>
      <w:b/>
      <w:bCs/>
      <w:sz w:val="20"/>
      <w:szCs w:val="20"/>
    </w:rPr>
  </w:style>
  <w:style w:type="paragraph" w:styleId="Vltozat">
    <w:name w:val="Revision"/>
    <w:hidden/>
    <w:uiPriority w:val="99"/>
    <w:semiHidden/>
    <w:rsid w:val="00162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1892">
      <w:bodyDiv w:val="1"/>
      <w:marLeft w:val="0"/>
      <w:marRight w:val="0"/>
      <w:marTop w:val="0"/>
      <w:marBottom w:val="0"/>
      <w:divBdr>
        <w:top w:val="none" w:sz="0" w:space="0" w:color="auto"/>
        <w:left w:val="none" w:sz="0" w:space="0" w:color="auto"/>
        <w:bottom w:val="none" w:sz="0" w:space="0" w:color="auto"/>
        <w:right w:val="none" w:sz="0" w:space="0" w:color="auto"/>
      </w:divBdr>
    </w:div>
    <w:div w:id="240256079">
      <w:bodyDiv w:val="1"/>
      <w:marLeft w:val="0"/>
      <w:marRight w:val="0"/>
      <w:marTop w:val="0"/>
      <w:marBottom w:val="0"/>
      <w:divBdr>
        <w:top w:val="none" w:sz="0" w:space="0" w:color="auto"/>
        <w:left w:val="none" w:sz="0" w:space="0" w:color="auto"/>
        <w:bottom w:val="none" w:sz="0" w:space="0" w:color="auto"/>
        <w:right w:val="none" w:sz="0" w:space="0" w:color="auto"/>
      </w:divBdr>
    </w:div>
    <w:div w:id="248008608">
      <w:bodyDiv w:val="1"/>
      <w:marLeft w:val="0"/>
      <w:marRight w:val="0"/>
      <w:marTop w:val="0"/>
      <w:marBottom w:val="0"/>
      <w:divBdr>
        <w:top w:val="none" w:sz="0" w:space="0" w:color="auto"/>
        <w:left w:val="none" w:sz="0" w:space="0" w:color="auto"/>
        <w:bottom w:val="none" w:sz="0" w:space="0" w:color="auto"/>
        <w:right w:val="none" w:sz="0" w:space="0" w:color="auto"/>
      </w:divBdr>
    </w:div>
    <w:div w:id="251550484">
      <w:bodyDiv w:val="1"/>
      <w:marLeft w:val="0"/>
      <w:marRight w:val="0"/>
      <w:marTop w:val="0"/>
      <w:marBottom w:val="0"/>
      <w:divBdr>
        <w:top w:val="none" w:sz="0" w:space="0" w:color="auto"/>
        <w:left w:val="none" w:sz="0" w:space="0" w:color="auto"/>
        <w:bottom w:val="none" w:sz="0" w:space="0" w:color="auto"/>
        <w:right w:val="none" w:sz="0" w:space="0" w:color="auto"/>
      </w:divBdr>
    </w:div>
    <w:div w:id="263924984">
      <w:bodyDiv w:val="1"/>
      <w:marLeft w:val="0"/>
      <w:marRight w:val="0"/>
      <w:marTop w:val="0"/>
      <w:marBottom w:val="0"/>
      <w:divBdr>
        <w:top w:val="none" w:sz="0" w:space="0" w:color="auto"/>
        <w:left w:val="none" w:sz="0" w:space="0" w:color="auto"/>
        <w:bottom w:val="none" w:sz="0" w:space="0" w:color="auto"/>
        <w:right w:val="none" w:sz="0" w:space="0" w:color="auto"/>
      </w:divBdr>
    </w:div>
    <w:div w:id="414713825">
      <w:bodyDiv w:val="1"/>
      <w:marLeft w:val="0"/>
      <w:marRight w:val="0"/>
      <w:marTop w:val="0"/>
      <w:marBottom w:val="0"/>
      <w:divBdr>
        <w:top w:val="none" w:sz="0" w:space="0" w:color="auto"/>
        <w:left w:val="none" w:sz="0" w:space="0" w:color="auto"/>
        <w:bottom w:val="none" w:sz="0" w:space="0" w:color="auto"/>
        <w:right w:val="none" w:sz="0" w:space="0" w:color="auto"/>
      </w:divBdr>
    </w:div>
    <w:div w:id="419377097">
      <w:bodyDiv w:val="1"/>
      <w:marLeft w:val="0"/>
      <w:marRight w:val="0"/>
      <w:marTop w:val="0"/>
      <w:marBottom w:val="0"/>
      <w:divBdr>
        <w:top w:val="none" w:sz="0" w:space="0" w:color="auto"/>
        <w:left w:val="none" w:sz="0" w:space="0" w:color="auto"/>
        <w:bottom w:val="none" w:sz="0" w:space="0" w:color="auto"/>
        <w:right w:val="none" w:sz="0" w:space="0" w:color="auto"/>
      </w:divBdr>
    </w:div>
    <w:div w:id="422839085">
      <w:bodyDiv w:val="1"/>
      <w:marLeft w:val="0"/>
      <w:marRight w:val="0"/>
      <w:marTop w:val="0"/>
      <w:marBottom w:val="0"/>
      <w:divBdr>
        <w:top w:val="none" w:sz="0" w:space="0" w:color="auto"/>
        <w:left w:val="none" w:sz="0" w:space="0" w:color="auto"/>
        <w:bottom w:val="none" w:sz="0" w:space="0" w:color="auto"/>
        <w:right w:val="none" w:sz="0" w:space="0" w:color="auto"/>
      </w:divBdr>
    </w:div>
    <w:div w:id="425614567">
      <w:bodyDiv w:val="1"/>
      <w:marLeft w:val="0"/>
      <w:marRight w:val="0"/>
      <w:marTop w:val="0"/>
      <w:marBottom w:val="0"/>
      <w:divBdr>
        <w:top w:val="none" w:sz="0" w:space="0" w:color="auto"/>
        <w:left w:val="none" w:sz="0" w:space="0" w:color="auto"/>
        <w:bottom w:val="none" w:sz="0" w:space="0" w:color="auto"/>
        <w:right w:val="none" w:sz="0" w:space="0" w:color="auto"/>
      </w:divBdr>
    </w:div>
    <w:div w:id="457265896">
      <w:bodyDiv w:val="1"/>
      <w:marLeft w:val="0"/>
      <w:marRight w:val="0"/>
      <w:marTop w:val="0"/>
      <w:marBottom w:val="0"/>
      <w:divBdr>
        <w:top w:val="none" w:sz="0" w:space="0" w:color="auto"/>
        <w:left w:val="none" w:sz="0" w:space="0" w:color="auto"/>
        <w:bottom w:val="none" w:sz="0" w:space="0" w:color="auto"/>
        <w:right w:val="none" w:sz="0" w:space="0" w:color="auto"/>
      </w:divBdr>
    </w:div>
    <w:div w:id="750005642">
      <w:bodyDiv w:val="1"/>
      <w:marLeft w:val="0"/>
      <w:marRight w:val="0"/>
      <w:marTop w:val="0"/>
      <w:marBottom w:val="0"/>
      <w:divBdr>
        <w:top w:val="none" w:sz="0" w:space="0" w:color="auto"/>
        <w:left w:val="none" w:sz="0" w:space="0" w:color="auto"/>
        <w:bottom w:val="none" w:sz="0" w:space="0" w:color="auto"/>
        <w:right w:val="none" w:sz="0" w:space="0" w:color="auto"/>
      </w:divBdr>
    </w:div>
    <w:div w:id="825049051">
      <w:bodyDiv w:val="1"/>
      <w:marLeft w:val="0"/>
      <w:marRight w:val="0"/>
      <w:marTop w:val="0"/>
      <w:marBottom w:val="0"/>
      <w:divBdr>
        <w:top w:val="none" w:sz="0" w:space="0" w:color="auto"/>
        <w:left w:val="none" w:sz="0" w:space="0" w:color="auto"/>
        <w:bottom w:val="none" w:sz="0" w:space="0" w:color="auto"/>
        <w:right w:val="none" w:sz="0" w:space="0" w:color="auto"/>
      </w:divBdr>
    </w:div>
    <w:div w:id="831945513">
      <w:bodyDiv w:val="1"/>
      <w:marLeft w:val="0"/>
      <w:marRight w:val="0"/>
      <w:marTop w:val="0"/>
      <w:marBottom w:val="0"/>
      <w:divBdr>
        <w:top w:val="none" w:sz="0" w:space="0" w:color="auto"/>
        <w:left w:val="none" w:sz="0" w:space="0" w:color="auto"/>
        <w:bottom w:val="none" w:sz="0" w:space="0" w:color="auto"/>
        <w:right w:val="none" w:sz="0" w:space="0" w:color="auto"/>
      </w:divBdr>
    </w:div>
    <w:div w:id="955060427">
      <w:bodyDiv w:val="1"/>
      <w:marLeft w:val="0"/>
      <w:marRight w:val="0"/>
      <w:marTop w:val="0"/>
      <w:marBottom w:val="0"/>
      <w:divBdr>
        <w:top w:val="none" w:sz="0" w:space="0" w:color="auto"/>
        <w:left w:val="none" w:sz="0" w:space="0" w:color="auto"/>
        <w:bottom w:val="none" w:sz="0" w:space="0" w:color="auto"/>
        <w:right w:val="none" w:sz="0" w:space="0" w:color="auto"/>
      </w:divBdr>
    </w:div>
    <w:div w:id="1020281846">
      <w:bodyDiv w:val="1"/>
      <w:marLeft w:val="0"/>
      <w:marRight w:val="0"/>
      <w:marTop w:val="0"/>
      <w:marBottom w:val="0"/>
      <w:divBdr>
        <w:top w:val="none" w:sz="0" w:space="0" w:color="auto"/>
        <w:left w:val="none" w:sz="0" w:space="0" w:color="auto"/>
        <w:bottom w:val="none" w:sz="0" w:space="0" w:color="auto"/>
        <w:right w:val="none" w:sz="0" w:space="0" w:color="auto"/>
      </w:divBdr>
    </w:div>
    <w:div w:id="1137841753">
      <w:bodyDiv w:val="1"/>
      <w:marLeft w:val="0"/>
      <w:marRight w:val="0"/>
      <w:marTop w:val="0"/>
      <w:marBottom w:val="0"/>
      <w:divBdr>
        <w:top w:val="none" w:sz="0" w:space="0" w:color="auto"/>
        <w:left w:val="none" w:sz="0" w:space="0" w:color="auto"/>
        <w:bottom w:val="none" w:sz="0" w:space="0" w:color="auto"/>
        <w:right w:val="none" w:sz="0" w:space="0" w:color="auto"/>
      </w:divBdr>
    </w:div>
    <w:div w:id="1145925425">
      <w:bodyDiv w:val="1"/>
      <w:marLeft w:val="0"/>
      <w:marRight w:val="0"/>
      <w:marTop w:val="0"/>
      <w:marBottom w:val="0"/>
      <w:divBdr>
        <w:top w:val="none" w:sz="0" w:space="0" w:color="auto"/>
        <w:left w:val="none" w:sz="0" w:space="0" w:color="auto"/>
        <w:bottom w:val="none" w:sz="0" w:space="0" w:color="auto"/>
        <w:right w:val="none" w:sz="0" w:space="0" w:color="auto"/>
      </w:divBdr>
    </w:div>
    <w:div w:id="1154029676">
      <w:bodyDiv w:val="1"/>
      <w:marLeft w:val="0"/>
      <w:marRight w:val="0"/>
      <w:marTop w:val="0"/>
      <w:marBottom w:val="0"/>
      <w:divBdr>
        <w:top w:val="none" w:sz="0" w:space="0" w:color="auto"/>
        <w:left w:val="none" w:sz="0" w:space="0" w:color="auto"/>
        <w:bottom w:val="none" w:sz="0" w:space="0" w:color="auto"/>
        <w:right w:val="none" w:sz="0" w:space="0" w:color="auto"/>
      </w:divBdr>
    </w:div>
    <w:div w:id="1194074906">
      <w:bodyDiv w:val="1"/>
      <w:marLeft w:val="0"/>
      <w:marRight w:val="0"/>
      <w:marTop w:val="0"/>
      <w:marBottom w:val="0"/>
      <w:divBdr>
        <w:top w:val="none" w:sz="0" w:space="0" w:color="auto"/>
        <w:left w:val="none" w:sz="0" w:space="0" w:color="auto"/>
        <w:bottom w:val="none" w:sz="0" w:space="0" w:color="auto"/>
        <w:right w:val="none" w:sz="0" w:space="0" w:color="auto"/>
      </w:divBdr>
    </w:div>
    <w:div w:id="1262031817">
      <w:bodyDiv w:val="1"/>
      <w:marLeft w:val="0"/>
      <w:marRight w:val="0"/>
      <w:marTop w:val="0"/>
      <w:marBottom w:val="0"/>
      <w:divBdr>
        <w:top w:val="none" w:sz="0" w:space="0" w:color="auto"/>
        <w:left w:val="none" w:sz="0" w:space="0" w:color="auto"/>
        <w:bottom w:val="none" w:sz="0" w:space="0" w:color="auto"/>
        <w:right w:val="none" w:sz="0" w:space="0" w:color="auto"/>
      </w:divBdr>
    </w:div>
    <w:div w:id="1299650999">
      <w:bodyDiv w:val="1"/>
      <w:marLeft w:val="0"/>
      <w:marRight w:val="0"/>
      <w:marTop w:val="0"/>
      <w:marBottom w:val="0"/>
      <w:divBdr>
        <w:top w:val="none" w:sz="0" w:space="0" w:color="auto"/>
        <w:left w:val="none" w:sz="0" w:space="0" w:color="auto"/>
        <w:bottom w:val="none" w:sz="0" w:space="0" w:color="auto"/>
        <w:right w:val="none" w:sz="0" w:space="0" w:color="auto"/>
      </w:divBdr>
    </w:div>
    <w:div w:id="1332442699">
      <w:bodyDiv w:val="1"/>
      <w:marLeft w:val="0"/>
      <w:marRight w:val="0"/>
      <w:marTop w:val="0"/>
      <w:marBottom w:val="0"/>
      <w:divBdr>
        <w:top w:val="none" w:sz="0" w:space="0" w:color="auto"/>
        <w:left w:val="none" w:sz="0" w:space="0" w:color="auto"/>
        <w:bottom w:val="none" w:sz="0" w:space="0" w:color="auto"/>
        <w:right w:val="none" w:sz="0" w:space="0" w:color="auto"/>
      </w:divBdr>
    </w:div>
    <w:div w:id="1362433673">
      <w:bodyDiv w:val="1"/>
      <w:marLeft w:val="0"/>
      <w:marRight w:val="0"/>
      <w:marTop w:val="0"/>
      <w:marBottom w:val="0"/>
      <w:divBdr>
        <w:top w:val="none" w:sz="0" w:space="0" w:color="auto"/>
        <w:left w:val="none" w:sz="0" w:space="0" w:color="auto"/>
        <w:bottom w:val="none" w:sz="0" w:space="0" w:color="auto"/>
        <w:right w:val="none" w:sz="0" w:space="0" w:color="auto"/>
      </w:divBdr>
    </w:div>
    <w:div w:id="1369573113">
      <w:bodyDiv w:val="1"/>
      <w:marLeft w:val="0"/>
      <w:marRight w:val="0"/>
      <w:marTop w:val="0"/>
      <w:marBottom w:val="0"/>
      <w:divBdr>
        <w:top w:val="none" w:sz="0" w:space="0" w:color="auto"/>
        <w:left w:val="none" w:sz="0" w:space="0" w:color="auto"/>
        <w:bottom w:val="none" w:sz="0" w:space="0" w:color="auto"/>
        <w:right w:val="none" w:sz="0" w:space="0" w:color="auto"/>
      </w:divBdr>
    </w:div>
    <w:div w:id="1514765667">
      <w:bodyDiv w:val="1"/>
      <w:marLeft w:val="0"/>
      <w:marRight w:val="0"/>
      <w:marTop w:val="0"/>
      <w:marBottom w:val="0"/>
      <w:divBdr>
        <w:top w:val="none" w:sz="0" w:space="0" w:color="auto"/>
        <w:left w:val="none" w:sz="0" w:space="0" w:color="auto"/>
        <w:bottom w:val="none" w:sz="0" w:space="0" w:color="auto"/>
        <w:right w:val="none" w:sz="0" w:space="0" w:color="auto"/>
      </w:divBdr>
    </w:div>
    <w:div w:id="1527596982">
      <w:bodyDiv w:val="1"/>
      <w:marLeft w:val="0"/>
      <w:marRight w:val="0"/>
      <w:marTop w:val="0"/>
      <w:marBottom w:val="0"/>
      <w:divBdr>
        <w:top w:val="none" w:sz="0" w:space="0" w:color="auto"/>
        <w:left w:val="none" w:sz="0" w:space="0" w:color="auto"/>
        <w:bottom w:val="none" w:sz="0" w:space="0" w:color="auto"/>
        <w:right w:val="none" w:sz="0" w:space="0" w:color="auto"/>
      </w:divBdr>
    </w:div>
    <w:div w:id="1538201461">
      <w:bodyDiv w:val="1"/>
      <w:marLeft w:val="0"/>
      <w:marRight w:val="0"/>
      <w:marTop w:val="0"/>
      <w:marBottom w:val="0"/>
      <w:divBdr>
        <w:top w:val="none" w:sz="0" w:space="0" w:color="auto"/>
        <w:left w:val="none" w:sz="0" w:space="0" w:color="auto"/>
        <w:bottom w:val="none" w:sz="0" w:space="0" w:color="auto"/>
        <w:right w:val="none" w:sz="0" w:space="0" w:color="auto"/>
      </w:divBdr>
    </w:div>
    <w:div w:id="1587760903">
      <w:bodyDiv w:val="1"/>
      <w:marLeft w:val="0"/>
      <w:marRight w:val="0"/>
      <w:marTop w:val="0"/>
      <w:marBottom w:val="0"/>
      <w:divBdr>
        <w:top w:val="none" w:sz="0" w:space="0" w:color="auto"/>
        <w:left w:val="none" w:sz="0" w:space="0" w:color="auto"/>
        <w:bottom w:val="none" w:sz="0" w:space="0" w:color="auto"/>
        <w:right w:val="none" w:sz="0" w:space="0" w:color="auto"/>
      </w:divBdr>
    </w:div>
    <w:div w:id="1611275865">
      <w:bodyDiv w:val="1"/>
      <w:marLeft w:val="0"/>
      <w:marRight w:val="0"/>
      <w:marTop w:val="0"/>
      <w:marBottom w:val="0"/>
      <w:divBdr>
        <w:top w:val="none" w:sz="0" w:space="0" w:color="auto"/>
        <w:left w:val="none" w:sz="0" w:space="0" w:color="auto"/>
        <w:bottom w:val="none" w:sz="0" w:space="0" w:color="auto"/>
        <w:right w:val="none" w:sz="0" w:space="0" w:color="auto"/>
      </w:divBdr>
    </w:div>
    <w:div w:id="1633056647">
      <w:bodyDiv w:val="1"/>
      <w:marLeft w:val="0"/>
      <w:marRight w:val="0"/>
      <w:marTop w:val="0"/>
      <w:marBottom w:val="0"/>
      <w:divBdr>
        <w:top w:val="none" w:sz="0" w:space="0" w:color="auto"/>
        <w:left w:val="none" w:sz="0" w:space="0" w:color="auto"/>
        <w:bottom w:val="none" w:sz="0" w:space="0" w:color="auto"/>
        <w:right w:val="none" w:sz="0" w:space="0" w:color="auto"/>
      </w:divBdr>
    </w:div>
    <w:div w:id="1774401931">
      <w:bodyDiv w:val="1"/>
      <w:marLeft w:val="0"/>
      <w:marRight w:val="0"/>
      <w:marTop w:val="0"/>
      <w:marBottom w:val="0"/>
      <w:divBdr>
        <w:top w:val="none" w:sz="0" w:space="0" w:color="auto"/>
        <w:left w:val="none" w:sz="0" w:space="0" w:color="auto"/>
        <w:bottom w:val="none" w:sz="0" w:space="0" w:color="auto"/>
        <w:right w:val="none" w:sz="0" w:space="0" w:color="auto"/>
      </w:divBdr>
    </w:div>
    <w:div w:id="1891844003">
      <w:bodyDiv w:val="1"/>
      <w:marLeft w:val="0"/>
      <w:marRight w:val="0"/>
      <w:marTop w:val="0"/>
      <w:marBottom w:val="0"/>
      <w:divBdr>
        <w:top w:val="none" w:sz="0" w:space="0" w:color="auto"/>
        <w:left w:val="none" w:sz="0" w:space="0" w:color="auto"/>
        <w:bottom w:val="none" w:sz="0" w:space="0" w:color="auto"/>
        <w:right w:val="none" w:sz="0" w:space="0" w:color="auto"/>
      </w:divBdr>
    </w:div>
    <w:div w:id="2032297061">
      <w:bodyDiv w:val="1"/>
      <w:marLeft w:val="0"/>
      <w:marRight w:val="0"/>
      <w:marTop w:val="0"/>
      <w:marBottom w:val="0"/>
      <w:divBdr>
        <w:top w:val="none" w:sz="0" w:space="0" w:color="auto"/>
        <w:left w:val="none" w:sz="0" w:space="0" w:color="auto"/>
        <w:bottom w:val="none" w:sz="0" w:space="0" w:color="auto"/>
        <w:right w:val="none" w:sz="0" w:space="0" w:color="auto"/>
      </w:divBdr>
    </w:div>
    <w:div w:id="2069765688">
      <w:bodyDiv w:val="1"/>
      <w:marLeft w:val="0"/>
      <w:marRight w:val="0"/>
      <w:marTop w:val="0"/>
      <w:marBottom w:val="0"/>
      <w:divBdr>
        <w:top w:val="none" w:sz="0" w:space="0" w:color="auto"/>
        <w:left w:val="none" w:sz="0" w:space="0" w:color="auto"/>
        <w:bottom w:val="none" w:sz="0" w:space="0" w:color="auto"/>
        <w:right w:val="none" w:sz="0" w:space="0" w:color="auto"/>
      </w:divBdr>
    </w:div>
    <w:div w:id="2082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5" ma:contentTypeDescription="Új dokumentum létrehozása." ma:contentTypeScope="" ma:versionID="4b44a68e156a5b79248640aeafc70798">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bd0071a6f26b893e5271513f12c665f5"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c9_v xmlns="cb7eed14-1ed6-4f4f-9464-e9d73fc2f8e9">2025</_x00c9_v>
    <T_x00e9_ma xmlns="cb7eed14-1ed6-4f4f-9464-e9d73fc2f8e9">Monitoring</T_x00e9_ma>
    <L_x00e1_that_x00f3_s_x00e1_g xmlns="cb7eed14-1ed6-4f4f-9464-e9d73fc2f8e9">Publikus</L_x00e1_that_x00f3_s_x00e1_g>
  </documentManagement>
</p:properties>
</file>

<file path=customXml/itemProps1.xml><?xml version="1.0" encoding="utf-8"?>
<ds:datastoreItem xmlns:ds="http://schemas.openxmlformats.org/officeDocument/2006/customXml" ds:itemID="{D45E50AF-6A38-4D56-A55D-D65BA869B7B4}">
  <ds:schemaRefs>
    <ds:schemaRef ds:uri="http://schemas.openxmlformats.org/officeDocument/2006/bibliography"/>
  </ds:schemaRefs>
</ds:datastoreItem>
</file>

<file path=customXml/itemProps2.xml><?xml version="1.0" encoding="utf-8"?>
<ds:datastoreItem xmlns:ds="http://schemas.openxmlformats.org/officeDocument/2006/customXml" ds:itemID="{1AAFD48C-7926-4BF1-87F7-A322FB813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0F6AD-19C0-4D6B-ABDF-2564A2CC5C1F}">
  <ds:schemaRefs>
    <ds:schemaRef ds:uri="http://schemas.microsoft.com/sharepoint/v3/contenttype/forms"/>
  </ds:schemaRefs>
</ds:datastoreItem>
</file>

<file path=customXml/itemProps4.xml><?xml version="1.0" encoding="utf-8"?>
<ds:datastoreItem xmlns:ds="http://schemas.openxmlformats.org/officeDocument/2006/customXml" ds:itemID="{C84C958D-48DC-4564-B24D-56E63215790F}">
  <ds:schemaRefs>
    <ds:schemaRef ds:uri="http://schemas.microsoft.com/office/2006/documentManagement/types"/>
    <ds:schemaRef ds:uri="http://purl.org/dc/elements/1.1/"/>
    <ds:schemaRef ds:uri="cb7eed14-1ed6-4f4f-9464-e9d73fc2f8e9"/>
    <ds:schemaRef ds:uri="http://schemas.microsoft.com/office/infopath/2007/PartnerControls"/>
    <ds:schemaRef ds:uri="9669010e-b829-4d86-87dd-cdce11b02043"/>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23</Pages>
  <Words>5001</Words>
  <Characters>34513</Characters>
  <DocSecurity>0</DocSecurity>
  <Lines>287</Lines>
  <Paragraphs>78</Paragraphs>
  <ScaleCrop>false</ScaleCrop>
  <HeadingPairs>
    <vt:vector size="2" baseType="variant">
      <vt:variant>
        <vt:lpstr>Cím</vt:lpstr>
      </vt:variant>
      <vt:variant>
        <vt:i4>1</vt:i4>
      </vt:variant>
    </vt:vector>
  </HeadingPairs>
  <TitlesOfParts>
    <vt:vector size="1" baseType="lpstr">
      <vt:lpstr>monitoring_2025_07</vt:lpstr>
    </vt:vector>
  </TitlesOfParts>
  <LinksUpToDate>false</LinksUpToDate>
  <CharactersWithSpaces>39436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2025-05-16T09:07:00Z</cp:lastPrinted>
  <dcterms:created xsi:type="dcterms:W3CDTF">2025-08-18T08:10:00Z</dcterms:created>
  <dcterms:modified xsi:type="dcterms:W3CDTF">2025-08-18T10:40:00Z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